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4651C" w14:textId="41F0C85D" w:rsidR="00A507B8" w:rsidRPr="006B40E4" w:rsidRDefault="00A507B8" w:rsidP="009D279A">
      <w:pPr>
        <w:spacing w:after="0" w:line="240" w:lineRule="auto"/>
        <w:rPr>
          <w:rFonts w:ascii="Arial" w:eastAsia="Arial" w:hAnsi="Arial" w:cs="Arial"/>
          <w:color w:val="000000" w:themeColor="text1"/>
          <w:sz w:val="22"/>
          <w:szCs w:val="22"/>
        </w:rPr>
      </w:pPr>
    </w:p>
    <w:p w14:paraId="50BD908F" w14:textId="15308EF4" w:rsidR="008C4A23" w:rsidRDefault="00526830" w:rsidP="00356A3E">
      <w:pPr>
        <w:pStyle w:val="Ttulo1"/>
        <w:numPr>
          <w:ilvl w:val="0"/>
          <w:numId w:val="44"/>
        </w:numPr>
        <w:spacing w:before="0" w:after="0" w:line="240" w:lineRule="auto"/>
        <w:rPr>
          <w:rFonts w:ascii="Arial" w:eastAsia="Arial" w:hAnsi="Arial" w:cs="Arial"/>
          <w:color w:val="000000" w:themeColor="text1"/>
          <w:sz w:val="22"/>
          <w:szCs w:val="22"/>
        </w:rPr>
      </w:pPr>
      <w:bookmarkStart w:id="0" w:name="_Toc111485509"/>
      <w:r w:rsidRPr="33A1FD1F">
        <w:rPr>
          <w:rFonts w:ascii="Arial" w:eastAsia="Arial" w:hAnsi="Arial" w:cs="Arial"/>
          <w:color w:val="000000" w:themeColor="text1"/>
          <w:sz w:val="22"/>
          <w:szCs w:val="22"/>
        </w:rPr>
        <w:t>INTRODUCCIÓN</w:t>
      </w:r>
      <w:bookmarkEnd w:id="0"/>
      <w:r w:rsidR="004967A8" w:rsidRPr="33A1FD1F">
        <w:rPr>
          <w:rFonts w:ascii="Arial" w:eastAsia="Arial" w:hAnsi="Arial" w:cs="Arial"/>
          <w:color w:val="000000" w:themeColor="text1"/>
          <w:sz w:val="22"/>
          <w:szCs w:val="22"/>
        </w:rPr>
        <w:t xml:space="preserve"> </w:t>
      </w:r>
    </w:p>
    <w:p w14:paraId="02E8D51A" w14:textId="052EA4E1" w:rsidR="008A143C" w:rsidRDefault="008A143C" w:rsidP="009D279A">
      <w:pPr>
        <w:spacing w:after="0" w:line="240" w:lineRule="auto"/>
        <w:rPr>
          <w:rFonts w:ascii="Arial" w:eastAsia="Arial" w:hAnsi="Arial" w:cs="Arial"/>
          <w:sz w:val="22"/>
          <w:szCs w:val="22"/>
        </w:rPr>
      </w:pPr>
    </w:p>
    <w:p w14:paraId="2E8729D3" w14:textId="052EA4E1" w:rsidR="00E841C0" w:rsidRPr="00B710A9" w:rsidRDefault="00E841C0" w:rsidP="00E841C0">
      <w:pPr>
        <w:autoSpaceDE w:val="0"/>
        <w:autoSpaceDN w:val="0"/>
        <w:adjustRightInd w:val="0"/>
        <w:jc w:val="both"/>
        <w:rPr>
          <w:rFonts w:ascii="Arial" w:eastAsia="Arial" w:hAnsi="Arial" w:cs="Arial"/>
          <w:sz w:val="22"/>
          <w:szCs w:val="22"/>
        </w:rPr>
      </w:pPr>
      <w:r w:rsidRPr="00B710A9">
        <w:rPr>
          <w:rFonts w:ascii="Arial" w:eastAsia="Arial" w:hAnsi="Arial" w:cs="Arial"/>
          <w:sz w:val="22"/>
          <w:szCs w:val="22"/>
        </w:rPr>
        <w:t xml:space="preserve">El Instituto Geográfico Agustín Codazzi (IGAC), es una entidad con 86 años de historia, en los cuales se ha caracterizado por su experiencia técnica en las áreas en las que tiene competencia, es la entidad encargada de producir el mapa oficial y la cartografía básica de Colombia; elaborar el catastro nacional de la propiedad inmueble; realizar el inventario de las características de los suelos; adelantar investigaciones geográficas como apoyo al desarrollo territorial; y coordinar la Infraestructura Colombiana de Datos Espaciales (ICDE). El conocimiento catastral, geográfico y agrológico del territorio, resulta fundamental para una apropiada gestión y ordenamiento territorial a través de los cuales se adoptan políticas públicas para la adecuada planeación social y económica del país. </w:t>
      </w:r>
    </w:p>
    <w:p w14:paraId="79F1D9AB" w14:textId="052EA4E1" w:rsidR="00E841C0" w:rsidRPr="00B710A9" w:rsidRDefault="00E841C0" w:rsidP="00E841C0">
      <w:pPr>
        <w:autoSpaceDE w:val="0"/>
        <w:autoSpaceDN w:val="0"/>
        <w:adjustRightInd w:val="0"/>
        <w:jc w:val="both"/>
        <w:rPr>
          <w:rFonts w:ascii="Arial" w:eastAsia="Arial" w:hAnsi="Arial" w:cs="Arial"/>
          <w:sz w:val="22"/>
          <w:szCs w:val="22"/>
        </w:rPr>
      </w:pPr>
      <w:r w:rsidRPr="00B710A9">
        <w:rPr>
          <w:rFonts w:ascii="Arial" w:eastAsia="Arial" w:hAnsi="Arial" w:cs="Arial"/>
          <w:sz w:val="22"/>
          <w:szCs w:val="22"/>
        </w:rPr>
        <w:t>El Instituto, en su calidad de máxima autoridad nacional en estas materias, juega un rol preponderante para las actuales necesidades del país que han posicionado en la agenda nacional la importancia de contar con un catastro actualizado y con enfoque multipropósito que provea información permanente y sistemática para la administración de la tierra y de los territorios, que se materializa en información física, jurídica, económica y territorial de todos los predios de Colombia (públicos, privados, formales e informales).</w:t>
      </w:r>
    </w:p>
    <w:p w14:paraId="6880B14F" w14:textId="052EA4E1" w:rsidR="00E841C0" w:rsidRPr="00B710A9" w:rsidRDefault="00E841C0" w:rsidP="00E841C0">
      <w:pPr>
        <w:autoSpaceDE w:val="0"/>
        <w:autoSpaceDN w:val="0"/>
        <w:adjustRightInd w:val="0"/>
        <w:jc w:val="both"/>
        <w:rPr>
          <w:rFonts w:ascii="Arial" w:eastAsia="Arial" w:hAnsi="Arial" w:cs="Arial"/>
          <w:sz w:val="22"/>
          <w:szCs w:val="22"/>
        </w:rPr>
      </w:pPr>
      <w:r w:rsidRPr="00B710A9">
        <w:rPr>
          <w:rFonts w:ascii="Arial" w:eastAsia="Arial" w:hAnsi="Arial" w:cs="Arial"/>
          <w:sz w:val="22"/>
          <w:szCs w:val="22"/>
        </w:rPr>
        <w:t xml:space="preserve">Así mismo, este posicionamiento se ha relacionado con el </w:t>
      </w:r>
      <w:r w:rsidRPr="00B710A9">
        <w:rPr>
          <w:rFonts w:ascii="Arial" w:eastAsia="Arial" w:hAnsi="Arial" w:cs="Arial"/>
          <w:i/>
          <w:sz w:val="22"/>
          <w:szCs w:val="22"/>
        </w:rPr>
        <w:t>‘Acuerdo Final para la Terminación del Conflicto y la Construcción de una Paz Estable y Duradera’</w:t>
      </w:r>
      <w:r w:rsidRPr="00B710A9">
        <w:rPr>
          <w:rFonts w:ascii="Arial" w:eastAsia="Arial" w:hAnsi="Arial" w:cs="Arial"/>
          <w:sz w:val="22"/>
          <w:szCs w:val="22"/>
        </w:rPr>
        <w:t>, a través del</w:t>
      </w:r>
      <w:r w:rsidRPr="00B710A9">
        <w:rPr>
          <w:rFonts w:ascii="Arial" w:eastAsia="Arial" w:hAnsi="Arial" w:cs="Arial"/>
          <w:i/>
          <w:sz w:val="22"/>
          <w:szCs w:val="22"/>
        </w:rPr>
        <w:t xml:space="preserve"> </w:t>
      </w:r>
      <w:r w:rsidRPr="00B710A9">
        <w:rPr>
          <w:rFonts w:ascii="Arial" w:eastAsia="Arial" w:hAnsi="Arial" w:cs="Arial"/>
          <w:sz w:val="22"/>
          <w:szCs w:val="22"/>
        </w:rPr>
        <w:t>cual se identificó el catastro como un instrumento necesario para desarrollar la Reforma</w:t>
      </w:r>
      <w:r w:rsidRPr="00B710A9">
        <w:rPr>
          <w:rFonts w:ascii="Arial" w:eastAsia="Arial" w:hAnsi="Arial" w:cs="Arial"/>
          <w:i/>
          <w:sz w:val="22"/>
          <w:szCs w:val="22"/>
        </w:rPr>
        <w:t xml:space="preserve"> </w:t>
      </w:r>
      <w:r w:rsidRPr="00B710A9">
        <w:rPr>
          <w:rFonts w:ascii="Arial" w:eastAsia="Arial" w:hAnsi="Arial" w:cs="Arial"/>
          <w:sz w:val="22"/>
          <w:szCs w:val="22"/>
        </w:rPr>
        <w:t>Rural Integral, a partir de la formación y actualización del catastro e impuesto predial rural.</w:t>
      </w:r>
      <w:r w:rsidRPr="00B710A9">
        <w:rPr>
          <w:rFonts w:ascii="Arial" w:eastAsia="Arial" w:hAnsi="Arial" w:cs="Arial"/>
          <w:i/>
          <w:sz w:val="22"/>
          <w:szCs w:val="22"/>
        </w:rPr>
        <w:t xml:space="preserve"> </w:t>
      </w:r>
      <w:r w:rsidRPr="00B710A9">
        <w:rPr>
          <w:rFonts w:ascii="Arial" w:eastAsia="Arial" w:hAnsi="Arial" w:cs="Arial"/>
          <w:sz w:val="22"/>
          <w:szCs w:val="22"/>
        </w:rPr>
        <w:t>En tal sentido, el marco de política pública dado por el CONPES 3958 de 2019 que adopta</w:t>
      </w:r>
      <w:r w:rsidRPr="00B710A9">
        <w:rPr>
          <w:rFonts w:ascii="Arial" w:eastAsia="Arial" w:hAnsi="Arial" w:cs="Arial"/>
          <w:i/>
          <w:sz w:val="22"/>
          <w:szCs w:val="22"/>
        </w:rPr>
        <w:t xml:space="preserve"> </w:t>
      </w:r>
      <w:r w:rsidRPr="00B710A9">
        <w:rPr>
          <w:rFonts w:ascii="Arial" w:eastAsia="Arial" w:hAnsi="Arial" w:cs="Arial"/>
          <w:sz w:val="22"/>
          <w:szCs w:val="22"/>
        </w:rPr>
        <w:t>la política de implementación del catastro multipropósito; el CONPES 3951 de 2018, que</w:t>
      </w:r>
      <w:r w:rsidRPr="00B710A9">
        <w:rPr>
          <w:rFonts w:ascii="Arial" w:eastAsia="Arial" w:hAnsi="Arial" w:cs="Arial"/>
          <w:i/>
          <w:sz w:val="22"/>
          <w:szCs w:val="22"/>
        </w:rPr>
        <w:t xml:space="preserve"> </w:t>
      </w:r>
      <w:r w:rsidRPr="00B710A9">
        <w:rPr>
          <w:rFonts w:ascii="Arial" w:eastAsia="Arial" w:hAnsi="Arial" w:cs="Arial"/>
          <w:sz w:val="22"/>
          <w:szCs w:val="22"/>
        </w:rPr>
        <w:t>emite concepto favorable para la contratación de crédito externo que permita la</w:t>
      </w:r>
      <w:r w:rsidRPr="00B710A9">
        <w:rPr>
          <w:rFonts w:ascii="Arial" w:eastAsia="Arial" w:hAnsi="Arial" w:cs="Arial"/>
          <w:i/>
          <w:sz w:val="22"/>
          <w:szCs w:val="22"/>
        </w:rPr>
        <w:t xml:space="preserve"> </w:t>
      </w:r>
      <w:r w:rsidRPr="00B710A9">
        <w:rPr>
          <w:rFonts w:ascii="Arial" w:eastAsia="Arial" w:hAnsi="Arial" w:cs="Arial"/>
          <w:sz w:val="22"/>
          <w:szCs w:val="22"/>
        </w:rPr>
        <w:t xml:space="preserve">implementación de la Política; y la Ley 1955 de 2019, a través de la cual se adopta el </w:t>
      </w:r>
      <w:r w:rsidRPr="00B710A9">
        <w:rPr>
          <w:rFonts w:ascii="Arial" w:eastAsia="Arial" w:hAnsi="Arial" w:cs="Arial"/>
          <w:i/>
          <w:sz w:val="22"/>
          <w:szCs w:val="22"/>
        </w:rPr>
        <w:t xml:space="preserve">Plan Nacional de Desarrollo (PND) 2018-2022 “Pacto por Colombia, pacto por la equidad”, </w:t>
      </w:r>
      <w:r w:rsidRPr="00B710A9">
        <w:rPr>
          <w:rFonts w:ascii="Arial" w:eastAsia="Arial" w:hAnsi="Arial" w:cs="Arial"/>
          <w:sz w:val="22"/>
          <w:szCs w:val="22"/>
        </w:rPr>
        <w:t>define los lineamientos, acciones, compromisos y metas para la entidad, durante los</w:t>
      </w:r>
      <w:r w:rsidRPr="00B710A9">
        <w:rPr>
          <w:rFonts w:ascii="Arial" w:eastAsia="Arial" w:hAnsi="Arial" w:cs="Arial"/>
          <w:i/>
          <w:sz w:val="22"/>
          <w:szCs w:val="22"/>
        </w:rPr>
        <w:t xml:space="preserve"> </w:t>
      </w:r>
      <w:r w:rsidRPr="00B710A9">
        <w:rPr>
          <w:rFonts w:ascii="Arial" w:eastAsia="Arial" w:hAnsi="Arial" w:cs="Arial"/>
          <w:sz w:val="22"/>
          <w:szCs w:val="22"/>
        </w:rPr>
        <w:t>próximos años, dadas las prioridades del Gobierno Nacional en estas materias.</w:t>
      </w:r>
    </w:p>
    <w:p w14:paraId="3F2A63B0" w14:textId="052EA4E1" w:rsidR="00E841C0" w:rsidRPr="00B710A9" w:rsidRDefault="00E841C0" w:rsidP="00E841C0">
      <w:pPr>
        <w:autoSpaceDE w:val="0"/>
        <w:autoSpaceDN w:val="0"/>
        <w:adjustRightInd w:val="0"/>
        <w:jc w:val="both"/>
        <w:rPr>
          <w:rFonts w:ascii="Arial" w:eastAsia="Arial" w:hAnsi="Arial" w:cs="Arial"/>
          <w:color w:val="000000" w:themeColor="text1"/>
          <w:sz w:val="22"/>
          <w:szCs w:val="22"/>
        </w:rPr>
      </w:pPr>
      <w:r w:rsidRPr="00B710A9">
        <w:rPr>
          <w:rFonts w:ascii="Arial" w:eastAsia="Arial" w:hAnsi="Arial" w:cs="Arial"/>
          <w:sz w:val="22"/>
          <w:szCs w:val="22"/>
        </w:rPr>
        <w:t xml:space="preserve">De cara a estos nuevos retos se realizó un cambio en la plataforma estratégica de la entidad, enfocada en objetivos y estrategias orientados a responder de manera adecuada a estos, lo que a su vez se consolidó con la aprobación del proceso de modernización institucional, dado que el IGAC presenta un rezago importante a nivel de estructura organizacional, física, tecnológica. La modernización institucional fue un ejercicio muy valioso, porque el propósito principal está basado en construir una visión compartida, para que realmente se logre la guía a largo plazo, más allá de los cambios de Gobierno o dirección, apropiándose de lo que se quiere que sea su labor en los próximos años. </w:t>
      </w:r>
      <w:r w:rsidRPr="00B710A9">
        <w:rPr>
          <w:rFonts w:ascii="Arial" w:eastAsia="Arial" w:hAnsi="Arial" w:cs="Arial"/>
          <w:color w:val="000000" w:themeColor="text1"/>
          <w:sz w:val="22"/>
          <w:szCs w:val="22"/>
        </w:rPr>
        <w:t xml:space="preserve">Este proceso impactó directamente cuatro componentes claves en el Instituto el mapa de procesos, la estructura interna, la planta de personal y el manual específico de funciones y competencias laborales. </w:t>
      </w:r>
    </w:p>
    <w:p w14:paraId="0C27E97E" w14:textId="052EA4E1" w:rsidR="00E841C0" w:rsidRPr="00B710A9" w:rsidRDefault="00E841C0" w:rsidP="00E841C0">
      <w:pPr>
        <w:autoSpaceDE w:val="0"/>
        <w:autoSpaceDN w:val="0"/>
        <w:adjustRightInd w:val="0"/>
        <w:jc w:val="both"/>
        <w:rPr>
          <w:rFonts w:ascii="Arial" w:eastAsia="Arial" w:hAnsi="Arial" w:cs="Arial"/>
          <w:color w:val="000000" w:themeColor="text1"/>
          <w:sz w:val="22"/>
          <w:szCs w:val="22"/>
        </w:rPr>
      </w:pPr>
      <w:r w:rsidRPr="00B710A9">
        <w:rPr>
          <w:rFonts w:asciiTheme="minorHAnsi" w:hAnsiTheme="minorHAnsi" w:cstheme="minorBidi"/>
          <w:color w:val="000000" w:themeColor="text1"/>
          <w:sz w:val="22"/>
          <w:szCs w:val="22"/>
        </w:rPr>
        <w:t>A</w:t>
      </w:r>
      <w:r w:rsidRPr="00B710A9">
        <w:rPr>
          <w:rFonts w:ascii="Arial" w:eastAsia="Arial" w:hAnsi="Arial" w:cs="Arial"/>
          <w:color w:val="000000" w:themeColor="text1"/>
          <w:sz w:val="22"/>
          <w:szCs w:val="22"/>
        </w:rPr>
        <w:t xml:space="preserve">ctualmente el IGAC tiene presencia en el territorio por medio de 22 direcciones territoriales con las cuales se </w:t>
      </w:r>
      <w:r w:rsidRPr="00B710A9">
        <w:rPr>
          <w:rFonts w:ascii="Arial" w:eastAsia="Arial" w:hAnsi="Arial" w:cs="Arial"/>
          <w:sz w:val="22"/>
          <w:szCs w:val="22"/>
        </w:rPr>
        <w:t>busca seguir consolidándose ante la ciudadanía y las entidades</w:t>
      </w:r>
      <w:r w:rsidRPr="00B710A9">
        <w:rPr>
          <w:rFonts w:ascii="Arial" w:eastAsia="Arial" w:hAnsi="Arial" w:cs="Arial"/>
          <w:color w:val="000000" w:themeColor="text1"/>
          <w:sz w:val="22"/>
          <w:szCs w:val="22"/>
        </w:rPr>
        <w:t xml:space="preserve"> </w:t>
      </w:r>
      <w:r w:rsidRPr="00B710A9">
        <w:rPr>
          <w:rFonts w:ascii="Arial" w:eastAsia="Arial" w:hAnsi="Arial" w:cs="Arial"/>
          <w:sz w:val="22"/>
          <w:szCs w:val="22"/>
        </w:rPr>
        <w:t>en el ámbito nacional, como la autoridad geográfica, cartográfica,</w:t>
      </w:r>
      <w:r w:rsidRPr="00B710A9">
        <w:rPr>
          <w:rFonts w:ascii="Arial" w:eastAsia="Arial" w:hAnsi="Arial" w:cs="Arial"/>
          <w:color w:val="000000" w:themeColor="text1"/>
          <w:sz w:val="22"/>
          <w:szCs w:val="22"/>
        </w:rPr>
        <w:t xml:space="preserve"> </w:t>
      </w:r>
      <w:r w:rsidRPr="00B710A9">
        <w:rPr>
          <w:rFonts w:ascii="Arial" w:eastAsia="Arial" w:hAnsi="Arial" w:cs="Arial"/>
          <w:sz w:val="22"/>
          <w:szCs w:val="22"/>
        </w:rPr>
        <w:t>agrológica y catastral, líder en la gestión del conocimiento, investigación y aplicaciones en tecnologías geoespaciales, bajo estándares de eficiencia, eficacia y efectividad,</w:t>
      </w:r>
      <w:r w:rsidRPr="00B710A9">
        <w:rPr>
          <w:rFonts w:ascii="Arial" w:eastAsia="Arial" w:hAnsi="Arial" w:cs="Arial"/>
          <w:color w:val="000000" w:themeColor="text1"/>
          <w:sz w:val="22"/>
          <w:szCs w:val="22"/>
        </w:rPr>
        <w:t xml:space="preserve"> </w:t>
      </w:r>
      <w:r w:rsidRPr="00B710A9">
        <w:rPr>
          <w:rFonts w:ascii="Arial" w:eastAsia="Arial" w:hAnsi="Arial" w:cs="Arial"/>
          <w:sz w:val="22"/>
          <w:szCs w:val="22"/>
        </w:rPr>
        <w:t>fundamentales para el desarrollo territorial.</w:t>
      </w:r>
    </w:p>
    <w:p w14:paraId="4523159E" w14:textId="2B87A087" w:rsidR="00C67048" w:rsidRPr="00B710A9" w:rsidRDefault="00C32B7F" w:rsidP="00C67048">
      <w:pPr>
        <w:jc w:val="both"/>
        <w:rPr>
          <w:rFonts w:ascii="Arial" w:eastAsia="Arial" w:hAnsi="Arial" w:cs="Arial"/>
          <w:sz w:val="22"/>
          <w:szCs w:val="22"/>
        </w:rPr>
      </w:pPr>
      <w:r>
        <w:rPr>
          <w:rFonts w:ascii="Arial" w:eastAsia="Arial" w:hAnsi="Arial" w:cs="Arial"/>
          <w:sz w:val="22"/>
          <w:szCs w:val="22"/>
        </w:rPr>
        <w:lastRenderedPageBreak/>
        <w:t>A junio de 2022</w:t>
      </w:r>
      <w:r w:rsidR="00C67048" w:rsidRPr="00B710A9">
        <w:rPr>
          <w:rFonts w:ascii="Arial" w:eastAsia="Arial" w:hAnsi="Arial" w:cs="Arial"/>
          <w:sz w:val="22"/>
          <w:szCs w:val="22"/>
        </w:rPr>
        <w:t xml:space="preserve">, el IGAC presentó importantes avances respecto al cumplimiento de las metas del Plan Nacional de Desarrollo </w:t>
      </w:r>
      <w:r w:rsidR="009C6287" w:rsidRPr="00B710A9">
        <w:rPr>
          <w:rFonts w:ascii="Arial" w:eastAsia="Arial" w:hAnsi="Arial" w:cs="Arial"/>
          <w:sz w:val="22"/>
          <w:szCs w:val="22"/>
        </w:rPr>
        <w:t>“Pacto por Colombia, Pacto por la Equidad”</w:t>
      </w:r>
      <w:r w:rsidR="00C67048" w:rsidRPr="00B710A9">
        <w:rPr>
          <w:rFonts w:ascii="Arial" w:eastAsia="Arial" w:hAnsi="Arial" w:cs="Arial"/>
          <w:sz w:val="22"/>
          <w:szCs w:val="22"/>
        </w:rPr>
        <w:t xml:space="preserve">, dentro de las cuales se encuentran, la actualización catastral con enfoque multipropósito del 40,31% del área geográfica del país, correspondiente a 45.988.350 hectáreas; pasando del 5,6% de actualización catastral en la vigencia 2018, al 40,31% en la vigencia 2022 (con corte el mes de junio). </w:t>
      </w:r>
    </w:p>
    <w:p w14:paraId="3C8CF814" w14:textId="18F11DAE" w:rsidR="00C67048" w:rsidRPr="00B710A9" w:rsidRDefault="00C67048" w:rsidP="00C67048">
      <w:pPr>
        <w:jc w:val="both"/>
        <w:rPr>
          <w:rFonts w:ascii="Arial" w:eastAsia="Arial" w:hAnsi="Arial" w:cs="Arial"/>
          <w:sz w:val="22"/>
          <w:szCs w:val="22"/>
        </w:rPr>
      </w:pPr>
      <w:r w:rsidRPr="00B710A9">
        <w:rPr>
          <w:rFonts w:ascii="Arial" w:eastAsia="Arial" w:hAnsi="Arial" w:cs="Arial"/>
          <w:sz w:val="22"/>
          <w:szCs w:val="22"/>
        </w:rPr>
        <w:t xml:space="preserve">Por otro lado, en el marco de la Ley 1955 de 2019, artículo 79, y el Decreto 148 de 2020, el IGAC logró la habilitación de 42 gestores catastrales, superando la meta del cuatrienio establecida en 20 gestores catastrales habilitados. Así mismo, se obtuvo el 63,94% del área geográfica del país con cartografía básica a las escalas y con la temporalidad adecuada, correspondiente a 72.958.065,15 hectáreas, pasando del 1,9% del territorio nacional con cartografía básica al 63,9%, superando el 100% de la meta estipulada por el cuatrienio (61,9%). Esta información es un insumo para el Plan Nacional de Cartografía, que a partir de su formulación orienta la producción cartográfica de acuerdo con las políticas de desarrollo sostenible y a las necesidades en los diferentes territorios del país.  </w:t>
      </w:r>
    </w:p>
    <w:p w14:paraId="6C938FB9" w14:textId="52D11E01" w:rsidR="00C67048" w:rsidRPr="00B710A9" w:rsidRDefault="00C67048" w:rsidP="00C67048">
      <w:pPr>
        <w:jc w:val="both"/>
        <w:rPr>
          <w:rFonts w:ascii="Arial" w:eastAsia="Arial" w:hAnsi="Arial" w:cs="Arial"/>
          <w:sz w:val="22"/>
          <w:szCs w:val="22"/>
        </w:rPr>
      </w:pPr>
      <w:r w:rsidRPr="00B710A9">
        <w:rPr>
          <w:rFonts w:ascii="Arial" w:eastAsia="Arial" w:hAnsi="Arial" w:cs="Arial"/>
          <w:sz w:val="22"/>
          <w:szCs w:val="22"/>
        </w:rPr>
        <w:t>Otro resultado importante es el del cubrimiento de 98.894.730,15 hectáreas del territorio del país con caracterizaciones territoriales, insumo para la actualización catastral y aporte de lineamientos metodológicos y conceptos técnicos para el ordenamiento del territorio. El país pasó de 12,5% del área geográfica del país con caracterización geográfica al 86.7%, superando el 100%</w:t>
      </w:r>
      <w:r w:rsidR="000A5AF8" w:rsidRPr="00B710A9">
        <w:rPr>
          <w:rFonts w:ascii="Arial" w:eastAsia="Arial" w:hAnsi="Arial" w:cs="Arial"/>
          <w:sz w:val="22"/>
          <w:szCs w:val="22"/>
        </w:rPr>
        <w:t xml:space="preserve"> la meta</w:t>
      </w:r>
      <w:r w:rsidRPr="00B710A9">
        <w:rPr>
          <w:rFonts w:ascii="Arial" w:eastAsia="Arial" w:hAnsi="Arial" w:cs="Arial"/>
          <w:sz w:val="22"/>
          <w:szCs w:val="22"/>
        </w:rPr>
        <w:t xml:space="preserve"> del Plan Nacional de Desarrollo definida en 72,5%.</w:t>
      </w:r>
    </w:p>
    <w:p w14:paraId="655ECECE" w14:textId="52D11E01" w:rsidR="00C67048" w:rsidRPr="00B710A9" w:rsidRDefault="00C67048" w:rsidP="00C67048">
      <w:pPr>
        <w:jc w:val="both"/>
        <w:rPr>
          <w:rFonts w:ascii="Arial" w:eastAsia="Arial" w:hAnsi="Arial" w:cs="Arial"/>
          <w:sz w:val="22"/>
          <w:szCs w:val="22"/>
        </w:rPr>
      </w:pPr>
      <w:r w:rsidRPr="00B710A9">
        <w:rPr>
          <w:rFonts w:ascii="Arial" w:eastAsia="Arial" w:hAnsi="Arial" w:cs="Arial"/>
          <w:sz w:val="22"/>
          <w:szCs w:val="22"/>
        </w:rPr>
        <w:t>Finalmente, se destaca el monitoreo de más de 1.684 geoservicios de diferentes entidades nacionales, de los cuales 1.001 se encuentran publicados y en operación. A la fecha, con este resultado obtenido se superó la meta del cuatrienio establecida en 500 geoservicios publicados y disponibles.</w:t>
      </w:r>
    </w:p>
    <w:p w14:paraId="405403B5" w14:textId="02AD725B" w:rsidR="00C67048" w:rsidRPr="00B710A9" w:rsidRDefault="00C67048" w:rsidP="00C67048">
      <w:pPr>
        <w:jc w:val="both"/>
        <w:rPr>
          <w:rFonts w:ascii="Arial" w:eastAsia="Arial" w:hAnsi="Arial" w:cs="Arial"/>
          <w:sz w:val="22"/>
          <w:szCs w:val="22"/>
        </w:rPr>
      </w:pPr>
      <w:r w:rsidRPr="00B710A9">
        <w:rPr>
          <w:rFonts w:ascii="Arial" w:eastAsia="Arial" w:hAnsi="Arial" w:cs="Arial"/>
          <w:sz w:val="22"/>
          <w:szCs w:val="22"/>
        </w:rPr>
        <w:t xml:space="preserve">En este contexto, a continuación, se presentan los principales resultados obtenidos por el IGAC </w:t>
      </w:r>
      <w:r w:rsidR="000E506B" w:rsidRPr="00B710A9">
        <w:rPr>
          <w:rFonts w:ascii="Arial" w:eastAsia="Arial" w:hAnsi="Arial" w:cs="Arial"/>
          <w:sz w:val="22"/>
          <w:szCs w:val="22"/>
        </w:rPr>
        <w:t xml:space="preserve">durante </w:t>
      </w:r>
      <w:r w:rsidRPr="00B710A9">
        <w:rPr>
          <w:rFonts w:ascii="Arial" w:eastAsia="Arial" w:hAnsi="Arial" w:cs="Arial"/>
          <w:sz w:val="22"/>
          <w:szCs w:val="22"/>
        </w:rPr>
        <w:t xml:space="preserve">el </w:t>
      </w:r>
      <w:r w:rsidR="000E506B" w:rsidRPr="00B710A9">
        <w:rPr>
          <w:rFonts w:ascii="Arial" w:eastAsia="Arial" w:hAnsi="Arial" w:cs="Arial"/>
          <w:sz w:val="22"/>
          <w:szCs w:val="22"/>
        </w:rPr>
        <w:t>periodo</w:t>
      </w:r>
      <w:r w:rsidRPr="00B710A9">
        <w:rPr>
          <w:rFonts w:ascii="Arial" w:eastAsia="Arial" w:hAnsi="Arial" w:cs="Arial"/>
          <w:sz w:val="22"/>
          <w:szCs w:val="22"/>
        </w:rPr>
        <w:t xml:space="preserve"> 20</w:t>
      </w:r>
      <w:r w:rsidR="000E506B" w:rsidRPr="00B710A9">
        <w:rPr>
          <w:rFonts w:ascii="Arial" w:eastAsia="Arial" w:hAnsi="Arial" w:cs="Arial"/>
          <w:sz w:val="22"/>
          <w:szCs w:val="22"/>
        </w:rPr>
        <w:t>21</w:t>
      </w:r>
      <w:r w:rsidRPr="00B710A9">
        <w:rPr>
          <w:rFonts w:ascii="Arial" w:eastAsia="Arial" w:hAnsi="Arial" w:cs="Arial"/>
          <w:sz w:val="22"/>
          <w:szCs w:val="22"/>
        </w:rPr>
        <w:t>-2022, enfocados en el cumplimiento de las metas Plan Nacional de Desarrollo – PND, el proceso llevado a cabo para la materialización de la modernización institucional del IGAC, el impacto de la gestión catastral en la administración del territorio, entre otros logros obtenidos.</w:t>
      </w:r>
    </w:p>
    <w:p w14:paraId="72354543" w14:textId="331BF799" w:rsidR="00E841C0" w:rsidRPr="00B710A9" w:rsidRDefault="00E841C0" w:rsidP="00E841C0">
      <w:pPr>
        <w:jc w:val="both"/>
        <w:rPr>
          <w:rFonts w:ascii="Arial" w:eastAsia="Arial" w:hAnsi="Arial" w:cs="Arial"/>
          <w:sz w:val="22"/>
          <w:szCs w:val="22"/>
        </w:rPr>
      </w:pPr>
    </w:p>
    <w:p w14:paraId="00AF07EA" w14:textId="331BF799" w:rsidR="00E841C0" w:rsidRPr="00B710A9" w:rsidRDefault="00E841C0" w:rsidP="00E841C0">
      <w:pPr>
        <w:jc w:val="both"/>
        <w:rPr>
          <w:rFonts w:cs="Arial"/>
          <w:sz w:val="22"/>
          <w:szCs w:val="22"/>
        </w:rPr>
      </w:pPr>
    </w:p>
    <w:p w14:paraId="7DA43DC1" w14:textId="331BF799" w:rsidR="008A143C" w:rsidRPr="00B710A9" w:rsidRDefault="008A143C" w:rsidP="009D279A">
      <w:pPr>
        <w:spacing w:after="0" w:line="240" w:lineRule="auto"/>
      </w:pPr>
    </w:p>
    <w:p w14:paraId="2D65F531" w14:textId="331BF799" w:rsidR="00F86D34" w:rsidRPr="00B710A9" w:rsidRDefault="00F86D34" w:rsidP="72E5DE1E">
      <w:pPr>
        <w:shd w:val="clear" w:color="auto" w:fill="FFFFFF" w:themeFill="background1"/>
        <w:spacing w:after="0" w:line="240" w:lineRule="auto"/>
        <w:jc w:val="both"/>
        <w:rPr>
          <w:rFonts w:asciiTheme="minorHAnsi" w:hAnsiTheme="minorHAnsi" w:cstheme="minorBidi"/>
          <w:color w:val="000000" w:themeColor="text1"/>
        </w:rPr>
      </w:pPr>
    </w:p>
    <w:p w14:paraId="5F2D0D83" w14:textId="7CD6D503" w:rsidR="00F86D34" w:rsidRPr="00B710A9" w:rsidRDefault="00F86D34" w:rsidP="72E5DE1E">
      <w:pPr>
        <w:shd w:val="clear" w:color="auto" w:fill="FFFFFF" w:themeFill="background1"/>
        <w:spacing w:after="0" w:line="240" w:lineRule="auto"/>
        <w:jc w:val="both"/>
        <w:rPr>
          <w:rFonts w:ascii="Arial" w:eastAsia="Arial" w:hAnsi="Arial" w:cs="Arial"/>
          <w:color w:val="FF0000"/>
        </w:rPr>
      </w:pPr>
    </w:p>
    <w:p w14:paraId="1D5CEFCD" w14:textId="16260164" w:rsidR="00190EE5" w:rsidRPr="00B710A9" w:rsidRDefault="00190EE5" w:rsidP="72E5DE1E">
      <w:pPr>
        <w:shd w:val="clear" w:color="auto" w:fill="FFFFFF" w:themeFill="background1"/>
        <w:spacing w:after="0" w:line="240" w:lineRule="auto"/>
        <w:jc w:val="both"/>
        <w:rPr>
          <w:rFonts w:ascii="Arial" w:eastAsia="Arial" w:hAnsi="Arial" w:cs="Arial"/>
          <w:color w:val="FF0000"/>
        </w:rPr>
      </w:pPr>
    </w:p>
    <w:p w14:paraId="23949507" w14:textId="77777777" w:rsidR="00190EE5" w:rsidRPr="00B710A9" w:rsidRDefault="00190EE5" w:rsidP="72E5DE1E">
      <w:pPr>
        <w:shd w:val="clear" w:color="auto" w:fill="FFFFFF" w:themeFill="background1"/>
        <w:spacing w:after="0" w:line="240" w:lineRule="auto"/>
        <w:jc w:val="both"/>
        <w:rPr>
          <w:rFonts w:ascii="Arial" w:eastAsia="Arial" w:hAnsi="Arial" w:cs="Arial"/>
          <w:color w:val="FF0000"/>
        </w:rPr>
      </w:pPr>
    </w:p>
    <w:p w14:paraId="3D557630" w14:textId="77777777" w:rsidR="00190EE5" w:rsidRPr="00B710A9" w:rsidRDefault="00190EE5" w:rsidP="72E5DE1E">
      <w:pPr>
        <w:shd w:val="clear" w:color="auto" w:fill="FFFFFF" w:themeFill="background1"/>
        <w:spacing w:after="0" w:line="240" w:lineRule="auto"/>
        <w:jc w:val="both"/>
        <w:rPr>
          <w:rFonts w:ascii="Arial" w:eastAsia="Arial" w:hAnsi="Arial" w:cs="Arial"/>
          <w:color w:val="FF0000"/>
        </w:rPr>
      </w:pPr>
    </w:p>
    <w:p w14:paraId="0B183980" w14:textId="77777777" w:rsidR="00190EE5" w:rsidRPr="00B710A9" w:rsidRDefault="00190EE5" w:rsidP="72E5DE1E">
      <w:pPr>
        <w:shd w:val="clear" w:color="auto" w:fill="FFFFFF" w:themeFill="background1"/>
        <w:spacing w:after="0" w:line="240" w:lineRule="auto"/>
        <w:jc w:val="both"/>
        <w:rPr>
          <w:rFonts w:ascii="Arial" w:eastAsia="Arial" w:hAnsi="Arial" w:cs="Arial"/>
          <w:color w:val="FF0000"/>
        </w:rPr>
      </w:pPr>
    </w:p>
    <w:p w14:paraId="3D62D8C9" w14:textId="77777777" w:rsidR="00190EE5" w:rsidRPr="00B710A9" w:rsidRDefault="00190EE5" w:rsidP="72E5DE1E">
      <w:pPr>
        <w:shd w:val="clear" w:color="auto" w:fill="FFFFFF" w:themeFill="background1"/>
        <w:spacing w:after="0" w:line="240" w:lineRule="auto"/>
        <w:jc w:val="both"/>
        <w:rPr>
          <w:rFonts w:ascii="Arial" w:eastAsia="Arial" w:hAnsi="Arial" w:cs="Arial"/>
          <w:color w:val="FF0000"/>
        </w:rPr>
      </w:pPr>
    </w:p>
    <w:p w14:paraId="3E45F2D0" w14:textId="77777777" w:rsidR="00190EE5" w:rsidRPr="00B710A9" w:rsidRDefault="00190EE5" w:rsidP="72E5DE1E">
      <w:pPr>
        <w:shd w:val="clear" w:color="auto" w:fill="FFFFFF" w:themeFill="background1"/>
        <w:spacing w:after="0" w:line="240" w:lineRule="auto"/>
        <w:jc w:val="both"/>
        <w:rPr>
          <w:rFonts w:ascii="Arial" w:eastAsia="Arial" w:hAnsi="Arial" w:cs="Arial"/>
          <w:color w:val="FF0000"/>
        </w:rPr>
      </w:pPr>
    </w:p>
    <w:p w14:paraId="5861E108" w14:textId="77777777" w:rsidR="00190EE5" w:rsidRPr="00B710A9" w:rsidRDefault="00190EE5" w:rsidP="72E5DE1E">
      <w:pPr>
        <w:shd w:val="clear" w:color="auto" w:fill="FFFFFF" w:themeFill="background1"/>
        <w:spacing w:after="0" w:line="240" w:lineRule="auto"/>
        <w:jc w:val="both"/>
        <w:rPr>
          <w:rFonts w:ascii="Arial" w:eastAsia="Arial" w:hAnsi="Arial" w:cs="Arial"/>
          <w:color w:val="FF0000"/>
        </w:rPr>
      </w:pPr>
    </w:p>
    <w:p w14:paraId="0E6E5705" w14:textId="77777777" w:rsidR="00190EE5" w:rsidRPr="00B710A9" w:rsidRDefault="00190EE5" w:rsidP="72E5DE1E">
      <w:pPr>
        <w:shd w:val="clear" w:color="auto" w:fill="FFFFFF" w:themeFill="background1"/>
        <w:spacing w:after="0" w:line="240" w:lineRule="auto"/>
        <w:jc w:val="both"/>
        <w:rPr>
          <w:rFonts w:ascii="Arial" w:eastAsia="Arial" w:hAnsi="Arial" w:cs="Arial"/>
          <w:color w:val="FF0000"/>
        </w:rPr>
      </w:pPr>
    </w:p>
    <w:p w14:paraId="7A69474C" w14:textId="7CD6D503" w:rsidR="00C83337" w:rsidRPr="00B710A9" w:rsidRDefault="00C83337" w:rsidP="009D279A">
      <w:pPr>
        <w:shd w:val="clear" w:color="auto" w:fill="FFFFFF" w:themeFill="background1"/>
        <w:spacing w:after="0" w:line="240" w:lineRule="auto"/>
        <w:jc w:val="both"/>
        <w:rPr>
          <w:rFonts w:ascii="Arial" w:eastAsia="Arial" w:hAnsi="Arial" w:cs="Arial"/>
          <w:color w:val="000000" w:themeColor="text1"/>
        </w:rPr>
      </w:pPr>
    </w:p>
    <w:p w14:paraId="7C496F89" w14:textId="2C6249A5" w:rsidR="008C4A23" w:rsidRPr="00B710A9" w:rsidRDefault="00526830" w:rsidP="00356A3E">
      <w:pPr>
        <w:pStyle w:val="Ttulo1"/>
        <w:numPr>
          <w:ilvl w:val="0"/>
          <w:numId w:val="44"/>
        </w:numPr>
        <w:spacing w:before="0" w:after="0" w:line="240" w:lineRule="auto"/>
        <w:rPr>
          <w:rFonts w:ascii="Arial" w:eastAsia="Arial" w:hAnsi="Arial" w:cs="Arial"/>
          <w:color w:val="000000" w:themeColor="text1"/>
          <w:sz w:val="22"/>
          <w:szCs w:val="22"/>
        </w:rPr>
      </w:pPr>
      <w:bookmarkStart w:id="1" w:name="_Toc111485510"/>
      <w:r w:rsidRPr="00B710A9">
        <w:rPr>
          <w:rFonts w:ascii="Arial" w:eastAsia="Arial" w:hAnsi="Arial" w:cs="Arial"/>
          <w:color w:val="000000" w:themeColor="text1"/>
          <w:sz w:val="22"/>
          <w:szCs w:val="22"/>
        </w:rPr>
        <w:lastRenderedPageBreak/>
        <w:t>LOS MANDADOS</w:t>
      </w:r>
      <w:bookmarkEnd w:id="1"/>
    </w:p>
    <w:p w14:paraId="51B01BDA" w14:textId="77777777" w:rsidR="00807946" w:rsidRPr="00B710A9" w:rsidRDefault="00807946" w:rsidP="009D279A">
      <w:pPr>
        <w:spacing w:after="0" w:line="240" w:lineRule="auto"/>
        <w:rPr>
          <w:rFonts w:ascii="Arial" w:eastAsia="Arial" w:hAnsi="Arial" w:cs="Arial"/>
          <w:color w:val="000000" w:themeColor="text1"/>
          <w:sz w:val="22"/>
          <w:szCs w:val="22"/>
        </w:rPr>
      </w:pPr>
    </w:p>
    <w:p w14:paraId="761C51C0" w14:textId="122ED62E" w:rsidR="00807946" w:rsidRPr="00B710A9" w:rsidRDefault="00526830" w:rsidP="00356A3E">
      <w:pPr>
        <w:pStyle w:val="Ttulo2"/>
        <w:numPr>
          <w:ilvl w:val="1"/>
          <w:numId w:val="44"/>
        </w:numPr>
        <w:spacing w:before="0" w:after="0" w:line="240" w:lineRule="auto"/>
        <w:jc w:val="both"/>
        <w:rPr>
          <w:rFonts w:ascii="Arial" w:eastAsia="Arial" w:hAnsi="Arial" w:cs="Arial"/>
          <w:i/>
          <w:color w:val="000000" w:themeColor="text1"/>
          <w:sz w:val="22"/>
          <w:szCs w:val="22"/>
        </w:rPr>
      </w:pPr>
      <w:bookmarkStart w:id="2" w:name="_Toc111485511"/>
      <w:r w:rsidRPr="00B710A9">
        <w:rPr>
          <w:rFonts w:ascii="Arial" w:eastAsia="Arial" w:hAnsi="Arial" w:cs="Arial"/>
          <w:color w:val="000000" w:themeColor="text1"/>
          <w:sz w:val="22"/>
          <w:szCs w:val="22"/>
        </w:rPr>
        <w:t>Información para todos</w:t>
      </w:r>
      <w:bookmarkEnd w:id="2"/>
      <w:r w:rsidRPr="00B710A9">
        <w:rPr>
          <w:rFonts w:ascii="Arial" w:eastAsia="Arial" w:hAnsi="Arial" w:cs="Arial"/>
          <w:color w:val="000000" w:themeColor="text1"/>
          <w:sz w:val="22"/>
          <w:szCs w:val="22"/>
        </w:rPr>
        <w:t xml:space="preserve"> </w:t>
      </w:r>
    </w:p>
    <w:p w14:paraId="2848DDE5" w14:textId="0CF54256" w:rsidR="008C4A23" w:rsidRPr="00B710A9" w:rsidRDefault="00526830" w:rsidP="009D279A">
      <w:pPr>
        <w:spacing w:after="0" w:line="240" w:lineRule="auto"/>
        <w:ind w:left="765"/>
        <w:jc w:val="right"/>
        <w:rPr>
          <w:rFonts w:ascii="Arial" w:eastAsia="Arial" w:hAnsi="Arial" w:cs="Arial"/>
          <w:i/>
          <w:color w:val="000000" w:themeColor="text1"/>
          <w:sz w:val="22"/>
          <w:szCs w:val="22"/>
        </w:rPr>
      </w:pPr>
      <w:r w:rsidRPr="00B710A9">
        <w:rPr>
          <w:rFonts w:ascii="Arial" w:eastAsia="Arial" w:hAnsi="Arial" w:cs="Arial"/>
          <w:i/>
          <w:color w:val="000000" w:themeColor="text1"/>
          <w:sz w:val="22"/>
          <w:szCs w:val="22"/>
        </w:rPr>
        <w:t xml:space="preserve">Acciones que permiten poner a disposición de la gente información nueva, </w:t>
      </w:r>
      <w:r w:rsidR="00E22EF0" w:rsidRPr="00B710A9">
        <w:rPr>
          <w:rFonts w:ascii="Arial" w:eastAsia="Arial" w:hAnsi="Arial" w:cs="Arial"/>
          <w:i/>
          <w:color w:val="000000" w:themeColor="text1"/>
          <w:sz w:val="22"/>
          <w:szCs w:val="22"/>
        </w:rPr>
        <w:t>más precisa o actualizada</w:t>
      </w:r>
      <w:r w:rsidRPr="00B710A9">
        <w:rPr>
          <w:rFonts w:ascii="Arial" w:eastAsia="Arial" w:hAnsi="Arial" w:cs="Arial"/>
          <w:i/>
          <w:color w:val="000000" w:themeColor="text1"/>
          <w:sz w:val="22"/>
          <w:szCs w:val="22"/>
        </w:rPr>
        <w:t>, o mejorar los canales de acceso a la información.</w:t>
      </w:r>
    </w:p>
    <w:p w14:paraId="0E756F3D" w14:textId="77777777" w:rsidR="008C4A23" w:rsidRPr="00B710A9" w:rsidRDefault="008C4A23" w:rsidP="009D279A">
      <w:pPr>
        <w:pBdr>
          <w:top w:val="nil"/>
          <w:left w:val="nil"/>
          <w:bottom w:val="nil"/>
          <w:right w:val="nil"/>
          <w:between w:val="nil"/>
        </w:pBdr>
        <w:spacing w:after="0" w:line="240" w:lineRule="auto"/>
        <w:ind w:left="360"/>
        <w:jc w:val="both"/>
        <w:rPr>
          <w:rFonts w:ascii="Arial" w:eastAsia="Arial" w:hAnsi="Arial" w:cs="Arial"/>
          <w:color w:val="000000" w:themeColor="text1"/>
          <w:sz w:val="22"/>
          <w:szCs w:val="22"/>
        </w:rPr>
      </w:pPr>
    </w:p>
    <w:p w14:paraId="4A3930DB" w14:textId="686483B1" w:rsidR="008C4A23" w:rsidRPr="00B710A9" w:rsidRDefault="00526830"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El IGAC a través</w:t>
      </w:r>
      <w:r w:rsidRPr="00B710A9">
        <w:rPr>
          <w:rFonts w:ascii="Arial" w:eastAsia="Arial" w:hAnsi="Arial" w:cs="Arial"/>
          <w:b/>
          <w:color w:val="000000" w:themeColor="text1"/>
          <w:sz w:val="22"/>
          <w:szCs w:val="22"/>
        </w:rPr>
        <w:t xml:space="preserve"> </w:t>
      </w:r>
      <w:r w:rsidRPr="00B710A9">
        <w:rPr>
          <w:rFonts w:ascii="Arial" w:eastAsia="Arial" w:hAnsi="Arial" w:cs="Arial"/>
          <w:color w:val="000000" w:themeColor="text1"/>
          <w:sz w:val="22"/>
          <w:szCs w:val="22"/>
        </w:rPr>
        <w:t>de</w:t>
      </w:r>
      <w:r w:rsidR="00605388" w:rsidRPr="00B710A9">
        <w:rPr>
          <w:rFonts w:ascii="Arial" w:eastAsia="Arial" w:hAnsi="Arial" w:cs="Arial"/>
          <w:color w:val="000000" w:themeColor="text1"/>
          <w:sz w:val="22"/>
          <w:szCs w:val="22"/>
        </w:rPr>
        <w:t xml:space="preserve"> la Dirección de Investigación y Prospectiva, la Dirección de Gestión de Información Geográfica</w:t>
      </w:r>
      <w:r w:rsidRPr="00B710A9">
        <w:rPr>
          <w:rFonts w:ascii="Arial" w:eastAsia="Arial" w:hAnsi="Arial" w:cs="Arial"/>
          <w:color w:val="000000" w:themeColor="text1"/>
          <w:sz w:val="22"/>
          <w:szCs w:val="22"/>
        </w:rPr>
        <w:t xml:space="preserve">, la </w:t>
      </w:r>
      <w:r w:rsidR="00605388" w:rsidRPr="00B710A9">
        <w:rPr>
          <w:rFonts w:ascii="Arial" w:eastAsia="Arial" w:hAnsi="Arial" w:cs="Arial"/>
          <w:color w:val="000000" w:themeColor="text1"/>
          <w:sz w:val="22"/>
          <w:szCs w:val="22"/>
        </w:rPr>
        <w:t>Dirección de Gestión Catastral y la Oficina Asesora de Comunicaciones</w:t>
      </w:r>
      <w:r w:rsidRPr="00B710A9">
        <w:rPr>
          <w:rFonts w:ascii="Arial" w:eastAsia="Arial" w:hAnsi="Arial" w:cs="Arial"/>
          <w:color w:val="000000" w:themeColor="text1"/>
          <w:sz w:val="22"/>
          <w:szCs w:val="22"/>
        </w:rPr>
        <w:t>, pone a disposición de la ciudadanía información nueva, precisa y actualizada por medio del fortalecimiento y la mejora de los diversos canales de acceso a la información producida por la entidad.</w:t>
      </w:r>
    </w:p>
    <w:p w14:paraId="0F141628" w14:textId="77777777" w:rsidR="008C4A23" w:rsidRPr="00B710A9" w:rsidRDefault="008C4A23" w:rsidP="009D279A">
      <w:pPr>
        <w:spacing w:after="0" w:line="240" w:lineRule="auto"/>
        <w:jc w:val="both"/>
        <w:rPr>
          <w:rFonts w:ascii="Arial" w:eastAsia="Arial" w:hAnsi="Arial" w:cs="Arial"/>
          <w:color w:val="000000" w:themeColor="text1"/>
          <w:sz w:val="22"/>
          <w:szCs w:val="22"/>
        </w:rPr>
      </w:pPr>
    </w:p>
    <w:p w14:paraId="10A2B2C8" w14:textId="77777777" w:rsidR="008C4A23" w:rsidRPr="00B710A9" w:rsidRDefault="00526830" w:rsidP="009D279A">
      <w:pPr>
        <w:spacing w:after="0" w:line="240" w:lineRule="auto"/>
        <w:jc w:val="both"/>
        <w:rPr>
          <w:rFonts w:ascii="Arial" w:eastAsia="Arial" w:hAnsi="Arial" w:cs="Arial"/>
          <w:b/>
          <w:color w:val="000000" w:themeColor="text1"/>
          <w:sz w:val="22"/>
          <w:szCs w:val="22"/>
        </w:rPr>
      </w:pPr>
      <w:r w:rsidRPr="00B710A9">
        <w:rPr>
          <w:rFonts w:ascii="Arial" w:eastAsia="Arial" w:hAnsi="Arial" w:cs="Arial"/>
          <w:b/>
          <w:color w:val="000000" w:themeColor="text1"/>
          <w:sz w:val="22"/>
          <w:szCs w:val="22"/>
        </w:rPr>
        <w:t>Logros del mandado:</w:t>
      </w:r>
    </w:p>
    <w:p w14:paraId="4CB1699D" w14:textId="77777777" w:rsidR="008C4A23" w:rsidRPr="00B710A9" w:rsidRDefault="008C4A23" w:rsidP="009D279A">
      <w:pPr>
        <w:spacing w:after="0" w:line="240" w:lineRule="auto"/>
        <w:ind w:left="360"/>
        <w:jc w:val="both"/>
        <w:rPr>
          <w:rFonts w:ascii="Arial" w:eastAsia="Arial" w:hAnsi="Arial" w:cs="Arial"/>
          <w:b/>
          <w:color w:val="000000" w:themeColor="text1"/>
          <w:sz w:val="22"/>
          <w:szCs w:val="22"/>
        </w:rPr>
      </w:pPr>
    </w:p>
    <w:p w14:paraId="4D2D8666" w14:textId="4405CCF0" w:rsidR="008C4A23" w:rsidRPr="00B710A9" w:rsidRDefault="00526830" w:rsidP="00356A3E">
      <w:pPr>
        <w:numPr>
          <w:ilvl w:val="0"/>
          <w:numId w:val="41"/>
        </w:numPr>
        <w:spacing w:after="0" w:line="240" w:lineRule="auto"/>
        <w:jc w:val="both"/>
        <w:rPr>
          <w:rFonts w:ascii="Arial" w:eastAsia="Arial" w:hAnsi="Arial" w:cs="Arial"/>
          <w:b/>
          <w:color w:val="000000" w:themeColor="text1"/>
          <w:sz w:val="22"/>
          <w:szCs w:val="22"/>
        </w:rPr>
      </w:pPr>
      <w:r w:rsidRPr="00B710A9">
        <w:rPr>
          <w:rFonts w:ascii="Arial" w:eastAsia="Arial" w:hAnsi="Arial" w:cs="Arial"/>
          <w:b/>
          <w:color w:val="000000" w:themeColor="text1"/>
          <w:sz w:val="22"/>
          <w:szCs w:val="22"/>
        </w:rPr>
        <w:t xml:space="preserve">Geoservicios </w:t>
      </w:r>
      <w:r w:rsidR="00F86D34" w:rsidRPr="00B710A9">
        <w:rPr>
          <w:rFonts w:ascii="Arial" w:eastAsia="Arial" w:hAnsi="Arial" w:cs="Arial"/>
          <w:b/>
          <w:color w:val="000000" w:themeColor="text1"/>
          <w:sz w:val="22"/>
          <w:szCs w:val="22"/>
        </w:rPr>
        <w:t xml:space="preserve">disponibles </w:t>
      </w:r>
      <w:r w:rsidRPr="00B710A9">
        <w:rPr>
          <w:rFonts w:ascii="Arial" w:eastAsia="Arial" w:hAnsi="Arial" w:cs="Arial"/>
          <w:b/>
          <w:color w:val="000000" w:themeColor="text1"/>
          <w:sz w:val="22"/>
          <w:szCs w:val="22"/>
        </w:rPr>
        <w:t>y publicados</w:t>
      </w:r>
    </w:p>
    <w:p w14:paraId="456992EC" w14:textId="77777777" w:rsidR="00F86D34" w:rsidRPr="00B710A9" w:rsidRDefault="00F86D34" w:rsidP="009D279A">
      <w:pPr>
        <w:spacing w:after="0" w:line="240" w:lineRule="auto"/>
        <w:ind w:left="720"/>
        <w:jc w:val="both"/>
        <w:rPr>
          <w:rFonts w:ascii="Arial" w:eastAsia="Arial" w:hAnsi="Arial" w:cs="Arial"/>
          <w:b/>
          <w:color w:val="000000" w:themeColor="text1"/>
          <w:sz w:val="22"/>
          <w:szCs w:val="22"/>
        </w:rPr>
      </w:pPr>
    </w:p>
    <w:p w14:paraId="0EABFB81" w14:textId="11A04321" w:rsidR="005E7314" w:rsidRPr="00B710A9" w:rsidRDefault="00491526" w:rsidP="009D279A">
      <w:pPr>
        <w:spacing w:after="0" w:line="240" w:lineRule="auto"/>
        <w:jc w:val="both"/>
        <w:textAlignment w:val="baseline"/>
        <w:rPr>
          <w:rFonts w:ascii="Arial" w:eastAsia="Arial" w:hAnsi="Arial" w:cs="Arial"/>
          <w:color w:val="000000" w:themeColor="text1"/>
          <w:sz w:val="22"/>
          <w:szCs w:val="22"/>
        </w:rPr>
      </w:pPr>
      <w:r w:rsidRPr="00B710A9">
        <w:rPr>
          <w:rFonts w:ascii="Arial" w:eastAsia="Arial" w:hAnsi="Arial" w:cs="Arial"/>
          <w:color w:val="000000" w:themeColor="text1"/>
          <w:sz w:val="22"/>
          <w:szCs w:val="22"/>
          <w:lang w:val="es"/>
        </w:rPr>
        <w:t>Durante la vigencia 2021 - 2022</w:t>
      </w:r>
      <w:r w:rsidR="43244DDB" w:rsidRPr="00B710A9">
        <w:rPr>
          <w:rFonts w:ascii="Arial" w:eastAsia="Arial" w:hAnsi="Arial" w:cs="Arial"/>
          <w:color w:val="000000" w:themeColor="text1"/>
          <w:sz w:val="22"/>
          <w:szCs w:val="22"/>
          <w:lang w:val="es"/>
        </w:rPr>
        <w:t xml:space="preserve"> se realizó la publicación y disposición de</w:t>
      </w:r>
      <w:r w:rsidR="43244DDB" w:rsidRPr="00B710A9">
        <w:rPr>
          <w:rFonts w:ascii="Arial" w:eastAsia="Arial" w:hAnsi="Arial" w:cs="Arial"/>
          <w:color w:val="FF0000"/>
          <w:sz w:val="22"/>
          <w:szCs w:val="22"/>
          <w:lang w:val="es"/>
        </w:rPr>
        <w:t xml:space="preserve"> </w:t>
      </w:r>
      <w:r w:rsidRPr="00B710A9">
        <w:rPr>
          <w:rFonts w:ascii="Arial" w:eastAsia="Arial" w:hAnsi="Arial" w:cs="Arial"/>
          <w:b/>
          <w:sz w:val="22"/>
          <w:szCs w:val="22"/>
          <w:lang w:val="es"/>
        </w:rPr>
        <w:t>1.001</w:t>
      </w:r>
      <w:r w:rsidR="43244DDB" w:rsidRPr="00B710A9">
        <w:rPr>
          <w:rFonts w:ascii="Arial" w:eastAsia="Arial" w:hAnsi="Arial" w:cs="Arial"/>
          <w:sz w:val="22"/>
          <w:szCs w:val="22"/>
          <w:lang w:val="es"/>
        </w:rPr>
        <w:t xml:space="preserve"> </w:t>
      </w:r>
      <w:r w:rsidR="43244DDB" w:rsidRPr="00B710A9">
        <w:rPr>
          <w:rFonts w:ascii="Arial" w:eastAsia="Arial" w:hAnsi="Arial" w:cs="Arial"/>
          <w:color w:val="000000" w:themeColor="text1"/>
          <w:sz w:val="22"/>
          <w:szCs w:val="22"/>
          <w:lang w:val="es"/>
        </w:rPr>
        <w:t>geoservicios de diferentes entidades productoras de información geográfica en el Portal Geográfico Nacional – PGN.</w:t>
      </w:r>
    </w:p>
    <w:p w14:paraId="70B4FEF9" w14:textId="77777777" w:rsidR="009D279A" w:rsidRPr="00B710A9" w:rsidRDefault="009D279A" w:rsidP="009D279A">
      <w:pPr>
        <w:spacing w:after="0" w:line="240" w:lineRule="auto"/>
        <w:jc w:val="both"/>
        <w:textAlignment w:val="baseline"/>
        <w:rPr>
          <w:rFonts w:ascii="Arial" w:eastAsia="Arial" w:hAnsi="Arial" w:cs="Arial"/>
          <w:color w:val="000000" w:themeColor="text1"/>
          <w:sz w:val="22"/>
          <w:szCs w:val="22"/>
          <w:lang w:val="es"/>
        </w:rPr>
      </w:pPr>
    </w:p>
    <w:p w14:paraId="7812519B" w14:textId="3292AE11" w:rsidR="005E7314" w:rsidRPr="00B710A9" w:rsidRDefault="43244DDB" w:rsidP="009D279A">
      <w:pPr>
        <w:spacing w:after="0" w:line="240" w:lineRule="auto"/>
        <w:jc w:val="both"/>
        <w:textAlignment w:val="baseline"/>
        <w:rPr>
          <w:rFonts w:ascii="Arial" w:eastAsia="Arial" w:hAnsi="Arial" w:cs="Arial"/>
          <w:color w:val="000000" w:themeColor="text1"/>
          <w:sz w:val="22"/>
          <w:szCs w:val="22"/>
        </w:rPr>
      </w:pPr>
      <w:r w:rsidRPr="00B710A9">
        <w:rPr>
          <w:rFonts w:ascii="Arial" w:eastAsia="Arial" w:hAnsi="Arial" w:cs="Arial"/>
          <w:color w:val="000000" w:themeColor="text1"/>
          <w:sz w:val="22"/>
          <w:szCs w:val="22"/>
          <w:lang w:val="es"/>
        </w:rPr>
        <w:t xml:space="preserve">En este periodo, se desarrolló e implementó la herramienta </w:t>
      </w:r>
      <w:proofErr w:type="spellStart"/>
      <w:r w:rsidRPr="00B710A9">
        <w:rPr>
          <w:rStyle w:val="normaltextrun"/>
          <w:rFonts w:ascii="Arial" w:eastAsia="Arial" w:hAnsi="Arial" w:cs="Arial"/>
          <w:color w:val="000000" w:themeColor="text1"/>
          <w:sz w:val="22"/>
          <w:szCs w:val="22"/>
        </w:rPr>
        <w:t>GeoHealthCheck</w:t>
      </w:r>
      <w:proofErr w:type="spellEnd"/>
      <w:r w:rsidRPr="00B710A9">
        <w:rPr>
          <w:rStyle w:val="normaltextrun"/>
          <w:rFonts w:ascii="Arial" w:eastAsia="Arial" w:hAnsi="Arial" w:cs="Arial"/>
          <w:color w:val="000000" w:themeColor="text1"/>
          <w:sz w:val="22"/>
          <w:szCs w:val="22"/>
        </w:rPr>
        <w:t>, la cual permitió automatizar el proceso de monitoreo de los geoservicios, optimizar los tiempos en la revisión de las URL que componen cada uno de estos y reportar en tiempo real cuando un </w:t>
      </w:r>
      <w:proofErr w:type="spellStart"/>
      <w:r w:rsidRPr="00B710A9">
        <w:rPr>
          <w:rStyle w:val="normaltextrun"/>
          <w:rFonts w:ascii="Arial" w:eastAsia="Arial" w:hAnsi="Arial" w:cs="Arial"/>
          <w:color w:val="000000" w:themeColor="text1"/>
          <w:sz w:val="22"/>
          <w:szCs w:val="22"/>
        </w:rPr>
        <w:t>geoservicio</w:t>
      </w:r>
      <w:proofErr w:type="spellEnd"/>
      <w:r w:rsidRPr="00B710A9">
        <w:rPr>
          <w:rStyle w:val="normaltextrun"/>
          <w:rFonts w:ascii="Arial" w:eastAsia="Arial" w:hAnsi="Arial" w:cs="Arial"/>
          <w:color w:val="000000" w:themeColor="text1"/>
          <w:sz w:val="22"/>
          <w:szCs w:val="22"/>
        </w:rPr>
        <w:t> presenta problemas o se encuentra sin conexión. Con el desarrollo de esta herramienta el IGAC logró ampliar la meta del cuatrienio 2018-2022 del Plan Nacional de Desarrollo</w:t>
      </w:r>
      <w:r w:rsidR="2EBFBB1A" w:rsidRPr="00B710A9">
        <w:rPr>
          <w:rStyle w:val="normaltextrun"/>
          <w:rFonts w:ascii="Arial" w:eastAsia="Arial" w:hAnsi="Arial" w:cs="Arial"/>
          <w:color w:val="000000" w:themeColor="text1"/>
          <w:sz w:val="22"/>
          <w:szCs w:val="22"/>
        </w:rPr>
        <w:t>,</w:t>
      </w:r>
      <w:r w:rsidRPr="00B710A9">
        <w:rPr>
          <w:rStyle w:val="normaltextrun"/>
          <w:rFonts w:ascii="Arial" w:eastAsia="Arial" w:hAnsi="Arial" w:cs="Arial"/>
          <w:color w:val="000000" w:themeColor="text1"/>
          <w:sz w:val="22"/>
          <w:szCs w:val="22"/>
        </w:rPr>
        <w:t xml:space="preserve"> de 250 geoservicios publicados y disponibles a 500 geoservicios publicados y disponibles </w:t>
      </w:r>
      <w:r w:rsidRPr="00B710A9">
        <w:rPr>
          <w:rFonts w:ascii="Arial" w:eastAsia="Arial" w:hAnsi="Arial" w:cs="Arial"/>
          <w:color w:val="000000" w:themeColor="text1"/>
          <w:sz w:val="22"/>
          <w:szCs w:val="22"/>
          <w:lang w:val="es"/>
        </w:rPr>
        <w:t>en el Portal Geográfico Nacional – PGN</w:t>
      </w:r>
      <w:r w:rsidRPr="00B710A9">
        <w:rPr>
          <w:rStyle w:val="normaltextrun"/>
          <w:rFonts w:ascii="Arial" w:eastAsia="Arial" w:hAnsi="Arial" w:cs="Arial"/>
          <w:color w:val="000000" w:themeColor="text1"/>
          <w:sz w:val="22"/>
          <w:szCs w:val="22"/>
        </w:rPr>
        <w:t>. A la fecha del presente informe,</w:t>
      </w:r>
      <w:r w:rsidR="00491526" w:rsidRPr="00B710A9">
        <w:rPr>
          <w:rFonts w:ascii="Arial" w:eastAsia="Arial" w:hAnsi="Arial" w:cs="Arial"/>
          <w:color w:val="000000" w:themeColor="text1"/>
          <w:sz w:val="22"/>
          <w:szCs w:val="22"/>
          <w:lang w:val="es"/>
        </w:rPr>
        <w:t xml:space="preserve"> se cumplió con la meta del cuatrienio en </w:t>
      </w:r>
      <w:r w:rsidR="002D19D2" w:rsidRPr="00B710A9">
        <w:rPr>
          <w:rFonts w:ascii="Arial" w:eastAsia="Arial" w:hAnsi="Arial" w:cs="Arial"/>
          <w:color w:val="000000" w:themeColor="text1"/>
          <w:sz w:val="22"/>
          <w:szCs w:val="22"/>
          <w:lang w:val="es"/>
        </w:rPr>
        <w:t>200%.</w:t>
      </w:r>
    </w:p>
    <w:p w14:paraId="107F0AB8" w14:textId="77777777" w:rsidR="009D279A" w:rsidRPr="00B710A9" w:rsidRDefault="009D279A" w:rsidP="009D279A">
      <w:pPr>
        <w:spacing w:after="0" w:line="240" w:lineRule="auto"/>
        <w:jc w:val="both"/>
        <w:textAlignment w:val="baseline"/>
        <w:rPr>
          <w:rStyle w:val="normaltextrun"/>
          <w:rFonts w:ascii="Arial" w:eastAsia="Arial" w:hAnsi="Arial" w:cs="Arial"/>
          <w:color w:val="000000" w:themeColor="text1"/>
          <w:sz w:val="22"/>
          <w:szCs w:val="22"/>
        </w:rPr>
      </w:pPr>
    </w:p>
    <w:p w14:paraId="0ACE3493" w14:textId="014AF137" w:rsidR="005E7314" w:rsidRPr="00B710A9" w:rsidRDefault="001B46D7" w:rsidP="009D279A">
      <w:pPr>
        <w:spacing w:after="0" w:line="240" w:lineRule="auto"/>
        <w:jc w:val="both"/>
        <w:textAlignment w:val="baseline"/>
        <w:rPr>
          <w:rFonts w:ascii="Arial" w:eastAsia="Arial" w:hAnsi="Arial" w:cs="Arial"/>
          <w:color w:val="000000" w:themeColor="text1"/>
          <w:sz w:val="22"/>
          <w:szCs w:val="22"/>
        </w:rPr>
      </w:pPr>
      <w:r w:rsidRPr="00B710A9">
        <w:rPr>
          <w:rStyle w:val="normaltextrun"/>
          <w:rFonts w:ascii="Arial" w:eastAsia="Arial" w:hAnsi="Arial" w:cs="Arial"/>
          <w:color w:val="000000" w:themeColor="text1"/>
          <w:sz w:val="22"/>
          <w:szCs w:val="22"/>
        </w:rPr>
        <w:t>Así mismo, se realizó</w:t>
      </w:r>
      <w:r w:rsidR="5642A78F" w:rsidRPr="00B710A9">
        <w:rPr>
          <w:rStyle w:val="normaltextrun"/>
          <w:rFonts w:ascii="Arial" w:eastAsia="Arial" w:hAnsi="Arial" w:cs="Arial"/>
          <w:color w:val="000000" w:themeColor="text1"/>
          <w:sz w:val="22"/>
          <w:szCs w:val="22"/>
        </w:rPr>
        <w:t xml:space="preserve"> la migración de los geoservicios del Portal Geográfico Nacional al nuevo Portal Colombia en Mapas, este último fue construido </w:t>
      </w:r>
      <w:r w:rsidR="5642A78F" w:rsidRPr="00B710A9">
        <w:rPr>
          <w:rFonts w:ascii="Arial" w:eastAsia="Arial" w:hAnsi="Arial" w:cs="Arial"/>
          <w:color w:val="000000" w:themeColor="text1"/>
          <w:sz w:val="22"/>
          <w:szCs w:val="22"/>
        </w:rPr>
        <w:t>para que todos los colombianos puedan consumir datos, productos y servicios geográficos que dispone y produce el IGAC y todas las entidades nacionales, regionales y locales que generan datos del territorio, en una sola herramienta. </w:t>
      </w:r>
    </w:p>
    <w:p w14:paraId="5075EEFC" w14:textId="77777777" w:rsidR="008C4A23" w:rsidRPr="00B710A9" w:rsidRDefault="008C4A23" w:rsidP="009D279A">
      <w:pPr>
        <w:spacing w:after="0" w:line="240" w:lineRule="auto"/>
        <w:jc w:val="both"/>
        <w:rPr>
          <w:rFonts w:ascii="Arial" w:eastAsia="Arial" w:hAnsi="Arial" w:cs="Arial"/>
          <w:color w:val="000000" w:themeColor="text1"/>
          <w:sz w:val="22"/>
          <w:szCs w:val="22"/>
        </w:rPr>
      </w:pPr>
    </w:p>
    <w:p w14:paraId="496FEA5A" w14:textId="71ADEE60" w:rsidR="00526830" w:rsidRPr="00B710A9" w:rsidRDefault="00526830" w:rsidP="00356A3E">
      <w:pPr>
        <w:numPr>
          <w:ilvl w:val="0"/>
          <w:numId w:val="42"/>
        </w:numPr>
        <w:spacing w:after="0" w:line="240" w:lineRule="auto"/>
        <w:jc w:val="both"/>
        <w:rPr>
          <w:rFonts w:ascii="Arial" w:eastAsia="Arial" w:hAnsi="Arial" w:cs="Arial"/>
          <w:b/>
          <w:color w:val="000000" w:themeColor="text1"/>
          <w:sz w:val="22"/>
          <w:szCs w:val="22"/>
        </w:rPr>
      </w:pPr>
      <w:r w:rsidRPr="00B710A9">
        <w:rPr>
          <w:rFonts w:ascii="Arial" w:eastAsia="Arial" w:hAnsi="Arial" w:cs="Arial"/>
          <w:b/>
          <w:color w:val="000000" w:themeColor="text1"/>
          <w:sz w:val="22"/>
          <w:szCs w:val="22"/>
        </w:rPr>
        <w:t xml:space="preserve">Sistemas de </w:t>
      </w:r>
      <w:r w:rsidR="00F86D34" w:rsidRPr="00B710A9">
        <w:rPr>
          <w:rFonts w:ascii="Arial" w:eastAsia="Arial" w:hAnsi="Arial" w:cs="Arial"/>
          <w:b/>
          <w:color w:val="000000" w:themeColor="text1"/>
          <w:sz w:val="22"/>
          <w:szCs w:val="22"/>
        </w:rPr>
        <w:t xml:space="preserve">Información Geográfica </w:t>
      </w:r>
      <w:r w:rsidR="00B6209C" w:rsidRPr="00B710A9">
        <w:rPr>
          <w:rFonts w:ascii="Arial" w:eastAsia="Arial" w:hAnsi="Arial" w:cs="Arial"/>
          <w:b/>
          <w:color w:val="000000" w:themeColor="text1"/>
          <w:sz w:val="22"/>
          <w:szCs w:val="22"/>
        </w:rPr>
        <w:t xml:space="preserve">(SIG) </w:t>
      </w:r>
      <w:r w:rsidR="003659DD" w:rsidRPr="00B710A9">
        <w:rPr>
          <w:rFonts w:ascii="Arial" w:eastAsia="Arial" w:hAnsi="Arial" w:cs="Arial"/>
          <w:b/>
          <w:color w:val="000000" w:themeColor="text1"/>
          <w:sz w:val="22"/>
          <w:szCs w:val="22"/>
        </w:rPr>
        <w:t>para el fortalecimiento de la Infraestructura Colombiana de Datos</w:t>
      </w:r>
    </w:p>
    <w:p w14:paraId="3F9AD3EC" w14:textId="031D22C0" w:rsidR="19B98323" w:rsidRPr="00B710A9" w:rsidRDefault="19B98323" w:rsidP="009D279A">
      <w:pPr>
        <w:spacing w:after="0" w:line="240" w:lineRule="auto"/>
        <w:jc w:val="both"/>
        <w:rPr>
          <w:rFonts w:ascii="Arial" w:eastAsia="Arial" w:hAnsi="Arial" w:cs="Arial"/>
          <w:b/>
          <w:color w:val="000000" w:themeColor="text1"/>
          <w:sz w:val="22"/>
          <w:szCs w:val="22"/>
        </w:rPr>
      </w:pPr>
    </w:p>
    <w:p w14:paraId="1DC09F85" w14:textId="50CFE6D3" w:rsidR="6DE8D26D" w:rsidRPr="00B710A9" w:rsidRDefault="6DE8D26D"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Desde </w:t>
      </w:r>
      <w:r w:rsidR="00EB61F1" w:rsidRPr="00B710A9">
        <w:rPr>
          <w:rFonts w:ascii="Arial" w:eastAsia="Arial" w:hAnsi="Arial" w:cs="Arial"/>
          <w:color w:val="000000" w:themeColor="text1"/>
          <w:sz w:val="22"/>
          <w:szCs w:val="22"/>
        </w:rPr>
        <w:t>la Dirección de Investigación y Prospectiva</w:t>
      </w:r>
      <w:r w:rsidRPr="00B710A9">
        <w:rPr>
          <w:rFonts w:ascii="Arial" w:eastAsia="Arial" w:hAnsi="Arial" w:cs="Arial"/>
          <w:color w:val="000000" w:themeColor="text1"/>
          <w:sz w:val="22"/>
          <w:szCs w:val="22"/>
        </w:rPr>
        <w:t xml:space="preserve"> se potencia la investigación y la aplicación de tecnologías SIG, de forma tal que se logre la vinculación adecuada, efectiva y creciente entre la ciencia, la tecnología y las necesidades del país, de esta manera el principal propósito es desarrollar, transferir y adoptar tecnologías y procesos que permitan una mayor eficiencia en la gestión de la información espacial.</w:t>
      </w:r>
    </w:p>
    <w:p w14:paraId="70E4AE33" w14:textId="50CFE6D3" w:rsidR="00EB61F1" w:rsidRPr="00B710A9" w:rsidRDefault="00EB61F1" w:rsidP="009D279A">
      <w:pPr>
        <w:spacing w:after="0" w:line="240" w:lineRule="auto"/>
        <w:jc w:val="both"/>
        <w:rPr>
          <w:rFonts w:ascii="Arial" w:eastAsia="Arial" w:hAnsi="Arial" w:cs="Arial"/>
          <w:color w:val="000000" w:themeColor="text1"/>
          <w:sz w:val="22"/>
          <w:szCs w:val="22"/>
        </w:rPr>
      </w:pPr>
    </w:p>
    <w:p w14:paraId="44ECBE06" w14:textId="5B848833" w:rsidR="6DE8D26D" w:rsidRPr="00B710A9" w:rsidRDefault="6DE8D26D"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Durante el período 202</w:t>
      </w:r>
      <w:r w:rsidR="00EB61F1" w:rsidRPr="00B710A9">
        <w:rPr>
          <w:rFonts w:ascii="Arial" w:eastAsia="Arial" w:hAnsi="Arial" w:cs="Arial"/>
          <w:color w:val="000000" w:themeColor="text1"/>
          <w:sz w:val="22"/>
          <w:szCs w:val="22"/>
        </w:rPr>
        <w:t>1</w:t>
      </w:r>
      <w:r w:rsidRPr="00B710A9">
        <w:rPr>
          <w:rFonts w:ascii="Arial" w:eastAsia="Arial" w:hAnsi="Arial" w:cs="Arial"/>
          <w:color w:val="000000" w:themeColor="text1"/>
          <w:sz w:val="22"/>
          <w:szCs w:val="22"/>
        </w:rPr>
        <w:t>-202</w:t>
      </w:r>
      <w:r w:rsidR="00EB61F1" w:rsidRPr="00B710A9">
        <w:rPr>
          <w:rFonts w:ascii="Arial" w:eastAsia="Arial" w:hAnsi="Arial" w:cs="Arial"/>
          <w:color w:val="000000" w:themeColor="text1"/>
          <w:sz w:val="22"/>
          <w:szCs w:val="22"/>
        </w:rPr>
        <w:t>2</w:t>
      </w:r>
      <w:r w:rsidRPr="00B710A9">
        <w:rPr>
          <w:rFonts w:ascii="Arial" w:eastAsia="Arial" w:hAnsi="Arial" w:cs="Arial"/>
          <w:color w:val="000000" w:themeColor="text1"/>
          <w:sz w:val="22"/>
          <w:szCs w:val="22"/>
        </w:rPr>
        <w:t>, se adelantaron las siguientes actividades para los SIG descritos a continuación:</w:t>
      </w:r>
    </w:p>
    <w:p w14:paraId="08A96139" w14:textId="4C7B9E52" w:rsidR="19B98323" w:rsidRPr="00B710A9" w:rsidRDefault="19B98323" w:rsidP="009D279A">
      <w:pPr>
        <w:spacing w:after="0" w:line="240" w:lineRule="auto"/>
        <w:jc w:val="both"/>
        <w:rPr>
          <w:rFonts w:ascii="Arial" w:eastAsia="Arial" w:hAnsi="Arial" w:cs="Arial"/>
          <w:color w:val="000000" w:themeColor="text1"/>
          <w:sz w:val="22"/>
          <w:szCs w:val="22"/>
        </w:rPr>
      </w:pPr>
    </w:p>
    <w:p w14:paraId="57192525" w14:textId="5E9AA45A" w:rsidR="6DE8D26D" w:rsidRPr="00B710A9" w:rsidRDefault="6DE8D26D" w:rsidP="00356A3E">
      <w:pPr>
        <w:pStyle w:val="Prrafodelista"/>
        <w:numPr>
          <w:ilvl w:val="0"/>
          <w:numId w:val="25"/>
        </w:numPr>
        <w:spacing w:after="0" w:line="240" w:lineRule="auto"/>
        <w:jc w:val="both"/>
        <w:rPr>
          <w:rFonts w:ascii="Arial" w:eastAsia="Arial" w:hAnsi="Arial" w:cs="Arial"/>
          <w:b/>
          <w:color w:val="000000" w:themeColor="text1"/>
          <w:sz w:val="22"/>
          <w:szCs w:val="22"/>
        </w:rPr>
      </w:pPr>
      <w:r w:rsidRPr="00B710A9">
        <w:rPr>
          <w:rFonts w:ascii="Arial" w:eastAsia="Arial" w:hAnsi="Arial" w:cs="Arial"/>
          <w:b/>
          <w:color w:val="000000" w:themeColor="text1"/>
          <w:sz w:val="22"/>
          <w:szCs w:val="22"/>
        </w:rPr>
        <w:t>SIG Indígenas</w:t>
      </w:r>
    </w:p>
    <w:p w14:paraId="08EA8E7E" w14:textId="1C9649B0" w:rsidR="6DE8D26D" w:rsidRPr="00B710A9" w:rsidRDefault="6DE8D26D" w:rsidP="009D279A">
      <w:pPr>
        <w:spacing w:after="0" w:line="240" w:lineRule="auto"/>
        <w:jc w:val="both"/>
        <w:rPr>
          <w:rStyle w:val="eop"/>
          <w:rFonts w:ascii="Arial" w:eastAsia="Arial" w:hAnsi="Arial" w:cs="Arial"/>
          <w:color w:val="000000" w:themeColor="text1"/>
          <w:sz w:val="22"/>
          <w:szCs w:val="22"/>
        </w:rPr>
      </w:pPr>
      <w:r w:rsidRPr="00B710A9">
        <w:rPr>
          <w:rStyle w:val="normaltextrun"/>
          <w:rFonts w:ascii="Arial" w:eastAsia="Arial" w:hAnsi="Arial" w:cs="Arial"/>
          <w:color w:val="000000" w:themeColor="text1"/>
          <w:sz w:val="22"/>
          <w:szCs w:val="22"/>
        </w:rPr>
        <w:t xml:space="preserve">Se elaboraron los documentos de especificaciones de requerimientos con las nuevas funcionalidades y de casos de uso para las diferentes herramientas que serán </w:t>
      </w:r>
      <w:r w:rsidRPr="00B710A9">
        <w:rPr>
          <w:rStyle w:val="normaltextrun"/>
          <w:rFonts w:ascii="Arial" w:eastAsia="Arial" w:hAnsi="Arial" w:cs="Arial"/>
          <w:color w:val="000000" w:themeColor="text1"/>
          <w:sz w:val="22"/>
          <w:szCs w:val="22"/>
        </w:rPr>
        <w:lastRenderedPageBreak/>
        <w:t>implementadas en el Sistema. Así mismo, se actualizó el documento de análisis para la fase II del proyecto.</w:t>
      </w:r>
      <w:r w:rsidRPr="00B710A9">
        <w:rPr>
          <w:rStyle w:val="eop"/>
          <w:rFonts w:ascii="Arial" w:eastAsia="Arial" w:hAnsi="Arial" w:cs="Arial"/>
          <w:color w:val="000000" w:themeColor="text1"/>
          <w:sz w:val="22"/>
          <w:szCs w:val="22"/>
        </w:rPr>
        <w:t> </w:t>
      </w:r>
    </w:p>
    <w:p w14:paraId="4C95AC6B" w14:textId="77777777" w:rsidR="0055594E" w:rsidRPr="00B710A9" w:rsidRDefault="0055594E" w:rsidP="009D279A">
      <w:pPr>
        <w:spacing w:after="0" w:line="240" w:lineRule="auto"/>
        <w:jc w:val="both"/>
        <w:rPr>
          <w:rFonts w:ascii="Arial" w:eastAsia="Arial" w:hAnsi="Arial" w:cs="Arial"/>
          <w:color w:val="000000" w:themeColor="text1"/>
          <w:sz w:val="22"/>
          <w:szCs w:val="22"/>
        </w:rPr>
      </w:pPr>
    </w:p>
    <w:p w14:paraId="472BC08F" w14:textId="22F5CA65" w:rsidR="6DE8D26D" w:rsidRPr="00B710A9" w:rsidRDefault="6DE8D26D" w:rsidP="009D279A">
      <w:pPr>
        <w:spacing w:after="0" w:line="240" w:lineRule="auto"/>
        <w:jc w:val="both"/>
        <w:rPr>
          <w:rStyle w:val="eop"/>
          <w:rFonts w:ascii="Arial" w:eastAsia="Arial" w:hAnsi="Arial" w:cs="Arial"/>
          <w:color w:val="000000" w:themeColor="text1"/>
        </w:rPr>
      </w:pPr>
      <w:r w:rsidRPr="00B710A9">
        <w:rPr>
          <w:rStyle w:val="normaltextrun"/>
          <w:rFonts w:ascii="Arial" w:eastAsia="Arial" w:hAnsi="Arial" w:cs="Arial"/>
          <w:color w:val="000000" w:themeColor="text1"/>
          <w:sz w:val="22"/>
          <w:szCs w:val="22"/>
        </w:rPr>
        <w:t>Adicionalmente, se desarrolló el curso virtual de fundamentos de la información geográfica para pueblos indígenas, el cual contó con la participación de 20 personas de diferentes comunidades indígenas y con personal de la Comisión Nacional de Territorios Indígenas - CNTI.</w:t>
      </w:r>
      <w:r w:rsidRPr="00B710A9">
        <w:rPr>
          <w:rStyle w:val="eop"/>
          <w:rFonts w:ascii="Arial" w:eastAsia="Arial" w:hAnsi="Arial" w:cs="Arial"/>
          <w:color w:val="000000" w:themeColor="text1"/>
          <w:sz w:val="22"/>
          <w:szCs w:val="22"/>
        </w:rPr>
        <w:t> </w:t>
      </w:r>
    </w:p>
    <w:p w14:paraId="4A624069" w14:textId="77777777" w:rsidR="00C83337" w:rsidRPr="00B710A9" w:rsidRDefault="00C83337" w:rsidP="009D279A">
      <w:pPr>
        <w:spacing w:after="0" w:line="240" w:lineRule="auto"/>
        <w:jc w:val="both"/>
        <w:rPr>
          <w:rFonts w:ascii="Arial" w:eastAsia="Arial" w:hAnsi="Arial" w:cs="Arial"/>
          <w:color w:val="000000" w:themeColor="text1"/>
        </w:rPr>
      </w:pPr>
    </w:p>
    <w:p w14:paraId="06652DD1" w14:textId="403562BF" w:rsidR="6DE8D26D" w:rsidRPr="00B710A9" w:rsidRDefault="6DE8D26D" w:rsidP="009D279A">
      <w:pPr>
        <w:spacing w:after="0" w:line="240" w:lineRule="auto"/>
        <w:jc w:val="both"/>
        <w:rPr>
          <w:rStyle w:val="normaltextrun"/>
          <w:rFonts w:ascii="Arial" w:eastAsia="Arial" w:hAnsi="Arial" w:cs="Arial"/>
          <w:color w:val="000000" w:themeColor="text1"/>
          <w:sz w:val="22"/>
          <w:szCs w:val="22"/>
          <w:lang w:val="es-MX"/>
        </w:rPr>
      </w:pPr>
      <w:r w:rsidRPr="00B710A9">
        <w:rPr>
          <w:rStyle w:val="normaltextrun"/>
          <w:rFonts w:ascii="Arial" w:eastAsia="Arial" w:hAnsi="Arial" w:cs="Arial"/>
          <w:color w:val="000000" w:themeColor="text1"/>
          <w:sz w:val="22"/>
          <w:szCs w:val="22"/>
        </w:rPr>
        <w:t>Durante el primer semestre de la actual vigencia, </w:t>
      </w:r>
      <w:r w:rsidRPr="00B710A9">
        <w:rPr>
          <w:rStyle w:val="normaltextrun"/>
          <w:rFonts w:ascii="Arial" w:eastAsia="Arial" w:hAnsi="Arial" w:cs="Arial"/>
          <w:color w:val="000000" w:themeColor="text1"/>
          <w:sz w:val="22"/>
          <w:szCs w:val="22"/>
          <w:lang w:val="es-MX"/>
        </w:rPr>
        <w:t>se presentó y aprobó el plan de gestión y el cronograma de trabajo 2021, los cuales contaron con la aprobación del Comité Técnico liderado por la CNTI. Así mismo, se definió el cronograma para las actividades de entrenamiento que se realizarán con los miembros de esta Comisión, cuyo objetivo principal es la apropiación del Sistema de Información Geográfica.</w:t>
      </w:r>
    </w:p>
    <w:p w14:paraId="5B1A0164" w14:textId="77777777" w:rsidR="00C83337" w:rsidRPr="00B710A9" w:rsidRDefault="00C83337" w:rsidP="009D279A">
      <w:pPr>
        <w:spacing w:after="0" w:line="240" w:lineRule="auto"/>
        <w:jc w:val="both"/>
        <w:rPr>
          <w:rFonts w:ascii="Arial" w:eastAsia="Arial" w:hAnsi="Arial" w:cs="Arial"/>
          <w:color w:val="000000" w:themeColor="text1"/>
          <w:sz w:val="22"/>
          <w:szCs w:val="22"/>
        </w:rPr>
      </w:pPr>
    </w:p>
    <w:p w14:paraId="47375795" w14:textId="0FB44886" w:rsidR="6DE8D26D" w:rsidRPr="00B710A9" w:rsidRDefault="6DE8D26D" w:rsidP="009D279A">
      <w:pPr>
        <w:spacing w:after="0" w:line="240" w:lineRule="auto"/>
        <w:jc w:val="both"/>
        <w:rPr>
          <w:rStyle w:val="normaltextrun"/>
          <w:rFonts w:ascii="Arial" w:eastAsia="Arial" w:hAnsi="Arial" w:cs="Arial"/>
          <w:color w:val="000000" w:themeColor="text1"/>
          <w:sz w:val="22"/>
          <w:szCs w:val="22"/>
          <w:lang w:val="es-MX"/>
        </w:rPr>
      </w:pPr>
      <w:r w:rsidRPr="00B710A9">
        <w:rPr>
          <w:rStyle w:val="normaltextrun"/>
          <w:rFonts w:ascii="Arial" w:eastAsia="Arial" w:hAnsi="Arial" w:cs="Arial"/>
          <w:color w:val="000000" w:themeColor="text1"/>
          <w:sz w:val="22"/>
          <w:szCs w:val="22"/>
          <w:lang w:val="es-MX"/>
        </w:rPr>
        <w:t>De igual forma, la Comisión Nacional de Territorios Indígenas - CNTI validó el documento de diseño de las nuevas funcionalidades identificadas en la etapa de análisis para el SIG y actualmente se avanza en el desarrollo de estas funcionalidades identificadas. Por otra parte, se encuentra en proceso la elaboración del material didáctico para la realización de las jornadas de capacitación y la definición de la estrategia para la participación de los miembros de la CNTI en el curso virtual ofrecido por el CIAF (Curso virtual en fundamentos SIG).</w:t>
      </w:r>
    </w:p>
    <w:p w14:paraId="124F0570" w14:textId="77777777" w:rsidR="00C83337" w:rsidRPr="00B710A9" w:rsidRDefault="00C83337" w:rsidP="009D279A">
      <w:pPr>
        <w:spacing w:after="0" w:line="240" w:lineRule="auto"/>
        <w:jc w:val="both"/>
        <w:rPr>
          <w:rFonts w:ascii="Arial" w:eastAsia="Arial" w:hAnsi="Arial" w:cs="Arial"/>
          <w:color w:val="000000" w:themeColor="text1"/>
          <w:sz w:val="22"/>
          <w:szCs w:val="22"/>
        </w:rPr>
      </w:pPr>
    </w:p>
    <w:p w14:paraId="40A0326F" w14:textId="1E09F535" w:rsidR="19B98323" w:rsidRPr="00B710A9" w:rsidRDefault="6DE8D26D" w:rsidP="009D279A">
      <w:pPr>
        <w:spacing w:after="0" w:line="240" w:lineRule="auto"/>
        <w:jc w:val="both"/>
        <w:rPr>
          <w:rStyle w:val="normaltextrun"/>
          <w:rFonts w:ascii="Arial" w:eastAsia="Arial" w:hAnsi="Arial" w:cs="Arial"/>
          <w:color w:val="000000" w:themeColor="text1"/>
          <w:sz w:val="22"/>
          <w:szCs w:val="22"/>
        </w:rPr>
      </w:pPr>
      <w:r w:rsidRPr="00B710A9">
        <w:rPr>
          <w:rStyle w:val="normaltextrun"/>
          <w:rFonts w:ascii="Arial" w:eastAsia="Arial" w:hAnsi="Arial" w:cs="Arial"/>
          <w:color w:val="000000" w:themeColor="text1"/>
          <w:sz w:val="22"/>
          <w:szCs w:val="22"/>
        </w:rPr>
        <w:t xml:space="preserve">Finalmente, durante el periodo de reporte del presente informe, se brindó soporte y mantenimiento permanente a la plataforma tecnológica del Sistema de información Geográfica </w:t>
      </w:r>
      <w:r w:rsidR="74BE317B" w:rsidRPr="00B710A9">
        <w:rPr>
          <w:rStyle w:val="normaltextrun"/>
          <w:rFonts w:ascii="Arial" w:eastAsia="Arial" w:hAnsi="Arial" w:cs="Arial"/>
          <w:color w:val="000000" w:themeColor="text1"/>
          <w:sz w:val="22"/>
          <w:szCs w:val="22"/>
        </w:rPr>
        <w:t xml:space="preserve">- </w:t>
      </w:r>
      <w:r w:rsidRPr="00B710A9">
        <w:rPr>
          <w:rStyle w:val="normaltextrun"/>
          <w:rFonts w:ascii="Arial" w:eastAsia="Arial" w:hAnsi="Arial" w:cs="Arial"/>
          <w:color w:val="000000" w:themeColor="text1"/>
          <w:sz w:val="22"/>
          <w:szCs w:val="22"/>
        </w:rPr>
        <w:t>SIG Indígenas</w:t>
      </w:r>
      <w:r w:rsidR="77CC74ED" w:rsidRPr="00B710A9">
        <w:rPr>
          <w:rStyle w:val="normaltextrun"/>
          <w:rFonts w:ascii="Arial" w:eastAsia="Arial" w:hAnsi="Arial" w:cs="Arial"/>
          <w:color w:val="000000" w:themeColor="text1"/>
          <w:sz w:val="22"/>
          <w:szCs w:val="22"/>
        </w:rPr>
        <w:t>,</w:t>
      </w:r>
      <w:r w:rsidRPr="00B710A9">
        <w:rPr>
          <w:rStyle w:val="normaltextrun"/>
          <w:rFonts w:ascii="Arial" w:eastAsia="Arial" w:hAnsi="Arial" w:cs="Arial"/>
          <w:color w:val="000000" w:themeColor="text1"/>
          <w:sz w:val="22"/>
          <w:szCs w:val="22"/>
        </w:rPr>
        <w:t xml:space="preserve"> dando solución a las incidencias presentadas por la Comisión Nacional de Territorios indígenas.</w:t>
      </w:r>
    </w:p>
    <w:p w14:paraId="67D70FDB" w14:textId="2D2AC8C5" w:rsidR="00AC4803" w:rsidRPr="00B710A9" w:rsidRDefault="00AC4803" w:rsidP="009D279A">
      <w:pPr>
        <w:spacing w:after="0" w:line="240" w:lineRule="auto"/>
        <w:jc w:val="both"/>
        <w:rPr>
          <w:rStyle w:val="normaltextrun"/>
          <w:rFonts w:ascii="Arial" w:eastAsia="Arial" w:hAnsi="Arial" w:cs="Arial"/>
          <w:color w:val="000000" w:themeColor="text1"/>
          <w:sz w:val="22"/>
          <w:szCs w:val="22"/>
        </w:rPr>
      </w:pPr>
    </w:p>
    <w:p w14:paraId="3A4B6F39" w14:textId="27069528" w:rsidR="00131882" w:rsidRPr="00B710A9" w:rsidRDefault="00131882" w:rsidP="00131882">
      <w:pPr>
        <w:spacing w:after="0" w:line="240" w:lineRule="auto"/>
        <w:jc w:val="both"/>
        <w:rPr>
          <w:rStyle w:val="normaltextrun"/>
          <w:rFonts w:ascii="Arial" w:eastAsia="Arial" w:hAnsi="Arial" w:cs="Arial"/>
          <w:color w:val="000000" w:themeColor="text1"/>
          <w:sz w:val="22"/>
          <w:szCs w:val="22"/>
        </w:rPr>
      </w:pPr>
      <w:r w:rsidRPr="00B710A9">
        <w:rPr>
          <w:rStyle w:val="normaltextrun"/>
          <w:rFonts w:ascii="Arial" w:eastAsia="Arial" w:hAnsi="Arial" w:cs="Arial"/>
          <w:color w:val="000000" w:themeColor="text1"/>
          <w:sz w:val="22"/>
          <w:szCs w:val="22"/>
        </w:rPr>
        <w:t>Durante el primer semestre de la actual vigencia, se han realizado los siguientes avances:</w:t>
      </w:r>
    </w:p>
    <w:p w14:paraId="7AF6A782" w14:textId="27D8FD5C" w:rsidR="00131882" w:rsidRPr="00B710A9" w:rsidRDefault="00131882" w:rsidP="00131882">
      <w:pPr>
        <w:spacing w:after="0" w:line="240" w:lineRule="auto"/>
        <w:jc w:val="both"/>
        <w:rPr>
          <w:rStyle w:val="normaltextrun"/>
          <w:rFonts w:ascii="Arial" w:eastAsia="Arial" w:hAnsi="Arial" w:cs="Arial"/>
          <w:color w:val="000000" w:themeColor="text1"/>
          <w:sz w:val="22"/>
          <w:szCs w:val="22"/>
        </w:rPr>
      </w:pPr>
      <w:r w:rsidRPr="00B710A9">
        <w:rPr>
          <w:rStyle w:val="normaltextrun"/>
          <w:rFonts w:ascii="Arial" w:eastAsia="Arial" w:hAnsi="Arial" w:cs="Arial"/>
          <w:color w:val="000000" w:themeColor="text1"/>
          <w:sz w:val="22"/>
          <w:szCs w:val="22"/>
        </w:rPr>
        <w:t xml:space="preserve"> </w:t>
      </w:r>
    </w:p>
    <w:p w14:paraId="63852335" w14:textId="068FC60D" w:rsidR="00131882" w:rsidRPr="00B710A9" w:rsidRDefault="00131882" w:rsidP="00356A3E">
      <w:pPr>
        <w:pStyle w:val="Prrafodelista"/>
        <w:numPr>
          <w:ilvl w:val="0"/>
          <w:numId w:val="50"/>
        </w:numPr>
        <w:spacing w:after="0" w:line="240" w:lineRule="auto"/>
        <w:jc w:val="both"/>
        <w:rPr>
          <w:rStyle w:val="normaltextrun"/>
          <w:rFonts w:ascii="Arial" w:eastAsia="Arial" w:hAnsi="Arial" w:cs="Arial"/>
          <w:color w:val="000000" w:themeColor="text1"/>
          <w:sz w:val="22"/>
          <w:szCs w:val="22"/>
        </w:rPr>
      </w:pPr>
      <w:r w:rsidRPr="00B710A9">
        <w:rPr>
          <w:rStyle w:val="normaltextrun"/>
          <w:rFonts w:ascii="Arial" w:eastAsia="Arial" w:hAnsi="Arial" w:cs="Arial"/>
          <w:color w:val="000000" w:themeColor="text1"/>
          <w:sz w:val="22"/>
          <w:szCs w:val="22"/>
        </w:rPr>
        <w:t>Elaboración y aprobación del plan de gestión de la etapa II - Fase II del Sistema, en concertación con los miembros de la Comisión Nacional de Territorios Indígenas - CNTI.</w:t>
      </w:r>
    </w:p>
    <w:p w14:paraId="05A48133" w14:textId="4838C7D3" w:rsidR="00131882" w:rsidRPr="00B710A9" w:rsidRDefault="00131882" w:rsidP="00356A3E">
      <w:pPr>
        <w:pStyle w:val="Prrafodelista"/>
        <w:numPr>
          <w:ilvl w:val="0"/>
          <w:numId w:val="50"/>
        </w:numPr>
        <w:spacing w:after="0" w:line="240" w:lineRule="auto"/>
        <w:jc w:val="both"/>
        <w:rPr>
          <w:rStyle w:val="normaltextrun"/>
          <w:rFonts w:ascii="Arial" w:eastAsia="Arial" w:hAnsi="Arial" w:cs="Arial"/>
          <w:color w:val="000000" w:themeColor="text1"/>
          <w:sz w:val="22"/>
          <w:szCs w:val="22"/>
        </w:rPr>
      </w:pPr>
      <w:r w:rsidRPr="00B710A9">
        <w:rPr>
          <w:rStyle w:val="normaltextrun"/>
          <w:rFonts w:ascii="Arial" w:eastAsia="Arial" w:hAnsi="Arial" w:cs="Arial"/>
          <w:color w:val="000000" w:themeColor="text1"/>
          <w:sz w:val="22"/>
          <w:szCs w:val="22"/>
        </w:rPr>
        <w:t>Despliegue del visor geográfico, del administrador de usuarios y de los servicios web geográficos en el ambiente de producción de la Comisión Nacional de Territorios Indígenas -CNTI.</w:t>
      </w:r>
    </w:p>
    <w:p w14:paraId="12FD25F2" w14:textId="1F65B9A4" w:rsidR="00131882" w:rsidRPr="00B710A9" w:rsidRDefault="00131882" w:rsidP="00356A3E">
      <w:pPr>
        <w:pStyle w:val="Prrafodelista"/>
        <w:numPr>
          <w:ilvl w:val="0"/>
          <w:numId w:val="50"/>
        </w:numPr>
        <w:spacing w:after="0" w:line="240" w:lineRule="auto"/>
        <w:jc w:val="both"/>
        <w:rPr>
          <w:rStyle w:val="normaltextrun"/>
          <w:rFonts w:ascii="Arial" w:eastAsia="Arial" w:hAnsi="Arial" w:cs="Arial"/>
          <w:color w:val="000000" w:themeColor="text1"/>
          <w:sz w:val="22"/>
          <w:szCs w:val="22"/>
        </w:rPr>
      </w:pPr>
      <w:r w:rsidRPr="00B710A9">
        <w:rPr>
          <w:rStyle w:val="normaltextrun"/>
          <w:rFonts w:ascii="Arial" w:eastAsia="Arial" w:hAnsi="Arial" w:cs="Arial"/>
          <w:color w:val="000000" w:themeColor="text1"/>
          <w:sz w:val="22"/>
          <w:szCs w:val="22"/>
        </w:rPr>
        <w:t>Socialización de la propuesta de la Infraestructura de Datos Espaciales indígena a los delegados de las diferentes organizaciones indígenas.</w:t>
      </w:r>
    </w:p>
    <w:p w14:paraId="14A57308" w14:textId="2DBCA7F6" w:rsidR="00131882" w:rsidRPr="00B710A9" w:rsidRDefault="00131882" w:rsidP="00356A3E">
      <w:pPr>
        <w:pStyle w:val="Prrafodelista"/>
        <w:numPr>
          <w:ilvl w:val="0"/>
          <w:numId w:val="50"/>
        </w:numPr>
        <w:spacing w:after="0" w:line="240" w:lineRule="auto"/>
        <w:jc w:val="both"/>
        <w:rPr>
          <w:rStyle w:val="normaltextrun"/>
          <w:rFonts w:ascii="Arial" w:eastAsia="Arial" w:hAnsi="Arial" w:cs="Arial"/>
          <w:color w:val="000000" w:themeColor="text1"/>
          <w:sz w:val="22"/>
          <w:szCs w:val="22"/>
        </w:rPr>
      </w:pPr>
      <w:r w:rsidRPr="00B710A9">
        <w:rPr>
          <w:rStyle w:val="normaltextrun"/>
          <w:rFonts w:ascii="Arial" w:eastAsia="Arial" w:hAnsi="Arial" w:cs="Arial"/>
          <w:color w:val="000000" w:themeColor="text1"/>
          <w:sz w:val="22"/>
          <w:szCs w:val="22"/>
        </w:rPr>
        <w:t>Verificación de los servicios suministrados por la Unidad de Restitución de Tierras a la CNTI, en el marco del soporte al sistema de información.</w:t>
      </w:r>
    </w:p>
    <w:p w14:paraId="2A3AC3A3" w14:textId="68CA52B4" w:rsidR="00131882" w:rsidRPr="00B710A9" w:rsidRDefault="00131882" w:rsidP="00356A3E">
      <w:pPr>
        <w:pStyle w:val="Prrafodelista"/>
        <w:numPr>
          <w:ilvl w:val="0"/>
          <w:numId w:val="50"/>
        </w:numPr>
        <w:spacing w:after="0" w:line="240" w:lineRule="auto"/>
        <w:jc w:val="both"/>
        <w:rPr>
          <w:rStyle w:val="normaltextrun"/>
          <w:rFonts w:ascii="Arial" w:eastAsia="Arial" w:hAnsi="Arial" w:cs="Arial"/>
          <w:color w:val="000000" w:themeColor="text1"/>
          <w:sz w:val="22"/>
          <w:szCs w:val="22"/>
        </w:rPr>
      </w:pPr>
      <w:r w:rsidRPr="00B710A9">
        <w:rPr>
          <w:rStyle w:val="normaltextrun"/>
          <w:rFonts w:ascii="Arial" w:eastAsia="Arial" w:hAnsi="Arial" w:cs="Arial"/>
          <w:color w:val="000000" w:themeColor="text1"/>
          <w:sz w:val="22"/>
          <w:szCs w:val="22"/>
        </w:rPr>
        <w:t>Participación en la sesión autónoma de la CNTI, en la cual se inició el proceso de sensibilización de la IDE indígena.</w:t>
      </w:r>
    </w:p>
    <w:p w14:paraId="42C93AAE" w14:textId="13FFE7A2" w:rsidR="00AC4803" w:rsidRPr="00B710A9" w:rsidRDefault="003D5972" w:rsidP="00356A3E">
      <w:pPr>
        <w:pStyle w:val="Prrafodelista"/>
        <w:numPr>
          <w:ilvl w:val="0"/>
          <w:numId w:val="50"/>
        </w:numPr>
        <w:spacing w:after="0" w:line="240" w:lineRule="auto"/>
        <w:jc w:val="both"/>
        <w:rPr>
          <w:rStyle w:val="normaltextrun"/>
          <w:rFonts w:ascii="Arial" w:eastAsia="Arial" w:hAnsi="Arial" w:cs="Arial"/>
          <w:color w:val="000000" w:themeColor="text1"/>
          <w:sz w:val="22"/>
          <w:szCs w:val="22"/>
        </w:rPr>
      </w:pPr>
      <w:r w:rsidRPr="00B710A9">
        <w:rPr>
          <w:rStyle w:val="normaltextrun"/>
          <w:rFonts w:ascii="Arial" w:eastAsia="Arial" w:hAnsi="Arial" w:cs="Arial"/>
          <w:color w:val="000000" w:themeColor="text1"/>
          <w:sz w:val="22"/>
          <w:szCs w:val="22"/>
        </w:rPr>
        <w:t>S</w:t>
      </w:r>
      <w:r w:rsidR="00131882" w:rsidRPr="00B710A9">
        <w:rPr>
          <w:rStyle w:val="normaltextrun"/>
          <w:rFonts w:ascii="Arial" w:eastAsia="Arial" w:hAnsi="Arial" w:cs="Arial"/>
          <w:color w:val="000000" w:themeColor="text1"/>
          <w:sz w:val="22"/>
          <w:szCs w:val="22"/>
        </w:rPr>
        <w:t>e brindó soporte y mantenimiento permanente a la plataforma tecnológica del Sistema de información dando solución a las incidencias presentadas durante la vigencia.</w:t>
      </w:r>
    </w:p>
    <w:p w14:paraId="49121D3A" w14:textId="77777777" w:rsidR="00C83337" w:rsidRPr="00B710A9" w:rsidRDefault="00C83337" w:rsidP="009D279A">
      <w:pPr>
        <w:spacing w:after="0" w:line="240" w:lineRule="auto"/>
        <w:jc w:val="both"/>
        <w:rPr>
          <w:rFonts w:ascii="Arial" w:eastAsia="Arial" w:hAnsi="Arial" w:cs="Arial"/>
          <w:color w:val="000000" w:themeColor="text1"/>
          <w:sz w:val="22"/>
          <w:szCs w:val="22"/>
        </w:rPr>
      </w:pPr>
    </w:p>
    <w:p w14:paraId="3FB8A2FE" w14:textId="548F3D05" w:rsidR="00C67568" w:rsidRPr="00B710A9" w:rsidRDefault="00C67568" w:rsidP="00356A3E">
      <w:pPr>
        <w:pStyle w:val="paragraph"/>
        <w:numPr>
          <w:ilvl w:val="0"/>
          <w:numId w:val="46"/>
        </w:numPr>
        <w:spacing w:before="0" w:beforeAutospacing="0" w:after="0" w:afterAutospacing="0"/>
        <w:ind w:firstLine="0"/>
        <w:jc w:val="both"/>
        <w:textAlignment w:val="baseline"/>
        <w:rPr>
          <w:rStyle w:val="normaltextrun"/>
          <w:rFonts w:ascii="Arial" w:eastAsia="Arial" w:hAnsi="Arial" w:cs="Arial"/>
          <w:sz w:val="22"/>
          <w:szCs w:val="22"/>
          <w:lang w:val="es-ES"/>
        </w:rPr>
      </w:pPr>
      <w:r w:rsidRPr="00B710A9">
        <w:rPr>
          <w:rStyle w:val="normaltextrun"/>
          <w:rFonts w:ascii="Arial" w:eastAsia="Arial" w:hAnsi="Arial" w:cs="Arial"/>
          <w:b/>
          <w:color w:val="000000" w:themeColor="text1"/>
          <w:sz w:val="22"/>
          <w:szCs w:val="22"/>
          <w:lang w:val="es-ES"/>
        </w:rPr>
        <w:t>SIG Política</w:t>
      </w:r>
      <w:r w:rsidRPr="00B710A9">
        <w:rPr>
          <w:rStyle w:val="normaltextrun"/>
          <w:rFonts w:ascii="Arial" w:eastAsia="Arial" w:hAnsi="Arial" w:cs="Arial"/>
          <w:color w:val="000000" w:themeColor="text1"/>
          <w:sz w:val="22"/>
          <w:szCs w:val="22"/>
          <w:lang w:val="es-ES"/>
        </w:rPr>
        <w:t> </w:t>
      </w:r>
      <w:r w:rsidRPr="00B710A9">
        <w:rPr>
          <w:rStyle w:val="normaltextrun"/>
          <w:rFonts w:ascii="Arial" w:eastAsia="Arial" w:hAnsi="Arial" w:cs="Arial"/>
          <w:b/>
          <w:color w:val="000000" w:themeColor="text1"/>
          <w:sz w:val="22"/>
          <w:szCs w:val="22"/>
          <w:lang w:val="es-ES"/>
        </w:rPr>
        <w:t>de Tierras</w:t>
      </w:r>
    </w:p>
    <w:p w14:paraId="6A278611" w14:textId="77777777" w:rsidR="00942203" w:rsidRPr="00B710A9" w:rsidRDefault="00942203" w:rsidP="009D279A">
      <w:pPr>
        <w:spacing w:after="0" w:line="240" w:lineRule="auto"/>
        <w:jc w:val="both"/>
        <w:rPr>
          <w:rStyle w:val="normaltextrun"/>
          <w:rFonts w:ascii="Arial" w:eastAsia="Arial" w:hAnsi="Arial" w:cs="Arial"/>
          <w:color w:val="000000"/>
          <w:sz w:val="22"/>
          <w:szCs w:val="22"/>
        </w:rPr>
      </w:pPr>
    </w:p>
    <w:p w14:paraId="78222F27" w14:textId="77777777" w:rsidR="006208D1" w:rsidRPr="00B710A9" w:rsidRDefault="006208D1" w:rsidP="006208D1">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El Sistema de información geográfica para apoyo a la política integral de tierras, es una herramienta creada para la toma de decisiones a la Unidad de Restitución de Tierras y aquellos actores relacionados con el proceso de restitución jurídica y material de tierras de </w:t>
      </w:r>
      <w:r w:rsidRPr="00B710A9">
        <w:rPr>
          <w:rFonts w:ascii="Arial" w:eastAsia="Arial" w:hAnsi="Arial" w:cs="Arial"/>
          <w:color w:val="000000" w:themeColor="text1"/>
          <w:sz w:val="22"/>
          <w:szCs w:val="22"/>
        </w:rPr>
        <w:lastRenderedPageBreak/>
        <w:t>los despojados, facilitando labores de ubicación de predios, atención al ciudadano, toma de decisiones de los jueces y consultas de la población en general. Este sistema se realiza para dar cumplimiento al plan de acción y fortalecimiento institucional que se tiene con el Sistema Nacional de Atención y Reparación Integral a las Víctimas -SNARIV.</w:t>
      </w:r>
    </w:p>
    <w:p w14:paraId="5277E4DA" w14:textId="77777777" w:rsidR="006208D1" w:rsidRPr="00B710A9" w:rsidRDefault="006208D1" w:rsidP="006208D1">
      <w:pPr>
        <w:spacing w:after="0" w:line="240" w:lineRule="auto"/>
        <w:jc w:val="both"/>
        <w:rPr>
          <w:rFonts w:ascii="Arial" w:eastAsia="Arial" w:hAnsi="Arial" w:cs="Arial"/>
          <w:color w:val="000000" w:themeColor="text1"/>
          <w:sz w:val="22"/>
          <w:szCs w:val="22"/>
        </w:rPr>
      </w:pPr>
    </w:p>
    <w:p w14:paraId="5C93586F" w14:textId="5B0EE2DB" w:rsidR="006208D1" w:rsidRPr="00B710A9" w:rsidRDefault="006208D1" w:rsidP="006208D1">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Los avances de este Sistema de Información Geográfica se podrán encontrar detalladamente en el mandando </w:t>
      </w:r>
      <w:r w:rsidR="00F10728" w:rsidRPr="00B710A9">
        <w:rPr>
          <w:rFonts w:ascii="Arial" w:eastAsia="Arial" w:hAnsi="Arial" w:cs="Arial"/>
          <w:color w:val="000000" w:themeColor="text1"/>
          <w:sz w:val="22"/>
          <w:szCs w:val="22"/>
        </w:rPr>
        <w:t>2</w:t>
      </w:r>
      <w:r w:rsidRPr="00B710A9">
        <w:rPr>
          <w:rFonts w:ascii="Arial" w:eastAsia="Arial" w:hAnsi="Arial" w:cs="Arial"/>
          <w:color w:val="000000" w:themeColor="text1"/>
          <w:sz w:val="22"/>
          <w:szCs w:val="22"/>
        </w:rPr>
        <w:t>.2 Información desde y para los territorios en el ítem Política de reparación de víctimas y restitución de tierras.</w:t>
      </w:r>
    </w:p>
    <w:p w14:paraId="37A2A92C" w14:textId="4BCFF84A" w:rsidR="19B98323" w:rsidRPr="00B710A9" w:rsidRDefault="19B98323" w:rsidP="009D279A">
      <w:pPr>
        <w:spacing w:after="0" w:line="240" w:lineRule="auto"/>
        <w:jc w:val="both"/>
        <w:rPr>
          <w:rFonts w:ascii="Arial" w:eastAsia="Arial" w:hAnsi="Arial" w:cs="Arial"/>
          <w:color w:val="000000" w:themeColor="text1"/>
          <w:sz w:val="22"/>
          <w:szCs w:val="22"/>
          <w:lang w:val="es"/>
        </w:rPr>
      </w:pPr>
    </w:p>
    <w:p w14:paraId="02B67713" w14:textId="6D493A0B" w:rsidR="33A1FD1F" w:rsidRPr="00B710A9" w:rsidRDefault="33A1FD1F" w:rsidP="33A1FD1F">
      <w:pPr>
        <w:spacing w:after="0" w:line="240" w:lineRule="auto"/>
        <w:jc w:val="both"/>
        <w:rPr>
          <w:rFonts w:ascii="Arial" w:eastAsia="Arial" w:hAnsi="Arial" w:cs="Arial"/>
          <w:color w:val="000000" w:themeColor="text1"/>
          <w:sz w:val="22"/>
          <w:szCs w:val="22"/>
        </w:rPr>
      </w:pPr>
    </w:p>
    <w:p w14:paraId="0F6FC5F3" w14:textId="0FE826A4" w:rsidR="008C4A23" w:rsidRPr="00B710A9" w:rsidRDefault="00526830" w:rsidP="00356A3E">
      <w:pPr>
        <w:numPr>
          <w:ilvl w:val="0"/>
          <w:numId w:val="33"/>
        </w:numPr>
        <w:spacing w:after="0" w:line="240" w:lineRule="auto"/>
        <w:jc w:val="both"/>
        <w:rPr>
          <w:rFonts w:ascii="Arial" w:eastAsia="Arial" w:hAnsi="Arial" w:cs="Arial"/>
          <w:b/>
          <w:color w:val="000000" w:themeColor="text1"/>
          <w:sz w:val="22"/>
          <w:szCs w:val="22"/>
        </w:rPr>
      </w:pPr>
      <w:r w:rsidRPr="00B710A9">
        <w:rPr>
          <w:rFonts w:ascii="Arial" w:eastAsia="Arial" w:hAnsi="Arial" w:cs="Arial"/>
          <w:b/>
          <w:color w:val="000000" w:themeColor="text1"/>
          <w:sz w:val="22"/>
          <w:szCs w:val="22"/>
        </w:rPr>
        <w:t>Fortalecimiento de la Infraestructura Colombiana de Datos Espaciales</w:t>
      </w:r>
      <w:r w:rsidR="09148B23" w:rsidRPr="00B710A9">
        <w:rPr>
          <w:rFonts w:ascii="Arial" w:eastAsia="Arial" w:hAnsi="Arial" w:cs="Arial"/>
          <w:b/>
          <w:color w:val="000000" w:themeColor="text1"/>
          <w:sz w:val="22"/>
          <w:szCs w:val="22"/>
        </w:rPr>
        <w:t xml:space="preserve"> – </w:t>
      </w:r>
      <w:r w:rsidRPr="00B710A9">
        <w:rPr>
          <w:rFonts w:ascii="Arial" w:eastAsia="Arial" w:hAnsi="Arial" w:cs="Arial"/>
          <w:b/>
          <w:color w:val="000000" w:themeColor="text1"/>
          <w:sz w:val="22"/>
          <w:szCs w:val="22"/>
        </w:rPr>
        <w:t>ICDE</w:t>
      </w:r>
    </w:p>
    <w:p w14:paraId="3F8E44FC" w14:textId="0700EF9E" w:rsidR="19B98323" w:rsidRPr="00B710A9" w:rsidRDefault="19B98323" w:rsidP="009D279A">
      <w:pPr>
        <w:spacing w:after="0" w:line="240" w:lineRule="auto"/>
        <w:jc w:val="both"/>
        <w:rPr>
          <w:rFonts w:ascii="Arial" w:eastAsia="Arial" w:hAnsi="Arial" w:cs="Arial"/>
          <w:color w:val="000000" w:themeColor="text1"/>
          <w:sz w:val="22"/>
          <w:szCs w:val="22"/>
        </w:rPr>
      </w:pPr>
    </w:p>
    <w:p w14:paraId="48C48E38" w14:textId="69E1467C" w:rsidR="479FF90D" w:rsidRPr="00B710A9" w:rsidRDefault="479FF90D" w:rsidP="479FF90D">
      <w:pPr>
        <w:jc w:val="both"/>
        <w:rPr>
          <w:rFonts w:ascii="Arial" w:eastAsia="Arial" w:hAnsi="Arial" w:cs="Arial"/>
          <w:sz w:val="22"/>
          <w:szCs w:val="22"/>
          <w:lang w:val="es"/>
        </w:rPr>
      </w:pPr>
      <w:r w:rsidRPr="00B710A9">
        <w:rPr>
          <w:rFonts w:ascii="Arial" w:eastAsia="Arial" w:hAnsi="Arial" w:cs="Arial"/>
          <w:b/>
          <w:sz w:val="22"/>
          <w:szCs w:val="22"/>
          <w:lang w:val="es"/>
        </w:rPr>
        <w:t>Programa para la adopción e implementación de un catastro multipropósito urbano – rural</w:t>
      </w:r>
      <w:r w:rsidRPr="00B710A9">
        <w:rPr>
          <w:rFonts w:ascii="Arial" w:eastAsia="Arial" w:hAnsi="Arial" w:cs="Arial"/>
          <w:sz w:val="22"/>
          <w:szCs w:val="22"/>
          <w:lang w:val="es"/>
        </w:rPr>
        <w:t xml:space="preserve"> </w:t>
      </w:r>
    </w:p>
    <w:p w14:paraId="5B921013" w14:textId="6309670C" w:rsidR="479FF90D" w:rsidRPr="00B710A9" w:rsidRDefault="479FF90D" w:rsidP="479FF90D">
      <w:pPr>
        <w:jc w:val="both"/>
        <w:rPr>
          <w:rFonts w:ascii="Arial" w:eastAsia="Arial" w:hAnsi="Arial" w:cs="Arial"/>
          <w:sz w:val="22"/>
          <w:szCs w:val="22"/>
          <w:lang w:val="es"/>
        </w:rPr>
      </w:pPr>
      <w:r w:rsidRPr="00B710A9">
        <w:rPr>
          <w:rFonts w:ascii="Arial" w:eastAsia="Arial" w:hAnsi="Arial" w:cs="Arial"/>
          <w:sz w:val="22"/>
          <w:szCs w:val="22"/>
          <w:lang w:val="es"/>
        </w:rPr>
        <w:t xml:space="preserve">Este programa tiene como objetivo coordinar y apoyar la implementación de la infraestructura colombiana de datos espaciales - ICDE, como estrategia nacional para ordenar la producción y facilitar la disponibilidad, el acceso y el uso de datos, productos y servicios geográficos, de soporte a los procesos de toma de decisiones y del desarrollo sostenible de Colombia. </w:t>
      </w:r>
    </w:p>
    <w:p w14:paraId="70F9CBC1" w14:textId="08E6430B" w:rsidR="479FF90D" w:rsidRPr="00B710A9" w:rsidRDefault="479FF90D" w:rsidP="479FF90D">
      <w:pPr>
        <w:jc w:val="both"/>
        <w:rPr>
          <w:rFonts w:ascii="Arial" w:eastAsia="Arial" w:hAnsi="Arial" w:cs="Arial"/>
          <w:sz w:val="22"/>
          <w:szCs w:val="22"/>
          <w:lang w:val="es"/>
        </w:rPr>
      </w:pPr>
      <w:r w:rsidRPr="00B710A9">
        <w:rPr>
          <w:rFonts w:ascii="Arial" w:eastAsia="Arial" w:hAnsi="Arial" w:cs="Arial"/>
          <w:sz w:val="22"/>
          <w:szCs w:val="22"/>
          <w:lang w:val="es"/>
        </w:rPr>
        <w:t>El proyecto de Construcción de Infraestructura Colombiana de Datos Espaciales busca articular, fortalecer y optimizar la producción y la gestión de la información geográfica, por parte de las entidades productoras; y a su vez, fomentar que sea compartida y utilizada entre instituciones y usuarios a través del Portal Geográfico Nacional; en el marco de la Ley 1712 de 2014, Decreto 2693 de 2012, el CONPES 3585 de 2009, CONPES 3762 de 2013 y las demás disposiciones que le apliquen</w:t>
      </w:r>
    </w:p>
    <w:p w14:paraId="6FA5C491" w14:textId="2EF4FE1A" w:rsidR="479FF90D" w:rsidRPr="00B710A9" w:rsidRDefault="479FF90D" w:rsidP="479FF90D">
      <w:pPr>
        <w:jc w:val="both"/>
        <w:rPr>
          <w:rFonts w:ascii="Arial" w:eastAsia="Arial" w:hAnsi="Arial" w:cs="Arial"/>
          <w:sz w:val="22"/>
          <w:szCs w:val="22"/>
          <w:lang w:val="es"/>
        </w:rPr>
      </w:pPr>
      <w:r w:rsidRPr="00B710A9">
        <w:rPr>
          <w:rFonts w:ascii="Arial" w:eastAsia="Arial" w:hAnsi="Arial" w:cs="Arial"/>
          <w:sz w:val="22"/>
          <w:szCs w:val="22"/>
          <w:lang w:val="es"/>
        </w:rPr>
        <w:t>El IGAC cumple el rol de coordinar y apoyar la implementación de la infraestructura colombiana de datos espaciales - ICDE, como estrategia nacional para ordenar la producción y facilitar la disponibilidad, el acceso y el uso de datos, productos y servicios geográficos, de soporte a los procesos de toma de decisiones y del desarrollo sostenible de Colombia.</w:t>
      </w:r>
    </w:p>
    <w:p w14:paraId="2A98FA9D" w14:textId="6B03F4B6" w:rsidR="479FF90D" w:rsidRPr="00B710A9" w:rsidRDefault="479FF90D" w:rsidP="479FF90D">
      <w:pPr>
        <w:ind w:left="855" w:hanging="855"/>
        <w:jc w:val="both"/>
        <w:rPr>
          <w:rFonts w:ascii="Arial" w:eastAsia="Arial" w:hAnsi="Arial" w:cs="Arial"/>
          <w:sz w:val="22"/>
          <w:szCs w:val="22"/>
          <w:lang w:val="es"/>
        </w:rPr>
      </w:pPr>
      <w:r w:rsidRPr="00B710A9">
        <w:rPr>
          <w:rFonts w:ascii="Arial" w:eastAsia="Arial" w:hAnsi="Arial" w:cs="Arial"/>
          <w:b/>
          <w:sz w:val="22"/>
          <w:szCs w:val="22"/>
          <w:lang w:val="es"/>
        </w:rPr>
        <w:t>Documentos Normativos</w:t>
      </w:r>
      <w:r w:rsidRPr="00B710A9">
        <w:rPr>
          <w:rFonts w:ascii="Arial" w:eastAsia="Arial" w:hAnsi="Arial" w:cs="Arial"/>
          <w:b/>
          <w:bCs/>
          <w:sz w:val="22"/>
          <w:szCs w:val="22"/>
          <w:lang w:val="es"/>
        </w:rPr>
        <w:t xml:space="preserve">  </w:t>
      </w:r>
      <w:r w:rsidRPr="00B710A9">
        <w:rPr>
          <w:rFonts w:ascii="Arial" w:eastAsia="Arial" w:hAnsi="Arial" w:cs="Arial"/>
          <w:sz w:val="22"/>
          <w:szCs w:val="22"/>
          <w:lang w:val="es"/>
        </w:rPr>
        <w:t xml:space="preserve"> </w:t>
      </w:r>
    </w:p>
    <w:p w14:paraId="51472AC7" w14:textId="28EA9B6A" w:rsidR="479FF90D" w:rsidRPr="00B710A9" w:rsidRDefault="479FF90D" w:rsidP="479FF90D">
      <w:pPr>
        <w:spacing w:line="257" w:lineRule="auto"/>
        <w:jc w:val="both"/>
        <w:rPr>
          <w:rFonts w:ascii="Arial" w:eastAsia="Arial" w:hAnsi="Arial" w:cs="Arial"/>
          <w:sz w:val="22"/>
          <w:szCs w:val="22"/>
          <w:lang w:val="es"/>
        </w:rPr>
      </w:pPr>
      <w:r w:rsidRPr="00B710A9">
        <w:rPr>
          <w:rFonts w:ascii="Arial" w:eastAsia="Arial" w:hAnsi="Arial" w:cs="Arial"/>
          <w:sz w:val="22"/>
          <w:szCs w:val="22"/>
          <w:lang w:val="es"/>
        </w:rPr>
        <w:t xml:space="preserve">En el desarrollo de los documentos normativos para el periodo 2018-2022 se realizaron los siguientes documentos:  </w:t>
      </w:r>
    </w:p>
    <w:p w14:paraId="0EFE31D0" w14:textId="28F3B7E2" w:rsidR="479FF90D" w:rsidRPr="00B710A9" w:rsidRDefault="479FF90D" w:rsidP="00356A3E">
      <w:pPr>
        <w:pStyle w:val="Prrafodelista"/>
        <w:numPr>
          <w:ilvl w:val="0"/>
          <w:numId w:val="76"/>
        </w:numPr>
        <w:spacing w:line="257" w:lineRule="auto"/>
        <w:jc w:val="both"/>
        <w:rPr>
          <w:rFonts w:ascii="Arial" w:eastAsia="Arial" w:hAnsi="Arial" w:cs="Arial"/>
          <w:sz w:val="22"/>
          <w:szCs w:val="22"/>
          <w:lang w:val="es"/>
        </w:rPr>
      </w:pPr>
      <w:r w:rsidRPr="00B710A9">
        <w:rPr>
          <w:rFonts w:ascii="Arial" w:eastAsia="Arial" w:hAnsi="Arial" w:cs="Arial"/>
          <w:sz w:val="22"/>
          <w:szCs w:val="22"/>
          <w:lang w:val="es"/>
        </w:rPr>
        <w:t xml:space="preserve">Documento normativo para los lineamientos de estandarización   </w:t>
      </w:r>
    </w:p>
    <w:p w14:paraId="1107D4E3" w14:textId="2E683E89" w:rsidR="479FF90D" w:rsidRPr="00B710A9" w:rsidRDefault="479FF90D" w:rsidP="00356A3E">
      <w:pPr>
        <w:pStyle w:val="Prrafodelista"/>
        <w:numPr>
          <w:ilvl w:val="0"/>
          <w:numId w:val="75"/>
        </w:numPr>
        <w:spacing w:line="257" w:lineRule="auto"/>
        <w:jc w:val="both"/>
        <w:rPr>
          <w:rFonts w:ascii="Arial" w:eastAsia="Arial" w:hAnsi="Arial" w:cs="Arial"/>
          <w:sz w:val="22"/>
          <w:szCs w:val="22"/>
          <w:lang w:val="es"/>
        </w:rPr>
      </w:pPr>
      <w:r w:rsidRPr="00B710A9">
        <w:rPr>
          <w:rFonts w:ascii="Arial" w:eastAsia="Arial" w:hAnsi="Arial" w:cs="Arial"/>
          <w:sz w:val="22"/>
          <w:szCs w:val="22"/>
          <w:lang w:val="es"/>
        </w:rPr>
        <w:t xml:space="preserve">Documento normativo sobre el Marco de Referencia Geoespacial  </w:t>
      </w:r>
    </w:p>
    <w:p w14:paraId="6B587E31" w14:textId="2EDEC9FB" w:rsidR="479FF90D" w:rsidRPr="00B710A9" w:rsidRDefault="479FF90D" w:rsidP="00356A3E">
      <w:pPr>
        <w:pStyle w:val="Prrafodelista"/>
        <w:numPr>
          <w:ilvl w:val="0"/>
          <w:numId w:val="74"/>
        </w:numPr>
        <w:spacing w:line="257" w:lineRule="auto"/>
        <w:jc w:val="both"/>
        <w:rPr>
          <w:rFonts w:ascii="Arial" w:eastAsia="Arial" w:hAnsi="Arial" w:cs="Arial"/>
          <w:sz w:val="22"/>
          <w:szCs w:val="22"/>
          <w:lang w:val="es"/>
        </w:rPr>
      </w:pPr>
      <w:r w:rsidRPr="00B710A9">
        <w:rPr>
          <w:rFonts w:ascii="Arial" w:eastAsia="Arial" w:hAnsi="Arial" w:cs="Arial"/>
          <w:sz w:val="22"/>
          <w:szCs w:val="22"/>
          <w:lang w:val="es"/>
        </w:rPr>
        <w:t xml:space="preserve">Documento normativo sobre el modelo de gobernanza de modelos extendidos LADM_COL.  </w:t>
      </w:r>
    </w:p>
    <w:p w14:paraId="70D3A932" w14:textId="6F301075" w:rsidR="33A1FD1F" w:rsidRPr="00024431" w:rsidRDefault="479FF90D" w:rsidP="33A1FD1F">
      <w:pPr>
        <w:pStyle w:val="Prrafodelista"/>
        <w:numPr>
          <w:ilvl w:val="0"/>
          <w:numId w:val="73"/>
        </w:numPr>
        <w:spacing w:line="257" w:lineRule="auto"/>
        <w:jc w:val="both"/>
        <w:rPr>
          <w:rFonts w:ascii="Arial" w:eastAsia="Arial" w:hAnsi="Arial" w:cs="Arial"/>
          <w:sz w:val="22"/>
          <w:szCs w:val="22"/>
          <w:lang w:val="es"/>
        </w:rPr>
      </w:pPr>
      <w:r w:rsidRPr="00B710A9">
        <w:rPr>
          <w:rFonts w:ascii="Arial" w:eastAsia="Arial" w:hAnsi="Arial" w:cs="Arial"/>
          <w:sz w:val="22"/>
          <w:szCs w:val="22"/>
          <w:lang w:val="es"/>
        </w:rPr>
        <w:t xml:space="preserve">Documento normativo de Gobernanza de la Infraestructura Colombiana de Datos Espaciales ICDE.   </w:t>
      </w:r>
    </w:p>
    <w:p w14:paraId="10CAB807" w14:textId="3D06528E" w:rsidR="479FF90D" w:rsidRPr="00B710A9" w:rsidRDefault="479FF90D" w:rsidP="479FF90D">
      <w:pPr>
        <w:spacing w:line="257" w:lineRule="auto"/>
        <w:jc w:val="both"/>
        <w:rPr>
          <w:rFonts w:ascii="Arial" w:eastAsia="Arial" w:hAnsi="Arial" w:cs="Arial"/>
          <w:sz w:val="22"/>
          <w:szCs w:val="22"/>
          <w:lang w:val="es"/>
        </w:rPr>
      </w:pPr>
      <w:r w:rsidRPr="00B710A9">
        <w:rPr>
          <w:rFonts w:ascii="Arial" w:eastAsia="Arial" w:hAnsi="Arial" w:cs="Arial"/>
          <w:sz w:val="22"/>
          <w:szCs w:val="22"/>
          <w:lang w:val="es"/>
        </w:rPr>
        <w:t xml:space="preserve">Adicionalmente se realizó el documento de formulación del proyecto Consolidación IDE-IGAC, este documento es un instrumento de base para la caracterización de los datos fundamentales a cargo del IGAC.  </w:t>
      </w:r>
    </w:p>
    <w:p w14:paraId="3E88CB2F" w14:textId="19059B9C" w:rsidR="479FF90D" w:rsidRPr="00B710A9" w:rsidRDefault="479FF90D" w:rsidP="479FF90D">
      <w:pPr>
        <w:spacing w:line="257" w:lineRule="auto"/>
        <w:jc w:val="both"/>
        <w:rPr>
          <w:rFonts w:ascii="Arial" w:eastAsia="Arial" w:hAnsi="Arial" w:cs="Arial"/>
          <w:color w:val="C00000"/>
          <w:sz w:val="22"/>
          <w:szCs w:val="22"/>
          <w:lang w:val="es"/>
        </w:rPr>
      </w:pPr>
      <w:r w:rsidRPr="00B710A9">
        <w:rPr>
          <w:rFonts w:ascii="Arial" w:eastAsia="Arial" w:hAnsi="Arial" w:cs="Arial"/>
          <w:sz w:val="22"/>
          <w:szCs w:val="22"/>
          <w:lang w:val="es"/>
        </w:rPr>
        <w:lastRenderedPageBreak/>
        <w:t xml:space="preserve">En cuanto a los datos fundamentales del IGAC se actualizó el inventario de información geográfica del IGAC, incluidos datos no fundamentales. Para la disposición de datos fundamentales del IGAC se realizó un piloto de caracterización del dato, incluyendo metadato, informe de calidad y catálogo para la disposición a través del portal ICDE.  </w:t>
      </w:r>
      <w:r w:rsidRPr="00B710A9">
        <w:rPr>
          <w:rFonts w:ascii="Arial" w:eastAsia="Arial" w:hAnsi="Arial" w:cs="Arial"/>
          <w:color w:val="C00000"/>
          <w:sz w:val="22"/>
          <w:szCs w:val="22"/>
          <w:lang w:val="es"/>
        </w:rPr>
        <w:t xml:space="preserve"> </w:t>
      </w:r>
    </w:p>
    <w:p w14:paraId="57592A52" w14:textId="32DFAD66" w:rsidR="479FF90D" w:rsidRPr="00024431" w:rsidRDefault="479FF90D" w:rsidP="479FF90D">
      <w:pPr>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lang w:val="es"/>
        </w:rPr>
        <w:t>Es importante indicar que a partir de la expedición de los decretos 846 y 847 de Julio de 2021, las funciones de la ICDE fueron trasladadas a la Dirección de Tecnologías de la Información y Comunicaciones, por lo tanto, se realizaron las sesiones de entrega y empalme de los avances y resultados para su continuidad desde la nueva dependencia. De esta manera, se detallan los logros obtenidos durante la vigencia 2021 y parte del 2022:</w:t>
      </w:r>
    </w:p>
    <w:p w14:paraId="0ECDFAEA" w14:textId="2CB61509" w:rsidR="479FF90D" w:rsidRPr="00B710A9" w:rsidRDefault="479FF90D" w:rsidP="00356A3E">
      <w:pPr>
        <w:pStyle w:val="Prrafodelista"/>
        <w:numPr>
          <w:ilvl w:val="0"/>
          <w:numId w:val="72"/>
        </w:numPr>
        <w:jc w:val="both"/>
        <w:rPr>
          <w:rFonts w:ascii="Arial" w:eastAsia="Arial" w:hAnsi="Arial" w:cs="Arial"/>
          <w:sz w:val="22"/>
          <w:szCs w:val="22"/>
          <w:lang w:val="es-MX"/>
        </w:rPr>
      </w:pPr>
      <w:r w:rsidRPr="00B710A9">
        <w:rPr>
          <w:rFonts w:ascii="Arial" w:eastAsia="Arial" w:hAnsi="Arial" w:cs="Arial"/>
          <w:sz w:val="22"/>
          <w:szCs w:val="22"/>
          <w:lang w:val="es-MX"/>
        </w:rPr>
        <w:t xml:space="preserve">Durante la vigencia 2021 se realizó la socialización y presentación del enfoque de la estrategia territorial en el marco del Subcomponente 2.4 (Fortalecimiento de la ICDE). La actividad fue ejecutada en el municipio de Duitama, con la participación de los siete (7) municipios priorizados para el 2021 en materia de la implementación de la política de catastro multipropósito del departamento de Boyacá, a saber: </w:t>
      </w:r>
      <w:proofErr w:type="spellStart"/>
      <w:r w:rsidRPr="00B710A9">
        <w:rPr>
          <w:rFonts w:ascii="Arial" w:eastAsia="Arial" w:hAnsi="Arial" w:cs="Arial"/>
          <w:sz w:val="22"/>
          <w:szCs w:val="22"/>
          <w:lang w:val="es-MX"/>
        </w:rPr>
        <w:t>Sativasur</w:t>
      </w:r>
      <w:proofErr w:type="spellEnd"/>
      <w:r w:rsidRPr="00B710A9">
        <w:rPr>
          <w:rFonts w:ascii="Arial" w:eastAsia="Arial" w:hAnsi="Arial" w:cs="Arial"/>
          <w:sz w:val="22"/>
          <w:szCs w:val="22"/>
          <w:lang w:val="es-MX"/>
        </w:rPr>
        <w:t xml:space="preserve">, </w:t>
      </w:r>
      <w:proofErr w:type="spellStart"/>
      <w:r w:rsidRPr="00B710A9">
        <w:rPr>
          <w:rFonts w:ascii="Arial" w:eastAsia="Arial" w:hAnsi="Arial" w:cs="Arial"/>
          <w:sz w:val="22"/>
          <w:szCs w:val="22"/>
          <w:lang w:val="es-MX"/>
        </w:rPr>
        <w:t>Busbanzá</w:t>
      </w:r>
      <w:proofErr w:type="spellEnd"/>
      <w:r w:rsidRPr="00B710A9">
        <w:rPr>
          <w:rFonts w:ascii="Arial" w:eastAsia="Arial" w:hAnsi="Arial" w:cs="Arial"/>
          <w:sz w:val="22"/>
          <w:szCs w:val="22"/>
          <w:lang w:val="es-MX"/>
        </w:rPr>
        <w:t xml:space="preserve">, </w:t>
      </w:r>
      <w:proofErr w:type="spellStart"/>
      <w:r w:rsidRPr="00B710A9">
        <w:rPr>
          <w:rFonts w:ascii="Arial" w:eastAsia="Arial" w:hAnsi="Arial" w:cs="Arial"/>
          <w:sz w:val="22"/>
          <w:szCs w:val="22"/>
          <w:lang w:val="es-MX"/>
        </w:rPr>
        <w:t>Beteitiva</w:t>
      </w:r>
      <w:proofErr w:type="spellEnd"/>
      <w:r w:rsidRPr="00B710A9">
        <w:rPr>
          <w:rFonts w:ascii="Arial" w:eastAsia="Arial" w:hAnsi="Arial" w:cs="Arial"/>
          <w:sz w:val="22"/>
          <w:szCs w:val="22"/>
          <w:lang w:val="es-MX"/>
        </w:rPr>
        <w:t xml:space="preserve">, Corrales, Socotá, Tasco y Socha, así como a la Gobernación de Boyacá y a delegados del operador catastral en el departamento - </w:t>
      </w:r>
      <w:proofErr w:type="spellStart"/>
      <w:r w:rsidRPr="00B710A9">
        <w:rPr>
          <w:rFonts w:ascii="Arial" w:eastAsia="Arial" w:hAnsi="Arial" w:cs="Arial"/>
          <w:sz w:val="22"/>
          <w:szCs w:val="22"/>
          <w:lang w:val="es-MX"/>
        </w:rPr>
        <w:t>Telespazio</w:t>
      </w:r>
      <w:proofErr w:type="spellEnd"/>
      <w:r w:rsidRPr="00B710A9">
        <w:rPr>
          <w:rFonts w:ascii="Arial" w:eastAsia="Arial" w:hAnsi="Arial" w:cs="Arial"/>
          <w:sz w:val="22"/>
          <w:szCs w:val="22"/>
          <w:lang w:val="es-MX"/>
        </w:rPr>
        <w:t xml:space="preserve">. La jornada de socialización tuvo como énfasis los temas presentados a continuación, y su ejecución se cumplió según lo programado. Estas socializaciones se efectuaron en los meses de octubre y noviembre. </w:t>
      </w:r>
    </w:p>
    <w:p w14:paraId="71B0DE71" w14:textId="13AC6E85" w:rsidR="479FF90D" w:rsidRPr="00B710A9" w:rsidRDefault="479FF90D" w:rsidP="003B4398">
      <w:pPr>
        <w:jc w:val="both"/>
        <w:rPr>
          <w:rFonts w:ascii="Arial" w:eastAsia="Arial" w:hAnsi="Arial" w:cs="Arial"/>
          <w:sz w:val="22"/>
          <w:szCs w:val="22"/>
          <w:lang w:val="es-MX"/>
        </w:rPr>
      </w:pPr>
      <w:r w:rsidRPr="00B710A9">
        <w:rPr>
          <w:rFonts w:ascii="Arial" w:eastAsia="Arial" w:hAnsi="Arial" w:cs="Arial"/>
          <w:sz w:val="22"/>
          <w:szCs w:val="22"/>
          <w:lang w:val="es"/>
        </w:rPr>
        <w:t xml:space="preserve"> </w:t>
      </w:r>
      <w:r w:rsidRPr="00B710A9">
        <w:rPr>
          <w:rFonts w:ascii="Arial" w:eastAsia="Arial" w:hAnsi="Arial" w:cs="Arial"/>
          <w:sz w:val="22"/>
          <w:szCs w:val="22"/>
          <w:lang w:val="es-MX"/>
        </w:rPr>
        <w:t>Dentro de la agenda que se trabaja en las socializaciones se encuentra:</w:t>
      </w:r>
    </w:p>
    <w:p w14:paraId="1AD7B528" w14:textId="4222EE8A" w:rsidR="479FF90D" w:rsidRPr="00B710A9" w:rsidRDefault="479FF90D" w:rsidP="003B4398">
      <w:pPr>
        <w:pStyle w:val="Prrafodelista"/>
        <w:numPr>
          <w:ilvl w:val="0"/>
          <w:numId w:val="121"/>
        </w:numPr>
        <w:jc w:val="both"/>
        <w:rPr>
          <w:rFonts w:ascii="Arial" w:eastAsia="Arial" w:hAnsi="Arial" w:cs="Arial"/>
          <w:sz w:val="22"/>
          <w:szCs w:val="22"/>
          <w:lang w:val="es-MX"/>
        </w:rPr>
      </w:pPr>
      <w:r w:rsidRPr="00B710A9">
        <w:rPr>
          <w:rFonts w:ascii="Arial" w:eastAsia="Arial" w:hAnsi="Arial" w:cs="Arial"/>
          <w:sz w:val="22"/>
          <w:szCs w:val="22"/>
          <w:lang w:val="es-MX"/>
        </w:rPr>
        <w:t xml:space="preserve">Introducción al “Programa para la Adopción e Implementación de un Catastro Multipropósito Rural – Urbano” </w:t>
      </w:r>
    </w:p>
    <w:p w14:paraId="6B6D770A" w14:textId="315F305C" w:rsidR="479FF90D" w:rsidRPr="00B710A9" w:rsidRDefault="479FF90D" w:rsidP="003B4398">
      <w:pPr>
        <w:pStyle w:val="Prrafodelista"/>
        <w:numPr>
          <w:ilvl w:val="0"/>
          <w:numId w:val="121"/>
        </w:numPr>
        <w:jc w:val="both"/>
        <w:rPr>
          <w:rFonts w:ascii="Arial" w:eastAsia="Arial" w:hAnsi="Arial" w:cs="Arial"/>
          <w:sz w:val="22"/>
          <w:szCs w:val="22"/>
          <w:lang w:val="es-MX"/>
        </w:rPr>
      </w:pPr>
      <w:r w:rsidRPr="00B710A9">
        <w:rPr>
          <w:rFonts w:ascii="Arial" w:eastAsia="Arial" w:hAnsi="Arial" w:cs="Arial"/>
          <w:sz w:val="22"/>
          <w:szCs w:val="22"/>
          <w:lang w:val="es-MX"/>
        </w:rPr>
        <w:t xml:space="preserve">Innovación tecnológica para la Administración del Territorio </w:t>
      </w:r>
    </w:p>
    <w:p w14:paraId="4A7C69C8" w14:textId="3DF7DB05" w:rsidR="479FF90D" w:rsidRPr="00B710A9" w:rsidRDefault="479FF90D" w:rsidP="003B4398">
      <w:pPr>
        <w:pStyle w:val="Prrafodelista"/>
        <w:numPr>
          <w:ilvl w:val="0"/>
          <w:numId w:val="121"/>
        </w:numPr>
        <w:jc w:val="both"/>
        <w:rPr>
          <w:rFonts w:ascii="Arial" w:eastAsia="Arial" w:hAnsi="Arial" w:cs="Arial"/>
          <w:sz w:val="22"/>
          <w:szCs w:val="22"/>
          <w:lang w:val="es-MX"/>
        </w:rPr>
      </w:pPr>
      <w:r w:rsidRPr="00B710A9">
        <w:rPr>
          <w:rFonts w:ascii="Arial" w:eastAsia="Arial" w:hAnsi="Arial" w:cs="Arial"/>
          <w:sz w:val="22"/>
          <w:szCs w:val="22"/>
          <w:lang w:val="es-MX"/>
        </w:rPr>
        <w:t xml:space="preserve">Sistema de Administración del Territorio y Catastro Multipropósito </w:t>
      </w:r>
    </w:p>
    <w:p w14:paraId="29399DD8" w14:textId="3FD9B8DD" w:rsidR="479FF90D" w:rsidRPr="00B710A9" w:rsidRDefault="479FF90D" w:rsidP="003B4398">
      <w:pPr>
        <w:pStyle w:val="Prrafodelista"/>
        <w:numPr>
          <w:ilvl w:val="0"/>
          <w:numId w:val="121"/>
        </w:numPr>
        <w:jc w:val="both"/>
        <w:rPr>
          <w:rFonts w:ascii="Arial" w:eastAsia="Arial" w:hAnsi="Arial" w:cs="Arial"/>
          <w:sz w:val="22"/>
          <w:szCs w:val="22"/>
          <w:lang w:val="es-MX"/>
        </w:rPr>
      </w:pPr>
      <w:r w:rsidRPr="00B710A9">
        <w:rPr>
          <w:rFonts w:ascii="Arial" w:eastAsia="Arial" w:hAnsi="Arial" w:cs="Arial"/>
          <w:sz w:val="22"/>
          <w:szCs w:val="22"/>
          <w:lang w:val="es-MX"/>
        </w:rPr>
        <w:t xml:space="preserve">Presentación del proyecto de Fortalecimiento de la ICDE </w:t>
      </w:r>
    </w:p>
    <w:p w14:paraId="6443CFA3" w14:textId="26361EB2" w:rsidR="479FF90D" w:rsidRPr="00B710A9" w:rsidRDefault="479FF90D" w:rsidP="003B4398">
      <w:pPr>
        <w:pStyle w:val="Prrafodelista"/>
        <w:numPr>
          <w:ilvl w:val="0"/>
          <w:numId w:val="121"/>
        </w:numPr>
        <w:jc w:val="both"/>
        <w:rPr>
          <w:rFonts w:ascii="Arial" w:eastAsia="Arial" w:hAnsi="Arial" w:cs="Arial"/>
          <w:sz w:val="22"/>
          <w:szCs w:val="22"/>
          <w:lang w:val="es-MX"/>
        </w:rPr>
      </w:pPr>
      <w:r w:rsidRPr="00B710A9">
        <w:rPr>
          <w:rFonts w:ascii="Arial" w:eastAsia="Arial" w:hAnsi="Arial" w:cs="Arial"/>
          <w:sz w:val="22"/>
          <w:szCs w:val="22"/>
          <w:lang w:val="es-MX"/>
        </w:rPr>
        <w:t xml:space="preserve">Enfoque de Género y Catastro Multipropósito </w:t>
      </w:r>
    </w:p>
    <w:p w14:paraId="74D567A8" w14:textId="03B982C1" w:rsidR="479FF90D" w:rsidRDefault="479FF90D" w:rsidP="479FF90D">
      <w:pPr>
        <w:pStyle w:val="Prrafodelista"/>
        <w:numPr>
          <w:ilvl w:val="0"/>
          <w:numId w:val="121"/>
        </w:numPr>
        <w:jc w:val="both"/>
        <w:rPr>
          <w:rFonts w:ascii="Arial" w:eastAsia="Arial" w:hAnsi="Arial" w:cs="Arial"/>
          <w:sz w:val="22"/>
          <w:szCs w:val="22"/>
          <w:lang w:val="es-MX"/>
        </w:rPr>
      </w:pPr>
      <w:r w:rsidRPr="00B710A9">
        <w:rPr>
          <w:rFonts w:ascii="Arial" w:eastAsia="Arial" w:hAnsi="Arial" w:cs="Arial"/>
          <w:sz w:val="22"/>
          <w:szCs w:val="22"/>
          <w:lang w:val="es-MX"/>
        </w:rPr>
        <w:t xml:space="preserve">Compromiso para el abordaje y transferencia de conocimiento en campo, en torno al acceso, uso y aprovechamiento de la información dispuesta por la ICDE para los territorios.  </w:t>
      </w:r>
    </w:p>
    <w:p w14:paraId="7ED9CF52" w14:textId="77777777" w:rsidR="00024431" w:rsidRPr="00024431" w:rsidRDefault="00024431" w:rsidP="00024431">
      <w:pPr>
        <w:pStyle w:val="Prrafodelista"/>
        <w:ind w:left="785"/>
        <w:jc w:val="both"/>
        <w:rPr>
          <w:rFonts w:ascii="Arial" w:eastAsia="Arial" w:hAnsi="Arial" w:cs="Arial"/>
          <w:sz w:val="22"/>
          <w:szCs w:val="22"/>
          <w:lang w:val="es-MX"/>
        </w:rPr>
      </w:pPr>
    </w:p>
    <w:p w14:paraId="25B3EA17" w14:textId="3D8C9AF6" w:rsidR="479FF90D" w:rsidRPr="00B710A9" w:rsidRDefault="479FF90D" w:rsidP="00356A3E">
      <w:pPr>
        <w:pStyle w:val="Prrafodelista"/>
        <w:numPr>
          <w:ilvl w:val="0"/>
          <w:numId w:val="65"/>
        </w:numPr>
        <w:jc w:val="both"/>
        <w:rPr>
          <w:rFonts w:ascii="Arial" w:eastAsia="Arial" w:hAnsi="Arial" w:cs="Arial"/>
          <w:sz w:val="22"/>
          <w:szCs w:val="22"/>
          <w:lang w:val="es-MX"/>
        </w:rPr>
      </w:pPr>
      <w:r w:rsidRPr="00B710A9">
        <w:rPr>
          <w:rFonts w:ascii="Arial" w:eastAsia="Arial" w:hAnsi="Arial" w:cs="Arial"/>
          <w:sz w:val="22"/>
          <w:szCs w:val="22"/>
          <w:lang w:val="es-MX"/>
        </w:rPr>
        <w:t>En octubre 2021 entró en ambiente productivo la nueva plataforma ICDE, permitiendo disponer a los ciudadanos y Entidades del sector central y territorial todos los recursos de Infraestructura de Datos Espaciales del país, como la central de consulta y abastecimiento de los servicios y herramientas geoespaciales útiles para realizar análisis geográfico estratégico del territorio nacional. Esta plataforma garantiza el derecho constitucional que tiene todo colombiano a adquirir información pública de su competencia y beneficia a toda la comunidad interesada en obtener y producir datos e información geoespacial, desde las entidades públicas y privadas, al sector académico (universidades e investigadores).</w:t>
      </w:r>
    </w:p>
    <w:p w14:paraId="14F8674E" w14:textId="4EE799F0" w:rsidR="479FF90D" w:rsidRPr="00B710A9" w:rsidRDefault="479FF90D" w:rsidP="00356A3E">
      <w:pPr>
        <w:pStyle w:val="Prrafodelista"/>
        <w:numPr>
          <w:ilvl w:val="0"/>
          <w:numId w:val="64"/>
        </w:numPr>
        <w:jc w:val="both"/>
        <w:rPr>
          <w:rFonts w:ascii="Arial" w:eastAsia="Arial" w:hAnsi="Arial" w:cs="Arial"/>
          <w:sz w:val="22"/>
          <w:szCs w:val="22"/>
          <w:lang w:val="es-MX"/>
        </w:rPr>
      </w:pPr>
      <w:r w:rsidRPr="00B710A9">
        <w:rPr>
          <w:rFonts w:ascii="Arial" w:eastAsia="Arial" w:hAnsi="Arial" w:cs="Arial"/>
          <w:sz w:val="22"/>
          <w:szCs w:val="22"/>
          <w:lang w:val="es-MX"/>
        </w:rPr>
        <w:t xml:space="preserve">A partir de octubre 2021 se desarrollan los talleres territoriales para dar a conocer los beneficios que la ICDE entrega a las Entidades territoriales, y se les capacita sobre el acceso, uso y aprovechamiento de información geoespacial. </w:t>
      </w:r>
    </w:p>
    <w:p w14:paraId="64AD1453" w14:textId="51DD74E8" w:rsidR="479FF90D" w:rsidRPr="00B710A9" w:rsidRDefault="479FF90D" w:rsidP="00356A3E">
      <w:pPr>
        <w:pStyle w:val="Prrafodelista"/>
        <w:numPr>
          <w:ilvl w:val="0"/>
          <w:numId w:val="64"/>
        </w:numPr>
        <w:jc w:val="both"/>
        <w:rPr>
          <w:rFonts w:ascii="Arial" w:eastAsia="Arial" w:hAnsi="Arial" w:cs="Arial"/>
          <w:sz w:val="22"/>
          <w:szCs w:val="22"/>
          <w:lang w:val="es-MX"/>
        </w:rPr>
      </w:pPr>
      <w:r w:rsidRPr="00B710A9">
        <w:rPr>
          <w:rFonts w:ascii="Arial" w:eastAsia="Arial" w:hAnsi="Arial" w:cs="Arial"/>
          <w:sz w:val="22"/>
          <w:szCs w:val="22"/>
          <w:lang w:val="es-MX"/>
        </w:rPr>
        <w:t xml:space="preserve">Durante la vigencia 2022 se ha trabajado en un borrador de decreto por el cual se define la gobernanza de la Infraestructura </w:t>
      </w:r>
      <w:r w:rsidRPr="00B710A9">
        <w:rPr>
          <w:rFonts w:ascii="Arial" w:eastAsia="Arial" w:hAnsi="Arial" w:cs="Arial"/>
          <w:sz w:val="22"/>
          <w:szCs w:val="22"/>
          <w:u w:val="single"/>
          <w:lang w:val="es-MX"/>
        </w:rPr>
        <w:t>Colombiana</w:t>
      </w:r>
      <w:r w:rsidRPr="00B710A9">
        <w:rPr>
          <w:rFonts w:ascii="Arial" w:eastAsia="Arial" w:hAnsi="Arial" w:cs="Arial"/>
          <w:sz w:val="22"/>
          <w:szCs w:val="22"/>
          <w:lang w:val="es-MX"/>
        </w:rPr>
        <w:t xml:space="preserve"> de Datos Espaciales ICDE. </w:t>
      </w:r>
      <w:r w:rsidRPr="00B710A9">
        <w:rPr>
          <w:rFonts w:ascii="Arial" w:eastAsia="Arial" w:hAnsi="Arial" w:cs="Arial"/>
          <w:sz w:val="22"/>
          <w:szCs w:val="22"/>
          <w:lang w:val="es-MX"/>
        </w:rPr>
        <w:lastRenderedPageBreak/>
        <w:t>A junio de 2022 el D</w:t>
      </w:r>
      <w:r w:rsidR="002939E4" w:rsidRPr="00B710A9">
        <w:rPr>
          <w:rFonts w:ascii="Arial" w:eastAsia="Arial" w:hAnsi="Arial" w:cs="Arial"/>
          <w:sz w:val="22"/>
          <w:szCs w:val="22"/>
          <w:lang w:val="es-MX"/>
        </w:rPr>
        <w:t>ANE lo</w:t>
      </w:r>
      <w:r w:rsidRPr="00B710A9">
        <w:rPr>
          <w:rFonts w:ascii="Arial" w:eastAsia="Arial" w:hAnsi="Arial" w:cs="Arial"/>
          <w:sz w:val="22"/>
          <w:szCs w:val="22"/>
          <w:lang w:val="es-MX"/>
        </w:rPr>
        <w:t xml:space="preserve"> aprobó técnicamente y firmó el borrador. Se espera que en julio DNP, MinTIC y la FAC aprueben y firmen el decreto. </w:t>
      </w:r>
    </w:p>
    <w:p w14:paraId="119B46AD" w14:textId="1025A472" w:rsidR="479FF90D" w:rsidRPr="00B710A9" w:rsidRDefault="479FF90D" w:rsidP="00356A3E">
      <w:pPr>
        <w:pStyle w:val="Prrafodelista"/>
        <w:numPr>
          <w:ilvl w:val="0"/>
          <w:numId w:val="64"/>
        </w:numPr>
        <w:jc w:val="both"/>
        <w:rPr>
          <w:rFonts w:ascii="Arial" w:eastAsia="Arial" w:hAnsi="Arial" w:cs="Arial"/>
          <w:sz w:val="22"/>
          <w:szCs w:val="22"/>
          <w:lang w:val="es-MX"/>
        </w:rPr>
      </w:pPr>
      <w:r w:rsidRPr="00B710A9">
        <w:rPr>
          <w:rFonts w:ascii="Arial" w:eastAsia="Arial" w:hAnsi="Arial" w:cs="Arial"/>
          <w:sz w:val="22"/>
          <w:szCs w:val="22"/>
          <w:lang w:val="es-MX"/>
        </w:rPr>
        <w:t xml:space="preserve">Desde el mes de enero de 2022 se reanudan las mesas técnicas de identificación de datos geográficos (fundamentales, objetos territoriales y/o datos abiertos) para los sectores agropecuario, marítimo, ambiente, transporte y minero energético. </w:t>
      </w:r>
    </w:p>
    <w:p w14:paraId="2DFD2407" w14:textId="63EE7454" w:rsidR="479FF90D" w:rsidRPr="00B710A9" w:rsidRDefault="479FF90D" w:rsidP="00356A3E">
      <w:pPr>
        <w:pStyle w:val="Prrafodelista"/>
        <w:numPr>
          <w:ilvl w:val="0"/>
          <w:numId w:val="63"/>
        </w:numPr>
        <w:jc w:val="both"/>
        <w:rPr>
          <w:rFonts w:ascii="Arial" w:eastAsia="Arial" w:hAnsi="Arial" w:cs="Arial"/>
          <w:sz w:val="22"/>
          <w:szCs w:val="22"/>
          <w:lang w:val="es-MX"/>
        </w:rPr>
      </w:pPr>
      <w:r w:rsidRPr="00B710A9">
        <w:rPr>
          <w:rFonts w:ascii="Arial" w:eastAsia="Arial" w:hAnsi="Arial" w:cs="Arial"/>
          <w:sz w:val="22"/>
          <w:szCs w:val="22"/>
          <w:lang w:val="es-MX"/>
        </w:rPr>
        <w:t>En el mes de mayo se publicó en el portal de la ICDE la Guía de Gobernanza de Modelos Extendidos LADM_COL que dará línea a las entidades en dichas identificaciones y construcciones de modelos.</w:t>
      </w:r>
    </w:p>
    <w:p w14:paraId="03130033" w14:textId="17DCFA34" w:rsidR="479FF90D" w:rsidRPr="00024431" w:rsidRDefault="479FF90D" w:rsidP="00024431">
      <w:pPr>
        <w:pStyle w:val="Prrafodelista"/>
        <w:numPr>
          <w:ilvl w:val="0"/>
          <w:numId w:val="63"/>
        </w:numPr>
        <w:jc w:val="both"/>
        <w:rPr>
          <w:rFonts w:ascii="Arial" w:eastAsia="Arial" w:hAnsi="Arial" w:cs="Arial"/>
          <w:sz w:val="22"/>
          <w:szCs w:val="22"/>
          <w:lang w:val="es-MX"/>
        </w:rPr>
      </w:pPr>
      <w:r w:rsidRPr="00B710A9">
        <w:rPr>
          <w:rFonts w:ascii="Arial" w:eastAsia="Arial" w:hAnsi="Arial" w:cs="Arial"/>
          <w:sz w:val="22"/>
          <w:szCs w:val="22"/>
          <w:lang w:val="es-MX"/>
        </w:rPr>
        <w:t xml:space="preserve">En el mes de junio se hizo el lanzamiento en la semana geomática 2022 de </w:t>
      </w:r>
      <w:proofErr w:type="spellStart"/>
      <w:r w:rsidRPr="00B710A9">
        <w:rPr>
          <w:rFonts w:ascii="Arial" w:eastAsia="Arial" w:hAnsi="Arial" w:cs="Arial"/>
          <w:sz w:val="22"/>
          <w:szCs w:val="22"/>
          <w:lang w:val="es-MX"/>
        </w:rPr>
        <w:t>InData</w:t>
      </w:r>
      <w:proofErr w:type="spellEnd"/>
      <w:r w:rsidRPr="00B710A9">
        <w:rPr>
          <w:rFonts w:ascii="Arial" w:eastAsia="Arial" w:hAnsi="Arial" w:cs="Arial"/>
          <w:sz w:val="22"/>
          <w:szCs w:val="22"/>
          <w:lang w:val="es-MX"/>
        </w:rPr>
        <w:t xml:space="preserve"> un desarrollo web que permitirá la identificación, almacenamiento y caracterización por parte de las entidades de sus datos geográficos, con la primera versión de un </w:t>
      </w:r>
      <w:proofErr w:type="spellStart"/>
      <w:r w:rsidRPr="00B710A9">
        <w:rPr>
          <w:rFonts w:ascii="Arial" w:eastAsia="Arial" w:hAnsi="Arial" w:cs="Arial"/>
          <w:sz w:val="22"/>
          <w:szCs w:val="22"/>
          <w:lang w:val="es-MX"/>
        </w:rPr>
        <w:t>dash</w:t>
      </w:r>
      <w:proofErr w:type="spellEnd"/>
      <w:r w:rsidRPr="00B710A9">
        <w:rPr>
          <w:rFonts w:ascii="Arial" w:eastAsia="Arial" w:hAnsi="Arial" w:cs="Arial"/>
          <w:sz w:val="22"/>
          <w:szCs w:val="22"/>
          <w:lang w:val="es-MX"/>
        </w:rPr>
        <w:t xml:space="preserve"> </w:t>
      </w:r>
      <w:proofErr w:type="spellStart"/>
      <w:r w:rsidRPr="00B710A9">
        <w:rPr>
          <w:rFonts w:ascii="Arial" w:eastAsia="Arial" w:hAnsi="Arial" w:cs="Arial"/>
          <w:sz w:val="22"/>
          <w:szCs w:val="22"/>
          <w:lang w:val="es-MX"/>
        </w:rPr>
        <w:t>board</w:t>
      </w:r>
      <w:proofErr w:type="spellEnd"/>
      <w:r w:rsidRPr="00B710A9">
        <w:rPr>
          <w:rFonts w:ascii="Arial" w:eastAsia="Arial" w:hAnsi="Arial" w:cs="Arial"/>
          <w:sz w:val="22"/>
          <w:szCs w:val="22"/>
          <w:lang w:val="es-MX"/>
        </w:rPr>
        <w:t xml:space="preserve"> público que permita en tiempo real, hacer seguimientos de los avances reportados por las entidades y a nivel de sector.</w:t>
      </w:r>
    </w:p>
    <w:p w14:paraId="764C686C" w14:textId="3DD5795C" w:rsidR="008C4A23" w:rsidRPr="00B710A9" w:rsidRDefault="00526830" w:rsidP="00356A3E">
      <w:pPr>
        <w:numPr>
          <w:ilvl w:val="0"/>
          <w:numId w:val="38"/>
        </w:numPr>
        <w:spacing w:after="0" w:line="240" w:lineRule="auto"/>
        <w:jc w:val="both"/>
        <w:rPr>
          <w:rFonts w:ascii="Arial" w:eastAsia="Arial" w:hAnsi="Arial" w:cs="Arial"/>
          <w:b/>
          <w:color w:val="000000" w:themeColor="text1"/>
          <w:sz w:val="22"/>
          <w:szCs w:val="22"/>
        </w:rPr>
      </w:pPr>
      <w:r w:rsidRPr="00B710A9">
        <w:rPr>
          <w:rFonts w:ascii="Arial" w:eastAsia="Arial" w:hAnsi="Arial" w:cs="Arial"/>
          <w:b/>
          <w:color w:val="000000" w:themeColor="text1"/>
          <w:sz w:val="22"/>
          <w:szCs w:val="22"/>
        </w:rPr>
        <w:t>Información cartográfica generada o actualizada a diferentes resoluciones</w:t>
      </w:r>
    </w:p>
    <w:p w14:paraId="6C4EE5C0" w14:textId="77777777" w:rsidR="008C4A23" w:rsidRPr="00B710A9" w:rsidRDefault="008C4A23" w:rsidP="084347D4">
      <w:pPr>
        <w:spacing w:after="0" w:line="240" w:lineRule="auto"/>
        <w:jc w:val="both"/>
        <w:rPr>
          <w:rFonts w:ascii="Arial" w:eastAsia="Arial" w:hAnsi="Arial" w:cs="Arial"/>
          <w:color w:val="000000" w:themeColor="text1"/>
          <w:sz w:val="22"/>
          <w:szCs w:val="22"/>
          <w:u w:val="single"/>
        </w:rPr>
      </w:pPr>
    </w:p>
    <w:p w14:paraId="29D0F3F5" w14:textId="3DD5795C" w:rsidR="008C4A23" w:rsidRPr="00B710A9" w:rsidRDefault="00526830" w:rsidP="084347D4">
      <w:pPr>
        <w:spacing w:after="0" w:line="240" w:lineRule="auto"/>
        <w:jc w:val="both"/>
        <w:rPr>
          <w:rFonts w:ascii="Arial" w:eastAsia="Arial" w:hAnsi="Arial" w:cs="Arial"/>
          <w:b/>
          <w:bCs/>
          <w:color w:val="000000" w:themeColor="text1"/>
          <w:sz w:val="22"/>
          <w:szCs w:val="22"/>
          <w:u w:val="single"/>
        </w:rPr>
      </w:pPr>
      <w:r w:rsidRPr="00B710A9">
        <w:rPr>
          <w:rFonts w:ascii="Arial" w:eastAsia="Arial" w:hAnsi="Arial" w:cs="Arial"/>
          <w:b/>
          <w:bCs/>
          <w:color w:val="000000" w:themeColor="text1"/>
          <w:sz w:val="22"/>
          <w:szCs w:val="22"/>
          <w:u w:val="single"/>
        </w:rPr>
        <w:t>Generación y actualización de cartografía</w:t>
      </w:r>
    </w:p>
    <w:p w14:paraId="4C311DA6" w14:textId="5E2110E9" w:rsidR="00541AC8" w:rsidRPr="00B710A9" w:rsidRDefault="00541AC8" w:rsidP="084347D4">
      <w:pPr>
        <w:spacing w:after="0" w:line="240" w:lineRule="auto"/>
        <w:jc w:val="both"/>
        <w:rPr>
          <w:rFonts w:ascii="Arial" w:eastAsia="Arial" w:hAnsi="Arial" w:cs="Arial"/>
          <w:b/>
          <w:bCs/>
          <w:color w:val="000000" w:themeColor="text1"/>
          <w:sz w:val="22"/>
          <w:szCs w:val="22"/>
          <w:u w:val="single"/>
        </w:rPr>
      </w:pPr>
    </w:p>
    <w:p w14:paraId="2619CD20" w14:textId="3DD5795C" w:rsidR="00541AC8" w:rsidRPr="00B710A9" w:rsidRDefault="70A85943" w:rsidP="70A85943">
      <w:pPr>
        <w:spacing w:after="0" w:line="240" w:lineRule="auto"/>
        <w:jc w:val="both"/>
        <w:rPr>
          <w:rFonts w:ascii="Arial" w:eastAsia="Arial" w:hAnsi="Arial" w:cs="Arial"/>
          <w:color w:val="000000" w:themeColor="text1"/>
          <w:sz w:val="22"/>
          <w:szCs w:val="22"/>
          <w:lang w:val="es-MX"/>
        </w:rPr>
      </w:pPr>
      <w:r w:rsidRPr="00B710A9">
        <w:rPr>
          <w:rFonts w:ascii="Arial" w:eastAsia="Arial" w:hAnsi="Arial" w:cs="Arial"/>
          <w:color w:val="000000" w:themeColor="text1"/>
          <w:sz w:val="22"/>
          <w:szCs w:val="22"/>
          <w:lang w:val="es-MX"/>
        </w:rPr>
        <w:t>La Gestión Cartográfica se enmarca en la producción, adquisición y/o validación de la cartografía básica oficial del país, insumo para el desarrollo de proyectos de diferentes entidades y demás partes interesadas. Como resultado de la gestión llevada a cabo durante la vigencia 2019 hasta lo transcurrido del 2022, el IGAC ha logrado avanzar en un 63.94% del área geográfica con cartografía básica a las escalas y con la temporalidad adecuada, correspondiente a 72.958.065,15 ha del territorio colombiano, a continuación, se presenta el detalle de las cifras incluyendo 2021 y primer semestre 2022:</w:t>
      </w:r>
    </w:p>
    <w:p w14:paraId="26815960" w14:textId="77777777" w:rsidR="00CF3F17" w:rsidRPr="00B710A9" w:rsidRDefault="00CF3F17" w:rsidP="70A85943">
      <w:pPr>
        <w:spacing w:after="0" w:line="240" w:lineRule="auto"/>
        <w:jc w:val="both"/>
        <w:rPr>
          <w:rFonts w:ascii="Arial" w:eastAsia="Arial" w:hAnsi="Arial" w:cs="Arial"/>
          <w:color w:val="000000" w:themeColor="text1"/>
          <w:sz w:val="22"/>
          <w:szCs w:val="22"/>
          <w:lang w:val="es-MX"/>
        </w:rPr>
      </w:pPr>
    </w:p>
    <w:p w14:paraId="53965E14" w14:textId="10BEE19A" w:rsidR="003E679C" w:rsidRPr="00B710A9" w:rsidRDefault="003E679C" w:rsidP="70A85943">
      <w:pPr>
        <w:spacing w:after="0" w:line="240" w:lineRule="auto"/>
        <w:jc w:val="both"/>
        <w:rPr>
          <w:rFonts w:ascii="Arial" w:hAnsi="Arial" w:cs="Arial"/>
          <w:b/>
          <w:bCs/>
          <w:sz w:val="22"/>
          <w:szCs w:val="22"/>
        </w:rPr>
      </w:pPr>
    </w:p>
    <w:p w14:paraId="4AA41908" w14:textId="44E191D7" w:rsidR="003E679C" w:rsidRPr="00B710A9" w:rsidRDefault="003E679C" w:rsidP="00C56DB9">
      <w:pPr>
        <w:pStyle w:val="Descripcin"/>
        <w:keepNext/>
        <w:jc w:val="center"/>
        <w:rPr>
          <w:rFonts w:ascii="Arial" w:hAnsi="Arial" w:cs="Arial"/>
          <w:b/>
          <w:bCs/>
          <w:i w:val="0"/>
          <w:iCs w:val="0"/>
          <w:color w:val="auto"/>
          <w:sz w:val="16"/>
          <w:szCs w:val="16"/>
        </w:rPr>
      </w:pPr>
      <w:bookmarkStart w:id="3" w:name="_Toc109057731"/>
      <w:r w:rsidRPr="00B710A9">
        <w:rPr>
          <w:rFonts w:ascii="Arial" w:hAnsi="Arial" w:cs="Arial"/>
          <w:b/>
          <w:bCs/>
          <w:i w:val="0"/>
          <w:iCs w:val="0"/>
          <w:color w:val="auto"/>
          <w:sz w:val="16"/>
          <w:szCs w:val="16"/>
        </w:rPr>
        <w:t xml:space="preserve">Tabla </w:t>
      </w:r>
      <w:r w:rsidRPr="00B710A9">
        <w:rPr>
          <w:rFonts w:ascii="Arial" w:hAnsi="Arial" w:cs="Arial"/>
          <w:b/>
          <w:bCs/>
          <w:i w:val="0"/>
          <w:iCs w:val="0"/>
          <w:color w:val="auto"/>
          <w:sz w:val="16"/>
          <w:szCs w:val="16"/>
        </w:rPr>
        <w:fldChar w:fldCharType="begin"/>
      </w:r>
      <w:r w:rsidRPr="00B710A9">
        <w:rPr>
          <w:rFonts w:ascii="Arial" w:hAnsi="Arial" w:cs="Arial"/>
          <w:b/>
          <w:bCs/>
          <w:i w:val="0"/>
          <w:iCs w:val="0"/>
          <w:color w:val="auto"/>
          <w:sz w:val="16"/>
          <w:szCs w:val="16"/>
        </w:rPr>
        <w:instrText xml:space="preserve"> SEQ Tabla \* ARABIC </w:instrText>
      </w:r>
      <w:r w:rsidRPr="00B710A9">
        <w:rPr>
          <w:rFonts w:ascii="Arial" w:hAnsi="Arial" w:cs="Arial"/>
          <w:b/>
          <w:bCs/>
          <w:i w:val="0"/>
          <w:iCs w:val="0"/>
          <w:color w:val="auto"/>
          <w:sz w:val="16"/>
          <w:szCs w:val="16"/>
        </w:rPr>
        <w:fldChar w:fldCharType="separate"/>
      </w:r>
      <w:r w:rsidR="00801DF8" w:rsidRPr="00B710A9">
        <w:rPr>
          <w:rFonts w:ascii="Arial" w:hAnsi="Arial" w:cs="Arial"/>
          <w:b/>
          <w:bCs/>
          <w:i w:val="0"/>
          <w:iCs w:val="0"/>
          <w:noProof/>
          <w:color w:val="auto"/>
          <w:sz w:val="16"/>
          <w:szCs w:val="16"/>
        </w:rPr>
        <w:t>1</w:t>
      </w:r>
      <w:r w:rsidRPr="00B710A9">
        <w:rPr>
          <w:rFonts w:ascii="Arial" w:hAnsi="Arial" w:cs="Arial"/>
          <w:b/>
          <w:bCs/>
          <w:i w:val="0"/>
          <w:iCs w:val="0"/>
          <w:color w:val="auto"/>
          <w:sz w:val="16"/>
          <w:szCs w:val="16"/>
        </w:rPr>
        <w:fldChar w:fldCharType="end"/>
      </w:r>
      <w:r w:rsidRPr="00B710A9">
        <w:rPr>
          <w:rFonts w:ascii="Arial" w:hAnsi="Arial" w:cs="Arial"/>
          <w:b/>
          <w:bCs/>
          <w:i w:val="0"/>
          <w:iCs w:val="0"/>
          <w:color w:val="auto"/>
          <w:sz w:val="16"/>
          <w:szCs w:val="16"/>
        </w:rPr>
        <w:t>. Área geográfica con cartografía básica 2019-2022</w:t>
      </w:r>
      <w:bookmarkEnd w:id="3"/>
    </w:p>
    <w:tbl>
      <w:tblPr>
        <w:tblStyle w:val="Tablaconcuadrcula4-nfasis1"/>
        <w:tblW w:w="8970" w:type="dxa"/>
        <w:tblLayout w:type="fixed"/>
        <w:tblLook w:val="06A0" w:firstRow="1" w:lastRow="0" w:firstColumn="1" w:lastColumn="0" w:noHBand="1" w:noVBand="1"/>
      </w:tblPr>
      <w:tblGrid>
        <w:gridCol w:w="1262"/>
        <w:gridCol w:w="876"/>
        <w:gridCol w:w="1693"/>
        <w:gridCol w:w="936"/>
        <w:gridCol w:w="1545"/>
        <w:gridCol w:w="15"/>
        <w:gridCol w:w="965"/>
        <w:gridCol w:w="1663"/>
        <w:gridCol w:w="15"/>
      </w:tblGrid>
      <w:tr w:rsidR="70A85943" w:rsidRPr="00B710A9" w14:paraId="5425308E" w14:textId="77777777" w:rsidTr="003E679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2" w:type="dxa"/>
            <w:vMerge w:val="restart"/>
            <w:tcBorders>
              <w:top w:val="single" w:sz="8" w:space="0" w:color="4F81BD"/>
              <w:left w:val="single" w:sz="8" w:space="0" w:color="4F81BD"/>
              <w:bottom w:val="single" w:sz="8" w:space="0" w:color="95B3D7"/>
            </w:tcBorders>
            <w:shd w:val="clear" w:color="auto" w:fill="4F81BD"/>
            <w:vAlign w:val="center"/>
          </w:tcPr>
          <w:p w14:paraId="2009F260" w14:textId="3DD5795C" w:rsidR="70A85943" w:rsidRPr="00B710A9" w:rsidRDefault="70A85943" w:rsidP="70A85943">
            <w:pPr>
              <w:jc w:val="center"/>
              <w:rPr>
                <w:rFonts w:ascii="Arial" w:eastAsia="Arial" w:hAnsi="Arial" w:cs="Arial"/>
                <w:sz w:val="18"/>
                <w:szCs w:val="18"/>
              </w:rPr>
            </w:pPr>
            <w:r w:rsidRPr="00B710A9">
              <w:rPr>
                <w:rFonts w:ascii="Arial" w:eastAsia="Arial" w:hAnsi="Arial" w:cs="Arial"/>
                <w:sz w:val="18"/>
                <w:szCs w:val="18"/>
              </w:rPr>
              <w:t>AÑO</w:t>
            </w:r>
          </w:p>
        </w:tc>
        <w:tc>
          <w:tcPr>
            <w:tcW w:w="2569" w:type="dxa"/>
            <w:gridSpan w:val="2"/>
            <w:tcBorders>
              <w:top w:val="single" w:sz="8" w:space="0" w:color="4F81BD"/>
              <w:bottom w:val="single" w:sz="8" w:space="0" w:color="4F81BD"/>
            </w:tcBorders>
            <w:shd w:val="clear" w:color="auto" w:fill="4F81BD"/>
            <w:vAlign w:val="center"/>
          </w:tcPr>
          <w:p w14:paraId="255A0564" w14:textId="3DD5795C" w:rsidR="70A85943" w:rsidRPr="00B710A9" w:rsidRDefault="70A85943" w:rsidP="70A859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META</w:t>
            </w:r>
          </w:p>
        </w:tc>
        <w:tc>
          <w:tcPr>
            <w:tcW w:w="2496" w:type="dxa"/>
            <w:gridSpan w:val="3"/>
            <w:tcBorders>
              <w:top w:val="single" w:sz="8" w:space="0" w:color="4F81BD"/>
              <w:bottom w:val="single" w:sz="8" w:space="0" w:color="4F81BD"/>
            </w:tcBorders>
            <w:shd w:val="clear" w:color="auto" w:fill="4F81BD"/>
            <w:vAlign w:val="center"/>
          </w:tcPr>
          <w:p w14:paraId="2CDD1F47" w14:textId="3DD5795C" w:rsidR="70A85943" w:rsidRPr="00B710A9" w:rsidRDefault="70A85943" w:rsidP="70A859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EJECUTADO</w:t>
            </w:r>
          </w:p>
        </w:tc>
        <w:tc>
          <w:tcPr>
            <w:tcW w:w="2643" w:type="dxa"/>
            <w:gridSpan w:val="3"/>
            <w:tcBorders>
              <w:top w:val="single" w:sz="8" w:space="0" w:color="4F81BD"/>
              <w:bottom w:val="single" w:sz="8" w:space="0" w:color="4F81BD"/>
              <w:right w:val="single" w:sz="8" w:space="0" w:color="4F81BD"/>
            </w:tcBorders>
            <w:shd w:val="clear" w:color="auto" w:fill="4F81BD"/>
            <w:vAlign w:val="center"/>
          </w:tcPr>
          <w:p w14:paraId="3B45D3DF" w14:textId="3DD5795C" w:rsidR="70A85943" w:rsidRPr="00B710A9" w:rsidRDefault="70A85943" w:rsidP="70A859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ACUMULADO</w:t>
            </w:r>
          </w:p>
        </w:tc>
      </w:tr>
      <w:tr w:rsidR="70A85943" w:rsidRPr="00B710A9" w14:paraId="74AC4F16" w14:textId="77777777" w:rsidTr="003E679C">
        <w:trPr>
          <w:gridAfter w:val="1"/>
          <w:wAfter w:w="15" w:type="dxa"/>
          <w:trHeight w:val="255"/>
        </w:trPr>
        <w:tc>
          <w:tcPr>
            <w:cnfStyle w:val="001000000000" w:firstRow="0" w:lastRow="0" w:firstColumn="1" w:lastColumn="0" w:oddVBand="0" w:evenVBand="0" w:oddHBand="0" w:evenHBand="0" w:firstRowFirstColumn="0" w:firstRowLastColumn="0" w:lastRowFirstColumn="0" w:lastRowLastColumn="0"/>
            <w:tcW w:w="1262" w:type="dxa"/>
            <w:vMerge/>
            <w:vAlign w:val="center"/>
          </w:tcPr>
          <w:p w14:paraId="12E43576" w14:textId="77777777" w:rsidR="00333809" w:rsidRPr="00B710A9" w:rsidRDefault="00333809"/>
        </w:tc>
        <w:tc>
          <w:tcPr>
            <w:tcW w:w="876" w:type="dxa"/>
            <w:tcBorders>
              <w:top w:val="single" w:sz="8" w:space="0" w:color="4F81BD"/>
              <w:left w:val="single" w:sz="8" w:space="0" w:color="95B3D7"/>
              <w:bottom w:val="single" w:sz="8" w:space="0" w:color="95B3D7"/>
              <w:right w:val="single" w:sz="8" w:space="0" w:color="95B3D7"/>
            </w:tcBorders>
            <w:vAlign w:val="center"/>
          </w:tcPr>
          <w:p w14:paraId="18102278" w14:textId="3DD5795C" w:rsidR="70A85943" w:rsidRPr="00B710A9" w:rsidRDefault="70A85943" w:rsidP="084347D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18"/>
                <w:szCs w:val="18"/>
              </w:rPr>
            </w:pPr>
            <w:r w:rsidRPr="00B710A9">
              <w:rPr>
                <w:rFonts w:ascii="Arial" w:eastAsia="Arial" w:hAnsi="Arial" w:cs="Arial"/>
                <w:b/>
                <w:bCs/>
                <w:color w:val="000000" w:themeColor="text1"/>
                <w:sz w:val="18"/>
                <w:szCs w:val="18"/>
              </w:rPr>
              <w:t>%</w:t>
            </w:r>
          </w:p>
        </w:tc>
        <w:tc>
          <w:tcPr>
            <w:tcW w:w="1693" w:type="dxa"/>
            <w:tcBorders>
              <w:top w:val="nil"/>
              <w:left w:val="single" w:sz="8" w:space="0" w:color="95B3D7"/>
              <w:bottom w:val="single" w:sz="8" w:space="0" w:color="95B3D7"/>
              <w:right w:val="single" w:sz="8" w:space="0" w:color="95B3D7"/>
            </w:tcBorders>
            <w:vAlign w:val="center"/>
          </w:tcPr>
          <w:p w14:paraId="79474B07" w14:textId="3DD5795C" w:rsidR="70A85943" w:rsidRPr="00B710A9" w:rsidRDefault="70A85943" w:rsidP="084347D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18"/>
                <w:szCs w:val="18"/>
              </w:rPr>
            </w:pPr>
            <w:r w:rsidRPr="00B710A9">
              <w:rPr>
                <w:rFonts w:ascii="Arial" w:eastAsia="Arial" w:hAnsi="Arial" w:cs="Arial"/>
                <w:b/>
                <w:bCs/>
                <w:color w:val="000000" w:themeColor="text1"/>
                <w:sz w:val="18"/>
                <w:szCs w:val="18"/>
              </w:rPr>
              <w:t>Área (ha)</w:t>
            </w:r>
          </w:p>
        </w:tc>
        <w:tc>
          <w:tcPr>
            <w:tcW w:w="936" w:type="dxa"/>
            <w:tcBorders>
              <w:top w:val="single" w:sz="8" w:space="0" w:color="4F81BD"/>
              <w:left w:val="single" w:sz="8" w:space="0" w:color="95B3D7"/>
              <w:bottom w:val="single" w:sz="8" w:space="0" w:color="95B3D7"/>
              <w:right w:val="single" w:sz="8" w:space="0" w:color="95B3D7"/>
            </w:tcBorders>
            <w:vAlign w:val="center"/>
          </w:tcPr>
          <w:p w14:paraId="23D351C5" w14:textId="3DD5795C" w:rsidR="70A85943" w:rsidRPr="00B710A9" w:rsidRDefault="70A85943" w:rsidP="084347D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18"/>
                <w:szCs w:val="18"/>
              </w:rPr>
            </w:pPr>
            <w:r w:rsidRPr="00B710A9">
              <w:rPr>
                <w:rFonts w:ascii="Arial" w:eastAsia="Arial" w:hAnsi="Arial" w:cs="Arial"/>
                <w:b/>
                <w:bCs/>
                <w:color w:val="000000" w:themeColor="text1"/>
                <w:sz w:val="18"/>
                <w:szCs w:val="18"/>
              </w:rPr>
              <w:t>%</w:t>
            </w:r>
          </w:p>
        </w:tc>
        <w:tc>
          <w:tcPr>
            <w:tcW w:w="1545" w:type="dxa"/>
            <w:tcBorders>
              <w:top w:val="nil"/>
              <w:left w:val="single" w:sz="8" w:space="0" w:color="95B3D7"/>
              <w:bottom w:val="single" w:sz="8" w:space="0" w:color="95B3D7"/>
              <w:right w:val="single" w:sz="8" w:space="0" w:color="95B3D7"/>
            </w:tcBorders>
            <w:vAlign w:val="center"/>
          </w:tcPr>
          <w:p w14:paraId="016CC10A" w14:textId="3DD5795C" w:rsidR="70A85943" w:rsidRPr="00B710A9" w:rsidRDefault="70A85943" w:rsidP="084347D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18"/>
                <w:szCs w:val="18"/>
              </w:rPr>
            </w:pPr>
            <w:r w:rsidRPr="00B710A9">
              <w:rPr>
                <w:rFonts w:ascii="Arial" w:eastAsia="Arial" w:hAnsi="Arial" w:cs="Arial"/>
                <w:b/>
                <w:bCs/>
                <w:color w:val="000000" w:themeColor="text1"/>
                <w:sz w:val="18"/>
                <w:szCs w:val="18"/>
              </w:rPr>
              <w:t>Área (ha)</w:t>
            </w:r>
          </w:p>
        </w:tc>
        <w:tc>
          <w:tcPr>
            <w:tcW w:w="980" w:type="dxa"/>
            <w:gridSpan w:val="2"/>
            <w:tcBorders>
              <w:top w:val="nil"/>
              <w:left w:val="single" w:sz="8" w:space="0" w:color="95B3D7"/>
              <w:bottom w:val="single" w:sz="8" w:space="0" w:color="95B3D7"/>
              <w:right w:val="single" w:sz="8" w:space="0" w:color="95B3D7"/>
            </w:tcBorders>
            <w:vAlign w:val="center"/>
          </w:tcPr>
          <w:p w14:paraId="626BDF3D" w14:textId="3DD5795C" w:rsidR="70A85943" w:rsidRPr="00B710A9" w:rsidRDefault="70A85943" w:rsidP="084347D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18"/>
                <w:szCs w:val="18"/>
              </w:rPr>
            </w:pPr>
            <w:r w:rsidRPr="00B710A9">
              <w:rPr>
                <w:rFonts w:ascii="Arial" w:eastAsia="Arial" w:hAnsi="Arial" w:cs="Arial"/>
                <w:b/>
                <w:bCs/>
                <w:color w:val="000000" w:themeColor="text1"/>
                <w:sz w:val="18"/>
                <w:szCs w:val="18"/>
              </w:rPr>
              <w:t>%</w:t>
            </w:r>
          </w:p>
        </w:tc>
        <w:tc>
          <w:tcPr>
            <w:tcW w:w="1663" w:type="dxa"/>
            <w:tcBorders>
              <w:top w:val="nil"/>
              <w:left w:val="nil"/>
              <w:bottom w:val="single" w:sz="8" w:space="0" w:color="95B3D7"/>
              <w:right w:val="single" w:sz="8" w:space="0" w:color="95B3D7"/>
            </w:tcBorders>
            <w:vAlign w:val="center"/>
          </w:tcPr>
          <w:p w14:paraId="13C1FCCA" w14:textId="3DD5795C" w:rsidR="70A85943" w:rsidRPr="00B710A9" w:rsidRDefault="70A85943" w:rsidP="084347D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18"/>
                <w:szCs w:val="18"/>
              </w:rPr>
            </w:pPr>
            <w:r w:rsidRPr="00B710A9">
              <w:rPr>
                <w:rFonts w:ascii="Arial" w:eastAsia="Arial" w:hAnsi="Arial" w:cs="Arial"/>
                <w:b/>
                <w:bCs/>
                <w:color w:val="000000" w:themeColor="text1"/>
                <w:sz w:val="18"/>
                <w:szCs w:val="18"/>
              </w:rPr>
              <w:t>Área (ha)</w:t>
            </w:r>
          </w:p>
        </w:tc>
      </w:tr>
      <w:tr w:rsidR="70A85943" w:rsidRPr="00B710A9" w14:paraId="680EF5F8" w14:textId="77777777" w:rsidTr="003E679C">
        <w:trPr>
          <w:gridAfter w:val="1"/>
          <w:wAfter w:w="15" w:type="dxa"/>
          <w:trHeight w:val="255"/>
        </w:trPr>
        <w:tc>
          <w:tcPr>
            <w:cnfStyle w:val="001000000000" w:firstRow="0" w:lastRow="0" w:firstColumn="1" w:lastColumn="0" w:oddVBand="0" w:evenVBand="0" w:oddHBand="0" w:evenHBand="0" w:firstRowFirstColumn="0" w:firstRowLastColumn="0" w:lastRowFirstColumn="0" w:lastRowLastColumn="0"/>
            <w:tcW w:w="1262" w:type="dxa"/>
            <w:tcBorders>
              <w:top w:val="nil"/>
              <w:left w:val="single" w:sz="8" w:space="0" w:color="95B3D7"/>
              <w:bottom w:val="single" w:sz="8" w:space="0" w:color="95B3D7"/>
              <w:right w:val="single" w:sz="8" w:space="0" w:color="95B3D7"/>
            </w:tcBorders>
            <w:vAlign w:val="center"/>
          </w:tcPr>
          <w:p w14:paraId="53F04DD6" w14:textId="3DD5795C" w:rsidR="70A85943" w:rsidRPr="00B710A9" w:rsidRDefault="70A85943" w:rsidP="70A85943">
            <w:pPr>
              <w:jc w:val="center"/>
              <w:rPr>
                <w:rFonts w:ascii="Arial" w:eastAsia="Arial" w:hAnsi="Arial" w:cs="Arial"/>
                <w:color w:val="000000" w:themeColor="text1"/>
                <w:sz w:val="18"/>
                <w:szCs w:val="18"/>
              </w:rPr>
            </w:pPr>
            <w:r w:rsidRPr="00B710A9">
              <w:rPr>
                <w:rFonts w:ascii="Arial" w:eastAsia="Arial" w:hAnsi="Arial" w:cs="Arial"/>
                <w:color w:val="000000" w:themeColor="text1"/>
                <w:sz w:val="18"/>
                <w:szCs w:val="18"/>
              </w:rPr>
              <w:t>Línea base</w:t>
            </w:r>
          </w:p>
        </w:tc>
        <w:tc>
          <w:tcPr>
            <w:tcW w:w="876" w:type="dxa"/>
            <w:tcBorders>
              <w:top w:val="single" w:sz="8" w:space="0" w:color="95B3D7"/>
              <w:left w:val="single" w:sz="8" w:space="0" w:color="95B3D7"/>
              <w:bottom w:val="single" w:sz="8" w:space="0" w:color="95B3D7"/>
              <w:right w:val="single" w:sz="8" w:space="0" w:color="95B3D7"/>
            </w:tcBorders>
            <w:vAlign w:val="center"/>
          </w:tcPr>
          <w:p w14:paraId="4973EE19"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1,9%</w:t>
            </w:r>
          </w:p>
        </w:tc>
        <w:tc>
          <w:tcPr>
            <w:tcW w:w="1693" w:type="dxa"/>
            <w:tcBorders>
              <w:top w:val="single" w:sz="8" w:space="0" w:color="95B3D7"/>
              <w:left w:val="single" w:sz="8" w:space="0" w:color="95B3D7"/>
              <w:bottom w:val="single" w:sz="8" w:space="0" w:color="95B3D7"/>
              <w:right w:val="single" w:sz="8" w:space="0" w:color="95B3D7"/>
            </w:tcBorders>
            <w:vAlign w:val="center"/>
          </w:tcPr>
          <w:p w14:paraId="43A98D9D"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2.167.835,46</w:t>
            </w:r>
          </w:p>
        </w:tc>
        <w:tc>
          <w:tcPr>
            <w:tcW w:w="936" w:type="dxa"/>
            <w:tcBorders>
              <w:top w:val="single" w:sz="8" w:space="0" w:color="95B3D7"/>
              <w:left w:val="single" w:sz="8" w:space="0" w:color="95B3D7"/>
              <w:bottom w:val="single" w:sz="8" w:space="0" w:color="95B3D7"/>
              <w:right w:val="single" w:sz="8" w:space="0" w:color="95B3D7"/>
            </w:tcBorders>
            <w:vAlign w:val="center"/>
          </w:tcPr>
          <w:p w14:paraId="1A264CC9"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B710A9">
              <w:rPr>
                <w:rFonts w:ascii="Arial" w:eastAsia="Arial" w:hAnsi="Arial" w:cs="Arial"/>
              </w:rPr>
              <w:t xml:space="preserve"> </w:t>
            </w:r>
          </w:p>
        </w:tc>
        <w:tc>
          <w:tcPr>
            <w:tcW w:w="1545" w:type="dxa"/>
            <w:tcBorders>
              <w:top w:val="single" w:sz="8" w:space="0" w:color="95B3D7"/>
              <w:left w:val="single" w:sz="8" w:space="0" w:color="95B3D7"/>
              <w:bottom w:val="single" w:sz="8" w:space="0" w:color="95B3D7"/>
              <w:right w:val="single" w:sz="8" w:space="0" w:color="95B3D7"/>
            </w:tcBorders>
            <w:vAlign w:val="center"/>
          </w:tcPr>
          <w:p w14:paraId="3D1F2486"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B710A9">
              <w:rPr>
                <w:rFonts w:ascii="Arial" w:eastAsia="Arial" w:hAnsi="Arial" w:cs="Arial"/>
              </w:rPr>
              <w:t xml:space="preserve"> </w:t>
            </w:r>
          </w:p>
        </w:tc>
        <w:tc>
          <w:tcPr>
            <w:tcW w:w="980" w:type="dxa"/>
            <w:gridSpan w:val="2"/>
            <w:tcBorders>
              <w:top w:val="single" w:sz="8" w:space="0" w:color="95B3D7"/>
              <w:left w:val="single" w:sz="8" w:space="0" w:color="95B3D7"/>
              <w:bottom w:val="single" w:sz="8" w:space="0" w:color="95B3D7"/>
              <w:right w:val="single" w:sz="8" w:space="0" w:color="95B3D7"/>
            </w:tcBorders>
            <w:vAlign w:val="center"/>
          </w:tcPr>
          <w:p w14:paraId="6F9EE955"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B710A9">
              <w:rPr>
                <w:rFonts w:ascii="Arial" w:eastAsia="Arial" w:hAnsi="Arial" w:cs="Arial"/>
              </w:rPr>
              <w:t xml:space="preserve"> </w:t>
            </w:r>
          </w:p>
        </w:tc>
        <w:tc>
          <w:tcPr>
            <w:tcW w:w="1663" w:type="dxa"/>
            <w:tcBorders>
              <w:top w:val="single" w:sz="8" w:space="0" w:color="95B3D7"/>
              <w:left w:val="nil"/>
              <w:bottom w:val="single" w:sz="8" w:space="0" w:color="95B3D7"/>
              <w:right w:val="single" w:sz="8" w:space="0" w:color="95B3D7"/>
            </w:tcBorders>
            <w:vAlign w:val="center"/>
          </w:tcPr>
          <w:p w14:paraId="591DDFE2"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B710A9">
              <w:rPr>
                <w:rFonts w:ascii="Arial" w:eastAsia="Arial" w:hAnsi="Arial" w:cs="Arial"/>
              </w:rPr>
              <w:t xml:space="preserve"> </w:t>
            </w:r>
          </w:p>
        </w:tc>
      </w:tr>
      <w:tr w:rsidR="70A85943" w:rsidRPr="00B710A9" w14:paraId="2D839899" w14:textId="77777777" w:rsidTr="003E679C">
        <w:trPr>
          <w:gridAfter w:val="1"/>
          <w:wAfter w:w="15" w:type="dxa"/>
          <w:trHeight w:val="300"/>
        </w:trPr>
        <w:tc>
          <w:tcPr>
            <w:cnfStyle w:val="001000000000" w:firstRow="0" w:lastRow="0" w:firstColumn="1" w:lastColumn="0" w:oddVBand="0" w:evenVBand="0" w:oddHBand="0" w:evenHBand="0" w:firstRowFirstColumn="0" w:firstRowLastColumn="0" w:lastRowFirstColumn="0" w:lastRowLastColumn="0"/>
            <w:tcW w:w="1262" w:type="dxa"/>
            <w:tcBorders>
              <w:top w:val="single" w:sz="8" w:space="0" w:color="95B3D7"/>
              <w:left w:val="single" w:sz="8" w:space="0" w:color="95B3D7"/>
              <w:bottom w:val="single" w:sz="8" w:space="0" w:color="95B3D7"/>
              <w:right w:val="single" w:sz="8" w:space="0" w:color="95B3D7"/>
            </w:tcBorders>
            <w:vAlign w:val="center"/>
          </w:tcPr>
          <w:p w14:paraId="7F2631F3" w14:textId="3DD5795C" w:rsidR="70A85943" w:rsidRPr="00B710A9" w:rsidRDefault="70A85943" w:rsidP="70A85943">
            <w:pPr>
              <w:jc w:val="center"/>
              <w:rPr>
                <w:rFonts w:ascii="Arial" w:eastAsia="Arial" w:hAnsi="Arial" w:cs="Arial"/>
                <w:color w:val="000000" w:themeColor="text1"/>
                <w:sz w:val="18"/>
                <w:szCs w:val="18"/>
              </w:rPr>
            </w:pPr>
            <w:r w:rsidRPr="00B710A9">
              <w:rPr>
                <w:rFonts w:ascii="Arial" w:eastAsia="Arial" w:hAnsi="Arial" w:cs="Arial"/>
                <w:color w:val="000000" w:themeColor="text1"/>
                <w:sz w:val="18"/>
                <w:szCs w:val="18"/>
              </w:rPr>
              <w:t>2019</w:t>
            </w:r>
          </w:p>
        </w:tc>
        <w:tc>
          <w:tcPr>
            <w:tcW w:w="876" w:type="dxa"/>
            <w:tcBorders>
              <w:top w:val="single" w:sz="8" w:space="0" w:color="95B3D7"/>
              <w:left w:val="single" w:sz="8" w:space="0" w:color="95B3D7"/>
              <w:bottom w:val="single" w:sz="8" w:space="0" w:color="95B3D7"/>
              <w:right w:val="single" w:sz="8" w:space="0" w:color="95B3D7"/>
            </w:tcBorders>
            <w:vAlign w:val="center"/>
          </w:tcPr>
          <w:p w14:paraId="07C4C7D5"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4,9%</w:t>
            </w:r>
          </w:p>
        </w:tc>
        <w:tc>
          <w:tcPr>
            <w:tcW w:w="1693" w:type="dxa"/>
            <w:tcBorders>
              <w:top w:val="single" w:sz="8" w:space="0" w:color="95B3D7"/>
              <w:left w:val="single" w:sz="8" w:space="0" w:color="95B3D7"/>
              <w:bottom w:val="single" w:sz="8" w:space="0" w:color="95B3D7"/>
              <w:right w:val="single" w:sz="8" w:space="0" w:color="95B3D7"/>
            </w:tcBorders>
            <w:vAlign w:val="center"/>
          </w:tcPr>
          <w:p w14:paraId="1A75B28F"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5.590.733,56</w:t>
            </w:r>
          </w:p>
        </w:tc>
        <w:tc>
          <w:tcPr>
            <w:tcW w:w="936" w:type="dxa"/>
            <w:tcBorders>
              <w:top w:val="single" w:sz="8" w:space="0" w:color="95B3D7"/>
              <w:left w:val="single" w:sz="8" w:space="0" w:color="95B3D7"/>
              <w:bottom w:val="single" w:sz="8" w:space="0" w:color="95B3D7"/>
              <w:right w:val="single" w:sz="8" w:space="0" w:color="95B3D7"/>
            </w:tcBorders>
            <w:vAlign w:val="center"/>
          </w:tcPr>
          <w:p w14:paraId="757D097D"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3%</w:t>
            </w:r>
          </w:p>
        </w:tc>
        <w:tc>
          <w:tcPr>
            <w:tcW w:w="1545" w:type="dxa"/>
            <w:tcBorders>
              <w:top w:val="single" w:sz="8" w:space="0" w:color="95B3D7"/>
              <w:left w:val="single" w:sz="8" w:space="0" w:color="95B3D7"/>
              <w:bottom w:val="single" w:sz="8" w:space="0" w:color="95B3D7"/>
              <w:right w:val="single" w:sz="8" w:space="0" w:color="95B3D7"/>
            </w:tcBorders>
            <w:vAlign w:val="center"/>
          </w:tcPr>
          <w:p w14:paraId="4EC608DA"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3.422.898,10</w:t>
            </w:r>
          </w:p>
        </w:tc>
        <w:tc>
          <w:tcPr>
            <w:tcW w:w="980" w:type="dxa"/>
            <w:gridSpan w:val="2"/>
            <w:tcBorders>
              <w:top w:val="single" w:sz="8" w:space="0" w:color="95B3D7"/>
              <w:left w:val="single" w:sz="8" w:space="0" w:color="95B3D7"/>
              <w:bottom w:val="single" w:sz="8" w:space="0" w:color="95B3D7"/>
              <w:right w:val="single" w:sz="8" w:space="0" w:color="95B3D7"/>
            </w:tcBorders>
            <w:vAlign w:val="center"/>
          </w:tcPr>
          <w:p w14:paraId="4A46AB46"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4,9%</w:t>
            </w:r>
          </w:p>
        </w:tc>
        <w:tc>
          <w:tcPr>
            <w:tcW w:w="1663" w:type="dxa"/>
            <w:tcBorders>
              <w:top w:val="single" w:sz="8" w:space="0" w:color="95B3D7"/>
              <w:left w:val="nil"/>
              <w:bottom w:val="single" w:sz="8" w:space="0" w:color="95B3D7"/>
              <w:right w:val="single" w:sz="8" w:space="0" w:color="95B3D7"/>
            </w:tcBorders>
            <w:vAlign w:val="center"/>
          </w:tcPr>
          <w:p w14:paraId="61ED7BBA"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5.590.733,56</w:t>
            </w:r>
          </w:p>
        </w:tc>
      </w:tr>
      <w:tr w:rsidR="70A85943" w:rsidRPr="00B710A9" w14:paraId="7E77C077" w14:textId="77777777" w:rsidTr="003E679C">
        <w:trPr>
          <w:gridAfter w:val="1"/>
          <w:wAfter w:w="15" w:type="dxa"/>
          <w:trHeight w:val="255"/>
        </w:trPr>
        <w:tc>
          <w:tcPr>
            <w:cnfStyle w:val="001000000000" w:firstRow="0" w:lastRow="0" w:firstColumn="1" w:lastColumn="0" w:oddVBand="0" w:evenVBand="0" w:oddHBand="0" w:evenHBand="0" w:firstRowFirstColumn="0" w:firstRowLastColumn="0" w:lastRowFirstColumn="0" w:lastRowLastColumn="0"/>
            <w:tcW w:w="1262" w:type="dxa"/>
            <w:tcBorders>
              <w:top w:val="single" w:sz="8" w:space="0" w:color="95B3D7"/>
              <w:left w:val="single" w:sz="8" w:space="0" w:color="95B3D7"/>
              <w:bottom w:val="single" w:sz="8" w:space="0" w:color="95B3D7"/>
              <w:right w:val="single" w:sz="8" w:space="0" w:color="95B3D7"/>
            </w:tcBorders>
            <w:vAlign w:val="center"/>
          </w:tcPr>
          <w:p w14:paraId="5C9BB4BC" w14:textId="3DD5795C" w:rsidR="70A85943" w:rsidRPr="00B710A9" w:rsidRDefault="70A85943" w:rsidP="70A85943">
            <w:pPr>
              <w:jc w:val="center"/>
              <w:rPr>
                <w:rFonts w:ascii="Arial" w:eastAsia="Arial" w:hAnsi="Arial" w:cs="Arial"/>
                <w:color w:val="000000" w:themeColor="text1"/>
                <w:sz w:val="18"/>
                <w:szCs w:val="18"/>
              </w:rPr>
            </w:pPr>
            <w:r w:rsidRPr="00B710A9">
              <w:rPr>
                <w:rFonts w:ascii="Arial" w:eastAsia="Arial" w:hAnsi="Arial" w:cs="Arial"/>
                <w:color w:val="000000" w:themeColor="text1"/>
                <w:sz w:val="18"/>
                <w:szCs w:val="18"/>
              </w:rPr>
              <w:t>2020</w:t>
            </w:r>
          </w:p>
        </w:tc>
        <w:tc>
          <w:tcPr>
            <w:tcW w:w="876" w:type="dxa"/>
            <w:tcBorders>
              <w:top w:val="single" w:sz="8" w:space="0" w:color="95B3D7"/>
              <w:left w:val="single" w:sz="8" w:space="0" w:color="95B3D7"/>
              <w:bottom w:val="single" w:sz="8" w:space="0" w:color="95B3D7"/>
              <w:right w:val="single" w:sz="8" w:space="0" w:color="95B3D7"/>
            </w:tcBorders>
            <w:vAlign w:val="center"/>
          </w:tcPr>
          <w:p w14:paraId="770AE0ED"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24,9%</w:t>
            </w:r>
          </w:p>
        </w:tc>
        <w:tc>
          <w:tcPr>
            <w:tcW w:w="1693" w:type="dxa"/>
            <w:tcBorders>
              <w:top w:val="single" w:sz="8" w:space="0" w:color="95B3D7"/>
              <w:left w:val="single" w:sz="8" w:space="0" w:color="95B3D7"/>
              <w:bottom w:val="single" w:sz="8" w:space="0" w:color="95B3D7"/>
              <w:right w:val="single" w:sz="8" w:space="0" w:color="95B3D7"/>
            </w:tcBorders>
            <w:vAlign w:val="center"/>
          </w:tcPr>
          <w:p w14:paraId="5C64A0C4"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28.410.054,23</w:t>
            </w:r>
          </w:p>
        </w:tc>
        <w:tc>
          <w:tcPr>
            <w:tcW w:w="936" w:type="dxa"/>
            <w:tcBorders>
              <w:top w:val="single" w:sz="8" w:space="0" w:color="95B3D7"/>
              <w:left w:val="single" w:sz="8" w:space="0" w:color="95B3D7"/>
              <w:bottom w:val="single" w:sz="8" w:space="0" w:color="95B3D7"/>
              <w:right w:val="single" w:sz="8" w:space="0" w:color="95B3D7"/>
            </w:tcBorders>
            <w:vAlign w:val="center"/>
          </w:tcPr>
          <w:p w14:paraId="53AEC469"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11,76%</w:t>
            </w:r>
          </w:p>
        </w:tc>
        <w:tc>
          <w:tcPr>
            <w:tcW w:w="1545" w:type="dxa"/>
            <w:tcBorders>
              <w:top w:val="single" w:sz="8" w:space="0" w:color="95B3D7"/>
              <w:left w:val="single" w:sz="8" w:space="0" w:color="95B3D7"/>
              <w:bottom w:val="single" w:sz="8" w:space="0" w:color="95B3D7"/>
              <w:right w:val="single" w:sz="8" w:space="0" w:color="95B3D7"/>
            </w:tcBorders>
            <w:vAlign w:val="center"/>
          </w:tcPr>
          <w:p w14:paraId="0794C905"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13.418.129</w:t>
            </w:r>
          </w:p>
        </w:tc>
        <w:tc>
          <w:tcPr>
            <w:tcW w:w="980" w:type="dxa"/>
            <w:gridSpan w:val="2"/>
            <w:tcBorders>
              <w:top w:val="single" w:sz="8" w:space="0" w:color="95B3D7"/>
              <w:left w:val="single" w:sz="8" w:space="0" w:color="95B3D7"/>
              <w:bottom w:val="single" w:sz="8" w:space="0" w:color="95B3D7"/>
              <w:right w:val="single" w:sz="8" w:space="0" w:color="95B3D7"/>
            </w:tcBorders>
            <w:vAlign w:val="center"/>
          </w:tcPr>
          <w:p w14:paraId="72E119A8"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16,66%</w:t>
            </w:r>
          </w:p>
        </w:tc>
        <w:tc>
          <w:tcPr>
            <w:tcW w:w="1663" w:type="dxa"/>
            <w:tcBorders>
              <w:top w:val="single" w:sz="8" w:space="0" w:color="95B3D7"/>
              <w:left w:val="nil"/>
              <w:bottom w:val="single" w:sz="8" w:space="0" w:color="95B3D7"/>
              <w:right w:val="single" w:sz="8" w:space="0" w:color="95B3D7"/>
            </w:tcBorders>
            <w:vAlign w:val="center"/>
          </w:tcPr>
          <w:p w14:paraId="4F40ADC7"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19.008.862,56</w:t>
            </w:r>
          </w:p>
        </w:tc>
      </w:tr>
      <w:tr w:rsidR="70A85943" w:rsidRPr="00B710A9" w14:paraId="6FADFB78" w14:textId="77777777" w:rsidTr="003E679C">
        <w:trPr>
          <w:gridAfter w:val="1"/>
          <w:wAfter w:w="15" w:type="dxa"/>
          <w:trHeight w:val="255"/>
        </w:trPr>
        <w:tc>
          <w:tcPr>
            <w:cnfStyle w:val="001000000000" w:firstRow="0" w:lastRow="0" w:firstColumn="1" w:lastColumn="0" w:oddVBand="0" w:evenVBand="0" w:oddHBand="0" w:evenHBand="0" w:firstRowFirstColumn="0" w:firstRowLastColumn="0" w:lastRowFirstColumn="0" w:lastRowLastColumn="0"/>
            <w:tcW w:w="1262" w:type="dxa"/>
            <w:tcBorders>
              <w:top w:val="single" w:sz="8" w:space="0" w:color="95B3D7"/>
              <w:left w:val="single" w:sz="8" w:space="0" w:color="95B3D7"/>
              <w:bottom w:val="single" w:sz="8" w:space="0" w:color="95B3D7"/>
              <w:right w:val="single" w:sz="8" w:space="0" w:color="95B3D7"/>
            </w:tcBorders>
            <w:vAlign w:val="center"/>
          </w:tcPr>
          <w:p w14:paraId="3DBC5404" w14:textId="3DD5795C" w:rsidR="70A85943" w:rsidRPr="00B710A9" w:rsidRDefault="70A85943" w:rsidP="70A85943">
            <w:pPr>
              <w:jc w:val="center"/>
              <w:rPr>
                <w:rFonts w:ascii="Arial" w:eastAsia="Arial" w:hAnsi="Arial" w:cs="Arial"/>
                <w:color w:val="000000" w:themeColor="text1"/>
                <w:sz w:val="18"/>
                <w:szCs w:val="18"/>
              </w:rPr>
            </w:pPr>
            <w:r w:rsidRPr="00B710A9">
              <w:rPr>
                <w:rFonts w:ascii="Arial" w:eastAsia="Arial" w:hAnsi="Arial" w:cs="Arial"/>
                <w:color w:val="000000" w:themeColor="text1"/>
                <w:sz w:val="18"/>
                <w:szCs w:val="18"/>
              </w:rPr>
              <w:t>2021</w:t>
            </w:r>
          </w:p>
        </w:tc>
        <w:tc>
          <w:tcPr>
            <w:tcW w:w="876" w:type="dxa"/>
            <w:tcBorders>
              <w:top w:val="single" w:sz="8" w:space="0" w:color="95B3D7"/>
              <w:left w:val="single" w:sz="8" w:space="0" w:color="95B3D7"/>
              <w:bottom w:val="single" w:sz="8" w:space="0" w:color="95B3D7"/>
              <w:right w:val="single" w:sz="8" w:space="0" w:color="95B3D7"/>
            </w:tcBorders>
            <w:vAlign w:val="center"/>
          </w:tcPr>
          <w:p w14:paraId="5ED9D293"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51,9%</w:t>
            </w:r>
          </w:p>
        </w:tc>
        <w:tc>
          <w:tcPr>
            <w:tcW w:w="1693" w:type="dxa"/>
            <w:tcBorders>
              <w:top w:val="single" w:sz="8" w:space="0" w:color="95B3D7"/>
              <w:left w:val="single" w:sz="8" w:space="0" w:color="95B3D7"/>
              <w:bottom w:val="single" w:sz="8" w:space="0" w:color="95B3D7"/>
              <w:right w:val="single" w:sz="8" w:space="0" w:color="95B3D7"/>
            </w:tcBorders>
            <w:vAlign w:val="center"/>
          </w:tcPr>
          <w:p w14:paraId="114AA5B5"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59.216.137,13</w:t>
            </w:r>
          </w:p>
        </w:tc>
        <w:tc>
          <w:tcPr>
            <w:tcW w:w="936" w:type="dxa"/>
            <w:tcBorders>
              <w:top w:val="single" w:sz="8" w:space="0" w:color="95B3D7"/>
              <w:left w:val="single" w:sz="8" w:space="0" w:color="95B3D7"/>
              <w:bottom w:val="single" w:sz="8" w:space="0" w:color="95B3D7"/>
              <w:right w:val="single" w:sz="8" w:space="0" w:color="95B3D7"/>
            </w:tcBorders>
            <w:vAlign w:val="center"/>
          </w:tcPr>
          <w:p w14:paraId="3CD08F8A"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14,98%</w:t>
            </w:r>
          </w:p>
        </w:tc>
        <w:tc>
          <w:tcPr>
            <w:tcW w:w="1545" w:type="dxa"/>
            <w:tcBorders>
              <w:top w:val="single" w:sz="8" w:space="0" w:color="95B3D7"/>
              <w:left w:val="single" w:sz="8" w:space="0" w:color="95B3D7"/>
              <w:bottom w:val="single" w:sz="8" w:space="0" w:color="95B3D7"/>
              <w:right w:val="single" w:sz="8" w:space="0" w:color="95B3D7"/>
            </w:tcBorders>
            <w:vAlign w:val="center"/>
          </w:tcPr>
          <w:p w14:paraId="731B0BD1"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17.090.646,51</w:t>
            </w:r>
          </w:p>
        </w:tc>
        <w:tc>
          <w:tcPr>
            <w:tcW w:w="980" w:type="dxa"/>
            <w:gridSpan w:val="2"/>
            <w:tcBorders>
              <w:top w:val="single" w:sz="8" w:space="0" w:color="95B3D7"/>
              <w:left w:val="single" w:sz="8" w:space="0" w:color="95B3D7"/>
              <w:bottom w:val="single" w:sz="8" w:space="0" w:color="95B3D7"/>
              <w:right w:val="single" w:sz="8" w:space="0" w:color="95B3D7"/>
            </w:tcBorders>
            <w:vAlign w:val="center"/>
          </w:tcPr>
          <w:p w14:paraId="7945D2E5"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31,64%</w:t>
            </w:r>
          </w:p>
        </w:tc>
        <w:tc>
          <w:tcPr>
            <w:tcW w:w="1663" w:type="dxa"/>
            <w:tcBorders>
              <w:top w:val="single" w:sz="8" w:space="0" w:color="95B3D7"/>
              <w:left w:val="nil"/>
              <w:bottom w:val="single" w:sz="8" w:space="0" w:color="95B3D7"/>
              <w:right w:val="single" w:sz="8" w:space="0" w:color="95B3D7"/>
            </w:tcBorders>
            <w:vAlign w:val="center"/>
          </w:tcPr>
          <w:p w14:paraId="1A636292"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36.099.509,07</w:t>
            </w:r>
          </w:p>
        </w:tc>
      </w:tr>
      <w:tr w:rsidR="70A85943" w:rsidRPr="00B710A9" w14:paraId="3843D753" w14:textId="77777777" w:rsidTr="003E679C">
        <w:trPr>
          <w:gridAfter w:val="1"/>
          <w:wAfter w:w="15" w:type="dxa"/>
          <w:trHeight w:val="255"/>
        </w:trPr>
        <w:tc>
          <w:tcPr>
            <w:cnfStyle w:val="001000000000" w:firstRow="0" w:lastRow="0" w:firstColumn="1" w:lastColumn="0" w:oddVBand="0" w:evenVBand="0" w:oddHBand="0" w:evenHBand="0" w:firstRowFirstColumn="0" w:firstRowLastColumn="0" w:lastRowFirstColumn="0" w:lastRowLastColumn="0"/>
            <w:tcW w:w="1262" w:type="dxa"/>
            <w:tcBorders>
              <w:top w:val="single" w:sz="8" w:space="0" w:color="95B3D7"/>
              <w:left w:val="single" w:sz="8" w:space="0" w:color="95B3D7"/>
              <w:bottom w:val="single" w:sz="8" w:space="0" w:color="95B3D7"/>
              <w:right w:val="single" w:sz="8" w:space="0" w:color="95B3D7"/>
            </w:tcBorders>
            <w:vAlign w:val="center"/>
          </w:tcPr>
          <w:p w14:paraId="1D2404C4" w14:textId="3DD5795C" w:rsidR="70A85943" w:rsidRPr="00B710A9" w:rsidRDefault="70A85943" w:rsidP="70A85943">
            <w:pPr>
              <w:jc w:val="center"/>
              <w:rPr>
                <w:rFonts w:ascii="Arial" w:eastAsia="Arial" w:hAnsi="Arial" w:cs="Arial"/>
                <w:color w:val="000000" w:themeColor="text1"/>
                <w:sz w:val="18"/>
                <w:szCs w:val="18"/>
              </w:rPr>
            </w:pPr>
            <w:r w:rsidRPr="00B710A9">
              <w:rPr>
                <w:rFonts w:ascii="Arial" w:eastAsia="Arial" w:hAnsi="Arial" w:cs="Arial"/>
                <w:color w:val="000000" w:themeColor="text1"/>
                <w:sz w:val="18"/>
                <w:szCs w:val="18"/>
              </w:rPr>
              <w:t>2022</w:t>
            </w:r>
          </w:p>
        </w:tc>
        <w:tc>
          <w:tcPr>
            <w:tcW w:w="876" w:type="dxa"/>
            <w:tcBorders>
              <w:top w:val="single" w:sz="8" w:space="0" w:color="95B3D7"/>
              <w:left w:val="single" w:sz="8" w:space="0" w:color="95B3D7"/>
              <w:bottom w:val="single" w:sz="8" w:space="0" w:color="95B3D7"/>
              <w:right w:val="single" w:sz="8" w:space="0" w:color="95B3D7"/>
            </w:tcBorders>
            <w:vAlign w:val="center"/>
          </w:tcPr>
          <w:p w14:paraId="50E26006" w14:textId="3DD5795C"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61,9%</w:t>
            </w:r>
          </w:p>
        </w:tc>
        <w:tc>
          <w:tcPr>
            <w:tcW w:w="1693" w:type="dxa"/>
            <w:tcBorders>
              <w:top w:val="single" w:sz="8" w:space="0" w:color="95B3D7"/>
              <w:left w:val="single" w:sz="8" w:space="0" w:color="95B3D7"/>
              <w:bottom w:val="single" w:sz="8" w:space="0" w:color="95B3D7"/>
              <w:right w:val="single" w:sz="8" w:space="0" w:color="95B3D7"/>
            </w:tcBorders>
            <w:vAlign w:val="center"/>
          </w:tcPr>
          <w:p w14:paraId="49E3D6B6"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70.625.797,47</w:t>
            </w:r>
          </w:p>
        </w:tc>
        <w:tc>
          <w:tcPr>
            <w:tcW w:w="936" w:type="dxa"/>
            <w:tcBorders>
              <w:top w:val="single" w:sz="8" w:space="0" w:color="95B3D7"/>
              <w:left w:val="single" w:sz="8" w:space="0" w:color="95B3D7"/>
              <w:bottom w:val="single" w:sz="8" w:space="0" w:color="95B3D7"/>
              <w:right w:val="single" w:sz="8" w:space="0" w:color="95B3D7"/>
            </w:tcBorders>
            <w:vAlign w:val="center"/>
          </w:tcPr>
          <w:p w14:paraId="6123F107"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32.30%*</w:t>
            </w:r>
          </w:p>
        </w:tc>
        <w:tc>
          <w:tcPr>
            <w:tcW w:w="1545" w:type="dxa"/>
            <w:tcBorders>
              <w:top w:val="single" w:sz="8" w:space="0" w:color="95B3D7"/>
              <w:left w:val="single" w:sz="8" w:space="0" w:color="95B3D7"/>
              <w:bottom w:val="single" w:sz="8" w:space="0" w:color="95B3D7"/>
              <w:right w:val="single" w:sz="8" w:space="0" w:color="95B3D7"/>
            </w:tcBorders>
            <w:vAlign w:val="center"/>
          </w:tcPr>
          <w:p w14:paraId="058D0DA6"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 xml:space="preserve">36.858.556,08* </w:t>
            </w:r>
          </w:p>
        </w:tc>
        <w:tc>
          <w:tcPr>
            <w:tcW w:w="980" w:type="dxa"/>
            <w:gridSpan w:val="2"/>
            <w:tcBorders>
              <w:top w:val="single" w:sz="8" w:space="0" w:color="95B3D7"/>
              <w:left w:val="single" w:sz="8" w:space="0" w:color="95B3D7"/>
              <w:bottom w:val="single" w:sz="8" w:space="0" w:color="95B3D7"/>
              <w:right w:val="single" w:sz="8" w:space="0" w:color="95B3D7"/>
            </w:tcBorders>
            <w:vAlign w:val="center"/>
          </w:tcPr>
          <w:p w14:paraId="039319C1" w14:textId="28E3F6E9" w:rsidR="70A85943" w:rsidRPr="00B710A9" w:rsidRDefault="70A85943" w:rsidP="70A8594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63.94%*</w:t>
            </w:r>
          </w:p>
        </w:tc>
        <w:tc>
          <w:tcPr>
            <w:tcW w:w="1663" w:type="dxa"/>
            <w:tcBorders>
              <w:top w:val="single" w:sz="8" w:space="0" w:color="95B3D7"/>
              <w:left w:val="nil"/>
              <w:bottom w:val="single" w:sz="8" w:space="0" w:color="95B3D7"/>
              <w:right w:val="single" w:sz="8" w:space="0" w:color="95B3D7"/>
            </w:tcBorders>
            <w:vAlign w:val="center"/>
          </w:tcPr>
          <w:p w14:paraId="75DF9B81"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B710A9">
              <w:rPr>
                <w:rFonts w:ascii="Arial" w:eastAsia="Arial" w:hAnsi="Arial" w:cs="Arial"/>
                <w:color w:val="000000" w:themeColor="text1"/>
                <w:sz w:val="18"/>
                <w:szCs w:val="18"/>
              </w:rPr>
              <w:t>72.958.065,15*</w:t>
            </w:r>
          </w:p>
        </w:tc>
      </w:tr>
    </w:tbl>
    <w:p w14:paraId="704CD642" w14:textId="1377583D" w:rsidR="003E679C" w:rsidRPr="00024431" w:rsidRDefault="003E679C" w:rsidP="00024431">
      <w:pPr>
        <w:spacing w:after="0" w:line="240" w:lineRule="auto"/>
        <w:jc w:val="center"/>
        <w:rPr>
          <w:rFonts w:ascii="Arial" w:eastAsia="Arial" w:hAnsi="Arial" w:cs="Arial"/>
          <w:b/>
          <w:bCs/>
          <w:color w:val="000000" w:themeColor="text1"/>
          <w:sz w:val="16"/>
          <w:szCs w:val="16"/>
          <w:lang w:val="es-MX"/>
        </w:rPr>
      </w:pPr>
      <w:r w:rsidRPr="00B710A9">
        <w:rPr>
          <w:rFonts w:ascii="Arial" w:eastAsia="Arial" w:hAnsi="Arial" w:cs="Arial"/>
          <w:b/>
          <w:bCs/>
          <w:color w:val="000000" w:themeColor="text1"/>
          <w:sz w:val="16"/>
          <w:szCs w:val="16"/>
          <w:lang w:val="es-MX"/>
        </w:rPr>
        <w:t>Fuente: Dirección de Gestión de Información Geográfica</w:t>
      </w:r>
    </w:p>
    <w:p w14:paraId="6777BD13" w14:textId="77777777" w:rsidR="003E679C" w:rsidRPr="00B710A9" w:rsidRDefault="003E679C" w:rsidP="70A85943">
      <w:pPr>
        <w:spacing w:after="0" w:line="240" w:lineRule="auto"/>
        <w:jc w:val="both"/>
        <w:rPr>
          <w:rFonts w:ascii="Arial" w:eastAsia="Arial" w:hAnsi="Arial" w:cs="Arial"/>
          <w:color w:val="000000" w:themeColor="text1"/>
          <w:sz w:val="22"/>
          <w:szCs w:val="22"/>
          <w:lang w:val="es-MX"/>
        </w:rPr>
      </w:pPr>
    </w:p>
    <w:p w14:paraId="0C33607E" w14:textId="28E3F6E9" w:rsidR="00541AC8" w:rsidRPr="00B710A9" w:rsidRDefault="70A85943" w:rsidP="084347D4">
      <w:pPr>
        <w:spacing w:after="0" w:line="240" w:lineRule="auto"/>
        <w:jc w:val="both"/>
        <w:rPr>
          <w:rFonts w:ascii="Arial" w:eastAsia="Arial" w:hAnsi="Arial" w:cs="Arial"/>
          <w:b/>
          <w:bCs/>
          <w:color w:val="000000" w:themeColor="text1"/>
          <w:sz w:val="22"/>
          <w:szCs w:val="22"/>
          <w:u w:val="single"/>
          <w:lang w:val="es-MX"/>
        </w:rPr>
      </w:pPr>
      <w:r w:rsidRPr="00B710A9">
        <w:rPr>
          <w:rFonts w:ascii="Arial" w:eastAsia="Arial" w:hAnsi="Arial" w:cs="Arial"/>
          <w:b/>
          <w:bCs/>
          <w:color w:val="000000" w:themeColor="text1"/>
          <w:sz w:val="22"/>
          <w:szCs w:val="22"/>
          <w:u w:val="single"/>
          <w:lang w:val="es-MX"/>
        </w:rPr>
        <w:t>Caracterización Geográfica</w:t>
      </w:r>
    </w:p>
    <w:p w14:paraId="7959CC4B" w14:textId="4E6DA2C2" w:rsidR="5DC0440B" w:rsidRPr="00B710A9" w:rsidRDefault="5DC0440B" w:rsidP="5DC0440B">
      <w:pPr>
        <w:spacing w:after="0" w:line="240" w:lineRule="auto"/>
        <w:jc w:val="both"/>
        <w:rPr>
          <w:rFonts w:ascii="Arial" w:eastAsia="Arial" w:hAnsi="Arial" w:cs="Arial"/>
          <w:b/>
          <w:bCs/>
          <w:color w:val="000000" w:themeColor="text1"/>
          <w:sz w:val="22"/>
          <w:szCs w:val="22"/>
          <w:u w:val="single"/>
          <w:lang w:val="es-MX"/>
        </w:rPr>
      </w:pPr>
    </w:p>
    <w:p w14:paraId="0F758C7C" w14:textId="28E3F6E9" w:rsidR="00541AC8" w:rsidRPr="00B710A9" w:rsidRDefault="70A85943"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MX"/>
        </w:rPr>
        <w:t xml:space="preserve">La Gestión Geográfica presenta retos respecto a las dinámicas de los territorios y con ello, la generación de procesos enmarcados en temas relacionados con las comisiones de ordenamiento territorial en los ámbitos nacional, departamental y municipal, así como en el aporte de lineamientos metodológicos y conceptos técnicos para el ordenamiento del territorio. </w:t>
      </w:r>
      <w:r w:rsidRPr="00B710A9">
        <w:rPr>
          <w:rFonts w:ascii="Arial" w:eastAsia="Arial" w:hAnsi="Arial" w:cs="Arial"/>
          <w:color w:val="000000" w:themeColor="text1"/>
          <w:sz w:val="22"/>
          <w:szCs w:val="22"/>
          <w:lang w:val="es"/>
        </w:rPr>
        <w:t xml:space="preserve"> </w:t>
      </w:r>
    </w:p>
    <w:p w14:paraId="66D377DD" w14:textId="77777777" w:rsidR="00964D23" w:rsidRPr="00B710A9" w:rsidRDefault="00964D23" w:rsidP="70A85943">
      <w:pPr>
        <w:spacing w:after="0" w:line="240" w:lineRule="auto"/>
        <w:jc w:val="both"/>
        <w:rPr>
          <w:rFonts w:ascii="Arial" w:eastAsia="Arial" w:hAnsi="Arial" w:cs="Arial"/>
          <w:color w:val="000000" w:themeColor="text1"/>
          <w:sz w:val="22"/>
          <w:szCs w:val="22"/>
          <w:lang w:val="es-MX"/>
        </w:rPr>
      </w:pPr>
    </w:p>
    <w:p w14:paraId="3059EE76" w14:textId="1B52B500" w:rsidR="00541AC8" w:rsidRPr="00024431" w:rsidRDefault="70A85943" w:rsidP="009D279A">
      <w:pPr>
        <w:spacing w:after="0" w:line="240" w:lineRule="auto"/>
        <w:jc w:val="both"/>
        <w:rPr>
          <w:rFonts w:ascii="Arial" w:eastAsia="Arial" w:hAnsi="Arial" w:cs="Arial"/>
          <w:color w:val="000000" w:themeColor="text1"/>
          <w:sz w:val="22"/>
          <w:szCs w:val="22"/>
          <w:lang w:val="es-MX"/>
        </w:rPr>
      </w:pPr>
      <w:r w:rsidRPr="00B710A9">
        <w:rPr>
          <w:rFonts w:ascii="Arial" w:eastAsia="Arial" w:hAnsi="Arial" w:cs="Arial"/>
          <w:color w:val="000000" w:themeColor="text1"/>
          <w:sz w:val="22"/>
          <w:szCs w:val="22"/>
          <w:lang w:val="es-MX"/>
        </w:rPr>
        <w:t>Es así como, a junio de 2022 la Dirección de Gestión de la Información Geográfica</w:t>
      </w:r>
      <w:r w:rsidRPr="00B710A9">
        <w:rPr>
          <w:rFonts w:ascii="Arial" w:eastAsia="Arial" w:hAnsi="Arial" w:cs="Arial"/>
          <w:i/>
          <w:iCs/>
          <w:color w:val="000000" w:themeColor="text1"/>
          <w:sz w:val="22"/>
          <w:szCs w:val="22"/>
          <w:lang w:val="es-MX"/>
        </w:rPr>
        <w:t xml:space="preserve"> </w:t>
      </w:r>
      <w:r w:rsidRPr="00B710A9">
        <w:rPr>
          <w:rFonts w:ascii="Arial" w:eastAsia="Arial" w:hAnsi="Arial" w:cs="Arial"/>
          <w:color w:val="000000" w:themeColor="text1"/>
          <w:sz w:val="22"/>
          <w:szCs w:val="22"/>
          <w:lang w:val="es-MX"/>
        </w:rPr>
        <w:t>a través de la Subdirección de Geografía, ha avanzado en la meta en un 86.68%, logrando a la fecha un cubrimiento de 98.894.730,15 ha del territorio del país con caracterizaciones territoriales, a continuación, se presenta el detalle de las cifras incluyendo 2021 y primer semestre 2022:</w:t>
      </w:r>
    </w:p>
    <w:p w14:paraId="739F05E3" w14:textId="00C8C0C4" w:rsidR="00964D23" w:rsidRPr="00B710A9" w:rsidRDefault="00964D23" w:rsidP="00964D23">
      <w:pPr>
        <w:pStyle w:val="Descripcin"/>
        <w:keepNext/>
        <w:jc w:val="center"/>
        <w:rPr>
          <w:rFonts w:ascii="Arial" w:hAnsi="Arial" w:cs="Arial"/>
          <w:b/>
          <w:bCs/>
          <w:i w:val="0"/>
          <w:iCs w:val="0"/>
        </w:rPr>
      </w:pPr>
      <w:bookmarkStart w:id="4" w:name="_Toc109057732"/>
      <w:r w:rsidRPr="00B710A9">
        <w:rPr>
          <w:rFonts w:ascii="Arial" w:hAnsi="Arial" w:cs="Arial"/>
          <w:b/>
          <w:bCs/>
          <w:i w:val="0"/>
          <w:iCs w:val="0"/>
          <w:color w:val="auto"/>
          <w:sz w:val="16"/>
          <w:szCs w:val="16"/>
        </w:rPr>
        <w:lastRenderedPageBreak/>
        <w:t xml:space="preserve">Tabla </w:t>
      </w:r>
      <w:r w:rsidRPr="00B710A9">
        <w:rPr>
          <w:rFonts w:ascii="Arial" w:hAnsi="Arial" w:cs="Arial"/>
          <w:b/>
          <w:bCs/>
          <w:i w:val="0"/>
          <w:iCs w:val="0"/>
          <w:color w:val="auto"/>
          <w:sz w:val="16"/>
          <w:szCs w:val="16"/>
        </w:rPr>
        <w:fldChar w:fldCharType="begin"/>
      </w:r>
      <w:r w:rsidRPr="00B710A9">
        <w:rPr>
          <w:rFonts w:ascii="Arial" w:hAnsi="Arial" w:cs="Arial"/>
          <w:b/>
          <w:bCs/>
          <w:i w:val="0"/>
          <w:iCs w:val="0"/>
          <w:color w:val="auto"/>
          <w:sz w:val="16"/>
          <w:szCs w:val="16"/>
        </w:rPr>
        <w:instrText xml:space="preserve"> SEQ Tabla \* ARABIC </w:instrText>
      </w:r>
      <w:r w:rsidRPr="00B710A9">
        <w:rPr>
          <w:rFonts w:ascii="Arial" w:hAnsi="Arial" w:cs="Arial"/>
          <w:b/>
          <w:bCs/>
          <w:i w:val="0"/>
          <w:iCs w:val="0"/>
          <w:color w:val="auto"/>
          <w:sz w:val="16"/>
          <w:szCs w:val="16"/>
        </w:rPr>
        <w:fldChar w:fldCharType="separate"/>
      </w:r>
      <w:r w:rsidR="00801DF8" w:rsidRPr="00B710A9">
        <w:rPr>
          <w:rFonts w:ascii="Arial" w:hAnsi="Arial" w:cs="Arial"/>
          <w:b/>
          <w:bCs/>
          <w:i w:val="0"/>
          <w:iCs w:val="0"/>
          <w:noProof/>
          <w:color w:val="auto"/>
          <w:sz w:val="16"/>
          <w:szCs w:val="16"/>
        </w:rPr>
        <w:t>2</w:t>
      </w:r>
      <w:r w:rsidRPr="00B710A9">
        <w:rPr>
          <w:rFonts w:ascii="Arial" w:hAnsi="Arial" w:cs="Arial"/>
          <w:b/>
          <w:bCs/>
          <w:i w:val="0"/>
          <w:iCs w:val="0"/>
          <w:color w:val="auto"/>
          <w:sz w:val="16"/>
          <w:szCs w:val="16"/>
        </w:rPr>
        <w:fldChar w:fldCharType="end"/>
      </w:r>
      <w:r w:rsidRPr="00B710A9">
        <w:rPr>
          <w:rFonts w:ascii="Arial" w:hAnsi="Arial" w:cs="Arial"/>
          <w:b/>
          <w:bCs/>
          <w:i w:val="0"/>
          <w:iCs w:val="0"/>
          <w:color w:val="auto"/>
          <w:sz w:val="16"/>
          <w:szCs w:val="16"/>
        </w:rPr>
        <w:t>. Seguimiento indicador caracterización geográfica Plan Nacional de Desarrollo 2018-2022</w:t>
      </w:r>
      <w:bookmarkEnd w:id="4"/>
    </w:p>
    <w:tbl>
      <w:tblPr>
        <w:tblStyle w:val="Tablaconcuadrcula4-nfasis1"/>
        <w:tblW w:w="0" w:type="auto"/>
        <w:jc w:val="center"/>
        <w:tblLayout w:type="fixed"/>
        <w:tblLook w:val="06A0" w:firstRow="1" w:lastRow="0" w:firstColumn="1" w:lastColumn="0" w:noHBand="1" w:noVBand="1"/>
      </w:tblPr>
      <w:tblGrid>
        <w:gridCol w:w="810"/>
        <w:gridCol w:w="930"/>
        <w:gridCol w:w="1470"/>
        <w:gridCol w:w="915"/>
        <w:gridCol w:w="1590"/>
        <w:gridCol w:w="870"/>
        <w:gridCol w:w="1560"/>
      </w:tblGrid>
      <w:tr w:rsidR="70A85943" w:rsidRPr="00B710A9" w14:paraId="6E2A5455" w14:textId="77777777" w:rsidTr="084347D4">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vAlign w:val="center"/>
          </w:tcPr>
          <w:p w14:paraId="0B7AE595" w14:textId="28E3F6E9" w:rsidR="70A85943" w:rsidRPr="00B710A9" w:rsidRDefault="70A85943" w:rsidP="70A85943">
            <w:pPr>
              <w:jc w:val="center"/>
              <w:rPr>
                <w:rFonts w:ascii="Arial" w:eastAsia="Arial" w:hAnsi="Arial" w:cs="Arial"/>
                <w:sz w:val="18"/>
                <w:szCs w:val="18"/>
                <w:lang w:val="en-US"/>
              </w:rPr>
            </w:pPr>
            <w:r w:rsidRPr="00B710A9">
              <w:rPr>
                <w:rFonts w:ascii="Arial" w:eastAsia="Arial" w:hAnsi="Arial" w:cs="Arial"/>
                <w:sz w:val="18"/>
                <w:szCs w:val="18"/>
                <w:lang w:val="en-US"/>
              </w:rPr>
              <w:t>AÑO</w:t>
            </w:r>
          </w:p>
        </w:tc>
        <w:tc>
          <w:tcPr>
            <w:tcW w:w="240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5EC56943" w14:textId="28E3F6E9" w:rsidR="70A85943" w:rsidRPr="00B710A9" w:rsidRDefault="70A85943" w:rsidP="70A859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B710A9">
              <w:rPr>
                <w:rFonts w:ascii="Arial" w:eastAsia="Arial" w:hAnsi="Arial" w:cs="Arial"/>
                <w:sz w:val="18"/>
                <w:szCs w:val="18"/>
                <w:lang w:val="en-US"/>
              </w:rPr>
              <w:t>META</w:t>
            </w:r>
          </w:p>
        </w:tc>
        <w:tc>
          <w:tcPr>
            <w:tcW w:w="2505" w:type="dxa"/>
            <w:gridSpan w:val="2"/>
            <w:tcBorders>
              <w:top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59CDA571" w14:textId="28E3F6E9" w:rsidR="70A85943" w:rsidRPr="00B710A9" w:rsidRDefault="70A85943" w:rsidP="70A859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B710A9">
              <w:rPr>
                <w:rFonts w:ascii="Arial" w:eastAsia="Arial" w:hAnsi="Arial" w:cs="Arial"/>
                <w:sz w:val="18"/>
                <w:szCs w:val="18"/>
                <w:lang w:val="en-US"/>
              </w:rPr>
              <w:t>EJECUTADO</w:t>
            </w:r>
          </w:p>
        </w:tc>
        <w:tc>
          <w:tcPr>
            <w:tcW w:w="2430" w:type="dxa"/>
            <w:gridSpan w:val="2"/>
            <w:tcBorders>
              <w:top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4E4A2B67" w14:textId="28E3F6E9" w:rsidR="70A85943" w:rsidRPr="00B710A9" w:rsidRDefault="70A85943" w:rsidP="70A859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B710A9">
              <w:rPr>
                <w:rFonts w:ascii="Arial" w:eastAsia="Arial" w:hAnsi="Arial" w:cs="Arial"/>
                <w:sz w:val="18"/>
                <w:szCs w:val="18"/>
                <w:lang w:val="en-US"/>
              </w:rPr>
              <w:t>ACUMULADO</w:t>
            </w:r>
          </w:p>
        </w:tc>
      </w:tr>
      <w:tr w:rsidR="007333DE" w:rsidRPr="00B710A9" w14:paraId="76E69709" w14:textId="77777777" w:rsidTr="084347D4">
        <w:trPr>
          <w:trHeight w:val="315"/>
          <w:jc w:val="center"/>
        </w:trPr>
        <w:tc>
          <w:tcPr>
            <w:cnfStyle w:val="001000000000" w:firstRow="0" w:lastRow="0" w:firstColumn="1" w:lastColumn="0" w:oddVBand="0" w:evenVBand="0" w:oddHBand="0" w:evenHBand="0" w:firstRowFirstColumn="0" w:firstRowLastColumn="0" w:lastRowFirstColumn="0" w:lastRowLastColumn="0"/>
            <w:tcW w:w="810" w:type="dxa"/>
            <w:vMerge/>
            <w:vAlign w:val="center"/>
          </w:tcPr>
          <w:p w14:paraId="007B1636" w14:textId="77777777" w:rsidR="00333809" w:rsidRPr="00B710A9" w:rsidRDefault="00333809"/>
        </w:tc>
        <w:tc>
          <w:tcPr>
            <w:tcW w:w="930" w:type="dxa"/>
            <w:tcBorders>
              <w:top w:val="single" w:sz="8" w:space="0" w:color="FFFFFF" w:themeColor="background1"/>
              <w:left w:val="nil"/>
              <w:bottom w:val="single" w:sz="8" w:space="0" w:color="FFFFFF" w:themeColor="background1"/>
              <w:right w:val="single" w:sz="8" w:space="0" w:color="FFFFFF" w:themeColor="background1"/>
            </w:tcBorders>
            <w:shd w:val="clear" w:color="auto" w:fill="4F81BD"/>
            <w:vAlign w:val="center"/>
          </w:tcPr>
          <w:p w14:paraId="5EFC71A5" w14:textId="28E3F6E9" w:rsidR="70A85943" w:rsidRPr="00B710A9" w:rsidRDefault="70A85943" w:rsidP="084347D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FFFF" w:themeColor="background1"/>
                <w:sz w:val="18"/>
                <w:szCs w:val="18"/>
                <w:lang w:val="en-US"/>
              </w:rPr>
            </w:pPr>
            <w:r w:rsidRPr="00B710A9">
              <w:rPr>
                <w:rFonts w:ascii="Arial" w:eastAsia="Arial" w:hAnsi="Arial" w:cs="Arial"/>
                <w:b/>
                <w:bCs/>
                <w:color w:val="FFFFFF" w:themeColor="background1"/>
                <w:sz w:val="18"/>
                <w:szCs w:val="18"/>
                <w:lang w:val="en-US"/>
              </w:rPr>
              <w:t>%</w:t>
            </w:r>
          </w:p>
        </w:tc>
        <w:tc>
          <w:tcPr>
            <w:tcW w:w="1470" w:type="dxa"/>
            <w:tcBorders>
              <w:top w:val="nil"/>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7F578422" w14:textId="28E3F6E9" w:rsidR="70A85943" w:rsidRPr="00B710A9" w:rsidRDefault="70A85943" w:rsidP="084347D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FFFF" w:themeColor="background1"/>
                <w:sz w:val="18"/>
                <w:szCs w:val="18"/>
                <w:lang w:val="en-US"/>
              </w:rPr>
            </w:pPr>
            <w:r w:rsidRPr="004D1E61">
              <w:rPr>
                <w:rFonts w:ascii="Arial" w:eastAsia="Arial" w:hAnsi="Arial" w:cs="Arial"/>
                <w:b/>
                <w:bCs/>
                <w:color w:val="FFFFFF" w:themeColor="background1"/>
                <w:sz w:val="18"/>
                <w:szCs w:val="18"/>
              </w:rPr>
              <w:t>Área</w:t>
            </w:r>
            <w:r w:rsidRPr="00B710A9">
              <w:rPr>
                <w:rFonts w:ascii="Arial" w:eastAsia="Arial" w:hAnsi="Arial" w:cs="Arial"/>
                <w:b/>
                <w:bCs/>
                <w:color w:val="FFFFFF" w:themeColor="background1"/>
                <w:sz w:val="18"/>
                <w:szCs w:val="18"/>
                <w:lang w:val="en-US"/>
              </w:rPr>
              <w:t xml:space="preserve"> (ha)</w:t>
            </w:r>
          </w:p>
        </w:tc>
        <w:tc>
          <w:tcPr>
            <w:tcW w:w="9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02A7B937" w14:textId="28E3F6E9" w:rsidR="70A85943" w:rsidRPr="00B710A9" w:rsidRDefault="70A85943" w:rsidP="084347D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FFFF" w:themeColor="background1"/>
                <w:sz w:val="18"/>
                <w:szCs w:val="18"/>
                <w:lang w:val="en-US"/>
              </w:rPr>
            </w:pPr>
            <w:r w:rsidRPr="00B710A9">
              <w:rPr>
                <w:rFonts w:ascii="Arial" w:eastAsia="Arial" w:hAnsi="Arial" w:cs="Arial"/>
                <w:b/>
                <w:bCs/>
                <w:color w:val="FFFFFF" w:themeColor="background1"/>
                <w:sz w:val="18"/>
                <w:szCs w:val="18"/>
                <w:lang w:val="en-US"/>
              </w:rPr>
              <w:t>%</w:t>
            </w:r>
          </w:p>
        </w:tc>
        <w:tc>
          <w:tcPr>
            <w:tcW w:w="1590" w:type="dxa"/>
            <w:tcBorders>
              <w:top w:val="nil"/>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6503F34D" w14:textId="28E3F6E9" w:rsidR="70A85943" w:rsidRPr="00B710A9" w:rsidRDefault="70A85943" w:rsidP="084347D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FFFF" w:themeColor="background1"/>
                <w:sz w:val="18"/>
                <w:szCs w:val="18"/>
                <w:lang w:val="en-US"/>
              </w:rPr>
            </w:pPr>
            <w:r w:rsidRPr="004D1E61">
              <w:rPr>
                <w:rFonts w:ascii="Arial" w:eastAsia="Arial" w:hAnsi="Arial" w:cs="Arial"/>
                <w:b/>
                <w:bCs/>
                <w:color w:val="FFFFFF" w:themeColor="background1"/>
                <w:sz w:val="18"/>
                <w:szCs w:val="18"/>
              </w:rPr>
              <w:t>Área</w:t>
            </w:r>
            <w:r w:rsidRPr="00B710A9">
              <w:rPr>
                <w:rFonts w:ascii="Arial" w:eastAsia="Arial" w:hAnsi="Arial" w:cs="Arial"/>
                <w:b/>
                <w:bCs/>
                <w:color w:val="FFFFFF" w:themeColor="background1"/>
                <w:sz w:val="18"/>
                <w:szCs w:val="18"/>
                <w:lang w:val="en-US"/>
              </w:rPr>
              <w:t xml:space="preserve"> (ha)</w:t>
            </w:r>
          </w:p>
        </w:tc>
        <w:tc>
          <w:tcPr>
            <w:tcW w:w="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1C57F942" w14:textId="28E3F6E9" w:rsidR="70A85943" w:rsidRPr="00B710A9" w:rsidRDefault="70A85943" w:rsidP="084347D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FFFF" w:themeColor="background1"/>
                <w:sz w:val="18"/>
                <w:szCs w:val="18"/>
                <w:lang w:val="en-US"/>
              </w:rPr>
            </w:pPr>
            <w:r w:rsidRPr="00B710A9">
              <w:rPr>
                <w:rFonts w:ascii="Arial" w:eastAsia="Arial" w:hAnsi="Arial" w:cs="Arial"/>
                <w:b/>
                <w:bCs/>
                <w:color w:val="FFFFFF" w:themeColor="background1"/>
                <w:sz w:val="18"/>
                <w:szCs w:val="18"/>
                <w:lang w:val="en-US"/>
              </w:rPr>
              <w:t>%</w:t>
            </w:r>
          </w:p>
        </w:tc>
        <w:tc>
          <w:tcPr>
            <w:tcW w:w="1560" w:type="dxa"/>
            <w:tcBorders>
              <w:top w:val="nil"/>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3B2D2340" w14:textId="28E3F6E9" w:rsidR="70A85943" w:rsidRPr="00B710A9" w:rsidRDefault="70A85943" w:rsidP="084347D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FFFF" w:themeColor="background1"/>
                <w:sz w:val="18"/>
                <w:szCs w:val="18"/>
                <w:lang w:val="en-US"/>
              </w:rPr>
            </w:pPr>
            <w:proofErr w:type="spellStart"/>
            <w:r w:rsidRPr="00B710A9">
              <w:rPr>
                <w:rFonts w:ascii="Arial" w:eastAsia="Arial" w:hAnsi="Arial" w:cs="Arial"/>
                <w:b/>
                <w:bCs/>
                <w:color w:val="FFFFFF" w:themeColor="background1"/>
                <w:sz w:val="18"/>
                <w:szCs w:val="18"/>
                <w:lang w:val="en-US"/>
              </w:rPr>
              <w:t>Área</w:t>
            </w:r>
            <w:proofErr w:type="spellEnd"/>
            <w:r w:rsidRPr="00B710A9">
              <w:rPr>
                <w:rFonts w:ascii="Arial" w:eastAsia="Arial" w:hAnsi="Arial" w:cs="Arial"/>
                <w:b/>
                <w:bCs/>
                <w:color w:val="FFFFFF" w:themeColor="background1"/>
                <w:sz w:val="18"/>
                <w:szCs w:val="18"/>
                <w:lang w:val="en-US"/>
              </w:rPr>
              <w:t xml:space="preserve"> (ha)</w:t>
            </w:r>
          </w:p>
        </w:tc>
      </w:tr>
      <w:tr w:rsidR="70A85943" w:rsidRPr="00B710A9" w14:paraId="2D0AF86C" w14:textId="77777777" w:rsidTr="084347D4">
        <w:trPr>
          <w:trHeight w:val="315"/>
          <w:jc w:val="center"/>
        </w:trPr>
        <w:tc>
          <w:tcPr>
            <w:cnfStyle w:val="001000000000" w:firstRow="0" w:lastRow="0" w:firstColumn="1" w:lastColumn="0" w:oddVBand="0" w:evenVBand="0" w:oddHBand="0" w:evenHBand="0" w:firstRowFirstColumn="0" w:firstRowLastColumn="0" w:lastRowFirstColumn="0" w:lastRowLastColumn="0"/>
            <w:tcW w:w="810" w:type="dxa"/>
            <w:tcBorders>
              <w:top w:val="nil"/>
              <w:left w:val="single" w:sz="8" w:space="0" w:color="95B3D7"/>
              <w:bottom w:val="single" w:sz="8" w:space="0" w:color="95B3D7"/>
              <w:right w:val="single" w:sz="8" w:space="0" w:color="95B3D7"/>
            </w:tcBorders>
            <w:vAlign w:val="center"/>
          </w:tcPr>
          <w:p w14:paraId="23FA452A" w14:textId="28E3F6E9" w:rsidR="70A85943" w:rsidRPr="00B710A9" w:rsidRDefault="70A85943" w:rsidP="70A85943">
            <w:pPr>
              <w:jc w:val="center"/>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Linea base</w:t>
            </w:r>
          </w:p>
        </w:tc>
        <w:tc>
          <w:tcPr>
            <w:tcW w:w="930" w:type="dxa"/>
            <w:tcBorders>
              <w:top w:val="single" w:sz="8" w:space="0" w:color="FFFFFF" w:themeColor="background1"/>
              <w:left w:val="single" w:sz="8" w:space="0" w:color="95B3D7"/>
              <w:bottom w:val="single" w:sz="8" w:space="0" w:color="95B3D7"/>
              <w:right w:val="single" w:sz="8" w:space="0" w:color="95B3D7"/>
            </w:tcBorders>
            <w:vAlign w:val="center"/>
          </w:tcPr>
          <w:p w14:paraId="7D8E3331"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12,5%</w:t>
            </w:r>
          </w:p>
        </w:tc>
        <w:tc>
          <w:tcPr>
            <w:tcW w:w="1470" w:type="dxa"/>
            <w:tcBorders>
              <w:top w:val="single" w:sz="8" w:space="0" w:color="FFFFFF" w:themeColor="background1"/>
              <w:left w:val="single" w:sz="8" w:space="0" w:color="95B3D7"/>
              <w:bottom w:val="single" w:sz="8" w:space="0" w:color="95B3D7"/>
              <w:right w:val="single" w:sz="8" w:space="0" w:color="95B3D7"/>
            </w:tcBorders>
            <w:vAlign w:val="center"/>
          </w:tcPr>
          <w:p w14:paraId="7A81B85B"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14.262.075,42</w:t>
            </w:r>
          </w:p>
        </w:tc>
        <w:tc>
          <w:tcPr>
            <w:tcW w:w="915" w:type="dxa"/>
            <w:tcBorders>
              <w:top w:val="single" w:sz="8" w:space="0" w:color="FFFFFF" w:themeColor="background1"/>
              <w:left w:val="single" w:sz="8" w:space="0" w:color="95B3D7"/>
              <w:bottom w:val="single" w:sz="8" w:space="0" w:color="95B3D7"/>
              <w:right w:val="single" w:sz="8" w:space="0" w:color="95B3D7"/>
            </w:tcBorders>
            <w:vAlign w:val="center"/>
          </w:tcPr>
          <w:p w14:paraId="1714E57A"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s"/>
              </w:rPr>
            </w:pPr>
            <w:r w:rsidRPr="00B710A9">
              <w:rPr>
                <w:rFonts w:ascii="Arial" w:eastAsia="Arial" w:hAnsi="Arial" w:cs="Arial"/>
                <w:lang w:val="es"/>
              </w:rPr>
              <w:t xml:space="preserve"> </w:t>
            </w:r>
          </w:p>
        </w:tc>
        <w:tc>
          <w:tcPr>
            <w:tcW w:w="1590" w:type="dxa"/>
            <w:tcBorders>
              <w:top w:val="single" w:sz="8" w:space="0" w:color="FFFFFF" w:themeColor="background1"/>
              <w:left w:val="single" w:sz="8" w:space="0" w:color="95B3D7"/>
              <w:bottom w:val="single" w:sz="8" w:space="0" w:color="95B3D7"/>
              <w:right w:val="single" w:sz="8" w:space="0" w:color="95B3D7"/>
            </w:tcBorders>
            <w:vAlign w:val="center"/>
          </w:tcPr>
          <w:p w14:paraId="0FA05B02"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s"/>
              </w:rPr>
            </w:pPr>
            <w:r w:rsidRPr="00B710A9">
              <w:rPr>
                <w:rFonts w:ascii="Arial" w:eastAsia="Arial" w:hAnsi="Arial" w:cs="Arial"/>
                <w:lang w:val="es"/>
              </w:rPr>
              <w:t xml:space="preserve"> </w:t>
            </w:r>
          </w:p>
        </w:tc>
        <w:tc>
          <w:tcPr>
            <w:tcW w:w="870" w:type="dxa"/>
            <w:tcBorders>
              <w:top w:val="single" w:sz="8" w:space="0" w:color="FFFFFF" w:themeColor="background1"/>
              <w:left w:val="single" w:sz="8" w:space="0" w:color="95B3D7"/>
              <w:bottom w:val="single" w:sz="8" w:space="0" w:color="95B3D7"/>
              <w:right w:val="single" w:sz="8" w:space="0" w:color="95B3D7"/>
            </w:tcBorders>
            <w:vAlign w:val="center"/>
          </w:tcPr>
          <w:p w14:paraId="78F71EB9"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s"/>
              </w:rPr>
            </w:pPr>
            <w:r w:rsidRPr="00B710A9">
              <w:rPr>
                <w:rFonts w:ascii="Arial" w:eastAsia="Arial" w:hAnsi="Arial" w:cs="Arial"/>
                <w:lang w:val="es"/>
              </w:rPr>
              <w:t xml:space="preserve"> </w:t>
            </w:r>
          </w:p>
        </w:tc>
        <w:tc>
          <w:tcPr>
            <w:tcW w:w="1560" w:type="dxa"/>
            <w:tcBorders>
              <w:top w:val="single" w:sz="8" w:space="0" w:color="FFFFFF" w:themeColor="background1"/>
              <w:left w:val="single" w:sz="8" w:space="0" w:color="95B3D7"/>
              <w:bottom w:val="single" w:sz="8" w:space="0" w:color="95B3D7"/>
              <w:right w:val="single" w:sz="8" w:space="0" w:color="95B3D7"/>
            </w:tcBorders>
            <w:vAlign w:val="center"/>
          </w:tcPr>
          <w:p w14:paraId="65540070"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s"/>
              </w:rPr>
            </w:pPr>
            <w:r w:rsidRPr="00B710A9">
              <w:rPr>
                <w:rFonts w:ascii="Arial" w:eastAsia="Arial" w:hAnsi="Arial" w:cs="Arial"/>
                <w:lang w:val="es"/>
              </w:rPr>
              <w:t xml:space="preserve"> </w:t>
            </w:r>
          </w:p>
        </w:tc>
      </w:tr>
      <w:tr w:rsidR="70A85943" w:rsidRPr="00B710A9" w14:paraId="2A2090E4" w14:textId="77777777" w:rsidTr="084347D4">
        <w:trPr>
          <w:trHeight w:val="315"/>
          <w:jc w:val="center"/>
        </w:trPr>
        <w:tc>
          <w:tcPr>
            <w:cnfStyle w:val="001000000000" w:firstRow="0" w:lastRow="0" w:firstColumn="1" w:lastColumn="0" w:oddVBand="0" w:evenVBand="0" w:oddHBand="0" w:evenHBand="0" w:firstRowFirstColumn="0" w:firstRowLastColumn="0" w:lastRowFirstColumn="0" w:lastRowLastColumn="0"/>
            <w:tcW w:w="810" w:type="dxa"/>
            <w:tcBorders>
              <w:top w:val="single" w:sz="8" w:space="0" w:color="95B3D7"/>
              <w:left w:val="single" w:sz="8" w:space="0" w:color="95B3D7"/>
              <w:bottom w:val="single" w:sz="8" w:space="0" w:color="95B3D7"/>
              <w:right w:val="single" w:sz="8" w:space="0" w:color="95B3D7"/>
            </w:tcBorders>
            <w:vAlign w:val="center"/>
          </w:tcPr>
          <w:p w14:paraId="4AE42BFC" w14:textId="28E3F6E9" w:rsidR="70A85943" w:rsidRPr="00B710A9" w:rsidRDefault="70A85943" w:rsidP="70A85943">
            <w:pPr>
              <w:jc w:val="center"/>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2019</w:t>
            </w:r>
          </w:p>
        </w:tc>
        <w:tc>
          <w:tcPr>
            <w:tcW w:w="930" w:type="dxa"/>
            <w:tcBorders>
              <w:top w:val="single" w:sz="8" w:space="0" w:color="95B3D7"/>
              <w:left w:val="single" w:sz="8" w:space="0" w:color="95B3D7"/>
              <w:bottom w:val="single" w:sz="8" w:space="0" w:color="95B3D7"/>
              <w:right w:val="single" w:sz="8" w:space="0" w:color="95B3D7"/>
            </w:tcBorders>
            <w:vAlign w:val="center"/>
          </w:tcPr>
          <w:p w14:paraId="56ACC123"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35,50%</w:t>
            </w:r>
          </w:p>
        </w:tc>
        <w:tc>
          <w:tcPr>
            <w:tcW w:w="1470" w:type="dxa"/>
            <w:tcBorders>
              <w:top w:val="single" w:sz="8" w:space="0" w:color="95B3D7"/>
              <w:left w:val="single" w:sz="8" w:space="0" w:color="95B3D7"/>
              <w:bottom w:val="single" w:sz="8" w:space="0" w:color="95B3D7"/>
              <w:right w:val="single" w:sz="8" w:space="0" w:color="95B3D7"/>
            </w:tcBorders>
            <w:vAlign w:val="center"/>
          </w:tcPr>
          <w:p w14:paraId="7605034B"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40.504.294,19</w:t>
            </w:r>
          </w:p>
        </w:tc>
        <w:tc>
          <w:tcPr>
            <w:tcW w:w="915" w:type="dxa"/>
            <w:tcBorders>
              <w:top w:val="single" w:sz="8" w:space="0" w:color="95B3D7"/>
              <w:left w:val="single" w:sz="8" w:space="0" w:color="95B3D7"/>
              <w:bottom w:val="single" w:sz="8" w:space="0" w:color="95B3D7"/>
              <w:right w:val="single" w:sz="8" w:space="0" w:color="95B3D7"/>
            </w:tcBorders>
            <w:vAlign w:val="center"/>
          </w:tcPr>
          <w:p w14:paraId="4FF17261"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23%</w:t>
            </w:r>
          </w:p>
        </w:tc>
        <w:tc>
          <w:tcPr>
            <w:tcW w:w="1590" w:type="dxa"/>
            <w:tcBorders>
              <w:top w:val="single" w:sz="8" w:space="0" w:color="95B3D7"/>
              <w:left w:val="single" w:sz="8" w:space="0" w:color="95B3D7"/>
              <w:bottom w:val="single" w:sz="8" w:space="0" w:color="95B3D7"/>
              <w:right w:val="single" w:sz="8" w:space="0" w:color="95B3D7"/>
            </w:tcBorders>
            <w:vAlign w:val="center"/>
          </w:tcPr>
          <w:p w14:paraId="33E8E04C"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26.242.218,77</w:t>
            </w:r>
          </w:p>
        </w:tc>
        <w:tc>
          <w:tcPr>
            <w:tcW w:w="870" w:type="dxa"/>
            <w:tcBorders>
              <w:top w:val="single" w:sz="8" w:space="0" w:color="95B3D7"/>
              <w:left w:val="single" w:sz="8" w:space="0" w:color="95B3D7"/>
              <w:bottom w:val="single" w:sz="8" w:space="0" w:color="95B3D7"/>
              <w:right w:val="single" w:sz="8" w:space="0" w:color="95B3D7"/>
            </w:tcBorders>
            <w:vAlign w:val="center"/>
          </w:tcPr>
          <w:p w14:paraId="66BC3C03"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35,5%</w:t>
            </w:r>
          </w:p>
        </w:tc>
        <w:tc>
          <w:tcPr>
            <w:tcW w:w="1560" w:type="dxa"/>
            <w:tcBorders>
              <w:top w:val="single" w:sz="8" w:space="0" w:color="95B3D7"/>
              <w:left w:val="single" w:sz="8" w:space="0" w:color="95B3D7"/>
              <w:bottom w:val="single" w:sz="8" w:space="0" w:color="95B3D7"/>
              <w:right w:val="single" w:sz="8" w:space="0" w:color="95B3D7"/>
            </w:tcBorders>
            <w:vAlign w:val="center"/>
          </w:tcPr>
          <w:p w14:paraId="2CB6301C"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40.504.294,19</w:t>
            </w:r>
          </w:p>
        </w:tc>
      </w:tr>
      <w:tr w:rsidR="70A85943" w:rsidRPr="00B710A9" w14:paraId="6F99B9D1" w14:textId="77777777" w:rsidTr="084347D4">
        <w:trPr>
          <w:trHeight w:val="315"/>
          <w:jc w:val="center"/>
        </w:trPr>
        <w:tc>
          <w:tcPr>
            <w:cnfStyle w:val="001000000000" w:firstRow="0" w:lastRow="0" w:firstColumn="1" w:lastColumn="0" w:oddVBand="0" w:evenVBand="0" w:oddHBand="0" w:evenHBand="0" w:firstRowFirstColumn="0" w:firstRowLastColumn="0" w:lastRowFirstColumn="0" w:lastRowLastColumn="0"/>
            <w:tcW w:w="810" w:type="dxa"/>
            <w:tcBorders>
              <w:top w:val="single" w:sz="8" w:space="0" w:color="95B3D7"/>
              <w:left w:val="single" w:sz="8" w:space="0" w:color="95B3D7"/>
              <w:bottom w:val="single" w:sz="8" w:space="0" w:color="95B3D7"/>
              <w:right w:val="single" w:sz="8" w:space="0" w:color="95B3D7"/>
            </w:tcBorders>
            <w:vAlign w:val="center"/>
          </w:tcPr>
          <w:p w14:paraId="6503FC9D" w14:textId="28E3F6E9" w:rsidR="70A85943" w:rsidRPr="00B710A9" w:rsidRDefault="70A85943" w:rsidP="70A85943">
            <w:pPr>
              <w:jc w:val="center"/>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2020</w:t>
            </w:r>
          </w:p>
        </w:tc>
        <w:tc>
          <w:tcPr>
            <w:tcW w:w="930" w:type="dxa"/>
            <w:tcBorders>
              <w:top w:val="single" w:sz="8" w:space="0" w:color="95B3D7"/>
              <w:left w:val="single" w:sz="8" w:space="0" w:color="95B3D7"/>
              <w:bottom w:val="single" w:sz="8" w:space="0" w:color="95B3D7"/>
              <w:right w:val="single" w:sz="8" w:space="0" w:color="95B3D7"/>
            </w:tcBorders>
            <w:vAlign w:val="center"/>
          </w:tcPr>
          <w:p w14:paraId="26E5A6BC"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49,50%</w:t>
            </w:r>
          </w:p>
        </w:tc>
        <w:tc>
          <w:tcPr>
            <w:tcW w:w="1470" w:type="dxa"/>
            <w:tcBorders>
              <w:top w:val="single" w:sz="8" w:space="0" w:color="95B3D7"/>
              <w:left w:val="single" w:sz="8" w:space="0" w:color="95B3D7"/>
              <w:bottom w:val="single" w:sz="8" w:space="0" w:color="95B3D7"/>
              <w:right w:val="single" w:sz="8" w:space="0" w:color="95B3D7"/>
            </w:tcBorders>
            <w:vAlign w:val="center"/>
          </w:tcPr>
          <w:p w14:paraId="2F55B9E0"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56.477.818,66</w:t>
            </w:r>
          </w:p>
        </w:tc>
        <w:tc>
          <w:tcPr>
            <w:tcW w:w="915" w:type="dxa"/>
            <w:tcBorders>
              <w:top w:val="single" w:sz="8" w:space="0" w:color="95B3D7"/>
              <w:left w:val="single" w:sz="8" w:space="0" w:color="95B3D7"/>
              <w:bottom w:val="single" w:sz="8" w:space="0" w:color="95B3D7"/>
              <w:right w:val="single" w:sz="8" w:space="0" w:color="95B3D7"/>
            </w:tcBorders>
            <w:vAlign w:val="center"/>
          </w:tcPr>
          <w:p w14:paraId="50C160F9"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14,23%</w:t>
            </w:r>
          </w:p>
        </w:tc>
        <w:tc>
          <w:tcPr>
            <w:tcW w:w="1590" w:type="dxa"/>
            <w:tcBorders>
              <w:top w:val="single" w:sz="8" w:space="0" w:color="95B3D7"/>
              <w:left w:val="single" w:sz="8" w:space="0" w:color="95B3D7"/>
              <w:bottom w:val="single" w:sz="8" w:space="0" w:color="95B3D7"/>
              <w:right w:val="single" w:sz="8" w:space="0" w:color="95B3D7"/>
            </w:tcBorders>
            <w:vAlign w:val="center"/>
          </w:tcPr>
          <w:p w14:paraId="6B027BF6"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16.231.703</w:t>
            </w:r>
          </w:p>
        </w:tc>
        <w:tc>
          <w:tcPr>
            <w:tcW w:w="870" w:type="dxa"/>
            <w:tcBorders>
              <w:top w:val="single" w:sz="8" w:space="0" w:color="95B3D7"/>
              <w:left w:val="single" w:sz="8" w:space="0" w:color="95B3D7"/>
              <w:bottom w:val="single" w:sz="8" w:space="0" w:color="95B3D7"/>
              <w:right w:val="single" w:sz="8" w:space="0" w:color="95B3D7"/>
            </w:tcBorders>
            <w:vAlign w:val="center"/>
          </w:tcPr>
          <w:p w14:paraId="4E1CE19A"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49,73%</w:t>
            </w:r>
          </w:p>
        </w:tc>
        <w:tc>
          <w:tcPr>
            <w:tcW w:w="1560" w:type="dxa"/>
            <w:tcBorders>
              <w:top w:val="single" w:sz="8" w:space="0" w:color="95B3D7"/>
              <w:left w:val="single" w:sz="8" w:space="0" w:color="95B3D7"/>
              <w:bottom w:val="single" w:sz="8" w:space="0" w:color="95B3D7"/>
              <w:right w:val="single" w:sz="8" w:space="0" w:color="95B3D7"/>
            </w:tcBorders>
            <w:vAlign w:val="center"/>
          </w:tcPr>
          <w:p w14:paraId="72AF564B"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56.735.997,19</w:t>
            </w:r>
          </w:p>
        </w:tc>
      </w:tr>
      <w:tr w:rsidR="70A85943" w:rsidRPr="00B710A9" w14:paraId="4CE8A113" w14:textId="77777777" w:rsidTr="084347D4">
        <w:trPr>
          <w:trHeight w:val="315"/>
          <w:jc w:val="center"/>
        </w:trPr>
        <w:tc>
          <w:tcPr>
            <w:cnfStyle w:val="001000000000" w:firstRow="0" w:lastRow="0" w:firstColumn="1" w:lastColumn="0" w:oddVBand="0" w:evenVBand="0" w:oddHBand="0" w:evenHBand="0" w:firstRowFirstColumn="0" w:firstRowLastColumn="0" w:lastRowFirstColumn="0" w:lastRowLastColumn="0"/>
            <w:tcW w:w="810" w:type="dxa"/>
            <w:tcBorders>
              <w:top w:val="single" w:sz="8" w:space="0" w:color="95B3D7"/>
              <w:left w:val="single" w:sz="8" w:space="0" w:color="95B3D7"/>
              <w:bottom w:val="single" w:sz="8" w:space="0" w:color="95B3D7"/>
              <w:right w:val="single" w:sz="8" w:space="0" w:color="95B3D7"/>
            </w:tcBorders>
            <w:vAlign w:val="center"/>
          </w:tcPr>
          <w:p w14:paraId="1165E773" w14:textId="28E3F6E9" w:rsidR="70A85943" w:rsidRPr="00B710A9" w:rsidRDefault="70A85943" w:rsidP="70A85943">
            <w:pPr>
              <w:jc w:val="center"/>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2021</w:t>
            </w:r>
          </w:p>
        </w:tc>
        <w:tc>
          <w:tcPr>
            <w:tcW w:w="930" w:type="dxa"/>
            <w:tcBorders>
              <w:top w:val="single" w:sz="8" w:space="0" w:color="95B3D7"/>
              <w:left w:val="single" w:sz="8" w:space="0" w:color="95B3D7"/>
              <w:bottom w:val="single" w:sz="8" w:space="0" w:color="95B3D7"/>
              <w:right w:val="single" w:sz="8" w:space="0" w:color="95B3D7"/>
            </w:tcBorders>
            <w:vAlign w:val="center"/>
          </w:tcPr>
          <w:p w14:paraId="0B518B7B"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61,50%</w:t>
            </w:r>
          </w:p>
        </w:tc>
        <w:tc>
          <w:tcPr>
            <w:tcW w:w="1470" w:type="dxa"/>
            <w:tcBorders>
              <w:top w:val="single" w:sz="8" w:space="0" w:color="95B3D7"/>
              <w:left w:val="single" w:sz="8" w:space="0" w:color="95B3D7"/>
              <w:bottom w:val="single" w:sz="8" w:space="0" w:color="95B3D7"/>
              <w:right w:val="single" w:sz="8" w:space="0" w:color="95B3D7"/>
            </w:tcBorders>
            <w:vAlign w:val="center"/>
          </w:tcPr>
          <w:p w14:paraId="0D385A6B"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70.169.411,06</w:t>
            </w:r>
          </w:p>
        </w:tc>
        <w:tc>
          <w:tcPr>
            <w:tcW w:w="915" w:type="dxa"/>
            <w:tcBorders>
              <w:top w:val="single" w:sz="8" w:space="0" w:color="95B3D7"/>
              <w:left w:val="single" w:sz="8" w:space="0" w:color="95B3D7"/>
              <w:bottom w:val="single" w:sz="8" w:space="0" w:color="95B3D7"/>
              <w:right w:val="single" w:sz="8" w:space="0" w:color="95B3D7"/>
            </w:tcBorders>
            <w:vAlign w:val="center"/>
          </w:tcPr>
          <w:p w14:paraId="11D0DDF8" w14:textId="28E3F6E9"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14,52%</w:t>
            </w:r>
          </w:p>
        </w:tc>
        <w:tc>
          <w:tcPr>
            <w:tcW w:w="1590" w:type="dxa"/>
            <w:tcBorders>
              <w:top w:val="single" w:sz="8" w:space="0" w:color="95B3D7"/>
              <w:left w:val="single" w:sz="8" w:space="0" w:color="95B3D7"/>
              <w:bottom w:val="single" w:sz="8" w:space="0" w:color="95B3D7"/>
              <w:right w:val="single" w:sz="8" w:space="0" w:color="95B3D7"/>
            </w:tcBorders>
            <w:vAlign w:val="center"/>
          </w:tcPr>
          <w:p w14:paraId="150B1256" w14:textId="56D149A1"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 xml:space="preserve"> 16.569.839,20</w:t>
            </w:r>
          </w:p>
        </w:tc>
        <w:tc>
          <w:tcPr>
            <w:tcW w:w="870" w:type="dxa"/>
            <w:tcBorders>
              <w:top w:val="single" w:sz="8" w:space="0" w:color="95B3D7"/>
              <w:left w:val="single" w:sz="8" w:space="0" w:color="95B3D7"/>
              <w:bottom w:val="single" w:sz="8" w:space="0" w:color="95B3D7"/>
              <w:right w:val="single" w:sz="8" w:space="0" w:color="95B3D7"/>
            </w:tcBorders>
            <w:vAlign w:val="center"/>
          </w:tcPr>
          <w:p w14:paraId="0A822543" w14:textId="56D149A1"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64,25%</w:t>
            </w:r>
          </w:p>
        </w:tc>
        <w:tc>
          <w:tcPr>
            <w:tcW w:w="1560" w:type="dxa"/>
            <w:tcBorders>
              <w:top w:val="single" w:sz="8" w:space="0" w:color="95B3D7"/>
              <w:left w:val="single" w:sz="8" w:space="0" w:color="95B3D7"/>
              <w:bottom w:val="single" w:sz="8" w:space="0" w:color="95B3D7"/>
              <w:right w:val="single" w:sz="8" w:space="0" w:color="95B3D7"/>
            </w:tcBorders>
            <w:vAlign w:val="center"/>
          </w:tcPr>
          <w:p w14:paraId="1AFAC5E9" w14:textId="56D149A1"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 xml:space="preserve"> 73.305.836,39</w:t>
            </w:r>
          </w:p>
        </w:tc>
      </w:tr>
      <w:tr w:rsidR="70A85943" w:rsidRPr="00B710A9" w14:paraId="19D31F76" w14:textId="77777777" w:rsidTr="084347D4">
        <w:trPr>
          <w:trHeight w:val="315"/>
          <w:jc w:val="center"/>
        </w:trPr>
        <w:tc>
          <w:tcPr>
            <w:cnfStyle w:val="001000000000" w:firstRow="0" w:lastRow="0" w:firstColumn="1" w:lastColumn="0" w:oddVBand="0" w:evenVBand="0" w:oddHBand="0" w:evenHBand="0" w:firstRowFirstColumn="0" w:firstRowLastColumn="0" w:lastRowFirstColumn="0" w:lastRowLastColumn="0"/>
            <w:tcW w:w="810" w:type="dxa"/>
            <w:tcBorders>
              <w:top w:val="single" w:sz="8" w:space="0" w:color="95B3D7"/>
              <w:left w:val="single" w:sz="8" w:space="0" w:color="95B3D7"/>
              <w:bottom w:val="single" w:sz="8" w:space="0" w:color="95B3D7"/>
              <w:right w:val="single" w:sz="8" w:space="0" w:color="95B3D7"/>
            </w:tcBorders>
            <w:vAlign w:val="center"/>
          </w:tcPr>
          <w:p w14:paraId="3A347279" w14:textId="56D149A1" w:rsidR="70A85943" w:rsidRPr="00B710A9" w:rsidRDefault="70A85943" w:rsidP="70A85943">
            <w:pPr>
              <w:jc w:val="center"/>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2022</w:t>
            </w:r>
          </w:p>
        </w:tc>
        <w:tc>
          <w:tcPr>
            <w:tcW w:w="930" w:type="dxa"/>
            <w:tcBorders>
              <w:top w:val="single" w:sz="8" w:space="0" w:color="95B3D7"/>
              <w:left w:val="single" w:sz="8" w:space="0" w:color="95B3D7"/>
              <w:bottom w:val="single" w:sz="8" w:space="0" w:color="95B3D7"/>
              <w:right w:val="single" w:sz="8" w:space="0" w:color="95B3D7"/>
            </w:tcBorders>
            <w:vAlign w:val="center"/>
          </w:tcPr>
          <w:p w14:paraId="35322AD4" w14:textId="56D149A1"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72,50%</w:t>
            </w:r>
          </w:p>
        </w:tc>
        <w:tc>
          <w:tcPr>
            <w:tcW w:w="1470" w:type="dxa"/>
            <w:tcBorders>
              <w:top w:val="single" w:sz="8" w:space="0" w:color="95B3D7"/>
              <w:left w:val="single" w:sz="8" w:space="0" w:color="95B3D7"/>
              <w:bottom w:val="single" w:sz="8" w:space="0" w:color="95B3D7"/>
              <w:right w:val="single" w:sz="8" w:space="0" w:color="95B3D7"/>
            </w:tcBorders>
            <w:vAlign w:val="center"/>
          </w:tcPr>
          <w:p w14:paraId="0809B73F" w14:textId="56D149A1"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n-US"/>
              </w:rPr>
              <w:t>82.720.037,43</w:t>
            </w:r>
          </w:p>
        </w:tc>
        <w:tc>
          <w:tcPr>
            <w:tcW w:w="915" w:type="dxa"/>
            <w:tcBorders>
              <w:top w:val="single" w:sz="8" w:space="0" w:color="95B3D7"/>
              <w:left w:val="single" w:sz="8" w:space="0" w:color="95B3D7"/>
              <w:bottom w:val="single" w:sz="8" w:space="0" w:color="95B3D7"/>
              <w:right w:val="single" w:sz="8" w:space="0" w:color="95B3D7"/>
            </w:tcBorders>
            <w:vAlign w:val="center"/>
          </w:tcPr>
          <w:p w14:paraId="5581D579" w14:textId="56D149A1"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22.43%*</w:t>
            </w:r>
          </w:p>
        </w:tc>
        <w:tc>
          <w:tcPr>
            <w:tcW w:w="1590" w:type="dxa"/>
            <w:tcBorders>
              <w:top w:val="single" w:sz="8" w:space="0" w:color="95B3D7"/>
              <w:left w:val="single" w:sz="8" w:space="0" w:color="95B3D7"/>
              <w:bottom w:val="single" w:sz="8" w:space="0" w:color="95B3D7"/>
              <w:right w:val="single" w:sz="8" w:space="0" w:color="95B3D7"/>
            </w:tcBorders>
            <w:vAlign w:val="center"/>
          </w:tcPr>
          <w:p w14:paraId="76BE0FC9" w14:textId="56D149A1"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s"/>
              </w:rPr>
              <w:t>25.588.893,76*</w:t>
            </w:r>
            <w:r w:rsidRPr="00B710A9">
              <w:rPr>
                <w:rFonts w:ascii="Arial" w:eastAsia="Arial" w:hAnsi="Arial" w:cs="Arial"/>
                <w:color w:val="000000" w:themeColor="text1"/>
                <w:sz w:val="18"/>
                <w:szCs w:val="18"/>
                <w:lang w:val="en-US"/>
              </w:rPr>
              <w:t xml:space="preserve"> </w:t>
            </w:r>
          </w:p>
        </w:tc>
        <w:tc>
          <w:tcPr>
            <w:tcW w:w="870" w:type="dxa"/>
            <w:tcBorders>
              <w:top w:val="single" w:sz="8" w:space="0" w:color="95B3D7"/>
              <w:left w:val="single" w:sz="8" w:space="0" w:color="95B3D7"/>
              <w:bottom w:val="single" w:sz="8" w:space="0" w:color="95B3D7"/>
              <w:right w:val="single" w:sz="8" w:space="0" w:color="95B3D7"/>
            </w:tcBorders>
            <w:vAlign w:val="center"/>
          </w:tcPr>
          <w:p w14:paraId="1B2FADEB" w14:textId="56D149A1"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86,68%*</w:t>
            </w:r>
          </w:p>
        </w:tc>
        <w:tc>
          <w:tcPr>
            <w:tcW w:w="1560" w:type="dxa"/>
            <w:tcBorders>
              <w:top w:val="single" w:sz="8" w:space="0" w:color="95B3D7"/>
              <w:left w:val="single" w:sz="8" w:space="0" w:color="95B3D7"/>
              <w:bottom w:val="single" w:sz="8" w:space="0" w:color="95B3D7"/>
              <w:right w:val="single" w:sz="8" w:space="0" w:color="95B3D7"/>
            </w:tcBorders>
            <w:vAlign w:val="center"/>
          </w:tcPr>
          <w:p w14:paraId="7676B95F" w14:textId="56D149A1" w:rsidR="70A85943" w:rsidRPr="00B710A9" w:rsidRDefault="70A85943" w:rsidP="70A859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n-US"/>
              </w:rPr>
            </w:pPr>
            <w:r w:rsidRPr="00B710A9">
              <w:rPr>
                <w:rFonts w:ascii="Arial" w:eastAsia="Arial" w:hAnsi="Arial" w:cs="Arial"/>
                <w:color w:val="000000" w:themeColor="text1"/>
                <w:sz w:val="18"/>
                <w:szCs w:val="18"/>
                <w:lang w:val="es"/>
              </w:rPr>
              <w:t>98.894.730,15*</w:t>
            </w:r>
            <w:r w:rsidRPr="00B710A9">
              <w:rPr>
                <w:rFonts w:ascii="Arial" w:eastAsia="Arial" w:hAnsi="Arial" w:cs="Arial"/>
                <w:color w:val="000000" w:themeColor="text1"/>
                <w:sz w:val="18"/>
                <w:szCs w:val="18"/>
                <w:lang w:val="en-US"/>
              </w:rPr>
              <w:t xml:space="preserve"> </w:t>
            </w:r>
          </w:p>
        </w:tc>
      </w:tr>
    </w:tbl>
    <w:p w14:paraId="7E7A5F7B" w14:textId="56D149A1" w:rsidR="00541AC8" w:rsidRPr="00B710A9" w:rsidRDefault="70A85943" w:rsidP="084347D4">
      <w:pPr>
        <w:spacing w:after="0" w:line="240" w:lineRule="auto"/>
        <w:jc w:val="center"/>
        <w:rPr>
          <w:rFonts w:ascii="Arial" w:eastAsia="Arial" w:hAnsi="Arial" w:cs="Arial"/>
          <w:b/>
          <w:bCs/>
          <w:sz w:val="16"/>
          <w:szCs w:val="16"/>
          <w:lang w:val="es-MX"/>
        </w:rPr>
      </w:pPr>
      <w:r w:rsidRPr="00B710A9">
        <w:rPr>
          <w:rFonts w:ascii="Arial" w:eastAsia="Arial" w:hAnsi="Arial" w:cs="Arial"/>
          <w:b/>
          <w:bCs/>
          <w:sz w:val="16"/>
          <w:szCs w:val="16"/>
          <w:lang w:val="es-MX"/>
        </w:rPr>
        <w:t>Fuente: Dirección de Gestión de la Información Geográfica</w:t>
      </w:r>
    </w:p>
    <w:p w14:paraId="11316F65" w14:textId="56D149A1" w:rsidR="00541AC8" w:rsidRPr="00B710A9" w:rsidRDefault="70A85943" w:rsidP="084347D4">
      <w:pPr>
        <w:spacing w:after="0" w:line="240" w:lineRule="auto"/>
        <w:jc w:val="center"/>
        <w:rPr>
          <w:rFonts w:ascii="Arial" w:eastAsia="Arial" w:hAnsi="Arial" w:cs="Arial"/>
          <w:b/>
          <w:bCs/>
          <w:sz w:val="16"/>
          <w:szCs w:val="16"/>
          <w:lang w:val="es-MX"/>
        </w:rPr>
      </w:pPr>
      <w:r w:rsidRPr="00B710A9">
        <w:rPr>
          <w:rFonts w:ascii="Arial" w:eastAsia="Arial" w:hAnsi="Arial" w:cs="Arial"/>
          <w:b/>
          <w:bCs/>
          <w:sz w:val="16"/>
          <w:szCs w:val="16"/>
          <w:lang w:val="es-MX"/>
        </w:rPr>
        <w:t>*Con corte a 30 de junio 2022</w:t>
      </w:r>
    </w:p>
    <w:p w14:paraId="01FBA900" w14:textId="7DC0EA5B" w:rsidR="33A1FD1F" w:rsidRPr="00024431" w:rsidRDefault="33A1FD1F" w:rsidP="33A1FD1F">
      <w:pPr>
        <w:spacing w:after="0" w:line="240" w:lineRule="auto"/>
        <w:jc w:val="both"/>
        <w:rPr>
          <w:rFonts w:ascii="Arial" w:eastAsia="Arial" w:hAnsi="Arial" w:cs="Arial"/>
          <w:b/>
          <w:bCs/>
          <w:color w:val="000000" w:themeColor="text1"/>
          <w:sz w:val="20"/>
          <w:szCs w:val="20"/>
          <w:u w:val="single"/>
          <w:lang w:val="es-MX"/>
        </w:rPr>
      </w:pPr>
    </w:p>
    <w:p w14:paraId="1EB5F9DD" w14:textId="56D149A1" w:rsidR="00541AC8" w:rsidRPr="00024431" w:rsidRDefault="70A85943" w:rsidP="00356A3E">
      <w:pPr>
        <w:pStyle w:val="Prrafodelista"/>
        <w:numPr>
          <w:ilvl w:val="0"/>
          <w:numId w:val="18"/>
        </w:numPr>
        <w:spacing w:after="0" w:line="240" w:lineRule="auto"/>
        <w:jc w:val="both"/>
        <w:rPr>
          <w:rFonts w:ascii="Arial" w:eastAsia="Arial" w:hAnsi="Arial" w:cs="Arial"/>
          <w:b/>
          <w:color w:val="000000" w:themeColor="text1"/>
          <w:sz w:val="22"/>
          <w:szCs w:val="22"/>
          <w:lang w:val="es"/>
        </w:rPr>
      </w:pPr>
      <w:r w:rsidRPr="00024431">
        <w:rPr>
          <w:rFonts w:ascii="Arial" w:eastAsia="Arial" w:hAnsi="Arial" w:cs="Arial"/>
          <w:b/>
          <w:color w:val="000000" w:themeColor="text1"/>
          <w:sz w:val="22"/>
          <w:szCs w:val="22"/>
          <w:lang w:val="es"/>
        </w:rPr>
        <w:t>Levantamiento, generación y actualización de la red geodésica y la cartografía básica a nivel nacional.</w:t>
      </w:r>
    </w:p>
    <w:p w14:paraId="0AF00755" w14:textId="1970659C" w:rsidR="00541AC8" w:rsidRPr="00B710A9" w:rsidRDefault="00541AC8" w:rsidP="084347D4">
      <w:pPr>
        <w:spacing w:after="0" w:line="240" w:lineRule="auto"/>
        <w:jc w:val="both"/>
        <w:rPr>
          <w:rFonts w:ascii="Arial" w:eastAsia="Arial" w:hAnsi="Arial" w:cs="Arial"/>
          <w:b/>
          <w:bCs/>
          <w:color w:val="000000" w:themeColor="text1"/>
          <w:sz w:val="22"/>
          <w:szCs w:val="22"/>
          <w:lang w:val="es"/>
        </w:rPr>
      </w:pPr>
    </w:p>
    <w:p w14:paraId="0FC2682A" w14:textId="56D149A1" w:rsidR="00541AC8" w:rsidRPr="00B710A9" w:rsidRDefault="70A85943" w:rsidP="084347D4">
      <w:pPr>
        <w:spacing w:after="0" w:line="240" w:lineRule="auto"/>
        <w:jc w:val="both"/>
        <w:rPr>
          <w:rFonts w:ascii="Arial" w:eastAsia="Arial" w:hAnsi="Arial" w:cs="Arial"/>
          <w:b/>
          <w:bCs/>
          <w:color w:val="000000" w:themeColor="text1"/>
          <w:sz w:val="22"/>
          <w:szCs w:val="22"/>
          <w:u w:val="single"/>
          <w:lang w:val="es-MX"/>
        </w:rPr>
      </w:pPr>
      <w:r w:rsidRPr="00B710A9">
        <w:rPr>
          <w:rFonts w:ascii="Arial" w:eastAsia="Arial" w:hAnsi="Arial" w:cs="Arial"/>
          <w:b/>
          <w:bCs/>
          <w:color w:val="000000" w:themeColor="text1"/>
          <w:sz w:val="22"/>
          <w:szCs w:val="22"/>
          <w:u w:val="single"/>
          <w:lang w:val="es-MX"/>
        </w:rPr>
        <w:t>Producción de cartografía básica y gestión de insumos</w:t>
      </w:r>
    </w:p>
    <w:p w14:paraId="54A6EDB3" w14:textId="18E31D32" w:rsidR="00541AC8" w:rsidRPr="00B710A9" w:rsidRDefault="00541AC8" w:rsidP="084347D4">
      <w:pPr>
        <w:spacing w:after="0" w:line="240" w:lineRule="auto"/>
        <w:jc w:val="both"/>
        <w:rPr>
          <w:rFonts w:ascii="Arial" w:eastAsia="Arial" w:hAnsi="Arial" w:cs="Arial"/>
          <w:i/>
          <w:iCs/>
          <w:color w:val="2F5496" w:themeColor="accent1" w:themeShade="BF"/>
          <w:sz w:val="22"/>
          <w:szCs w:val="22"/>
          <w:lang w:val="es-MX"/>
        </w:rPr>
      </w:pPr>
    </w:p>
    <w:p w14:paraId="5AA51FCE" w14:textId="56D149A1" w:rsidR="00541AC8" w:rsidRPr="00B710A9" w:rsidRDefault="70A85943"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En cumplimiento de los objetivos misionales del IGAC y con el propósito de generar y actualizar información cartográfica insumo para el desarrollo de diferentes proyectos y fines, desde 2020 hasta junio de 2022 el IGAC logró una producción de </w:t>
      </w:r>
      <w:r w:rsidRPr="00B710A9">
        <w:rPr>
          <w:rFonts w:ascii="Arial" w:eastAsia="Arial" w:hAnsi="Arial" w:cs="Arial"/>
          <w:color w:val="000000" w:themeColor="text1"/>
          <w:lang w:val="es"/>
        </w:rPr>
        <w:t xml:space="preserve">115.408.819,9 </w:t>
      </w:r>
      <w:r w:rsidRPr="00B710A9">
        <w:rPr>
          <w:rFonts w:ascii="Arial" w:eastAsia="Arial" w:hAnsi="Arial" w:cs="Arial"/>
          <w:color w:val="000000" w:themeColor="text1"/>
          <w:sz w:val="22"/>
          <w:szCs w:val="22"/>
          <w:lang w:val="es"/>
        </w:rPr>
        <w:t xml:space="preserve">ha del país con </w:t>
      </w:r>
      <w:proofErr w:type="spellStart"/>
      <w:r w:rsidRPr="00B710A9">
        <w:rPr>
          <w:rFonts w:ascii="Arial" w:eastAsia="Arial" w:hAnsi="Arial" w:cs="Arial"/>
          <w:color w:val="000000" w:themeColor="text1"/>
          <w:sz w:val="22"/>
          <w:szCs w:val="22"/>
          <w:lang w:val="es"/>
        </w:rPr>
        <w:t>ortoimágenes</w:t>
      </w:r>
      <w:proofErr w:type="spellEnd"/>
      <w:r w:rsidRPr="00B710A9">
        <w:rPr>
          <w:rFonts w:ascii="Arial" w:eastAsia="Arial" w:hAnsi="Arial" w:cs="Arial"/>
          <w:color w:val="000000" w:themeColor="text1"/>
          <w:sz w:val="22"/>
          <w:szCs w:val="22"/>
          <w:lang w:val="es"/>
        </w:rPr>
        <w:t>, modelos digitales y/o base de datos vectoriales, a partir de la generación cartográfica en sitio, la adquisición de productos, y la validación y oficialización de cartografía producida por terceros. Algunos municipios fueron cubiertos de manera total o parcial, dependiendo de los insumos disponibles.</w:t>
      </w:r>
    </w:p>
    <w:p w14:paraId="4ED920D4" w14:textId="77777777" w:rsidR="002D19D2" w:rsidRPr="00B710A9" w:rsidRDefault="002D19D2" w:rsidP="009D279A">
      <w:pPr>
        <w:spacing w:after="0" w:line="240" w:lineRule="auto"/>
        <w:jc w:val="both"/>
        <w:rPr>
          <w:rFonts w:ascii="Arial" w:eastAsia="Arial" w:hAnsi="Arial" w:cs="Arial"/>
          <w:color w:val="000000" w:themeColor="text1"/>
          <w:sz w:val="22"/>
          <w:szCs w:val="22"/>
          <w:lang w:val="es"/>
        </w:rPr>
      </w:pPr>
    </w:p>
    <w:p w14:paraId="67B9D2DB" w14:textId="6755C45A" w:rsidR="00541AC8" w:rsidRPr="00B710A9" w:rsidRDefault="70A85943"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Cabe mencionar que, con respecto a la cartografía básica urbana, en 2021 se logró la generación de 23.878,42 hectáreas (ha), obteniendo un incremento en la producción de </w:t>
      </w:r>
      <w:r w:rsidRPr="00B710A9">
        <w:rPr>
          <w:rFonts w:ascii="Arial" w:eastAsia="Arial" w:hAnsi="Arial" w:cs="Arial"/>
          <w:color w:val="000000" w:themeColor="text1"/>
          <w:lang w:val="es"/>
        </w:rPr>
        <w:t>672,18</w:t>
      </w:r>
      <w:r w:rsidRPr="00B710A9">
        <w:rPr>
          <w:rFonts w:ascii="Arial" w:eastAsia="Arial" w:hAnsi="Arial" w:cs="Arial"/>
          <w:color w:val="000000" w:themeColor="text1"/>
          <w:sz w:val="22"/>
          <w:szCs w:val="22"/>
          <w:lang w:val="es"/>
        </w:rPr>
        <w:t xml:space="preserve">% con relación a 2020. En el caso de la cartografía básica rural, en 2021 se generaron 1.509.149,50 ha, logrando aumentar la producción en un 218,89% con relación a 2020. </w:t>
      </w:r>
    </w:p>
    <w:p w14:paraId="35BB07DB" w14:textId="77777777" w:rsidR="002D19D2" w:rsidRPr="00B710A9" w:rsidRDefault="002D19D2" w:rsidP="009D279A">
      <w:pPr>
        <w:spacing w:after="0" w:line="240" w:lineRule="auto"/>
        <w:jc w:val="both"/>
        <w:rPr>
          <w:rFonts w:ascii="Arial" w:eastAsia="Arial" w:hAnsi="Arial" w:cs="Arial"/>
          <w:color w:val="000000" w:themeColor="text1"/>
          <w:sz w:val="22"/>
          <w:szCs w:val="22"/>
          <w:lang w:val="es"/>
        </w:rPr>
      </w:pPr>
    </w:p>
    <w:p w14:paraId="412A9669" w14:textId="4D7E44A2" w:rsidR="00541AC8" w:rsidRPr="00B710A9" w:rsidRDefault="70A85943"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En el caso de la cartografía básica rural, en 2021 se generaron por parte del equipo del IGAC, 1.509.149,50 ha de productos cartográficos a escala 1:10.000, logrando aumentar la producción en un 218,89% con relación a 2020. Es importante resaltar</w:t>
      </w:r>
      <w:r w:rsidR="004D39B1" w:rsidRPr="00B710A9">
        <w:rPr>
          <w:rFonts w:ascii="Arial" w:eastAsia="Arial" w:hAnsi="Arial" w:cs="Arial"/>
          <w:color w:val="000000" w:themeColor="text1"/>
          <w:sz w:val="22"/>
          <w:szCs w:val="22"/>
          <w:lang w:val="es"/>
        </w:rPr>
        <w:t xml:space="preserve"> </w:t>
      </w:r>
      <w:r w:rsidRPr="00B710A9">
        <w:rPr>
          <w:rFonts w:ascii="Arial" w:eastAsia="Arial" w:hAnsi="Arial" w:cs="Arial"/>
          <w:color w:val="000000" w:themeColor="text1"/>
          <w:sz w:val="22"/>
          <w:szCs w:val="22"/>
          <w:lang w:val="es"/>
        </w:rPr>
        <w:t>que</w:t>
      </w:r>
      <w:r w:rsidR="004D39B1" w:rsidRPr="00B710A9">
        <w:rPr>
          <w:rFonts w:ascii="Arial" w:eastAsia="Arial" w:hAnsi="Arial" w:cs="Arial"/>
          <w:color w:val="000000" w:themeColor="text1"/>
          <w:sz w:val="22"/>
          <w:szCs w:val="22"/>
          <w:lang w:val="es"/>
        </w:rPr>
        <w:t>,</w:t>
      </w:r>
      <w:r w:rsidRPr="00B710A9">
        <w:rPr>
          <w:rFonts w:ascii="Arial" w:eastAsia="Arial" w:hAnsi="Arial" w:cs="Arial"/>
          <w:color w:val="000000" w:themeColor="text1"/>
          <w:sz w:val="22"/>
          <w:szCs w:val="22"/>
          <w:lang w:val="es"/>
        </w:rPr>
        <w:t xml:space="preserve"> en 2022, posterior a la expedición de la Resolución IGAC 197 de 27 de enero de 2022, se han generado 41.639.441,15 ha de productos cartográficos a escala 1:50.000 de la región de la Amazonía colombiana y de otras regiones. </w:t>
      </w:r>
    </w:p>
    <w:p w14:paraId="71C3BC98" w14:textId="77777777" w:rsidR="003B3672" w:rsidRPr="00B710A9" w:rsidRDefault="003B3672" w:rsidP="084347D4">
      <w:pPr>
        <w:spacing w:after="0" w:line="240" w:lineRule="auto"/>
        <w:jc w:val="both"/>
        <w:rPr>
          <w:rFonts w:ascii="Arial" w:eastAsia="Arial" w:hAnsi="Arial" w:cs="Arial"/>
          <w:color w:val="000000" w:themeColor="text1"/>
          <w:sz w:val="22"/>
          <w:szCs w:val="22"/>
          <w:lang w:val="es-MX"/>
        </w:rPr>
      </w:pPr>
    </w:p>
    <w:p w14:paraId="53471E5C" w14:textId="56D149A1" w:rsidR="00541AC8" w:rsidRPr="00B710A9" w:rsidRDefault="70A85943" w:rsidP="084347D4">
      <w:pPr>
        <w:spacing w:after="0" w:line="240" w:lineRule="auto"/>
        <w:jc w:val="both"/>
        <w:rPr>
          <w:rFonts w:ascii="Arial" w:eastAsia="Arial" w:hAnsi="Arial" w:cs="Arial"/>
        </w:rPr>
      </w:pPr>
      <w:r w:rsidRPr="00B710A9">
        <w:rPr>
          <w:rFonts w:ascii="Arial" w:eastAsia="Arial" w:hAnsi="Arial" w:cs="Arial"/>
          <w:color w:val="000000" w:themeColor="text1"/>
          <w:sz w:val="22"/>
          <w:szCs w:val="22"/>
          <w:lang w:val="es-MX"/>
        </w:rPr>
        <w:t>Por último, uno de los elementos más importantes en la producción cartográfica son los puntos de control terrestre, con los cuales además de asegurar la calidad del producto, son útiles para realizar el control de exactitud posicional de estos. En el IGAC, los levantamientos de estos puntos por tradición han conllevado grandes tiempos y esfuerzos, por esto, en el 2020 y 2021 uno de los retos consistía en optimizar los tiempos y costos de este proceso, con lo cual se logró en 2021 la captura y procesamiento de 858 puntos de control (703 para producción cartográfica y 155 para verificación de productos) y 323 puntos en lo transcurrido de 2022 (solo para producción cartográfica).</w:t>
      </w:r>
    </w:p>
    <w:p w14:paraId="3BD7E82B" w14:textId="56D149A1" w:rsidR="00541AC8" w:rsidRPr="00B710A9" w:rsidRDefault="70A85943" w:rsidP="70A85943">
      <w:pPr>
        <w:spacing w:after="0" w:line="240" w:lineRule="auto"/>
        <w:jc w:val="both"/>
        <w:rPr>
          <w:rFonts w:ascii="Arial" w:eastAsia="Arial" w:hAnsi="Arial" w:cs="Arial"/>
          <w:color w:val="000000" w:themeColor="text1"/>
        </w:rPr>
      </w:pPr>
      <w:r w:rsidRPr="00B710A9">
        <w:rPr>
          <w:rFonts w:ascii="Arial" w:eastAsia="Arial" w:hAnsi="Arial" w:cs="Arial"/>
          <w:color w:val="000000" w:themeColor="text1"/>
        </w:rPr>
        <w:t xml:space="preserve"> </w:t>
      </w:r>
    </w:p>
    <w:p w14:paraId="49F4DE06" w14:textId="001BCB41" w:rsidR="70A85943" w:rsidRPr="00B710A9" w:rsidRDefault="70A85943" w:rsidP="70A85943">
      <w:pPr>
        <w:jc w:val="both"/>
        <w:rPr>
          <w:rFonts w:ascii="Arial" w:eastAsia="Arial" w:hAnsi="Arial" w:cs="Arial"/>
          <w:color w:val="000000" w:themeColor="text1"/>
          <w:sz w:val="22"/>
          <w:szCs w:val="22"/>
          <w:lang w:val="es-MX"/>
        </w:rPr>
      </w:pPr>
      <w:r w:rsidRPr="00B710A9">
        <w:rPr>
          <w:rFonts w:ascii="Arial" w:eastAsia="Arial" w:hAnsi="Arial" w:cs="Arial"/>
          <w:color w:val="000000" w:themeColor="text1"/>
          <w:sz w:val="22"/>
          <w:szCs w:val="22"/>
          <w:lang w:val="es-MX"/>
        </w:rPr>
        <w:lastRenderedPageBreak/>
        <w:t>Por otro lado, con el ánimo de mantener niveles de información con escalas homogéneas durante el 2022, se inició la ejecución de</w:t>
      </w:r>
      <w:r w:rsidRPr="00B710A9">
        <w:rPr>
          <w:rFonts w:ascii="Arial" w:eastAsia="Arial" w:hAnsi="Arial" w:cs="Arial"/>
          <w:color w:val="000000" w:themeColor="text1"/>
          <w:lang w:val="es-MX"/>
        </w:rPr>
        <w:t xml:space="preserve"> </w:t>
      </w:r>
      <w:r w:rsidRPr="00B710A9">
        <w:rPr>
          <w:rFonts w:ascii="Arial" w:eastAsia="Arial" w:hAnsi="Arial" w:cs="Arial"/>
          <w:color w:val="000000" w:themeColor="text1"/>
          <w:sz w:val="22"/>
          <w:szCs w:val="22"/>
          <w:lang w:val="es-MX"/>
        </w:rPr>
        <w:t>procesos de generalización de información cartográfica a escala 1:25.000 de los productos generados durante el periodo 2019 al 2021. Al respecto, se avanzó en la generalización cartográfica a escala 1:25.000 de Puerto Lleras (Meta).</w:t>
      </w:r>
    </w:p>
    <w:p w14:paraId="5DB2D139" w14:textId="58AA5EB5" w:rsidR="70A85943" w:rsidRPr="00B710A9" w:rsidRDefault="70A85943" w:rsidP="70A85943">
      <w:pPr>
        <w:spacing w:after="0" w:line="240" w:lineRule="auto"/>
        <w:jc w:val="both"/>
        <w:rPr>
          <w:rFonts w:ascii="Arial" w:eastAsia="Arial" w:hAnsi="Arial" w:cs="Arial"/>
          <w:color w:val="000000" w:themeColor="text1"/>
        </w:rPr>
      </w:pPr>
    </w:p>
    <w:p w14:paraId="729643E2" w14:textId="56D149A1" w:rsidR="70A85943" w:rsidRPr="00B710A9" w:rsidRDefault="70A85943" w:rsidP="75B02D90">
      <w:pPr>
        <w:jc w:val="both"/>
        <w:rPr>
          <w:rFonts w:ascii="Arial" w:eastAsia="Arial" w:hAnsi="Arial" w:cs="Arial"/>
          <w:b/>
          <w:bCs/>
          <w:color w:val="000000" w:themeColor="text1"/>
          <w:sz w:val="22"/>
          <w:szCs w:val="22"/>
          <w:u w:val="single"/>
          <w:lang w:val="es-MX"/>
        </w:rPr>
      </w:pPr>
      <w:r w:rsidRPr="00B710A9">
        <w:rPr>
          <w:rFonts w:ascii="Arial" w:eastAsia="Arial" w:hAnsi="Arial" w:cs="Arial"/>
          <w:b/>
          <w:bCs/>
          <w:color w:val="000000" w:themeColor="text1"/>
          <w:sz w:val="22"/>
          <w:szCs w:val="22"/>
          <w:u w:val="single"/>
          <w:lang w:val="es-MX"/>
        </w:rPr>
        <w:t>Gestión, captura y/o adquisición de imágenes del territorio colombiano.</w:t>
      </w:r>
    </w:p>
    <w:p w14:paraId="606BCCD8" w14:textId="04763DD4" w:rsidR="70A85943" w:rsidRPr="00B710A9" w:rsidRDefault="70A85943" w:rsidP="70A85943">
      <w:pPr>
        <w:spacing w:after="0" w:line="240" w:lineRule="auto"/>
        <w:jc w:val="both"/>
        <w:rPr>
          <w:rFonts w:ascii="Arial" w:eastAsia="Arial" w:hAnsi="Arial" w:cs="Arial"/>
          <w:color w:val="000000" w:themeColor="text1"/>
        </w:rPr>
      </w:pPr>
    </w:p>
    <w:p w14:paraId="525F9442" w14:textId="77777777" w:rsidR="00D75065" w:rsidRPr="00B710A9" w:rsidRDefault="70A85943" w:rsidP="00D75065">
      <w:pPr>
        <w:jc w:val="both"/>
        <w:rPr>
          <w:rFonts w:ascii="Arial" w:hAnsi="Arial" w:cs="Arial"/>
        </w:rPr>
      </w:pPr>
      <w:r w:rsidRPr="00B710A9">
        <w:rPr>
          <w:rFonts w:ascii="Arial" w:eastAsia="Arial" w:hAnsi="Arial" w:cs="Arial"/>
          <w:color w:val="000000" w:themeColor="text1"/>
          <w:sz w:val="22"/>
          <w:szCs w:val="22"/>
          <w:lang w:val="es-MX"/>
        </w:rPr>
        <w:t>Uno de los objetivos misionales del IGAC es producir la información cartográfica del país, así como velar por su actualización, cubrimiento y cumplimiento de estándares para su uso y aprovechamiento. Uno de los objetivos misionales del IGAC es producir la información cartográfica del país, así como velar por su actualización, cubrimiento y cumplimiento de estándares para su uso y aprovechamiento.</w:t>
      </w:r>
      <w:r w:rsidR="00D75065" w:rsidRPr="00B710A9">
        <w:rPr>
          <w:rFonts w:ascii="Arial" w:eastAsia="Arial" w:hAnsi="Arial" w:cs="Arial"/>
          <w:color w:val="000000" w:themeColor="text1"/>
          <w:sz w:val="22"/>
          <w:szCs w:val="22"/>
          <w:lang w:val="es-MX"/>
        </w:rPr>
        <w:t xml:space="preserve"> En este sentido, previa obtención de los permisos correspondientes ante la Aeronáutica Civil, se realizó la captura de imágenes con las aeronaves del IGAC de acuerdo con la priorización de municipios establecida. Así mismo, se llevó a cabo la gestión con diferentes entidades del orden nacional, regional y local, para acceder, evaluar y usar las imágenes existentes y útiles para los procesos de producción cartográfica.</w:t>
      </w:r>
    </w:p>
    <w:p w14:paraId="206B4D7B" w14:textId="56B0310A" w:rsidR="001C5672" w:rsidRPr="00024431" w:rsidRDefault="00D75065" w:rsidP="00024431">
      <w:pPr>
        <w:jc w:val="both"/>
        <w:rPr>
          <w:rFonts w:ascii="Arial" w:eastAsia="Arial" w:hAnsi="Arial" w:cs="Arial"/>
          <w:color w:val="000000" w:themeColor="text1"/>
          <w:sz w:val="22"/>
          <w:szCs w:val="22"/>
          <w:lang w:val="es-MX"/>
        </w:rPr>
      </w:pPr>
      <w:bookmarkStart w:id="5" w:name="_Toc107902546"/>
      <w:r w:rsidRPr="00B710A9">
        <w:rPr>
          <w:rFonts w:ascii="Arial" w:eastAsia="Arial" w:hAnsi="Arial" w:cs="Arial"/>
          <w:color w:val="000000" w:themeColor="text1"/>
          <w:sz w:val="22"/>
          <w:szCs w:val="22"/>
          <w:lang w:val="es-MX"/>
        </w:rPr>
        <w:t xml:space="preserve">Con respecto a la captura de imágenes con la aeronave tripulada del IGAC, desde el año 2020 se logró la toma de aerofotografías de </w:t>
      </w:r>
      <w:r w:rsidRPr="00B710A9">
        <w:rPr>
          <w:rStyle w:val="normaltextrun"/>
          <w:rFonts w:ascii="Arial" w:hAnsi="Arial" w:cs="Arial"/>
          <w:color w:val="000000"/>
          <w:bdr w:val="none" w:sz="0" w:space="0" w:color="auto" w:frame="1"/>
        </w:rPr>
        <w:t xml:space="preserve">4.404.361,94 </w:t>
      </w:r>
      <w:r w:rsidRPr="00B710A9">
        <w:rPr>
          <w:rFonts w:ascii="Arial" w:eastAsia="Arial" w:hAnsi="Arial" w:cs="Arial"/>
          <w:color w:val="000000" w:themeColor="text1"/>
          <w:sz w:val="22"/>
          <w:szCs w:val="22"/>
          <w:lang w:val="es-MX"/>
        </w:rPr>
        <w:t>hectáreas (ha), con un cubrimiento total o parcial de 48 municipios y 3 proyectos, alcanzando niveles de detalle entre 20 a 30 cm del territorio colombiano.</w:t>
      </w:r>
    </w:p>
    <w:p w14:paraId="610A455B" w14:textId="6BB068BD" w:rsidR="008B51BF" w:rsidRPr="00B710A9" w:rsidRDefault="008B51BF" w:rsidP="008B51BF">
      <w:pPr>
        <w:pStyle w:val="Descripcin"/>
        <w:keepNext/>
        <w:jc w:val="center"/>
        <w:rPr>
          <w:rFonts w:ascii="Arial" w:hAnsi="Arial" w:cs="Arial"/>
          <w:b/>
          <w:bCs/>
          <w:i w:val="0"/>
          <w:iCs w:val="0"/>
          <w:color w:val="auto"/>
          <w:sz w:val="16"/>
          <w:szCs w:val="16"/>
        </w:rPr>
      </w:pPr>
      <w:bookmarkStart w:id="6" w:name="_Toc109057733"/>
      <w:r w:rsidRPr="00B710A9">
        <w:rPr>
          <w:rFonts w:ascii="Arial" w:hAnsi="Arial" w:cs="Arial"/>
          <w:b/>
          <w:bCs/>
          <w:i w:val="0"/>
          <w:iCs w:val="0"/>
          <w:color w:val="auto"/>
          <w:sz w:val="16"/>
          <w:szCs w:val="16"/>
        </w:rPr>
        <w:t xml:space="preserve">Tabla </w:t>
      </w:r>
      <w:r w:rsidRPr="00B710A9">
        <w:rPr>
          <w:rFonts w:ascii="Arial" w:hAnsi="Arial" w:cs="Arial"/>
          <w:b/>
          <w:bCs/>
          <w:i w:val="0"/>
          <w:iCs w:val="0"/>
          <w:color w:val="auto"/>
          <w:sz w:val="16"/>
          <w:szCs w:val="16"/>
        </w:rPr>
        <w:fldChar w:fldCharType="begin"/>
      </w:r>
      <w:r w:rsidRPr="00B710A9">
        <w:rPr>
          <w:rFonts w:ascii="Arial" w:hAnsi="Arial" w:cs="Arial"/>
          <w:b/>
          <w:bCs/>
          <w:i w:val="0"/>
          <w:iCs w:val="0"/>
          <w:color w:val="auto"/>
          <w:sz w:val="16"/>
          <w:szCs w:val="16"/>
        </w:rPr>
        <w:instrText xml:space="preserve"> SEQ Tabla \* ARABIC </w:instrText>
      </w:r>
      <w:r w:rsidRPr="00B710A9">
        <w:rPr>
          <w:rFonts w:ascii="Arial" w:hAnsi="Arial" w:cs="Arial"/>
          <w:b/>
          <w:bCs/>
          <w:i w:val="0"/>
          <w:iCs w:val="0"/>
          <w:color w:val="auto"/>
          <w:sz w:val="16"/>
          <w:szCs w:val="16"/>
        </w:rPr>
        <w:fldChar w:fldCharType="separate"/>
      </w:r>
      <w:r w:rsidR="00801DF8" w:rsidRPr="00B710A9">
        <w:rPr>
          <w:rFonts w:ascii="Arial" w:hAnsi="Arial" w:cs="Arial"/>
          <w:b/>
          <w:bCs/>
          <w:i w:val="0"/>
          <w:iCs w:val="0"/>
          <w:noProof/>
          <w:color w:val="auto"/>
          <w:sz w:val="16"/>
          <w:szCs w:val="16"/>
        </w:rPr>
        <w:t>3</w:t>
      </w:r>
      <w:r w:rsidRPr="00B710A9">
        <w:rPr>
          <w:rFonts w:ascii="Arial" w:hAnsi="Arial" w:cs="Arial"/>
          <w:b/>
          <w:bCs/>
          <w:i w:val="0"/>
          <w:iCs w:val="0"/>
          <w:color w:val="auto"/>
          <w:sz w:val="16"/>
          <w:szCs w:val="16"/>
        </w:rPr>
        <w:fldChar w:fldCharType="end"/>
      </w:r>
      <w:r w:rsidRPr="00B710A9">
        <w:rPr>
          <w:rFonts w:ascii="Arial" w:hAnsi="Arial" w:cs="Arial"/>
          <w:b/>
          <w:bCs/>
          <w:i w:val="0"/>
          <w:iCs w:val="0"/>
          <w:color w:val="auto"/>
          <w:sz w:val="16"/>
          <w:szCs w:val="16"/>
        </w:rPr>
        <w:t>. Captura de imágenes con aeronave tripulada 2020 y 2022</w:t>
      </w:r>
      <w:bookmarkEnd w:id="6"/>
    </w:p>
    <w:tbl>
      <w:tblPr>
        <w:tblStyle w:val="Tablaconcuadrcula4-nfasis1"/>
        <w:tblW w:w="0" w:type="auto"/>
        <w:jc w:val="center"/>
        <w:tblLayout w:type="fixed"/>
        <w:tblLook w:val="04A0" w:firstRow="1" w:lastRow="0" w:firstColumn="1" w:lastColumn="0" w:noHBand="0" w:noVBand="1"/>
      </w:tblPr>
      <w:tblGrid>
        <w:gridCol w:w="1695"/>
        <w:gridCol w:w="1335"/>
        <w:gridCol w:w="1980"/>
      </w:tblGrid>
      <w:tr w:rsidR="70A85943" w:rsidRPr="00B710A9" w14:paraId="08AC172F" w14:textId="77777777" w:rsidTr="75B02D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0" w:type="dxa"/>
            <w:gridSpan w:val="2"/>
            <w:tcBorders>
              <w:top w:val="single" w:sz="8" w:space="0" w:color="4F81BD"/>
              <w:left w:val="single" w:sz="8" w:space="0" w:color="4F81BD"/>
              <w:bottom w:val="single" w:sz="8" w:space="0" w:color="4F81BD"/>
            </w:tcBorders>
            <w:shd w:val="clear" w:color="auto" w:fill="4F81BD"/>
          </w:tcPr>
          <w:bookmarkEnd w:id="5"/>
          <w:p w14:paraId="04F7B960" w14:textId="56D149A1" w:rsidR="70A85943" w:rsidRPr="00B710A9" w:rsidRDefault="70A85943" w:rsidP="70A85943">
            <w:pPr>
              <w:jc w:val="center"/>
              <w:rPr>
                <w:rFonts w:ascii="Arial" w:eastAsia="Arial" w:hAnsi="Arial" w:cs="Arial"/>
                <w:sz w:val="28"/>
                <w:szCs w:val="28"/>
                <w:lang w:val="es"/>
              </w:rPr>
            </w:pPr>
            <w:r w:rsidRPr="00B710A9">
              <w:rPr>
                <w:rFonts w:ascii="Arial" w:eastAsia="Arial" w:hAnsi="Arial" w:cs="Arial"/>
                <w:sz w:val="28"/>
                <w:szCs w:val="28"/>
                <w:lang w:val="es"/>
              </w:rPr>
              <w:t xml:space="preserve">2.315.866  </w:t>
            </w:r>
          </w:p>
          <w:p w14:paraId="24EB443B" w14:textId="56D149A1" w:rsidR="70A85943" w:rsidRPr="00B710A9" w:rsidRDefault="70A85943" w:rsidP="70A85943">
            <w:pPr>
              <w:jc w:val="center"/>
              <w:rPr>
                <w:rFonts w:ascii="Arial" w:eastAsia="Arial" w:hAnsi="Arial" w:cs="Arial"/>
                <w:sz w:val="16"/>
                <w:szCs w:val="16"/>
                <w:lang w:val="es"/>
              </w:rPr>
            </w:pPr>
            <w:r w:rsidRPr="00B710A9">
              <w:rPr>
                <w:rFonts w:ascii="Arial" w:eastAsia="Arial" w:hAnsi="Arial" w:cs="Arial"/>
                <w:sz w:val="16"/>
                <w:szCs w:val="16"/>
                <w:lang w:val="es"/>
              </w:rPr>
              <w:t xml:space="preserve">Hectáreas </w:t>
            </w:r>
          </w:p>
          <w:p w14:paraId="6330CCDB" w14:textId="56D149A1" w:rsidR="70A85943" w:rsidRPr="00B710A9" w:rsidRDefault="70A85943" w:rsidP="70A85943">
            <w:pPr>
              <w:jc w:val="center"/>
              <w:rPr>
                <w:rFonts w:ascii="Arial" w:eastAsia="Arial" w:hAnsi="Arial" w:cs="Arial"/>
                <w:sz w:val="16"/>
                <w:szCs w:val="16"/>
                <w:lang w:val="es"/>
              </w:rPr>
            </w:pPr>
            <w:r w:rsidRPr="00B710A9">
              <w:rPr>
                <w:rFonts w:ascii="Arial" w:eastAsia="Arial" w:hAnsi="Arial" w:cs="Arial"/>
                <w:sz w:val="16"/>
                <w:szCs w:val="16"/>
                <w:lang w:val="es"/>
              </w:rPr>
              <w:t>2020</w:t>
            </w:r>
          </w:p>
        </w:tc>
        <w:tc>
          <w:tcPr>
            <w:tcW w:w="1980" w:type="dxa"/>
            <w:tcBorders>
              <w:top w:val="single" w:sz="8" w:space="0" w:color="4F81BD"/>
              <w:bottom w:val="single" w:sz="8" w:space="0" w:color="4F81BD"/>
              <w:right w:val="single" w:sz="8" w:space="0" w:color="4F81BD"/>
            </w:tcBorders>
            <w:shd w:val="clear" w:color="auto" w:fill="4F81BD"/>
          </w:tcPr>
          <w:p w14:paraId="5F1EBE34" w14:textId="56D149A1" w:rsidR="70A85943" w:rsidRPr="00B710A9" w:rsidRDefault="70A85943" w:rsidP="70A859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lang w:val="es"/>
              </w:rPr>
            </w:pPr>
            <w:r w:rsidRPr="00B710A9">
              <w:rPr>
                <w:rFonts w:ascii="Arial" w:eastAsia="Arial" w:hAnsi="Arial" w:cs="Arial"/>
                <w:lang w:val="es"/>
              </w:rPr>
              <w:t>1.968.963</w:t>
            </w:r>
          </w:p>
          <w:p w14:paraId="6E454FAC" w14:textId="56D149A1" w:rsidR="70A85943" w:rsidRPr="00B710A9" w:rsidRDefault="70A85943" w:rsidP="70A859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Hectáreas </w:t>
            </w:r>
          </w:p>
          <w:p w14:paraId="0F78E40B" w14:textId="56D149A1" w:rsidR="70A85943" w:rsidRPr="00B710A9" w:rsidRDefault="70A85943" w:rsidP="70A859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2022</w:t>
            </w:r>
          </w:p>
        </w:tc>
      </w:tr>
      <w:tr w:rsidR="70A85943" w:rsidRPr="00B710A9" w14:paraId="7BD40A3A" w14:textId="77777777" w:rsidTr="75B02D90">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4F81BD"/>
              <w:left w:val="single" w:sz="8" w:space="0" w:color="95B3D7"/>
              <w:bottom w:val="single" w:sz="8" w:space="0" w:color="95B3D7"/>
              <w:right w:val="single" w:sz="8" w:space="0" w:color="95B3D7"/>
            </w:tcBorders>
            <w:shd w:val="clear" w:color="auto" w:fill="DBE5F1"/>
          </w:tcPr>
          <w:p w14:paraId="19CFB60E" w14:textId="56D149A1" w:rsidR="70A85943" w:rsidRPr="00B710A9" w:rsidRDefault="70A85943" w:rsidP="70A85943">
            <w:pPr>
              <w:jc w:val="center"/>
              <w:rPr>
                <w:rFonts w:ascii="Arial" w:eastAsia="Arial" w:hAnsi="Arial" w:cs="Arial"/>
                <w:color w:val="000000" w:themeColor="text1"/>
                <w:sz w:val="28"/>
                <w:szCs w:val="28"/>
                <w:lang w:val="es"/>
              </w:rPr>
            </w:pPr>
            <w:r w:rsidRPr="00B710A9">
              <w:rPr>
                <w:rFonts w:ascii="Arial" w:eastAsia="Arial" w:hAnsi="Arial" w:cs="Arial"/>
                <w:color w:val="000000" w:themeColor="text1"/>
                <w:sz w:val="28"/>
                <w:szCs w:val="28"/>
                <w:lang w:val="es"/>
              </w:rPr>
              <w:t xml:space="preserve">24 </w:t>
            </w:r>
          </w:p>
          <w:p w14:paraId="1B7F701F" w14:textId="56D149A1" w:rsidR="70A85943" w:rsidRPr="00B710A9" w:rsidRDefault="70A85943" w:rsidP="70A85943">
            <w:pPr>
              <w:jc w:val="center"/>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municipios </w:t>
            </w:r>
          </w:p>
        </w:tc>
        <w:tc>
          <w:tcPr>
            <w:tcW w:w="1335" w:type="dxa"/>
            <w:tcBorders>
              <w:top w:val="nil"/>
              <w:left w:val="single" w:sz="8" w:space="0" w:color="95B3D7"/>
              <w:bottom w:val="single" w:sz="8" w:space="0" w:color="95B3D7"/>
              <w:right w:val="single" w:sz="8" w:space="0" w:color="95B3D7"/>
            </w:tcBorders>
            <w:shd w:val="clear" w:color="auto" w:fill="DBE5F1"/>
          </w:tcPr>
          <w:p w14:paraId="38D4B2AA" w14:textId="56D149A1" w:rsidR="70A85943" w:rsidRPr="00B710A9" w:rsidRDefault="70A85943" w:rsidP="70A8594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8"/>
                <w:szCs w:val="28"/>
                <w:lang w:val="es"/>
              </w:rPr>
            </w:pPr>
            <w:r w:rsidRPr="00B710A9">
              <w:rPr>
                <w:rFonts w:ascii="Arial" w:eastAsia="Arial" w:hAnsi="Arial" w:cs="Arial"/>
                <w:b/>
                <w:bCs/>
                <w:color w:val="000000" w:themeColor="text1"/>
                <w:sz w:val="28"/>
                <w:szCs w:val="28"/>
                <w:lang w:val="es"/>
              </w:rPr>
              <w:t>3</w:t>
            </w:r>
            <w:r w:rsidRPr="00B710A9">
              <w:rPr>
                <w:rFonts w:ascii="Arial" w:eastAsia="Arial" w:hAnsi="Arial" w:cs="Arial"/>
                <w:color w:val="000000" w:themeColor="text1"/>
                <w:sz w:val="28"/>
                <w:szCs w:val="28"/>
                <w:lang w:val="es"/>
              </w:rPr>
              <w:t xml:space="preserve"> </w:t>
            </w:r>
          </w:p>
          <w:p w14:paraId="1F178005" w14:textId="56D149A1" w:rsidR="70A85943" w:rsidRPr="00B710A9" w:rsidRDefault="70A85943" w:rsidP="70A8594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proyectos </w:t>
            </w:r>
          </w:p>
        </w:tc>
        <w:tc>
          <w:tcPr>
            <w:tcW w:w="1980" w:type="dxa"/>
            <w:tcBorders>
              <w:top w:val="single" w:sz="8" w:space="0" w:color="4F81BD"/>
              <w:left w:val="single" w:sz="8" w:space="0" w:color="95B3D7"/>
              <w:bottom w:val="single" w:sz="8" w:space="0" w:color="95B3D7"/>
              <w:right w:val="single" w:sz="8" w:space="0" w:color="95B3D7"/>
            </w:tcBorders>
            <w:shd w:val="clear" w:color="auto" w:fill="DBE5F1"/>
          </w:tcPr>
          <w:p w14:paraId="2B8A1438" w14:textId="56D149A1" w:rsidR="70A85943" w:rsidRPr="00B710A9" w:rsidRDefault="70A85943"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000000" w:themeColor="text1"/>
                <w:sz w:val="28"/>
                <w:szCs w:val="28"/>
                <w:lang w:val="es"/>
              </w:rPr>
            </w:pPr>
            <w:r w:rsidRPr="00B710A9">
              <w:rPr>
                <w:rFonts w:ascii="Arial" w:eastAsia="Arial" w:hAnsi="Arial" w:cs="Arial"/>
                <w:b/>
                <w:bCs/>
                <w:color w:val="000000" w:themeColor="text1"/>
                <w:sz w:val="28"/>
                <w:szCs w:val="28"/>
                <w:lang w:val="es"/>
              </w:rPr>
              <w:t xml:space="preserve">24 </w:t>
            </w:r>
          </w:p>
          <w:p w14:paraId="1388FCCF" w14:textId="56D149A1" w:rsidR="70A85943" w:rsidRPr="00B710A9" w:rsidRDefault="70A85943" w:rsidP="70A8594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municipios </w:t>
            </w:r>
          </w:p>
        </w:tc>
      </w:tr>
      <w:tr w:rsidR="70A85943" w:rsidRPr="00B710A9" w14:paraId="063703EB" w14:textId="77777777" w:rsidTr="75B02D90">
        <w:trPr>
          <w:jc w:val="center"/>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95B3D7"/>
              <w:left w:val="single" w:sz="8" w:space="0" w:color="95B3D7"/>
              <w:bottom w:val="single" w:sz="8" w:space="0" w:color="95B3D7"/>
              <w:right w:val="single" w:sz="8" w:space="0" w:color="95B3D7"/>
            </w:tcBorders>
          </w:tcPr>
          <w:p w14:paraId="66A0BCF6" w14:textId="56D149A1"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1.</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Planadas </w:t>
            </w:r>
          </w:p>
          <w:p w14:paraId="70DB71EE" w14:textId="56D149A1"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2.</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Villavicencio </w:t>
            </w:r>
          </w:p>
          <w:p w14:paraId="3D090D9D" w14:textId="56D149A1"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3.</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La Macarena </w:t>
            </w:r>
          </w:p>
          <w:p w14:paraId="698A30BB"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4.</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Apia </w:t>
            </w:r>
          </w:p>
          <w:p w14:paraId="764E3205"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5.</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Balboa </w:t>
            </w:r>
          </w:p>
          <w:p w14:paraId="0D4A9A38"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6.</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Popayán </w:t>
            </w:r>
          </w:p>
          <w:p w14:paraId="780A0DDB"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7.</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Arauquita </w:t>
            </w:r>
          </w:p>
          <w:p w14:paraId="554E5B4F"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8.</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Chaparral </w:t>
            </w:r>
          </w:p>
          <w:p w14:paraId="7809B822"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9.</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Piendamó </w:t>
            </w:r>
          </w:p>
          <w:p w14:paraId="2D46279B"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10.</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Fuente de oro </w:t>
            </w:r>
          </w:p>
          <w:p w14:paraId="2CF3A2A3"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11.</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La Plata </w:t>
            </w:r>
          </w:p>
          <w:p w14:paraId="3BDF9B34"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12.</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Guática </w:t>
            </w:r>
          </w:p>
          <w:p w14:paraId="1FB16A56"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13.</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Morales </w:t>
            </w:r>
          </w:p>
          <w:p w14:paraId="5CF4B098"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14.</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Pueblo Rico </w:t>
            </w:r>
          </w:p>
          <w:p w14:paraId="5ECDFE48"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15.</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Belén de Umbría </w:t>
            </w:r>
          </w:p>
          <w:p w14:paraId="1D674BD2"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16.</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Ataco </w:t>
            </w:r>
          </w:p>
          <w:p w14:paraId="1DBBE03D"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17.</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La Celia </w:t>
            </w:r>
          </w:p>
          <w:p w14:paraId="605185CF"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18.</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Puerto Lleras </w:t>
            </w:r>
          </w:p>
          <w:p w14:paraId="650345FC"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19.</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Ricaurte </w:t>
            </w:r>
          </w:p>
          <w:p w14:paraId="34B09A6B"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20.</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Rioblanco </w:t>
            </w:r>
          </w:p>
          <w:p w14:paraId="5FC413A1"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21.</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San Antonio </w:t>
            </w:r>
          </w:p>
          <w:p w14:paraId="441B0F75"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22.</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Santa Rosalía </w:t>
            </w:r>
          </w:p>
          <w:p w14:paraId="29596447"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23.</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Santander de Quilichao </w:t>
            </w:r>
          </w:p>
          <w:p w14:paraId="32BB0987" w14:textId="41DFC72E" w:rsidR="70A85943" w:rsidRPr="00B710A9" w:rsidRDefault="70A85943" w:rsidP="70A85943">
            <w:pPr>
              <w:ind w:left="255" w:hanging="255"/>
              <w:rPr>
                <w:rFonts w:ascii="Arial" w:eastAsia="Arial" w:hAnsi="Arial" w:cs="Arial"/>
                <w:sz w:val="12"/>
                <w:szCs w:val="12"/>
                <w:lang w:val="es"/>
              </w:rPr>
            </w:pPr>
            <w:r w:rsidRPr="00B710A9">
              <w:rPr>
                <w:rFonts w:ascii="Arial" w:eastAsia="Arial" w:hAnsi="Arial" w:cs="Arial"/>
                <w:sz w:val="12"/>
                <w:szCs w:val="12"/>
                <w:lang w:val="es"/>
              </w:rPr>
              <w:t>24.</w:t>
            </w:r>
            <w:r w:rsidRPr="00B710A9">
              <w:rPr>
                <w:rFonts w:ascii="Times New Roman" w:eastAsia="Times New Roman" w:hAnsi="Times New Roman" w:cs="Times New Roman"/>
                <w:sz w:val="14"/>
                <w:szCs w:val="14"/>
                <w:lang w:val="es"/>
              </w:rPr>
              <w:t xml:space="preserve">   </w:t>
            </w:r>
            <w:r w:rsidRPr="00B710A9">
              <w:rPr>
                <w:rFonts w:ascii="Arial" w:eastAsia="Arial" w:hAnsi="Arial" w:cs="Arial"/>
                <w:sz w:val="12"/>
                <w:szCs w:val="12"/>
                <w:lang w:val="es"/>
              </w:rPr>
              <w:t xml:space="preserve">Santuario </w:t>
            </w:r>
          </w:p>
        </w:tc>
        <w:tc>
          <w:tcPr>
            <w:tcW w:w="1335" w:type="dxa"/>
            <w:tcBorders>
              <w:top w:val="single" w:sz="8" w:space="0" w:color="95B3D7"/>
              <w:left w:val="single" w:sz="8" w:space="0" w:color="95B3D7"/>
              <w:bottom w:val="single" w:sz="8" w:space="0" w:color="95B3D7"/>
              <w:right w:val="single" w:sz="8" w:space="0" w:color="95B3D7"/>
            </w:tcBorders>
          </w:tcPr>
          <w:p w14:paraId="56132276" w14:textId="41DFC72E" w:rsidR="70A85943" w:rsidRPr="00B710A9" w:rsidRDefault="70A85943" w:rsidP="75B02D90">
            <w:pPr>
              <w:ind w:left="195" w:hanging="195"/>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1.</w:t>
            </w:r>
            <w:r w:rsidRPr="00B710A9">
              <w:rPr>
                <w:rFonts w:ascii="Times New Roman" w:eastAsia="Times New Roman" w:hAnsi="Times New Roman" w:cs="Times New Roman"/>
                <w:b/>
                <w:bCs/>
                <w:sz w:val="14"/>
                <w:szCs w:val="14"/>
                <w:lang w:val="es"/>
              </w:rPr>
              <w:t xml:space="preserve">   </w:t>
            </w:r>
            <w:r w:rsidRPr="00B710A9">
              <w:rPr>
                <w:rFonts w:ascii="Arial" w:eastAsia="Arial" w:hAnsi="Arial" w:cs="Arial"/>
                <w:b/>
                <w:bCs/>
                <w:sz w:val="12"/>
                <w:szCs w:val="12"/>
                <w:lang w:val="es"/>
              </w:rPr>
              <w:t xml:space="preserve">Páramos </w:t>
            </w:r>
          </w:p>
          <w:p w14:paraId="0B333435" w14:textId="41DFC72E" w:rsidR="70A85943" w:rsidRPr="00B710A9" w:rsidRDefault="70A85943" w:rsidP="75B02D90">
            <w:pPr>
              <w:ind w:left="195" w:hanging="195"/>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2.</w:t>
            </w:r>
            <w:r w:rsidRPr="00B710A9">
              <w:rPr>
                <w:rFonts w:ascii="Times New Roman" w:eastAsia="Times New Roman" w:hAnsi="Times New Roman" w:cs="Times New Roman"/>
                <w:b/>
                <w:bCs/>
                <w:sz w:val="14"/>
                <w:szCs w:val="14"/>
                <w:lang w:val="es"/>
              </w:rPr>
              <w:t xml:space="preserve">   </w:t>
            </w:r>
            <w:r w:rsidRPr="00B710A9">
              <w:rPr>
                <w:rFonts w:ascii="Arial" w:eastAsia="Arial" w:hAnsi="Arial" w:cs="Arial"/>
                <w:b/>
                <w:bCs/>
                <w:sz w:val="12"/>
                <w:szCs w:val="12"/>
                <w:lang w:val="es"/>
              </w:rPr>
              <w:t xml:space="preserve">Microcuenca </w:t>
            </w:r>
            <w:proofErr w:type="spellStart"/>
            <w:r w:rsidRPr="00B710A9">
              <w:rPr>
                <w:rFonts w:ascii="Arial" w:eastAsia="Arial" w:hAnsi="Arial" w:cs="Arial"/>
                <w:b/>
                <w:bCs/>
                <w:sz w:val="12"/>
                <w:szCs w:val="12"/>
                <w:lang w:val="es"/>
              </w:rPr>
              <w:t>Yaguilga</w:t>
            </w:r>
            <w:proofErr w:type="spellEnd"/>
            <w:r w:rsidRPr="00B710A9">
              <w:rPr>
                <w:rFonts w:ascii="Arial" w:eastAsia="Arial" w:hAnsi="Arial" w:cs="Arial"/>
                <w:b/>
                <w:bCs/>
                <w:sz w:val="12"/>
                <w:szCs w:val="12"/>
                <w:lang w:val="es"/>
              </w:rPr>
              <w:t xml:space="preserve"> </w:t>
            </w:r>
          </w:p>
          <w:p w14:paraId="49815509" w14:textId="41DFC72E" w:rsidR="70A85943" w:rsidRPr="00B710A9" w:rsidRDefault="70A85943" w:rsidP="75B02D90">
            <w:pPr>
              <w:ind w:left="195" w:hanging="195"/>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3.</w:t>
            </w:r>
            <w:r w:rsidRPr="00B710A9">
              <w:rPr>
                <w:rFonts w:ascii="Times New Roman" w:eastAsia="Times New Roman" w:hAnsi="Times New Roman" w:cs="Times New Roman"/>
                <w:b/>
                <w:bCs/>
                <w:sz w:val="14"/>
                <w:szCs w:val="14"/>
                <w:lang w:val="es"/>
              </w:rPr>
              <w:t xml:space="preserve">   </w:t>
            </w:r>
            <w:r w:rsidRPr="00B710A9">
              <w:rPr>
                <w:rFonts w:ascii="Arial" w:eastAsia="Arial" w:hAnsi="Arial" w:cs="Arial"/>
                <w:b/>
                <w:bCs/>
                <w:sz w:val="12"/>
                <w:szCs w:val="12"/>
                <w:lang w:val="es"/>
              </w:rPr>
              <w:t xml:space="preserve">El tablazo </w:t>
            </w:r>
          </w:p>
        </w:tc>
        <w:tc>
          <w:tcPr>
            <w:tcW w:w="1980" w:type="dxa"/>
            <w:tcBorders>
              <w:top w:val="single" w:sz="8" w:space="0" w:color="95B3D7"/>
              <w:left w:val="single" w:sz="8" w:space="0" w:color="95B3D7"/>
              <w:bottom w:val="single" w:sz="8" w:space="0" w:color="95B3D7"/>
              <w:right w:val="single" w:sz="8" w:space="0" w:color="95B3D7"/>
            </w:tcBorders>
          </w:tcPr>
          <w:p w14:paraId="35FDC85F"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1.    Almaguer (31%) </w:t>
            </w:r>
          </w:p>
          <w:p w14:paraId="791B2C70"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2.    Balboa (22,73%) </w:t>
            </w:r>
          </w:p>
          <w:p w14:paraId="12EAB0CA"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3.    Bolívar (1,19%) </w:t>
            </w:r>
          </w:p>
          <w:p w14:paraId="520209B6"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4.    Cereté (0,32%) </w:t>
            </w:r>
          </w:p>
          <w:p w14:paraId="06F85B15"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5. Ciénaga De Oro (0,38%) </w:t>
            </w:r>
          </w:p>
          <w:p w14:paraId="3651E66B"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6. Cravo Norte (0,33%) </w:t>
            </w:r>
          </w:p>
          <w:p w14:paraId="128E6054"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7. Cumaribo (1,38%) </w:t>
            </w:r>
          </w:p>
          <w:p w14:paraId="0A68095C"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8. Hato Corozal (0,001%) </w:t>
            </w:r>
          </w:p>
          <w:p w14:paraId="23BC0091"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  </w:t>
            </w:r>
          </w:p>
          <w:p w14:paraId="0B079910"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9.    La Primavera (56,14%) </w:t>
            </w:r>
          </w:p>
          <w:p w14:paraId="126B8D35"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10.    Leiva (7,21%) </w:t>
            </w:r>
          </w:p>
          <w:p w14:paraId="0DE28574"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11.    Mercaderes (1,25%) </w:t>
            </w:r>
          </w:p>
          <w:p w14:paraId="6883E1EB"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12. Montería (0,16%) </w:t>
            </w:r>
          </w:p>
          <w:p w14:paraId="1149DA2E"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13.    Orocué (4,7%) </w:t>
            </w:r>
          </w:p>
          <w:p w14:paraId="72EB2812"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14.    Patía (16,45%) </w:t>
            </w:r>
          </w:p>
          <w:p w14:paraId="6E922A8B"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15.   Paz de Ariporo (6,19%) </w:t>
            </w:r>
          </w:p>
          <w:p w14:paraId="4319A863"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16. Puerto Carreño (6,41%) </w:t>
            </w:r>
          </w:p>
          <w:p w14:paraId="6027F1AB" w14:textId="41DFC72E"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  </w:t>
            </w:r>
          </w:p>
          <w:p w14:paraId="4204CE5D" w14:textId="6FCD19E6"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17.   Puerto Gaitán (0,47%) </w:t>
            </w:r>
          </w:p>
          <w:p w14:paraId="5627A325" w14:textId="6FCD19E6"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18. San Carlos (3,82%) </w:t>
            </w:r>
          </w:p>
          <w:p w14:paraId="3EDF8587" w14:textId="6FCD19E6"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  </w:t>
            </w:r>
          </w:p>
          <w:p w14:paraId="731F6386" w14:textId="6FCD19E6"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19.   San Juan de Arama (96,63%) </w:t>
            </w:r>
          </w:p>
          <w:p w14:paraId="7E81D012" w14:textId="6FCD19E6"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20.   San Luis de Palenque (4,41%) </w:t>
            </w:r>
          </w:p>
          <w:p w14:paraId="0194CABC" w14:textId="6FCD19E6"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21.   San Sebastián (18,05%) </w:t>
            </w:r>
          </w:p>
          <w:p w14:paraId="019EAAF3" w14:textId="6FCD19E6"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22.   Santa Rosalía (100%) </w:t>
            </w:r>
          </w:p>
          <w:p w14:paraId="299EB2C4" w14:textId="6FCD19E6"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23.   Sucre (21,15%) </w:t>
            </w:r>
          </w:p>
          <w:p w14:paraId="1E6D64E3" w14:textId="6FCD19E6" w:rsidR="70A85943" w:rsidRPr="00B710A9" w:rsidRDefault="70A85943" w:rsidP="75B02D90">
            <w:pPr>
              <w:ind w:left="255" w:hanging="2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r w:rsidRPr="00B710A9">
              <w:rPr>
                <w:rFonts w:ascii="Arial" w:eastAsia="Arial" w:hAnsi="Arial" w:cs="Arial"/>
                <w:b/>
                <w:bCs/>
                <w:sz w:val="12"/>
                <w:szCs w:val="12"/>
                <w:lang w:val="es"/>
              </w:rPr>
              <w:t xml:space="preserve">24.   Trinidad (11,47%) </w:t>
            </w:r>
          </w:p>
          <w:p w14:paraId="44C0D197" w14:textId="5156813E" w:rsidR="70A85943" w:rsidRPr="00B710A9" w:rsidRDefault="70A85943" w:rsidP="75B02D90">
            <w:pPr>
              <w:ind w:left="255" w:hanging="255"/>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2"/>
                <w:szCs w:val="12"/>
                <w:lang w:val="es"/>
              </w:rPr>
            </w:pPr>
          </w:p>
        </w:tc>
      </w:tr>
    </w:tbl>
    <w:p w14:paraId="030BAA18" w14:textId="77777777" w:rsidR="008B51BF" w:rsidRPr="00B710A9" w:rsidRDefault="008B51BF" w:rsidP="008B51BF">
      <w:pPr>
        <w:spacing w:after="0" w:line="240" w:lineRule="auto"/>
        <w:jc w:val="center"/>
        <w:rPr>
          <w:rFonts w:ascii="Arial" w:eastAsia="Arial" w:hAnsi="Arial" w:cs="Arial"/>
          <w:b/>
          <w:bCs/>
          <w:sz w:val="16"/>
          <w:szCs w:val="16"/>
          <w:lang w:val="es-MX"/>
        </w:rPr>
      </w:pPr>
      <w:r w:rsidRPr="00B710A9">
        <w:rPr>
          <w:rFonts w:ascii="Arial" w:eastAsia="Arial" w:hAnsi="Arial" w:cs="Arial"/>
          <w:b/>
          <w:bCs/>
          <w:sz w:val="16"/>
          <w:szCs w:val="16"/>
          <w:lang w:val="es-MX"/>
        </w:rPr>
        <w:t>Fuente: Dirección de Gestión de la Información Geográfica</w:t>
      </w:r>
    </w:p>
    <w:p w14:paraId="0E5C9E63" w14:textId="3DEB19FE" w:rsidR="70A85943" w:rsidRPr="00B710A9" w:rsidRDefault="70A85943" w:rsidP="70A85943">
      <w:pPr>
        <w:spacing w:after="0" w:line="240" w:lineRule="auto"/>
        <w:jc w:val="both"/>
        <w:rPr>
          <w:color w:val="000000" w:themeColor="text1"/>
        </w:rPr>
      </w:pPr>
    </w:p>
    <w:p w14:paraId="0450DE20" w14:textId="6B1BE760" w:rsidR="70A85943" w:rsidRPr="00B710A9" w:rsidRDefault="70A85943" w:rsidP="70A85943">
      <w:pPr>
        <w:spacing w:line="257"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MX"/>
        </w:rPr>
        <w:lastRenderedPageBreak/>
        <w:t xml:space="preserve">Por otro lado, con la aeronave no tripulada RPAS (dron), desde el 2020 a junio de 2022, se obtuvo un área de </w:t>
      </w:r>
      <w:r w:rsidRPr="00B710A9">
        <w:rPr>
          <w:rFonts w:ascii="Arial" w:eastAsia="Arial" w:hAnsi="Arial" w:cs="Arial"/>
          <w:color w:val="000000" w:themeColor="text1"/>
          <w:sz w:val="22"/>
          <w:szCs w:val="22"/>
          <w:lang w:val="es"/>
        </w:rPr>
        <w:t xml:space="preserve">120.022,54 </w:t>
      </w:r>
      <w:r w:rsidRPr="00B710A9">
        <w:rPr>
          <w:rFonts w:ascii="Arial" w:eastAsia="Arial" w:hAnsi="Arial" w:cs="Arial"/>
          <w:color w:val="000000" w:themeColor="text1"/>
          <w:sz w:val="22"/>
          <w:szCs w:val="22"/>
          <w:lang w:val="es-MX"/>
        </w:rPr>
        <w:t xml:space="preserve">ha de aerofotografías de 105 municipios. </w:t>
      </w:r>
      <w:r w:rsidRPr="00B710A9">
        <w:rPr>
          <w:rFonts w:ascii="Arial" w:eastAsia="Arial" w:hAnsi="Arial" w:cs="Arial"/>
          <w:color w:val="000000" w:themeColor="text1"/>
          <w:sz w:val="22"/>
          <w:szCs w:val="22"/>
          <w:lang w:val="es"/>
        </w:rPr>
        <w:t>Así mismo para este período, se logró la adquisición de 13.830.033,20 ha de imágenes de muy alta resolución de 212 municipios del país.</w:t>
      </w:r>
    </w:p>
    <w:p w14:paraId="44849C54" w14:textId="77777777" w:rsidR="00024431" w:rsidRDefault="70A85943" w:rsidP="70A85943">
      <w:pPr>
        <w:spacing w:line="257" w:lineRule="auto"/>
        <w:jc w:val="both"/>
        <w:rPr>
          <w:rFonts w:ascii="Arial" w:eastAsia="Arial" w:hAnsi="Arial" w:cs="Arial"/>
          <w:color w:val="000000" w:themeColor="text1"/>
          <w:sz w:val="22"/>
          <w:szCs w:val="22"/>
          <w:lang w:val="es-MX"/>
        </w:rPr>
      </w:pPr>
      <w:r w:rsidRPr="00B710A9">
        <w:rPr>
          <w:rFonts w:ascii="Arial" w:eastAsia="Arial" w:hAnsi="Arial" w:cs="Arial"/>
          <w:color w:val="000000" w:themeColor="text1"/>
          <w:sz w:val="22"/>
          <w:szCs w:val="22"/>
          <w:lang w:val="es"/>
        </w:rPr>
        <w:t xml:space="preserve">Paralelamente, </w:t>
      </w:r>
      <w:r w:rsidRPr="00B710A9">
        <w:rPr>
          <w:rFonts w:ascii="Arial" w:eastAsia="Arial" w:hAnsi="Arial" w:cs="Arial"/>
          <w:color w:val="000000" w:themeColor="text1"/>
          <w:sz w:val="22"/>
          <w:szCs w:val="22"/>
          <w:lang w:val="es-MX"/>
        </w:rPr>
        <w:t xml:space="preserve">en el marco de la Directiva Presidencial No.10 de 2019, por la cual se determinan las directrices de articulación institucional e intercambio de información para el diseño e implementación del Sistema de Administración de tierras y el Catastro Multipropósito, se busca simplificar y agilizar los procesos de estructuración y formación. En este sentido, durante 2020, 2021 y lo transcurrido de 2022 se gestionaron </w:t>
      </w:r>
      <w:r w:rsidRPr="00B710A9">
        <w:rPr>
          <w:rFonts w:ascii="Arial" w:eastAsia="Arial" w:hAnsi="Arial" w:cs="Arial"/>
          <w:color w:val="000000" w:themeColor="text1"/>
          <w:sz w:val="22"/>
          <w:szCs w:val="22"/>
          <w:lang w:val="es"/>
        </w:rPr>
        <w:t xml:space="preserve">16.742.027,37 </w:t>
      </w:r>
      <w:r w:rsidRPr="00B710A9">
        <w:rPr>
          <w:rFonts w:ascii="Arial" w:eastAsia="Arial" w:hAnsi="Arial" w:cs="Arial"/>
          <w:color w:val="000000" w:themeColor="text1"/>
          <w:sz w:val="22"/>
          <w:szCs w:val="22"/>
          <w:lang w:val="es-MX"/>
        </w:rPr>
        <w:t xml:space="preserve">ha de imágenes satelitales y fotografías aéreas, principalmente con la Fuerza Aérea Colombia, Policía Nacional, Ejército Nacional, Parques Nacionales Naturales de Colombia y DIMAR con niveles de detalles y temporalidades óptimas para la producción de cartografía básica con fines de Catastro Multipropósito, las cuales fueron evaluadas, catalogadas e incorporadas al Banco Nacional de Imágenes (BNI). </w:t>
      </w:r>
    </w:p>
    <w:p w14:paraId="6A528A93" w14:textId="2E6E0C65" w:rsidR="70A85943" w:rsidRPr="00024431" w:rsidRDefault="70A85943" w:rsidP="00024431">
      <w:pPr>
        <w:spacing w:line="257" w:lineRule="auto"/>
        <w:jc w:val="both"/>
        <w:rPr>
          <w:rFonts w:ascii="Arial" w:eastAsia="Arial" w:hAnsi="Arial" w:cs="Arial"/>
        </w:rPr>
      </w:pPr>
      <w:r w:rsidRPr="00B710A9">
        <w:rPr>
          <w:rFonts w:ascii="Arial" w:eastAsia="Arial" w:hAnsi="Arial" w:cs="Arial"/>
          <w:color w:val="000000" w:themeColor="text1"/>
          <w:sz w:val="22"/>
          <w:szCs w:val="22"/>
          <w:lang w:val="es-MX"/>
        </w:rPr>
        <w:t xml:space="preserve">(ver </w:t>
      </w:r>
      <w:hyperlink r:id="rId12">
        <w:r w:rsidRPr="00B710A9">
          <w:rPr>
            <w:rStyle w:val="Hipervnculo"/>
            <w:rFonts w:ascii="Arial" w:eastAsia="Arial" w:hAnsi="Arial" w:cs="Arial"/>
            <w:sz w:val="22"/>
            <w:szCs w:val="22"/>
            <w:lang w:val="es-MX"/>
          </w:rPr>
          <w:t>https://tableros.igac.gov.co/gestionimagenes/).</w:t>
        </w:r>
      </w:hyperlink>
    </w:p>
    <w:p w14:paraId="3CC2A42F" w14:textId="4EDE5C47" w:rsidR="70A85943" w:rsidRPr="00024431" w:rsidRDefault="70A85943" w:rsidP="00024431">
      <w:pPr>
        <w:jc w:val="both"/>
        <w:rPr>
          <w:rFonts w:ascii="Arial" w:eastAsia="Arial" w:hAnsi="Arial" w:cs="Arial"/>
          <w:b/>
          <w:color w:val="000000" w:themeColor="text1"/>
          <w:sz w:val="22"/>
          <w:szCs w:val="22"/>
          <w:u w:val="single"/>
          <w:lang w:val="es-MX"/>
        </w:rPr>
      </w:pPr>
      <w:r w:rsidRPr="00024431">
        <w:rPr>
          <w:rFonts w:ascii="Arial" w:eastAsia="Arial" w:hAnsi="Arial" w:cs="Arial"/>
          <w:b/>
          <w:color w:val="000000" w:themeColor="text1"/>
          <w:sz w:val="22"/>
          <w:szCs w:val="22"/>
          <w:u w:val="single"/>
          <w:lang w:val="es-MX"/>
        </w:rPr>
        <w:t>Validación y oficialización de información cartográfica producida por terceros</w:t>
      </w:r>
    </w:p>
    <w:p w14:paraId="2C8E0B9B" w14:textId="6FCD19E6" w:rsidR="70A85943" w:rsidRPr="00B710A9" w:rsidRDefault="70A85943" w:rsidP="70A85943">
      <w:pPr>
        <w:jc w:val="both"/>
        <w:rPr>
          <w:rFonts w:ascii="Arial" w:eastAsia="Arial" w:hAnsi="Arial" w:cs="Arial"/>
          <w:color w:val="000000" w:themeColor="text1"/>
          <w:lang w:val="es-MX"/>
        </w:rPr>
      </w:pPr>
      <w:r w:rsidRPr="00B710A9">
        <w:rPr>
          <w:rFonts w:ascii="Arial" w:eastAsia="Arial" w:hAnsi="Arial" w:cs="Arial"/>
          <w:color w:val="000000" w:themeColor="text1"/>
          <w:sz w:val="22"/>
          <w:szCs w:val="22"/>
          <w:lang w:val="es-MX"/>
        </w:rPr>
        <w:t xml:space="preserve">Con el propósito de aprovechar la producción de información cartográfica por parte de terceros e incorporarla y disponerla como información oficial, se elaboraron las especificaciones técnicas de referencia que tienen que considerar los productos de la cartografía básica oficial de Colombia, es decir, </w:t>
      </w:r>
      <w:proofErr w:type="spellStart"/>
      <w:r w:rsidRPr="00B710A9">
        <w:rPr>
          <w:rFonts w:ascii="Arial" w:eastAsia="Arial" w:hAnsi="Arial" w:cs="Arial"/>
          <w:color w:val="000000" w:themeColor="text1"/>
          <w:sz w:val="22"/>
          <w:szCs w:val="22"/>
          <w:lang w:val="es-MX"/>
        </w:rPr>
        <w:t>ortoimágenes</w:t>
      </w:r>
      <w:proofErr w:type="spellEnd"/>
      <w:r w:rsidRPr="00B710A9">
        <w:rPr>
          <w:rFonts w:ascii="Arial" w:eastAsia="Arial" w:hAnsi="Arial" w:cs="Arial"/>
          <w:color w:val="000000" w:themeColor="text1"/>
          <w:sz w:val="22"/>
          <w:szCs w:val="22"/>
          <w:lang w:val="es-MX"/>
        </w:rPr>
        <w:t>, modelos digitales de terreno y bases de datos cartográficas. Dichas especificaciones fueron adoptadas a través de la Resolución IGAC 471 y 529 de 2020, del IGAC, y</w:t>
      </w:r>
      <w:r w:rsidRPr="00B710A9">
        <w:rPr>
          <w:rFonts w:ascii="Arial" w:eastAsia="Arial" w:hAnsi="Arial" w:cs="Arial"/>
          <w:color w:val="000000" w:themeColor="text1"/>
          <w:sz w:val="22"/>
          <w:szCs w:val="22"/>
          <w:lang w:val="es"/>
        </w:rPr>
        <w:t xml:space="preserve"> luego con la Resolución IGAC 197 de 2022.</w:t>
      </w:r>
    </w:p>
    <w:p w14:paraId="2395F654" w14:textId="6FCD19E6" w:rsidR="70A85943" w:rsidRPr="00B710A9" w:rsidRDefault="70A85943" w:rsidP="75B02D90">
      <w:pPr>
        <w:jc w:val="both"/>
        <w:rPr>
          <w:rFonts w:ascii="Arial" w:eastAsia="Arial" w:hAnsi="Arial" w:cs="Arial"/>
          <w:i/>
          <w:iCs/>
          <w:color w:val="000000" w:themeColor="text1"/>
          <w:sz w:val="22"/>
          <w:szCs w:val="22"/>
          <w:lang w:val="es-MX"/>
        </w:rPr>
      </w:pPr>
      <w:r w:rsidRPr="00B710A9">
        <w:rPr>
          <w:rFonts w:ascii="Arial" w:eastAsia="Arial" w:hAnsi="Arial" w:cs="Arial"/>
          <w:color w:val="000000" w:themeColor="text1"/>
          <w:sz w:val="22"/>
          <w:szCs w:val="22"/>
          <w:lang w:val="es-MX"/>
        </w:rPr>
        <w:t xml:space="preserve">Los lineamientos de estas resoluciones están orientados a garantizar que el producto final cumpla con ciertas características específicas, permitiendo el uso de diferentes tecnologías o métodos para llegar a él. Así mismo, establece un sistema de proyección cartográfico con un único origen para Colombia, denominado «origen nacional», con el objetivo de proporcionar una continuidad única y de referencia de la información cartográfica del país, el cual fue ratificado a través de la Resolución IGAC 370 de 16 de junio de 2021 </w:t>
      </w:r>
      <w:r w:rsidRPr="00B710A9">
        <w:rPr>
          <w:rFonts w:ascii="Arial" w:eastAsia="Arial" w:hAnsi="Arial" w:cs="Arial"/>
          <w:i/>
          <w:iCs/>
          <w:color w:val="000000" w:themeColor="text1"/>
          <w:sz w:val="22"/>
          <w:szCs w:val="22"/>
          <w:lang w:val="es-MX"/>
        </w:rPr>
        <w:t>“Por medio de la cual se establece el sistema de proyección cartográfica oficial para Colombia”.</w:t>
      </w:r>
    </w:p>
    <w:p w14:paraId="53A1CE03" w14:textId="6FCD19E6" w:rsidR="70A85943" w:rsidRPr="00B710A9" w:rsidRDefault="70A85943" w:rsidP="70A85943">
      <w:pPr>
        <w:jc w:val="both"/>
        <w:rPr>
          <w:rFonts w:ascii="Arial" w:eastAsia="Arial" w:hAnsi="Arial" w:cs="Arial"/>
          <w:color w:val="000000" w:themeColor="text1"/>
          <w:sz w:val="22"/>
          <w:szCs w:val="22"/>
          <w:lang w:val="es-MX"/>
        </w:rPr>
      </w:pPr>
      <w:r w:rsidRPr="00B710A9">
        <w:rPr>
          <w:rFonts w:ascii="Arial" w:eastAsia="Arial" w:hAnsi="Arial" w:cs="Arial"/>
          <w:color w:val="000000" w:themeColor="text1"/>
          <w:sz w:val="22"/>
          <w:szCs w:val="22"/>
          <w:lang w:val="es-MX"/>
        </w:rPr>
        <w:t xml:space="preserve">Como complemento a lo anterior, durante el segundo semestre de 2021, se expidió la Resolución 1421 de 2021 </w:t>
      </w:r>
      <w:r w:rsidRPr="00B710A9">
        <w:rPr>
          <w:rFonts w:ascii="Arial" w:eastAsia="Arial" w:hAnsi="Arial" w:cs="Arial"/>
          <w:i/>
          <w:iCs/>
          <w:color w:val="000000" w:themeColor="text1"/>
          <w:sz w:val="22"/>
          <w:szCs w:val="22"/>
          <w:lang w:val="es-MX"/>
        </w:rPr>
        <w:t xml:space="preserve">“Por la cual se establecen las condiciones de validación técnica y oficialización de productos cartográficos básicos y se dictan otras </w:t>
      </w:r>
      <w:r w:rsidRPr="00B710A9">
        <w:rPr>
          <w:rFonts w:ascii="Arial" w:eastAsia="Arial" w:hAnsi="Arial" w:cs="Arial"/>
          <w:color w:val="000000" w:themeColor="text1"/>
          <w:sz w:val="22"/>
          <w:szCs w:val="22"/>
          <w:lang w:val="es-MX"/>
        </w:rPr>
        <w:t>disposiciones”</w:t>
      </w:r>
      <w:r w:rsidRPr="00B710A9">
        <w:rPr>
          <w:rFonts w:ascii="Arial" w:eastAsia="Arial" w:hAnsi="Arial" w:cs="Arial"/>
          <w:color w:val="000000" w:themeColor="text1"/>
          <w:lang w:val="es"/>
        </w:rPr>
        <w:t xml:space="preserve"> (ver </w:t>
      </w:r>
      <w:hyperlink r:id="rId13">
        <w:r w:rsidRPr="00B710A9">
          <w:rPr>
            <w:rStyle w:val="Hipervnculo"/>
            <w:rFonts w:ascii="Arial" w:eastAsia="Arial" w:hAnsi="Arial" w:cs="Arial"/>
            <w:lang w:val="es"/>
          </w:rPr>
          <w:t>https://bit.ly/3yzb92I</w:t>
        </w:r>
      </w:hyperlink>
      <w:r w:rsidRPr="00B710A9">
        <w:rPr>
          <w:rFonts w:ascii="Arial" w:eastAsia="Arial" w:hAnsi="Arial" w:cs="Arial"/>
          <w:color w:val="000000" w:themeColor="text1"/>
          <w:lang w:val="es"/>
        </w:rPr>
        <w:t>)</w:t>
      </w:r>
      <w:r w:rsidRPr="00B710A9">
        <w:rPr>
          <w:rFonts w:ascii="Arial" w:eastAsia="Arial" w:hAnsi="Arial" w:cs="Arial"/>
          <w:color w:val="000000" w:themeColor="text1"/>
          <w:sz w:val="22"/>
          <w:szCs w:val="22"/>
          <w:lang w:val="es-MX"/>
        </w:rPr>
        <w:t>.</w:t>
      </w:r>
      <w:r w:rsidRPr="00B710A9">
        <w:rPr>
          <w:rFonts w:ascii="Arial" w:eastAsia="Arial" w:hAnsi="Arial" w:cs="Arial"/>
          <w:i/>
          <w:iCs/>
          <w:color w:val="000000" w:themeColor="text1"/>
          <w:sz w:val="22"/>
          <w:szCs w:val="22"/>
          <w:lang w:val="es-MX"/>
        </w:rPr>
        <w:t xml:space="preserve"> </w:t>
      </w:r>
      <w:r w:rsidRPr="00B710A9">
        <w:rPr>
          <w:rFonts w:ascii="Arial" w:eastAsia="Arial" w:hAnsi="Arial" w:cs="Arial"/>
          <w:color w:val="000000" w:themeColor="text1"/>
          <w:sz w:val="22"/>
          <w:szCs w:val="22"/>
          <w:lang w:val="es-MX"/>
        </w:rPr>
        <w:t xml:space="preserve">De esta manera, se busca tener una cartografía básica del país que represente la </w:t>
      </w:r>
      <w:proofErr w:type="spellStart"/>
      <w:r w:rsidRPr="00B710A9">
        <w:rPr>
          <w:rFonts w:ascii="Arial" w:eastAsia="Arial" w:hAnsi="Arial" w:cs="Arial"/>
          <w:color w:val="000000" w:themeColor="text1"/>
          <w:sz w:val="22"/>
          <w:szCs w:val="22"/>
          <w:lang w:val="es-MX"/>
        </w:rPr>
        <w:t>co-creación</w:t>
      </w:r>
      <w:proofErr w:type="spellEnd"/>
      <w:r w:rsidRPr="00B710A9">
        <w:rPr>
          <w:rFonts w:ascii="Arial" w:eastAsia="Arial" w:hAnsi="Arial" w:cs="Arial"/>
          <w:color w:val="000000" w:themeColor="text1"/>
          <w:sz w:val="22"/>
          <w:szCs w:val="22"/>
          <w:lang w:val="es-MX"/>
        </w:rPr>
        <w:t xml:space="preserve"> de muchos actores claves que aportan valor con la producción de información. Esta norma, busca atender y acompañar a nuestros usuarios públicos y privados en el cumplimiento de los requerimientos técnicos y procesos de solicitud para la validación y oficialización de sus productos cartográficos. Nuestro objetivo es obtener una cartografía básica de Colombia de mejor calidad técnica, más completa y sincronizada.</w:t>
      </w:r>
    </w:p>
    <w:p w14:paraId="368F75A2" w14:textId="6FCD19E6" w:rsidR="70A85943" w:rsidRPr="00B710A9" w:rsidRDefault="70A85943" w:rsidP="70A85943">
      <w:pPr>
        <w:jc w:val="both"/>
        <w:rPr>
          <w:rFonts w:ascii="Arial" w:eastAsia="Arial" w:hAnsi="Arial" w:cs="Arial"/>
          <w:color w:val="000000" w:themeColor="text1"/>
          <w:sz w:val="22"/>
          <w:szCs w:val="22"/>
          <w:lang w:val="es-MX"/>
        </w:rPr>
      </w:pPr>
      <w:r w:rsidRPr="00B710A9">
        <w:rPr>
          <w:rFonts w:ascii="Arial" w:eastAsia="Arial" w:hAnsi="Arial" w:cs="Arial"/>
          <w:color w:val="000000" w:themeColor="text1"/>
          <w:sz w:val="22"/>
          <w:szCs w:val="22"/>
          <w:lang w:val="es"/>
        </w:rPr>
        <w:t xml:space="preserve"> </w:t>
      </w:r>
      <w:r w:rsidRPr="00B710A9">
        <w:rPr>
          <w:rFonts w:ascii="Arial" w:eastAsia="Arial" w:hAnsi="Arial" w:cs="Arial"/>
          <w:color w:val="000000" w:themeColor="text1"/>
          <w:sz w:val="22"/>
          <w:szCs w:val="22"/>
          <w:lang w:val="es-MX"/>
        </w:rPr>
        <w:t>Así mismo, desde un contexto práctico, se ha realizado la validación, oficialización e integración de la información cartográfica producida por terceros, de acuerdo con la demanda y previo análisis de viabilidad. Es así como, desde el 2020</w:t>
      </w:r>
      <w:r w:rsidRPr="00B710A9">
        <w:rPr>
          <w:rFonts w:ascii="Arial" w:eastAsia="Arial" w:hAnsi="Arial" w:cs="Arial"/>
          <w:color w:val="000000" w:themeColor="text1"/>
          <w:sz w:val="22"/>
          <w:szCs w:val="22"/>
          <w:lang w:val="es"/>
        </w:rPr>
        <w:t xml:space="preserve"> hasta junio del 2022, se realizó la validación y oficialización de productos cartográficos </w:t>
      </w:r>
      <w:r w:rsidRPr="00B710A9">
        <w:rPr>
          <w:rFonts w:ascii="Arial" w:eastAsia="Arial" w:hAnsi="Arial" w:cs="Arial"/>
          <w:color w:val="000000" w:themeColor="text1"/>
          <w:sz w:val="22"/>
          <w:szCs w:val="22"/>
          <w:lang w:val="es-MX"/>
        </w:rPr>
        <w:t xml:space="preserve">de 9.104.661,61 ha de </w:t>
      </w:r>
      <w:proofErr w:type="spellStart"/>
      <w:r w:rsidRPr="00B710A9">
        <w:rPr>
          <w:rFonts w:ascii="Arial" w:eastAsia="Arial" w:hAnsi="Arial" w:cs="Arial"/>
          <w:color w:val="000000" w:themeColor="text1"/>
          <w:sz w:val="22"/>
          <w:szCs w:val="22"/>
          <w:lang w:val="es-MX"/>
        </w:rPr>
        <w:lastRenderedPageBreak/>
        <w:t>ortoimágenes</w:t>
      </w:r>
      <w:proofErr w:type="spellEnd"/>
      <w:r w:rsidRPr="00B710A9">
        <w:rPr>
          <w:rFonts w:ascii="Arial" w:eastAsia="Arial" w:hAnsi="Arial" w:cs="Arial"/>
          <w:color w:val="000000" w:themeColor="text1"/>
          <w:sz w:val="22"/>
          <w:szCs w:val="22"/>
          <w:lang w:val="es-MX"/>
        </w:rPr>
        <w:t>, modelos digitales de terreno y bases de datos vectoriales de diferentes resoluciones y de áreas parciales de municipios de los departamentos de Arauca, Atlántico, Bolívar, Boyacá, Caquetá, Casanare, Cauca, Cesar, Córdoba, Cundinamarca, Huila, La Guajira, Magdalena, Meta, Nariño, Putumayo, Risaralda, Santander, Sucre, Tolima, Valle Del Cauca y Vichada, generada por empresas privadas, gestores catastrales y entidades públicas.</w:t>
      </w:r>
    </w:p>
    <w:p w14:paraId="00350951" w14:textId="6FCD19E6" w:rsidR="70A85943" w:rsidRPr="00B710A9" w:rsidRDefault="70A85943" w:rsidP="75B02D90">
      <w:pPr>
        <w:jc w:val="both"/>
        <w:rPr>
          <w:rFonts w:ascii="Arial" w:eastAsia="Arial" w:hAnsi="Arial" w:cs="Arial"/>
          <w:b/>
          <w:color w:val="000000" w:themeColor="text1"/>
          <w:sz w:val="22"/>
          <w:szCs w:val="22"/>
          <w:u w:val="single"/>
          <w:lang w:val="es-MX"/>
        </w:rPr>
      </w:pPr>
      <w:r w:rsidRPr="00B710A9">
        <w:rPr>
          <w:rFonts w:ascii="Arial" w:eastAsia="Arial" w:hAnsi="Arial" w:cs="Arial"/>
          <w:b/>
          <w:color w:val="000000" w:themeColor="text1"/>
          <w:sz w:val="22"/>
          <w:szCs w:val="22"/>
          <w:u w:val="single"/>
          <w:lang w:val="es-MX"/>
        </w:rPr>
        <w:t>Generación instrumentos técnicos soporte para la producción de cartográfica básica.</w:t>
      </w:r>
    </w:p>
    <w:p w14:paraId="409035CC" w14:textId="6FCD19E6" w:rsidR="70A85943" w:rsidRPr="00B710A9" w:rsidRDefault="4C7A150F" w:rsidP="70A85943">
      <w:pPr>
        <w:spacing w:after="0" w:line="240" w:lineRule="auto"/>
        <w:jc w:val="both"/>
        <w:rPr>
          <w:rFonts w:ascii="Arial" w:eastAsia="Arial" w:hAnsi="Arial" w:cs="Arial"/>
          <w:color w:val="000000" w:themeColor="text1"/>
          <w:sz w:val="22"/>
          <w:szCs w:val="22"/>
          <w:lang w:val="es-MX"/>
        </w:rPr>
      </w:pPr>
      <w:r w:rsidRPr="00B710A9">
        <w:rPr>
          <w:rFonts w:ascii="Arial" w:eastAsia="Arial" w:hAnsi="Arial" w:cs="Arial"/>
          <w:color w:val="000000" w:themeColor="text1"/>
          <w:sz w:val="22"/>
          <w:szCs w:val="22"/>
          <w:lang w:val="es-MX"/>
        </w:rPr>
        <w:t>El Plan Nacional de Cartografía Básica Oficial de Colombia es uno de los instrumentos de planeación cuyo propósito es articular, actualizar, disponer y promover la producción, intercambio y uso de la cartografía del país, en donde el IGAC no es el único proveedor, sino que muchas entidades coadyuvan en la generación de información geográfica y cartográfica del territorio nacional.</w:t>
      </w:r>
    </w:p>
    <w:p w14:paraId="75402157" w14:textId="3D844779" w:rsidR="4C7A150F" w:rsidRPr="00B710A9" w:rsidRDefault="4C7A150F" w:rsidP="4C7A150F">
      <w:pPr>
        <w:spacing w:after="0" w:line="240" w:lineRule="auto"/>
        <w:jc w:val="both"/>
        <w:rPr>
          <w:rFonts w:ascii="Arial" w:eastAsia="Arial" w:hAnsi="Arial" w:cs="Arial"/>
          <w:color w:val="000000" w:themeColor="text1"/>
          <w:sz w:val="22"/>
          <w:szCs w:val="22"/>
          <w:lang w:val="es-MX"/>
        </w:rPr>
      </w:pPr>
    </w:p>
    <w:p w14:paraId="21F74D8D" w14:textId="6FCD19E6" w:rsidR="6711B5B5" w:rsidRPr="00B710A9" w:rsidRDefault="6711B5B5" w:rsidP="6711B5B5">
      <w:pPr>
        <w:jc w:val="both"/>
        <w:rPr>
          <w:rFonts w:ascii="Arial" w:eastAsia="Arial" w:hAnsi="Arial" w:cs="Arial"/>
          <w:color w:val="000000" w:themeColor="text1"/>
          <w:sz w:val="22"/>
          <w:szCs w:val="22"/>
          <w:lang w:val="es-MX"/>
        </w:rPr>
      </w:pPr>
      <w:r w:rsidRPr="00B710A9">
        <w:rPr>
          <w:rFonts w:ascii="Arial" w:eastAsia="Arial" w:hAnsi="Arial" w:cs="Arial"/>
          <w:color w:val="000000" w:themeColor="text1"/>
          <w:sz w:val="22"/>
          <w:szCs w:val="22"/>
          <w:lang w:val="es-MX"/>
        </w:rPr>
        <w:t xml:space="preserve">En tal sentido, propende por la articulación interinstitucional hacia el suministro de insumos básicos y útiles para la implementación del sistema de administración de tierras, el ordenamiento territorial y el catastro multipropósito. </w:t>
      </w:r>
    </w:p>
    <w:p w14:paraId="3C9799C4" w14:textId="4386E49D" w:rsidR="4C7A150F" w:rsidRPr="00B710A9" w:rsidRDefault="6711B5B5" w:rsidP="00024431">
      <w:pPr>
        <w:jc w:val="both"/>
        <w:rPr>
          <w:rFonts w:ascii="Arial" w:eastAsia="Arial" w:hAnsi="Arial" w:cs="Arial"/>
          <w:color w:val="000000" w:themeColor="text1"/>
          <w:sz w:val="22"/>
          <w:szCs w:val="22"/>
          <w:lang w:val="es-MX"/>
        </w:rPr>
      </w:pPr>
      <w:r w:rsidRPr="00B710A9">
        <w:rPr>
          <w:rFonts w:ascii="Arial" w:eastAsia="Arial" w:hAnsi="Arial" w:cs="Arial"/>
          <w:color w:val="000000" w:themeColor="text1"/>
          <w:sz w:val="22"/>
          <w:szCs w:val="22"/>
          <w:lang w:val="es-MX"/>
        </w:rPr>
        <w:t>Bajo este enfoque, desde el 2020 y hasta junio del 2022, de forma paralela a la estructuración de la resolución por la cual se adopta el Plan Nacional de Cartografía Básica (PNCB), fue necesario realizar ajustes de actualización al documento técnico, principalmente teniendo en cuenta la implementación de diferentes políticas y estrategias del Gobierno Nacional en el territorio, como la intervención catastral multipropósito, cuya base estructural está compuesta por los productos cartográficos básicos</w:t>
      </w:r>
    </w:p>
    <w:p w14:paraId="0CFBE320" w14:textId="6FCD19E6" w:rsidR="08C892D4" w:rsidRPr="00B710A9" w:rsidRDefault="08C892D4" w:rsidP="08C892D4">
      <w:pPr>
        <w:spacing w:after="0" w:line="240" w:lineRule="auto"/>
        <w:jc w:val="both"/>
        <w:rPr>
          <w:rFonts w:ascii="Arial" w:eastAsia="Arial" w:hAnsi="Arial" w:cs="Arial"/>
          <w:color w:val="000000" w:themeColor="text1"/>
          <w:sz w:val="22"/>
          <w:szCs w:val="22"/>
          <w:lang w:val="es-MX"/>
        </w:rPr>
      </w:pPr>
      <w:r w:rsidRPr="00B710A9">
        <w:rPr>
          <w:rFonts w:ascii="Arial" w:eastAsia="Arial" w:hAnsi="Arial" w:cs="Arial"/>
          <w:color w:val="000000" w:themeColor="text1"/>
          <w:sz w:val="22"/>
          <w:szCs w:val="22"/>
          <w:lang w:val="es-MX"/>
        </w:rPr>
        <w:t xml:space="preserve">Por otro lado, se realizó la actualización del proyecto tipo para la producción o actualización de la cartografía básica oficial (ver </w:t>
      </w:r>
      <w:hyperlink r:id="rId14">
        <w:r w:rsidRPr="00B710A9">
          <w:rPr>
            <w:rStyle w:val="Hipervnculo"/>
            <w:rFonts w:ascii="Arial" w:eastAsia="Arial" w:hAnsi="Arial" w:cs="Arial"/>
            <w:sz w:val="22"/>
            <w:szCs w:val="22"/>
            <w:lang w:val="es"/>
          </w:rPr>
          <w:t>https://bit.ly/3jeQhV1</w:t>
        </w:r>
      </w:hyperlink>
      <w:r w:rsidRPr="00B710A9">
        <w:rPr>
          <w:rFonts w:ascii="Arial" w:eastAsia="Arial" w:hAnsi="Arial" w:cs="Arial"/>
          <w:color w:val="000000" w:themeColor="text1"/>
          <w:sz w:val="22"/>
          <w:szCs w:val="22"/>
          <w:lang w:val="es-MX"/>
        </w:rPr>
        <w:t>).</w:t>
      </w:r>
      <w:r w:rsidRPr="00B710A9">
        <w:rPr>
          <w:rFonts w:ascii="Arial" w:eastAsia="Arial" w:hAnsi="Arial" w:cs="Arial"/>
          <w:sz w:val="22"/>
          <w:szCs w:val="22"/>
          <w:vertAlign w:val="superscript"/>
          <w:lang w:val="es-MX"/>
        </w:rPr>
        <w:t xml:space="preserve"> </w:t>
      </w:r>
      <w:r w:rsidRPr="00B710A9">
        <w:rPr>
          <w:rFonts w:ascii="Arial" w:eastAsia="Arial" w:hAnsi="Arial" w:cs="Arial"/>
          <w:color w:val="000000" w:themeColor="text1"/>
          <w:sz w:val="22"/>
          <w:szCs w:val="22"/>
          <w:lang w:val="es-MX"/>
        </w:rPr>
        <w:t>Este documento presenta un modelo que guía y facilita la formulación de proyectos de producción o actualización de cartografía básica oficial por parte de las entidades territoriales y sus esquemas asociativos con el fin generar o actualizar la información geográfica básica de los territorios a los niveles de detalle requeridos.</w:t>
      </w:r>
    </w:p>
    <w:p w14:paraId="5747378E" w14:textId="17F1730F" w:rsidR="08C892D4" w:rsidRPr="00B710A9" w:rsidRDefault="08C892D4" w:rsidP="08C892D4">
      <w:pPr>
        <w:spacing w:after="0" w:line="240" w:lineRule="auto"/>
        <w:jc w:val="both"/>
        <w:rPr>
          <w:rFonts w:ascii="Arial" w:eastAsia="Arial" w:hAnsi="Arial" w:cs="Arial"/>
          <w:color w:val="000000" w:themeColor="text1"/>
          <w:sz w:val="22"/>
          <w:szCs w:val="22"/>
          <w:lang w:val="es-MX"/>
        </w:rPr>
      </w:pPr>
    </w:p>
    <w:p w14:paraId="66B84A1A" w14:textId="6FCD19E6" w:rsidR="08C892D4" w:rsidRPr="00B710A9" w:rsidRDefault="08C892D4" w:rsidP="08C892D4">
      <w:pPr>
        <w:spacing w:after="0" w:line="240" w:lineRule="auto"/>
        <w:jc w:val="both"/>
        <w:rPr>
          <w:rFonts w:ascii="Arial" w:eastAsia="Arial" w:hAnsi="Arial" w:cs="Arial"/>
          <w:color w:val="000000" w:themeColor="text1"/>
          <w:sz w:val="22"/>
          <w:szCs w:val="22"/>
          <w:lang w:val="es-MX"/>
        </w:rPr>
      </w:pPr>
      <w:r w:rsidRPr="00B710A9">
        <w:rPr>
          <w:rFonts w:ascii="Arial" w:eastAsia="Arial" w:hAnsi="Arial" w:cs="Arial"/>
          <w:sz w:val="22"/>
          <w:szCs w:val="22"/>
          <w:lang w:val="es-MX"/>
        </w:rPr>
        <w:t xml:space="preserve">Por último, en alianza con la Agencia Nacional de Contratación Pública - Colombia Compra Eficiente y el Ministerio de Tecnologías de la Información y Comunicación se </w:t>
      </w:r>
      <w:r w:rsidRPr="00B710A9">
        <w:rPr>
          <w:rFonts w:ascii="Arial" w:eastAsia="Arial" w:hAnsi="Arial" w:cs="Arial"/>
          <w:color w:val="000000" w:themeColor="text1"/>
          <w:sz w:val="22"/>
          <w:szCs w:val="22"/>
          <w:lang w:val="es-MX"/>
        </w:rPr>
        <w:t>realizó la definición técnica para la implementación de mecanismos de agregación de demanda que faciliten la adquisición de imágenes por plataformas satelitales y aerotransportadas. Este proceso fue adjudicado en el mes de septiembre de 2021 y se encuentra publicado dentro del catálogo de Colombia Compra Eficiente.</w:t>
      </w:r>
    </w:p>
    <w:p w14:paraId="7F88571E" w14:textId="39EE54B1" w:rsidR="4C7A150F" w:rsidRPr="00B710A9" w:rsidRDefault="4C7A150F" w:rsidP="4C7A150F">
      <w:pPr>
        <w:spacing w:after="0" w:line="240" w:lineRule="auto"/>
        <w:jc w:val="both"/>
        <w:rPr>
          <w:rFonts w:ascii="Arial" w:eastAsia="Arial" w:hAnsi="Arial" w:cs="Arial"/>
          <w:color w:val="000000" w:themeColor="text1"/>
          <w:sz w:val="22"/>
          <w:szCs w:val="22"/>
          <w:lang w:val="es-MX"/>
        </w:rPr>
      </w:pPr>
    </w:p>
    <w:p w14:paraId="1F93F140" w14:textId="00616C48" w:rsidR="4C7A150F" w:rsidRPr="00B710A9" w:rsidRDefault="4C7A150F" w:rsidP="4C7A150F">
      <w:pPr>
        <w:spacing w:after="0" w:line="240" w:lineRule="auto"/>
        <w:jc w:val="both"/>
        <w:rPr>
          <w:rFonts w:ascii="Arial" w:eastAsia="Arial" w:hAnsi="Arial" w:cs="Arial"/>
          <w:color w:val="000000" w:themeColor="text1"/>
          <w:sz w:val="22"/>
          <w:szCs w:val="22"/>
          <w:lang w:val="es-MX"/>
        </w:rPr>
      </w:pPr>
    </w:p>
    <w:p w14:paraId="4498E69F" w14:textId="248F2EB9" w:rsidR="4C7A150F" w:rsidRPr="00024431" w:rsidRDefault="65D2D5B0" w:rsidP="75B02D90">
      <w:pPr>
        <w:pStyle w:val="Prrafodelista"/>
        <w:numPr>
          <w:ilvl w:val="0"/>
          <w:numId w:val="49"/>
        </w:numPr>
        <w:spacing w:after="0" w:line="240" w:lineRule="auto"/>
        <w:jc w:val="both"/>
        <w:rPr>
          <w:rFonts w:ascii="Arial" w:eastAsia="Arial" w:hAnsi="Arial" w:cs="Arial"/>
          <w:b/>
          <w:color w:val="000000" w:themeColor="text1"/>
          <w:sz w:val="22"/>
          <w:szCs w:val="22"/>
          <w:lang w:val="es-MX"/>
        </w:rPr>
      </w:pPr>
      <w:r w:rsidRPr="00B710A9">
        <w:rPr>
          <w:rFonts w:ascii="Arial" w:eastAsia="Arial" w:hAnsi="Arial" w:cs="Arial"/>
          <w:b/>
          <w:color w:val="000000" w:themeColor="text1"/>
          <w:sz w:val="22"/>
          <w:szCs w:val="22"/>
          <w:lang w:val="es-MX"/>
        </w:rPr>
        <w:t>Servicios de información geodésica actualizada</w:t>
      </w:r>
    </w:p>
    <w:p w14:paraId="1C858BAA" w14:textId="6808EDB5" w:rsidR="4C7A150F" w:rsidRPr="00024431" w:rsidRDefault="4C7A150F" w:rsidP="4C7A150F">
      <w:pPr>
        <w:spacing w:after="0" w:line="240" w:lineRule="auto"/>
        <w:jc w:val="both"/>
        <w:rPr>
          <w:rFonts w:ascii="Arial" w:eastAsia="Arial" w:hAnsi="Arial" w:cs="Arial"/>
          <w:color w:val="000000" w:themeColor="text1"/>
          <w:sz w:val="22"/>
          <w:szCs w:val="22"/>
        </w:rPr>
      </w:pPr>
    </w:p>
    <w:p w14:paraId="1BA02CD0" w14:textId="6FCD19E6" w:rsidR="65D2D5B0" w:rsidRPr="00024431" w:rsidRDefault="09B46841" w:rsidP="75B02D90">
      <w:pPr>
        <w:spacing w:after="0" w:line="240" w:lineRule="auto"/>
        <w:jc w:val="both"/>
        <w:rPr>
          <w:rFonts w:ascii="Arial" w:eastAsia="Arial" w:hAnsi="Arial" w:cs="Arial"/>
          <w:b/>
          <w:color w:val="000000" w:themeColor="text1"/>
          <w:sz w:val="22"/>
          <w:szCs w:val="22"/>
          <w:u w:val="single"/>
          <w:lang w:val="es"/>
        </w:rPr>
      </w:pPr>
      <w:r w:rsidRPr="00024431">
        <w:rPr>
          <w:rFonts w:ascii="Arial" w:eastAsia="Arial" w:hAnsi="Arial" w:cs="Arial"/>
          <w:b/>
          <w:color w:val="000000" w:themeColor="text1"/>
          <w:sz w:val="22"/>
          <w:szCs w:val="22"/>
          <w:u w:val="single"/>
          <w:lang w:val="es"/>
        </w:rPr>
        <w:t>Integración de redes existentes a la Red Geodésica Nacional.</w:t>
      </w:r>
    </w:p>
    <w:p w14:paraId="237FF730" w14:textId="50382BFA" w:rsidR="65D2D5B0" w:rsidRPr="00B710A9" w:rsidRDefault="65D2D5B0" w:rsidP="65D2D5B0">
      <w:pPr>
        <w:spacing w:after="0" w:line="240" w:lineRule="auto"/>
        <w:jc w:val="both"/>
        <w:rPr>
          <w:rFonts w:ascii="Arial" w:eastAsia="Arial" w:hAnsi="Arial" w:cs="Arial"/>
          <w:color w:val="000000" w:themeColor="text1"/>
        </w:rPr>
      </w:pPr>
    </w:p>
    <w:p w14:paraId="1CB9B4D6" w14:textId="357B9705" w:rsidR="09B46841" w:rsidRPr="00024431" w:rsidRDefault="09B46841" w:rsidP="09B46841">
      <w:pPr>
        <w:jc w:val="both"/>
        <w:rPr>
          <w:rFonts w:ascii="Arial" w:eastAsia="Arial" w:hAnsi="Arial" w:cs="Arial"/>
          <w:sz w:val="22"/>
          <w:szCs w:val="22"/>
          <w:lang w:val="es"/>
        </w:rPr>
      </w:pPr>
      <w:r w:rsidRPr="00B710A9">
        <w:rPr>
          <w:rFonts w:ascii="Arial" w:eastAsia="Arial" w:hAnsi="Arial" w:cs="Arial"/>
          <w:sz w:val="22"/>
          <w:szCs w:val="22"/>
          <w:lang w:val="es"/>
        </w:rPr>
        <w:t xml:space="preserve">Con el objetivo de fortalecer la gestión de datos e información geodésica nacional, se efectuaron reuniones técnicas de articulación con el Servicio Geológico Colombiano (SGC), buscando consolidar una alianza interinstitucional que permitiera aunar esfuerzos y recursos tecnológicos, físicos, humanos y administrativos entre la dos entidades con el fin de fortalecer la Red Geodésica Nacional para diferentes propósitos y satisfacer las necesidades de infraestructura e información geodésica requerida por el país, en virtud de </w:t>
      </w:r>
      <w:r w:rsidRPr="00B710A9">
        <w:rPr>
          <w:rFonts w:ascii="Arial" w:eastAsia="Arial" w:hAnsi="Arial" w:cs="Arial"/>
          <w:sz w:val="22"/>
          <w:szCs w:val="22"/>
          <w:lang w:val="es"/>
        </w:rPr>
        <w:lastRenderedPageBreak/>
        <w:t>las respectivas competencias y misiones institucionales. Resultado de ello, en el año 2020 se firmó el Convenio Específico No. 2 al Convenio Marco No. 4965 de 2018 con el SGC.</w:t>
      </w:r>
    </w:p>
    <w:p w14:paraId="1B680D84" w14:textId="6FCD19E6" w:rsidR="09B46841" w:rsidRPr="00B710A9" w:rsidRDefault="09B46841" w:rsidP="09B46841">
      <w:pPr>
        <w:jc w:val="both"/>
        <w:rPr>
          <w:rFonts w:ascii="Arial" w:eastAsia="Arial" w:hAnsi="Arial" w:cs="Arial"/>
          <w:sz w:val="22"/>
          <w:szCs w:val="22"/>
          <w:lang w:val="es"/>
        </w:rPr>
      </w:pPr>
      <w:r w:rsidRPr="00B710A9">
        <w:rPr>
          <w:rFonts w:ascii="Arial" w:eastAsia="Arial" w:hAnsi="Arial" w:cs="Arial"/>
          <w:sz w:val="22"/>
          <w:szCs w:val="22"/>
          <w:lang w:val="es"/>
        </w:rPr>
        <w:t xml:space="preserve">Bajo esta alianza, durante el 2021, se logró la integración de 105 estaciones administradas por el SGC a la Red Geodésica Nacional, facilitando el acceso a los datos geodésicos a través de la plataforma Colombia en Mapas (Ver </w:t>
      </w:r>
      <w:hyperlink r:id="rId15">
        <w:r w:rsidRPr="00B710A9">
          <w:rPr>
            <w:rStyle w:val="Hipervnculo"/>
            <w:rFonts w:ascii="Arial" w:eastAsia="Arial" w:hAnsi="Arial" w:cs="Arial"/>
            <w:lang w:val="es"/>
          </w:rPr>
          <w:t>https://bit.ly/3LnCKa8</w:t>
        </w:r>
      </w:hyperlink>
      <w:r w:rsidRPr="00B710A9">
        <w:rPr>
          <w:rFonts w:ascii="Arial" w:eastAsia="Arial" w:hAnsi="Arial" w:cs="Arial"/>
          <w:sz w:val="22"/>
          <w:szCs w:val="22"/>
          <w:lang w:val="es"/>
        </w:rPr>
        <w:t>).</w:t>
      </w:r>
    </w:p>
    <w:p w14:paraId="128BD6A4" w14:textId="57E49A58" w:rsidR="09B46841" w:rsidRPr="00B710A9" w:rsidRDefault="09B46841" w:rsidP="09B46841">
      <w:pPr>
        <w:spacing w:after="0" w:line="240" w:lineRule="auto"/>
        <w:jc w:val="both"/>
        <w:rPr>
          <w:rFonts w:ascii="Arial" w:eastAsia="Arial" w:hAnsi="Arial" w:cs="Arial"/>
          <w:color w:val="000000" w:themeColor="text1"/>
        </w:rPr>
      </w:pPr>
    </w:p>
    <w:p w14:paraId="370F6B12" w14:textId="1DBA6C9F" w:rsidR="09B46841" w:rsidRPr="00024431" w:rsidRDefault="09B46841" w:rsidP="75B02D90">
      <w:pPr>
        <w:spacing w:after="0" w:line="240" w:lineRule="auto"/>
        <w:jc w:val="both"/>
        <w:rPr>
          <w:rFonts w:ascii="Arial" w:eastAsia="Arial" w:hAnsi="Arial" w:cs="Arial"/>
          <w:b/>
          <w:color w:val="000000" w:themeColor="text1"/>
          <w:sz w:val="22"/>
          <w:szCs w:val="22"/>
          <w:u w:val="single"/>
          <w:lang w:val="es"/>
        </w:rPr>
      </w:pPr>
      <w:r w:rsidRPr="00024431">
        <w:rPr>
          <w:rFonts w:ascii="Arial" w:eastAsia="Arial" w:hAnsi="Arial" w:cs="Arial"/>
          <w:b/>
          <w:color w:val="000000" w:themeColor="text1"/>
          <w:sz w:val="22"/>
          <w:szCs w:val="22"/>
          <w:u w:val="single"/>
          <w:lang w:val="es"/>
        </w:rPr>
        <w:t>Nuevas estaciones de operación continua (CORS) en la Red</w:t>
      </w:r>
    </w:p>
    <w:p w14:paraId="12E99C88" w14:textId="1FE7F9A4" w:rsidR="09B46841" w:rsidRPr="00B710A9" w:rsidRDefault="09B46841" w:rsidP="09B46841">
      <w:pPr>
        <w:spacing w:after="0" w:line="240" w:lineRule="auto"/>
        <w:jc w:val="both"/>
        <w:rPr>
          <w:rFonts w:ascii="Arial" w:eastAsia="Arial" w:hAnsi="Arial" w:cs="Arial"/>
          <w:color w:val="000000" w:themeColor="text1"/>
        </w:rPr>
      </w:pPr>
    </w:p>
    <w:p w14:paraId="212DCCF0" w14:textId="1DBA6C9F" w:rsidR="09B46841" w:rsidRPr="00B710A9" w:rsidRDefault="09B46841" w:rsidP="09B46841">
      <w:pPr>
        <w:spacing w:line="257" w:lineRule="auto"/>
        <w:ind w:left="10" w:hanging="10"/>
        <w:jc w:val="both"/>
        <w:rPr>
          <w:rFonts w:ascii="Arial" w:eastAsia="Arial" w:hAnsi="Arial" w:cs="Arial"/>
          <w:sz w:val="22"/>
          <w:szCs w:val="22"/>
          <w:lang w:val="es"/>
        </w:rPr>
      </w:pPr>
      <w:r w:rsidRPr="00B710A9">
        <w:rPr>
          <w:rFonts w:ascii="Arial" w:eastAsia="Arial" w:hAnsi="Arial" w:cs="Arial"/>
          <w:sz w:val="22"/>
          <w:szCs w:val="22"/>
          <w:lang w:val="es"/>
        </w:rPr>
        <w:t xml:space="preserve">Resultado del trabajo conjunto con el SGC, se ha logrado avanzar en la exploración, materialización y puesta en operación de </w:t>
      </w:r>
      <w:r w:rsidRPr="00B710A9">
        <w:rPr>
          <w:rFonts w:ascii="Arial" w:eastAsia="Arial" w:hAnsi="Arial" w:cs="Arial"/>
          <w:b/>
          <w:bCs/>
          <w:sz w:val="22"/>
          <w:szCs w:val="22"/>
          <w:lang w:val="es"/>
        </w:rPr>
        <w:t xml:space="preserve">treinta y nueve (39) estaciones adicionales </w:t>
      </w:r>
      <w:r w:rsidRPr="00B710A9">
        <w:rPr>
          <w:rFonts w:ascii="Arial" w:eastAsia="Arial" w:hAnsi="Arial" w:cs="Arial"/>
          <w:sz w:val="22"/>
          <w:szCs w:val="22"/>
          <w:lang w:val="es"/>
        </w:rPr>
        <w:t>en la red geodésica nacional.</w:t>
      </w:r>
    </w:p>
    <w:p w14:paraId="57AC274A" w14:textId="615D7B3F" w:rsidR="00F65850" w:rsidRPr="00024431" w:rsidRDefault="09B46841" w:rsidP="00024431">
      <w:pPr>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Las estaciones materializadas durante el año 2020 y 2021 han sido financiadas por el Instituto Geográfico Agustín Codazzi, en términos de los equipos y los gastos asociados a recursos humanos y trabajo en campo. Se materializaron veinte (20) estaciones durante la vigencia a 30 de junio de 2022, las cuales, son producto del contrato 24695 de 2021 suscrito entre el IGAC y el </w:t>
      </w:r>
      <w:proofErr w:type="spellStart"/>
      <w:r w:rsidRPr="00B710A9">
        <w:rPr>
          <w:rFonts w:ascii="Arial" w:eastAsia="Arial" w:hAnsi="Arial" w:cs="Arial"/>
          <w:color w:val="000000" w:themeColor="text1"/>
          <w:sz w:val="22"/>
          <w:szCs w:val="22"/>
          <w:lang w:val="es"/>
        </w:rPr>
        <w:t>Ingenierie</w:t>
      </w:r>
      <w:proofErr w:type="spellEnd"/>
      <w:r w:rsidRPr="00B710A9">
        <w:rPr>
          <w:rFonts w:ascii="Arial" w:eastAsia="Arial" w:hAnsi="Arial" w:cs="Arial"/>
          <w:color w:val="000000" w:themeColor="text1"/>
          <w:sz w:val="22"/>
          <w:szCs w:val="22"/>
          <w:lang w:val="es"/>
        </w:rPr>
        <w:t xml:space="preserve"> </w:t>
      </w:r>
      <w:proofErr w:type="spellStart"/>
      <w:r w:rsidRPr="00B710A9">
        <w:rPr>
          <w:rFonts w:ascii="Arial" w:eastAsia="Arial" w:hAnsi="Arial" w:cs="Arial"/>
          <w:color w:val="000000" w:themeColor="text1"/>
          <w:sz w:val="22"/>
          <w:szCs w:val="22"/>
          <w:lang w:val="es"/>
        </w:rPr>
        <w:t>Geographique</w:t>
      </w:r>
      <w:proofErr w:type="spellEnd"/>
      <w:r w:rsidRPr="00B710A9">
        <w:rPr>
          <w:rFonts w:ascii="Arial" w:eastAsia="Arial" w:hAnsi="Arial" w:cs="Arial"/>
          <w:color w:val="000000" w:themeColor="text1"/>
          <w:sz w:val="22"/>
          <w:szCs w:val="22"/>
          <w:lang w:val="es"/>
        </w:rPr>
        <w:t xml:space="preserve"> </w:t>
      </w:r>
      <w:proofErr w:type="spellStart"/>
      <w:r w:rsidRPr="00B710A9">
        <w:rPr>
          <w:rFonts w:ascii="Arial" w:eastAsia="Arial" w:hAnsi="Arial" w:cs="Arial"/>
          <w:color w:val="000000" w:themeColor="text1"/>
          <w:sz w:val="22"/>
          <w:szCs w:val="22"/>
          <w:lang w:val="es"/>
        </w:rPr>
        <w:t>Francaise</w:t>
      </w:r>
      <w:proofErr w:type="spellEnd"/>
      <w:r w:rsidRPr="00B710A9">
        <w:rPr>
          <w:rFonts w:ascii="Arial" w:eastAsia="Arial" w:hAnsi="Arial" w:cs="Arial"/>
          <w:color w:val="000000" w:themeColor="text1"/>
          <w:sz w:val="22"/>
          <w:szCs w:val="22"/>
          <w:lang w:val="es"/>
        </w:rPr>
        <w:t xml:space="preserve"> a </w:t>
      </w:r>
      <w:proofErr w:type="spellStart"/>
      <w:r w:rsidRPr="00B710A9">
        <w:rPr>
          <w:rFonts w:ascii="Arial" w:eastAsia="Arial" w:hAnsi="Arial" w:cs="Arial"/>
          <w:color w:val="000000" w:themeColor="text1"/>
          <w:sz w:val="22"/>
          <w:szCs w:val="22"/>
          <w:lang w:val="es"/>
        </w:rPr>
        <w:t>L´International</w:t>
      </w:r>
      <w:proofErr w:type="spellEnd"/>
      <w:r w:rsidRPr="00B710A9">
        <w:rPr>
          <w:rFonts w:ascii="Arial" w:eastAsia="Arial" w:hAnsi="Arial" w:cs="Arial"/>
          <w:color w:val="000000" w:themeColor="text1"/>
          <w:sz w:val="22"/>
          <w:szCs w:val="22"/>
          <w:lang w:val="es"/>
        </w:rPr>
        <w:t xml:space="preserve"> – IGN FI y Leica </w:t>
      </w:r>
      <w:proofErr w:type="spellStart"/>
      <w:r w:rsidRPr="00B710A9">
        <w:rPr>
          <w:rFonts w:ascii="Arial" w:eastAsia="Arial" w:hAnsi="Arial" w:cs="Arial"/>
          <w:color w:val="000000" w:themeColor="text1"/>
          <w:sz w:val="22"/>
          <w:szCs w:val="22"/>
          <w:lang w:val="es"/>
        </w:rPr>
        <w:t>Geosystems</w:t>
      </w:r>
      <w:proofErr w:type="spellEnd"/>
      <w:r w:rsidRPr="00B710A9">
        <w:rPr>
          <w:rFonts w:ascii="Arial" w:eastAsia="Arial" w:hAnsi="Arial" w:cs="Arial"/>
          <w:color w:val="000000" w:themeColor="text1"/>
          <w:sz w:val="22"/>
          <w:szCs w:val="22"/>
          <w:lang w:val="es"/>
        </w:rPr>
        <w:t xml:space="preserve"> AG en el marco de la cooperación no reembolsable con el Banco </w:t>
      </w:r>
      <w:r w:rsidR="6CD0FC45" w:rsidRPr="00B710A9">
        <w:rPr>
          <w:rFonts w:ascii="Arial" w:eastAsia="Arial" w:hAnsi="Arial" w:cs="Arial"/>
          <w:color w:val="000000" w:themeColor="text1"/>
          <w:sz w:val="22"/>
          <w:szCs w:val="22"/>
          <w:lang w:val="es"/>
        </w:rPr>
        <w:t>Mundial</w:t>
      </w:r>
      <w:r w:rsidR="00190EE5" w:rsidRPr="00B710A9">
        <w:rPr>
          <w:rFonts w:ascii="Arial" w:eastAsia="Arial" w:hAnsi="Arial" w:cs="Arial"/>
          <w:color w:val="000000" w:themeColor="text1"/>
          <w:sz w:val="22"/>
          <w:szCs w:val="22"/>
          <w:lang w:val="es"/>
        </w:rPr>
        <w:t>.</w:t>
      </w:r>
    </w:p>
    <w:p w14:paraId="026C34FA" w14:textId="56F30FB7" w:rsidR="00F65850" w:rsidRPr="00B710A9" w:rsidRDefault="00F65850" w:rsidP="00F65850">
      <w:pPr>
        <w:pStyle w:val="Descripcin"/>
        <w:keepNext/>
        <w:jc w:val="center"/>
        <w:rPr>
          <w:rFonts w:ascii="Arial" w:hAnsi="Arial" w:cs="Arial"/>
          <w:b/>
          <w:bCs/>
          <w:i w:val="0"/>
          <w:iCs w:val="0"/>
          <w:color w:val="auto"/>
          <w:sz w:val="16"/>
          <w:szCs w:val="16"/>
        </w:rPr>
      </w:pPr>
      <w:bookmarkStart w:id="7" w:name="_Toc109057734"/>
      <w:r w:rsidRPr="00B710A9">
        <w:rPr>
          <w:rFonts w:ascii="Arial" w:hAnsi="Arial" w:cs="Arial"/>
          <w:b/>
          <w:bCs/>
          <w:i w:val="0"/>
          <w:iCs w:val="0"/>
          <w:color w:val="auto"/>
          <w:sz w:val="16"/>
          <w:szCs w:val="16"/>
        </w:rPr>
        <w:t xml:space="preserve">Tabla </w:t>
      </w:r>
      <w:r w:rsidRPr="00B710A9">
        <w:rPr>
          <w:rFonts w:ascii="Arial" w:hAnsi="Arial" w:cs="Arial"/>
          <w:b/>
          <w:bCs/>
          <w:i w:val="0"/>
          <w:iCs w:val="0"/>
          <w:color w:val="auto"/>
          <w:sz w:val="16"/>
          <w:szCs w:val="16"/>
        </w:rPr>
        <w:fldChar w:fldCharType="begin"/>
      </w:r>
      <w:r w:rsidRPr="00B710A9">
        <w:rPr>
          <w:rFonts w:ascii="Arial" w:hAnsi="Arial" w:cs="Arial"/>
          <w:b/>
          <w:bCs/>
          <w:i w:val="0"/>
          <w:iCs w:val="0"/>
          <w:color w:val="auto"/>
          <w:sz w:val="16"/>
          <w:szCs w:val="16"/>
        </w:rPr>
        <w:instrText xml:space="preserve"> SEQ Tabla \* ARABIC </w:instrText>
      </w:r>
      <w:r w:rsidRPr="00B710A9">
        <w:rPr>
          <w:rFonts w:ascii="Arial" w:hAnsi="Arial" w:cs="Arial"/>
          <w:b/>
          <w:bCs/>
          <w:i w:val="0"/>
          <w:iCs w:val="0"/>
          <w:color w:val="auto"/>
          <w:sz w:val="16"/>
          <w:szCs w:val="16"/>
        </w:rPr>
        <w:fldChar w:fldCharType="separate"/>
      </w:r>
      <w:r w:rsidR="00801DF8" w:rsidRPr="00B710A9">
        <w:rPr>
          <w:rFonts w:ascii="Arial" w:hAnsi="Arial" w:cs="Arial"/>
          <w:b/>
          <w:bCs/>
          <w:i w:val="0"/>
          <w:iCs w:val="0"/>
          <w:noProof/>
          <w:color w:val="auto"/>
          <w:sz w:val="16"/>
          <w:szCs w:val="16"/>
        </w:rPr>
        <w:t>4</w:t>
      </w:r>
      <w:r w:rsidRPr="00B710A9">
        <w:rPr>
          <w:rFonts w:ascii="Arial" w:hAnsi="Arial" w:cs="Arial"/>
          <w:b/>
          <w:bCs/>
          <w:i w:val="0"/>
          <w:iCs w:val="0"/>
          <w:color w:val="auto"/>
          <w:sz w:val="16"/>
          <w:szCs w:val="16"/>
        </w:rPr>
        <w:fldChar w:fldCharType="end"/>
      </w:r>
      <w:r w:rsidRPr="00B710A9">
        <w:rPr>
          <w:rFonts w:ascii="Arial" w:hAnsi="Arial" w:cs="Arial"/>
          <w:b/>
          <w:bCs/>
          <w:i w:val="0"/>
          <w:iCs w:val="0"/>
          <w:color w:val="auto"/>
          <w:sz w:val="16"/>
          <w:szCs w:val="16"/>
        </w:rPr>
        <w:t>. Estaciones de operación continúa materializadas 2021 al 2022</w:t>
      </w:r>
      <w:bookmarkEnd w:id="7"/>
    </w:p>
    <w:tbl>
      <w:tblPr>
        <w:tblStyle w:val="Tablaconcuadrcula4-nfasis1"/>
        <w:tblW w:w="0" w:type="auto"/>
        <w:jc w:val="center"/>
        <w:tblLayout w:type="fixed"/>
        <w:tblLook w:val="04A0" w:firstRow="1" w:lastRow="0" w:firstColumn="1" w:lastColumn="0" w:noHBand="0" w:noVBand="1"/>
      </w:tblPr>
      <w:tblGrid>
        <w:gridCol w:w="1485"/>
        <w:gridCol w:w="1785"/>
        <w:gridCol w:w="5084"/>
      </w:tblGrid>
      <w:tr w:rsidR="72E5DE1E" w:rsidRPr="00B710A9" w14:paraId="59AA8E77" w14:textId="77777777" w:rsidTr="00024431">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485" w:type="dxa"/>
            <w:tcBorders>
              <w:top w:val="single" w:sz="8" w:space="0" w:color="4F81BD"/>
              <w:left w:val="single" w:sz="8" w:space="0" w:color="4F81BD"/>
              <w:bottom w:val="single" w:sz="8" w:space="0" w:color="4F81BD"/>
            </w:tcBorders>
            <w:shd w:val="clear" w:color="auto" w:fill="4F81BD"/>
          </w:tcPr>
          <w:p w14:paraId="1BA7C50E" w14:textId="1DBA6C9F" w:rsidR="72E5DE1E" w:rsidRPr="001C5672" w:rsidRDefault="72E5DE1E" w:rsidP="72E5DE1E">
            <w:pPr>
              <w:jc w:val="center"/>
              <w:rPr>
                <w:rFonts w:ascii="Arial" w:eastAsia="Arial" w:hAnsi="Arial" w:cs="Arial"/>
                <w:sz w:val="16"/>
                <w:szCs w:val="16"/>
              </w:rPr>
            </w:pPr>
            <w:r w:rsidRPr="001C5672">
              <w:rPr>
                <w:rFonts w:ascii="Arial" w:eastAsia="Arial" w:hAnsi="Arial" w:cs="Arial"/>
                <w:sz w:val="16"/>
                <w:szCs w:val="16"/>
              </w:rPr>
              <w:t>Año</w:t>
            </w:r>
          </w:p>
        </w:tc>
        <w:tc>
          <w:tcPr>
            <w:tcW w:w="1785" w:type="dxa"/>
            <w:tcBorders>
              <w:top w:val="single" w:sz="8" w:space="0" w:color="4F81BD"/>
              <w:bottom w:val="single" w:sz="8" w:space="0" w:color="4F81BD"/>
            </w:tcBorders>
            <w:shd w:val="clear" w:color="auto" w:fill="4F81BD"/>
          </w:tcPr>
          <w:p w14:paraId="5D65D4F4" w14:textId="1DBA6C9F" w:rsidR="72E5DE1E" w:rsidRPr="001C5672" w:rsidRDefault="72E5DE1E" w:rsidP="72E5DE1E">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1C5672">
              <w:rPr>
                <w:rFonts w:ascii="Arial" w:eastAsia="Arial" w:hAnsi="Arial" w:cs="Arial"/>
                <w:sz w:val="16"/>
                <w:szCs w:val="16"/>
              </w:rPr>
              <w:t>Número de</w:t>
            </w:r>
          </w:p>
          <w:p w14:paraId="4B56554E" w14:textId="1A85129E" w:rsidR="72E5DE1E" w:rsidRPr="001C5672" w:rsidRDefault="009E2397" w:rsidP="72E5DE1E">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1C5672">
              <w:rPr>
                <w:rFonts w:ascii="Arial" w:eastAsia="Arial" w:hAnsi="Arial" w:cs="Arial"/>
                <w:sz w:val="16"/>
                <w:szCs w:val="16"/>
              </w:rPr>
              <w:t>E</w:t>
            </w:r>
            <w:r w:rsidR="72E5DE1E" w:rsidRPr="001C5672">
              <w:rPr>
                <w:rFonts w:ascii="Arial" w:eastAsia="Arial" w:hAnsi="Arial" w:cs="Arial"/>
                <w:sz w:val="16"/>
                <w:szCs w:val="16"/>
              </w:rPr>
              <w:t>staciones</w:t>
            </w:r>
          </w:p>
        </w:tc>
        <w:tc>
          <w:tcPr>
            <w:tcW w:w="5084" w:type="dxa"/>
            <w:tcBorders>
              <w:top w:val="single" w:sz="8" w:space="0" w:color="4F81BD"/>
              <w:bottom w:val="single" w:sz="8" w:space="0" w:color="4F81BD"/>
              <w:right w:val="single" w:sz="8" w:space="0" w:color="4F81BD"/>
            </w:tcBorders>
            <w:shd w:val="clear" w:color="auto" w:fill="4F81BD"/>
          </w:tcPr>
          <w:p w14:paraId="4358BE07" w14:textId="1DBA6C9F" w:rsidR="72E5DE1E" w:rsidRPr="001C5672" w:rsidRDefault="72E5DE1E" w:rsidP="72E5DE1E">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1C5672">
              <w:rPr>
                <w:rFonts w:ascii="Arial" w:eastAsia="Arial" w:hAnsi="Arial" w:cs="Arial"/>
                <w:sz w:val="16"/>
                <w:szCs w:val="16"/>
              </w:rPr>
              <w:t>Ubicación de las estaciones*</w:t>
            </w:r>
          </w:p>
        </w:tc>
      </w:tr>
      <w:tr w:rsidR="72E5DE1E" w:rsidRPr="00B710A9" w14:paraId="405D3712" w14:textId="77777777" w:rsidTr="00024431">
        <w:trPr>
          <w:cnfStyle w:val="000000100000" w:firstRow="0" w:lastRow="0" w:firstColumn="0" w:lastColumn="0" w:oddVBand="0" w:evenVBand="0" w:oddHBand="1" w:evenHBand="0" w:firstRowFirstColumn="0" w:firstRowLastColumn="0" w:lastRowFirstColumn="0" w:lastRowLastColumn="0"/>
          <w:trHeight w:val="1845"/>
          <w:jc w:val="center"/>
        </w:trPr>
        <w:tc>
          <w:tcPr>
            <w:cnfStyle w:val="001000000000" w:firstRow="0" w:lastRow="0" w:firstColumn="1" w:lastColumn="0" w:oddVBand="0" w:evenVBand="0" w:oddHBand="0" w:evenHBand="0" w:firstRowFirstColumn="0" w:firstRowLastColumn="0" w:lastRowFirstColumn="0" w:lastRowLastColumn="0"/>
            <w:tcW w:w="1485" w:type="dxa"/>
            <w:tcBorders>
              <w:top w:val="single" w:sz="8" w:space="0" w:color="95B3D7"/>
              <w:left w:val="single" w:sz="8" w:space="0" w:color="95B3D7"/>
              <w:bottom w:val="single" w:sz="8" w:space="0" w:color="95B3D7"/>
              <w:right w:val="single" w:sz="8" w:space="0" w:color="95B3D7"/>
            </w:tcBorders>
            <w:shd w:val="clear" w:color="auto" w:fill="DBE5F1"/>
            <w:vAlign w:val="center"/>
          </w:tcPr>
          <w:p w14:paraId="025FAD18" w14:textId="1DBA6C9F" w:rsidR="72E5DE1E" w:rsidRPr="001C5672" w:rsidRDefault="72E5DE1E" w:rsidP="029AE0F1">
            <w:pPr>
              <w:jc w:val="center"/>
              <w:rPr>
                <w:rFonts w:ascii="Arial" w:eastAsia="Arial" w:hAnsi="Arial" w:cs="Arial"/>
                <w:color w:val="000000" w:themeColor="text1"/>
                <w:sz w:val="16"/>
                <w:szCs w:val="16"/>
              </w:rPr>
            </w:pPr>
            <w:r w:rsidRPr="001C5672">
              <w:rPr>
                <w:rFonts w:ascii="Arial" w:eastAsia="Arial" w:hAnsi="Arial" w:cs="Arial"/>
                <w:i/>
                <w:iCs/>
                <w:color w:val="000000" w:themeColor="text1"/>
                <w:sz w:val="16"/>
                <w:szCs w:val="16"/>
              </w:rPr>
              <w:t xml:space="preserve"> </w:t>
            </w:r>
            <w:r w:rsidRPr="001C5672">
              <w:rPr>
                <w:rFonts w:ascii="Arial" w:eastAsia="Arial" w:hAnsi="Arial" w:cs="Arial"/>
                <w:color w:val="000000" w:themeColor="text1"/>
                <w:sz w:val="16"/>
                <w:szCs w:val="16"/>
              </w:rPr>
              <w:t xml:space="preserve"> </w:t>
            </w:r>
          </w:p>
          <w:p w14:paraId="12C74135" w14:textId="1DBA6C9F" w:rsidR="72E5DE1E" w:rsidRPr="001C5672" w:rsidRDefault="72E5DE1E" w:rsidP="029AE0F1">
            <w:pPr>
              <w:jc w:val="center"/>
              <w:rPr>
                <w:rFonts w:ascii="Arial" w:eastAsia="Arial" w:hAnsi="Arial" w:cs="Arial"/>
                <w:color w:val="000000" w:themeColor="text1"/>
                <w:sz w:val="16"/>
                <w:szCs w:val="16"/>
              </w:rPr>
            </w:pPr>
            <w:r w:rsidRPr="001C5672">
              <w:rPr>
                <w:rFonts w:ascii="Arial" w:eastAsia="Arial" w:hAnsi="Arial" w:cs="Arial"/>
                <w:i/>
                <w:iCs/>
                <w:color w:val="000000" w:themeColor="text1"/>
                <w:sz w:val="16"/>
                <w:szCs w:val="16"/>
              </w:rPr>
              <w:t xml:space="preserve"> </w:t>
            </w:r>
            <w:r w:rsidRPr="001C5672">
              <w:rPr>
                <w:rFonts w:ascii="Arial" w:eastAsia="Arial" w:hAnsi="Arial" w:cs="Arial"/>
                <w:color w:val="000000" w:themeColor="text1"/>
                <w:sz w:val="16"/>
                <w:szCs w:val="16"/>
              </w:rPr>
              <w:t xml:space="preserve"> </w:t>
            </w:r>
          </w:p>
          <w:p w14:paraId="020BF8FF" w14:textId="1DBA6C9F" w:rsidR="72E5DE1E" w:rsidRPr="001C5672" w:rsidRDefault="72E5DE1E" w:rsidP="029AE0F1">
            <w:pPr>
              <w:jc w:val="center"/>
              <w:rPr>
                <w:rFonts w:ascii="Arial" w:eastAsia="Arial" w:hAnsi="Arial" w:cs="Arial"/>
                <w:color w:val="000000" w:themeColor="text1"/>
                <w:sz w:val="16"/>
                <w:szCs w:val="16"/>
              </w:rPr>
            </w:pPr>
            <w:r w:rsidRPr="001C5672">
              <w:rPr>
                <w:rFonts w:ascii="Arial" w:eastAsia="Arial" w:hAnsi="Arial" w:cs="Arial"/>
                <w:i/>
                <w:iCs/>
                <w:color w:val="000000" w:themeColor="text1"/>
                <w:sz w:val="16"/>
                <w:szCs w:val="16"/>
              </w:rPr>
              <w:t xml:space="preserve"> </w:t>
            </w:r>
            <w:r w:rsidRPr="001C5672">
              <w:rPr>
                <w:rFonts w:ascii="Arial" w:eastAsia="Arial" w:hAnsi="Arial" w:cs="Arial"/>
                <w:color w:val="000000" w:themeColor="text1"/>
                <w:sz w:val="16"/>
                <w:szCs w:val="16"/>
              </w:rPr>
              <w:t xml:space="preserve"> </w:t>
            </w:r>
          </w:p>
          <w:p w14:paraId="60F5D16A" w14:textId="1DBA6C9F" w:rsidR="72E5DE1E" w:rsidRPr="001C5672" w:rsidRDefault="72E5DE1E" w:rsidP="029AE0F1">
            <w:pPr>
              <w:jc w:val="center"/>
              <w:rPr>
                <w:rFonts w:ascii="Arial" w:eastAsia="Arial" w:hAnsi="Arial" w:cs="Arial"/>
                <w:color w:val="000000" w:themeColor="text1"/>
                <w:sz w:val="16"/>
                <w:szCs w:val="16"/>
              </w:rPr>
            </w:pPr>
            <w:r w:rsidRPr="001C5672">
              <w:rPr>
                <w:rFonts w:ascii="Arial" w:eastAsia="Arial" w:hAnsi="Arial" w:cs="Arial"/>
                <w:i/>
                <w:iCs/>
                <w:color w:val="000000" w:themeColor="text1"/>
                <w:sz w:val="16"/>
                <w:szCs w:val="16"/>
              </w:rPr>
              <w:t xml:space="preserve"> </w:t>
            </w:r>
            <w:r w:rsidRPr="001C5672">
              <w:rPr>
                <w:rFonts w:ascii="Arial" w:eastAsia="Arial" w:hAnsi="Arial" w:cs="Arial"/>
                <w:color w:val="000000" w:themeColor="text1"/>
                <w:sz w:val="16"/>
                <w:szCs w:val="16"/>
              </w:rPr>
              <w:t xml:space="preserve"> </w:t>
            </w:r>
          </w:p>
          <w:p w14:paraId="51C01D3A" w14:textId="1DBA6C9F" w:rsidR="72E5DE1E" w:rsidRPr="001C5672" w:rsidRDefault="72E5DE1E" w:rsidP="72E5DE1E">
            <w:pPr>
              <w:jc w:val="center"/>
              <w:rPr>
                <w:rFonts w:ascii="Arial" w:eastAsia="Verdana" w:hAnsi="Arial" w:cs="Arial"/>
                <w:color w:val="000000" w:themeColor="text1"/>
                <w:sz w:val="16"/>
                <w:szCs w:val="16"/>
              </w:rPr>
            </w:pPr>
            <w:r w:rsidRPr="001C5672">
              <w:rPr>
                <w:rFonts w:ascii="Arial" w:eastAsia="Verdana" w:hAnsi="Arial" w:cs="Arial"/>
                <w:color w:val="000000" w:themeColor="text1"/>
                <w:sz w:val="16"/>
                <w:szCs w:val="16"/>
              </w:rPr>
              <w:t xml:space="preserve">2021 </w:t>
            </w:r>
          </w:p>
        </w:tc>
        <w:tc>
          <w:tcPr>
            <w:tcW w:w="1785" w:type="dxa"/>
            <w:tcBorders>
              <w:top w:val="single" w:sz="8" w:space="0" w:color="95B3D7"/>
              <w:left w:val="single" w:sz="8" w:space="0" w:color="95B3D7"/>
              <w:bottom w:val="single" w:sz="8" w:space="0" w:color="95B3D7"/>
              <w:right w:val="single" w:sz="8" w:space="0" w:color="95B3D7"/>
            </w:tcBorders>
            <w:shd w:val="clear" w:color="auto" w:fill="DBE5F1"/>
            <w:vAlign w:val="center"/>
          </w:tcPr>
          <w:p w14:paraId="799A8DC4" w14:textId="1DBA6C9F" w:rsidR="72E5DE1E" w:rsidRPr="001C5672" w:rsidRDefault="72E5DE1E" w:rsidP="029AE0F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rPr>
            </w:pPr>
            <w:r w:rsidRPr="001C5672">
              <w:rPr>
                <w:rFonts w:ascii="Arial" w:eastAsia="Arial" w:hAnsi="Arial" w:cs="Arial"/>
                <w:i/>
                <w:iCs/>
                <w:color w:val="000000" w:themeColor="text1"/>
                <w:sz w:val="16"/>
                <w:szCs w:val="16"/>
              </w:rPr>
              <w:t xml:space="preserve"> </w:t>
            </w:r>
            <w:r w:rsidRPr="001C5672">
              <w:rPr>
                <w:rFonts w:ascii="Arial" w:eastAsia="Arial" w:hAnsi="Arial" w:cs="Arial"/>
                <w:color w:val="000000" w:themeColor="text1"/>
                <w:sz w:val="16"/>
                <w:szCs w:val="16"/>
              </w:rPr>
              <w:t xml:space="preserve"> </w:t>
            </w:r>
          </w:p>
          <w:p w14:paraId="2609EED3" w14:textId="1DBA6C9F" w:rsidR="72E5DE1E" w:rsidRPr="001C5672" w:rsidRDefault="72E5DE1E" w:rsidP="029AE0F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rPr>
            </w:pPr>
            <w:r w:rsidRPr="001C5672">
              <w:rPr>
                <w:rFonts w:ascii="Arial" w:eastAsia="Arial" w:hAnsi="Arial" w:cs="Arial"/>
                <w:i/>
                <w:iCs/>
                <w:color w:val="000000" w:themeColor="text1"/>
                <w:sz w:val="16"/>
                <w:szCs w:val="16"/>
              </w:rPr>
              <w:t xml:space="preserve"> </w:t>
            </w:r>
            <w:r w:rsidRPr="001C5672">
              <w:rPr>
                <w:rFonts w:ascii="Arial" w:eastAsia="Arial" w:hAnsi="Arial" w:cs="Arial"/>
                <w:color w:val="000000" w:themeColor="text1"/>
                <w:sz w:val="16"/>
                <w:szCs w:val="16"/>
              </w:rPr>
              <w:t xml:space="preserve"> </w:t>
            </w:r>
          </w:p>
          <w:p w14:paraId="1AE40DE7" w14:textId="1DBA6C9F" w:rsidR="72E5DE1E" w:rsidRPr="001C5672" w:rsidRDefault="72E5DE1E" w:rsidP="029AE0F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rPr>
            </w:pPr>
            <w:r w:rsidRPr="001C5672">
              <w:rPr>
                <w:rFonts w:ascii="Arial" w:eastAsia="Arial" w:hAnsi="Arial" w:cs="Arial"/>
                <w:i/>
                <w:iCs/>
                <w:color w:val="000000" w:themeColor="text1"/>
                <w:sz w:val="16"/>
                <w:szCs w:val="16"/>
              </w:rPr>
              <w:t xml:space="preserve"> </w:t>
            </w:r>
            <w:r w:rsidRPr="001C5672">
              <w:rPr>
                <w:rFonts w:ascii="Arial" w:eastAsia="Arial" w:hAnsi="Arial" w:cs="Arial"/>
                <w:color w:val="000000" w:themeColor="text1"/>
                <w:sz w:val="16"/>
                <w:szCs w:val="16"/>
              </w:rPr>
              <w:t xml:space="preserve"> </w:t>
            </w:r>
          </w:p>
          <w:p w14:paraId="56EF601C" w14:textId="1DBA6C9F" w:rsidR="72E5DE1E" w:rsidRPr="001C5672" w:rsidRDefault="72E5DE1E" w:rsidP="029AE0F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rPr>
            </w:pPr>
            <w:r w:rsidRPr="001C5672">
              <w:rPr>
                <w:rFonts w:ascii="Arial" w:eastAsia="Arial" w:hAnsi="Arial" w:cs="Arial"/>
                <w:i/>
                <w:iCs/>
                <w:color w:val="000000" w:themeColor="text1"/>
                <w:sz w:val="16"/>
                <w:szCs w:val="16"/>
              </w:rPr>
              <w:t xml:space="preserve"> </w:t>
            </w:r>
            <w:r w:rsidRPr="001C5672">
              <w:rPr>
                <w:rFonts w:ascii="Arial" w:eastAsia="Arial" w:hAnsi="Arial" w:cs="Arial"/>
                <w:color w:val="000000" w:themeColor="text1"/>
                <w:sz w:val="16"/>
                <w:szCs w:val="16"/>
              </w:rPr>
              <w:t xml:space="preserve"> </w:t>
            </w:r>
          </w:p>
          <w:p w14:paraId="26959235" w14:textId="1DBA6C9F" w:rsidR="72E5DE1E" w:rsidRPr="001C5672" w:rsidRDefault="72E5DE1E" w:rsidP="72E5DE1E">
            <w:pPr>
              <w:jc w:val="center"/>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16"/>
                <w:szCs w:val="16"/>
              </w:rPr>
            </w:pPr>
            <w:r w:rsidRPr="001C5672">
              <w:rPr>
                <w:rFonts w:ascii="Arial" w:eastAsia="Verdana" w:hAnsi="Arial" w:cs="Arial"/>
                <w:color w:val="000000" w:themeColor="text1"/>
                <w:sz w:val="16"/>
                <w:szCs w:val="16"/>
              </w:rPr>
              <w:t xml:space="preserve">10 </w:t>
            </w:r>
          </w:p>
        </w:tc>
        <w:tc>
          <w:tcPr>
            <w:tcW w:w="5084" w:type="dxa"/>
            <w:tcBorders>
              <w:top w:val="single" w:sz="8" w:space="0" w:color="95B3D7"/>
              <w:left w:val="single" w:sz="8" w:space="0" w:color="95B3D7"/>
              <w:bottom w:val="single" w:sz="8" w:space="0" w:color="95B3D7"/>
              <w:right w:val="single" w:sz="8" w:space="0" w:color="95B3D7"/>
            </w:tcBorders>
            <w:shd w:val="clear" w:color="auto" w:fill="DBE5F1"/>
            <w:vAlign w:val="center"/>
          </w:tcPr>
          <w:p w14:paraId="56F4B559" w14:textId="1DBA6C9F" w:rsidR="72E5DE1E" w:rsidRPr="001C5672" w:rsidRDefault="72E5DE1E" w:rsidP="029AE0F1">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5672">
              <w:rPr>
                <w:rFonts w:ascii="Arial" w:hAnsi="Arial" w:cs="Arial"/>
                <w:color w:val="000000" w:themeColor="text1"/>
                <w:sz w:val="16"/>
                <w:szCs w:val="16"/>
              </w:rPr>
              <w:t xml:space="preserve">Santa Rosalía (Vichada) </w:t>
            </w:r>
          </w:p>
          <w:p w14:paraId="387C38E2" w14:textId="1DBA6C9F" w:rsidR="72E5DE1E" w:rsidRPr="001C5672" w:rsidRDefault="72E5DE1E" w:rsidP="029AE0F1">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5672">
              <w:rPr>
                <w:rFonts w:ascii="Arial" w:hAnsi="Arial" w:cs="Arial"/>
                <w:color w:val="000000" w:themeColor="text1"/>
                <w:sz w:val="16"/>
                <w:szCs w:val="16"/>
              </w:rPr>
              <w:t xml:space="preserve">Arauquita (Arauca) </w:t>
            </w:r>
          </w:p>
          <w:p w14:paraId="29BD88F0" w14:textId="1DBA6C9F" w:rsidR="72E5DE1E" w:rsidRPr="001C5672" w:rsidRDefault="72E5DE1E" w:rsidP="029AE0F1">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5672">
              <w:rPr>
                <w:rFonts w:ascii="Arial" w:hAnsi="Arial" w:cs="Arial"/>
                <w:color w:val="000000" w:themeColor="text1"/>
                <w:sz w:val="16"/>
                <w:szCs w:val="16"/>
              </w:rPr>
              <w:t xml:space="preserve">Arauquita (Arauca) – Selvas de </w:t>
            </w:r>
            <w:proofErr w:type="gramStart"/>
            <w:r w:rsidRPr="001C5672">
              <w:rPr>
                <w:rFonts w:ascii="Arial" w:hAnsi="Arial" w:cs="Arial"/>
                <w:color w:val="000000" w:themeColor="text1"/>
                <w:sz w:val="16"/>
                <w:szCs w:val="16"/>
              </w:rPr>
              <w:t>Lipa</w:t>
            </w:r>
            <w:proofErr w:type="gramEnd"/>
            <w:r w:rsidRPr="001C5672">
              <w:rPr>
                <w:rFonts w:ascii="Arial" w:hAnsi="Arial" w:cs="Arial"/>
                <w:color w:val="000000" w:themeColor="text1"/>
                <w:sz w:val="16"/>
                <w:szCs w:val="16"/>
              </w:rPr>
              <w:t xml:space="preserve">. </w:t>
            </w:r>
          </w:p>
          <w:p w14:paraId="175317FF" w14:textId="1DBA6C9F" w:rsidR="72E5DE1E" w:rsidRPr="001C5672" w:rsidRDefault="72E5DE1E" w:rsidP="029AE0F1">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5672">
              <w:rPr>
                <w:rFonts w:ascii="Arial" w:hAnsi="Arial" w:cs="Arial"/>
                <w:color w:val="000000" w:themeColor="text1"/>
                <w:sz w:val="16"/>
                <w:szCs w:val="16"/>
              </w:rPr>
              <w:t xml:space="preserve">Suan (Atlántico) </w:t>
            </w:r>
          </w:p>
          <w:p w14:paraId="695898D9" w14:textId="1DBA6C9F" w:rsidR="72E5DE1E" w:rsidRPr="001C5672" w:rsidRDefault="72E5DE1E" w:rsidP="029AE0F1">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5672">
              <w:rPr>
                <w:rFonts w:ascii="Arial" w:hAnsi="Arial" w:cs="Arial"/>
                <w:color w:val="000000" w:themeColor="text1"/>
                <w:sz w:val="16"/>
                <w:szCs w:val="16"/>
              </w:rPr>
              <w:t xml:space="preserve">Aracataca (Magdalena) </w:t>
            </w:r>
          </w:p>
          <w:p w14:paraId="0A11830F" w14:textId="1DBA6C9F" w:rsidR="72E5DE1E" w:rsidRPr="001C5672" w:rsidRDefault="72E5DE1E" w:rsidP="029AE0F1">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5672">
              <w:rPr>
                <w:rFonts w:ascii="Arial" w:hAnsi="Arial" w:cs="Arial"/>
                <w:color w:val="000000" w:themeColor="text1"/>
                <w:sz w:val="16"/>
                <w:szCs w:val="16"/>
              </w:rPr>
              <w:t xml:space="preserve">Sardinata (Norte de Santander) </w:t>
            </w:r>
          </w:p>
          <w:p w14:paraId="149ADC53" w14:textId="1DBA6C9F" w:rsidR="72E5DE1E" w:rsidRPr="001C5672" w:rsidRDefault="72E5DE1E" w:rsidP="029AE0F1">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5672">
              <w:rPr>
                <w:rFonts w:ascii="Arial" w:hAnsi="Arial" w:cs="Arial"/>
                <w:color w:val="000000" w:themeColor="text1"/>
                <w:sz w:val="16"/>
                <w:szCs w:val="16"/>
              </w:rPr>
              <w:t xml:space="preserve">Tibú (Norte De Santander) </w:t>
            </w:r>
          </w:p>
          <w:p w14:paraId="43B32DA2" w14:textId="1DBA6C9F" w:rsidR="72E5DE1E" w:rsidRPr="001C5672" w:rsidRDefault="72E5DE1E" w:rsidP="029AE0F1">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5672">
              <w:rPr>
                <w:rFonts w:ascii="Arial" w:hAnsi="Arial" w:cs="Arial"/>
                <w:color w:val="000000" w:themeColor="text1"/>
                <w:sz w:val="16"/>
                <w:szCs w:val="16"/>
              </w:rPr>
              <w:t xml:space="preserve">Colombia (Huila) </w:t>
            </w:r>
          </w:p>
          <w:p w14:paraId="4FD6106E" w14:textId="1DBA6C9F" w:rsidR="72E5DE1E" w:rsidRPr="001C5672" w:rsidRDefault="72E5DE1E" w:rsidP="029AE0F1">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5672">
              <w:rPr>
                <w:rFonts w:ascii="Arial" w:hAnsi="Arial" w:cs="Arial"/>
                <w:color w:val="000000" w:themeColor="text1"/>
                <w:sz w:val="16"/>
                <w:szCs w:val="16"/>
              </w:rPr>
              <w:t xml:space="preserve">Tumaco (Nariño) </w:t>
            </w:r>
          </w:p>
          <w:p w14:paraId="12169677" w14:textId="1DBA6C9F" w:rsidR="72E5DE1E" w:rsidRPr="001C5672" w:rsidRDefault="72E5DE1E" w:rsidP="029AE0F1">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5672">
              <w:rPr>
                <w:rFonts w:ascii="Arial" w:hAnsi="Arial" w:cs="Arial"/>
                <w:color w:val="000000" w:themeColor="text1"/>
                <w:sz w:val="16"/>
                <w:szCs w:val="16"/>
              </w:rPr>
              <w:t xml:space="preserve">Zambrano (Bolívar) </w:t>
            </w:r>
          </w:p>
        </w:tc>
      </w:tr>
      <w:tr w:rsidR="72E5DE1E" w:rsidRPr="00B710A9" w14:paraId="2E8ED7A5" w14:textId="77777777" w:rsidTr="00024431">
        <w:trPr>
          <w:trHeight w:val="3525"/>
          <w:jc w:val="center"/>
        </w:trPr>
        <w:tc>
          <w:tcPr>
            <w:cnfStyle w:val="001000000000" w:firstRow="0" w:lastRow="0" w:firstColumn="1" w:lastColumn="0" w:oddVBand="0" w:evenVBand="0" w:oddHBand="0" w:evenHBand="0" w:firstRowFirstColumn="0" w:firstRowLastColumn="0" w:lastRowFirstColumn="0" w:lastRowLastColumn="0"/>
            <w:tcW w:w="1485" w:type="dxa"/>
            <w:tcBorders>
              <w:top w:val="single" w:sz="8" w:space="0" w:color="95B3D7"/>
              <w:left w:val="single" w:sz="8" w:space="0" w:color="95B3D7"/>
              <w:bottom w:val="single" w:sz="8" w:space="0" w:color="95B3D7"/>
              <w:right w:val="single" w:sz="8" w:space="0" w:color="95B3D7"/>
            </w:tcBorders>
            <w:vAlign w:val="center"/>
          </w:tcPr>
          <w:p w14:paraId="22BF58E5" w14:textId="1DBA6C9F" w:rsidR="72E5DE1E" w:rsidRPr="001C5672" w:rsidRDefault="72E5DE1E" w:rsidP="72E5DE1E">
            <w:pPr>
              <w:jc w:val="center"/>
              <w:rPr>
                <w:rFonts w:ascii="Arial" w:eastAsia="Verdana" w:hAnsi="Arial" w:cs="Arial"/>
                <w:sz w:val="16"/>
                <w:szCs w:val="16"/>
              </w:rPr>
            </w:pPr>
            <w:r w:rsidRPr="001C5672">
              <w:rPr>
                <w:rFonts w:ascii="Arial" w:eastAsia="Verdana" w:hAnsi="Arial" w:cs="Arial"/>
                <w:sz w:val="16"/>
                <w:szCs w:val="16"/>
              </w:rPr>
              <w:t xml:space="preserve">2022 </w:t>
            </w:r>
          </w:p>
          <w:p w14:paraId="794CC4BE" w14:textId="1DBA6C9F" w:rsidR="72E5DE1E" w:rsidRPr="001C5672" w:rsidRDefault="72E5DE1E" w:rsidP="72E5DE1E">
            <w:pPr>
              <w:jc w:val="center"/>
              <w:rPr>
                <w:rFonts w:ascii="Arial" w:eastAsia="Calibri" w:hAnsi="Arial" w:cs="Arial"/>
                <w:color w:val="000000" w:themeColor="text1"/>
                <w:sz w:val="16"/>
                <w:szCs w:val="16"/>
              </w:rPr>
            </w:pPr>
            <w:r w:rsidRPr="001C5672">
              <w:rPr>
                <w:rFonts w:ascii="Arial" w:eastAsia="Calibri" w:hAnsi="Arial" w:cs="Arial"/>
                <w:color w:val="000000" w:themeColor="text1"/>
                <w:sz w:val="16"/>
                <w:szCs w:val="16"/>
              </w:rPr>
              <w:t xml:space="preserve"> (corte 30 de junio) </w:t>
            </w:r>
          </w:p>
          <w:p w14:paraId="3BB65A69" w14:textId="1DBA6C9F" w:rsidR="72E5DE1E" w:rsidRPr="001C5672" w:rsidRDefault="72E5DE1E" w:rsidP="72E5DE1E">
            <w:pPr>
              <w:jc w:val="center"/>
              <w:rPr>
                <w:rFonts w:ascii="Arial" w:eastAsia="Arial" w:hAnsi="Arial" w:cs="Arial"/>
                <w:sz w:val="16"/>
                <w:szCs w:val="16"/>
              </w:rPr>
            </w:pPr>
            <w:r w:rsidRPr="001C5672">
              <w:rPr>
                <w:rFonts w:ascii="Arial" w:eastAsia="Arial" w:hAnsi="Arial" w:cs="Arial"/>
                <w:sz w:val="16"/>
                <w:szCs w:val="16"/>
              </w:rPr>
              <w:t xml:space="preserve"> </w:t>
            </w:r>
          </w:p>
        </w:tc>
        <w:tc>
          <w:tcPr>
            <w:tcW w:w="1785" w:type="dxa"/>
            <w:tcBorders>
              <w:top w:val="single" w:sz="8" w:space="0" w:color="95B3D7"/>
              <w:left w:val="single" w:sz="8" w:space="0" w:color="95B3D7"/>
              <w:bottom w:val="single" w:sz="8" w:space="0" w:color="95B3D7"/>
              <w:right w:val="single" w:sz="8" w:space="0" w:color="95B3D7"/>
            </w:tcBorders>
            <w:vAlign w:val="center"/>
          </w:tcPr>
          <w:p w14:paraId="7B6DB9BA" w14:textId="1DBA6C9F" w:rsidR="72E5DE1E" w:rsidRPr="001C5672" w:rsidRDefault="72E5DE1E" w:rsidP="72E5DE1E">
            <w:pPr>
              <w:jc w:val="center"/>
              <w:cnfStyle w:val="000000000000" w:firstRow="0" w:lastRow="0" w:firstColumn="0" w:lastColumn="0" w:oddVBand="0" w:evenVBand="0" w:oddHBand="0" w:evenHBand="0" w:firstRowFirstColumn="0" w:firstRowLastColumn="0" w:lastRowFirstColumn="0" w:lastRowLastColumn="0"/>
              <w:rPr>
                <w:rFonts w:ascii="Arial" w:eastAsia="Verdana" w:hAnsi="Arial" w:cs="Arial"/>
                <w:sz w:val="16"/>
                <w:szCs w:val="16"/>
              </w:rPr>
            </w:pPr>
            <w:r w:rsidRPr="001C5672">
              <w:rPr>
                <w:rFonts w:ascii="Arial" w:eastAsia="Verdana" w:hAnsi="Arial" w:cs="Arial"/>
                <w:sz w:val="16"/>
                <w:szCs w:val="16"/>
              </w:rPr>
              <w:t xml:space="preserve">  </w:t>
            </w:r>
          </w:p>
          <w:p w14:paraId="3F2A7FE5" w14:textId="1DBA6C9F" w:rsidR="72E5DE1E" w:rsidRPr="001C5672" w:rsidRDefault="72E5DE1E" w:rsidP="72E5DE1E">
            <w:pPr>
              <w:jc w:val="center"/>
              <w:cnfStyle w:val="000000000000" w:firstRow="0" w:lastRow="0" w:firstColumn="0" w:lastColumn="0" w:oddVBand="0" w:evenVBand="0" w:oddHBand="0" w:evenHBand="0" w:firstRowFirstColumn="0" w:firstRowLastColumn="0" w:lastRowFirstColumn="0" w:lastRowLastColumn="0"/>
              <w:rPr>
                <w:rFonts w:ascii="Arial" w:eastAsia="Verdana" w:hAnsi="Arial" w:cs="Arial"/>
                <w:sz w:val="16"/>
                <w:szCs w:val="16"/>
              </w:rPr>
            </w:pPr>
            <w:r w:rsidRPr="001C5672">
              <w:rPr>
                <w:rFonts w:ascii="Arial" w:eastAsia="Verdana" w:hAnsi="Arial" w:cs="Arial"/>
                <w:sz w:val="16"/>
                <w:szCs w:val="16"/>
              </w:rPr>
              <w:t xml:space="preserve">20 </w:t>
            </w:r>
          </w:p>
        </w:tc>
        <w:tc>
          <w:tcPr>
            <w:tcW w:w="5084" w:type="dxa"/>
            <w:tcBorders>
              <w:top w:val="single" w:sz="8" w:space="0" w:color="95B3D7"/>
              <w:left w:val="single" w:sz="8" w:space="0" w:color="95B3D7"/>
              <w:bottom w:val="single" w:sz="8" w:space="0" w:color="95B3D7"/>
              <w:right w:val="single" w:sz="8" w:space="0" w:color="95B3D7"/>
            </w:tcBorders>
            <w:vAlign w:val="center"/>
          </w:tcPr>
          <w:p w14:paraId="1FCFEB27" w14:textId="1DBA6C9F"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5672">
              <w:rPr>
                <w:rFonts w:ascii="Arial" w:hAnsi="Arial" w:cs="Arial"/>
                <w:sz w:val="16"/>
                <w:szCs w:val="16"/>
              </w:rPr>
              <w:t>Pinillos (Bolívar)</w:t>
            </w:r>
          </w:p>
          <w:p w14:paraId="4FD06F43" w14:textId="1DBA6C9F"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5672">
              <w:rPr>
                <w:rFonts w:ascii="Arial" w:hAnsi="Arial" w:cs="Arial"/>
                <w:sz w:val="16"/>
                <w:szCs w:val="16"/>
              </w:rPr>
              <w:t>Curumaní (Cesar)</w:t>
            </w:r>
          </w:p>
          <w:p w14:paraId="727BA4DA" w14:textId="1DBA6C9F"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5672">
              <w:rPr>
                <w:rFonts w:ascii="Arial" w:hAnsi="Arial" w:cs="Arial"/>
                <w:sz w:val="16"/>
                <w:szCs w:val="16"/>
              </w:rPr>
              <w:t>Patía (Cauca)</w:t>
            </w:r>
          </w:p>
          <w:p w14:paraId="55C60000" w14:textId="1DBA6C9F"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5672">
              <w:rPr>
                <w:rFonts w:ascii="Arial" w:hAnsi="Arial" w:cs="Arial"/>
                <w:sz w:val="16"/>
                <w:szCs w:val="16"/>
              </w:rPr>
              <w:t xml:space="preserve">Argelia (Cauca) </w:t>
            </w:r>
          </w:p>
          <w:p w14:paraId="7AA7AC4D" w14:textId="1DBA6C9F"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1C5672">
              <w:rPr>
                <w:rFonts w:ascii="Arial" w:hAnsi="Arial" w:cs="Arial"/>
                <w:sz w:val="16"/>
                <w:szCs w:val="16"/>
              </w:rPr>
              <w:t>Norosí</w:t>
            </w:r>
            <w:proofErr w:type="spellEnd"/>
            <w:r w:rsidRPr="001C5672">
              <w:rPr>
                <w:rFonts w:ascii="Arial" w:hAnsi="Arial" w:cs="Arial"/>
                <w:sz w:val="16"/>
                <w:szCs w:val="16"/>
              </w:rPr>
              <w:t xml:space="preserve"> (Bolívar) </w:t>
            </w:r>
          </w:p>
          <w:p w14:paraId="50F2D4B0" w14:textId="1DBA6C9F"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5672">
              <w:rPr>
                <w:rFonts w:ascii="Arial" w:hAnsi="Arial" w:cs="Arial"/>
                <w:sz w:val="16"/>
                <w:szCs w:val="16"/>
              </w:rPr>
              <w:t xml:space="preserve">Santa Rosa (Cauca) </w:t>
            </w:r>
          </w:p>
          <w:p w14:paraId="33047D3E" w14:textId="1DBA6C9F"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5672">
              <w:rPr>
                <w:rFonts w:ascii="Arial" w:hAnsi="Arial" w:cs="Arial"/>
                <w:sz w:val="16"/>
                <w:szCs w:val="16"/>
              </w:rPr>
              <w:t xml:space="preserve">Cumbitara (Nariño) </w:t>
            </w:r>
          </w:p>
          <w:p w14:paraId="0D911A06" w14:textId="1DBA6C9F"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1C5672">
              <w:rPr>
                <w:rFonts w:ascii="Arial" w:hAnsi="Arial" w:cs="Arial"/>
                <w:sz w:val="16"/>
                <w:szCs w:val="16"/>
              </w:rPr>
              <w:t>Magüi</w:t>
            </w:r>
            <w:proofErr w:type="spellEnd"/>
            <w:r w:rsidRPr="001C5672">
              <w:rPr>
                <w:rFonts w:ascii="Arial" w:hAnsi="Arial" w:cs="Arial"/>
                <w:sz w:val="16"/>
                <w:szCs w:val="16"/>
              </w:rPr>
              <w:t xml:space="preserve"> (Nariño) </w:t>
            </w:r>
          </w:p>
          <w:p w14:paraId="6B1A8256" w14:textId="1DBA6C9F"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5672">
              <w:rPr>
                <w:rFonts w:ascii="Arial" w:hAnsi="Arial" w:cs="Arial"/>
                <w:sz w:val="16"/>
                <w:szCs w:val="16"/>
              </w:rPr>
              <w:t xml:space="preserve"> Agustín Codazzi (César) </w:t>
            </w:r>
          </w:p>
          <w:p w14:paraId="3DCCB42B" w14:textId="08C8EA2C"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5672">
              <w:rPr>
                <w:rFonts w:ascii="Arial" w:hAnsi="Arial" w:cs="Arial"/>
                <w:sz w:val="16"/>
                <w:szCs w:val="16"/>
              </w:rPr>
              <w:t xml:space="preserve"> Majagual (Sucre) </w:t>
            </w:r>
          </w:p>
          <w:p w14:paraId="4BC43DA8" w14:textId="08C8EA2C"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5672">
              <w:rPr>
                <w:rFonts w:ascii="Arial" w:hAnsi="Arial" w:cs="Arial"/>
                <w:sz w:val="16"/>
                <w:szCs w:val="16"/>
              </w:rPr>
              <w:t xml:space="preserve"> Trinidad (Casanare) </w:t>
            </w:r>
          </w:p>
          <w:p w14:paraId="3612F642" w14:textId="08C8EA2C"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5672">
              <w:rPr>
                <w:rFonts w:ascii="Arial" w:hAnsi="Arial" w:cs="Arial"/>
                <w:sz w:val="16"/>
                <w:szCs w:val="16"/>
              </w:rPr>
              <w:t xml:space="preserve">Santa Rosa del Sur (Bolívar) </w:t>
            </w:r>
          </w:p>
          <w:p w14:paraId="74319A05" w14:textId="08C8EA2C"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5672">
              <w:rPr>
                <w:rFonts w:ascii="Arial" w:hAnsi="Arial" w:cs="Arial"/>
                <w:sz w:val="16"/>
                <w:szCs w:val="16"/>
              </w:rPr>
              <w:t xml:space="preserve">Primavera (Vichada) </w:t>
            </w:r>
          </w:p>
          <w:p w14:paraId="45BC39D6" w14:textId="08C8EA2C"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5672">
              <w:rPr>
                <w:rFonts w:ascii="Arial" w:hAnsi="Arial" w:cs="Arial"/>
                <w:sz w:val="16"/>
                <w:szCs w:val="16"/>
              </w:rPr>
              <w:t xml:space="preserve">Topaipí (Cundinamarca) </w:t>
            </w:r>
          </w:p>
          <w:p w14:paraId="10C35391" w14:textId="08C8EA2C"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5672">
              <w:rPr>
                <w:rFonts w:ascii="Arial" w:hAnsi="Arial" w:cs="Arial"/>
                <w:sz w:val="16"/>
                <w:szCs w:val="16"/>
              </w:rPr>
              <w:t xml:space="preserve">Colón (Putumayo </w:t>
            </w:r>
          </w:p>
          <w:p w14:paraId="159D541D" w14:textId="08C8EA2C"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5672">
              <w:rPr>
                <w:rFonts w:ascii="Arial" w:hAnsi="Arial" w:cs="Arial"/>
                <w:sz w:val="16"/>
                <w:szCs w:val="16"/>
              </w:rPr>
              <w:t xml:space="preserve">Orito (Putumayo) </w:t>
            </w:r>
          </w:p>
          <w:p w14:paraId="0D6E2D6A" w14:textId="08C8EA2C"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5672">
              <w:rPr>
                <w:rFonts w:ascii="Arial" w:hAnsi="Arial" w:cs="Arial"/>
                <w:sz w:val="16"/>
                <w:szCs w:val="16"/>
              </w:rPr>
              <w:t xml:space="preserve">Puerto Guzmán (Putumayo) </w:t>
            </w:r>
          </w:p>
          <w:p w14:paraId="7B20971A" w14:textId="08C8EA2C"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5672">
              <w:rPr>
                <w:rFonts w:ascii="Arial" w:hAnsi="Arial" w:cs="Arial"/>
                <w:sz w:val="16"/>
                <w:szCs w:val="16"/>
              </w:rPr>
              <w:t xml:space="preserve">San Luis Cubarral (Meta) </w:t>
            </w:r>
          </w:p>
          <w:p w14:paraId="56A3CA11" w14:textId="08C8EA2C"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8080"/>
                <w:sz w:val="16"/>
                <w:szCs w:val="16"/>
              </w:rPr>
            </w:pPr>
            <w:r w:rsidRPr="001C5672">
              <w:rPr>
                <w:rFonts w:ascii="Arial" w:hAnsi="Arial" w:cs="Arial"/>
                <w:sz w:val="16"/>
                <w:szCs w:val="16"/>
              </w:rPr>
              <w:t>Puerto Gaitán (Meta)</w:t>
            </w:r>
            <w:r w:rsidRPr="001C5672">
              <w:rPr>
                <w:rFonts w:ascii="Arial" w:hAnsi="Arial" w:cs="Arial"/>
                <w:color w:val="008080"/>
                <w:sz w:val="16"/>
                <w:szCs w:val="16"/>
              </w:rPr>
              <w:t xml:space="preserve"> </w:t>
            </w:r>
          </w:p>
          <w:p w14:paraId="3EEA18BA" w14:textId="08C8EA2C" w:rsidR="72E5DE1E" w:rsidRPr="001C5672" w:rsidRDefault="72E5DE1E" w:rsidP="029AE0F1">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
              </w:rPr>
            </w:pPr>
            <w:r w:rsidRPr="001C5672">
              <w:rPr>
                <w:rFonts w:ascii="Arial" w:hAnsi="Arial" w:cs="Arial"/>
                <w:color w:val="000000" w:themeColor="text1"/>
                <w:sz w:val="16"/>
                <w:szCs w:val="16"/>
                <w:lang w:val="es"/>
              </w:rPr>
              <w:t>Garzón (Huila)</w:t>
            </w:r>
          </w:p>
        </w:tc>
      </w:tr>
    </w:tbl>
    <w:p w14:paraId="4C7657A9" w14:textId="00E1932A" w:rsidR="6CD0FC45" w:rsidRPr="00024431" w:rsidRDefault="72E5DE1E" w:rsidP="75B02D90">
      <w:pPr>
        <w:jc w:val="both"/>
        <w:rPr>
          <w:rFonts w:ascii="Arial" w:eastAsia="Arial" w:hAnsi="Arial" w:cs="Arial"/>
          <w:sz w:val="14"/>
          <w:szCs w:val="14"/>
          <w:lang w:val="es"/>
        </w:rPr>
      </w:pPr>
      <w:r w:rsidRPr="00B710A9">
        <w:rPr>
          <w:rFonts w:ascii="Arial" w:eastAsia="Arial" w:hAnsi="Arial" w:cs="Arial"/>
          <w:sz w:val="14"/>
          <w:szCs w:val="14"/>
          <w:lang w:val="es"/>
        </w:rPr>
        <w:t>*Cabe mencionar que cada estación geodésica tiene un cubrimiento de 35 km de radio.</w:t>
      </w:r>
    </w:p>
    <w:p w14:paraId="6BCABBD5" w14:textId="08C8EA2C" w:rsidR="6CD0FC45" w:rsidRPr="00B710A9" w:rsidRDefault="72E5DE1E" w:rsidP="75B02D90">
      <w:pPr>
        <w:jc w:val="center"/>
        <w:rPr>
          <w:rFonts w:ascii="Arial" w:eastAsia="Arial" w:hAnsi="Arial" w:cs="Arial"/>
          <w:b/>
          <w:bCs/>
          <w:sz w:val="16"/>
          <w:szCs w:val="16"/>
          <w:lang w:val="es"/>
        </w:rPr>
      </w:pPr>
      <w:r w:rsidRPr="00B710A9">
        <w:rPr>
          <w:rFonts w:ascii="Arial" w:eastAsia="Arial" w:hAnsi="Arial" w:cs="Arial"/>
          <w:b/>
          <w:bCs/>
          <w:sz w:val="16"/>
          <w:szCs w:val="16"/>
          <w:lang w:val="es"/>
        </w:rPr>
        <w:t>Fuente: IGAC. Dirección de Gestión de la Información Geográfica</w:t>
      </w:r>
    </w:p>
    <w:p w14:paraId="442AA2C1" w14:textId="46DE7066" w:rsidR="6CD0FC45" w:rsidRPr="00B710A9" w:rsidRDefault="6CD0FC45" w:rsidP="75B02D90">
      <w:pPr>
        <w:jc w:val="both"/>
        <w:rPr>
          <w:rFonts w:ascii="Arial" w:eastAsia="Arial" w:hAnsi="Arial" w:cs="Arial"/>
          <w:b/>
          <w:bCs/>
          <w:sz w:val="22"/>
          <w:szCs w:val="22"/>
          <w:lang w:val="es"/>
        </w:rPr>
      </w:pPr>
    </w:p>
    <w:p w14:paraId="476A28B6" w14:textId="08C8EA2C" w:rsidR="6CD0FC45" w:rsidRPr="00B710A9" w:rsidRDefault="78D610F0" w:rsidP="75B02D90">
      <w:pPr>
        <w:jc w:val="both"/>
        <w:rPr>
          <w:rFonts w:ascii="Arial" w:eastAsia="Arial" w:hAnsi="Arial" w:cs="Arial"/>
          <w:b/>
          <w:color w:val="000000" w:themeColor="text1"/>
          <w:sz w:val="22"/>
          <w:szCs w:val="22"/>
          <w:u w:val="single"/>
          <w:lang w:val="es"/>
        </w:rPr>
      </w:pPr>
      <w:r w:rsidRPr="00B710A9">
        <w:rPr>
          <w:rFonts w:ascii="Arial" w:eastAsia="Arial" w:hAnsi="Arial" w:cs="Arial"/>
          <w:b/>
          <w:color w:val="000000" w:themeColor="text1"/>
          <w:sz w:val="22"/>
          <w:szCs w:val="22"/>
          <w:u w:val="single"/>
          <w:lang w:val="es"/>
        </w:rPr>
        <w:lastRenderedPageBreak/>
        <w:t>Nuevos vértices geodésicos en la Red (pasiva)</w:t>
      </w:r>
    </w:p>
    <w:p w14:paraId="3124FC0B" w14:textId="08C8EA2C" w:rsidR="65D2D5B0" w:rsidRPr="00B710A9" w:rsidRDefault="31B8688D" w:rsidP="65D2D5B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En cuanto a la densificación de la red pasiva, se han materializado, rastreado y calculado trescientos ochenta y ocho (388) puntos de orden dos en adelante, alcanzando un total de 9001 vértices geodésicos que apoyarán los levantamientos topográficos y prediales, así como demás proyectos orientados a fortalecer la red de control vertical y gravimétrica del país en noventa y cinco (95) municipios. </w:t>
      </w:r>
    </w:p>
    <w:p w14:paraId="2D015EBE" w14:textId="77777777" w:rsidR="009E2397" w:rsidRPr="00B710A9" w:rsidRDefault="009E2397" w:rsidP="65D2D5B0">
      <w:pPr>
        <w:spacing w:after="0" w:line="240" w:lineRule="auto"/>
        <w:jc w:val="both"/>
        <w:rPr>
          <w:rFonts w:ascii="Arial" w:eastAsia="Arial" w:hAnsi="Arial" w:cs="Arial"/>
          <w:sz w:val="22"/>
          <w:szCs w:val="22"/>
          <w:lang w:val="es"/>
        </w:rPr>
      </w:pPr>
    </w:p>
    <w:p w14:paraId="29CFC2B4" w14:textId="18F5E93C" w:rsidR="65D2D5B0" w:rsidRPr="00B710A9" w:rsidRDefault="31B8688D" w:rsidP="65D2D5B0">
      <w:pPr>
        <w:spacing w:after="0" w:line="240" w:lineRule="auto"/>
        <w:jc w:val="both"/>
        <w:rPr>
          <w:rFonts w:ascii="Arial" w:eastAsia="Arial" w:hAnsi="Arial" w:cs="Arial"/>
        </w:rPr>
      </w:pPr>
      <w:r w:rsidRPr="00B710A9">
        <w:rPr>
          <w:rFonts w:ascii="Arial" w:eastAsia="Arial" w:hAnsi="Arial" w:cs="Arial"/>
          <w:sz w:val="22"/>
          <w:szCs w:val="22"/>
          <w:lang w:val="es"/>
        </w:rPr>
        <w:t xml:space="preserve">Esta información se encuentra disponible en la plataforma “Colombia en Mapas” para el acceso y uso por parte de los diferentes interesados: </w:t>
      </w:r>
      <w:hyperlink r:id="rId16">
        <w:r w:rsidRPr="00B710A9">
          <w:rPr>
            <w:rStyle w:val="Hipervnculo"/>
            <w:rFonts w:ascii="Arial" w:eastAsia="Arial" w:hAnsi="Arial" w:cs="Arial"/>
            <w:sz w:val="20"/>
            <w:szCs w:val="20"/>
            <w:lang w:val="es"/>
          </w:rPr>
          <w:t>https://bit.ly/36Vfvp7</w:t>
        </w:r>
      </w:hyperlink>
    </w:p>
    <w:p w14:paraId="35E0623A" w14:textId="52D11E01" w:rsidR="78D610F0" w:rsidRPr="00B710A9" w:rsidRDefault="78D610F0" w:rsidP="78D610F0">
      <w:pPr>
        <w:spacing w:after="0" w:line="240" w:lineRule="auto"/>
        <w:jc w:val="both"/>
        <w:rPr>
          <w:rFonts w:ascii="Arial" w:eastAsia="Arial" w:hAnsi="Arial" w:cs="Arial"/>
          <w:color w:val="000000" w:themeColor="text1"/>
        </w:rPr>
      </w:pPr>
    </w:p>
    <w:p w14:paraId="22E1F875" w14:textId="08C8EA2C" w:rsidR="31B8688D" w:rsidRPr="00B710A9" w:rsidRDefault="32B61144" w:rsidP="31B8688D">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Adicionalmente, a 30 de junio de 2022, se han actualizado coordenadas de sesenta y cuatro (64) vértices geodésicos en los municipios de Puerto Rondón (2), Repelón, San Juan Nepomuceno, Mahates (2), San Jacinto, Zambrano (2), Villanueva, San José del Fragua, el Paujil, Valparaíso, Montañita, el Doncello, Albania, Piamonte (2), </w:t>
      </w:r>
      <w:proofErr w:type="spellStart"/>
      <w:r w:rsidRPr="00B710A9">
        <w:rPr>
          <w:rFonts w:ascii="Arial" w:eastAsia="Arial" w:hAnsi="Arial" w:cs="Arial"/>
          <w:color w:val="000000" w:themeColor="text1"/>
          <w:sz w:val="22"/>
          <w:szCs w:val="22"/>
          <w:lang w:val="es"/>
        </w:rPr>
        <w:t>Inzá</w:t>
      </w:r>
      <w:proofErr w:type="spellEnd"/>
      <w:r w:rsidRPr="00B710A9">
        <w:rPr>
          <w:rFonts w:ascii="Arial" w:eastAsia="Arial" w:hAnsi="Arial" w:cs="Arial"/>
          <w:color w:val="000000" w:themeColor="text1"/>
          <w:sz w:val="22"/>
          <w:szCs w:val="22"/>
          <w:lang w:val="es"/>
        </w:rPr>
        <w:t xml:space="preserve">, Astrea (2), Puerto López, Barranca de </w:t>
      </w:r>
      <w:proofErr w:type="spellStart"/>
      <w:r w:rsidRPr="00B710A9">
        <w:rPr>
          <w:rFonts w:ascii="Arial" w:eastAsia="Arial" w:hAnsi="Arial" w:cs="Arial"/>
          <w:color w:val="000000" w:themeColor="text1"/>
          <w:sz w:val="22"/>
          <w:szCs w:val="22"/>
          <w:lang w:val="es"/>
        </w:rPr>
        <w:t>Upía</w:t>
      </w:r>
      <w:proofErr w:type="spellEnd"/>
      <w:r w:rsidRPr="00B710A9">
        <w:rPr>
          <w:rFonts w:ascii="Arial" w:eastAsia="Arial" w:hAnsi="Arial" w:cs="Arial"/>
          <w:color w:val="000000" w:themeColor="text1"/>
          <w:sz w:val="22"/>
          <w:szCs w:val="22"/>
          <w:lang w:val="es"/>
        </w:rPr>
        <w:t xml:space="preserve"> (2), Puerto Gaitán, </w:t>
      </w:r>
      <w:proofErr w:type="spellStart"/>
      <w:r w:rsidRPr="00B710A9">
        <w:rPr>
          <w:rFonts w:ascii="Arial" w:eastAsia="Arial" w:hAnsi="Arial" w:cs="Arial"/>
          <w:color w:val="000000" w:themeColor="text1"/>
          <w:sz w:val="22"/>
          <w:szCs w:val="22"/>
          <w:lang w:val="es"/>
        </w:rPr>
        <w:t>Tutal</w:t>
      </w:r>
      <w:proofErr w:type="spellEnd"/>
      <w:r w:rsidRPr="00B710A9">
        <w:rPr>
          <w:rFonts w:ascii="Arial" w:eastAsia="Arial" w:hAnsi="Arial" w:cs="Arial"/>
          <w:color w:val="000000" w:themeColor="text1"/>
          <w:sz w:val="22"/>
          <w:szCs w:val="22"/>
          <w:lang w:val="es"/>
        </w:rPr>
        <w:t xml:space="preserve"> (1), Paipa (1), Planeta Rica (2), Neiva (1) y Colombia (1), permitiendo obtener mayor precisión sobre nuestra información.</w:t>
      </w:r>
    </w:p>
    <w:p w14:paraId="205F7257" w14:textId="52D11E01" w:rsidR="31B8688D" w:rsidRPr="00B710A9" w:rsidRDefault="31B8688D" w:rsidP="31B8688D">
      <w:pPr>
        <w:spacing w:after="0" w:line="240" w:lineRule="auto"/>
        <w:jc w:val="both"/>
        <w:rPr>
          <w:rFonts w:ascii="Arial" w:eastAsia="Arial" w:hAnsi="Arial" w:cs="Arial"/>
          <w:color w:val="000000" w:themeColor="text1"/>
        </w:rPr>
      </w:pPr>
    </w:p>
    <w:p w14:paraId="67ED8BAA" w14:textId="68D754B9" w:rsidR="32B61144" w:rsidRPr="00024431" w:rsidRDefault="32B61144" w:rsidP="00024431">
      <w:pPr>
        <w:jc w:val="both"/>
        <w:rPr>
          <w:rFonts w:ascii="Arial" w:eastAsia="Arial" w:hAnsi="Arial" w:cs="Arial"/>
          <w:b/>
          <w:color w:val="000000" w:themeColor="text1"/>
          <w:sz w:val="22"/>
          <w:szCs w:val="22"/>
          <w:u w:val="single"/>
          <w:lang w:val="es-MX"/>
        </w:rPr>
      </w:pPr>
      <w:r w:rsidRPr="00B710A9">
        <w:rPr>
          <w:rFonts w:ascii="Arial" w:eastAsia="Arial" w:hAnsi="Arial" w:cs="Arial"/>
          <w:b/>
          <w:color w:val="000000" w:themeColor="text1"/>
          <w:sz w:val="22"/>
          <w:szCs w:val="22"/>
          <w:u w:val="single"/>
          <w:lang w:val="es-MX"/>
        </w:rPr>
        <w:t>Mantenimiento de la red geodésica nacional</w:t>
      </w:r>
    </w:p>
    <w:p w14:paraId="0555E093" w14:textId="08C8EA2C" w:rsidR="32B61144" w:rsidRPr="00B710A9" w:rsidRDefault="33E5AEB0" w:rsidP="32B61144">
      <w:p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Paralelamente, y con el ánimo de mantener operativa la red geodésica del país, desde el IGAC se realiza un seguimiento y monitoreo constante de cada una de las estaciones, debido a que en territorio se presentan diferentes factores (seguridad, biológicos, comunicación, entre otros) que pueden afectar su funcionamiento. Es así como, desde la vigencia 2019 a 2022, se ha logrado la reactivación de sesenta y cinco (65) estaciones continuas.</w:t>
      </w:r>
    </w:p>
    <w:p w14:paraId="11E1B57C" w14:textId="77777777" w:rsidR="009E2397" w:rsidRPr="00B710A9" w:rsidRDefault="009E2397" w:rsidP="32B61144">
      <w:pPr>
        <w:spacing w:after="0" w:line="240" w:lineRule="auto"/>
        <w:jc w:val="both"/>
        <w:rPr>
          <w:rFonts w:ascii="Arial" w:eastAsia="Arial" w:hAnsi="Arial" w:cs="Arial"/>
          <w:sz w:val="22"/>
          <w:szCs w:val="22"/>
          <w:lang w:val="es"/>
        </w:rPr>
      </w:pPr>
    </w:p>
    <w:p w14:paraId="077281E8" w14:textId="289C5E7D" w:rsidR="32B61144" w:rsidRPr="00B710A9" w:rsidRDefault="33E5AEB0" w:rsidP="32B61144">
      <w:p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En este sentido, se ha realizado el mantenimiento correctivo y preventivo de las diferentes estaciones disponibles, logrando una disposición de más de 55.000 archivos RINEX desde el año 2020</w:t>
      </w:r>
      <w:r w:rsidR="00FC3216" w:rsidRPr="00B710A9">
        <w:rPr>
          <w:rFonts w:ascii="Arial" w:eastAsia="Arial" w:hAnsi="Arial" w:cs="Arial"/>
          <w:sz w:val="22"/>
          <w:szCs w:val="22"/>
          <w:lang w:val="es"/>
        </w:rPr>
        <w:t>.</w:t>
      </w:r>
    </w:p>
    <w:p w14:paraId="6E81A366" w14:textId="77777777" w:rsidR="00FC3216" w:rsidRPr="00B710A9" w:rsidRDefault="00FC3216" w:rsidP="32B61144">
      <w:pPr>
        <w:spacing w:after="0" w:line="240" w:lineRule="auto"/>
        <w:jc w:val="both"/>
        <w:rPr>
          <w:rFonts w:ascii="Arial" w:eastAsia="Arial" w:hAnsi="Arial" w:cs="Arial"/>
          <w:sz w:val="22"/>
          <w:szCs w:val="22"/>
          <w:lang w:val="es"/>
        </w:rPr>
      </w:pPr>
    </w:p>
    <w:p w14:paraId="625A0860" w14:textId="08C8EA2C" w:rsidR="31B8688D" w:rsidRPr="00B710A9" w:rsidRDefault="33E5AEB0" w:rsidP="31B8688D">
      <w:p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Durante el primer trimestre del 2022, adicionalmente, se ha realizado mantenimiento remoto a 20 estaciones permanentes de operación continua -CORS: DORA, CART, CALI, LETA, TUMA, SAMA, ABPWS, SNSN, YOPA, CAN0, AGCA, POPA, FQNE, BEJA, MOTE, TUQU, ANDS, VIVI, ZARZ y PULE. Dicho mantenimiento, se ha enfocado en reestablecer protocolos de comunicación principalmente en cambios y bloqueos de IP públicas y reinicio en los receptores de las estaciones.</w:t>
      </w:r>
    </w:p>
    <w:p w14:paraId="313EBA2E" w14:textId="7CD6D503" w:rsidR="78D610F0" w:rsidRPr="00B710A9" w:rsidRDefault="78D610F0" w:rsidP="78D610F0">
      <w:pPr>
        <w:spacing w:after="0" w:line="240" w:lineRule="auto"/>
        <w:jc w:val="both"/>
        <w:rPr>
          <w:rFonts w:ascii="Arial" w:eastAsia="Arial" w:hAnsi="Arial" w:cs="Arial"/>
          <w:color w:val="000000" w:themeColor="text1"/>
        </w:rPr>
      </w:pPr>
    </w:p>
    <w:p w14:paraId="5C5FC21B" w14:textId="27DA2C54" w:rsidR="5CBBC846" w:rsidRPr="00024431" w:rsidRDefault="5CBBC846" w:rsidP="75B02D90">
      <w:pPr>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Así mismo, se realizó la actualización del Plan de Fortalecimiento de la Infraestructura Geodésica Nacional dentro del cual se incluyó la red pasiva del país, así como el Plan Nacional de Geodesia 2021 – 2025.</w:t>
      </w:r>
    </w:p>
    <w:p w14:paraId="04BDDC25" w14:textId="08C8EA2C" w:rsidR="5CBBC846" w:rsidRPr="00B710A9" w:rsidRDefault="5CBBC846" w:rsidP="75B02D90">
      <w:pPr>
        <w:jc w:val="both"/>
        <w:rPr>
          <w:rFonts w:ascii="Arial" w:eastAsia="Arial" w:hAnsi="Arial" w:cs="Arial"/>
          <w:b/>
          <w:color w:val="000000" w:themeColor="text1"/>
          <w:sz w:val="22"/>
          <w:szCs w:val="22"/>
          <w:u w:val="single"/>
          <w:lang w:val="es-MX"/>
        </w:rPr>
      </w:pPr>
      <w:r w:rsidRPr="00B710A9">
        <w:rPr>
          <w:rFonts w:ascii="Arial" w:eastAsia="Arial" w:hAnsi="Arial" w:cs="Arial"/>
          <w:b/>
          <w:color w:val="000000" w:themeColor="text1"/>
          <w:sz w:val="22"/>
          <w:szCs w:val="22"/>
          <w:u w:val="single"/>
          <w:lang w:val="es-MX"/>
        </w:rPr>
        <w:t>Densificación del marco de referencia geomagnético</w:t>
      </w:r>
    </w:p>
    <w:p w14:paraId="629AC4B6" w14:textId="08C8EA2C" w:rsidR="5CBBC846" w:rsidRPr="00B710A9" w:rsidRDefault="508552AC" w:rsidP="5CBBC846">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La obtención de las observaciones de los componentes del campo magnético de la tierra se lleva a cabo, a través de los equipos análogos instalados en el Observatorio Geomagnético Nacional, ubicado en la Isla Santuario de Fúquene, y siguiendo las normas Internacionales establecidas y aprobadas por la </w:t>
      </w:r>
      <w:r w:rsidRPr="00B710A9">
        <w:rPr>
          <w:rFonts w:ascii="Arial" w:eastAsia="Arial" w:hAnsi="Arial" w:cs="Arial"/>
          <w:i/>
          <w:iCs/>
          <w:color w:val="000000" w:themeColor="text1"/>
          <w:sz w:val="22"/>
          <w:szCs w:val="22"/>
          <w:lang w:val="es"/>
        </w:rPr>
        <w:t xml:space="preserve">International </w:t>
      </w:r>
      <w:proofErr w:type="spellStart"/>
      <w:r w:rsidRPr="00B710A9">
        <w:rPr>
          <w:rFonts w:ascii="Arial" w:eastAsia="Arial" w:hAnsi="Arial" w:cs="Arial"/>
          <w:i/>
          <w:iCs/>
          <w:color w:val="000000" w:themeColor="text1"/>
          <w:sz w:val="22"/>
          <w:szCs w:val="22"/>
          <w:lang w:val="es"/>
        </w:rPr>
        <w:t>Association</w:t>
      </w:r>
      <w:proofErr w:type="spellEnd"/>
      <w:r w:rsidRPr="00B710A9">
        <w:rPr>
          <w:rFonts w:ascii="Arial" w:eastAsia="Arial" w:hAnsi="Arial" w:cs="Arial"/>
          <w:i/>
          <w:iCs/>
          <w:color w:val="000000" w:themeColor="text1"/>
          <w:sz w:val="22"/>
          <w:szCs w:val="22"/>
          <w:lang w:val="es"/>
        </w:rPr>
        <w:t xml:space="preserve"> </w:t>
      </w:r>
      <w:proofErr w:type="spellStart"/>
      <w:r w:rsidRPr="00B710A9">
        <w:rPr>
          <w:rFonts w:ascii="Arial" w:eastAsia="Arial" w:hAnsi="Arial" w:cs="Arial"/>
          <w:i/>
          <w:iCs/>
          <w:color w:val="000000" w:themeColor="text1"/>
          <w:sz w:val="22"/>
          <w:szCs w:val="22"/>
          <w:lang w:val="es"/>
        </w:rPr>
        <w:t>of</w:t>
      </w:r>
      <w:proofErr w:type="spellEnd"/>
      <w:r w:rsidRPr="00B710A9">
        <w:rPr>
          <w:rFonts w:ascii="Arial" w:eastAsia="Arial" w:hAnsi="Arial" w:cs="Arial"/>
          <w:i/>
          <w:iCs/>
          <w:color w:val="000000" w:themeColor="text1"/>
          <w:sz w:val="22"/>
          <w:szCs w:val="22"/>
          <w:lang w:val="es"/>
        </w:rPr>
        <w:t xml:space="preserve"> </w:t>
      </w:r>
      <w:proofErr w:type="spellStart"/>
      <w:r w:rsidRPr="00B710A9">
        <w:rPr>
          <w:rFonts w:ascii="Arial" w:eastAsia="Arial" w:hAnsi="Arial" w:cs="Arial"/>
          <w:i/>
          <w:iCs/>
          <w:color w:val="000000" w:themeColor="text1"/>
          <w:sz w:val="22"/>
          <w:szCs w:val="22"/>
          <w:lang w:val="es"/>
        </w:rPr>
        <w:t>Geomagnetism</w:t>
      </w:r>
      <w:proofErr w:type="spellEnd"/>
      <w:r w:rsidRPr="00B710A9">
        <w:rPr>
          <w:rFonts w:ascii="Arial" w:eastAsia="Arial" w:hAnsi="Arial" w:cs="Arial"/>
          <w:i/>
          <w:iCs/>
          <w:color w:val="000000" w:themeColor="text1"/>
          <w:sz w:val="22"/>
          <w:szCs w:val="22"/>
          <w:lang w:val="es"/>
        </w:rPr>
        <w:t xml:space="preserve"> and </w:t>
      </w:r>
      <w:proofErr w:type="spellStart"/>
      <w:r w:rsidRPr="00B710A9">
        <w:rPr>
          <w:rFonts w:ascii="Arial" w:eastAsia="Arial" w:hAnsi="Arial" w:cs="Arial"/>
          <w:i/>
          <w:iCs/>
          <w:color w:val="000000" w:themeColor="text1"/>
          <w:sz w:val="22"/>
          <w:szCs w:val="22"/>
          <w:lang w:val="es"/>
        </w:rPr>
        <w:t>Aeronomy</w:t>
      </w:r>
      <w:proofErr w:type="spellEnd"/>
      <w:r w:rsidRPr="00B710A9">
        <w:rPr>
          <w:rFonts w:ascii="Arial" w:eastAsia="Arial" w:hAnsi="Arial" w:cs="Arial"/>
          <w:i/>
          <w:iCs/>
          <w:color w:val="000000" w:themeColor="text1"/>
          <w:sz w:val="22"/>
          <w:szCs w:val="22"/>
          <w:lang w:val="es"/>
        </w:rPr>
        <w:t xml:space="preserve"> (IAGA)</w:t>
      </w:r>
      <w:r w:rsidRPr="00B710A9">
        <w:rPr>
          <w:rFonts w:ascii="Arial" w:eastAsia="Arial" w:hAnsi="Arial" w:cs="Arial"/>
          <w:color w:val="000000" w:themeColor="text1"/>
          <w:sz w:val="22"/>
          <w:szCs w:val="22"/>
          <w:lang w:val="es"/>
        </w:rPr>
        <w:t>.</w:t>
      </w:r>
    </w:p>
    <w:p w14:paraId="4987BBA7" w14:textId="08C8EA2C" w:rsidR="5CBBC846" w:rsidRPr="00B710A9" w:rsidRDefault="508552AC" w:rsidP="5CBBC846">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 </w:t>
      </w:r>
    </w:p>
    <w:p w14:paraId="18FB74FE" w14:textId="08C8EA2C" w:rsidR="5CBBC846" w:rsidRPr="00B710A9" w:rsidRDefault="508552AC" w:rsidP="5CBBC846">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Es así como durante el 2019 se tomaron 298 mediciones, 632 en 2020, 96 en el 2021, así mismo, se consolidó y realizó el control de calidad y validación de la base de datos </w:t>
      </w:r>
      <w:r w:rsidRPr="00B710A9">
        <w:rPr>
          <w:rFonts w:ascii="Arial" w:eastAsia="Arial" w:hAnsi="Arial" w:cs="Arial"/>
          <w:color w:val="000000" w:themeColor="text1"/>
          <w:sz w:val="22"/>
          <w:szCs w:val="22"/>
          <w:lang w:val="es"/>
        </w:rPr>
        <w:lastRenderedPageBreak/>
        <w:t xml:space="preserve">geomagnéticos capturados de 1986 a 2015 y 2016 al 2019, lo que permitirá a los usuarios obtener la actividad magnética del país y realizar el análisis temporal de cada una de las componentes geomagnéticas, útiles en diferentes estudios de prospección de recursos naturales, estudios geológicos, geofísicos, corrección de rumbos magnéticos en topografía y en navegación marítima y aérea, entre otros.  </w:t>
      </w:r>
    </w:p>
    <w:p w14:paraId="51BBD41C" w14:textId="08C8EA2C" w:rsidR="5CBBC846" w:rsidRPr="00B710A9" w:rsidRDefault="508552AC" w:rsidP="5CBBC846">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 </w:t>
      </w:r>
    </w:p>
    <w:p w14:paraId="3402D6C1" w14:textId="08C8EA2C" w:rsidR="5CBBC846" w:rsidRPr="00B710A9" w:rsidRDefault="508552AC" w:rsidP="5CBBC846">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Durante el primer semestre de 2022 se realizaron 10 observaciones absolutas de la declinación, inclinación y fuerza total de campo magnético para el cálculo de las componentes del campo magnético de la Tierra. Además se recibió la donación del magnetómetro </w:t>
      </w:r>
      <w:proofErr w:type="spellStart"/>
      <w:r w:rsidRPr="00B710A9">
        <w:rPr>
          <w:rFonts w:ascii="Arial" w:eastAsia="Arial" w:hAnsi="Arial" w:cs="Arial"/>
          <w:color w:val="000000" w:themeColor="text1"/>
          <w:sz w:val="22"/>
          <w:szCs w:val="22"/>
          <w:lang w:val="es"/>
        </w:rPr>
        <w:t>fluxgate</w:t>
      </w:r>
      <w:proofErr w:type="spellEnd"/>
      <w:r w:rsidRPr="00B710A9">
        <w:rPr>
          <w:rFonts w:ascii="Arial" w:eastAsia="Arial" w:hAnsi="Arial" w:cs="Arial"/>
          <w:color w:val="000000" w:themeColor="text1"/>
          <w:sz w:val="22"/>
          <w:szCs w:val="22"/>
          <w:lang w:val="es"/>
        </w:rPr>
        <w:t xml:space="preserve"> triaxial FGE por parte de British Geological </w:t>
      </w:r>
      <w:proofErr w:type="spellStart"/>
      <w:r w:rsidRPr="00B710A9">
        <w:rPr>
          <w:rFonts w:ascii="Arial" w:eastAsia="Arial" w:hAnsi="Arial" w:cs="Arial"/>
          <w:color w:val="000000" w:themeColor="text1"/>
          <w:sz w:val="22"/>
          <w:szCs w:val="22"/>
          <w:lang w:val="es"/>
        </w:rPr>
        <w:t>Survey</w:t>
      </w:r>
      <w:proofErr w:type="spellEnd"/>
      <w:r w:rsidRPr="00B710A9">
        <w:rPr>
          <w:rFonts w:ascii="Arial" w:eastAsia="Arial" w:hAnsi="Arial" w:cs="Arial"/>
          <w:color w:val="000000" w:themeColor="text1"/>
          <w:sz w:val="22"/>
          <w:szCs w:val="22"/>
          <w:lang w:val="es"/>
        </w:rPr>
        <w:t xml:space="preserve"> (BGS) y se tramitó la adquisición de nuevos equipos como un conversor análogo-digital, un sistema de colección de datos y un DI-Flux equipado con teodolito no magnético, avanzando en la modernización del Observatorio Geomagnético de Fúquene pasando de un sistema análogo utilizado actualmente a un sistema digital, permitiendo la adquisición de datos geomagnéticos en tiempo real y mejorando la resolución de la información geomagnética producida por el IGAC, pues se pasará de publicar promedios horarios de las componentes del campo magnético a generar datos al minuto, al igual que se preparará el Observatorio para ser parte de la red de observatorios geomagnéticos mundiales conocida como INTERMAGNET, aportando información para la generación de modelos geomagnéticos globales y regionales, como para el entendimiento de la anomalía del Atlético Sur, entre otras.</w:t>
      </w:r>
    </w:p>
    <w:p w14:paraId="6C1B233A" w14:textId="26DC8C06" w:rsidR="5CBBC846" w:rsidRPr="00B710A9" w:rsidRDefault="5CBBC846" w:rsidP="5CBBC846">
      <w:pPr>
        <w:spacing w:after="0" w:line="240" w:lineRule="auto"/>
        <w:jc w:val="both"/>
        <w:rPr>
          <w:rFonts w:ascii="Arial" w:eastAsia="Arial" w:hAnsi="Arial" w:cs="Arial"/>
          <w:color w:val="000000" w:themeColor="text1"/>
        </w:rPr>
      </w:pPr>
    </w:p>
    <w:p w14:paraId="7E8A022E" w14:textId="08C8EA2C" w:rsidR="508552AC" w:rsidRPr="00B710A9" w:rsidRDefault="06C17F49" w:rsidP="508552AC">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Adicionalmente, durante la vigencia 2021, se llevaron a cabo actividades para lograr la consecución de convenios interinstitucionales, en especial con la Universidad Nacional de Colombia y Universidad Sergio Arboleda. Es así como, se llevó a cabo la visita, con la UNAL, a la Isla El Santuario de La Laguna de Fúquene con el fin de establecer la viabilidad para la instalación de un Observatorio Solar (</w:t>
      </w:r>
      <w:proofErr w:type="spellStart"/>
      <w:r w:rsidRPr="00B710A9">
        <w:rPr>
          <w:rFonts w:ascii="Arial" w:eastAsia="Arial" w:hAnsi="Arial" w:cs="Arial"/>
          <w:color w:val="000000" w:themeColor="text1"/>
          <w:sz w:val="22"/>
          <w:szCs w:val="22"/>
          <w:lang w:val="es"/>
        </w:rPr>
        <w:t>SAMco</w:t>
      </w:r>
      <w:proofErr w:type="spellEnd"/>
      <w:r w:rsidRPr="00B710A9">
        <w:rPr>
          <w:rFonts w:ascii="Arial" w:eastAsia="Arial" w:hAnsi="Arial" w:cs="Arial"/>
          <w:color w:val="000000" w:themeColor="text1"/>
          <w:sz w:val="22"/>
          <w:szCs w:val="22"/>
          <w:lang w:val="es"/>
        </w:rPr>
        <w:t xml:space="preserve">) en el marco del proyecto </w:t>
      </w:r>
      <w:proofErr w:type="spellStart"/>
      <w:r w:rsidRPr="00B710A9">
        <w:rPr>
          <w:rFonts w:ascii="Arial" w:eastAsia="Arial" w:hAnsi="Arial" w:cs="Arial"/>
          <w:color w:val="000000" w:themeColor="text1"/>
          <w:sz w:val="22"/>
          <w:szCs w:val="22"/>
          <w:lang w:val="es"/>
        </w:rPr>
        <w:t>SAMNet</w:t>
      </w:r>
      <w:proofErr w:type="spellEnd"/>
      <w:r w:rsidRPr="00B710A9">
        <w:rPr>
          <w:rFonts w:ascii="Arial" w:eastAsia="Arial" w:hAnsi="Arial" w:cs="Arial"/>
          <w:color w:val="000000" w:themeColor="text1"/>
          <w:sz w:val="22"/>
          <w:szCs w:val="22"/>
          <w:lang w:val="es"/>
        </w:rPr>
        <w:t xml:space="preserve"> correspondiente a la Red Internacional de Monitoreo de Actividad Solar que servirá para la detección de eventos y generación de alertas tempranas para la mitigación de impactos de clima espacial. Lo anterior, con el fin de fortalecer y modernizar el observatorio geomagnético (uso y equipos</w:t>
      </w:r>
    </w:p>
    <w:p w14:paraId="4E5E663C" w14:textId="7E1BEBB4"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00DE89FE" w14:textId="4184EC06"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2385C7B2" w14:textId="57856E7A" w:rsidR="13D13739" w:rsidRPr="00B710A9" w:rsidRDefault="75B02D90" w:rsidP="75B02D90">
      <w:pPr>
        <w:spacing w:after="0" w:line="240" w:lineRule="auto"/>
        <w:jc w:val="both"/>
        <w:rPr>
          <w:rFonts w:ascii="Arial" w:eastAsia="Arial" w:hAnsi="Arial" w:cs="Arial"/>
          <w:b/>
          <w:color w:val="000000" w:themeColor="text1"/>
          <w:sz w:val="22"/>
          <w:szCs w:val="22"/>
          <w:u w:val="single"/>
          <w:lang w:val="es-MX"/>
        </w:rPr>
      </w:pPr>
      <w:r w:rsidRPr="00B710A9">
        <w:rPr>
          <w:rFonts w:ascii="Arial" w:eastAsia="Arial" w:hAnsi="Arial" w:cs="Arial"/>
          <w:b/>
          <w:color w:val="000000" w:themeColor="text1"/>
          <w:sz w:val="22"/>
          <w:szCs w:val="22"/>
          <w:u w:val="single"/>
          <w:lang w:val="es-MX"/>
        </w:rPr>
        <w:t>Densificación del marco de referencia gravimétrico</w:t>
      </w:r>
    </w:p>
    <w:p w14:paraId="1175D955" w14:textId="7919F80F"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1AA46AFC" w14:textId="1AFC01E2"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Durante el primer semestre del año 2021 se suscribió un convenio de cooperación con la Universidad del Estado de Ohio (Estados Unidos) con el objetivo de fortalecer la Red Colombiana de Gravimetría, transferencia de tecnología, asesoramiento técnico, trabajo de campo y protocolos técnicos para su realización e implementación de información gravimétrica en el nuevo modelo </w:t>
      </w:r>
      <w:proofErr w:type="spellStart"/>
      <w:r w:rsidRPr="00B710A9">
        <w:rPr>
          <w:rFonts w:ascii="Arial" w:eastAsia="Arial" w:hAnsi="Arial" w:cs="Arial"/>
          <w:color w:val="000000" w:themeColor="text1"/>
          <w:sz w:val="22"/>
          <w:szCs w:val="22"/>
          <w:lang w:val="es"/>
        </w:rPr>
        <w:t>geoidal</w:t>
      </w:r>
      <w:proofErr w:type="spellEnd"/>
      <w:r w:rsidRPr="00B710A9">
        <w:rPr>
          <w:rFonts w:ascii="Arial" w:eastAsia="Arial" w:hAnsi="Arial" w:cs="Arial"/>
          <w:color w:val="000000" w:themeColor="text1"/>
          <w:sz w:val="22"/>
          <w:szCs w:val="22"/>
          <w:lang w:val="es"/>
        </w:rPr>
        <w:t xml:space="preserve"> global, dentro del cual se ha realizado la exploración de 160 estaciones en el trayecto Bogotá – Maicao y </w:t>
      </w:r>
      <w:proofErr w:type="spellStart"/>
      <w:r w:rsidRPr="00B710A9">
        <w:rPr>
          <w:rFonts w:ascii="Arial" w:eastAsia="Arial" w:hAnsi="Arial" w:cs="Arial"/>
          <w:color w:val="000000" w:themeColor="text1"/>
          <w:sz w:val="22"/>
          <w:szCs w:val="22"/>
          <w:lang w:val="es"/>
        </w:rPr>
        <w:t>Yarmal</w:t>
      </w:r>
      <w:proofErr w:type="spellEnd"/>
      <w:r w:rsidRPr="00B710A9">
        <w:rPr>
          <w:rFonts w:ascii="Arial" w:eastAsia="Arial" w:hAnsi="Arial" w:cs="Arial"/>
          <w:color w:val="000000" w:themeColor="text1"/>
          <w:sz w:val="22"/>
          <w:szCs w:val="22"/>
          <w:lang w:val="es"/>
        </w:rPr>
        <w:t xml:space="preserve">.  Asimismo, se han procesado y calculado </w:t>
      </w:r>
      <w:r w:rsidRPr="00B710A9">
        <w:rPr>
          <w:rFonts w:ascii="Arial" w:eastAsia="Arial" w:hAnsi="Arial" w:cs="Arial"/>
          <w:sz w:val="22"/>
          <w:szCs w:val="22"/>
          <w:lang w:val="es"/>
        </w:rPr>
        <w:t>177</w:t>
      </w:r>
      <w:r w:rsidRPr="00B710A9">
        <w:rPr>
          <w:rFonts w:ascii="Arial" w:eastAsia="Arial" w:hAnsi="Arial" w:cs="Arial"/>
          <w:color w:val="FF0000"/>
          <w:sz w:val="22"/>
          <w:szCs w:val="22"/>
          <w:lang w:val="es"/>
        </w:rPr>
        <w:t xml:space="preserve"> </w:t>
      </w:r>
      <w:r w:rsidRPr="00B710A9">
        <w:rPr>
          <w:rFonts w:ascii="Arial" w:eastAsia="Arial" w:hAnsi="Arial" w:cs="Arial"/>
          <w:color w:val="000000" w:themeColor="text1"/>
          <w:sz w:val="22"/>
          <w:szCs w:val="22"/>
          <w:lang w:val="es"/>
        </w:rPr>
        <w:t>vértices de primer orden de la Red Gravimétrica Nacional seleccionados en el territorio colombiano.</w:t>
      </w:r>
    </w:p>
    <w:p w14:paraId="0950F9A7" w14:textId="5B2B8799"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0FBC76E1" w14:textId="61ABC43C"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La Red gravimétrica Nacional se compone de vértices de gravedad absolutos y de gravedad relativa, los cuales tienen como finalidad servir de apoyo para proyectos geo científicos, de infraestructura, geo amenazas y demás proyectos que requieran información de gravedad. </w:t>
      </w:r>
    </w:p>
    <w:p w14:paraId="57FB750F" w14:textId="77777777" w:rsidR="003B3672" w:rsidRPr="00B710A9" w:rsidRDefault="003B3672" w:rsidP="75B02D90">
      <w:pPr>
        <w:spacing w:after="0" w:line="240" w:lineRule="auto"/>
        <w:jc w:val="both"/>
        <w:rPr>
          <w:rFonts w:ascii="Arial" w:eastAsia="Arial" w:hAnsi="Arial" w:cs="Arial"/>
          <w:color w:val="000000" w:themeColor="text1"/>
          <w:sz w:val="22"/>
          <w:szCs w:val="22"/>
          <w:lang w:val="es"/>
        </w:rPr>
      </w:pPr>
    </w:p>
    <w:p w14:paraId="31DD42E9" w14:textId="1594268A"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Es así como, durante 2022, con corte a 30 de junio, se llevó a cabo la medición de veintiséis (26) vértices de la Red de gravedad Absoluta para Colombia IGAC-SGC-BGI, la cual fue desarrollada en un trabajo colaborativo entre el Servicio Geológico Colombiano-SGC, el </w:t>
      </w:r>
      <w:r w:rsidRPr="00B710A9">
        <w:rPr>
          <w:rFonts w:ascii="Arial" w:eastAsia="Arial" w:hAnsi="Arial" w:cs="Arial"/>
          <w:color w:val="000000" w:themeColor="text1"/>
          <w:sz w:val="22"/>
          <w:szCs w:val="22"/>
          <w:lang w:val="es"/>
        </w:rPr>
        <w:lastRenderedPageBreak/>
        <w:t xml:space="preserve">Bureau </w:t>
      </w:r>
      <w:proofErr w:type="spellStart"/>
      <w:r w:rsidRPr="00B710A9">
        <w:rPr>
          <w:rFonts w:ascii="Arial" w:eastAsia="Arial" w:hAnsi="Arial" w:cs="Arial"/>
          <w:color w:val="000000" w:themeColor="text1"/>
          <w:sz w:val="22"/>
          <w:szCs w:val="22"/>
          <w:lang w:val="es"/>
        </w:rPr>
        <w:t>Gravimetric</w:t>
      </w:r>
      <w:proofErr w:type="spellEnd"/>
      <w:r w:rsidRPr="00B710A9">
        <w:rPr>
          <w:rFonts w:ascii="Arial" w:eastAsia="Arial" w:hAnsi="Arial" w:cs="Arial"/>
          <w:color w:val="000000" w:themeColor="text1"/>
          <w:sz w:val="22"/>
          <w:szCs w:val="22"/>
          <w:lang w:val="es"/>
        </w:rPr>
        <w:t xml:space="preserve"> International-BGI y el Instituto Geográfico Agustín Codazzi-IGAC.  Los vértices medidos se localizan en los municipios de: Bogotá (5), Cartagena (2), Aguachica (1), Buenaventura (1), Cajicá (1), Cali (1), Florencia (1), Honda (1), Ibagué (1), La Plata (1), Manizales (1), Medellín (1), Montería (1), Pasto (1), Piedecuesta</w:t>
      </w:r>
      <w:r w:rsidR="009E2397" w:rsidRPr="00B710A9">
        <w:rPr>
          <w:rFonts w:ascii="Arial" w:eastAsia="Arial" w:hAnsi="Arial" w:cs="Arial"/>
          <w:color w:val="000000" w:themeColor="text1"/>
          <w:sz w:val="22"/>
          <w:szCs w:val="22"/>
          <w:lang w:val="es"/>
        </w:rPr>
        <w:t xml:space="preserve"> </w:t>
      </w:r>
      <w:r w:rsidRPr="00B710A9">
        <w:rPr>
          <w:rFonts w:ascii="Arial" w:eastAsia="Arial" w:hAnsi="Arial" w:cs="Arial"/>
          <w:color w:val="000000" w:themeColor="text1"/>
          <w:sz w:val="22"/>
          <w:szCs w:val="22"/>
          <w:lang w:val="es"/>
        </w:rPr>
        <w:t xml:space="preserve">(1), Popayán (1), Santa Marta (1), Sincelejo (1), Tunja (1), Valledupar (1) y Villavicencio (1).  </w:t>
      </w:r>
    </w:p>
    <w:p w14:paraId="173277BE" w14:textId="77777777" w:rsidR="003B3672" w:rsidRPr="00B710A9" w:rsidRDefault="003B3672" w:rsidP="75B02D90">
      <w:pPr>
        <w:spacing w:after="0" w:line="240" w:lineRule="auto"/>
        <w:jc w:val="both"/>
        <w:rPr>
          <w:rFonts w:ascii="Arial" w:eastAsia="Arial" w:hAnsi="Arial" w:cs="Arial"/>
          <w:color w:val="000000" w:themeColor="text1"/>
          <w:sz w:val="22"/>
          <w:szCs w:val="22"/>
          <w:lang w:val="es"/>
        </w:rPr>
      </w:pPr>
    </w:p>
    <w:p w14:paraId="3116F88D" w14:textId="0628816E"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De igual manera durante la presente vigencia, se realizó la medición de gravedad relativa de cincuenta y seis (56) vértices de la Red Geodésica Nacional enmarcados en el convenio entre la Universidad del Estado de Ohio-OSU y el Instituto Geográfico Agustín Codazzi-IGAC en los municipios de Medellín (1), Arboletes (1), Santa </w:t>
      </w:r>
      <w:proofErr w:type="spellStart"/>
      <w:r w:rsidRPr="00B710A9">
        <w:rPr>
          <w:rFonts w:ascii="Arial" w:eastAsia="Arial" w:hAnsi="Arial" w:cs="Arial"/>
          <w:color w:val="000000" w:themeColor="text1"/>
          <w:sz w:val="22"/>
          <w:szCs w:val="22"/>
          <w:lang w:val="es"/>
        </w:rPr>
        <w:t>fé</w:t>
      </w:r>
      <w:proofErr w:type="spellEnd"/>
      <w:r w:rsidRPr="00B710A9">
        <w:rPr>
          <w:rFonts w:ascii="Arial" w:eastAsia="Arial" w:hAnsi="Arial" w:cs="Arial"/>
          <w:color w:val="000000" w:themeColor="text1"/>
          <w:sz w:val="22"/>
          <w:szCs w:val="22"/>
          <w:lang w:val="es"/>
        </w:rPr>
        <w:t xml:space="preserve"> de Antioquia (1), </w:t>
      </w:r>
      <w:proofErr w:type="spellStart"/>
      <w:r w:rsidRPr="00B710A9">
        <w:rPr>
          <w:rFonts w:ascii="Arial" w:eastAsia="Arial" w:hAnsi="Arial" w:cs="Arial"/>
          <w:color w:val="000000" w:themeColor="text1"/>
          <w:sz w:val="22"/>
          <w:szCs w:val="22"/>
          <w:lang w:val="es"/>
        </w:rPr>
        <w:t>Uramita</w:t>
      </w:r>
      <w:proofErr w:type="spellEnd"/>
      <w:r w:rsidRPr="00B710A9">
        <w:rPr>
          <w:rFonts w:ascii="Arial" w:eastAsia="Arial" w:hAnsi="Arial" w:cs="Arial"/>
          <w:color w:val="000000" w:themeColor="text1"/>
          <w:sz w:val="22"/>
          <w:szCs w:val="22"/>
          <w:lang w:val="es"/>
        </w:rPr>
        <w:t xml:space="preserve"> (1), Turbo (4), Sopetrán (1), Giraldo (1), Cocorná (3), Chigorodó (3), Carepa (1), Cañasgordas (1), San Luis (2), San Juan de Urabá (1), San Jerónimo (1), Puerto Triunfo (3), Necoclí (5), Mutatá (3), Marinilla (1), Guarne (1), Dabeiba (4), Frontino (1) y Apartadó (1) en el departamento de Antioquia, Caldas (1), Chiquinquirá (1), Puerto Boyacá (2), Cucaita (1), Otanche (2), Pauna (1), Sáchica (1), San Pablo de </w:t>
      </w:r>
      <w:proofErr w:type="spellStart"/>
      <w:r w:rsidRPr="00B710A9">
        <w:rPr>
          <w:rFonts w:ascii="Arial" w:eastAsia="Arial" w:hAnsi="Arial" w:cs="Arial"/>
          <w:color w:val="000000" w:themeColor="text1"/>
          <w:sz w:val="22"/>
          <w:szCs w:val="22"/>
          <w:lang w:val="es"/>
        </w:rPr>
        <w:t>Borbur</w:t>
      </w:r>
      <w:proofErr w:type="spellEnd"/>
      <w:r w:rsidRPr="00B710A9">
        <w:rPr>
          <w:rFonts w:ascii="Arial" w:eastAsia="Arial" w:hAnsi="Arial" w:cs="Arial"/>
          <w:color w:val="000000" w:themeColor="text1"/>
          <w:sz w:val="22"/>
          <w:szCs w:val="22"/>
          <w:lang w:val="es"/>
        </w:rPr>
        <w:t xml:space="preserve"> (1) y Tinjacá (1) en el departamento de Boyacá, Montería (2) y Los Córdobas (2) en el departamento de Córdoba, con el fin de ser procesados y posteriormente dispuestos en el portal de Colombia en Mapas. </w:t>
      </w:r>
    </w:p>
    <w:p w14:paraId="0E5863E0" w14:textId="77777777" w:rsidR="003B3672" w:rsidRPr="00B710A9" w:rsidRDefault="003B3672" w:rsidP="75B02D90">
      <w:pPr>
        <w:spacing w:after="0" w:line="240" w:lineRule="auto"/>
        <w:jc w:val="both"/>
        <w:rPr>
          <w:rFonts w:ascii="Arial" w:eastAsia="Arial" w:hAnsi="Arial" w:cs="Arial"/>
          <w:color w:val="000000" w:themeColor="text1"/>
          <w:sz w:val="22"/>
          <w:szCs w:val="22"/>
          <w:lang w:val="es"/>
        </w:rPr>
      </w:pPr>
    </w:p>
    <w:p w14:paraId="2BCD8366" w14:textId="6FFC3421"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Relacionado con lo anterior, se avanzó en el cálculo de anomalías gravimétricas (aire libre, de </w:t>
      </w:r>
      <w:proofErr w:type="spellStart"/>
      <w:r w:rsidRPr="00B710A9">
        <w:rPr>
          <w:rFonts w:ascii="Arial" w:eastAsia="Arial" w:hAnsi="Arial" w:cs="Arial"/>
          <w:color w:val="000000" w:themeColor="text1"/>
          <w:sz w:val="22"/>
          <w:szCs w:val="22"/>
          <w:lang w:val="es"/>
        </w:rPr>
        <w:t>Bouguer</w:t>
      </w:r>
      <w:proofErr w:type="spellEnd"/>
      <w:r w:rsidRPr="00B710A9">
        <w:rPr>
          <w:rFonts w:ascii="Arial" w:eastAsia="Arial" w:hAnsi="Arial" w:cs="Arial"/>
          <w:color w:val="000000" w:themeColor="text1"/>
          <w:sz w:val="22"/>
          <w:szCs w:val="22"/>
          <w:lang w:val="es"/>
        </w:rPr>
        <w:t xml:space="preserve"> simple, </w:t>
      </w:r>
      <w:proofErr w:type="spellStart"/>
      <w:r w:rsidRPr="00B710A9">
        <w:rPr>
          <w:rFonts w:ascii="Arial" w:eastAsia="Arial" w:hAnsi="Arial" w:cs="Arial"/>
          <w:color w:val="000000" w:themeColor="text1"/>
          <w:sz w:val="22"/>
          <w:szCs w:val="22"/>
          <w:lang w:val="es"/>
        </w:rPr>
        <w:t>Bouguer</w:t>
      </w:r>
      <w:proofErr w:type="spellEnd"/>
      <w:r w:rsidRPr="00B710A9">
        <w:rPr>
          <w:rFonts w:ascii="Arial" w:eastAsia="Arial" w:hAnsi="Arial" w:cs="Arial"/>
          <w:color w:val="000000" w:themeColor="text1"/>
          <w:sz w:val="22"/>
          <w:szCs w:val="22"/>
          <w:lang w:val="es"/>
        </w:rPr>
        <w:t xml:space="preserve"> Tota), con el propósito de generar herramientas para el entendimiento de la corteza y el manto terrestre en el territorio nacional, la identificación de zonas con materiales de mayor o menor densidad e impulsar la generación de artículos científicos relacionados este tema. </w:t>
      </w:r>
    </w:p>
    <w:p w14:paraId="3968D930" w14:textId="77777777" w:rsidR="003B3672" w:rsidRPr="00B710A9" w:rsidRDefault="003B3672" w:rsidP="75B02D90">
      <w:pPr>
        <w:spacing w:after="0" w:line="240" w:lineRule="auto"/>
        <w:jc w:val="both"/>
        <w:rPr>
          <w:rFonts w:ascii="Arial" w:eastAsia="Arial" w:hAnsi="Arial" w:cs="Arial"/>
          <w:color w:val="000000" w:themeColor="text1"/>
          <w:sz w:val="22"/>
          <w:szCs w:val="22"/>
          <w:lang w:val="es"/>
        </w:rPr>
      </w:pPr>
    </w:p>
    <w:p w14:paraId="2ED6307F" w14:textId="5EC6293E"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Es así como, con la intención de avanzar en fortalecer el Marco Internacional de Alturas (complementando con gravimetría y GNSS) a partir del procesamiento de datos, durante el 2022 se elaboró el cronograma y programación del trabajo de campo para realizar la nivelación de 300 puntos; y se llevó a cabo la adjuntó propuesta económica para realizar las actividades de georreferenciación, materialización y nivelación de las líneas 29 -30 y 17. </w:t>
      </w:r>
    </w:p>
    <w:p w14:paraId="4C310C1D" w14:textId="77777777" w:rsidR="003B3672" w:rsidRPr="00B710A9" w:rsidRDefault="003B3672" w:rsidP="75B02D90">
      <w:pPr>
        <w:spacing w:after="0" w:line="240" w:lineRule="auto"/>
        <w:jc w:val="both"/>
        <w:rPr>
          <w:rFonts w:ascii="Arial" w:eastAsia="Arial" w:hAnsi="Arial" w:cs="Arial"/>
          <w:color w:val="000000" w:themeColor="text1"/>
          <w:sz w:val="22"/>
          <w:szCs w:val="22"/>
          <w:lang w:val="es"/>
        </w:rPr>
      </w:pPr>
    </w:p>
    <w:p w14:paraId="46DFBD65" w14:textId="10AAA382"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Por lo anterior, se ha realizado la exploración de 47 vértices geodésicos de la línea 29 y 30 para la nivelación, ubicados entre La Virginia (Valle del Cauca) y Bolívar (Valle del Cauca) y la nivelación de 42 vértices de nivelación que comprenden 22 de la línea 29 (Yotoco - Buga) y 20 de la línea 30 (Yotoco - Riofrio).</w:t>
      </w:r>
    </w:p>
    <w:p w14:paraId="4E4AC679" w14:textId="2BD57160"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18A194CD" w14:textId="62A65382" w:rsidR="13D13739" w:rsidRPr="00B710A9" w:rsidRDefault="75B02D90" w:rsidP="75B02D90">
      <w:pPr>
        <w:spacing w:after="0" w:line="240" w:lineRule="auto"/>
        <w:jc w:val="both"/>
        <w:rPr>
          <w:rFonts w:ascii="Arial" w:eastAsia="Arial" w:hAnsi="Arial" w:cs="Arial"/>
          <w:b/>
          <w:color w:val="000000" w:themeColor="text1"/>
          <w:sz w:val="22"/>
          <w:szCs w:val="22"/>
          <w:u w:val="single"/>
          <w:lang w:val="es"/>
        </w:rPr>
      </w:pPr>
      <w:r w:rsidRPr="00B710A9">
        <w:rPr>
          <w:rFonts w:ascii="Arial" w:eastAsia="Arial" w:hAnsi="Arial" w:cs="Arial"/>
          <w:b/>
          <w:color w:val="000000" w:themeColor="text1"/>
          <w:sz w:val="22"/>
          <w:szCs w:val="22"/>
          <w:u w:val="single"/>
          <w:lang w:val="es"/>
        </w:rPr>
        <w:t xml:space="preserve">Centro de control de la red geodésica </w:t>
      </w:r>
    </w:p>
    <w:p w14:paraId="7D4F6613" w14:textId="77777777" w:rsidR="003B3672" w:rsidRPr="00B710A9" w:rsidRDefault="003B3672" w:rsidP="75B02D90">
      <w:pPr>
        <w:spacing w:after="0" w:line="240" w:lineRule="auto"/>
        <w:jc w:val="both"/>
        <w:rPr>
          <w:rFonts w:ascii="Arial" w:eastAsia="Arial" w:hAnsi="Arial" w:cs="Arial"/>
          <w:color w:val="000000" w:themeColor="text1"/>
          <w:sz w:val="22"/>
          <w:szCs w:val="22"/>
          <w:lang w:val="es"/>
        </w:rPr>
      </w:pPr>
    </w:p>
    <w:p w14:paraId="5A20186F" w14:textId="5E031C6E"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Desde el 2021 se iniciaron gestiones para lograr la modernización de la infraestructura tecnológica geodésica del país, es así como en el 2022, el IGAC cuenta con el Centro de Control de la Red Geodésica del país, desde donde será posible la disposición de tecnologías de vanguardia para todos los usuarios partiéndoles la optimización de tiempos y recursos para las variadas actividades de campo que se encuentren relacionadas con la captura de coordenadas sobre el Marco de Referencia del país.</w:t>
      </w:r>
    </w:p>
    <w:p w14:paraId="46024818" w14:textId="4B298CD7" w:rsidR="13D13739" w:rsidRPr="00B710A9" w:rsidRDefault="13D13739" w:rsidP="00024431">
      <w:pPr>
        <w:spacing w:after="0" w:line="240" w:lineRule="auto"/>
        <w:rPr>
          <w:rFonts w:ascii="Arial" w:eastAsia="Arial" w:hAnsi="Arial" w:cs="Arial"/>
          <w:b/>
          <w:color w:val="000000" w:themeColor="text1"/>
          <w:u w:val="single"/>
          <w:lang w:val="es"/>
        </w:rPr>
      </w:pPr>
    </w:p>
    <w:p w14:paraId="74F4FE8E" w14:textId="06E3A06C" w:rsidR="13D13739" w:rsidRPr="00B710A9" w:rsidRDefault="75B02D90" w:rsidP="75B02D90">
      <w:pPr>
        <w:spacing w:after="0" w:line="240" w:lineRule="auto"/>
        <w:jc w:val="both"/>
        <w:rPr>
          <w:rFonts w:ascii="Arial" w:eastAsia="Arial" w:hAnsi="Arial" w:cs="Arial"/>
          <w:b/>
          <w:color w:val="000000" w:themeColor="text1"/>
          <w:sz w:val="22"/>
          <w:szCs w:val="22"/>
          <w:u w:val="single"/>
          <w:lang w:val="es"/>
        </w:rPr>
      </w:pPr>
      <w:r w:rsidRPr="00B710A9">
        <w:rPr>
          <w:rFonts w:ascii="Arial" w:eastAsia="Arial" w:hAnsi="Arial" w:cs="Arial"/>
          <w:b/>
          <w:color w:val="000000" w:themeColor="text1"/>
          <w:sz w:val="22"/>
          <w:szCs w:val="22"/>
          <w:u w:val="single"/>
          <w:lang w:val="es"/>
        </w:rPr>
        <w:t>Lineamientos en materia geodésica</w:t>
      </w:r>
    </w:p>
    <w:p w14:paraId="6464E94E" w14:textId="7E731049"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63800B4D" w14:textId="7CA15007"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Durante la vigencia 2022 con corte al 30 de junio, se avanzó en la elaboración de documentos metodológicos y técnicos en materia de gestión geodésica, tales como:   </w:t>
      </w:r>
    </w:p>
    <w:p w14:paraId="33265948" w14:textId="278DC64C"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 </w:t>
      </w:r>
    </w:p>
    <w:p w14:paraId="742C42EB" w14:textId="02BD3868" w:rsidR="13D13739" w:rsidRPr="00B710A9" w:rsidRDefault="75B02D90" w:rsidP="00356A3E">
      <w:pPr>
        <w:pStyle w:val="Prrafodelista"/>
        <w:numPr>
          <w:ilvl w:val="0"/>
          <w:numId w:val="16"/>
        </w:numPr>
        <w:spacing w:after="0" w:line="240" w:lineRule="auto"/>
        <w:ind w:left="450" w:hanging="270"/>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lastRenderedPageBreak/>
        <w:t xml:space="preserve">Con el propósito de realizar el documento sobre la actualización del modelo </w:t>
      </w:r>
      <w:proofErr w:type="spellStart"/>
      <w:r w:rsidRPr="00B710A9">
        <w:rPr>
          <w:rFonts w:ascii="Arial" w:eastAsia="Arial" w:hAnsi="Arial" w:cs="Arial"/>
          <w:color w:val="000000" w:themeColor="text1"/>
          <w:sz w:val="22"/>
          <w:szCs w:val="22"/>
          <w:lang w:val="es"/>
        </w:rPr>
        <w:t>geoidal</w:t>
      </w:r>
      <w:proofErr w:type="spellEnd"/>
      <w:r w:rsidRPr="00B710A9">
        <w:rPr>
          <w:rFonts w:ascii="Arial" w:eastAsia="Arial" w:hAnsi="Arial" w:cs="Arial"/>
          <w:color w:val="000000" w:themeColor="text1"/>
          <w:sz w:val="22"/>
          <w:szCs w:val="22"/>
          <w:lang w:val="es"/>
        </w:rPr>
        <w:t xml:space="preserve"> para Colombia, se llevó a cabo la revisión, organización y estandarización de la información gravimétrica de fuentes externas como </w:t>
      </w:r>
      <w:proofErr w:type="spellStart"/>
      <w:r w:rsidRPr="00B710A9">
        <w:rPr>
          <w:rFonts w:ascii="Arial" w:eastAsia="Arial" w:hAnsi="Arial" w:cs="Arial"/>
          <w:color w:val="000000" w:themeColor="text1"/>
          <w:sz w:val="22"/>
          <w:szCs w:val="22"/>
          <w:lang w:val="es"/>
        </w:rPr>
        <w:t>The</w:t>
      </w:r>
      <w:proofErr w:type="spellEnd"/>
      <w:r w:rsidRPr="00B710A9">
        <w:rPr>
          <w:rFonts w:ascii="Arial" w:eastAsia="Arial" w:hAnsi="Arial" w:cs="Arial"/>
          <w:color w:val="000000" w:themeColor="text1"/>
          <w:sz w:val="22"/>
          <w:szCs w:val="22"/>
          <w:lang w:val="es"/>
        </w:rPr>
        <w:t xml:space="preserve"> International Gravimétrica Bureau – BGI y Agencia Nacional de Hidrocarburos – ANH así como el diseño de la base de datos geográfica para la consolidación de la información gravimétrica de fuentes externas, se finalizó el proceso de validación y estandarización de datos de dos entidades externas y se elaboró la base de datos gravimétricos.</w:t>
      </w:r>
    </w:p>
    <w:p w14:paraId="1FF26A36" w14:textId="1604859B" w:rsidR="13D13739" w:rsidRPr="00B710A9" w:rsidRDefault="75B02D90" w:rsidP="00356A3E">
      <w:pPr>
        <w:pStyle w:val="Prrafodelista"/>
        <w:numPr>
          <w:ilvl w:val="0"/>
          <w:numId w:val="16"/>
        </w:numPr>
        <w:spacing w:after="0" w:line="240" w:lineRule="auto"/>
        <w:ind w:left="450" w:hanging="270"/>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La actualización del modelo </w:t>
      </w:r>
      <w:proofErr w:type="spellStart"/>
      <w:r w:rsidRPr="00B710A9">
        <w:rPr>
          <w:rFonts w:ascii="Arial" w:eastAsia="Arial" w:hAnsi="Arial" w:cs="Arial"/>
          <w:color w:val="000000" w:themeColor="text1"/>
          <w:sz w:val="22"/>
          <w:szCs w:val="22"/>
          <w:lang w:val="es"/>
        </w:rPr>
        <w:t>geoidal</w:t>
      </w:r>
      <w:proofErr w:type="spellEnd"/>
      <w:r w:rsidRPr="00B710A9">
        <w:rPr>
          <w:rFonts w:ascii="Arial" w:eastAsia="Arial" w:hAnsi="Arial" w:cs="Arial"/>
          <w:color w:val="000000" w:themeColor="text1"/>
          <w:sz w:val="22"/>
          <w:szCs w:val="22"/>
          <w:lang w:val="es"/>
        </w:rPr>
        <w:t xml:space="preserve"> colombiano es de importancia para tema de georreferenciación y la determinación de alturas </w:t>
      </w:r>
      <w:proofErr w:type="spellStart"/>
      <w:r w:rsidRPr="00B710A9">
        <w:rPr>
          <w:rFonts w:ascii="Arial" w:eastAsia="Arial" w:hAnsi="Arial" w:cs="Arial"/>
          <w:color w:val="000000" w:themeColor="text1"/>
          <w:sz w:val="22"/>
          <w:szCs w:val="22"/>
          <w:lang w:val="es"/>
        </w:rPr>
        <w:t>ortométricas</w:t>
      </w:r>
      <w:proofErr w:type="spellEnd"/>
      <w:r w:rsidRPr="00B710A9">
        <w:rPr>
          <w:rFonts w:ascii="Arial" w:eastAsia="Arial" w:hAnsi="Arial" w:cs="Arial"/>
          <w:color w:val="000000" w:themeColor="text1"/>
          <w:sz w:val="22"/>
          <w:szCs w:val="22"/>
          <w:lang w:val="es"/>
        </w:rPr>
        <w:t xml:space="preserve"> empleadas para los proyectos de obras civiles y de infraestructura a nivel nacional. </w:t>
      </w:r>
    </w:p>
    <w:p w14:paraId="23A00659" w14:textId="284E693E" w:rsidR="13D13739" w:rsidRPr="00B710A9" w:rsidRDefault="75B02D90" w:rsidP="00356A3E">
      <w:pPr>
        <w:pStyle w:val="Prrafodelista"/>
        <w:numPr>
          <w:ilvl w:val="0"/>
          <w:numId w:val="16"/>
        </w:numPr>
        <w:spacing w:after="0" w:line="240" w:lineRule="auto"/>
        <w:ind w:left="450" w:hanging="270"/>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Se avanzó en la elaboración de los capítulos de la introducción y el marco teórico, del documento sobre la Variación secular para el observatorio geomagnético posterior al año 1.960. </w:t>
      </w:r>
      <w:r w:rsidR="009E2397" w:rsidRPr="00B710A9">
        <w:rPr>
          <w:rFonts w:ascii="Arial" w:eastAsia="Arial" w:hAnsi="Arial" w:cs="Arial"/>
          <w:color w:val="000000" w:themeColor="text1"/>
          <w:sz w:val="22"/>
          <w:szCs w:val="22"/>
          <w:lang w:val="es"/>
        </w:rPr>
        <w:t>E</w:t>
      </w:r>
      <w:r w:rsidRPr="00B710A9">
        <w:rPr>
          <w:rFonts w:ascii="Arial" w:eastAsia="Arial" w:hAnsi="Arial" w:cs="Arial"/>
          <w:color w:val="000000" w:themeColor="text1"/>
          <w:sz w:val="22"/>
          <w:szCs w:val="22"/>
          <w:lang w:val="es"/>
        </w:rPr>
        <w:t xml:space="preserve">ste documento hace referencia a los cambios en el campo magnético de la Tierra en escalas de tiempo de aproximadamente un año o más, los cuales reflejan principalmente cambios en el interior de la Tierra especialmente en el núcleo, o cambios más rápidos que se originan principalmente en la ionosfera, la magnetosfera o tormentas geomagnéticas. </w:t>
      </w:r>
    </w:p>
    <w:p w14:paraId="6CC15E8F" w14:textId="3E968935" w:rsidR="13D13739" w:rsidRPr="00B710A9" w:rsidRDefault="75B02D90" w:rsidP="00356A3E">
      <w:pPr>
        <w:pStyle w:val="Prrafodelista"/>
        <w:numPr>
          <w:ilvl w:val="0"/>
          <w:numId w:val="16"/>
        </w:numPr>
        <w:spacing w:after="0" w:line="240" w:lineRule="auto"/>
        <w:ind w:left="450" w:hanging="270"/>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Se dio inicio al documento sobre la propuesta de un laboratorio de “Geodesia Espacial” [Semillero de Investigación], la cual permite fortalecer el objetivo misional del IGAC como gestor de conocimiento en las áreas de cartografía, geografía y geodesia, y posicionarlo como referente académico y científico en la investigación y desarrollo de nuevas tecnologías aeroespaciales para la producción cartográfica y geodésica de Colombia.</w:t>
      </w:r>
    </w:p>
    <w:p w14:paraId="162D5711" w14:textId="33A1569C" w:rsidR="13D13739" w:rsidRPr="00B710A9" w:rsidRDefault="75B02D90" w:rsidP="00356A3E">
      <w:pPr>
        <w:pStyle w:val="Prrafodelista"/>
        <w:numPr>
          <w:ilvl w:val="0"/>
          <w:numId w:val="16"/>
        </w:numPr>
        <w:spacing w:after="0" w:line="240" w:lineRule="auto"/>
        <w:ind w:left="450" w:hanging="270"/>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Se realizó la estructuración del documento sobre el análisis de técnicas geodésicas alternativas para el apoyo a la generación de productos cartográficos, de acuerdo con las metodologías de NTRIP, VRS, PPP y RTK, se recopiló información para cada una de las metodologías y se evaluaron casos de uso de algunas de estas para la generación de productos cartográficos a diferentes escalas.</w:t>
      </w:r>
    </w:p>
    <w:p w14:paraId="42ABD103" w14:textId="240BDDD3"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1837AAA7" w14:textId="6FA4585D"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55349457" w14:textId="03C24698" w:rsidR="13D13739" w:rsidRPr="00B710A9" w:rsidRDefault="75B02D90" w:rsidP="00356A3E">
      <w:pPr>
        <w:pStyle w:val="Prrafodelista"/>
        <w:numPr>
          <w:ilvl w:val="0"/>
          <w:numId w:val="17"/>
        </w:numPr>
        <w:spacing w:after="0" w:line="240" w:lineRule="auto"/>
        <w:jc w:val="both"/>
        <w:rPr>
          <w:rFonts w:ascii="Arial" w:eastAsia="Arial" w:hAnsi="Arial" w:cs="Arial"/>
          <w:b/>
          <w:color w:val="000000" w:themeColor="text1"/>
          <w:sz w:val="22"/>
          <w:szCs w:val="22"/>
          <w:lang w:val="es-MX"/>
        </w:rPr>
      </w:pPr>
      <w:r w:rsidRPr="00B710A9">
        <w:rPr>
          <w:rFonts w:ascii="Arial" w:eastAsia="Arial" w:hAnsi="Arial" w:cs="Arial"/>
          <w:b/>
          <w:color w:val="000000" w:themeColor="text1"/>
          <w:sz w:val="22"/>
          <w:szCs w:val="22"/>
          <w:lang w:val="es-MX"/>
        </w:rPr>
        <w:t>Generación de estudios geográficos e investigaciones para la caracterización, análisis y delimitación geográfica del territorio nacional</w:t>
      </w:r>
    </w:p>
    <w:p w14:paraId="4C6B87A9" w14:textId="55176EBD"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7505E203" w14:textId="4F97BF34" w:rsidR="13D13739" w:rsidRPr="00B710A9" w:rsidRDefault="75B02D90" w:rsidP="75B02D90">
      <w:pPr>
        <w:spacing w:after="0" w:line="240" w:lineRule="auto"/>
        <w:jc w:val="both"/>
        <w:rPr>
          <w:rFonts w:ascii="Arial" w:eastAsia="Arial" w:hAnsi="Arial" w:cs="Arial"/>
          <w:b/>
          <w:bCs/>
          <w:sz w:val="22"/>
          <w:szCs w:val="22"/>
          <w:u w:val="single"/>
          <w:lang w:val="es-MX"/>
        </w:rPr>
      </w:pPr>
      <w:r w:rsidRPr="00B710A9">
        <w:rPr>
          <w:rFonts w:ascii="Arial" w:eastAsia="Arial" w:hAnsi="Arial" w:cs="Arial"/>
          <w:b/>
          <w:bCs/>
          <w:sz w:val="22"/>
          <w:szCs w:val="22"/>
          <w:u w:val="single"/>
          <w:lang w:val="es-MX"/>
        </w:rPr>
        <w:t>Documentos de caracterización territorial y demás estudios geográficos</w:t>
      </w:r>
    </w:p>
    <w:p w14:paraId="7764F523" w14:textId="40812C2B"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4C1F9A51" w14:textId="249B9E6E"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Los informes de caracterización territorial constituyen una herramienta para apoyar la gestión del desarrollo territorial con enfoque integral, así como para proyectos tales como el catastro multipropósito, describiendo las relaciones existentes entre la ocupación y apropiación del territorio, las dinámicas de organización y funcionamiento espacial, las condiciones naturales y de oferta ambiental, y las condiciones de accesibilidad y dinámica económica.</w:t>
      </w:r>
    </w:p>
    <w:p w14:paraId="5CBA76E0" w14:textId="4CE813FF"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4D6DE307" w14:textId="6C955533"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Durante el  2020 hasta junio del 2022 , se han realizado las caracterizaciones con fines de catastro multipropósito de 164 municipios, a partir de la gestión, análisis, procesamiento y consolidación de información relacionada con contexto geográfico, planes de ordenamiento territorial (vigencia, clasificación y zonificación), contexto legal (determinantes y condicionantes), procesos biofísicos y relaciones ambientales, procesos de ocupación y apropiación y procesos socioeconómicos, las cuales han sido dispuestas con el propósito de identificar la situación actual de los municipios requeridos para el cumplimiento de las metas del Catastro Multipropósito. Es así como se logró en el cuatrienio un cubrimiento de </w:t>
      </w:r>
      <w:r w:rsidRPr="00B710A9">
        <w:rPr>
          <w:rFonts w:ascii="Arial" w:eastAsia="Arial" w:hAnsi="Arial" w:cs="Arial"/>
          <w:color w:val="000000" w:themeColor="text1"/>
          <w:sz w:val="22"/>
          <w:szCs w:val="22"/>
          <w:lang w:val="es"/>
        </w:rPr>
        <w:lastRenderedPageBreak/>
        <w:t xml:space="preserve">98.894.730,15 </w:t>
      </w:r>
      <w:r w:rsidRPr="00B710A9">
        <w:rPr>
          <w:rFonts w:ascii="Arial" w:eastAsia="Arial" w:hAnsi="Arial" w:cs="Arial"/>
          <w:color w:val="000000" w:themeColor="text1"/>
          <w:lang w:val="es"/>
        </w:rPr>
        <w:t>ha</w:t>
      </w:r>
      <w:r w:rsidRPr="00B710A9">
        <w:rPr>
          <w:rFonts w:ascii="Arial" w:eastAsia="Arial" w:hAnsi="Arial" w:cs="Arial"/>
          <w:color w:val="000000" w:themeColor="text1"/>
          <w:sz w:val="22"/>
          <w:szCs w:val="22"/>
          <w:lang w:val="es"/>
        </w:rPr>
        <w:t xml:space="preserve"> del territorio del país con caracterizaciones territoriales (ver </w:t>
      </w:r>
      <w:hyperlink r:id="rId17">
        <w:r w:rsidRPr="00B710A9">
          <w:rPr>
            <w:rStyle w:val="Hipervnculo"/>
            <w:rFonts w:ascii="Arial" w:eastAsia="Arial" w:hAnsi="Arial" w:cs="Arial"/>
            <w:sz w:val="22"/>
            <w:szCs w:val="22"/>
            <w:lang w:val="es"/>
          </w:rPr>
          <w:t>https://bit.ly/3H8zOwL</w:t>
        </w:r>
      </w:hyperlink>
      <w:r w:rsidRPr="00B710A9">
        <w:rPr>
          <w:rFonts w:ascii="Arial" w:eastAsia="Arial" w:hAnsi="Arial" w:cs="Arial"/>
          <w:color w:val="000000" w:themeColor="text1"/>
          <w:sz w:val="22"/>
          <w:szCs w:val="22"/>
          <w:lang w:val="es"/>
        </w:rPr>
        <w:t>).</w:t>
      </w:r>
    </w:p>
    <w:p w14:paraId="2DE297D2" w14:textId="182C68D3"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2E7DC748" w14:textId="4C812D50"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Así mismo, durante el 2020 y 2022 se elaboró el documento sobre la Geografía del departamento del Casanare, lo que lo convierte en un instrumento de toma de decisiones para el Gobierno Nacional, en lo correspondiente a los componentes, tales como: procesos biofísicos y relaciones ambientales de la vertiente Andino-</w:t>
      </w:r>
      <w:proofErr w:type="spellStart"/>
      <w:r w:rsidRPr="00B710A9">
        <w:rPr>
          <w:rFonts w:ascii="Arial" w:eastAsia="Arial" w:hAnsi="Arial" w:cs="Arial"/>
          <w:color w:val="000000" w:themeColor="text1"/>
          <w:sz w:val="22"/>
          <w:szCs w:val="22"/>
          <w:lang w:val="es"/>
        </w:rPr>
        <w:t>Orinoquense</w:t>
      </w:r>
      <w:proofErr w:type="spellEnd"/>
      <w:r w:rsidRPr="00B710A9">
        <w:rPr>
          <w:rFonts w:ascii="Arial" w:eastAsia="Arial" w:hAnsi="Arial" w:cs="Arial"/>
          <w:color w:val="000000" w:themeColor="text1"/>
          <w:sz w:val="22"/>
          <w:szCs w:val="22"/>
          <w:lang w:val="es"/>
        </w:rPr>
        <w:t xml:space="preserve"> de Casanare, distribución de la población y procesos socioeconómicos.</w:t>
      </w:r>
    </w:p>
    <w:p w14:paraId="26B32827" w14:textId="25CDCDF6"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 </w:t>
      </w:r>
    </w:p>
    <w:p w14:paraId="63B6BB80" w14:textId="30155170" w:rsidR="13D13739" w:rsidRPr="00B710A9" w:rsidRDefault="75B02D90" w:rsidP="75B02D90">
      <w:pPr>
        <w:spacing w:after="0" w:line="240" w:lineRule="auto"/>
        <w:jc w:val="both"/>
        <w:rPr>
          <w:rFonts w:ascii="Arial" w:eastAsia="Arial" w:hAnsi="Arial" w:cs="Arial"/>
          <w:color w:val="000000" w:themeColor="text1"/>
          <w:sz w:val="22"/>
          <w:szCs w:val="22"/>
          <w:lang w:val="es-MX"/>
        </w:rPr>
      </w:pPr>
      <w:r w:rsidRPr="00B710A9">
        <w:rPr>
          <w:rFonts w:ascii="Arial" w:eastAsia="Arial" w:hAnsi="Arial" w:cs="Arial"/>
          <w:color w:val="000000" w:themeColor="text1"/>
          <w:sz w:val="22"/>
          <w:szCs w:val="22"/>
          <w:lang w:val="es-MX"/>
        </w:rPr>
        <w:t xml:space="preserve">De otra parte, durante el 2021, se realizó una nueva versión del Atlas General de Colombia. Este documento compuesto por mapas, análisis y demás ilustraciones, representa diferentes aspectos geográficos de nuestro país. </w:t>
      </w:r>
    </w:p>
    <w:p w14:paraId="796B49AC" w14:textId="7404EAF5" w:rsidR="13D13739" w:rsidRPr="00B710A9" w:rsidRDefault="13D13739" w:rsidP="009E2397">
      <w:pPr>
        <w:spacing w:after="0" w:line="240" w:lineRule="auto"/>
        <w:jc w:val="center"/>
        <w:rPr>
          <w:rFonts w:ascii="Arial" w:eastAsia="Arial" w:hAnsi="Arial" w:cs="Arial"/>
          <w:b/>
          <w:bCs/>
          <w:sz w:val="20"/>
          <w:szCs w:val="20"/>
          <w:lang w:val="es-MX"/>
        </w:rPr>
      </w:pPr>
    </w:p>
    <w:p w14:paraId="79668EF2" w14:textId="4EB7D599" w:rsidR="13D13739" w:rsidRPr="00B710A9" w:rsidRDefault="009E2397" w:rsidP="009E2397">
      <w:pPr>
        <w:pStyle w:val="Descripcin"/>
        <w:jc w:val="center"/>
        <w:rPr>
          <w:rFonts w:ascii="Arial" w:eastAsia="Arial" w:hAnsi="Arial" w:cs="Arial"/>
          <w:b/>
          <w:bCs/>
          <w:i w:val="0"/>
          <w:iCs w:val="0"/>
          <w:color w:val="auto"/>
          <w:sz w:val="14"/>
          <w:szCs w:val="14"/>
          <w:lang w:val="es"/>
        </w:rPr>
      </w:pPr>
      <w:bookmarkStart w:id="8" w:name="_Toc109057771"/>
      <w:r w:rsidRPr="00B710A9">
        <w:rPr>
          <w:rFonts w:ascii="Arial" w:hAnsi="Arial" w:cs="Arial"/>
          <w:b/>
          <w:bCs/>
          <w:i w:val="0"/>
          <w:iCs w:val="0"/>
          <w:color w:val="auto"/>
          <w:sz w:val="16"/>
          <w:szCs w:val="16"/>
        </w:rPr>
        <w:t xml:space="preserve">Ilustración </w:t>
      </w:r>
      <w:r w:rsidRPr="00B710A9">
        <w:rPr>
          <w:rFonts w:ascii="Arial" w:hAnsi="Arial" w:cs="Arial"/>
          <w:b/>
          <w:bCs/>
          <w:i w:val="0"/>
          <w:iCs w:val="0"/>
          <w:color w:val="auto"/>
          <w:sz w:val="16"/>
          <w:szCs w:val="16"/>
        </w:rPr>
        <w:fldChar w:fldCharType="begin"/>
      </w:r>
      <w:r w:rsidRPr="00B710A9">
        <w:rPr>
          <w:rFonts w:ascii="Arial" w:hAnsi="Arial" w:cs="Arial"/>
          <w:b/>
          <w:bCs/>
          <w:i w:val="0"/>
          <w:iCs w:val="0"/>
          <w:color w:val="auto"/>
          <w:sz w:val="16"/>
          <w:szCs w:val="16"/>
        </w:rPr>
        <w:instrText xml:space="preserve"> SEQ Ilustración \* ARABIC </w:instrText>
      </w:r>
      <w:r w:rsidRPr="00B710A9">
        <w:rPr>
          <w:rFonts w:ascii="Arial" w:hAnsi="Arial" w:cs="Arial"/>
          <w:b/>
          <w:bCs/>
          <w:i w:val="0"/>
          <w:iCs w:val="0"/>
          <w:color w:val="auto"/>
          <w:sz w:val="16"/>
          <w:szCs w:val="16"/>
        </w:rPr>
        <w:fldChar w:fldCharType="separate"/>
      </w:r>
      <w:r w:rsidR="00735F5D" w:rsidRPr="00B710A9">
        <w:rPr>
          <w:rFonts w:ascii="Arial" w:hAnsi="Arial" w:cs="Arial"/>
          <w:b/>
          <w:bCs/>
          <w:i w:val="0"/>
          <w:iCs w:val="0"/>
          <w:noProof/>
          <w:color w:val="auto"/>
          <w:sz w:val="16"/>
          <w:szCs w:val="16"/>
        </w:rPr>
        <w:t>1</w:t>
      </w:r>
      <w:r w:rsidRPr="00B710A9">
        <w:rPr>
          <w:rFonts w:ascii="Arial" w:hAnsi="Arial" w:cs="Arial"/>
          <w:b/>
          <w:bCs/>
          <w:i w:val="0"/>
          <w:iCs w:val="0"/>
          <w:color w:val="auto"/>
          <w:sz w:val="16"/>
          <w:szCs w:val="16"/>
        </w:rPr>
        <w:fldChar w:fldCharType="end"/>
      </w:r>
      <w:r w:rsidRPr="00B710A9">
        <w:rPr>
          <w:rFonts w:ascii="Arial" w:hAnsi="Arial" w:cs="Arial"/>
          <w:b/>
          <w:bCs/>
          <w:i w:val="0"/>
          <w:iCs w:val="0"/>
          <w:color w:val="auto"/>
          <w:sz w:val="16"/>
          <w:szCs w:val="16"/>
        </w:rPr>
        <w:t>. Atlas de Colombia</w:t>
      </w:r>
      <w:bookmarkEnd w:id="8"/>
    </w:p>
    <w:p w14:paraId="186CB2EC" w14:textId="52CFA552" w:rsidR="13D13739" w:rsidRPr="00B710A9" w:rsidRDefault="75B02D90" w:rsidP="75B02D90">
      <w:pPr>
        <w:spacing w:after="0" w:line="240" w:lineRule="auto"/>
        <w:jc w:val="center"/>
      </w:pPr>
      <w:r w:rsidRPr="00B710A9">
        <w:rPr>
          <w:noProof/>
        </w:rPr>
        <w:drawing>
          <wp:inline distT="0" distB="0" distL="0" distR="0" wp14:anchorId="7AF0C721" wp14:editId="2C291899">
            <wp:extent cx="2778283" cy="3876675"/>
            <wp:effectExtent l="0" t="0" r="3175" b="0"/>
            <wp:docPr id="134431783" name="Imagen 13443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791740" cy="3895452"/>
                    </a:xfrm>
                    <a:prstGeom prst="rect">
                      <a:avLst/>
                    </a:prstGeom>
                  </pic:spPr>
                </pic:pic>
              </a:graphicData>
            </a:graphic>
          </wp:inline>
        </w:drawing>
      </w:r>
    </w:p>
    <w:p w14:paraId="5ED02765" w14:textId="64146A6B" w:rsidR="13D13739" w:rsidRPr="00B710A9" w:rsidRDefault="75B02D90" w:rsidP="75B02D90">
      <w:pPr>
        <w:spacing w:after="0" w:line="240" w:lineRule="auto"/>
        <w:jc w:val="center"/>
        <w:rPr>
          <w:rFonts w:ascii="Arial" w:eastAsia="Arial" w:hAnsi="Arial" w:cs="Arial"/>
          <w:b/>
          <w:bCs/>
          <w:color w:val="000000" w:themeColor="text1"/>
          <w:sz w:val="16"/>
          <w:szCs w:val="16"/>
          <w:lang w:val="es"/>
        </w:rPr>
      </w:pPr>
      <w:r w:rsidRPr="00B710A9">
        <w:rPr>
          <w:rFonts w:ascii="Arial" w:eastAsia="Arial" w:hAnsi="Arial" w:cs="Arial"/>
          <w:b/>
          <w:bCs/>
          <w:color w:val="000000" w:themeColor="text1"/>
          <w:sz w:val="16"/>
          <w:szCs w:val="16"/>
          <w:lang w:val="es"/>
        </w:rPr>
        <w:t>Fuente: IGAC. Dirección de Gestión de la Información Geográfica</w:t>
      </w:r>
    </w:p>
    <w:p w14:paraId="11608857" w14:textId="6549A119"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29D6B84C" w14:textId="1986968B"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115B817E" w14:textId="6A682206" w:rsidR="13D13739" w:rsidRPr="00B710A9" w:rsidRDefault="75B02D90" w:rsidP="75B02D90">
      <w:pPr>
        <w:spacing w:after="0" w:line="240" w:lineRule="auto"/>
        <w:jc w:val="both"/>
        <w:rPr>
          <w:rFonts w:ascii="Arial" w:eastAsia="Arial" w:hAnsi="Arial" w:cs="Arial"/>
          <w:b/>
          <w:bCs/>
          <w:sz w:val="22"/>
          <w:szCs w:val="22"/>
          <w:u w:val="single"/>
          <w:lang w:val="es-MX"/>
        </w:rPr>
      </w:pPr>
      <w:r w:rsidRPr="00B710A9">
        <w:rPr>
          <w:rFonts w:ascii="Arial" w:eastAsia="Arial" w:hAnsi="Arial" w:cs="Arial"/>
          <w:b/>
          <w:bCs/>
          <w:sz w:val="22"/>
          <w:szCs w:val="22"/>
          <w:u w:val="single"/>
          <w:lang w:val="es-MX"/>
        </w:rPr>
        <w:t>Apoyo al ordenamiento territorial del país</w:t>
      </w:r>
    </w:p>
    <w:p w14:paraId="1C80C374" w14:textId="722FF309"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4AD90533" w14:textId="2989FF16"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Ante la importancia que reviste el ordenamiento territorial en el país, se tienen en cuenta las labores misionales de la Dirección General y la Dirección de Gestión de Información Geográfica en la materia, que se resumen en generación de lineamientos metodológicos, Disposición de información geográfica para OT y Participación en las Comisiones de Ordenamiento Territorial de acuerdo con lo dispuesto en la Ley 1454 de 2011. </w:t>
      </w:r>
    </w:p>
    <w:p w14:paraId="35336A0D" w14:textId="77777777" w:rsidR="00970C23" w:rsidRPr="00B710A9" w:rsidRDefault="00970C23" w:rsidP="75B02D90">
      <w:pPr>
        <w:spacing w:after="0" w:line="240" w:lineRule="auto"/>
        <w:jc w:val="both"/>
        <w:rPr>
          <w:rFonts w:ascii="Arial" w:eastAsia="Arial" w:hAnsi="Arial" w:cs="Arial"/>
          <w:color w:val="000000" w:themeColor="text1"/>
          <w:sz w:val="22"/>
          <w:szCs w:val="22"/>
          <w:lang w:val="es"/>
        </w:rPr>
      </w:pPr>
    </w:p>
    <w:p w14:paraId="1EBA0CEB" w14:textId="1078481F"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lastRenderedPageBreak/>
        <w:t xml:space="preserve">En este marco, como primer gran eje de trabajo, en materia de metodologías y estándares en temas de ordenamiento territorial desde el IGAC durante los años 2020, y 2021 y 2022, han sido definidos y publicados los siguientes documentos técnicos. </w:t>
      </w:r>
    </w:p>
    <w:p w14:paraId="6046F934" w14:textId="27E1C74F" w:rsidR="13D13739" w:rsidRPr="00B710A9" w:rsidRDefault="13D13739" w:rsidP="75B02D90">
      <w:pPr>
        <w:spacing w:after="0" w:line="240" w:lineRule="auto"/>
        <w:jc w:val="both"/>
        <w:rPr>
          <w:rFonts w:ascii="Arial" w:eastAsia="Arial" w:hAnsi="Arial" w:cs="Arial"/>
          <w:lang w:val="es"/>
        </w:rPr>
      </w:pPr>
    </w:p>
    <w:p w14:paraId="136FB35C" w14:textId="67F23740" w:rsidR="13D13739" w:rsidRPr="00B710A9" w:rsidRDefault="75B02D90" w:rsidP="00356A3E">
      <w:pPr>
        <w:pStyle w:val="Prrafodelista"/>
        <w:numPr>
          <w:ilvl w:val="0"/>
          <w:numId w:val="15"/>
        </w:num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Lineamientos para el uso de la información geográfica en el desarrollo del componente rural de los planes de ordenamiento territorial (POT)</w:t>
      </w:r>
    </w:p>
    <w:p w14:paraId="112B8C66" w14:textId="250F695E" w:rsidR="13D13739" w:rsidRPr="00B710A9" w:rsidRDefault="75B02D90" w:rsidP="00356A3E">
      <w:pPr>
        <w:pStyle w:val="Prrafodelista"/>
        <w:numPr>
          <w:ilvl w:val="0"/>
          <w:numId w:val="15"/>
        </w:numPr>
        <w:spacing w:after="0" w:line="240" w:lineRule="auto"/>
        <w:jc w:val="both"/>
        <w:rPr>
          <w:rFonts w:ascii="Arial" w:eastAsia="Arial" w:hAnsi="Arial" w:cs="Arial"/>
          <w:color w:val="000000" w:themeColor="text1"/>
          <w:sz w:val="14"/>
          <w:szCs w:val="14"/>
          <w:lang w:val="es"/>
        </w:rPr>
      </w:pPr>
      <w:r w:rsidRPr="00B710A9">
        <w:rPr>
          <w:rFonts w:ascii="Arial" w:eastAsia="Arial" w:hAnsi="Arial" w:cs="Arial"/>
          <w:color w:val="000000" w:themeColor="text1"/>
          <w:sz w:val="22"/>
          <w:szCs w:val="22"/>
          <w:lang w:val="es"/>
        </w:rPr>
        <w:t>Lineamientos de uso de la información geográfica para formulación de Plan de Ordenamiento Departamental (POD)</w:t>
      </w:r>
      <w:r w:rsidRPr="00B710A9">
        <w:rPr>
          <w:rFonts w:ascii="Arial" w:eastAsia="Arial" w:hAnsi="Arial" w:cs="Arial"/>
          <w:color w:val="000000" w:themeColor="text1"/>
          <w:sz w:val="14"/>
          <w:szCs w:val="14"/>
          <w:lang w:val="es"/>
        </w:rPr>
        <w:t xml:space="preserve">   </w:t>
      </w:r>
    </w:p>
    <w:p w14:paraId="16F9A2E2" w14:textId="3E6E677E" w:rsidR="13D13739" w:rsidRPr="00B710A9" w:rsidRDefault="75B02D90" w:rsidP="00356A3E">
      <w:pPr>
        <w:pStyle w:val="Prrafodelista"/>
        <w:numPr>
          <w:ilvl w:val="0"/>
          <w:numId w:val="15"/>
        </w:num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Lineamientos técnicos para la caracterización territorial municipal</w:t>
      </w:r>
    </w:p>
    <w:p w14:paraId="1E583D35" w14:textId="7402E3DF" w:rsidR="13D13739" w:rsidRPr="00B710A9" w:rsidRDefault="75B02D90" w:rsidP="00356A3E">
      <w:pPr>
        <w:pStyle w:val="Prrafodelista"/>
        <w:numPr>
          <w:ilvl w:val="0"/>
          <w:numId w:val="15"/>
        </w:num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Recomendaciones para el proceso de revisión y ajuste de los POT</w:t>
      </w:r>
    </w:p>
    <w:p w14:paraId="086BBF0B" w14:textId="3C340DA9"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0874EF7A" w14:textId="7173871B"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En cuanto a lineamientos técnicos durante el año 2021, se realizó la construcción del documento de Especificaciones Técnicas (ET) para la cartografía de los instrumentos de ordenamiento territorial, teniendo en cuenta el objeto y alcance, las fuentes de información y responsables y los lineamientos técnicos como nivel de detalle, tipo de representación, parámetros de calidad, entre otros.  Durante el año 2022 fue adoptada la Resolución IGAC 658 de 2022 “Por medio de la cual se establecen las especificaciones técnicas mínimas para la generación de cartografía temática oficial de los instrumentos de ordenamiento territorial”, y se construyeron los catálogos de objetos y de representación para la cartografía de los POT.</w:t>
      </w:r>
    </w:p>
    <w:p w14:paraId="3FA17D19" w14:textId="77777777" w:rsidR="003B3672" w:rsidRPr="00B710A9" w:rsidRDefault="003B3672" w:rsidP="75B02D90">
      <w:pPr>
        <w:spacing w:after="0" w:line="240" w:lineRule="auto"/>
        <w:jc w:val="both"/>
        <w:rPr>
          <w:rFonts w:ascii="Arial" w:eastAsia="Arial" w:hAnsi="Arial" w:cs="Arial"/>
          <w:color w:val="000000" w:themeColor="text1"/>
          <w:sz w:val="22"/>
          <w:szCs w:val="22"/>
          <w:lang w:val="es"/>
        </w:rPr>
      </w:pPr>
    </w:p>
    <w:p w14:paraId="1ACA678B" w14:textId="4977F3D4"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En el mismo marco de lo anterior, se ha participado en las mesas de trabajo del módulo de POT del modelo LADM, realizando aportes al diseño del modelo en la definición de unidades espaciales la identificación de Derechos, Restricciones y Responsabilidades e implementando como casos piloto los municipios de Valencia (Córdoba), Villavicencio en el departamento del Meta y Guasca en el departamento de Cundinamarca. </w:t>
      </w:r>
    </w:p>
    <w:p w14:paraId="6FA7626C" w14:textId="77777777" w:rsidR="003B3672" w:rsidRPr="00B710A9" w:rsidRDefault="003B3672" w:rsidP="75B02D90">
      <w:pPr>
        <w:spacing w:after="0" w:line="240" w:lineRule="auto"/>
        <w:jc w:val="both"/>
        <w:rPr>
          <w:rFonts w:ascii="Arial" w:eastAsia="Arial" w:hAnsi="Arial" w:cs="Arial"/>
          <w:color w:val="000000" w:themeColor="text1"/>
          <w:sz w:val="22"/>
          <w:szCs w:val="22"/>
          <w:lang w:val="es"/>
        </w:rPr>
      </w:pPr>
    </w:p>
    <w:p w14:paraId="593DE427" w14:textId="0F3716F1"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En cuanto al segundo eje de trabajo, a través de la plataforma Colombia en Mapas se ha dispuesto información para el ordenamiento territorial, en diferentes escalas de acuerdo con la disponibilidad de las entidades productoras. A la fecha se han consolidado y publicado en Colombia en Mapas treinta y ocho (38) servicios.</w:t>
      </w:r>
    </w:p>
    <w:p w14:paraId="1E088E8E" w14:textId="74E32F32"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78D950D8" w14:textId="02BBFBA1"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En el marco de la disposición de información de ordenamiento territorial, y teniendo en cuenta la información resultante del proyecto de caracterizaciones territoriales, durante el año 2021 se integraron a nivel nacional las tres capas resultantes de las decisiones normativas del nivel municipal. Dichos niveles de información han sido actualizados con la información de los análisis realizados el año 2022</w:t>
      </w:r>
    </w:p>
    <w:p w14:paraId="66D7578F" w14:textId="38EBAC31" w:rsidR="13D13739" w:rsidRPr="00B710A9" w:rsidRDefault="13D13739" w:rsidP="75B02D90">
      <w:pPr>
        <w:spacing w:after="0" w:line="240" w:lineRule="auto"/>
        <w:jc w:val="both"/>
        <w:rPr>
          <w:rFonts w:ascii="Arial" w:eastAsia="Arial" w:hAnsi="Arial" w:cs="Arial"/>
        </w:rPr>
      </w:pPr>
    </w:p>
    <w:p w14:paraId="57975F84" w14:textId="6C3FEA77"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Adicionalmente es importante mencionar que la información dispuesta, es el punto de partida para integrar la información produce el IGAC desde la subdirección de geografía y se constituye contribuye al levantamiento de la línea base de los indicadores que permiten realizar seguimiento y evaluación a las políticas definidas en ordenamiento territorial. </w:t>
      </w:r>
    </w:p>
    <w:p w14:paraId="7EB61F66" w14:textId="77777777" w:rsidR="0022083D" w:rsidRPr="00B710A9" w:rsidRDefault="0022083D" w:rsidP="75B02D90">
      <w:pPr>
        <w:spacing w:after="0" w:line="240" w:lineRule="auto"/>
        <w:jc w:val="both"/>
        <w:rPr>
          <w:rFonts w:ascii="Arial" w:eastAsia="Arial" w:hAnsi="Arial" w:cs="Arial"/>
          <w:color w:val="000000" w:themeColor="text1"/>
          <w:sz w:val="22"/>
          <w:szCs w:val="22"/>
          <w:lang w:val="es"/>
        </w:rPr>
      </w:pPr>
    </w:p>
    <w:p w14:paraId="22CCC570" w14:textId="30D1E11F"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En este sentido, durante el 2022 se han integrado y dispuesto tres niveles cartografía temática generada con fines geográficos por el proyecto de caracterizaciones territoriales, los cuales seguirán siendo integrados durante el año</w:t>
      </w:r>
    </w:p>
    <w:p w14:paraId="75B8F500" w14:textId="77777777" w:rsidR="003B3672" w:rsidRPr="00B710A9" w:rsidRDefault="003B3672" w:rsidP="75B02D90">
      <w:pPr>
        <w:spacing w:after="0" w:line="240" w:lineRule="auto"/>
        <w:jc w:val="both"/>
        <w:rPr>
          <w:rFonts w:ascii="Arial" w:eastAsia="Arial" w:hAnsi="Arial" w:cs="Arial"/>
          <w:color w:val="000000" w:themeColor="text1"/>
          <w:sz w:val="22"/>
          <w:szCs w:val="22"/>
          <w:lang w:val="es"/>
        </w:rPr>
      </w:pPr>
    </w:p>
    <w:p w14:paraId="3E03E2B9" w14:textId="6A589439"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Por último, en el segundo eje estratégico, el IGAC en alianza estratégica con el Ministerio de Industria, Comercio y Turismo – MinCIT durante el año 2021 construyó una funcionalidad en la, para gestionar y disponer información geográfica y servicios estándar para la consulta </w:t>
      </w:r>
      <w:r w:rsidRPr="00B710A9">
        <w:rPr>
          <w:rFonts w:ascii="Arial" w:eastAsia="Arial" w:hAnsi="Arial" w:cs="Arial"/>
          <w:color w:val="000000" w:themeColor="text1"/>
          <w:sz w:val="22"/>
          <w:szCs w:val="22"/>
          <w:lang w:val="es"/>
        </w:rPr>
        <w:lastRenderedPageBreak/>
        <w:t>de uso del suelo, como parte de la estrategia Estado Simple, Colombia Ágil, para 6 municipios del país</w:t>
      </w:r>
    </w:p>
    <w:p w14:paraId="45B57A03" w14:textId="20653B45" w:rsidR="13D13739" w:rsidRPr="00B710A9" w:rsidRDefault="13D13739" w:rsidP="75B02D90">
      <w:pPr>
        <w:spacing w:after="0" w:line="240" w:lineRule="auto"/>
        <w:jc w:val="both"/>
        <w:rPr>
          <w:rFonts w:ascii="Arial" w:eastAsia="Arial" w:hAnsi="Arial" w:cs="Arial"/>
        </w:rPr>
      </w:pPr>
    </w:p>
    <w:p w14:paraId="4F0C9A0B" w14:textId="0E157E5A"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Durante el año 2021 se desarrolló la herramienta para los municipios de Buenaventura, Santa Marta, Yopal, </w:t>
      </w:r>
      <w:r w:rsidR="00127485" w:rsidRPr="00B710A9">
        <w:rPr>
          <w:rFonts w:ascii="Arial" w:eastAsia="Arial" w:hAnsi="Arial" w:cs="Arial"/>
          <w:color w:val="000000" w:themeColor="text1"/>
          <w:sz w:val="22"/>
          <w:szCs w:val="22"/>
          <w:lang w:val="es"/>
        </w:rPr>
        <w:t>Villarrica</w:t>
      </w:r>
      <w:r w:rsidRPr="00B710A9">
        <w:rPr>
          <w:rFonts w:ascii="Arial" w:eastAsia="Arial" w:hAnsi="Arial" w:cs="Arial"/>
          <w:color w:val="000000" w:themeColor="text1"/>
          <w:sz w:val="22"/>
          <w:szCs w:val="22"/>
          <w:lang w:val="es"/>
        </w:rPr>
        <w:t xml:space="preserve"> Cauca, Guasca y Zipaquirá y en el año 2022 se ha construido para el municipio de Leticia. </w:t>
      </w:r>
    </w:p>
    <w:p w14:paraId="64041F35" w14:textId="77777777" w:rsidR="003B3672" w:rsidRPr="00B710A9" w:rsidRDefault="003B3672" w:rsidP="75B02D90">
      <w:pPr>
        <w:spacing w:after="0" w:line="240" w:lineRule="auto"/>
        <w:jc w:val="both"/>
        <w:rPr>
          <w:rFonts w:ascii="Arial" w:eastAsia="Arial" w:hAnsi="Arial" w:cs="Arial"/>
          <w:color w:val="000000" w:themeColor="text1"/>
          <w:sz w:val="22"/>
          <w:szCs w:val="22"/>
          <w:lang w:val="es"/>
        </w:rPr>
      </w:pPr>
    </w:p>
    <w:p w14:paraId="26E590C0" w14:textId="0D2E306A"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Como tercer eje de trabajo el IGAC participa activamente, a través de la Subdirección de Geografía, en la Comisión de Ordenamiento Territorial nacional y su plan de acción anual que para los años 2020, 2021 y 2022 tiene como ejes centrales la formulación de la Política General de ordenamiento territorial (PGOT) y la conformación y diseño del Observatorio de ordenamiento territorial (OOT). </w:t>
      </w:r>
    </w:p>
    <w:p w14:paraId="40040529" w14:textId="77777777" w:rsidR="003B3672" w:rsidRPr="00B710A9" w:rsidRDefault="003B3672" w:rsidP="75B02D90">
      <w:pPr>
        <w:spacing w:after="0" w:line="240" w:lineRule="auto"/>
        <w:jc w:val="both"/>
        <w:rPr>
          <w:rFonts w:ascii="Arial" w:eastAsia="Arial" w:hAnsi="Arial" w:cs="Arial"/>
          <w:color w:val="000000" w:themeColor="text1"/>
          <w:sz w:val="22"/>
          <w:szCs w:val="22"/>
          <w:lang w:val="es"/>
        </w:rPr>
      </w:pPr>
    </w:p>
    <w:p w14:paraId="10EF501A" w14:textId="3F009856"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En materia del OOT, se ha participado en el Decreto reglamentario del artículo 38 de la Ley 2079 de 2021, Ley de vivienda, el cual insta al gobierno nacional a crear el OOT y plantea que la base geográfica, así como la plataforma tecnología estará a cargo del IGAC. En la actualidad existe una versión del documento normativo en donde se definen las diferentes instancias y funciones de las entidades y en donde el IGAC, se plantea como Gerente técnico del OOT. Durante el de 2022 se realizaron aportes al Decreto de reglamentación del artículo 38 de la Ley 2029 de 2021</w:t>
      </w:r>
    </w:p>
    <w:p w14:paraId="4E3F1CEE" w14:textId="237575D1" w:rsidR="13D13739" w:rsidRPr="00B710A9" w:rsidRDefault="13D13739" w:rsidP="75B02D90">
      <w:pPr>
        <w:spacing w:after="0" w:line="240" w:lineRule="auto"/>
        <w:jc w:val="both"/>
        <w:rPr>
          <w:rFonts w:ascii="Arial" w:eastAsia="Arial" w:hAnsi="Arial" w:cs="Arial"/>
        </w:rPr>
      </w:pPr>
    </w:p>
    <w:p w14:paraId="0921E324" w14:textId="7423CC3E"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En cuanto a estructuración y disposición, de planes de ordenamiento territorial, se cerró el año 2021 con 350 POT dispuestos. A estos se les adicionan POT de 400 municipios durante la vigencia 2022. Es así como en la actualidad se encuentran disponibles 750 POT en la herramienta de </w:t>
      </w:r>
      <w:hyperlink r:id="rId19">
        <w:r w:rsidRPr="00B710A9">
          <w:rPr>
            <w:rStyle w:val="Hipervnculo"/>
            <w:rFonts w:ascii="Arial" w:eastAsia="Arial" w:hAnsi="Arial" w:cs="Arial"/>
            <w:sz w:val="22"/>
            <w:szCs w:val="22"/>
            <w:lang w:val="es"/>
          </w:rPr>
          <w:t>https://www.colombiaot.gov.co/docuvisor/</w:t>
        </w:r>
      </w:hyperlink>
      <w:r w:rsidRPr="00B710A9">
        <w:rPr>
          <w:rFonts w:ascii="Arial" w:eastAsia="Arial" w:hAnsi="Arial" w:cs="Arial"/>
          <w:color w:val="000000" w:themeColor="text1"/>
          <w:sz w:val="22"/>
          <w:szCs w:val="22"/>
          <w:lang w:val="es"/>
        </w:rPr>
        <w:t xml:space="preserve">, Estructurados teniendo en cuenta la fase en la que se encuentran, formatos, temáticas, niveles de detalle, entre otros atributos de la información que compone los POT de la siguiente forma: </w:t>
      </w:r>
    </w:p>
    <w:p w14:paraId="7898D2D5" w14:textId="6123BA86" w:rsidR="13D13739" w:rsidRPr="00B710A9" w:rsidRDefault="75B02D90" w:rsidP="009D279A">
      <w:pPr>
        <w:spacing w:after="0" w:line="240" w:lineRule="auto"/>
        <w:jc w:val="both"/>
      </w:pPr>
      <w:r w:rsidRPr="00B710A9">
        <w:rPr>
          <w:rFonts w:ascii="Arial" w:eastAsia="Arial" w:hAnsi="Arial" w:cs="Arial"/>
          <w:color w:val="000000" w:themeColor="text1"/>
          <w:sz w:val="22"/>
          <w:szCs w:val="22"/>
          <w:lang w:val="es"/>
        </w:rPr>
        <w:t xml:space="preserve"> </w:t>
      </w:r>
    </w:p>
    <w:p w14:paraId="4B23E970" w14:textId="7A1E9F68"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 </w:t>
      </w:r>
    </w:p>
    <w:p w14:paraId="0335BB73" w14:textId="5A65A93F" w:rsidR="13D13739" w:rsidRPr="00B710A9" w:rsidRDefault="0022083D" w:rsidP="0022083D">
      <w:pPr>
        <w:pStyle w:val="Descripcin"/>
        <w:jc w:val="center"/>
        <w:rPr>
          <w:rFonts w:ascii="Arial" w:hAnsi="Arial" w:cs="Arial"/>
          <w:b/>
          <w:bCs/>
          <w:i w:val="0"/>
          <w:iCs w:val="0"/>
          <w:color w:val="auto"/>
          <w:sz w:val="16"/>
          <w:szCs w:val="16"/>
        </w:rPr>
      </w:pPr>
      <w:bookmarkStart w:id="9" w:name="_Toc109057772"/>
      <w:r w:rsidRPr="00B710A9">
        <w:rPr>
          <w:rFonts w:ascii="Arial" w:hAnsi="Arial" w:cs="Arial"/>
          <w:b/>
          <w:bCs/>
          <w:i w:val="0"/>
          <w:iCs w:val="0"/>
          <w:color w:val="auto"/>
          <w:sz w:val="16"/>
          <w:szCs w:val="16"/>
        </w:rPr>
        <w:t xml:space="preserve">Ilustración </w:t>
      </w:r>
      <w:r w:rsidRPr="00B710A9">
        <w:rPr>
          <w:rFonts w:ascii="Arial" w:hAnsi="Arial" w:cs="Arial"/>
          <w:b/>
          <w:bCs/>
          <w:i w:val="0"/>
          <w:iCs w:val="0"/>
          <w:color w:val="auto"/>
          <w:sz w:val="16"/>
          <w:szCs w:val="16"/>
        </w:rPr>
        <w:fldChar w:fldCharType="begin"/>
      </w:r>
      <w:r w:rsidRPr="00B710A9">
        <w:rPr>
          <w:rFonts w:ascii="Arial" w:hAnsi="Arial" w:cs="Arial"/>
          <w:b/>
          <w:bCs/>
          <w:i w:val="0"/>
          <w:iCs w:val="0"/>
          <w:color w:val="auto"/>
          <w:sz w:val="16"/>
          <w:szCs w:val="16"/>
        </w:rPr>
        <w:instrText xml:space="preserve"> SEQ Ilustración \* ARABIC </w:instrText>
      </w:r>
      <w:r w:rsidRPr="00B710A9">
        <w:rPr>
          <w:rFonts w:ascii="Arial" w:hAnsi="Arial" w:cs="Arial"/>
          <w:b/>
          <w:bCs/>
          <w:i w:val="0"/>
          <w:iCs w:val="0"/>
          <w:color w:val="auto"/>
          <w:sz w:val="16"/>
          <w:szCs w:val="16"/>
        </w:rPr>
        <w:fldChar w:fldCharType="separate"/>
      </w:r>
      <w:r w:rsidR="00735F5D" w:rsidRPr="00B710A9">
        <w:rPr>
          <w:rFonts w:ascii="Arial" w:hAnsi="Arial" w:cs="Arial"/>
          <w:b/>
          <w:bCs/>
          <w:i w:val="0"/>
          <w:iCs w:val="0"/>
          <w:noProof/>
          <w:color w:val="auto"/>
          <w:sz w:val="16"/>
          <w:szCs w:val="16"/>
        </w:rPr>
        <w:t>2</w:t>
      </w:r>
      <w:r w:rsidRPr="00B710A9">
        <w:rPr>
          <w:rFonts w:ascii="Arial" w:hAnsi="Arial" w:cs="Arial"/>
          <w:b/>
          <w:bCs/>
          <w:i w:val="0"/>
          <w:iCs w:val="0"/>
          <w:color w:val="auto"/>
          <w:sz w:val="16"/>
          <w:szCs w:val="16"/>
        </w:rPr>
        <w:fldChar w:fldCharType="end"/>
      </w:r>
      <w:r w:rsidRPr="00B710A9">
        <w:rPr>
          <w:rFonts w:ascii="Arial" w:hAnsi="Arial" w:cs="Arial"/>
          <w:b/>
          <w:bCs/>
          <w:i w:val="0"/>
          <w:iCs w:val="0"/>
          <w:color w:val="auto"/>
          <w:sz w:val="16"/>
          <w:szCs w:val="16"/>
        </w:rPr>
        <w:t>. Estructura de la herramienta de consulta de POT</w:t>
      </w:r>
      <w:bookmarkEnd w:id="9"/>
    </w:p>
    <w:p w14:paraId="2757AA6E" w14:textId="27C0B540" w:rsidR="13D13739" w:rsidRPr="00B710A9" w:rsidRDefault="75B02D90" w:rsidP="75B02D90">
      <w:pPr>
        <w:spacing w:after="0" w:line="240" w:lineRule="auto"/>
        <w:jc w:val="center"/>
      </w:pPr>
      <w:r w:rsidRPr="00B710A9">
        <w:rPr>
          <w:noProof/>
        </w:rPr>
        <w:lastRenderedPageBreak/>
        <w:drawing>
          <wp:inline distT="0" distB="0" distL="0" distR="0" wp14:anchorId="61E9AFE4" wp14:editId="60034804">
            <wp:extent cx="4933952" cy="4861998"/>
            <wp:effectExtent l="0" t="0" r="0" b="0"/>
            <wp:docPr id="343288754" name="Imagen 34328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3288754"/>
                    <pic:cNvPicPr/>
                  </pic:nvPicPr>
                  <pic:blipFill>
                    <a:blip r:embed="rId20">
                      <a:extLst>
                        <a:ext uri="{28A0092B-C50C-407E-A947-70E740481C1C}">
                          <a14:useLocalDpi xmlns:a14="http://schemas.microsoft.com/office/drawing/2010/main" val="0"/>
                        </a:ext>
                      </a:extLst>
                    </a:blip>
                    <a:stretch>
                      <a:fillRect/>
                    </a:stretch>
                  </pic:blipFill>
                  <pic:spPr>
                    <a:xfrm>
                      <a:off x="0" y="0"/>
                      <a:ext cx="4933952" cy="4861998"/>
                    </a:xfrm>
                    <a:prstGeom prst="rect">
                      <a:avLst/>
                    </a:prstGeom>
                  </pic:spPr>
                </pic:pic>
              </a:graphicData>
            </a:graphic>
          </wp:inline>
        </w:drawing>
      </w:r>
      <w:r w:rsidR="13D13739" w:rsidRPr="00B710A9">
        <w:br/>
      </w:r>
      <w:r w:rsidRPr="00B710A9">
        <w:rPr>
          <w:rFonts w:ascii="Arial" w:eastAsia="Arial" w:hAnsi="Arial" w:cs="Arial"/>
          <w:b/>
          <w:bCs/>
          <w:color w:val="000000" w:themeColor="text1"/>
          <w:sz w:val="16"/>
          <w:szCs w:val="16"/>
          <w:lang w:val="es"/>
        </w:rPr>
        <w:t xml:space="preserve">Fuente: IGAC. Dirección de Gestión de la Información Geográfica </w:t>
      </w:r>
    </w:p>
    <w:p w14:paraId="39BA8A9C" w14:textId="19BCD7C0" w:rsidR="33A1FD1F" w:rsidRPr="00B710A9" w:rsidRDefault="33A1FD1F" w:rsidP="33A1FD1F">
      <w:pPr>
        <w:spacing w:after="0" w:line="240" w:lineRule="auto"/>
        <w:jc w:val="center"/>
        <w:rPr>
          <w:rFonts w:ascii="Arial" w:eastAsia="Arial" w:hAnsi="Arial" w:cs="Arial"/>
          <w:b/>
          <w:bCs/>
          <w:color w:val="000000" w:themeColor="text1"/>
          <w:sz w:val="16"/>
          <w:szCs w:val="16"/>
          <w:lang w:val="es"/>
        </w:rPr>
      </w:pPr>
    </w:p>
    <w:p w14:paraId="370B517E" w14:textId="5FC918CE" w:rsidR="33A1FD1F" w:rsidRPr="00B710A9" w:rsidRDefault="33A1FD1F" w:rsidP="33A1FD1F">
      <w:pPr>
        <w:spacing w:after="0" w:line="240" w:lineRule="auto"/>
        <w:jc w:val="center"/>
        <w:rPr>
          <w:rFonts w:ascii="Arial" w:eastAsia="Arial" w:hAnsi="Arial" w:cs="Arial"/>
          <w:b/>
          <w:bCs/>
          <w:color w:val="000000" w:themeColor="text1"/>
          <w:sz w:val="16"/>
          <w:szCs w:val="16"/>
          <w:lang w:val="es"/>
        </w:rPr>
      </w:pPr>
    </w:p>
    <w:p w14:paraId="134085C3" w14:textId="5282FE46"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Asimismo, con relación a la plataforma Colombia OT, cuyo propósito es brindar a los usuarios por medio de consulta, la información sobre los Planes de Ordenamiento Territorial, se avanzó en el mejoramiento de la misma, con la migración de la información al Sistema de contenidos Drupal que permitió generar la base para la creación de los tipos de contenido y avanzar en la construcción del formulario de carga de un Plan de Ordenamiento Territorial</w:t>
      </w:r>
    </w:p>
    <w:p w14:paraId="38294896" w14:textId="00E047F4"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2095094B" w14:textId="444C4E81"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01418E80" w14:textId="4C4668AB" w:rsidR="13D13739" w:rsidRPr="00B710A9" w:rsidRDefault="75B02D90" w:rsidP="75B02D90">
      <w:pPr>
        <w:spacing w:after="0" w:line="240" w:lineRule="auto"/>
        <w:jc w:val="both"/>
        <w:rPr>
          <w:rFonts w:ascii="Arial" w:eastAsia="Arial" w:hAnsi="Arial" w:cs="Arial"/>
          <w:b/>
          <w:color w:val="000000" w:themeColor="text1"/>
          <w:sz w:val="22"/>
          <w:szCs w:val="22"/>
          <w:u w:val="single"/>
          <w:lang w:val="es-MX"/>
        </w:rPr>
      </w:pPr>
      <w:r w:rsidRPr="00B710A9">
        <w:rPr>
          <w:rFonts w:ascii="Arial" w:eastAsia="Arial" w:hAnsi="Arial" w:cs="Arial"/>
          <w:b/>
          <w:color w:val="000000" w:themeColor="text1"/>
          <w:sz w:val="22"/>
          <w:szCs w:val="22"/>
          <w:u w:val="single"/>
          <w:lang w:val="es-MX"/>
        </w:rPr>
        <w:t>Diccionario geográfico y base nacional de nombres geográficos</w:t>
      </w:r>
    </w:p>
    <w:p w14:paraId="12E795FD" w14:textId="5363E8B7" w:rsidR="33A1FD1F" w:rsidRPr="00B710A9" w:rsidRDefault="33A1FD1F" w:rsidP="33A1FD1F">
      <w:pPr>
        <w:spacing w:after="0" w:line="240" w:lineRule="auto"/>
        <w:jc w:val="both"/>
        <w:rPr>
          <w:rFonts w:ascii="Arial" w:eastAsia="Arial" w:hAnsi="Arial" w:cs="Arial"/>
          <w:b/>
          <w:bCs/>
          <w:color w:val="000000" w:themeColor="text1"/>
          <w:u w:val="single"/>
          <w:lang w:val="es-MX"/>
        </w:rPr>
      </w:pPr>
    </w:p>
    <w:p w14:paraId="1DD88325" w14:textId="0BE8B191"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El IGAC es la autoridad encargada de establecer, mantener y administrar la base de datos de los nombres geográficos o topónimos oficiales del país, los cuales son de utilidad para identificar y localizar los lugares en que se desarrolla cualquier actividad, siendo la base fundamental para los buscadores geográficos.</w:t>
      </w:r>
    </w:p>
    <w:p w14:paraId="34D06A36" w14:textId="77777777" w:rsidR="003B3672" w:rsidRPr="00B710A9" w:rsidRDefault="003B3672" w:rsidP="75B02D90">
      <w:pPr>
        <w:spacing w:after="0" w:line="240" w:lineRule="auto"/>
        <w:jc w:val="both"/>
        <w:rPr>
          <w:rFonts w:ascii="Arial" w:eastAsia="Arial" w:hAnsi="Arial" w:cs="Arial"/>
          <w:color w:val="000000" w:themeColor="text1"/>
          <w:sz w:val="22"/>
          <w:szCs w:val="22"/>
          <w:lang w:val="es"/>
        </w:rPr>
      </w:pPr>
    </w:p>
    <w:p w14:paraId="019F0E64" w14:textId="70760DF8"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Por esta razón, se definió e implementó el modelo de la Base Nacional de Nombres Geográficos y se establecieron pautas para integrar los registros asociados al diccionario geográfico y toponimia. Así mismo, se actualizaron 60.000 topónimos correspondientes a </w:t>
      </w:r>
      <w:r w:rsidRPr="00B710A9">
        <w:rPr>
          <w:rFonts w:ascii="Arial" w:eastAsia="Arial" w:hAnsi="Arial" w:cs="Arial"/>
          <w:color w:val="000000" w:themeColor="text1"/>
          <w:sz w:val="22"/>
          <w:szCs w:val="22"/>
          <w:lang w:val="es"/>
        </w:rPr>
        <w:lastRenderedPageBreak/>
        <w:t>reservas naturales de la sociedad civil, equipamientos e infraestructura de todo el país. Además, durante el año 2021 se consolidó e integró la información de 544.009 (120.009 registros se encuentran en de control de calidad) registros de nombres geográficos en la Base Nacional de Nombres Geográficos a diferentes escalas de cartografía oficial IGAC y fuentes externas.</w:t>
      </w:r>
    </w:p>
    <w:p w14:paraId="7AEE4226" w14:textId="77777777" w:rsidR="003B3672" w:rsidRPr="00B710A9" w:rsidRDefault="003B3672" w:rsidP="75B02D90">
      <w:pPr>
        <w:spacing w:after="0" w:line="240" w:lineRule="auto"/>
        <w:jc w:val="both"/>
        <w:rPr>
          <w:rFonts w:ascii="Arial" w:eastAsia="Arial" w:hAnsi="Arial" w:cs="Arial"/>
          <w:color w:val="000000" w:themeColor="text1"/>
          <w:sz w:val="22"/>
          <w:szCs w:val="22"/>
          <w:lang w:val="es"/>
        </w:rPr>
      </w:pPr>
    </w:p>
    <w:p w14:paraId="3FACC1E1" w14:textId="1FC2F1D3"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Adicionalmente, se conceptualizó, diseño y se puso a disposición la nueva versión del Diccionario Geográfico de Colombia (DGC) en </w:t>
      </w:r>
      <w:hyperlink r:id="rId21">
        <w:r w:rsidRPr="00B710A9">
          <w:rPr>
            <w:rStyle w:val="Hipervnculo"/>
            <w:rFonts w:ascii="Arial" w:eastAsia="Arial" w:hAnsi="Arial" w:cs="Arial"/>
            <w:sz w:val="22"/>
            <w:szCs w:val="22"/>
            <w:lang w:val="es"/>
          </w:rPr>
          <w:t>https://diccionario.igac.gov.co/</w:t>
        </w:r>
      </w:hyperlink>
      <w:r w:rsidRPr="00B710A9">
        <w:rPr>
          <w:rFonts w:ascii="Arial" w:eastAsia="Arial" w:hAnsi="Arial" w:cs="Arial"/>
          <w:color w:val="000000" w:themeColor="text1"/>
          <w:sz w:val="22"/>
          <w:szCs w:val="22"/>
          <w:lang w:val="es"/>
        </w:rPr>
        <w:t>, la cual tiene como propósito llevar la búsqueda de la toponimia del país hacia una experiencia digital. Cientos de páginas de términos y nombres geográficos que hasta hoy estuvieron limitados a volúmenes impresos, ahora están en-línea a un clic de distancia. Más de 200.000 topónimos y términos geográficos expanden los límites de lo que percibimos de nuestro territorio. Conocer la realidad geográfica del país permite entenderlo de una manera más cercana y dimensionar sus riquezas. También, nos da una noción de su historia, de las sociedades que viven en sus regiones, y los significados que se construyen entorno a su paisaje geográfico. A la fecha se registran 5.049 visitas</w:t>
      </w:r>
    </w:p>
    <w:p w14:paraId="2DD30D6C" w14:textId="14E4FE8A"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2F0B2968" w14:textId="2AF693FF"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Durante el 2022, se realizó la revisión y priorización de topónimos a actualizar. Adicionalmente, se consolidó información insumo para la actualización de las descripciones de entidades territoriales. Por otro lado, se realizaron acercamientos con diferentes entidades y organizaciones para gestionar información útil para el robustecimiento de la base de datos.</w:t>
      </w:r>
    </w:p>
    <w:p w14:paraId="53C1CA62" w14:textId="77777777" w:rsidR="003B3672" w:rsidRPr="00B710A9" w:rsidRDefault="003B3672" w:rsidP="75B02D90">
      <w:pPr>
        <w:spacing w:after="0" w:line="240" w:lineRule="auto"/>
        <w:jc w:val="both"/>
        <w:rPr>
          <w:rFonts w:ascii="Arial" w:eastAsia="Arial" w:hAnsi="Arial" w:cs="Arial"/>
          <w:color w:val="000000" w:themeColor="text1"/>
          <w:sz w:val="22"/>
          <w:szCs w:val="22"/>
          <w:lang w:val="es"/>
        </w:rPr>
      </w:pPr>
    </w:p>
    <w:p w14:paraId="3900E216" w14:textId="6BE0754D"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Es importante mencionar que en el 2022 se ha avanzado en la implementación de dos nuevos proyectos relacionados. El primero consiste en desarrollar un piloto en la región amazónica, con la inclusión de un enfoque diferencial étnico en el proceso de levantamiento y validación de nombres geográficos. Igualmente, se definió una primera versión de la estrategia para el desarrollo del piloto, se llevaron a cabo reuniones de articulación interinstitucional, una con el Ministerio de Cultura y la otra con la Facultad de Lingüística de la Universidad Nacional de Colombia, y con la participación de otros eventos relacionados</w:t>
      </w:r>
      <w:r w:rsidR="00B710A9" w:rsidRPr="00B710A9">
        <w:rPr>
          <w:rFonts w:ascii="Arial" w:eastAsia="Arial" w:hAnsi="Arial" w:cs="Arial"/>
          <w:color w:val="000000" w:themeColor="text1"/>
          <w:sz w:val="22"/>
          <w:szCs w:val="22"/>
          <w:lang w:val="es"/>
        </w:rPr>
        <w:t>.</w:t>
      </w:r>
    </w:p>
    <w:p w14:paraId="39745AE8" w14:textId="77777777" w:rsidR="00B710A9" w:rsidRPr="00B710A9" w:rsidRDefault="00B710A9" w:rsidP="75B02D90">
      <w:pPr>
        <w:spacing w:after="0" w:line="240" w:lineRule="auto"/>
        <w:jc w:val="both"/>
        <w:rPr>
          <w:rFonts w:ascii="Arial" w:eastAsia="Arial" w:hAnsi="Arial" w:cs="Arial"/>
          <w:color w:val="000000" w:themeColor="text1"/>
          <w:sz w:val="22"/>
          <w:szCs w:val="22"/>
          <w:lang w:val="es"/>
        </w:rPr>
      </w:pPr>
    </w:p>
    <w:p w14:paraId="1EC14B9C" w14:textId="4F321734" w:rsidR="13D13739" w:rsidRPr="00B710A9" w:rsidRDefault="75B02D90" w:rsidP="75B02D90">
      <w:pPr>
        <w:spacing w:after="0" w:line="240" w:lineRule="auto"/>
        <w:jc w:val="both"/>
        <w:rPr>
          <w:rFonts w:ascii="Arial" w:eastAsia="Arial" w:hAnsi="Arial" w:cs="Arial"/>
          <w:b/>
          <w:color w:val="000000" w:themeColor="text1"/>
          <w:sz w:val="22"/>
          <w:szCs w:val="22"/>
          <w:u w:val="single"/>
        </w:rPr>
      </w:pPr>
      <w:r w:rsidRPr="00B710A9">
        <w:rPr>
          <w:rFonts w:ascii="Arial" w:eastAsia="Arial" w:hAnsi="Arial" w:cs="Arial"/>
          <w:b/>
          <w:color w:val="000000" w:themeColor="text1"/>
          <w:sz w:val="22"/>
          <w:szCs w:val="22"/>
          <w:u w:val="single"/>
          <w:lang w:val="es-MX"/>
        </w:rPr>
        <w:t>Estudios técnicos de deslindes y de territorios indígenas</w:t>
      </w:r>
      <w:r w:rsidRPr="00B710A9">
        <w:rPr>
          <w:rFonts w:ascii="Arial" w:eastAsia="Arial" w:hAnsi="Arial" w:cs="Arial"/>
          <w:b/>
          <w:color w:val="000000" w:themeColor="text1"/>
          <w:sz w:val="22"/>
          <w:szCs w:val="22"/>
          <w:u w:val="single"/>
        </w:rPr>
        <w:t xml:space="preserve"> </w:t>
      </w:r>
    </w:p>
    <w:p w14:paraId="371FB408" w14:textId="61D928A4" w:rsidR="13D13739" w:rsidRPr="00B710A9" w:rsidRDefault="75B02D90" w:rsidP="75B02D90">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lang w:val="es"/>
        </w:rPr>
        <w:t xml:space="preserve"> </w:t>
      </w:r>
      <w:r w:rsidRPr="00B710A9">
        <w:rPr>
          <w:rFonts w:ascii="Arial" w:eastAsia="Arial" w:hAnsi="Arial" w:cs="Arial"/>
          <w:color w:val="000000" w:themeColor="text1"/>
          <w:sz w:val="22"/>
          <w:szCs w:val="22"/>
        </w:rPr>
        <w:t xml:space="preserve"> </w:t>
      </w:r>
    </w:p>
    <w:p w14:paraId="179C8157" w14:textId="17A29296"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Como parte de la gestión y con el ánimo de dinamizar la definición de las líneas limítrofes en el país, el IGAC desde el 2020 hasta el 30 de junio del 2022, se han </w:t>
      </w:r>
      <w:proofErr w:type="spellStart"/>
      <w:r w:rsidRPr="00B710A9">
        <w:rPr>
          <w:rFonts w:ascii="Arial" w:eastAsia="Arial" w:hAnsi="Arial" w:cs="Arial"/>
          <w:color w:val="000000" w:themeColor="text1"/>
          <w:sz w:val="22"/>
          <w:szCs w:val="22"/>
          <w:lang w:val="es"/>
        </w:rPr>
        <w:t>aperturado</w:t>
      </w:r>
      <w:proofErr w:type="spellEnd"/>
      <w:r w:rsidRPr="00B710A9">
        <w:rPr>
          <w:rFonts w:ascii="Arial" w:eastAsia="Arial" w:hAnsi="Arial" w:cs="Arial"/>
          <w:color w:val="000000" w:themeColor="text1"/>
          <w:sz w:val="22"/>
          <w:szCs w:val="22"/>
          <w:lang w:val="es"/>
        </w:rPr>
        <w:t xml:space="preserve"> treinta y uno (31) procesos de deslindes (231 municipales, 1 distrital y 7 departamentales), en el marco de lo establecido en la Ley 1447 de 2011, logrando finalizar diecisiete (17) de estos.</w:t>
      </w:r>
    </w:p>
    <w:p w14:paraId="5107F2B6" w14:textId="1F8B498E" w:rsidR="13D13739" w:rsidRPr="00B710A9" w:rsidRDefault="13D13739" w:rsidP="75B02D90">
      <w:pPr>
        <w:spacing w:after="0" w:line="240" w:lineRule="auto"/>
        <w:jc w:val="both"/>
      </w:pPr>
    </w:p>
    <w:p w14:paraId="7C7F5324" w14:textId="2C461861" w:rsidR="13D13739" w:rsidRPr="00B710A9" w:rsidRDefault="0022083D" w:rsidP="0022083D">
      <w:pPr>
        <w:pStyle w:val="Descripcin"/>
        <w:jc w:val="center"/>
        <w:rPr>
          <w:rFonts w:ascii="Arial" w:hAnsi="Arial" w:cs="Arial"/>
          <w:b/>
          <w:bCs/>
          <w:i w:val="0"/>
          <w:iCs w:val="0"/>
          <w:color w:val="auto"/>
          <w:sz w:val="16"/>
          <w:szCs w:val="16"/>
        </w:rPr>
      </w:pPr>
      <w:bookmarkStart w:id="10" w:name="_Toc109057735"/>
      <w:r w:rsidRPr="00B710A9">
        <w:rPr>
          <w:rFonts w:ascii="Arial" w:hAnsi="Arial" w:cs="Arial"/>
          <w:b/>
          <w:bCs/>
          <w:i w:val="0"/>
          <w:iCs w:val="0"/>
          <w:color w:val="auto"/>
          <w:sz w:val="16"/>
          <w:szCs w:val="16"/>
        </w:rPr>
        <w:t xml:space="preserve">Tabla </w:t>
      </w:r>
      <w:r w:rsidRPr="00B710A9">
        <w:rPr>
          <w:rFonts w:ascii="Arial" w:hAnsi="Arial" w:cs="Arial"/>
          <w:b/>
          <w:bCs/>
          <w:i w:val="0"/>
          <w:iCs w:val="0"/>
          <w:color w:val="auto"/>
          <w:sz w:val="16"/>
          <w:szCs w:val="16"/>
        </w:rPr>
        <w:fldChar w:fldCharType="begin"/>
      </w:r>
      <w:r w:rsidRPr="00B710A9">
        <w:rPr>
          <w:rFonts w:ascii="Arial" w:hAnsi="Arial" w:cs="Arial"/>
          <w:b/>
          <w:bCs/>
          <w:i w:val="0"/>
          <w:iCs w:val="0"/>
          <w:color w:val="auto"/>
          <w:sz w:val="16"/>
          <w:szCs w:val="16"/>
        </w:rPr>
        <w:instrText xml:space="preserve"> SEQ Tabla \* ARABIC </w:instrText>
      </w:r>
      <w:r w:rsidRPr="00B710A9">
        <w:rPr>
          <w:rFonts w:ascii="Arial" w:hAnsi="Arial" w:cs="Arial"/>
          <w:b/>
          <w:bCs/>
          <w:i w:val="0"/>
          <w:iCs w:val="0"/>
          <w:color w:val="auto"/>
          <w:sz w:val="16"/>
          <w:szCs w:val="16"/>
        </w:rPr>
        <w:fldChar w:fldCharType="separate"/>
      </w:r>
      <w:r w:rsidR="00801DF8" w:rsidRPr="00B710A9">
        <w:rPr>
          <w:rFonts w:ascii="Arial" w:hAnsi="Arial" w:cs="Arial"/>
          <w:b/>
          <w:bCs/>
          <w:i w:val="0"/>
          <w:iCs w:val="0"/>
          <w:noProof/>
          <w:color w:val="auto"/>
          <w:sz w:val="16"/>
          <w:szCs w:val="16"/>
        </w:rPr>
        <w:t>5</w:t>
      </w:r>
      <w:r w:rsidRPr="00B710A9">
        <w:rPr>
          <w:rFonts w:ascii="Arial" w:hAnsi="Arial" w:cs="Arial"/>
          <w:b/>
          <w:bCs/>
          <w:i w:val="0"/>
          <w:iCs w:val="0"/>
          <w:color w:val="auto"/>
          <w:sz w:val="16"/>
          <w:szCs w:val="16"/>
        </w:rPr>
        <w:fldChar w:fldCharType="end"/>
      </w:r>
      <w:r w:rsidRPr="00B710A9">
        <w:rPr>
          <w:rFonts w:ascii="Arial" w:hAnsi="Arial" w:cs="Arial"/>
          <w:b/>
          <w:bCs/>
          <w:i w:val="0"/>
          <w:iCs w:val="0"/>
          <w:color w:val="auto"/>
          <w:sz w:val="16"/>
          <w:szCs w:val="16"/>
        </w:rPr>
        <w:t xml:space="preserve">. Líneas limítrofes con procesos de deslindes </w:t>
      </w:r>
      <w:proofErr w:type="spellStart"/>
      <w:r w:rsidRPr="00B710A9">
        <w:rPr>
          <w:rFonts w:ascii="Arial" w:hAnsi="Arial" w:cs="Arial"/>
          <w:b/>
          <w:bCs/>
          <w:i w:val="0"/>
          <w:iCs w:val="0"/>
          <w:color w:val="auto"/>
          <w:sz w:val="16"/>
          <w:szCs w:val="16"/>
        </w:rPr>
        <w:t>aperturados</w:t>
      </w:r>
      <w:proofErr w:type="spellEnd"/>
      <w:r w:rsidRPr="00B710A9">
        <w:rPr>
          <w:rFonts w:ascii="Arial" w:hAnsi="Arial" w:cs="Arial"/>
          <w:b/>
          <w:bCs/>
          <w:i w:val="0"/>
          <w:iCs w:val="0"/>
          <w:color w:val="auto"/>
          <w:sz w:val="16"/>
          <w:szCs w:val="16"/>
        </w:rPr>
        <w:t xml:space="preserve"> 2020- 2022</w:t>
      </w:r>
      <w:bookmarkEnd w:id="10"/>
    </w:p>
    <w:tbl>
      <w:tblPr>
        <w:tblStyle w:val="Tablaconcuadrcula4-nfasis1"/>
        <w:tblW w:w="0" w:type="auto"/>
        <w:jc w:val="center"/>
        <w:tblLayout w:type="fixed"/>
        <w:tblLook w:val="04A0" w:firstRow="1" w:lastRow="0" w:firstColumn="1" w:lastColumn="0" w:noHBand="0" w:noVBand="1"/>
      </w:tblPr>
      <w:tblGrid>
        <w:gridCol w:w="1845"/>
        <w:gridCol w:w="450"/>
        <w:gridCol w:w="2655"/>
        <w:gridCol w:w="1485"/>
        <w:gridCol w:w="1620"/>
      </w:tblGrid>
      <w:tr w:rsidR="75B02D90" w:rsidRPr="00B710A9" w14:paraId="243D48D6" w14:textId="77777777" w:rsidTr="00024431">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4F81BD"/>
              <w:left w:val="single" w:sz="8" w:space="0" w:color="4F81BD"/>
              <w:bottom w:val="single" w:sz="8" w:space="0" w:color="4F81BD"/>
            </w:tcBorders>
            <w:shd w:val="clear" w:color="auto" w:fill="4F81BD"/>
          </w:tcPr>
          <w:p w14:paraId="37B26708" w14:textId="042134D7" w:rsidR="75B02D90" w:rsidRPr="00B710A9" w:rsidRDefault="75B02D90" w:rsidP="75B02D90">
            <w:pPr>
              <w:jc w:val="center"/>
            </w:pPr>
            <w:r w:rsidRPr="00B710A9">
              <w:rPr>
                <w:rFonts w:ascii="Arial" w:eastAsia="Arial" w:hAnsi="Arial" w:cs="Arial"/>
                <w:sz w:val="18"/>
                <w:szCs w:val="18"/>
                <w:lang w:val="es"/>
              </w:rPr>
              <w:t xml:space="preserve">Procesos </w:t>
            </w:r>
          </w:p>
        </w:tc>
        <w:tc>
          <w:tcPr>
            <w:tcW w:w="3105" w:type="dxa"/>
            <w:gridSpan w:val="2"/>
            <w:tcBorders>
              <w:top w:val="single" w:sz="8" w:space="0" w:color="4F81BD"/>
              <w:bottom w:val="single" w:sz="8" w:space="0" w:color="4F81BD"/>
            </w:tcBorders>
            <w:shd w:val="clear" w:color="auto" w:fill="4F81BD"/>
          </w:tcPr>
          <w:p w14:paraId="7B6FBDB8" w14:textId="1F84D8F8" w:rsidR="75B02D90" w:rsidRPr="00B710A9" w:rsidRDefault="75B02D90" w:rsidP="75B02D90">
            <w:pPr>
              <w:jc w:val="center"/>
              <w:cnfStyle w:val="100000000000" w:firstRow="1" w:lastRow="0" w:firstColumn="0" w:lastColumn="0" w:oddVBand="0" w:evenVBand="0" w:oddHBand="0" w:evenHBand="0" w:firstRowFirstColumn="0" w:firstRowLastColumn="0" w:lastRowFirstColumn="0" w:lastRowLastColumn="0"/>
            </w:pPr>
            <w:r w:rsidRPr="00B710A9">
              <w:rPr>
                <w:rFonts w:ascii="Arial" w:eastAsia="Arial" w:hAnsi="Arial" w:cs="Arial"/>
                <w:sz w:val="18"/>
                <w:szCs w:val="18"/>
                <w:lang w:val="es"/>
              </w:rPr>
              <w:t xml:space="preserve">Línea limítrofe    </w:t>
            </w:r>
          </w:p>
        </w:tc>
        <w:tc>
          <w:tcPr>
            <w:tcW w:w="1485" w:type="dxa"/>
            <w:tcBorders>
              <w:top w:val="single" w:sz="8" w:space="0" w:color="4F81BD"/>
              <w:bottom w:val="single" w:sz="8" w:space="0" w:color="4F81BD"/>
            </w:tcBorders>
            <w:shd w:val="clear" w:color="auto" w:fill="4F81BD"/>
          </w:tcPr>
          <w:p w14:paraId="77467D80" w14:textId="393E9505" w:rsidR="75B02D90" w:rsidRPr="00B710A9" w:rsidRDefault="75B02D90" w:rsidP="75B02D90">
            <w:pPr>
              <w:jc w:val="center"/>
              <w:cnfStyle w:val="100000000000" w:firstRow="1" w:lastRow="0" w:firstColumn="0" w:lastColumn="0" w:oddVBand="0" w:evenVBand="0" w:oddHBand="0" w:evenHBand="0" w:firstRowFirstColumn="0" w:firstRowLastColumn="0" w:lastRowFirstColumn="0" w:lastRowLastColumn="0"/>
            </w:pPr>
            <w:r w:rsidRPr="00B710A9">
              <w:rPr>
                <w:rFonts w:ascii="Arial" w:eastAsia="Arial" w:hAnsi="Arial" w:cs="Arial"/>
                <w:sz w:val="18"/>
                <w:szCs w:val="18"/>
                <w:lang w:val="es"/>
              </w:rPr>
              <w:t xml:space="preserve">Año de apertura  </w:t>
            </w:r>
          </w:p>
        </w:tc>
        <w:tc>
          <w:tcPr>
            <w:tcW w:w="1620" w:type="dxa"/>
            <w:tcBorders>
              <w:top w:val="single" w:sz="8" w:space="0" w:color="4F81BD"/>
              <w:bottom w:val="single" w:sz="8" w:space="0" w:color="4F81BD"/>
              <w:right w:val="single" w:sz="8" w:space="0" w:color="4F81BD"/>
            </w:tcBorders>
            <w:shd w:val="clear" w:color="auto" w:fill="4F81BD"/>
          </w:tcPr>
          <w:p w14:paraId="74B70D2C" w14:textId="1B197FBA" w:rsidR="75B02D90" w:rsidRPr="00B710A9" w:rsidRDefault="75B02D90" w:rsidP="75B02D90">
            <w:pPr>
              <w:jc w:val="center"/>
              <w:cnfStyle w:val="100000000000" w:firstRow="1" w:lastRow="0" w:firstColumn="0" w:lastColumn="0" w:oddVBand="0" w:evenVBand="0" w:oddHBand="0" w:evenHBand="0" w:firstRowFirstColumn="0" w:firstRowLastColumn="0" w:lastRowFirstColumn="0" w:lastRowLastColumn="0"/>
            </w:pPr>
            <w:proofErr w:type="spellStart"/>
            <w:r w:rsidRPr="00B710A9">
              <w:rPr>
                <w:rFonts w:ascii="Arial" w:eastAsia="Arial" w:hAnsi="Arial" w:cs="Arial"/>
                <w:sz w:val="18"/>
                <w:szCs w:val="18"/>
                <w:lang w:val="es"/>
              </w:rPr>
              <w:t>Aperturado</w:t>
            </w:r>
            <w:proofErr w:type="spellEnd"/>
            <w:r w:rsidRPr="00B710A9">
              <w:rPr>
                <w:rFonts w:ascii="Arial" w:eastAsia="Arial" w:hAnsi="Arial" w:cs="Arial"/>
                <w:sz w:val="18"/>
                <w:szCs w:val="18"/>
                <w:lang w:val="es"/>
              </w:rPr>
              <w:t xml:space="preserve"> por  </w:t>
            </w:r>
          </w:p>
        </w:tc>
      </w:tr>
      <w:tr w:rsidR="75B02D90" w:rsidRPr="00B710A9" w14:paraId="3E49526F" w14:textId="77777777" w:rsidTr="000244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val="restart"/>
            <w:tcBorders>
              <w:top w:val="single" w:sz="8" w:space="0" w:color="4F81BD"/>
              <w:left w:val="single" w:sz="8" w:space="0" w:color="95B3D7"/>
              <w:bottom w:val="single" w:sz="8" w:space="0" w:color="95B3D7"/>
              <w:right w:val="single" w:sz="8" w:space="0" w:color="95B3D7"/>
            </w:tcBorders>
            <w:shd w:val="clear" w:color="auto" w:fill="DBE5F1"/>
          </w:tcPr>
          <w:p w14:paraId="107158CE" w14:textId="2680CD6C" w:rsidR="75B02D90" w:rsidRPr="00B710A9" w:rsidRDefault="75B02D90" w:rsidP="75B02D90">
            <w:pPr>
              <w:jc w:val="center"/>
              <w:rPr>
                <w:rFonts w:ascii="Arial" w:eastAsia="Arial" w:hAnsi="Arial" w:cs="Arial"/>
                <w:sz w:val="28"/>
                <w:szCs w:val="28"/>
                <w:lang w:val="es"/>
              </w:rPr>
            </w:pPr>
            <w:r w:rsidRPr="00B710A9">
              <w:rPr>
                <w:rFonts w:ascii="Arial" w:eastAsia="Arial" w:hAnsi="Arial" w:cs="Arial"/>
                <w:sz w:val="28"/>
                <w:szCs w:val="28"/>
                <w:lang w:val="es"/>
              </w:rPr>
              <w:t xml:space="preserve"> </w:t>
            </w:r>
          </w:p>
          <w:p w14:paraId="3803D633" w14:textId="5D7BAC5D" w:rsidR="75B02D90" w:rsidRPr="00B710A9" w:rsidRDefault="75B02D90" w:rsidP="75B02D90">
            <w:pPr>
              <w:jc w:val="center"/>
              <w:rPr>
                <w:rFonts w:ascii="Arial" w:eastAsia="Arial" w:hAnsi="Arial" w:cs="Arial"/>
                <w:sz w:val="28"/>
                <w:szCs w:val="28"/>
                <w:lang w:val="es"/>
              </w:rPr>
            </w:pPr>
            <w:r w:rsidRPr="00B710A9">
              <w:rPr>
                <w:rFonts w:ascii="Arial" w:eastAsia="Arial" w:hAnsi="Arial" w:cs="Arial"/>
                <w:sz w:val="28"/>
                <w:szCs w:val="28"/>
                <w:lang w:val="es"/>
              </w:rPr>
              <w:t xml:space="preserve"> </w:t>
            </w:r>
          </w:p>
          <w:p w14:paraId="51E76C5A" w14:textId="7D02F155" w:rsidR="75B02D90" w:rsidRPr="00B710A9" w:rsidRDefault="75B02D90" w:rsidP="75B02D90">
            <w:pPr>
              <w:jc w:val="center"/>
              <w:rPr>
                <w:rFonts w:ascii="Arial" w:eastAsia="Arial" w:hAnsi="Arial" w:cs="Arial"/>
                <w:sz w:val="28"/>
                <w:szCs w:val="28"/>
                <w:lang w:val="es"/>
              </w:rPr>
            </w:pPr>
            <w:r w:rsidRPr="00B710A9">
              <w:rPr>
                <w:rFonts w:ascii="Arial" w:eastAsia="Arial" w:hAnsi="Arial" w:cs="Arial"/>
                <w:sz w:val="28"/>
                <w:szCs w:val="28"/>
                <w:lang w:val="es"/>
              </w:rPr>
              <w:t xml:space="preserve"> </w:t>
            </w:r>
          </w:p>
          <w:p w14:paraId="67431E40" w14:textId="7D8DCBEB" w:rsidR="75B02D90" w:rsidRPr="00B710A9" w:rsidRDefault="75B02D90" w:rsidP="75B02D90">
            <w:pPr>
              <w:jc w:val="center"/>
              <w:rPr>
                <w:rFonts w:ascii="Arial" w:eastAsia="Arial" w:hAnsi="Arial" w:cs="Arial"/>
                <w:sz w:val="28"/>
                <w:szCs w:val="28"/>
                <w:lang w:val="es"/>
              </w:rPr>
            </w:pPr>
            <w:r w:rsidRPr="00B710A9">
              <w:rPr>
                <w:rFonts w:ascii="Arial" w:eastAsia="Arial" w:hAnsi="Arial" w:cs="Arial"/>
                <w:sz w:val="28"/>
                <w:szCs w:val="28"/>
                <w:lang w:val="es"/>
              </w:rPr>
              <w:t xml:space="preserve"> </w:t>
            </w:r>
          </w:p>
          <w:p w14:paraId="647B2508" w14:textId="2D1FAF6C" w:rsidR="75B02D90" w:rsidRPr="00B710A9" w:rsidRDefault="75B02D90" w:rsidP="75B02D90">
            <w:pPr>
              <w:jc w:val="center"/>
              <w:rPr>
                <w:rFonts w:ascii="Arial" w:eastAsia="Arial" w:hAnsi="Arial" w:cs="Arial"/>
                <w:sz w:val="28"/>
                <w:szCs w:val="28"/>
                <w:lang w:val="es"/>
              </w:rPr>
            </w:pPr>
            <w:r w:rsidRPr="00B710A9">
              <w:rPr>
                <w:rFonts w:ascii="Arial" w:eastAsia="Arial" w:hAnsi="Arial" w:cs="Arial"/>
                <w:sz w:val="28"/>
                <w:szCs w:val="28"/>
                <w:lang w:val="es"/>
              </w:rPr>
              <w:t xml:space="preserve"> </w:t>
            </w:r>
          </w:p>
          <w:p w14:paraId="37B160F9" w14:textId="019584F1" w:rsidR="75B02D90" w:rsidRPr="00B710A9" w:rsidRDefault="75B02D90" w:rsidP="75B02D90">
            <w:pPr>
              <w:jc w:val="center"/>
              <w:rPr>
                <w:rFonts w:ascii="Arial" w:eastAsia="Arial" w:hAnsi="Arial" w:cs="Arial"/>
                <w:sz w:val="28"/>
                <w:szCs w:val="28"/>
                <w:lang w:val="es"/>
              </w:rPr>
            </w:pPr>
            <w:r w:rsidRPr="00B710A9">
              <w:rPr>
                <w:rFonts w:ascii="Arial" w:eastAsia="Arial" w:hAnsi="Arial" w:cs="Arial"/>
                <w:sz w:val="28"/>
                <w:szCs w:val="28"/>
                <w:lang w:val="es"/>
              </w:rPr>
              <w:t xml:space="preserve"> </w:t>
            </w:r>
          </w:p>
          <w:p w14:paraId="7F25003C" w14:textId="36AF332D" w:rsidR="75B02D90" w:rsidRPr="00B710A9" w:rsidRDefault="75B02D90" w:rsidP="75B02D90">
            <w:pPr>
              <w:jc w:val="center"/>
              <w:rPr>
                <w:rFonts w:ascii="Arial" w:eastAsia="Arial" w:hAnsi="Arial" w:cs="Arial"/>
                <w:sz w:val="28"/>
                <w:szCs w:val="28"/>
                <w:lang w:val="es"/>
              </w:rPr>
            </w:pPr>
            <w:r w:rsidRPr="00B710A9">
              <w:rPr>
                <w:rFonts w:ascii="Arial" w:eastAsia="Arial" w:hAnsi="Arial" w:cs="Arial"/>
                <w:sz w:val="28"/>
                <w:szCs w:val="28"/>
                <w:lang w:val="es"/>
              </w:rPr>
              <w:t xml:space="preserve"> </w:t>
            </w:r>
          </w:p>
          <w:p w14:paraId="6B7E7416" w14:textId="23C66D3A" w:rsidR="75B02D90" w:rsidRPr="00B710A9" w:rsidRDefault="75B02D90" w:rsidP="75B02D90">
            <w:pPr>
              <w:jc w:val="center"/>
              <w:rPr>
                <w:rFonts w:ascii="Arial" w:eastAsia="Arial" w:hAnsi="Arial" w:cs="Arial"/>
                <w:sz w:val="28"/>
                <w:szCs w:val="28"/>
                <w:lang w:val="es"/>
              </w:rPr>
            </w:pPr>
            <w:r w:rsidRPr="00B710A9">
              <w:rPr>
                <w:rFonts w:ascii="Arial" w:eastAsia="Arial" w:hAnsi="Arial" w:cs="Arial"/>
                <w:sz w:val="28"/>
                <w:szCs w:val="28"/>
                <w:lang w:val="es"/>
              </w:rPr>
              <w:lastRenderedPageBreak/>
              <w:t xml:space="preserve"> </w:t>
            </w:r>
          </w:p>
          <w:p w14:paraId="20382DE7" w14:textId="7D21428C" w:rsidR="75B02D90" w:rsidRPr="00B710A9" w:rsidRDefault="75B02D90" w:rsidP="75B02D90">
            <w:pPr>
              <w:jc w:val="center"/>
              <w:rPr>
                <w:rFonts w:ascii="Arial" w:eastAsia="Arial" w:hAnsi="Arial" w:cs="Arial"/>
                <w:sz w:val="28"/>
                <w:szCs w:val="28"/>
                <w:lang w:val="es"/>
              </w:rPr>
            </w:pPr>
            <w:r w:rsidRPr="00B710A9">
              <w:rPr>
                <w:rFonts w:ascii="Arial" w:eastAsia="Arial" w:hAnsi="Arial" w:cs="Arial"/>
                <w:sz w:val="28"/>
                <w:szCs w:val="28"/>
                <w:lang w:val="es"/>
              </w:rPr>
              <w:t xml:space="preserve"> </w:t>
            </w:r>
          </w:p>
          <w:p w14:paraId="5F462743" w14:textId="3FB51049" w:rsidR="75B02D90" w:rsidRPr="00B710A9" w:rsidRDefault="75B02D90" w:rsidP="75B02D90">
            <w:pPr>
              <w:jc w:val="center"/>
              <w:rPr>
                <w:rFonts w:ascii="Arial" w:eastAsia="Arial" w:hAnsi="Arial" w:cs="Arial"/>
                <w:sz w:val="28"/>
                <w:szCs w:val="28"/>
                <w:lang w:val="es"/>
              </w:rPr>
            </w:pPr>
            <w:r w:rsidRPr="00B710A9">
              <w:rPr>
                <w:rFonts w:ascii="Arial" w:eastAsia="Arial" w:hAnsi="Arial" w:cs="Arial"/>
                <w:sz w:val="28"/>
                <w:szCs w:val="28"/>
                <w:lang w:val="es"/>
              </w:rPr>
              <w:t xml:space="preserve"> </w:t>
            </w:r>
          </w:p>
          <w:p w14:paraId="1D120E37" w14:textId="5A9D5F87" w:rsidR="75B02D90" w:rsidRPr="00B710A9" w:rsidRDefault="75B02D90" w:rsidP="75B02D90">
            <w:pPr>
              <w:jc w:val="center"/>
              <w:rPr>
                <w:rFonts w:ascii="Arial" w:eastAsia="Arial" w:hAnsi="Arial" w:cs="Arial"/>
                <w:sz w:val="28"/>
                <w:szCs w:val="28"/>
                <w:lang w:val="es"/>
              </w:rPr>
            </w:pPr>
            <w:r w:rsidRPr="00B710A9">
              <w:rPr>
                <w:rFonts w:ascii="Arial" w:eastAsia="Arial" w:hAnsi="Arial" w:cs="Arial"/>
                <w:sz w:val="28"/>
                <w:szCs w:val="28"/>
                <w:lang w:val="es"/>
              </w:rPr>
              <w:t xml:space="preserve"> </w:t>
            </w:r>
          </w:p>
          <w:p w14:paraId="5E2072C7" w14:textId="3A57FEAA" w:rsidR="75B02D90" w:rsidRPr="00B710A9" w:rsidRDefault="75B02D90" w:rsidP="75B02D90">
            <w:pPr>
              <w:jc w:val="center"/>
              <w:rPr>
                <w:rFonts w:ascii="Arial" w:eastAsia="Arial" w:hAnsi="Arial" w:cs="Arial"/>
                <w:color w:val="000000" w:themeColor="text1"/>
                <w:sz w:val="28"/>
                <w:szCs w:val="28"/>
                <w:lang w:val="es"/>
              </w:rPr>
            </w:pPr>
            <w:r w:rsidRPr="00B710A9">
              <w:rPr>
                <w:rFonts w:ascii="Arial" w:eastAsia="Arial" w:hAnsi="Arial" w:cs="Arial"/>
                <w:color w:val="000000" w:themeColor="text1"/>
                <w:sz w:val="28"/>
                <w:szCs w:val="28"/>
                <w:lang w:val="es"/>
              </w:rPr>
              <w:t xml:space="preserve">23   </w:t>
            </w:r>
          </w:p>
          <w:p w14:paraId="7F53AC67" w14:textId="6BD649E7" w:rsidR="75B02D90" w:rsidRPr="00B710A9" w:rsidRDefault="75B02D90" w:rsidP="75B02D90">
            <w:pPr>
              <w:jc w:val="center"/>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procesos de deslindes  </w:t>
            </w:r>
          </w:p>
          <w:p w14:paraId="02A57B04" w14:textId="1192FE7E" w:rsidR="75B02D90" w:rsidRPr="00B710A9" w:rsidRDefault="75B02D90" w:rsidP="75B02D90">
            <w:pPr>
              <w:jc w:val="center"/>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municipales  </w:t>
            </w:r>
          </w:p>
        </w:tc>
        <w:tc>
          <w:tcPr>
            <w:tcW w:w="450" w:type="dxa"/>
            <w:tcBorders>
              <w:top w:val="single" w:sz="8" w:space="0" w:color="4F81BD"/>
              <w:left w:val="single" w:sz="8" w:space="0" w:color="95B3D7"/>
              <w:bottom w:val="single" w:sz="8" w:space="0" w:color="95B3D7"/>
              <w:right w:val="single" w:sz="8" w:space="0" w:color="95B3D7"/>
            </w:tcBorders>
            <w:shd w:val="clear" w:color="auto" w:fill="DBE5F1"/>
          </w:tcPr>
          <w:p w14:paraId="7D09C2F0" w14:textId="04A7853D"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4"/>
                <w:szCs w:val="14"/>
                <w:lang w:val="es"/>
              </w:rPr>
            </w:pPr>
            <w:r w:rsidRPr="00B710A9">
              <w:rPr>
                <w:rFonts w:ascii="Arial" w:eastAsia="Arial" w:hAnsi="Arial" w:cs="Arial"/>
                <w:color w:val="000000" w:themeColor="text1"/>
                <w:sz w:val="14"/>
                <w:szCs w:val="14"/>
                <w:lang w:val="es"/>
              </w:rPr>
              <w:lastRenderedPageBreak/>
              <w:t xml:space="preserve">1.  </w:t>
            </w:r>
          </w:p>
        </w:tc>
        <w:tc>
          <w:tcPr>
            <w:tcW w:w="2655" w:type="dxa"/>
            <w:tcBorders>
              <w:top w:val="nil"/>
              <w:left w:val="single" w:sz="8" w:space="0" w:color="95B3D7"/>
              <w:bottom w:val="single" w:sz="8" w:space="0" w:color="95B3D7"/>
              <w:right w:val="single" w:sz="8" w:space="0" w:color="95B3D7"/>
            </w:tcBorders>
            <w:shd w:val="clear" w:color="auto" w:fill="DBE5F1"/>
          </w:tcPr>
          <w:p w14:paraId="0A7E6BD9" w14:textId="52F3C8EF"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Maceo - Yolombo </w:t>
            </w:r>
          </w:p>
        </w:tc>
        <w:tc>
          <w:tcPr>
            <w:tcW w:w="1485" w:type="dxa"/>
            <w:tcBorders>
              <w:top w:val="single" w:sz="8" w:space="0" w:color="4F81BD"/>
              <w:left w:val="single" w:sz="8" w:space="0" w:color="95B3D7"/>
              <w:bottom w:val="single" w:sz="8" w:space="0" w:color="95B3D7"/>
              <w:right w:val="single" w:sz="8" w:space="0" w:color="95B3D7"/>
            </w:tcBorders>
            <w:shd w:val="clear" w:color="auto" w:fill="DBE5F1"/>
          </w:tcPr>
          <w:p w14:paraId="725A0AF9" w14:textId="6D57F843"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2022 </w:t>
            </w:r>
          </w:p>
        </w:tc>
        <w:tc>
          <w:tcPr>
            <w:tcW w:w="1620" w:type="dxa"/>
            <w:tcBorders>
              <w:top w:val="single" w:sz="8" w:space="0" w:color="4F81BD"/>
              <w:left w:val="single" w:sz="8" w:space="0" w:color="95B3D7"/>
              <w:bottom w:val="single" w:sz="8" w:space="0" w:color="95B3D7"/>
              <w:right w:val="single" w:sz="8" w:space="0" w:color="95B3D7"/>
            </w:tcBorders>
            <w:shd w:val="clear" w:color="auto" w:fill="DBE5F1"/>
          </w:tcPr>
          <w:p w14:paraId="0C0F14D0" w14:textId="5FCACD0B"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Alcaldes Maceo y Yolombó </w:t>
            </w:r>
          </w:p>
        </w:tc>
      </w:tr>
      <w:tr w:rsidR="75B02D90" w:rsidRPr="00B710A9" w14:paraId="7A01D7C0" w14:textId="77777777" w:rsidTr="00024431">
        <w:trPr>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412DC4E3" w14:textId="77777777" w:rsidR="005551A8" w:rsidRPr="00B710A9" w:rsidRDefault="005551A8"/>
        </w:tc>
        <w:tc>
          <w:tcPr>
            <w:tcW w:w="450" w:type="dxa"/>
            <w:tcBorders>
              <w:top w:val="single" w:sz="8" w:space="0" w:color="95B3D7"/>
              <w:left w:val="nil"/>
              <w:bottom w:val="single" w:sz="8" w:space="0" w:color="95B3D7"/>
              <w:right w:val="single" w:sz="8" w:space="0" w:color="95B3D7"/>
            </w:tcBorders>
          </w:tcPr>
          <w:p w14:paraId="5736411E" w14:textId="5D76B636"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
              </w:rPr>
            </w:pPr>
            <w:r w:rsidRPr="00B710A9">
              <w:rPr>
                <w:rFonts w:ascii="Arial" w:eastAsia="Arial" w:hAnsi="Arial" w:cs="Arial"/>
                <w:sz w:val="14"/>
                <w:szCs w:val="14"/>
                <w:lang w:val="es"/>
              </w:rPr>
              <w:t xml:space="preserve">2.  </w:t>
            </w:r>
          </w:p>
        </w:tc>
        <w:tc>
          <w:tcPr>
            <w:tcW w:w="2655" w:type="dxa"/>
            <w:tcBorders>
              <w:top w:val="single" w:sz="8" w:space="0" w:color="95B3D7"/>
              <w:left w:val="single" w:sz="8" w:space="0" w:color="95B3D7"/>
              <w:bottom w:val="single" w:sz="8" w:space="0" w:color="95B3D7"/>
              <w:right w:val="single" w:sz="8" w:space="0" w:color="95B3D7"/>
            </w:tcBorders>
          </w:tcPr>
          <w:p w14:paraId="03BA1C94" w14:textId="0DE795CB"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Carmen de Viboral - Marinilla </w:t>
            </w:r>
          </w:p>
        </w:tc>
        <w:tc>
          <w:tcPr>
            <w:tcW w:w="1485" w:type="dxa"/>
            <w:tcBorders>
              <w:top w:val="single" w:sz="8" w:space="0" w:color="95B3D7"/>
              <w:left w:val="single" w:sz="8" w:space="0" w:color="95B3D7"/>
              <w:bottom w:val="single" w:sz="8" w:space="0" w:color="95B3D7"/>
              <w:right w:val="single" w:sz="8" w:space="0" w:color="95B3D7"/>
            </w:tcBorders>
          </w:tcPr>
          <w:p w14:paraId="67B6DA17" w14:textId="79410099"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2022 </w:t>
            </w:r>
          </w:p>
        </w:tc>
        <w:tc>
          <w:tcPr>
            <w:tcW w:w="1620" w:type="dxa"/>
            <w:tcBorders>
              <w:top w:val="single" w:sz="8" w:space="0" w:color="95B3D7"/>
              <w:left w:val="single" w:sz="8" w:space="0" w:color="95B3D7"/>
              <w:bottom w:val="single" w:sz="8" w:space="0" w:color="95B3D7"/>
              <w:right w:val="single" w:sz="8" w:space="0" w:color="95B3D7"/>
            </w:tcBorders>
          </w:tcPr>
          <w:p w14:paraId="7C67B7C5" w14:textId="329D4888"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IGAC </w:t>
            </w:r>
          </w:p>
        </w:tc>
      </w:tr>
      <w:tr w:rsidR="75B02D90" w:rsidRPr="00B710A9" w14:paraId="1065EEA9" w14:textId="77777777" w:rsidTr="000244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17F63228" w14:textId="77777777" w:rsidR="005551A8" w:rsidRPr="00B710A9" w:rsidRDefault="005551A8"/>
        </w:tc>
        <w:tc>
          <w:tcPr>
            <w:tcW w:w="450" w:type="dxa"/>
            <w:tcBorders>
              <w:top w:val="single" w:sz="8" w:space="0" w:color="95B3D7"/>
              <w:left w:val="nil"/>
              <w:bottom w:val="single" w:sz="8" w:space="0" w:color="95B3D7"/>
              <w:right w:val="single" w:sz="8" w:space="0" w:color="95B3D7"/>
            </w:tcBorders>
            <w:shd w:val="clear" w:color="auto" w:fill="DBE5F1"/>
          </w:tcPr>
          <w:p w14:paraId="170E6DB6" w14:textId="6B347BD5"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4"/>
                <w:szCs w:val="14"/>
                <w:lang w:val="es"/>
              </w:rPr>
            </w:pPr>
            <w:r w:rsidRPr="00B710A9">
              <w:rPr>
                <w:rFonts w:ascii="Arial" w:eastAsia="Arial" w:hAnsi="Arial" w:cs="Arial"/>
                <w:color w:val="000000" w:themeColor="text1"/>
                <w:sz w:val="14"/>
                <w:szCs w:val="14"/>
                <w:lang w:val="es"/>
              </w:rPr>
              <w:t xml:space="preserve">3.  </w:t>
            </w:r>
          </w:p>
        </w:tc>
        <w:tc>
          <w:tcPr>
            <w:tcW w:w="2655" w:type="dxa"/>
            <w:tcBorders>
              <w:top w:val="single" w:sz="8" w:space="0" w:color="95B3D7"/>
              <w:left w:val="single" w:sz="8" w:space="0" w:color="95B3D7"/>
              <w:bottom w:val="single" w:sz="8" w:space="0" w:color="95B3D7"/>
              <w:right w:val="single" w:sz="8" w:space="0" w:color="95B3D7"/>
            </w:tcBorders>
            <w:shd w:val="clear" w:color="auto" w:fill="DBE5F1"/>
          </w:tcPr>
          <w:p w14:paraId="1EABDB85" w14:textId="1FB88638"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Puerto Wilches - Sabana de Torres </w:t>
            </w:r>
          </w:p>
        </w:tc>
        <w:tc>
          <w:tcPr>
            <w:tcW w:w="1485" w:type="dxa"/>
            <w:tcBorders>
              <w:top w:val="single" w:sz="8" w:space="0" w:color="95B3D7"/>
              <w:left w:val="single" w:sz="8" w:space="0" w:color="95B3D7"/>
              <w:bottom w:val="single" w:sz="8" w:space="0" w:color="95B3D7"/>
              <w:right w:val="single" w:sz="8" w:space="0" w:color="95B3D7"/>
            </w:tcBorders>
            <w:shd w:val="clear" w:color="auto" w:fill="DBE5F1"/>
          </w:tcPr>
          <w:p w14:paraId="3340D532" w14:textId="61BB923B"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2022 </w:t>
            </w:r>
          </w:p>
        </w:tc>
        <w:tc>
          <w:tcPr>
            <w:tcW w:w="1620" w:type="dxa"/>
            <w:tcBorders>
              <w:top w:val="single" w:sz="8" w:space="0" w:color="95B3D7"/>
              <w:left w:val="single" w:sz="8" w:space="0" w:color="95B3D7"/>
              <w:bottom w:val="single" w:sz="8" w:space="0" w:color="95B3D7"/>
              <w:right w:val="single" w:sz="8" w:space="0" w:color="95B3D7"/>
            </w:tcBorders>
            <w:shd w:val="clear" w:color="auto" w:fill="DBE5F1"/>
          </w:tcPr>
          <w:p w14:paraId="57B269ED" w14:textId="3023C585"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Alcaldes Puerto Wilches y Sabana de Torres </w:t>
            </w:r>
          </w:p>
        </w:tc>
      </w:tr>
      <w:tr w:rsidR="75B02D90" w:rsidRPr="00B710A9" w14:paraId="42EBAF51" w14:textId="77777777" w:rsidTr="00024431">
        <w:trPr>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04C65522" w14:textId="77777777" w:rsidR="005551A8" w:rsidRPr="00B710A9" w:rsidRDefault="005551A8"/>
        </w:tc>
        <w:tc>
          <w:tcPr>
            <w:tcW w:w="450" w:type="dxa"/>
            <w:tcBorders>
              <w:top w:val="single" w:sz="8" w:space="0" w:color="95B3D7"/>
              <w:left w:val="nil"/>
              <w:bottom w:val="single" w:sz="8" w:space="0" w:color="95B3D7"/>
              <w:right w:val="single" w:sz="8" w:space="0" w:color="95B3D7"/>
            </w:tcBorders>
          </w:tcPr>
          <w:p w14:paraId="2CB313CE" w14:textId="7F50E657"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
              </w:rPr>
            </w:pPr>
            <w:r w:rsidRPr="00B710A9">
              <w:rPr>
                <w:rFonts w:ascii="Arial" w:eastAsia="Arial" w:hAnsi="Arial" w:cs="Arial"/>
                <w:sz w:val="14"/>
                <w:szCs w:val="14"/>
                <w:lang w:val="es"/>
              </w:rPr>
              <w:t xml:space="preserve">­4. </w:t>
            </w:r>
          </w:p>
        </w:tc>
        <w:tc>
          <w:tcPr>
            <w:tcW w:w="2655" w:type="dxa"/>
            <w:tcBorders>
              <w:top w:val="single" w:sz="8" w:space="0" w:color="95B3D7"/>
              <w:left w:val="single" w:sz="8" w:space="0" w:color="95B3D7"/>
              <w:bottom w:val="single" w:sz="8" w:space="0" w:color="95B3D7"/>
              <w:right w:val="single" w:sz="8" w:space="0" w:color="95B3D7"/>
            </w:tcBorders>
          </w:tcPr>
          <w:p w14:paraId="2974E475" w14:textId="2F5C49B2"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proofErr w:type="spellStart"/>
            <w:r w:rsidRPr="00B710A9">
              <w:rPr>
                <w:rFonts w:ascii="Arial" w:eastAsia="Arial" w:hAnsi="Arial" w:cs="Arial"/>
                <w:sz w:val="16"/>
                <w:szCs w:val="16"/>
                <w:lang w:val="es"/>
              </w:rPr>
              <w:t>Betéitiva</w:t>
            </w:r>
            <w:proofErr w:type="spellEnd"/>
            <w:r w:rsidRPr="00B710A9">
              <w:rPr>
                <w:rFonts w:ascii="Arial" w:eastAsia="Arial" w:hAnsi="Arial" w:cs="Arial"/>
                <w:sz w:val="16"/>
                <w:szCs w:val="16"/>
                <w:lang w:val="es"/>
              </w:rPr>
              <w:t xml:space="preserve"> - Floresta (Boyacá) </w:t>
            </w:r>
          </w:p>
        </w:tc>
        <w:tc>
          <w:tcPr>
            <w:tcW w:w="1485" w:type="dxa"/>
            <w:tcBorders>
              <w:top w:val="single" w:sz="8" w:space="0" w:color="95B3D7"/>
              <w:left w:val="single" w:sz="8" w:space="0" w:color="95B3D7"/>
              <w:bottom w:val="single" w:sz="8" w:space="0" w:color="95B3D7"/>
              <w:right w:val="single" w:sz="8" w:space="0" w:color="95B3D7"/>
            </w:tcBorders>
          </w:tcPr>
          <w:p w14:paraId="275185DE" w14:textId="348F5C35"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2022 </w:t>
            </w:r>
          </w:p>
        </w:tc>
        <w:tc>
          <w:tcPr>
            <w:tcW w:w="1620" w:type="dxa"/>
            <w:tcBorders>
              <w:top w:val="single" w:sz="8" w:space="0" w:color="95B3D7"/>
              <w:left w:val="single" w:sz="8" w:space="0" w:color="95B3D7"/>
              <w:bottom w:val="single" w:sz="8" w:space="0" w:color="95B3D7"/>
              <w:right w:val="single" w:sz="8" w:space="0" w:color="95B3D7"/>
            </w:tcBorders>
          </w:tcPr>
          <w:p w14:paraId="015DA876" w14:textId="5F2A2257"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IGAC </w:t>
            </w:r>
          </w:p>
        </w:tc>
      </w:tr>
      <w:tr w:rsidR="75B02D90" w:rsidRPr="00B710A9" w14:paraId="30CEDCC5" w14:textId="77777777" w:rsidTr="000244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639BD379" w14:textId="77777777" w:rsidR="005551A8" w:rsidRPr="00B710A9" w:rsidRDefault="005551A8"/>
        </w:tc>
        <w:tc>
          <w:tcPr>
            <w:tcW w:w="450" w:type="dxa"/>
            <w:tcBorders>
              <w:top w:val="single" w:sz="8" w:space="0" w:color="95B3D7"/>
              <w:left w:val="nil"/>
              <w:bottom w:val="single" w:sz="8" w:space="0" w:color="95B3D7"/>
              <w:right w:val="single" w:sz="8" w:space="0" w:color="95B3D7"/>
            </w:tcBorders>
            <w:shd w:val="clear" w:color="auto" w:fill="DBE5F1"/>
          </w:tcPr>
          <w:p w14:paraId="07B4E61E" w14:textId="6F608EF4"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4"/>
                <w:szCs w:val="14"/>
                <w:lang w:val="es"/>
              </w:rPr>
            </w:pPr>
            <w:r w:rsidRPr="00B710A9">
              <w:rPr>
                <w:rFonts w:ascii="Arial" w:eastAsia="Arial" w:hAnsi="Arial" w:cs="Arial"/>
                <w:color w:val="000000" w:themeColor="text1"/>
                <w:sz w:val="14"/>
                <w:szCs w:val="14"/>
                <w:lang w:val="es"/>
              </w:rPr>
              <w:t xml:space="preserve">5.  </w:t>
            </w:r>
          </w:p>
        </w:tc>
        <w:tc>
          <w:tcPr>
            <w:tcW w:w="2655" w:type="dxa"/>
            <w:tcBorders>
              <w:top w:val="single" w:sz="8" w:space="0" w:color="95B3D7"/>
              <w:left w:val="single" w:sz="8" w:space="0" w:color="95B3D7"/>
              <w:bottom w:val="single" w:sz="8" w:space="0" w:color="95B3D7"/>
              <w:right w:val="single" w:sz="8" w:space="0" w:color="95B3D7"/>
            </w:tcBorders>
            <w:shd w:val="clear" w:color="auto" w:fill="DBE5F1"/>
          </w:tcPr>
          <w:p w14:paraId="0176D359" w14:textId="571EE7C3"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Paz del Río - Belén (Boyacá) </w:t>
            </w:r>
          </w:p>
        </w:tc>
        <w:tc>
          <w:tcPr>
            <w:tcW w:w="1485" w:type="dxa"/>
            <w:tcBorders>
              <w:top w:val="single" w:sz="8" w:space="0" w:color="95B3D7"/>
              <w:left w:val="single" w:sz="8" w:space="0" w:color="95B3D7"/>
              <w:bottom w:val="single" w:sz="8" w:space="0" w:color="95B3D7"/>
              <w:right w:val="single" w:sz="8" w:space="0" w:color="95B3D7"/>
            </w:tcBorders>
            <w:shd w:val="clear" w:color="auto" w:fill="DBE5F1"/>
          </w:tcPr>
          <w:p w14:paraId="2B840D1A" w14:textId="5061CFF9"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2022 </w:t>
            </w:r>
          </w:p>
        </w:tc>
        <w:tc>
          <w:tcPr>
            <w:tcW w:w="1620" w:type="dxa"/>
            <w:tcBorders>
              <w:top w:val="single" w:sz="8" w:space="0" w:color="95B3D7"/>
              <w:left w:val="single" w:sz="8" w:space="0" w:color="95B3D7"/>
              <w:bottom w:val="single" w:sz="8" w:space="0" w:color="95B3D7"/>
              <w:right w:val="single" w:sz="8" w:space="0" w:color="95B3D7"/>
            </w:tcBorders>
            <w:shd w:val="clear" w:color="auto" w:fill="DBE5F1"/>
          </w:tcPr>
          <w:p w14:paraId="55E93FC7" w14:textId="3FC3CBBB"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IGAC </w:t>
            </w:r>
          </w:p>
        </w:tc>
      </w:tr>
      <w:tr w:rsidR="75B02D90" w:rsidRPr="00B710A9" w14:paraId="280F24B5" w14:textId="77777777" w:rsidTr="00024431">
        <w:trPr>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31B1E204" w14:textId="77777777" w:rsidR="005551A8" w:rsidRPr="00B710A9" w:rsidRDefault="005551A8"/>
        </w:tc>
        <w:tc>
          <w:tcPr>
            <w:tcW w:w="450" w:type="dxa"/>
            <w:tcBorders>
              <w:top w:val="single" w:sz="8" w:space="0" w:color="95B3D7"/>
              <w:left w:val="nil"/>
              <w:bottom w:val="single" w:sz="8" w:space="0" w:color="95B3D7"/>
              <w:right w:val="single" w:sz="8" w:space="0" w:color="95B3D7"/>
            </w:tcBorders>
          </w:tcPr>
          <w:p w14:paraId="4FF9D3B0" w14:textId="530A3422"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
              </w:rPr>
            </w:pPr>
            <w:r w:rsidRPr="00B710A9">
              <w:rPr>
                <w:rFonts w:ascii="Arial" w:eastAsia="Arial" w:hAnsi="Arial" w:cs="Arial"/>
                <w:sz w:val="14"/>
                <w:szCs w:val="14"/>
                <w:lang w:val="es"/>
              </w:rPr>
              <w:t xml:space="preserve">6.  </w:t>
            </w:r>
          </w:p>
        </w:tc>
        <w:tc>
          <w:tcPr>
            <w:tcW w:w="2655" w:type="dxa"/>
            <w:tcBorders>
              <w:top w:val="single" w:sz="8" w:space="0" w:color="95B3D7"/>
              <w:left w:val="single" w:sz="8" w:space="0" w:color="95B3D7"/>
              <w:bottom w:val="single" w:sz="8" w:space="0" w:color="95B3D7"/>
              <w:right w:val="single" w:sz="8" w:space="0" w:color="95B3D7"/>
            </w:tcBorders>
          </w:tcPr>
          <w:p w14:paraId="23AC7767" w14:textId="5480D751"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Jericó - </w:t>
            </w:r>
            <w:proofErr w:type="spellStart"/>
            <w:r w:rsidRPr="00B710A9">
              <w:rPr>
                <w:rFonts w:ascii="Arial" w:eastAsia="Arial" w:hAnsi="Arial" w:cs="Arial"/>
                <w:sz w:val="16"/>
                <w:szCs w:val="16"/>
                <w:lang w:val="es"/>
              </w:rPr>
              <w:t>Sativanorte</w:t>
            </w:r>
            <w:proofErr w:type="spellEnd"/>
            <w:r w:rsidRPr="00B710A9">
              <w:rPr>
                <w:rFonts w:ascii="Arial" w:eastAsia="Arial" w:hAnsi="Arial" w:cs="Arial"/>
                <w:sz w:val="16"/>
                <w:szCs w:val="16"/>
                <w:lang w:val="es"/>
              </w:rPr>
              <w:t xml:space="preserve"> (Boyacá) </w:t>
            </w:r>
          </w:p>
        </w:tc>
        <w:tc>
          <w:tcPr>
            <w:tcW w:w="1485" w:type="dxa"/>
            <w:tcBorders>
              <w:top w:val="single" w:sz="8" w:space="0" w:color="95B3D7"/>
              <w:left w:val="single" w:sz="8" w:space="0" w:color="95B3D7"/>
              <w:bottom w:val="single" w:sz="8" w:space="0" w:color="95B3D7"/>
              <w:right w:val="single" w:sz="8" w:space="0" w:color="95B3D7"/>
            </w:tcBorders>
          </w:tcPr>
          <w:p w14:paraId="00FC4A66" w14:textId="3DB2F76B"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2022 </w:t>
            </w:r>
          </w:p>
        </w:tc>
        <w:tc>
          <w:tcPr>
            <w:tcW w:w="1620" w:type="dxa"/>
            <w:tcBorders>
              <w:top w:val="single" w:sz="8" w:space="0" w:color="95B3D7"/>
              <w:left w:val="single" w:sz="8" w:space="0" w:color="95B3D7"/>
              <w:bottom w:val="single" w:sz="8" w:space="0" w:color="95B3D7"/>
              <w:right w:val="single" w:sz="8" w:space="0" w:color="95B3D7"/>
            </w:tcBorders>
          </w:tcPr>
          <w:p w14:paraId="309148FF" w14:textId="0AD178A0"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IGAC </w:t>
            </w:r>
          </w:p>
        </w:tc>
      </w:tr>
      <w:tr w:rsidR="75B02D90" w:rsidRPr="00B710A9" w14:paraId="31978C53" w14:textId="77777777" w:rsidTr="000244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1215CE62" w14:textId="77777777" w:rsidR="005551A8" w:rsidRPr="00B710A9" w:rsidRDefault="005551A8"/>
        </w:tc>
        <w:tc>
          <w:tcPr>
            <w:tcW w:w="450" w:type="dxa"/>
            <w:tcBorders>
              <w:top w:val="single" w:sz="8" w:space="0" w:color="95B3D7"/>
              <w:left w:val="nil"/>
              <w:bottom w:val="single" w:sz="8" w:space="0" w:color="95B3D7"/>
              <w:right w:val="single" w:sz="8" w:space="0" w:color="95B3D7"/>
            </w:tcBorders>
            <w:shd w:val="clear" w:color="auto" w:fill="DBE5F1"/>
          </w:tcPr>
          <w:p w14:paraId="7FD20D32" w14:textId="63E5E786"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4"/>
                <w:szCs w:val="14"/>
                <w:lang w:val="es"/>
              </w:rPr>
            </w:pPr>
            <w:r w:rsidRPr="00B710A9">
              <w:rPr>
                <w:rFonts w:ascii="Arial" w:eastAsia="Arial" w:hAnsi="Arial" w:cs="Arial"/>
                <w:color w:val="000000" w:themeColor="text1"/>
                <w:sz w:val="14"/>
                <w:szCs w:val="14"/>
                <w:lang w:val="es"/>
              </w:rPr>
              <w:t xml:space="preserve">7.  </w:t>
            </w:r>
          </w:p>
        </w:tc>
        <w:tc>
          <w:tcPr>
            <w:tcW w:w="2655" w:type="dxa"/>
            <w:tcBorders>
              <w:top w:val="single" w:sz="8" w:space="0" w:color="95B3D7"/>
              <w:left w:val="single" w:sz="8" w:space="0" w:color="95B3D7"/>
              <w:bottom w:val="single" w:sz="8" w:space="0" w:color="95B3D7"/>
              <w:right w:val="single" w:sz="8" w:space="0" w:color="95B3D7"/>
            </w:tcBorders>
            <w:shd w:val="clear" w:color="auto" w:fill="DBE5F1"/>
          </w:tcPr>
          <w:p w14:paraId="0B32149A" w14:textId="14AE8201"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Puerto Rico - Puerto Concordia (Meta) </w:t>
            </w:r>
          </w:p>
        </w:tc>
        <w:tc>
          <w:tcPr>
            <w:tcW w:w="1485" w:type="dxa"/>
            <w:tcBorders>
              <w:top w:val="single" w:sz="8" w:space="0" w:color="95B3D7"/>
              <w:left w:val="single" w:sz="8" w:space="0" w:color="95B3D7"/>
              <w:bottom w:val="single" w:sz="8" w:space="0" w:color="95B3D7"/>
              <w:right w:val="single" w:sz="8" w:space="0" w:color="95B3D7"/>
            </w:tcBorders>
            <w:shd w:val="clear" w:color="auto" w:fill="DBE5F1"/>
          </w:tcPr>
          <w:p w14:paraId="5F2C26C1" w14:textId="4642A3B7"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2022 </w:t>
            </w:r>
          </w:p>
        </w:tc>
        <w:tc>
          <w:tcPr>
            <w:tcW w:w="1620" w:type="dxa"/>
            <w:tcBorders>
              <w:top w:val="single" w:sz="8" w:space="0" w:color="95B3D7"/>
              <w:left w:val="single" w:sz="8" w:space="0" w:color="95B3D7"/>
              <w:bottom w:val="single" w:sz="8" w:space="0" w:color="95B3D7"/>
              <w:right w:val="single" w:sz="8" w:space="0" w:color="95B3D7"/>
            </w:tcBorders>
            <w:shd w:val="clear" w:color="auto" w:fill="DBE5F1"/>
          </w:tcPr>
          <w:p w14:paraId="67A1E823" w14:textId="0CAFB081"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Alcalde Puerto Concordia </w:t>
            </w:r>
          </w:p>
        </w:tc>
      </w:tr>
      <w:tr w:rsidR="75B02D90" w:rsidRPr="00B710A9" w14:paraId="2DC04A69" w14:textId="77777777" w:rsidTr="00024431">
        <w:trPr>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09163C4F" w14:textId="77777777" w:rsidR="005551A8" w:rsidRPr="00B710A9" w:rsidRDefault="005551A8"/>
        </w:tc>
        <w:tc>
          <w:tcPr>
            <w:tcW w:w="450" w:type="dxa"/>
            <w:tcBorders>
              <w:top w:val="single" w:sz="8" w:space="0" w:color="95B3D7"/>
              <w:left w:val="nil"/>
              <w:bottom w:val="single" w:sz="8" w:space="0" w:color="95B3D7"/>
              <w:right w:val="single" w:sz="8" w:space="0" w:color="95B3D7"/>
            </w:tcBorders>
          </w:tcPr>
          <w:p w14:paraId="5D8B4314" w14:textId="4C70DB49"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
              </w:rPr>
            </w:pPr>
            <w:r w:rsidRPr="00B710A9">
              <w:rPr>
                <w:rFonts w:ascii="Arial" w:eastAsia="Arial" w:hAnsi="Arial" w:cs="Arial"/>
                <w:sz w:val="14"/>
                <w:szCs w:val="14"/>
                <w:lang w:val="es"/>
              </w:rPr>
              <w:t xml:space="preserve">8.  </w:t>
            </w:r>
          </w:p>
        </w:tc>
        <w:tc>
          <w:tcPr>
            <w:tcW w:w="2655" w:type="dxa"/>
            <w:tcBorders>
              <w:top w:val="single" w:sz="8" w:space="0" w:color="95B3D7"/>
              <w:left w:val="single" w:sz="8" w:space="0" w:color="95B3D7"/>
              <w:bottom w:val="single" w:sz="8" w:space="0" w:color="95B3D7"/>
              <w:right w:val="single" w:sz="8" w:space="0" w:color="95B3D7"/>
            </w:tcBorders>
          </w:tcPr>
          <w:p w14:paraId="703806C2" w14:textId="3956F1ED"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Vistahermosa - San Juan de Arama (Meta) </w:t>
            </w:r>
          </w:p>
        </w:tc>
        <w:tc>
          <w:tcPr>
            <w:tcW w:w="1485" w:type="dxa"/>
            <w:tcBorders>
              <w:top w:val="single" w:sz="8" w:space="0" w:color="95B3D7"/>
              <w:left w:val="single" w:sz="8" w:space="0" w:color="95B3D7"/>
              <w:bottom w:val="single" w:sz="8" w:space="0" w:color="95B3D7"/>
              <w:right w:val="single" w:sz="8" w:space="0" w:color="95B3D7"/>
            </w:tcBorders>
          </w:tcPr>
          <w:p w14:paraId="31684AAE" w14:textId="62A916AE"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2022 </w:t>
            </w:r>
          </w:p>
        </w:tc>
        <w:tc>
          <w:tcPr>
            <w:tcW w:w="1620" w:type="dxa"/>
            <w:tcBorders>
              <w:top w:val="single" w:sz="8" w:space="0" w:color="95B3D7"/>
              <w:left w:val="single" w:sz="8" w:space="0" w:color="95B3D7"/>
              <w:bottom w:val="single" w:sz="8" w:space="0" w:color="95B3D7"/>
              <w:right w:val="single" w:sz="8" w:space="0" w:color="95B3D7"/>
            </w:tcBorders>
          </w:tcPr>
          <w:p w14:paraId="1CD284B2" w14:textId="4042629F"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Alcaldía Vistahermosa </w:t>
            </w:r>
          </w:p>
        </w:tc>
      </w:tr>
      <w:tr w:rsidR="75B02D90" w:rsidRPr="00B710A9" w14:paraId="65C171F3" w14:textId="77777777" w:rsidTr="000244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02626DDC" w14:textId="77777777" w:rsidR="005551A8" w:rsidRPr="00B710A9" w:rsidRDefault="005551A8"/>
        </w:tc>
        <w:tc>
          <w:tcPr>
            <w:tcW w:w="450" w:type="dxa"/>
            <w:tcBorders>
              <w:top w:val="single" w:sz="8" w:space="0" w:color="95B3D7"/>
              <w:left w:val="nil"/>
              <w:bottom w:val="single" w:sz="8" w:space="0" w:color="95B3D7"/>
              <w:right w:val="single" w:sz="8" w:space="0" w:color="95B3D7"/>
            </w:tcBorders>
            <w:shd w:val="clear" w:color="auto" w:fill="DBE5F1"/>
          </w:tcPr>
          <w:p w14:paraId="7CD6813A" w14:textId="7B46A053"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4"/>
                <w:szCs w:val="14"/>
                <w:lang w:val="es"/>
              </w:rPr>
            </w:pPr>
            <w:r w:rsidRPr="00B710A9">
              <w:rPr>
                <w:rFonts w:ascii="Arial" w:eastAsia="Arial" w:hAnsi="Arial" w:cs="Arial"/>
                <w:color w:val="000000" w:themeColor="text1"/>
                <w:sz w:val="14"/>
                <w:szCs w:val="14"/>
                <w:lang w:val="es"/>
              </w:rPr>
              <w:t xml:space="preserve">9. </w:t>
            </w:r>
          </w:p>
        </w:tc>
        <w:tc>
          <w:tcPr>
            <w:tcW w:w="2655" w:type="dxa"/>
            <w:tcBorders>
              <w:top w:val="single" w:sz="8" w:space="0" w:color="95B3D7"/>
              <w:left w:val="single" w:sz="8" w:space="0" w:color="95B3D7"/>
              <w:bottom w:val="single" w:sz="8" w:space="0" w:color="95B3D7"/>
              <w:right w:val="single" w:sz="8" w:space="0" w:color="95B3D7"/>
            </w:tcBorders>
            <w:shd w:val="clear" w:color="auto" w:fill="DBE5F1"/>
          </w:tcPr>
          <w:p w14:paraId="5C489EDF" w14:textId="493D3DE2"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Ciénaga - Zona </w:t>
            </w:r>
            <w:r w:rsidR="00127485" w:rsidRPr="00B710A9">
              <w:rPr>
                <w:rFonts w:ascii="Arial" w:eastAsia="Arial" w:hAnsi="Arial" w:cs="Arial"/>
                <w:color w:val="000000" w:themeColor="text1"/>
                <w:sz w:val="16"/>
                <w:szCs w:val="16"/>
                <w:lang w:val="es"/>
              </w:rPr>
              <w:t>Bananera (</w:t>
            </w:r>
            <w:r w:rsidRPr="00B710A9">
              <w:rPr>
                <w:rFonts w:ascii="Arial" w:eastAsia="Arial" w:hAnsi="Arial" w:cs="Arial"/>
                <w:color w:val="000000" w:themeColor="text1"/>
                <w:sz w:val="16"/>
                <w:szCs w:val="16"/>
                <w:lang w:val="es"/>
              </w:rPr>
              <w:t xml:space="preserve">Magdalena) </w:t>
            </w:r>
          </w:p>
        </w:tc>
        <w:tc>
          <w:tcPr>
            <w:tcW w:w="1485" w:type="dxa"/>
            <w:tcBorders>
              <w:top w:val="single" w:sz="8" w:space="0" w:color="95B3D7"/>
              <w:left w:val="single" w:sz="8" w:space="0" w:color="95B3D7"/>
              <w:bottom w:val="single" w:sz="8" w:space="0" w:color="95B3D7"/>
              <w:right w:val="single" w:sz="8" w:space="0" w:color="95B3D7"/>
            </w:tcBorders>
            <w:shd w:val="clear" w:color="auto" w:fill="DBE5F1"/>
          </w:tcPr>
          <w:p w14:paraId="5F04F3E8" w14:textId="078EB57F"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2022 </w:t>
            </w:r>
          </w:p>
        </w:tc>
        <w:tc>
          <w:tcPr>
            <w:tcW w:w="1620" w:type="dxa"/>
            <w:tcBorders>
              <w:top w:val="single" w:sz="8" w:space="0" w:color="95B3D7"/>
              <w:left w:val="single" w:sz="8" w:space="0" w:color="95B3D7"/>
              <w:bottom w:val="single" w:sz="8" w:space="0" w:color="95B3D7"/>
              <w:right w:val="single" w:sz="8" w:space="0" w:color="95B3D7"/>
            </w:tcBorders>
            <w:shd w:val="clear" w:color="auto" w:fill="DBE5F1"/>
          </w:tcPr>
          <w:p w14:paraId="2F41644D" w14:textId="3CA6BC11"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Alcaldía de Ciénaga </w:t>
            </w:r>
          </w:p>
        </w:tc>
      </w:tr>
      <w:tr w:rsidR="75B02D90" w:rsidRPr="00B710A9" w14:paraId="09892683" w14:textId="77777777" w:rsidTr="00024431">
        <w:trPr>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1E30023A" w14:textId="77777777" w:rsidR="005551A8" w:rsidRPr="00B710A9" w:rsidRDefault="005551A8"/>
        </w:tc>
        <w:tc>
          <w:tcPr>
            <w:tcW w:w="450" w:type="dxa"/>
            <w:tcBorders>
              <w:top w:val="single" w:sz="8" w:space="0" w:color="95B3D7"/>
              <w:left w:val="nil"/>
              <w:bottom w:val="single" w:sz="8" w:space="0" w:color="95B3D7"/>
              <w:right w:val="single" w:sz="8" w:space="0" w:color="95B3D7"/>
            </w:tcBorders>
          </w:tcPr>
          <w:p w14:paraId="4C2E9C61" w14:textId="440BE603"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
              </w:rPr>
            </w:pPr>
            <w:r w:rsidRPr="00B710A9">
              <w:rPr>
                <w:rFonts w:ascii="Arial" w:eastAsia="Arial" w:hAnsi="Arial" w:cs="Arial"/>
                <w:sz w:val="14"/>
                <w:szCs w:val="14"/>
                <w:lang w:val="es"/>
              </w:rPr>
              <w:t xml:space="preserve">10. </w:t>
            </w:r>
          </w:p>
        </w:tc>
        <w:tc>
          <w:tcPr>
            <w:tcW w:w="2655" w:type="dxa"/>
            <w:tcBorders>
              <w:top w:val="single" w:sz="8" w:space="0" w:color="95B3D7"/>
              <w:left w:val="single" w:sz="8" w:space="0" w:color="95B3D7"/>
              <w:bottom w:val="single" w:sz="8" w:space="0" w:color="95B3D7"/>
              <w:right w:val="single" w:sz="8" w:space="0" w:color="95B3D7"/>
            </w:tcBorders>
          </w:tcPr>
          <w:p w14:paraId="1F574A36" w14:textId="757BBD5E"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Villa Rica - Puerto Tejada (Cauca) </w:t>
            </w:r>
          </w:p>
        </w:tc>
        <w:tc>
          <w:tcPr>
            <w:tcW w:w="1485" w:type="dxa"/>
            <w:tcBorders>
              <w:top w:val="single" w:sz="8" w:space="0" w:color="95B3D7"/>
              <w:left w:val="single" w:sz="8" w:space="0" w:color="95B3D7"/>
              <w:bottom w:val="single" w:sz="8" w:space="0" w:color="95B3D7"/>
              <w:right w:val="single" w:sz="8" w:space="0" w:color="95B3D7"/>
            </w:tcBorders>
          </w:tcPr>
          <w:p w14:paraId="642822EF" w14:textId="46585178"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2022 </w:t>
            </w:r>
          </w:p>
        </w:tc>
        <w:tc>
          <w:tcPr>
            <w:tcW w:w="1620" w:type="dxa"/>
            <w:tcBorders>
              <w:top w:val="single" w:sz="8" w:space="0" w:color="95B3D7"/>
              <w:left w:val="single" w:sz="8" w:space="0" w:color="95B3D7"/>
              <w:bottom w:val="single" w:sz="8" w:space="0" w:color="95B3D7"/>
              <w:right w:val="single" w:sz="8" w:space="0" w:color="95B3D7"/>
            </w:tcBorders>
          </w:tcPr>
          <w:p w14:paraId="2CC487E3" w14:textId="7FBEA560"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IGAC </w:t>
            </w:r>
          </w:p>
        </w:tc>
      </w:tr>
      <w:tr w:rsidR="75B02D90" w:rsidRPr="00B710A9" w14:paraId="16D970F5" w14:textId="77777777" w:rsidTr="00024431">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0EC1DF42" w14:textId="77777777" w:rsidR="005551A8" w:rsidRPr="00B710A9" w:rsidRDefault="005551A8"/>
        </w:tc>
        <w:tc>
          <w:tcPr>
            <w:tcW w:w="450" w:type="dxa"/>
            <w:tcBorders>
              <w:top w:val="single" w:sz="8" w:space="0" w:color="95B3D7"/>
              <w:left w:val="nil"/>
              <w:bottom w:val="single" w:sz="8" w:space="0" w:color="95B3D7"/>
              <w:right w:val="single" w:sz="8" w:space="0" w:color="95B3D7"/>
            </w:tcBorders>
            <w:shd w:val="clear" w:color="auto" w:fill="DBE5F1"/>
          </w:tcPr>
          <w:p w14:paraId="1BA393AB" w14:textId="508B29FE"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4"/>
                <w:szCs w:val="14"/>
                <w:lang w:val="es"/>
              </w:rPr>
            </w:pPr>
            <w:r w:rsidRPr="00B710A9">
              <w:rPr>
                <w:rFonts w:ascii="Arial" w:eastAsia="Arial" w:hAnsi="Arial" w:cs="Arial"/>
                <w:color w:val="000000" w:themeColor="text1"/>
                <w:sz w:val="14"/>
                <w:szCs w:val="14"/>
                <w:lang w:val="es"/>
              </w:rPr>
              <w:t xml:space="preserve">11.  </w:t>
            </w:r>
          </w:p>
        </w:tc>
        <w:tc>
          <w:tcPr>
            <w:tcW w:w="2655" w:type="dxa"/>
            <w:tcBorders>
              <w:top w:val="single" w:sz="8" w:space="0" w:color="95B3D7"/>
              <w:left w:val="single" w:sz="8" w:space="0" w:color="95B3D7"/>
              <w:bottom w:val="single" w:sz="8" w:space="0" w:color="95B3D7"/>
              <w:right w:val="single" w:sz="8" w:space="0" w:color="95B3D7"/>
            </w:tcBorders>
            <w:shd w:val="clear" w:color="auto" w:fill="DBE5F1"/>
          </w:tcPr>
          <w:p w14:paraId="06B09D09" w14:textId="0D1168EA"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San Luis - San Francisco   </w:t>
            </w:r>
          </w:p>
        </w:tc>
        <w:tc>
          <w:tcPr>
            <w:tcW w:w="1485" w:type="dxa"/>
            <w:tcBorders>
              <w:top w:val="single" w:sz="8" w:space="0" w:color="95B3D7"/>
              <w:left w:val="single" w:sz="8" w:space="0" w:color="95B3D7"/>
              <w:bottom w:val="single" w:sz="8" w:space="0" w:color="95B3D7"/>
              <w:right w:val="single" w:sz="8" w:space="0" w:color="95B3D7"/>
            </w:tcBorders>
            <w:shd w:val="clear" w:color="auto" w:fill="DBE5F1"/>
          </w:tcPr>
          <w:p w14:paraId="071E9A3E" w14:textId="39A032F5"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2021 </w:t>
            </w:r>
          </w:p>
        </w:tc>
        <w:tc>
          <w:tcPr>
            <w:tcW w:w="1620" w:type="dxa"/>
            <w:tcBorders>
              <w:top w:val="single" w:sz="8" w:space="0" w:color="95B3D7"/>
              <w:left w:val="single" w:sz="8" w:space="0" w:color="95B3D7"/>
              <w:bottom w:val="single" w:sz="8" w:space="0" w:color="95B3D7"/>
              <w:right w:val="single" w:sz="8" w:space="0" w:color="95B3D7"/>
            </w:tcBorders>
            <w:shd w:val="clear" w:color="auto" w:fill="DBE5F1"/>
          </w:tcPr>
          <w:p w14:paraId="5EA81F0F" w14:textId="151A2951"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Alcalde   </w:t>
            </w:r>
          </w:p>
          <w:p w14:paraId="7B2B94C7" w14:textId="239FF045"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San Luis  </w:t>
            </w:r>
          </w:p>
        </w:tc>
      </w:tr>
      <w:tr w:rsidR="75B02D90" w:rsidRPr="00B710A9" w14:paraId="59D5498D" w14:textId="77777777" w:rsidTr="00024431">
        <w:trPr>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1BA184D5" w14:textId="77777777" w:rsidR="005551A8" w:rsidRPr="00B710A9" w:rsidRDefault="005551A8"/>
        </w:tc>
        <w:tc>
          <w:tcPr>
            <w:tcW w:w="450" w:type="dxa"/>
            <w:tcBorders>
              <w:top w:val="single" w:sz="8" w:space="0" w:color="95B3D7"/>
              <w:left w:val="nil"/>
              <w:bottom w:val="single" w:sz="8" w:space="0" w:color="95B3D7"/>
              <w:right w:val="single" w:sz="8" w:space="0" w:color="95B3D7"/>
            </w:tcBorders>
          </w:tcPr>
          <w:p w14:paraId="436F82E2" w14:textId="4FC05C09"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
              </w:rPr>
            </w:pPr>
            <w:r w:rsidRPr="00B710A9">
              <w:rPr>
                <w:rFonts w:ascii="Arial" w:eastAsia="Arial" w:hAnsi="Arial" w:cs="Arial"/>
                <w:sz w:val="14"/>
                <w:szCs w:val="14"/>
                <w:lang w:val="es"/>
              </w:rPr>
              <w:t xml:space="preserve">12.  </w:t>
            </w:r>
          </w:p>
        </w:tc>
        <w:tc>
          <w:tcPr>
            <w:tcW w:w="2655" w:type="dxa"/>
            <w:tcBorders>
              <w:top w:val="single" w:sz="8" w:space="0" w:color="95B3D7"/>
              <w:left w:val="single" w:sz="8" w:space="0" w:color="95B3D7"/>
              <w:bottom w:val="single" w:sz="8" w:space="0" w:color="95B3D7"/>
              <w:right w:val="single" w:sz="8" w:space="0" w:color="95B3D7"/>
            </w:tcBorders>
          </w:tcPr>
          <w:p w14:paraId="50153DAE" w14:textId="46C31EA4"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San Luis – Puerto Nare  </w:t>
            </w:r>
          </w:p>
        </w:tc>
        <w:tc>
          <w:tcPr>
            <w:tcW w:w="1485" w:type="dxa"/>
            <w:tcBorders>
              <w:top w:val="single" w:sz="8" w:space="0" w:color="95B3D7"/>
              <w:left w:val="single" w:sz="8" w:space="0" w:color="95B3D7"/>
              <w:bottom w:val="single" w:sz="8" w:space="0" w:color="95B3D7"/>
              <w:right w:val="single" w:sz="8" w:space="0" w:color="95B3D7"/>
            </w:tcBorders>
          </w:tcPr>
          <w:p w14:paraId="40772ED9" w14:textId="21564E2E"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2021 </w:t>
            </w:r>
          </w:p>
        </w:tc>
        <w:tc>
          <w:tcPr>
            <w:tcW w:w="1620" w:type="dxa"/>
            <w:tcBorders>
              <w:top w:val="single" w:sz="8" w:space="0" w:color="95B3D7"/>
              <w:left w:val="single" w:sz="8" w:space="0" w:color="95B3D7"/>
              <w:bottom w:val="single" w:sz="8" w:space="0" w:color="95B3D7"/>
              <w:right w:val="single" w:sz="8" w:space="0" w:color="95B3D7"/>
            </w:tcBorders>
          </w:tcPr>
          <w:p w14:paraId="40790486" w14:textId="248ED5A0"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Alcalde   </w:t>
            </w:r>
          </w:p>
          <w:p w14:paraId="60F174FF" w14:textId="1B47EC9A"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San Luis  </w:t>
            </w:r>
          </w:p>
        </w:tc>
      </w:tr>
      <w:tr w:rsidR="75B02D90" w:rsidRPr="00B710A9" w14:paraId="53468C38" w14:textId="77777777" w:rsidTr="000244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2A7CCD65" w14:textId="77777777" w:rsidR="005551A8" w:rsidRPr="00B710A9" w:rsidRDefault="005551A8"/>
        </w:tc>
        <w:tc>
          <w:tcPr>
            <w:tcW w:w="450" w:type="dxa"/>
            <w:tcBorders>
              <w:top w:val="single" w:sz="8" w:space="0" w:color="95B3D7"/>
              <w:left w:val="nil"/>
              <w:bottom w:val="single" w:sz="8" w:space="0" w:color="95B3D7"/>
              <w:right w:val="single" w:sz="8" w:space="0" w:color="95B3D7"/>
            </w:tcBorders>
            <w:shd w:val="clear" w:color="auto" w:fill="DBE5F1"/>
          </w:tcPr>
          <w:p w14:paraId="3D822DEA" w14:textId="284DC6A1"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4"/>
                <w:szCs w:val="14"/>
                <w:lang w:val="es"/>
              </w:rPr>
            </w:pPr>
            <w:r w:rsidRPr="00B710A9">
              <w:rPr>
                <w:rFonts w:ascii="Arial" w:eastAsia="Arial" w:hAnsi="Arial" w:cs="Arial"/>
                <w:color w:val="000000" w:themeColor="text1"/>
                <w:sz w:val="14"/>
                <w:szCs w:val="14"/>
                <w:lang w:val="es"/>
              </w:rPr>
              <w:t xml:space="preserve">13.  </w:t>
            </w:r>
          </w:p>
        </w:tc>
        <w:tc>
          <w:tcPr>
            <w:tcW w:w="2655" w:type="dxa"/>
            <w:tcBorders>
              <w:top w:val="single" w:sz="8" w:space="0" w:color="95B3D7"/>
              <w:left w:val="single" w:sz="8" w:space="0" w:color="95B3D7"/>
              <w:bottom w:val="single" w:sz="8" w:space="0" w:color="95B3D7"/>
              <w:right w:val="single" w:sz="8" w:space="0" w:color="95B3D7"/>
            </w:tcBorders>
            <w:shd w:val="clear" w:color="auto" w:fill="DBE5F1"/>
          </w:tcPr>
          <w:p w14:paraId="426C967E" w14:textId="4B4EEDC3"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San Luis – Puerto Triunfo  </w:t>
            </w:r>
          </w:p>
        </w:tc>
        <w:tc>
          <w:tcPr>
            <w:tcW w:w="1485" w:type="dxa"/>
            <w:tcBorders>
              <w:top w:val="single" w:sz="8" w:space="0" w:color="95B3D7"/>
              <w:left w:val="single" w:sz="8" w:space="0" w:color="95B3D7"/>
              <w:bottom w:val="single" w:sz="8" w:space="0" w:color="95B3D7"/>
              <w:right w:val="single" w:sz="8" w:space="0" w:color="95B3D7"/>
            </w:tcBorders>
            <w:shd w:val="clear" w:color="auto" w:fill="DBE5F1"/>
          </w:tcPr>
          <w:p w14:paraId="0A4AD37A" w14:textId="244512A5"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2021 </w:t>
            </w:r>
          </w:p>
        </w:tc>
        <w:tc>
          <w:tcPr>
            <w:tcW w:w="1620" w:type="dxa"/>
            <w:tcBorders>
              <w:top w:val="single" w:sz="8" w:space="0" w:color="95B3D7"/>
              <w:left w:val="single" w:sz="8" w:space="0" w:color="95B3D7"/>
              <w:bottom w:val="single" w:sz="8" w:space="0" w:color="95B3D7"/>
              <w:right w:val="single" w:sz="8" w:space="0" w:color="95B3D7"/>
            </w:tcBorders>
            <w:shd w:val="clear" w:color="auto" w:fill="DBE5F1"/>
          </w:tcPr>
          <w:p w14:paraId="012AD5DC" w14:textId="315859A4"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Alcalde   </w:t>
            </w:r>
          </w:p>
          <w:p w14:paraId="136344DC" w14:textId="45DC89F0"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San Luis  </w:t>
            </w:r>
          </w:p>
        </w:tc>
      </w:tr>
      <w:tr w:rsidR="75B02D90" w:rsidRPr="00B710A9" w14:paraId="6BA549C2" w14:textId="77777777" w:rsidTr="00024431">
        <w:trPr>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3E29EC44" w14:textId="77777777" w:rsidR="005551A8" w:rsidRPr="00B710A9" w:rsidRDefault="005551A8"/>
        </w:tc>
        <w:tc>
          <w:tcPr>
            <w:tcW w:w="450" w:type="dxa"/>
            <w:tcBorders>
              <w:top w:val="single" w:sz="8" w:space="0" w:color="95B3D7"/>
              <w:left w:val="nil"/>
              <w:bottom w:val="single" w:sz="8" w:space="0" w:color="95B3D7"/>
              <w:right w:val="single" w:sz="8" w:space="0" w:color="95B3D7"/>
            </w:tcBorders>
          </w:tcPr>
          <w:p w14:paraId="0CF3BDCE" w14:textId="04D29CF4"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
              </w:rPr>
            </w:pPr>
            <w:r w:rsidRPr="00B710A9">
              <w:rPr>
                <w:rFonts w:ascii="Arial" w:eastAsia="Arial" w:hAnsi="Arial" w:cs="Arial"/>
                <w:sz w:val="14"/>
                <w:szCs w:val="14"/>
                <w:lang w:val="es"/>
              </w:rPr>
              <w:t xml:space="preserve">14.  </w:t>
            </w:r>
          </w:p>
        </w:tc>
        <w:tc>
          <w:tcPr>
            <w:tcW w:w="2655" w:type="dxa"/>
            <w:tcBorders>
              <w:top w:val="single" w:sz="8" w:space="0" w:color="95B3D7"/>
              <w:left w:val="single" w:sz="8" w:space="0" w:color="95B3D7"/>
              <w:bottom w:val="single" w:sz="8" w:space="0" w:color="95B3D7"/>
              <w:right w:val="single" w:sz="8" w:space="0" w:color="95B3D7"/>
            </w:tcBorders>
          </w:tcPr>
          <w:p w14:paraId="01FB8B80" w14:textId="6AF14403"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San Luis – San Carlos  </w:t>
            </w:r>
          </w:p>
        </w:tc>
        <w:tc>
          <w:tcPr>
            <w:tcW w:w="1485" w:type="dxa"/>
            <w:tcBorders>
              <w:top w:val="single" w:sz="8" w:space="0" w:color="95B3D7"/>
              <w:left w:val="single" w:sz="8" w:space="0" w:color="95B3D7"/>
              <w:bottom w:val="single" w:sz="8" w:space="0" w:color="95B3D7"/>
              <w:right w:val="single" w:sz="8" w:space="0" w:color="95B3D7"/>
            </w:tcBorders>
          </w:tcPr>
          <w:p w14:paraId="4E7EB026" w14:textId="4DEAA16E"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2021 </w:t>
            </w:r>
          </w:p>
        </w:tc>
        <w:tc>
          <w:tcPr>
            <w:tcW w:w="1620" w:type="dxa"/>
            <w:tcBorders>
              <w:top w:val="single" w:sz="8" w:space="0" w:color="95B3D7"/>
              <w:left w:val="single" w:sz="8" w:space="0" w:color="95B3D7"/>
              <w:bottom w:val="single" w:sz="8" w:space="0" w:color="95B3D7"/>
              <w:right w:val="single" w:sz="8" w:space="0" w:color="95B3D7"/>
            </w:tcBorders>
          </w:tcPr>
          <w:p w14:paraId="17E7F0A4" w14:textId="373B9631"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Alcalde   </w:t>
            </w:r>
          </w:p>
          <w:p w14:paraId="1C90F1A9" w14:textId="3AE9346A"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San Luis  </w:t>
            </w:r>
          </w:p>
        </w:tc>
      </w:tr>
      <w:tr w:rsidR="75B02D90" w:rsidRPr="00B710A9" w14:paraId="2E8C0F2D" w14:textId="77777777" w:rsidTr="000244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12A2D2A3" w14:textId="77777777" w:rsidR="005551A8" w:rsidRPr="00B710A9" w:rsidRDefault="005551A8"/>
        </w:tc>
        <w:tc>
          <w:tcPr>
            <w:tcW w:w="450" w:type="dxa"/>
            <w:tcBorders>
              <w:top w:val="single" w:sz="8" w:space="0" w:color="95B3D7"/>
              <w:left w:val="nil"/>
              <w:bottom w:val="single" w:sz="8" w:space="0" w:color="95B3D7"/>
              <w:right w:val="single" w:sz="8" w:space="0" w:color="95B3D7"/>
            </w:tcBorders>
            <w:shd w:val="clear" w:color="auto" w:fill="DBE5F1"/>
          </w:tcPr>
          <w:p w14:paraId="0FA42381" w14:textId="1EE8A4E7"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4"/>
                <w:szCs w:val="14"/>
                <w:lang w:val="es"/>
              </w:rPr>
            </w:pPr>
            <w:r w:rsidRPr="00B710A9">
              <w:rPr>
                <w:rFonts w:ascii="Arial" w:eastAsia="Arial" w:hAnsi="Arial" w:cs="Arial"/>
                <w:color w:val="000000" w:themeColor="text1"/>
                <w:sz w:val="14"/>
                <w:szCs w:val="14"/>
                <w:lang w:val="es"/>
              </w:rPr>
              <w:t xml:space="preserve">15.  </w:t>
            </w:r>
          </w:p>
        </w:tc>
        <w:tc>
          <w:tcPr>
            <w:tcW w:w="2655" w:type="dxa"/>
            <w:tcBorders>
              <w:top w:val="single" w:sz="8" w:space="0" w:color="95B3D7"/>
              <w:left w:val="single" w:sz="8" w:space="0" w:color="95B3D7"/>
              <w:bottom w:val="single" w:sz="8" w:space="0" w:color="95B3D7"/>
              <w:right w:val="single" w:sz="8" w:space="0" w:color="95B3D7"/>
            </w:tcBorders>
            <w:shd w:val="clear" w:color="auto" w:fill="DBE5F1"/>
          </w:tcPr>
          <w:p w14:paraId="31661C1C" w14:textId="3F1F54C4"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Campamento - Guadalupe  </w:t>
            </w:r>
          </w:p>
        </w:tc>
        <w:tc>
          <w:tcPr>
            <w:tcW w:w="1485" w:type="dxa"/>
            <w:tcBorders>
              <w:top w:val="single" w:sz="8" w:space="0" w:color="95B3D7"/>
              <w:left w:val="single" w:sz="8" w:space="0" w:color="95B3D7"/>
              <w:bottom w:val="single" w:sz="8" w:space="0" w:color="95B3D7"/>
              <w:right w:val="single" w:sz="8" w:space="0" w:color="95B3D7"/>
            </w:tcBorders>
            <w:shd w:val="clear" w:color="auto" w:fill="DBE5F1"/>
          </w:tcPr>
          <w:p w14:paraId="3B5FE0BA" w14:textId="5B5EDE63"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2020 </w:t>
            </w:r>
          </w:p>
        </w:tc>
        <w:tc>
          <w:tcPr>
            <w:tcW w:w="1620" w:type="dxa"/>
            <w:tcBorders>
              <w:top w:val="single" w:sz="8" w:space="0" w:color="95B3D7"/>
              <w:left w:val="single" w:sz="8" w:space="0" w:color="95B3D7"/>
              <w:bottom w:val="single" w:sz="8" w:space="0" w:color="95B3D7"/>
              <w:right w:val="single" w:sz="8" w:space="0" w:color="95B3D7"/>
            </w:tcBorders>
            <w:shd w:val="clear" w:color="auto" w:fill="DBE5F1"/>
          </w:tcPr>
          <w:p w14:paraId="77C982B4" w14:textId="5E75C49C"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Alcalde   </w:t>
            </w:r>
          </w:p>
          <w:p w14:paraId="5BC3F1F4" w14:textId="7BA7AF13"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Campamento - Guadalupe  </w:t>
            </w:r>
          </w:p>
        </w:tc>
      </w:tr>
      <w:tr w:rsidR="75B02D90" w:rsidRPr="00B710A9" w14:paraId="70B5266B" w14:textId="77777777" w:rsidTr="00024431">
        <w:trPr>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0534FA4B" w14:textId="77777777" w:rsidR="005551A8" w:rsidRPr="00B710A9" w:rsidRDefault="005551A8"/>
        </w:tc>
        <w:tc>
          <w:tcPr>
            <w:tcW w:w="450" w:type="dxa"/>
            <w:tcBorders>
              <w:top w:val="single" w:sz="8" w:space="0" w:color="95B3D7"/>
              <w:left w:val="nil"/>
              <w:bottom w:val="single" w:sz="8" w:space="0" w:color="95B3D7"/>
              <w:right w:val="single" w:sz="8" w:space="0" w:color="95B3D7"/>
            </w:tcBorders>
          </w:tcPr>
          <w:p w14:paraId="13197980" w14:textId="4F0A8802"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
              </w:rPr>
            </w:pPr>
            <w:r w:rsidRPr="00B710A9">
              <w:rPr>
                <w:rFonts w:ascii="Arial" w:eastAsia="Arial" w:hAnsi="Arial" w:cs="Arial"/>
                <w:sz w:val="14"/>
                <w:szCs w:val="14"/>
                <w:lang w:val="es"/>
              </w:rPr>
              <w:t xml:space="preserve">16.  </w:t>
            </w:r>
          </w:p>
        </w:tc>
        <w:tc>
          <w:tcPr>
            <w:tcW w:w="2655" w:type="dxa"/>
            <w:tcBorders>
              <w:top w:val="single" w:sz="8" w:space="0" w:color="95B3D7"/>
              <w:left w:val="single" w:sz="8" w:space="0" w:color="95B3D7"/>
              <w:bottom w:val="single" w:sz="8" w:space="0" w:color="95B3D7"/>
              <w:right w:val="single" w:sz="8" w:space="0" w:color="95B3D7"/>
            </w:tcBorders>
          </w:tcPr>
          <w:p w14:paraId="5C5C1EF5" w14:textId="6E4B3369"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Santa Rosalía – La Primavera   </w:t>
            </w:r>
          </w:p>
        </w:tc>
        <w:tc>
          <w:tcPr>
            <w:tcW w:w="1485" w:type="dxa"/>
            <w:tcBorders>
              <w:top w:val="single" w:sz="8" w:space="0" w:color="95B3D7"/>
              <w:left w:val="single" w:sz="8" w:space="0" w:color="95B3D7"/>
              <w:bottom w:val="single" w:sz="8" w:space="0" w:color="95B3D7"/>
              <w:right w:val="single" w:sz="8" w:space="0" w:color="95B3D7"/>
            </w:tcBorders>
          </w:tcPr>
          <w:p w14:paraId="1AFD5CC9" w14:textId="28ABAF68"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2020 </w:t>
            </w:r>
          </w:p>
        </w:tc>
        <w:tc>
          <w:tcPr>
            <w:tcW w:w="1620" w:type="dxa"/>
            <w:tcBorders>
              <w:top w:val="single" w:sz="8" w:space="0" w:color="95B3D7"/>
              <w:left w:val="single" w:sz="8" w:space="0" w:color="95B3D7"/>
              <w:bottom w:val="single" w:sz="8" w:space="0" w:color="95B3D7"/>
              <w:right w:val="single" w:sz="8" w:space="0" w:color="95B3D7"/>
            </w:tcBorders>
          </w:tcPr>
          <w:p w14:paraId="7EBDE61F" w14:textId="244D6FAA"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Alcalde   </w:t>
            </w:r>
          </w:p>
          <w:p w14:paraId="28B67BB9" w14:textId="19654450"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Santa Rosalía   </w:t>
            </w:r>
          </w:p>
        </w:tc>
      </w:tr>
      <w:tr w:rsidR="75B02D90" w:rsidRPr="00B710A9" w14:paraId="734D0189" w14:textId="77777777" w:rsidTr="000244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603FFECC" w14:textId="77777777" w:rsidR="005551A8" w:rsidRPr="00B710A9" w:rsidRDefault="005551A8"/>
        </w:tc>
        <w:tc>
          <w:tcPr>
            <w:tcW w:w="450" w:type="dxa"/>
            <w:tcBorders>
              <w:top w:val="single" w:sz="8" w:space="0" w:color="95B3D7"/>
              <w:left w:val="nil"/>
              <w:bottom w:val="single" w:sz="8" w:space="0" w:color="95B3D7"/>
              <w:right w:val="single" w:sz="8" w:space="0" w:color="95B3D7"/>
            </w:tcBorders>
            <w:shd w:val="clear" w:color="auto" w:fill="DBE5F1"/>
          </w:tcPr>
          <w:p w14:paraId="147DE4AE" w14:textId="2E8F8801"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4"/>
                <w:szCs w:val="14"/>
                <w:lang w:val="es"/>
              </w:rPr>
            </w:pPr>
            <w:r w:rsidRPr="00B710A9">
              <w:rPr>
                <w:rFonts w:ascii="Arial" w:eastAsia="Arial" w:hAnsi="Arial" w:cs="Arial"/>
                <w:color w:val="000000" w:themeColor="text1"/>
                <w:sz w:val="14"/>
                <w:szCs w:val="14"/>
                <w:lang w:val="es"/>
              </w:rPr>
              <w:t xml:space="preserve">17.  </w:t>
            </w:r>
          </w:p>
        </w:tc>
        <w:tc>
          <w:tcPr>
            <w:tcW w:w="2655" w:type="dxa"/>
            <w:tcBorders>
              <w:top w:val="single" w:sz="8" w:space="0" w:color="95B3D7"/>
              <w:left w:val="single" w:sz="8" w:space="0" w:color="95B3D7"/>
              <w:bottom w:val="single" w:sz="8" w:space="0" w:color="95B3D7"/>
              <w:right w:val="single" w:sz="8" w:space="0" w:color="95B3D7"/>
            </w:tcBorders>
            <w:shd w:val="clear" w:color="auto" w:fill="DBE5F1"/>
          </w:tcPr>
          <w:p w14:paraId="7FE997AB" w14:textId="5EE1463E"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San Luis - Granada (Antioquia)  </w:t>
            </w:r>
          </w:p>
        </w:tc>
        <w:tc>
          <w:tcPr>
            <w:tcW w:w="1485" w:type="dxa"/>
            <w:tcBorders>
              <w:top w:val="single" w:sz="8" w:space="0" w:color="95B3D7"/>
              <w:left w:val="single" w:sz="8" w:space="0" w:color="95B3D7"/>
              <w:bottom w:val="single" w:sz="8" w:space="0" w:color="95B3D7"/>
              <w:right w:val="single" w:sz="8" w:space="0" w:color="95B3D7"/>
            </w:tcBorders>
            <w:shd w:val="clear" w:color="auto" w:fill="DBE5F1"/>
          </w:tcPr>
          <w:p w14:paraId="6EAF09D7" w14:textId="7066A7D2"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2020 </w:t>
            </w:r>
          </w:p>
        </w:tc>
        <w:tc>
          <w:tcPr>
            <w:tcW w:w="1620" w:type="dxa"/>
            <w:tcBorders>
              <w:top w:val="single" w:sz="8" w:space="0" w:color="95B3D7"/>
              <w:left w:val="single" w:sz="8" w:space="0" w:color="95B3D7"/>
              <w:bottom w:val="single" w:sz="8" w:space="0" w:color="95B3D7"/>
              <w:right w:val="single" w:sz="8" w:space="0" w:color="95B3D7"/>
            </w:tcBorders>
            <w:shd w:val="clear" w:color="auto" w:fill="DBE5F1"/>
          </w:tcPr>
          <w:p w14:paraId="5CDC4DA0" w14:textId="45883921"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Alcalde  </w:t>
            </w:r>
          </w:p>
          <w:p w14:paraId="40F4A7B3" w14:textId="2D0F0A91"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San Luis  </w:t>
            </w:r>
          </w:p>
        </w:tc>
      </w:tr>
      <w:tr w:rsidR="75B02D90" w:rsidRPr="00B710A9" w14:paraId="2A9180DF" w14:textId="77777777" w:rsidTr="00024431">
        <w:trPr>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046B581D" w14:textId="77777777" w:rsidR="005551A8" w:rsidRPr="00B710A9" w:rsidRDefault="005551A8"/>
        </w:tc>
        <w:tc>
          <w:tcPr>
            <w:tcW w:w="450" w:type="dxa"/>
            <w:tcBorders>
              <w:top w:val="single" w:sz="8" w:space="0" w:color="95B3D7"/>
              <w:left w:val="nil"/>
              <w:bottom w:val="single" w:sz="8" w:space="0" w:color="95B3D7"/>
              <w:right w:val="single" w:sz="8" w:space="0" w:color="95B3D7"/>
            </w:tcBorders>
          </w:tcPr>
          <w:p w14:paraId="71870E6E" w14:textId="394102AA"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
              </w:rPr>
            </w:pPr>
            <w:r w:rsidRPr="00B710A9">
              <w:rPr>
                <w:rFonts w:ascii="Arial" w:eastAsia="Arial" w:hAnsi="Arial" w:cs="Arial"/>
                <w:sz w:val="14"/>
                <w:szCs w:val="14"/>
                <w:lang w:val="es"/>
              </w:rPr>
              <w:t xml:space="preserve">18.  </w:t>
            </w:r>
          </w:p>
        </w:tc>
        <w:tc>
          <w:tcPr>
            <w:tcW w:w="2655" w:type="dxa"/>
            <w:tcBorders>
              <w:top w:val="single" w:sz="8" w:space="0" w:color="95B3D7"/>
              <w:left w:val="single" w:sz="8" w:space="0" w:color="95B3D7"/>
              <w:bottom w:val="single" w:sz="8" w:space="0" w:color="95B3D7"/>
              <w:right w:val="single" w:sz="8" w:space="0" w:color="95B3D7"/>
            </w:tcBorders>
          </w:tcPr>
          <w:p w14:paraId="2AFEAF1C" w14:textId="71E1636D"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Vijes - Yumbo (Valle del Cauca)  </w:t>
            </w:r>
          </w:p>
        </w:tc>
        <w:tc>
          <w:tcPr>
            <w:tcW w:w="1485" w:type="dxa"/>
            <w:tcBorders>
              <w:top w:val="single" w:sz="8" w:space="0" w:color="95B3D7"/>
              <w:left w:val="single" w:sz="8" w:space="0" w:color="95B3D7"/>
              <w:bottom w:val="single" w:sz="8" w:space="0" w:color="95B3D7"/>
              <w:right w:val="single" w:sz="8" w:space="0" w:color="95B3D7"/>
            </w:tcBorders>
          </w:tcPr>
          <w:p w14:paraId="40B05281" w14:textId="724A7A51"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2020 </w:t>
            </w:r>
          </w:p>
        </w:tc>
        <w:tc>
          <w:tcPr>
            <w:tcW w:w="1620" w:type="dxa"/>
            <w:tcBorders>
              <w:top w:val="single" w:sz="8" w:space="0" w:color="95B3D7"/>
              <w:left w:val="single" w:sz="8" w:space="0" w:color="95B3D7"/>
              <w:bottom w:val="single" w:sz="8" w:space="0" w:color="95B3D7"/>
              <w:right w:val="single" w:sz="8" w:space="0" w:color="95B3D7"/>
            </w:tcBorders>
          </w:tcPr>
          <w:p w14:paraId="2C5A1624" w14:textId="2536A4B8"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IGAC  </w:t>
            </w:r>
          </w:p>
        </w:tc>
      </w:tr>
      <w:tr w:rsidR="75B02D90" w:rsidRPr="00B710A9" w14:paraId="0929C1A2" w14:textId="77777777" w:rsidTr="000244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026DC666" w14:textId="77777777" w:rsidR="005551A8" w:rsidRPr="00B710A9" w:rsidRDefault="005551A8"/>
        </w:tc>
        <w:tc>
          <w:tcPr>
            <w:tcW w:w="450" w:type="dxa"/>
            <w:tcBorders>
              <w:top w:val="single" w:sz="8" w:space="0" w:color="95B3D7"/>
              <w:left w:val="nil"/>
              <w:bottom w:val="single" w:sz="8" w:space="0" w:color="95B3D7"/>
              <w:right w:val="single" w:sz="8" w:space="0" w:color="95B3D7"/>
            </w:tcBorders>
            <w:shd w:val="clear" w:color="auto" w:fill="DBE5F1"/>
          </w:tcPr>
          <w:p w14:paraId="1A42842C" w14:textId="01E4CF55"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4"/>
                <w:szCs w:val="14"/>
                <w:lang w:val="es"/>
              </w:rPr>
            </w:pPr>
            <w:r w:rsidRPr="00B710A9">
              <w:rPr>
                <w:rFonts w:ascii="Arial" w:eastAsia="Arial" w:hAnsi="Arial" w:cs="Arial"/>
                <w:color w:val="000000" w:themeColor="text1"/>
                <w:sz w:val="14"/>
                <w:szCs w:val="14"/>
                <w:lang w:val="es"/>
              </w:rPr>
              <w:t xml:space="preserve">19.  </w:t>
            </w:r>
          </w:p>
        </w:tc>
        <w:tc>
          <w:tcPr>
            <w:tcW w:w="2655" w:type="dxa"/>
            <w:tcBorders>
              <w:top w:val="single" w:sz="8" w:space="0" w:color="95B3D7"/>
              <w:left w:val="single" w:sz="8" w:space="0" w:color="95B3D7"/>
              <w:bottom w:val="single" w:sz="8" w:space="0" w:color="95B3D7"/>
              <w:right w:val="single" w:sz="8" w:space="0" w:color="95B3D7"/>
            </w:tcBorders>
            <w:shd w:val="clear" w:color="auto" w:fill="DBE5F1"/>
          </w:tcPr>
          <w:p w14:paraId="715DA4C8" w14:textId="19FFEF70"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proofErr w:type="spellStart"/>
            <w:r w:rsidRPr="00B710A9">
              <w:rPr>
                <w:rFonts w:ascii="Arial" w:eastAsia="Arial" w:hAnsi="Arial" w:cs="Arial"/>
                <w:color w:val="000000" w:themeColor="text1"/>
                <w:sz w:val="16"/>
                <w:szCs w:val="16"/>
                <w:lang w:val="es"/>
              </w:rPr>
              <w:t>Barrancominas</w:t>
            </w:r>
            <w:proofErr w:type="spellEnd"/>
            <w:r w:rsidRPr="00B710A9">
              <w:rPr>
                <w:rFonts w:ascii="Arial" w:eastAsia="Arial" w:hAnsi="Arial" w:cs="Arial"/>
                <w:color w:val="000000" w:themeColor="text1"/>
                <w:sz w:val="16"/>
                <w:szCs w:val="16"/>
                <w:lang w:val="es"/>
              </w:rPr>
              <w:t xml:space="preserve"> – Inírida (Guainía)  </w:t>
            </w:r>
          </w:p>
        </w:tc>
        <w:tc>
          <w:tcPr>
            <w:tcW w:w="1485" w:type="dxa"/>
            <w:tcBorders>
              <w:top w:val="single" w:sz="8" w:space="0" w:color="95B3D7"/>
              <w:left w:val="single" w:sz="8" w:space="0" w:color="95B3D7"/>
              <w:bottom w:val="single" w:sz="8" w:space="0" w:color="95B3D7"/>
              <w:right w:val="single" w:sz="8" w:space="0" w:color="95B3D7"/>
            </w:tcBorders>
            <w:shd w:val="clear" w:color="auto" w:fill="DBE5F1"/>
          </w:tcPr>
          <w:p w14:paraId="2CA26C24" w14:textId="670C8161"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2020 </w:t>
            </w:r>
          </w:p>
        </w:tc>
        <w:tc>
          <w:tcPr>
            <w:tcW w:w="1620" w:type="dxa"/>
            <w:tcBorders>
              <w:top w:val="single" w:sz="8" w:space="0" w:color="95B3D7"/>
              <w:left w:val="single" w:sz="8" w:space="0" w:color="95B3D7"/>
              <w:bottom w:val="single" w:sz="8" w:space="0" w:color="95B3D7"/>
              <w:right w:val="single" w:sz="8" w:space="0" w:color="95B3D7"/>
            </w:tcBorders>
            <w:shd w:val="clear" w:color="auto" w:fill="DBE5F1"/>
          </w:tcPr>
          <w:p w14:paraId="421B0EED" w14:textId="63B31C46"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IGAC  </w:t>
            </w:r>
          </w:p>
        </w:tc>
      </w:tr>
      <w:tr w:rsidR="75B02D90" w:rsidRPr="00B710A9" w14:paraId="786452B7" w14:textId="77777777" w:rsidTr="00024431">
        <w:trPr>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60811103" w14:textId="77777777" w:rsidR="005551A8" w:rsidRPr="00B710A9" w:rsidRDefault="005551A8"/>
        </w:tc>
        <w:tc>
          <w:tcPr>
            <w:tcW w:w="450" w:type="dxa"/>
            <w:tcBorders>
              <w:top w:val="single" w:sz="8" w:space="0" w:color="95B3D7"/>
              <w:left w:val="nil"/>
              <w:bottom w:val="single" w:sz="8" w:space="0" w:color="95B3D7"/>
              <w:right w:val="single" w:sz="8" w:space="0" w:color="95B3D7"/>
            </w:tcBorders>
          </w:tcPr>
          <w:p w14:paraId="74A37D0F" w14:textId="670DCC3E"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
              </w:rPr>
            </w:pPr>
            <w:r w:rsidRPr="00B710A9">
              <w:rPr>
                <w:rFonts w:ascii="Arial" w:eastAsia="Arial" w:hAnsi="Arial" w:cs="Arial"/>
                <w:sz w:val="14"/>
                <w:szCs w:val="14"/>
                <w:lang w:val="es"/>
              </w:rPr>
              <w:t xml:space="preserve">20.  </w:t>
            </w:r>
          </w:p>
        </w:tc>
        <w:tc>
          <w:tcPr>
            <w:tcW w:w="2655" w:type="dxa"/>
            <w:tcBorders>
              <w:top w:val="single" w:sz="8" w:space="0" w:color="95B3D7"/>
              <w:left w:val="single" w:sz="8" w:space="0" w:color="95B3D7"/>
              <w:bottom w:val="single" w:sz="8" w:space="0" w:color="95B3D7"/>
              <w:right w:val="single" w:sz="8" w:space="0" w:color="95B3D7"/>
            </w:tcBorders>
          </w:tcPr>
          <w:p w14:paraId="4514D253" w14:textId="6F603977"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Vijes - La Cumbre (Valle del Cauca)  </w:t>
            </w:r>
          </w:p>
        </w:tc>
        <w:tc>
          <w:tcPr>
            <w:tcW w:w="1485" w:type="dxa"/>
            <w:tcBorders>
              <w:top w:val="single" w:sz="8" w:space="0" w:color="95B3D7"/>
              <w:left w:val="single" w:sz="8" w:space="0" w:color="95B3D7"/>
              <w:bottom w:val="single" w:sz="8" w:space="0" w:color="95B3D7"/>
              <w:right w:val="single" w:sz="8" w:space="0" w:color="95B3D7"/>
            </w:tcBorders>
          </w:tcPr>
          <w:p w14:paraId="359416A0" w14:textId="646907A5"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2020 </w:t>
            </w:r>
          </w:p>
        </w:tc>
        <w:tc>
          <w:tcPr>
            <w:tcW w:w="1620" w:type="dxa"/>
            <w:tcBorders>
              <w:top w:val="single" w:sz="8" w:space="0" w:color="95B3D7"/>
              <w:left w:val="single" w:sz="8" w:space="0" w:color="95B3D7"/>
              <w:bottom w:val="single" w:sz="8" w:space="0" w:color="95B3D7"/>
              <w:right w:val="single" w:sz="8" w:space="0" w:color="95B3D7"/>
            </w:tcBorders>
          </w:tcPr>
          <w:p w14:paraId="168A1594" w14:textId="25D2C48D"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IGAC  </w:t>
            </w:r>
          </w:p>
        </w:tc>
      </w:tr>
      <w:tr w:rsidR="75B02D90" w:rsidRPr="00B710A9" w14:paraId="5CA6E45C" w14:textId="77777777" w:rsidTr="000244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3729901E" w14:textId="77777777" w:rsidR="005551A8" w:rsidRPr="00B710A9" w:rsidRDefault="005551A8"/>
        </w:tc>
        <w:tc>
          <w:tcPr>
            <w:tcW w:w="450" w:type="dxa"/>
            <w:tcBorders>
              <w:top w:val="single" w:sz="8" w:space="0" w:color="95B3D7"/>
              <w:left w:val="nil"/>
              <w:bottom w:val="single" w:sz="8" w:space="0" w:color="95B3D7"/>
              <w:right w:val="single" w:sz="8" w:space="0" w:color="95B3D7"/>
            </w:tcBorders>
            <w:shd w:val="clear" w:color="auto" w:fill="DBE5F1"/>
          </w:tcPr>
          <w:p w14:paraId="7EF1A735" w14:textId="229CA7E1"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4"/>
                <w:szCs w:val="14"/>
                <w:lang w:val="es"/>
              </w:rPr>
            </w:pPr>
            <w:r w:rsidRPr="00B710A9">
              <w:rPr>
                <w:rFonts w:ascii="Arial" w:eastAsia="Arial" w:hAnsi="Arial" w:cs="Arial"/>
                <w:color w:val="000000" w:themeColor="text1"/>
                <w:sz w:val="14"/>
                <w:szCs w:val="14"/>
                <w:lang w:val="es"/>
              </w:rPr>
              <w:t xml:space="preserve">21.  </w:t>
            </w:r>
          </w:p>
        </w:tc>
        <w:tc>
          <w:tcPr>
            <w:tcW w:w="2655" w:type="dxa"/>
            <w:tcBorders>
              <w:top w:val="single" w:sz="8" w:space="0" w:color="95B3D7"/>
              <w:left w:val="single" w:sz="8" w:space="0" w:color="95B3D7"/>
              <w:bottom w:val="single" w:sz="8" w:space="0" w:color="95B3D7"/>
              <w:right w:val="single" w:sz="8" w:space="0" w:color="95B3D7"/>
            </w:tcBorders>
            <w:shd w:val="clear" w:color="auto" w:fill="DBE5F1"/>
          </w:tcPr>
          <w:p w14:paraId="19323F30" w14:textId="3FFF3AB9"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Vijes - Restrepo (Valle del Cauca)  </w:t>
            </w:r>
          </w:p>
        </w:tc>
        <w:tc>
          <w:tcPr>
            <w:tcW w:w="1485" w:type="dxa"/>
            <w:tcBorders>
              <w:top w:val="single" w:sz="8" w:space="0" w:color="95B3D7"/>
              <w:left w:val="single" w:sz="8" w:space="0" w:color="95B3D7"/>
              <w:bottom w:val="single" w:sz="8" w:space="0" w:color="95B3D7"/>
              <w:right w:val="single" w:sz="8" w:space="0" w:color="95B3D7"/>
            </w:tcBorders>
            <w:shd w:val="clear" w:color="auto" w:fill="DBE5F1"/>
          </w:tcPr>
          <w:p w14:paraId="738F5121" w14:textId="1190CA7A"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2020 </w:t>
            </w:r>
          </w:p>
        </w:tc>
        <w:tc>
          <w:tcPr>
            <w:tcW w:w="1620" w:type="dxa"/>
            <w:tcBorders>
              <w:top w:val="single" w:sz="8" w:space="0" w:color="95B3D7"/>
              <w:left w:val="single" w:sz="8" w:space="0" w:color="95B3D7"/>
              <w:bottom w:val="single" w:sz="8" w:space="0" w:color="95B3D7"/>
              <w:right w:val="single" w:sz="8" w:space="0" w:color="95B3D7"/>
            </w:tcBorders>
            <w:shd w:val="clear" w:color="auto" w:fill="DBE5F1"/>
          </w:tcPr>
          <w:p w14:paraId="37CF952E" w14:textId="19149B13"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IGAC  </w:t>
            </w:r>
          </w:p>
        </w:tc>
      </w:tr>
      <w:tr w:rsidR="75B02D90" w:rsidRPr="00B710A9" w14:paraId="1F01B378" w14:textId="77777777" w:rsidTr="00024431">
        <w:trPr>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4AF73DB2" w14:textId="77777777" w:rsidR="005551A8" w:rsidRPr="00B710A9" w:rsidRDefault="005551A8"/>
        </w:tc>
        <w:tc>
          <w:tcPr>
            <w:tcW w:w="450" w:type="dxa"/>
            <w:tcBorders>
              <w:top w:val="single" w:sz="8" w:space="0" w:color="95B3D7"/>
              <w:left w:val="nil"/>
              <w:bottom w:val="single" w:sz="8" w:space="0" w:color="95B3D7"/>
              <w:right w:val="single" w:sz="8" w:space="0" w:color="95B3D7"/>
            </w:tcBorders>
          </w:tcPr>
          <w:p w14:paraId="6CD4456B" w14:textId="5C4EB014"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
              </w:rPr>
            </w:pPr>
            <w:r w:rsidRPr="00B710A9">
              <w:rPr>
                <w:rFonts w:ascii="Arial" w:eastAsia="Arial" w:hAnsi="Arial" w:cs="Arial"/>
                <w:sz w:val="14"/>
                <w:szCs w:val="14"/>
                <w:lang w:val="es"/>
              </w:rPr>
              <w:t xml:space="preserve">22.  </w:t>
            </w:r>
          </w:p>
        </w:tc>
        <w:tc>
          <w:tcPr>
            <w:tcW w:w="2655" w:type="dxa"/>
            <w:tcBorders>
              <w:top w:val="single" w:sz="8" w:space="0" w:color="95B3D7"/>
              <w:left w:val="single" w:sz="8" w:space="0" w:color="95B3D7"/>
              <w:bottom w:val="single" w:sz="8" w:space="0" w:color="95B3D7"/>
              <w:right w:val="single" w:sz="8" w:space="0" w:color="95B3D7"/>
            </w:tcBorders>
          </w:tcPr>
          <w:p w14:paraId="65719EBA" w14:textId="19D8F658"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Vijes - Yotoco (Valle del Cauca)  </w:t>
            </w:r>
          </w:p>
        </w:tc>
        <w:tc>
          <w:tcPr>
            <w:tcW w:w="1485" w:type="dxa"/>
            <w:tcBorders>
              <w:top w:val="single" w:sz="8" w:space="0" w:color="95B3D7"/>
              <w:left w:val="single" w:sz="8" w:space="0" w:color="95B3D7"/>
              <w:bottom w:val="single" w:sz="8" w:space="0" w:color="95B3D7"/>
              <w:right w:val="single" w:sz="8" w:space="0" w:color="95B3D7"/>
            </w:tcBorders>
          </w:tcPr>
          <w:p w14:paraId="31147BAE" w14:textId="009C35B4"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2020 </w:t>
            </w:r>
          </w:p>
        </w:tc>
        <w:tc>
          <w:tcPr>
            <w:tcW w:w="1620" w:type="dxa"/>
            <w:tcBorders>
              <w:top w:val="single" w:sz="8" w:space="0" w:color="95B3D7"/>
              <w:left w:val="single" w:sz="8" w:space="0" w:color="95B3D7"/>
              <w:bottom w:val="single" w:sz="8" w:space="0" w:color="95B3D7"/>
              <w:right w:val="single" w:sz="8" w:space="0" w:color="95B3D7"/>
            </w:tcBorders>
          </w:tcPr>
          <w:p w14:paraId="2C599FE6" w14:textId="15FA03C9"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IGAC  </w:t>
            </w:r>
          </w:p>
        </w:tc>
      </w:tr>
      <w:tr w:rsidR="75B02D90" w:rsidRPr="00B710A9" w14:paraId="01D32685" w14:textId="77777777" w:rsidTr="000244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bottom w:val="single" w:sz="0" w:space="0" w:color="95B3D7"/>
              <w:right w:val="single" w:sz="0" w:space="0" w:color="95B3D7"/>
            </w:tcBorders>
            <w:vAlign w:val="center"/>
          </w:tcPr>
          <w:p w14:paraId="3D080FBA" w14:textId="77777777" w:rsidR="005551A8" w:rsidRPr="00B710A9" w:rsidRDefault="005551A8"/>
        </w:tc>
        <w:tc>
          <w:tcPr>
            <w:tcW w:w="450" w:type="dxa"/>
            <w:tcBorders>
              <w:top w:val="single" w:sz="8" w:space="0" w:color="95B3D7"/>
              <w:left w:val="nil"/>
              <w:bottom w:val="single" w:sz="8" w:space="0" w:color="95B3D7"/>
              <w:right w:val="single" w:sz="8" w:space="0" w:color="95B3D7"/>
            </w:tcBorders>
            <w:shd w:val="clear" w:color="auto" w:fill="DBE5F1"/>
          </w:tcPr>
          <w:p w14:paraId="758D5904" w14:textId="0F5DA72D"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4"/>
                <w:szCs w:val="14"/>
                <w:lang w:val="es"/>
              </w:rPr>
            </w:pPr>
            <w:r w:rsidRPr="00B710A9">
              <w:rPr>
                <w:rFonts w:ascii="Arial" w:eastAsia="Arial" w:hAnsi="Arial" w:cs="Arial"/>
                <w:color w:val="000000" w:themeColor="text1"/>
                <w:sz w:val="14"/>
                <w:szCs w:val="14"/>
                <w:lang w:val="es"/>
              </w:rPr>
              <w:t xml:space="preserve">23.  </w:t>
            </w:r>
          </w:p>
        </w:tc>
        <w:tc>
          <w:tcPr>
            <w:tcW w:w="2655" w:type="dxa"/>
            <w:tcBorders>
              <w:top w:val="single" w:sz="8" w:space="0" w:color="95B3D7"/>
              <w:left w:val="single" w:sz="8" w:space="0" w:color="95B3D7"/>
              <w:bottom w:val="single" w:sz="8" w:space="0" w:color="95B3D7"/>
              <w:right w:val="single" w:sz="8" w:space="0" w:color="95B3D7"/>
            </w:tcBorders>
            <w:shd w:val="clear" w:color="auto" w:fill="DBE5F1"/>
          </w:tcPr>
          <w:p w14:paraId="01E311CE" w14:textId="746E1C8D"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Toledo - San Andrés de </w:t>
            </w:r>
            <w:proofErr w:type="spellStart"/>
            <w:r w:rsidRPr="00B710A9">
              <w:rPr>
                <w:rFonts w:ascii="Arial" w:eastAsia="Arial" w:hAnsi="Arial" w:cs="Arial"/>
                <w:color w:val="000000" w:themeColor="text1"/>
                <w:sz w:val="16"/>
                <w:szCs w:val="16"/>
                <w:lang w:val="es"/>
              </w:rPr>
              <w:t>Cuerquía</w:t>
            </w:r>
            <w:proofErr w:type="spellEnd"/>
            <w:r w:rsidRPr="00B710A9">
              <w:rPr>
                <w:rFonts w:ascii="Arial" w:eastAsia="Arial" w:hAnsi="Arial" w:cs="Arial"/>
                <w:color w:val="000000" w:themeColor="text1"/>
                <w:sz w:val="16"/>
                <w:szCs w:val="16"/>
                <w:lang w:val="es"/>
              </w:rPr>
              <w:t xml:space="preserve">  </w:t>
            </w:r>
          </w:p>
        </w:tc>
        <w:tc>
          <w:tcPr>
            <w:tcW w:w="1485" w:type="dxa"/>
            <w:tcBorders>
              <w:top w:val="single" w:sz="8" w:space="0" w:color="95B3D7"/>
              <w:left w:val="single" w:sz="8" w:space="0" w:color="95B3D7"/>
              <w:bottom w:val="single" w:sz="8" w:space="0" w:color="95B3D7"/>
              <w:right w:val="single" w:sz="8" w:space="0" w:color="95B3D7"/>
            </w:tcBorders>
            <w:shd w:val="clear" w:color="auto" w:fill="DBE5F1"/>
          </w:tcPr>
          <w:p w14:paraId="03C59572" w14:textId="3D9109CF"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2020 </w:t>
            </w:r>
          </w:p>
        </w:tc>
        <w:tc>
          <w:tcPr>
            <w:tcW w:w="1620" w:type="dxa"/>
            <w:tcBorders>
              <w:top w:val="single" w:sz="8" w:space="0" w:color="95B3D7"/>
              <w:left w:val="single" w:sz="8" w:space="0" w:color="95B3D7"/>
              <w:bottom w:val="single" w:sz="8" w:space="0" w:color="95B3D7"/>
              <w:right w:val="single" w:sz="8" w:space="0" w:color="95B3D7"/>
            </w:tcBorders>
            <w:shd w:val="clear" w:color="auto" w:fill="DBE5F1"/>
          </w:tcPr>
          <w:p w14:paraId="0794ABAF" w14:textId="2249BF72"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Alcalde   </w:t>
            </w:r>
          </w:p>
          <w:p w14:paraId="2588A54F" w14:textId="0468BBAC"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 Toledo y San Andrés de </w:t>
            </w:r>
            <w:proofErr w:type="spellStart"/>
            <w:r w:rsidRPr="00B710A9">
              <w:rPr>
                <w:rFonts w:ascii="Arial" w:eastAsia="Arial" w:hAnsi="Arial" w:cs="Arial"/>
                <w:color w:val="000000" w:themeColor="text1"/>
                <w:sz w:val="16"/>
                <w:szCs w:val="16"/>
                <w:lang w:val="es"/>
              </w:rPr>
              <w:t>Cuerquía</w:t>
            </w:r>
            <w:proofErr w:type="spellEnd"/>
            <w:r w:rsidRPr="00B710A9">
              <w:rPr>
                <w:rFonts w:ascii="Arial" w:eastAsia="Arial" w:hAnsi="Arial" w:cs="Arial"/>
                <w:color w:val="000000" w:themeColor="text1"/>
                <w:sz w:val="16"/>
                <w:szCs w:val="16"/>
                <w:lang w:val="es"/>
              </w:rPr>
              <w:t xml:space="preserve">  </w:t>
            </w:r>
          </w:p>
        </w:tc>
      </w:tr>
      <w:tr w:rsidR="75B02D90" w:rsidRPr="00B710A9" w14:paraId="39FEDF4E" w14:textId="77777777" w:rsidTr="00024431">
        <w:trPr>
          <w:trHeight w:val="315"/>
          <w:jc w:val="center"/>
        </w:trPr>
        <w:tc>
          <w:tcPr>
            <w:cnfStyle w:val="001000000000" w:firstRow="0" w:lastRow="0" w:firstColumn="1" w:lastColumn="0" w:oddVBand="0" w:evenVBand="0" w:oddHBand="0" w:evenHBand="0" w:firstRowFirstColumn="0" w:firstRowLastColumn="0" w:lastRowFirstColumn="0" w:lastRowLastColumn="0"/>
            <w:tcW w:w="1845" w:type="dxa"/>
            <w:tcBorders>
              <w:top w:val="nil"/>
              <w:left w:val="single" w:sz="8" w:space="0" w:color="95B3D7"/>
              <w:bottom w:val="single" w:sz="8" w:space="0" w:color="95B3D7"/>
              <w:right w:val="single" w:sz="8" w:space="0" w:color="95B3D7"/>
            </w:tcBorders>
          </w:tcPr>
          <w:p w14:paraId="45D8304A" w14:textId="3CA795A0" w:rsidR="75B02D90" w:rsidRPr="00B710A9" w:rsidRDefault="75B02D90" w:rsidP="75B02D90">
            <w:pPr>
              <w:jc w:val="center"/>
              <w:rPr>
                <w:rFonts w:ascii="Arial" w:eastAsia="Arial" w:hAnsi="Arial" w:cs="Arial"/>
                <w:sz w:val="28"/>
                <w:szCs w:val="28"/>
                <w:lang w:val="es"/>
              </w:rPr>
            </w:pPr>
            <w:r w:rsidRPr="00B710A9">
              <w:rPr>
                <w:rFonts w:ascii="Arial" w:eastAsia="Arial" w:hAnsi="Arial" w:cs="Arial"/>
                <w:sz w:val="28"/>
                <w:szCs w:val="28"/>
                <w:lang w:val="es"/>
              </w:rPr>
              <w:t xml:space="preserve">1   </w:t>
            </w:r>
          </w:p>
          <w:p w14:paraId="57F04A36" w14:textId="10ACF7F2" w:rsidR="75B02D90" w:rsidRPr="00B710A9" w:rsidRDefault="75B02D90" w:rsidP="75B02D90">
            <w:pPr>
              <w:jc w:val="center"/>
              <w:rPr>
                <w:rFonts w:ascii="Arial" w:eastAsia="Arial" w:hAnsi="Arial" w:cs="Arial"/>
                <w:sz w:val="16"/>
                <w:szCs w:val="16"/>
                <w:lang w:val="es"/>
              </w:rPr>
            </w:pPr>
            <w:r w:rsidRPr="00B710A9">
              <w:rPr>
                <w:rFonts w:ascii="Arial" w:eastAsia="Arial" w:hAnsi="Arial" w:cs="Arial"/>
                <w:sz w:val="16"/>
                <w:szCs w:val="16"/>
                <w:lang w:val="es"/>
              </w:rPr>
              <w:t xml:space="preserve">proceso de deslinde distrital  </w:t>
            </w:r>
          </w:p>
        </w:tc>
        <w:tc>
          <w:tcPr>
            <w:tcW w:w="450" w:type="dxa"/>
            <w:tcBorders>
              <w:top w:val="single" w:sz="8" w:space="0" w:color="95B3D7"/>
              <w:left w:val="single" w:sz="8" w:space="0" w:color="95B3D7"/>
              <w:bottom w:val="single" w:sz="8" w:space="0" w:color="95B3D7"/>
              <w:right w:val="single" w:sz="8" w:space="0" w:color="95B3D7"/>
            </w:tcBorders>
          </w:tcPr>
          <w:p w14:paraId="3F585D82" w14:textId="3CDDAAD7"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
              </w:rPr>
            </w:pPr>
            <w:r w:rsidRPr="00B710A9">
              <w:rPr>
                <w:rFonts w:ascii="Arial" w:eastAsia="Arial" w:hAnsi="Arial" w:cs="Arial"/>
                <w:sz w:val="14"/>
                <w:szCs w:val="14"/>
                <w:lang w:val="es"/>
              </w:rPr>
              <w:t xml:space="preserve">1.  </w:t>
            </w:r>
          </w:p>
        </w:tc>
        <w:tc>
          <w:tcPr>
            <w:tcW w:w="2655" w:type="dxa"/>
            <w:tcBorders>
              <w:top w:val="single" w:sz="8" w:space="0" w:color="95B3D7"/>
              <w:left w:val="single" w:sz="8" w:space="0" w:color="95B3D7"/>
              <w:bottom w:val="single" w:sz="8" w:space="0" w:color="95B3D7"/>
              <w:right w:val="single" w:sz="8" w:space="0" w:color="95B3D7"/>
            </w:tcBorders>
          </w:tcPr>
          <w:p w14:paraId="2C51483B" w14:textId="502D2A98"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Bogotá D.C. – La Calera  </w:t>
            </w:r>
          </w:p>
        </w:tc>
        <w:tc>
          <w:tcPr>
            <w:tcW w:w="1485" w:type="dxa"/>
            <w:tcBorders>
              <w:top w:val="single" w:sz="8" w:space="0" w:color="95B3D7"/>
              <w:left w:val="single" w:sz="8" w:space="0" w:color="95B3D7"/>
              <w:bottom w:val="single" w:sz="8" w:space="0" w:color="95B3D7"/>
              <w:right w:val="single" w:sz="8" w:space="0" w:color="95B3D7"/>
            </w:tcBorders>
          </w:tcPr>
          <w:p w14:paraId="175D00F3" w14:textId="3C025D1D"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2021   </w:t>
            </w:r>
          </w:p>
        </w:tc>
        <w:tc>
          <w:tcPr>
            <w:tcW w:w="1620" w:type="dxa"/>
            <w:tcBorders>
              <w:top w:val="single" w:sz="8" w:space="0" w:color="95B3D7"/>
              <w:left w:val="single" w:sz="8" w:space="0" w:color="95B3D7"/>
              <w:bottom w:val="single" w:sz="8" w:space="0" w:color="95B3D7"/>
              <w:right w:val="single" w:sz="8" w:space="0" w:color="95B3D7"/>
            </w:tcBorders>
          </w:tcPr>
          <w:p w14:paraId="0D0B2102" w14:textId="59AEEF7B"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IGAC  </w:t>
            </w:r>
          </w:p>
        </w:tc>
      </w:tr>
      <w:tr w:rsidR="75B02D90" w:rsidRPr="00B710A9" w14:paraId="361E3F1C" w14:textId="77777777" w:rsidTr="000244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val="restart"/>
            <w:tcBorders>
              <w:top w:val="single" w:sz="8" w:space="0" w:color="95B3D7"/>
              <w:left w:val="single" w:sz="8" w:space="0" w:color="95B3D7"/>
              <w:bottom w:val="single" w:sz="8" w:space="0" w:color="95B3D7"/>
              <w:right w:val="single" w:sz="8" w:space="0" w:color="95B3D7"/>
            </w:tcBorders>
            <w:shd w:val="clear" w:color="auto" w:fill="DBE5F1"/>
          </w:tcPr>
          <w:p w14:paraId="2F3E2010" w14:textId="1979940E" w:rsidR="75B02D90" w:rsidRPr="00B710A9" w:rsidRDefault="75B02D90" w:rsidP="75B02D90">
            <w:pPr>
              <w:jc w:val="center"/>
              <w:rPr>
                <w:rFonts w:ascii="Arial" w:eastAsia="Arial" w:hAnsi="Arial" w:cs="Arial"/>
                <w:color w:val="000000" w:themeColor="text1"/>
                <w:sz w:val="28"/>
                <w:szCs w:val="28"/>
                <w:lang w:val="es"/>
              </w:rPr>
            </w:pPr>
            <w:r w:rsidRPr="00B710A9">
              <w:rPr>
                <w:rFonts w:ascii="Arial" w:eastAsia="Arial" w:hAnsi="Arial" w:cs="Arial"/>
                <w:color w:val="000000" w:themeColor="text1"/>
                <w:sz w:val="28"/>
                <w:szCs w:val="28"/>
                <w:lang w:val="es"/>
              </w:rPr>
              <w:t xml:space="preserve">7 </w:t>
            </w:r>
          </w:p>
          <w:p w14:paraId="3DCFE745" w14:textId="369A887E" w:rsidR="75B02D90" w:rsidRPr="00B710A9" w:rsidRDefault="75B02D90" w:rsidP="75B02D90">
            <w:pPr>
              <w:jc w:val="center"/>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procesos de deslindes </w:t>
            </w:r>
          </w:p>
          <w:p w14:paraId="32FCAE73" w14:textId="4CA4467B" w:rsidR="75B02D90" w:rsidRPr="00B710A9" w:rsidRDefault="75B02D90" w:rsidP="75B02D90">
            <w:pPr>
              <w:jc w:val="center"/>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departamentales </w:t>
            </w:r>
          </w:p>
        </w:tc>
        <w:tc>
          <w:tcPr>
            <w:tcW w:w="450" w:type="dxa"/>
            <w:tcBorders>
              <w:top w:val="single" w:sz="8" w:space="0" w:color="95B3D7"/>
              <w:left w:val="single" w:sz="8" w:space="0" w:color="95B3D7"/>
              <w:bottom w:val="single" w:sz="8" w:space="0" w:color="95B3D7"/>
              <w:right w:val="single" w:sz="8" w:space="0" w:color="95B3D7"/>
            </w:tcBorders>
            <w:shd w:val="clear" w:color="auto" w:fill="DBE5F1"/>
          </w:tcPr>
          <w:p w14:paraId="7EF700FB" w14:textId="38F87D0C"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4"/>
                <w:szCs w:val="14"/>
                <w:lang w:val="es"/>
              </w:rPr>
            </w:pPr>
            <w:r w:rsidRPr="00B710A9">
              <w:rPr>
                <w:rFonts w:ascii="Arial" w:eastAsia="Arial" w:hAnsi="Arial" w:cs="Arial"/>
                <w:color w:val="000000" w:themeColor="text1"/>
                <w:sz w:val="14"/>
                <w:szCs w:val="14"/>
                <w:lang w:val="es"/>
              </w:rPr>
              <w:t xml:space="preserve">1.  </w:t>
            </w:r>
          </w:p>
        </w:tc>
        <w:tc>
          <w:tcPr>
            <w:tcW w:w="2655" w:type="dxa"/>
            <w:tcBorders>
              <w:top w:val="single" w:sz="8" w:space="0" w:color="95B3D7"/>
              <w:left w:val="single" w:sz="8" w:space="0" w:color="95B3D7"/>
              <w:bottom w:val="single" w:sz="8" w:space="0" w:color="95B3D7"/>
              <w:right w:val="single" w:sz="8" w:space="0" w:color="95B3D7"/>
            </w:tcBorders>
            <w:shd w:val="clear" w:color="auto" w:fill="DBE5F1"/>
          </w:tcPr>
          <w:p w14:paraId="28D63FB4" w14:textId="141DC425"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Antioquia - Córdoba: Tramo No.1  </w:t>
            </w:r>
          </w:p>
        </w:tc>
        <w:tc>
          <w:tcPr>
            <w:tcW w:w="1485" w:type="dxa"/>
            <w:tcBorders>
              <w:top w:val="single" w:sz="8" w:space="0" w:color="95B3D7"/>
              <w:left w:val="single" w:sz="8" w:space="0" w:color="95B3D7"/>
              <w:bottom w:val="single" w:sz="8" w:space="0" w:color="95B3D7"/>
              <w:right w:val="single" w:sz="8" w:space="0" w:color="95B3D7"/>
            </w:tcBorders>
            <w:shd w:val="clear" w:color="auto" w:fill="DBE5F1"/>
          </w:tcPr>
          <w:p w14:paraId="5A484D92" w14:textId="714A94EE"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2020  </w:t>
            </w:r>
          </w:p>
        </w:tc>
        <w:tc>
          <w:tcPr>
            <w:tcW w:w="1620" w:type="dxa"/>
            <w:tcBorders>
              <w:top w:val="single" w:sz="8" w:space="0" w:color="95B3D7"/>
              <w:left w:val="single" w:sz="8" w:space="0" w:color="95B3D7"/>
              <w:bottom w:val="single" w:sz="8" w:space="0" w:color="95B3D7"/>
              <w:right w:val="single" w:sz="8" w:space="0" w:color="95B3D7"/>
            </w:tcBorders>
            <w:shd w:val="clear" w:color="auto" w:fill="DBE5F1"/>
          </w:tcPr>
          <w:p w14:paraId="14E8B5ED" w14:textId="4D672949"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IGAC  </w:t>
            </w:r>
          </w:p>
        </w:tc>
      </w:tr>
      <w:tr w:rsidR="75B02D90" w:rsidRPr="00B710A9" w14:paraId="5D8554A5" w14:textId="77777777" w:rsidTr="00024431">
        <w:trPr>
          <w:trHeight w:val="300"/>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1134681A" w14:textId="77777777" w:rsidR="005551A8" w:rsidRPr="00B710A9" w:rsidRDefault="005551A8"/>
        </w:tc>
        <w:tc>
          <w:tcPr>
            <w:tcW w:w="450" w:type="dxa"/>
            <w:tcBorders>
              <w:top w:val="single" w:sz="8" w:space="0" w:color="95B3D7"/>
              <w:left w:val="nil"/>
              <w:bottom w:val="single" w:sz="8" w:space="0" w:color="95B3D7"/>
              <w:right w:val="single" w:sz="8" w:space="0" w:color="95B3D7"/>
            </w:tcBorders>
          </w:tcPr>
          <w:p w14:paraId="3718CC18" w14:textId="07E3D1C5"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
              </w:rPr>
            </w:pPr>
            <w:r w:rsidRPr="00B710A9">
              <w:rPr>
                <w:rFonts w:ascii="Arial" w:eastAsia="Arial" w:hAnsi="Arial" w:cs="Arial"/>
                <w:sz w:val="14"/>
                <w:szCs w:val="14"/>
                <w:lang w:val="es"/>
              </w:rPr>
              <w:t xml:space="preserve">2.  </w:t>
            </w:r>
          </w:p>
        </w:tc>
        <w:tc>
          <w:tcPr>
            <w:tcW w:w="2655" w:type="dxa"/>
            <w:tcBorders>
              <w:top w:val="single" w:sz="8" w:space="0" w:color="95B3D7"/>
              <w:left w:val="single" w:sz="8" w:space="0" w:color="95B3D7"/>
              <w:bottom w:val="single" w:sz="8" w:space="0" w:color="95B3D7"/>
              <w:right w:val="single" w:sz="8" w:space="0" w:color="95B3D7"/>
            </w:tcBorders>
          </w:tcPr>
          <w:p w14:paraId="636D8741" w14:textId="4741CD66"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Antioquia - Córdoba: Tramo No.2  </w:t>
            </w:r>
          </w:p>
        </w:tc>
        <w:tc>
          <w:tcPr>
            <w:tcW w:w="1485" w:type="dxa"/>
            <w:tcBorders>
              <w:top w:val="single" w:sz="8" w:space="0" w:color="95B3D7"/>
              <w:left w:val="single" w:sz="8" w:space="0" w:color="95B3D7"/>
              <w:bottom w:val="single" w:sz="8" w:space="0" w:color="95B3D7"/>
              <w:right w:val="single" w:sz="8" w:space="0" w:color="95B3D7"/>
            </w:tcBorders>
          </w:tcPr>
          <w:p w14:paraId="28063DCA" w14:textId="15F25C64"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2020  </w:t>
            </w:r>
          </w:p>
        </w:tc>
        <w:tc>
          <w:tcPr>
            <w:tcW w:w="1620" w:type="dxa"/>
            <w:tcBorders>
              <w:top w:val="single" w:sz="8" w:space="0" w:color="95B3D7"/>
              <w:left w:val="single" w:sz="8" w:space="0" w:color="95B3D7"/>
              <w:bottom w:val="single" w:sz="8" w:space="0" w:color="95B3D7"/>
              <w:right w:val="single" w:sz="8" w:space="0" w:color="95B3D7"/>
            </w:tcBorders>
          </w:tcPr>
          <w:p w14:paraId="474AAA73" w14:textId="69A42947"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IGAC  </w:t>
            </w:r>
          </w:p>
        </w:tc>
      </w:tr>
      <w:tr w:rsidR="75B02D90" w:rsidRPr="00B710A9" w14:paraId="3E1D25AB" w14:textId="77777777" w:rsidTr="000244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29166EAE" w14:textId="77777777" w:rsidR="005551A8" w:rsidRPr="00B710A9" w:rsidRDefault="005551A8"/>
        </w:tc>
        <w:tc>
          <w:tcPr>
            <w:tcW w:w="450" w:type="dxa"/>
            <w:tcBorders>
              <w:top w:val="single" w:sz="8" w:space="0" w:color="95B3D7"/>
              <w:left w:val="nil"/>
              <w:bottom w:val="single" w:sz="8" w:space="0" w:color="95B3D7"/>
              <w:right w:val="single" w:sz="8" w:space="0" w:color="95B3D7"/>
            </w:tcBorders>
            <w:shd w:val="clear" w:color="auto" w:fill="DBE5F1"/>
          </w:tcPr>
          <w:p w14:paraId="68C78C3F" w14:textId="2464D688"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4"/>
                <w:szCs w:val="14"/>
                <w:lang w:val="es"/>
              </w:rPr>
            </w:pPr>
            <w:r w:rsidRPr="00B710A9">
              <w:rPr>
                <w:rFonts w:ascii="Arial" w:eastAsia="Arial" w:hAnsi="Arial" w:cs="Arial"/>
                <w:color w:val="000000" w:themeColor="text1"/>
                <w:sz w:val="14"/>
                <w:szCs w:val="14"/>
                <w:lang w:val="es"/>
              </w:rPr>
              <w:t xml:space="preserve">3.  </w:t>
            </w:r>
          </w:p>
        </w:tc>
        <w:tc>
          <w:tcPr>
            <w:tcW w:w="2655" w:type="dxa"/>
            <w:tcBorders>
              <w:top w:val="single" w:sz="8" w:space="0" w:color="95B3D7"/>
              <w:left w:val="single" w:sz="8" w:space="0" w:color="95B3D7"/>
              <w:bottom w:val="single" w:sz="8" w:space="0" w:color="95B3D7"/>
              <w:right w:val="single" w:sz="8" w:space="0" w:color="95B3D7"/>
            </w:tcBorders>
            <w:shd w:val="clear" w:color="auto" w:fill="DBE5F1"/>
          </w:tcPr>
          <w:p w14:paraId="25F7C8FD" w14:textId="2BF0ABA8"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Antioquia - Córdoba: Tramo No.3  </w:t>
            </w:r>
          </w:p>
        </w:tc>
        <w:tc>
          <w:tcPr>
            <w:tcW w:w="1485" w:type="dxa"/>
            <w:tcBorders>
              <w:top w:val="single" w:sz="8" w:space="0" w:color="95B3D7"/>
              <w:left w:val="single" w:sz="8" w:space="0" w:color="95B3D7"/>
              <w:bottom w:val="single" w:sz="8" w:space="0" w:color="95B3D7"/>
              <w:right w:val="single" w:sz="8" w:space="0" w:color="95B3D7"/>
            </w:tcBorders>
            <w:shd w:val="clear" w:color="auto" w:fill="DBE5F1"/>
          </w:tcPr>
          <w:p w14:paraId="460684A1" w14:textId="2B6D49F3"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2020  </w:t>
            </w:r>
          </w:p>
        </w:tc>
        <w:tc>
          <w:tcPr>
            <w:tcW w:w="1620" w:type="dxa"/>
            <w:tcBorders>
              <w:top w:val="single" w:sz="8" w:space="0" w:color="95B3D7"/>
              <w:left w:val="single" w:sz="8" w:space="0" w:color="95B3D7"/>
              <w:bottom w:val="single" w:sz="8" w:space="0" w:color="95B3D7"/>
              <w:right w:val="single" w:sz="8" w:space="0" w:color="95B3D7"/>
            </w:tcBorders>
            <w:shd w:val="clear" w:color="auto" w:fill="DBE5F1"/>
          </w:tcPr>
          <w:p w14:paraId="76AB5CC9" w14:textId="315DCDBB"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IGAC  </w:t>
            </w:r>
          </w:p>
        </w:tc>
      </w:tr>
      <w:tr w:rsidR="75B02D90" w:rsidRPr="00B710A9" w14:paraId="32383FA3" w14:textId="77777777" w:rsidTr="00024431">
        <w:trPr>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7BFC0F2B" w14:textId="77777777" w:rsidR="005551A8" w:rsidRPr="00B710A9" w:rsidRDefault="005551A8"/>
        </w:tc>
        <w:tc>
          <w:tcPr>
            <w:tcW w:w="450" w:type="dxa"/>
            <w:tcBorders>
              <w:top w:val="single" w:sz="8" w:space="0" w:color="95B3D7"/>
              <w:left w:val="nil"/>
              <w:bottom w:val="single" w:sz="8" w:space="0" w:color="95B3D7"/>
              <w:right w:val="single" w:sz="8" w:space="0" w:color="95B3D7"/>
            </w:tcBorders>
          </w:tcPr>
          <w:p w14:paraId="41962650" w14:textId="541830A2"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
              </w:rPr>
            </w:pPr>
            <w:r w:rsidRPr="00B710A9">
              <w:rPr>
                <w:rFonts w:ascii="Arial" w:eastAsia="Arial" w:hAnsi="Arial" w:cs="Arial"/>
                <w:sz w:val="14"/>
                <w:szCs w:val="14"/>
                <w:lang w:val="es"/>
              </w:rPr>
              <w:t xml:space="preserve">4.  </w:t>
            </w:r>
          </w:p>
        </w:tc>
        <w:tc>
          <w:tcPr>
            <w:tcW w:w="2655" w:type="dxa"/>
            <w:tcBorders>
              <w:top w:val="single" w:sz="8" w:space="0" w:color="95B3D7"/>
              <w:left w:val="single" w:sz="8" w:space="0" w:color="95B3D7"/>
              <w:bottom w:val="single" w:sz="8" w:space="0" w:color="95B3D7"/>
              <w:right w:val="single" w:sz="8" w:space="0" w:color="95B3D7"/>
            </w:tcBorders>
          </w:tcPr>
          <w:p w14:paraId="7ED81875" w14:textId="1CE82080"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Antioquia - Córdoba: Tramo No.4  </w:t>
            </w:r>
          </w:p>
        </w:tc>
        <w:tc>
          <w:tcPr>
            <w:tcW w:w="1485" w:type="dxa"/>
            <w:tcBorders>
              <w:top w:val="single" w:sz="8" w:space="0" w:color="95B3D7"/>
              <w:left w:val="single" w:sz="8" w:space="0" w:color="95B3D7"/>
              <w:bottom w:val="single" w:sz="8" w:space="0" w:color="95B3D7"/>
              <w:right w:val="single" w:sz="8" w:space="0" w:color="95B3D7"/>
            </w:tcBorders>
          </w:tcPr>
          <w:p w14:paraId="50CD2908" w14:textId="0134518C"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2020  </w:t>
            </w:r>
          </w:p>
        </w:tc>
        <w:tc>
          <w:tcPr>
            <w:tcW w:w="1620" w:type="dxa"/>
            <w:tcBorders>
              <w:top w:val="single" w:sz="8" w:space="0" w:color="95B3D7"/>
              <w:left w:val="single" w:sz="8" w:space="0" w:color="95B3D7"/>
              <w:bottom w:val="single" w:sz="8" w:space="0" w:color="95B3D7"/>
              <w:right w:val="single" w:sz="8" w:space="0" w:color="95B3D7"/>
            </w:tcBorders>
          </w:tcPr>
          <w:p w14:paraId="25C3752D" w14:textId="7663AEF0"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IGAC  </w:t>
            </w:r>
          </w:p>
        </w:tc>
      </w:tr>
      <w:tr w:rsidR="75B02D90" w:rsidRPr="00B710A9" w14:paraId="6791BAD7" w14:textId="77777777" w:rsidTr="000244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2414B3EF" w14:textId="77777777" w:rsidR="005551A8" w:rsidRPr="00B710A9" w:rsidRDefault="005551A8"/>
        </w:tc>
        <w:tc>
          <w:tcPr>
            <w:tcW w:w="450" w:type="dxa"/>
            <w:tcBorders>
              <w:top w:val="single" w:sz="8" w:space="0" w:color="95B3D7"/>
              <w:left w:val="nil"/>
              <w:bottom w:val="single" w:sz="8" w:space="0" w:color="95B3D7"/>
              <w:right w:val="single" w:sz="8" w:space="0" w:color="95B3D7"/>
            </w:tcBorders>
            <w:shd w:val="clear" w:color="auto" w:fill="DBE5F1"/>
          </w:tcPr>
          <w:p w14:paraId="3894682C" w14:textId="7AA3F6DC"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4"/>
                <w:szCs w:val="14"/>
                <w:lang w:val="es"/>
              </w:rPr>
            </w:pPr>
            <w:r w:rsidRPr="00B710A9">
              <w:rPr>
                <w:rFonts w:ascii="Arial" w:eastAsia="Arial" w:hAnsi="Arial" w:cs="Arial"/>
                <w:color w:val="000000" w:themeColor="text1"/>
                <w:sz w:val="14"/>
                <w:szCs w:val="14"/>
                <w:lang w:val="es"/>
              </w:rPr>
              <w:t xml:space="preserve">5.  </w:t>
            </w:r>
          </w:p>
        </w:tc>
        <w:tc>
          <w:tcPr>
            <w:tcW w:w="2655" w:type="dxa"/>
            <w:tcBorders>
              <w:top w:val="single" w:sz="8" w:space="0" w:color="95B3D7"/>
              <w:left w:val="single" w:sz="8" w:space="0" w:color="95B3D7"/>
              <w:bottom w:val="single" w:sz="8" w:space="0" w:color="95B3D7"/>
              <w:right w:val="single" w:sz="8" w:space="0" w:color="95B3D7"/>
            </w:tcBorders>
            <w:shd w:val="clear" w:color="auto" w:fill="DBE5F1"/>
          </w:tcPr>
          <w:p w14:paraId="6626BBEC" w14:textId="1C4A481F"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Guainía - Guaviare     </w:t>
            </w:r>
          </w:p>
        </w:tc>
        <w:tc>
          <w:tcPr>
            <w:tcW w:w="1485" w:type="dxa"/>
            <w:tcBorders>
              <w:top w:val="single" w:sz="8" w:space="0" w:color="95B3D7"/>
              <w:left w:val="single" w:sz="8" w:space="0" w:color="95B3D7"/>
              <w:bottom w:val="single" w:sz="8" w:space="0" w:color="95B3D7"/>
              <w:right w:val="single" w:sz="8" w:space="0" w:color="95B3D7"/>
            </w:tcBorders>
            <w:shd w:val="clear" w:color="auto" w:fill="DBE5F1"/>
          </w:tcPr>
          <w:p w14:paraId="492716A2" w14:textId="2D0796AA"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2020  </w:t>
            </w:r>
          </w:p>
        </w:tc>
        <w:tc>
          <w:tcPr>
            <w:tcW w:w="1620" w:type="dxa"/>
            <w:tcBorders>
              <w:top w:val="single" w:sz="8" w:space="0" w:color="95B3D7"/>
              <w:left w:val="single" w:sz="8" w:space="0" w:color="95B3D7"/>
              <w:bottom w:val="single" w:sz="8" w:space="0" w:color="95B3D7"/>
              <w:right w:val="single" w:sz="8" w:space="0" w:color="95B3D7"/>
            </w:tcBorders>
            <w:shd w:val="clear" w:color="auto" w:fill="DBE5F1"/>
          </w:tcPr>
          <w:p w14:paraId="73197C10" w14:textId="78EAFF64"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IGAC  </w:t>
            </w:r>
          </w:p>
        </w:tc>
      </w:tr>
      <w:tr w:rsidR="75B02D90" w:rsidRPr="00B710A9" w14:paraId="50108F0B" w14:textId="77777777" w:rsidTr="00024431">
        <w:trPr>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left w:val="single" w:sz="0" w:space="0" w:color="95B3D7"/>
              <w:right w:val="single" w:sz="0" w:space="0" w:color="95B3D7"/>
            </w:tcBorders>
            <w:vAlign w:val="center"/>
          </w:tcPr>
          <w:p w14:paraId="582BB846" w14:textId="77777777" w:rsidR="005551A8" w:rsidRPr="00B710A9" w:rsidRDefault="005551A8"/>
        </w:tc>
        <w:tc>
          <w:tcPr>
            <w:tcW w:w="450" w:type="dxa"/>
            <w:tcBorders>
              <w:top w:val="single" w:sz="8" w:space="0" w:color="95B3D7"/>
              <w:left w:val="nil"/>
              <w:bottom w:val="single" w:sz="8" w:space="0" w:color="95B3D7"/>
              <w:right w:val="single" w:sz="8" w:space="0" w:color="95B3D7"/>
            </w:tcBorders>
          </w:tcPr>
          <w:p w14:paraId="338E6D8A" w14:textId="306F4974"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
              </w:rPr>
            </w:pPr>
            <w:r w:rsidRPr="00B710A9">
              <w:rPr>
                <w:rFonts w:ascii="Arial" w:eastAsia="Arial" w:hAnsi="Arial" w:cs="Arial"/>
                <w:sz w:val="14"/>
                <w:szCs w:val="14"/>
                <w:lang w:val="es"/>
              </w:rPr>
              <w:t xml:space="preserve">6.  </w:t>
            </w:r>
          </w:p>
        </w:tc>
        <w:tc>
          <w:tcPr>
            <w:tcW w:w="2655" w:type="dxa"/>
            <w:tcBorders>
              <w:top w:val="single" w:sz="8" w:space="0" w:color="95B3D7"/>
              <w:left w:val="single" w:sz="8" w:space="0" w:color="95B3D7"/>
              <w:bottom w:val="single" w:sz="8" w:space="0" w:color="95B3D7"/>
              <w:right w:val="single" w:sz="8" w:space="0" w:color="95B3D7"/>
            </w:tcBorders>
          </w:tcPr>
          <w:p w14:paraId="6C625462" w14:textId="7B164832"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Guainía - Vichada  </w:t>
            </w:r>
          </w:p>
        </w:tc>
        <w:tc>
          <w:tcPr>
            <w:tcW w:w="1485" w:type="dxa"/>
            <w:tcBorders>
              <w:top w:val="single" w:sz="8" w:space="0" w:color="95B3D7"/>
              <w:left w:val="single" w:sz="8" w:space="0" w:color="95B3D7"/>
              <w:bottom w:val="single" w:sz="8" w:space="0" w:color="95B3D7"/>
              <w:right w:val="single" w:sz="8" w:space="0" w:color="95B3D7"/>
            </w:tcBorders>
          </w:tcPr>
          <w:p w14:paraId="7A7AE66D" w14:textId="62317AAB"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2020  </w:t>
            </w:r>
          </w:p>
        </w:tc>
        <w:tc>
          <w:tcPr>
            <w:tcW w:w="1620" w:type="dxa"/>
            <w:tcBorders>
              <w:top w:val="single" w:sz="8" w:space="0" w:color="95B3D7"/>
              <w:left w:val="single" w:sz="8" w:space="0" w:color="95B3D7"/>
              <w:bottom w:val="single" w:sz="8" w:space="0" w:color="95B3D7"/>
              <w:right w:val="single" w:sz="8" w:space="0" w:color="95B3D7"/>
            </w:tcBorders>
          </w:tcPr>
          <w:p w14:paraId="67800E9E" w14:textId="6634C257"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s"/>
              </w:rPr>
            </w:pPr>
            <w:r w:rsidRPr="00B710A9">
              <w:rPr>
                <w:rFonts w:ascii="Arial" w:eastAsia="Arial" w:hAnsi="Arial" w:cs="Arial"/>
                <w:sz w:val="16"/>
                <w:szCs w:val="16"/>
                <w:lang w:val="es"/>
              </w:rPr>
              <w:t xml:space="preserve">IGAC  </w:t>
            </w:r>
          </w:p>
        </w:tc>
      </w:tr>
      <w:tr w:rsidR="75B02D90" w:rsidRPr="00B710A9" w14:paraId="6BD1FBB8" w14:textId="77777777" w:rsidTr="000244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5" w:type="dxa"/>
            <w:vMerge/>
            <w:tcBorders>
              <w:top w:val="single" w:sz="0" w:space="0" w:color="95B3D7"/>
              <w:left w:val="single" w:sz="0" w:space="0" w:color="95B3D7"/>
              <w:bottom w:val="single" w:sz="0" w:space="0" w:color="95B3D7"/>
              <w:right w:val="single" w:sz="0" w:space="0" w:color="95B3D7"/>
            </w:tcBorders>
            <w:vAlign w:val="center"/>
          </w:tcPr>
          <w:p w14:paraId="4245CEC7" w14:textId="77777777" w:rsidR="005551A8" w:rsidRPr="00B710A9" w:rsidRDefault="005551A8"/>
        </w:tc>
        <w:tc>
          <w:tcPr>
            <w:tcW w:w="450" w:type="dxa"/>
            <w:tcBorders>
              <w:top w:val="single" w:sz="8" w:space="0" w:color="95B3D7"/>
              <w:left w:val="nil"/>
              <w:bottom w:val="single" w:sz="8" w:space="0" w:color="95B3D7"/>
              <w:right w:val="single" w:sz="8" w:space="0" w:color="95B3D7"/>
            </w:tcBorders>
            <w:shd w:val="clear" w:color="auto" w:fill="DBE5F1"/>
          </w:tcPr>
          <w:p w14:paraId="7A8B716D" w14:textId="213D2505"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4"/>
                <w:szCs w:val="14"/>
                <w:lang w:val="es"/>
              </w:rPr>
            </w:pPr>
            <w:r w:rsidRPr="00B710A9">
              <w:rPr>
                <w:rFonts w:ascii="Arial" w:eastAsia="Arial" w:hAnsi="Arial" w:cs="Arial"/>
                <w:color w:val="000000" w:themeColor="text1"/>
                <w:sz w:val="14"/>
                <w:szCs w:val="14"/>
                <w:lang w:val="es"/>
              </w:rPr>
              <w:t xml:space="preserve">7.  </w:t>
            </w:r>
          </w:p>
        </w:tc>
        <w:tc>
          <w:tcPr>
            <w:tcW w:w="2655" w:type="dxa"/>
            <w:tcBorders>
              <w:top w:val="single" w:sz="8" w:space="0" w:color="95B3D7"/>
              <w:left w:val="single" w:sz="8" w:space="0" w:color="95B3D7"/>
              <w:bottom w:val="single" w:sz="8" w:space="0" w:color="95B3D7"/>
              <w:right w:val="single" w:sz="8" w:space="0" w:color="95B3D7"/>
            </w:tcBorders>
            <w:shd w:val="clear" w:color="auto" w:fill="DBE5F1"/>
          </w:tcPr>
          <w:p w14:paraId="1E9045EE" w14:textId="5A12FE88"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Norte de Santander - Cesar (Ocaña - Río de Oro) </w:t>
            </w:r>
          </w:p>
        </w:tc>
        <w:tc>
          <w:tcPr>
            <w:tcW w:w="1485" w:type="dxa"/>
            <w:tcBorders>
              <w:top w:val="single" w:sz="8" w:space="0" w:color="95B3D7"/>
              <w:left w:val="single" w:sz="8" w:space="0" w:color="95B3D7"/>
              <w:bottom w:val="single" w:sz="8" w:space="0" w:color="95B3D7"/>
              <w:right w:val="single" w:sz="8" w:space="0" w:color="95B3D7"/>
            </w:tcBorders>
            <w:shd w:val="clear" w:color="auto" w:fill="DBE5F1"/>
          </w:tcPr>
          <w:p w14:paraId="1D17A1C3" w14:textId="6D49F1A2"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2020  </w:t>
            </w:r>
          </w:p>
        </w:tc>
        <w:tc>
          <w:tcPr>
            <w:tcW w:w="1620" w:type="dxa"/>
            <w:tcBorders>
              <w:top w:val="single" w:sz="8" w:space="0" w:color="95B3D7"/>
              <w:left w:val="single" w:sz="8" w:space="0" w:color="95B3D7"/>
              <w:bottom w:val="single" w:sz="8" w:space="0" w:color="95B3D7"/>
              <w:right w:val="single" w:sz="8" w:space="0" w:color="95B3D7"/>
            </w:tcBorders>
            <w:shd w:val="clear" w:color="auto" w:fill="DBE5F1"/>
          </w:tcPr>
          <w:p w14:paraId="72CEB013" w14:textId="05CDF0E9"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IGAC </w:t>
            </w:r>
          </w:p>
        </w:tc>
      </w:tr>
    </w:tbl>
    <w:p w14:paraId="68513CBA" w14:textId="05CB2C01" w:rsidR="13D13739" w:rsidRPr="00B710A9" w:rsidRDefault="75B02D90" w:rsidP="75B02D90">
      <w:pPr>
        <w:spacing w:after="0" w:line="240" w:lineRule="auto"/>
        <w:jc w:val="center"/>
        <w:rPr>
          <w:rFonts w:ascii="Arial" w:eastAsia="Arial" w:hAnsi="Arial" w:cs="Arial"/>
          <w:b/>
          <w:bCs/>
          <w:color w:val="000000" w:themeColor="text1"/>
          <w:sz w:val="16"/>
          <w:szCs w:val="16"/>
          <w:lang w:val="es"/>
        </w:rPr>
      </w:pPr>
      <w:r w:rsidRPr="00B710A9">
        <w:rPr>
          <w:rFonts w:ascii="Arial" w:eastAsia="Arial" w:hAnsi="Arial" w:cs="Arial"/>
          <w:b/>
          <w:bCs/>
          <w:color w:val="000000" w:themeColor="text1"/>
          <w:sz w:val="16"/>
          <w:szCs w:val="16"/>
          <w:lang w:val="es"/>
        </w:rPr>
        <w:t xml:space="preserve"> </w:t>
      </w:r>
    </w:p>
    <w:p w14:paraId="787143B4" w14:textId="72B9C766" w:rsidR="13D13739" w:rsidRPr="00B710A9" w:rsidRDefault="75B02D90" w:rsidP="75B02D90">
      <w:pPr>
        <w:spacing w:after="0" w:line="240" w:lineRule="auto"/>
        <w:jc w:val="center"/>
        <w:rPr>
          <w:rFonts w:ascii="Arial" w:eastAsia="Arial" w:hAnsi="Arial" w:cs="Arial"/>
          <w:b/>
          <w:bCs/>
          <w:color w:val="000000" w:themeColor="text1"/>
          <w:sz w:val="16"/>
          <w:szCs w:val="16"/>
          <w:lang w:val="es"/>
        </w:rPr>
      </w:pPr>
      <w:r w:rsidRPr="00B710A9">
        <w:rPr>
          <w:rFonts w:ascii="Arial" w:eastAsia="Arial" w:hAnsi="Arial" w:cs="Arial"/>
          <w:b/>
          <w:bCs/>
          <w:color w:val="000000" w:themeColor="text1"/>
          <w:sz w:val="16"/>
          <w:szCs w:val="16"/>
          <w:lang w:val="es"/>
        </w:rPr>
        <w:t>Fuente: IGAC. Subdirección de Geografía</w:t>
      </w:r>
    </w:p>
    <w:p w14:paraId="73835598" w14:textId="0C9D7FED" w:rsidR="33A1FD1F" w:rsidRPr="00B710A9" w:rsidRDefault="33A1FD1F" w:rsidP="33A1FD1F">
      <w:pPr>
        <w:spacing w:after="0" w:line="240" w:lineRule="auto"/>
        <w:jc w:val="center"/>
        <w:rPr>
          <w:rFonts w:ascii="Arial" w:eastAsia="Arial" w:hAnsi="Arial" w:cs="Arial"/>
          <w:b/>
          <w:bCs/>
          <w:color w:val="000000" w:themeColor="text1"/>
          <w:sz w:val="16"/>
          <w:szCs w:val="16"/>
          <w:lang w:val="es"/>
        </w:rPr>
      </w:pPr>
    </w:p>
    <w:p w14:paraId="5CE4FD4C" w14:textId="24820028" w:rsidR="33A1FD1F" w:rsidRPr="00B710A9" w:rsidRDefault="33A1FD1F" w:rsidP="33A1FD1F">
      <w:pPr>
        <w:spacing w:after="0" w:line="240" w:lineRule="auto"/>
        <w:jc w:val="center"/>
        <w:rPr>
          <w:rFonts w:ascii="Arial" w:eastAsia="Arial" w:hAnsi="Arial" w:cs="Arial"/>
          <w:b/>
          <w:bCs/>
          <w:color w:val="000000" w:themeColor="text1"/>
          <w:sz w:val="16"/>
          <w:szCs w:val="16"/>
          <w:lang w:val="es"/>
        </w:rPr>
      </w:pPr>
    </w:p>
    <w:p w14:paraId="1B4E8CA2" w14:textId="2A5602F0"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Por último, y con el propósito de estandarizar y lograr un mayor nivel de detalle en la delimitación de las líneas limítrofes del país, se estructuró y elaboró un documento que presenta los lineamientos técnicos para el uso de información cartográfica a escala 1:10.000 en la representación de objetos o elementos geográficos descritos en ordenanzas o leyes.</w:t>
      </w:r>
    </w:p>
    <w:p w14:paraId="510C9318" w14:textId="77777777" w:rsidR="0022083D" w:rsidRPr="00B710A9" w:rsidRDefault="0022083D" w:rsidP="75B02D90">
      <w:pPr>
        <w:spacing w:after="0" w:line="240" w:lineRule="auto"/>
        <w:jc w:val="both"/>
        <w:rPr>
          <w:rFonts w:ascii="Arial" w:eastAsia="Arial" w:hAnsi="Arial" w:cs="Arial"/>
          <w:color w:val="000000" w:themeColor="text1"/>
          <w:sz w:val="22"/>
          <w:szCs w:val="22"/>
          <w:lang w:val="es"/>
        </w:rPr>
      </w:pPr>
    </w:p>
    <w:p w14:paraId="5606B510" w14:textId="1F929530" w:rsidR="13D13739" w:rsidRPr="00B710A9" w:rsidRDefault="75B02D90" w:rsidP="75B02D90">
      <w:pPr>
        <w:spacing w:after="0" w:line="240" w:lineRule="auto"/>
        <w:jc w:val="both"/>
        <w:rPr>
          <w:rFonts w:ascii="Arial" w:eastAsia="Arial" w:hAnsi="Arial" w:cs="Arial"/>
          <w:color w:val="000000" w:themeColor="text1"/>
          <w:lang w:val="es"/>
        </w:rPr>
      </w:pPr>
      <w:r w:rsidRPr="00B710A9">
        <w:rPr>
          <w:rFonts w:ascii="Arial" w:eastAsia="Arial" w:hAnsi="Arial" w:cs="Arial"/>
          <w:color w:val="000000" w:themeColor="text1"/>
          <w:sz w:val="22"/>
          <w:szCs w:val="22"/>
          <w:lang w:val="es"/>
        </w:rPr>
        <w:lastRenderedPageBreak/>
        <w:t>Paralelamente, y con el propósito de conocer el estado actual de los límites de las entidades territoriales del país y determinar acciones que permitan definirlos oficialmente, durante el 2020 hasta el 30 de junio de, 2022, se ha realizado el diagnóstico de 1.009 líneas limítrofes correspondientes a trescientos once (311) municipios, a partir del análisis normativo y cartográfico existente, los cuales adicionalmente se convierten en un insumo indispensable para la caracterización territorial, los procesos de deslindes y el levantamiento catastral del país.  </w:t>
      </w:r>
      <w:r w:rsidRPr="00B710A9">
        <w:rPr>
          <w:rFonts w:ascii="Arial" w:eastAsia="Arial" w:hAnsi="Arial" w:cs="Arial"/>
          <w:color w:val="000000" w:themeColor="text1"/>
          <w:lang w:val="es"/>
        </w:rPr>
        <w:t xml:space="preserve"> </w:t>
      </w:r>
    </w:p>
    <w:p w14:paraId="7D2E5199" w14:textId="3F1C4DC9" w:rsidR="13D13739" w:rsidRPr="00B710A9" w:rsidRDefault="13D13739" w:rsidP="75B02D90">
      <w:pPr>
        <w:spacing w:after="0" w:line="240" w:lineRule="auto"/>
        <w:jc w:val="both"/>
        <w:rPr>
          <w:rFonts w:ascii="Arial" w:eastAsia="Arial" w:hAnsi="Arial" w:cs="Arial"/>
          <w:sz w:val="22"/>
          <w:szCs w:val="22"/>
        </w:rPr>
      </w:pPr>
    </w:p>
    <w:p w14:paraId="2660C960" w14:textId="01E5B4F2" w:rsidR="13D13739" w:rsidRPr="00B710A9" w:rsidRDefault="75B02D90" w:rsidP="75B02D90">
      <w:pPr>
        <w:spacing w:after="0" w:line="240" w:lineRule="auto"/>
        <w:jc w:val="both"/>
        <w:rPr>
          <w:rFonts w:ascii="Arial" w:eastAsia="Arial" w:hAnsi="Arial" w:cs="Arial"/>
          <w:b/>
          <w:color w:val="000000" w:themeColor="text1"/>
          <w:sz w:val="22"/>
          <w:szCs w:val="22"/>
          <w:u w:val="single"/>
          <w:lang w:val="es"/>
        </w:rPr>
      </w:pPr>
      <w:r w:rsidRPr="00B710A9">
        <w:rPr>
          <w:rFonts w:ascii="Arial" w:eastAsia="Arial" w:hAnsi="Arial" w:cs="Arial"/>
          <w:b/>
          <w:color w:val="000000" w:themeColor="text1"/>
          <w:sz w:val="22"/>
          <w:szCs w:val="22"/>
          <w:u w:val="single"/>
          <w:lang w:val="es"/>
        </w:rPr>
        <w:t>Apoyo técnico para la evaluación de expedientes de titulación y la determinación de los límites de resguardos y territorios colectivos</w:t>
      </w:r>
    </w:p>
    <w:p w14:paraId="6B8C6467" w14:textId="7D845BC2" w:rsidR="13D13739" w:rsidRPr="00B710A9" w:rsidRDefault="75B02D90" w:rsidP="75B02D90">
      <w:pPr>
        <w:spacing w:after="0" w:line="240" w:lineRule="auto"/>
        <w:jc w:val="both"/>
        <w:rPr>
          <w:rFonts w:ascii="Arial" w:eastAsia="Arial" w:hAnsi="Arial" w:cs="Arial"/>
          <w:i/>
          <w:iCs/>
          <w:color w:val="365F91"/>
          <w:sz w:val="22"/>
          <w:szCs w:val="22"/>
          <w:lang w:val="es-MX"/>
        </w:rPr>
      </w:pPr>
      <w:r w:rsidRPr="00B710A9">
        <w:rPr>
          <w:rFonts w:ascii="Arial" w:eastAsia="Arial" w:hAnsi="Arial" w:cs="Arial"/>
          <w:i/>
          <w:iCs/>
          <w:color w:val="365F91"/>
          <w:sz w:val="22"/>
          <w:szCs w:val="22"/>
          <w:lang w:val="es-MX"/>
        </w:rPr>
        <w:t xml:space="preserve"> </w:t>
      </w:r>
    </w:p>
    <w:p w14:paraId="29830F44" w14:textId="77E35FC3"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Durante la vigencia 2020 se elaboró el instructivo de asesoría técnica a los procedimientos de legalización de Resguardos Indígenas y titulación de Consejos Comunitarios a Comunidades Negras liderados por la Agencia Nacional de Tierras (ANT), cuyo objetivo radica en contar con los lineamientos para llevar a cabo la revisión de información cartográfica de los procesos de saneamiento realizados por dicha entidad y en los que el Instituto participa. </w:t>
      </w:r>
    </w:p>
    <w:p w14:paraId="65A53817" w14:textId="22ACCB09"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 </w:t>
      </w:r>
    </w:p>
    <w:p w14:paraId="4E66CE2A" w14:textId="716BDA36"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Igualmente, desde el 2020 al 30 de junio 2022, el IGAC ha apoyado la evaluación de 95 expedientes de titulación de territorios colectivos, distribuidos en 37 procesos de constitución y 26 procesos de ampliación de resguardos indígenas, 5 procesos de aclaración de notas devolutivas o procesos de reposición relacionados con resguardos, y 27 procesos de titulación de comunidades negras. Es así como, con el objetivo de avanzar en el apoyo técnico y subsanar observaciones o inquietudes respecto a los procesos de titulación de territorios colectivos, el IGAC ha participado en 105 espacios de trabajo interinstitucionales</w:t>
      </w:r>
    </w:p>
    <w:p w14:paraId="474824A8" w14:textId="30E055F2" w:rsidR="13D13739" w:rsidRPr="00B710A9" w:rsidRDefault="13D13739" w:rsidP="75B02D90">
      <w:pPr>
        <w:spacing w:after="0" w:line="240" w:lineRule="auto"/>
        <w:jc w:val="both"/>
        <w:rPr>
          <w:rFonts w:ascii="Arial" w:eastAsia="Arial" w:hAnsi="Arial" w:cs="Arial"/>
          <w:sz w:val="22"/>
          <w:szCs w:val="22"/>
        </w:rPr>
      </w:pPr>
    </w:p>
    <w:p w14:paraId="2D09FF5B" w14:textId="3807C041"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Servicio temático indígenas </w:t>
      </w:r>
    </w:p>
    <w:p w14:paraId="558E3604" w14:textId="03022DCB"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434B26B2" w14:textId="2D8AF1C1"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Durante la vigencia 2022, se habilitó la temática “Indígenas" en el Atlas Virtual Colombia en Mapas, la cual integra el dato de lenguas nativas en las direcciones territoriales del IGAC; así como los datos producidos por la Unidad de Restitución de Tierras respecto a la intervención de territorios indígenas; y Resguardos Indígenas Legalizados suministrado por la Agencia Nacional de Tierras. </w:t>
      </w:r>
    </w:p>
    <w:p w14:paraId="58612EC1" w14:textId="2A56C6F7" w:rsidR="13D13739" w:rsidRPr="00B710A9" w:rsidRDefault="13D13739" w:rsidP="75B02D90">
      <w:pPr>
        <w:spacing w:after="0" w:line="240" w:lineRule="auto"/>
        <w:jc w:val="both"/>
        <w:rPr>
          <w:rFonts w:ascii="Arial" w:eastAsia="Arial" w:hAnsi="Arial" w:cs="Arial"/>
          <w:sz w:val="22"/>
          <w:szCs w:val="22"/>
        </w:rPr>
      </w:pPr>
    </w:p>
    <w:p w14:paraId="5DAE1F3F" w14:textId="1494457D" w:rsidR="33A1FD1F" w:rsidRPr="00B710A9" w:rsidRDefault="33A1FD1F" w:rsidP="33A1FD1F">
      <w:pPr>
        <w:spacing w:after="0" w:line="240" w:lineRule="auto"/>
        <w:jc w:val="both"/>
        <w:rPr>
          <w:rFonts w:ascii="Arial" w:eastAsia="Arial" w:hAnsi="Arial" w:cs="Arial"/>
          <w:sz w:val="22"/>
          <w:szCs w:val="22"/>
        </w:rPr>
      </w:pPr>
    </w:p>
    <w:p w14:paraId="2963361F" w14:textId="5141F8A7" w:rsidR="13D13739" w:rsidRPr="00B710A9" w:rsidRDefault="75B02D90" w:rsidP="00356A3E">
      <w:pPr>
        <w:pStyle w:val="Prrafodelista"/>
        <w:numPr>
          <w:ilvl w:val="0"/>
          <w:numId w:val="14"/>
        </w:numPr>
        <w:spacing w:after="0" w:line="240" w:lineRule="auto"/>
        <w:jc w:val="both"/>
        <w:rPr>
          <w:rFonts w:ascii="Arial" w:eastAsia="Arial" w:hAnsi="Arial" w:cs="Arial"/>
          <w:b/>
          <w:sz w:val="22"/>
          <w:szCs w:val="22"/>
          <w:lang w:val="es-MX"/>
        </w:rPr>
      </w:pPr>
      <w:r w:rsidRPr="00B710A9">
        <w:rPr>
          <w:rFonts w:ascii="Arial" w:eastAsia="Arial" w:hAnsi="Arial" w:cs="Arial"/>
          <w:b/>
          <w:bCs/>
          <w:sz w:val="22"/>
          <w:szCs w:val="22"/>
          <w:lang w:val="es-MX"/>
        </w:rPr>
        <w:t>Ge</w:t>
      </w:r>
      <w:r w:rsidRPr="00B710A9">
        <w:rPr>
          <w:rFonts w:ascii="Arial" w:eastAsia="Arial" w:hAnsi="Arial" w:cs="Arial"/>
          <w:b/>
          <w:sz w:val="22"/>
          <w:szCs w:val="22"/>
          <w:lang w:val="es-MX"/>
        </w:rPr>
        <w:t>neración de estudios de suelos, tierras y aplicaciones agrológicas como insumo para el ordenamiento integral y el manejo sostenible del territorio a nivel nacional</w:t>
      </w:r>
    </w:p>
    <w:p w14:paraId="748E30F9" w14:textId="26B986A3" w:rsidR="13D13739" w:rsidRPr="00B710A9" w:rsidRDefault="13D13739" w:rsidP="75B02D90">
      <w:pPr>
        <w:spacing w:after="0" w:line="240" w:lineRule="auto"/>
        <w:jc w:val="both"/>
        <w:rPr>
          <w:rFonts w:ascii="Arial" w:eastAsia="Arial" w:hAnsi="Arial" w:cs="Arial"/>
        </w:rPr>
      </w:pPr>
    </w:p>
    <w:p w14:paraId="73BEA760" w14:textId="224F7FBC"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La generación de la cartografía temática del mapa nacional de suelos ha requerido de varios procesos dentro de los que se encuentra la interpretación y correlación de la geomorfología del territorio nacional, esta interpretación y correlación se finalizó en todo el territorio nacional (100%) que corresponden a 114’073.223,97 ha (origen central), igualmente se realizó el ajuste a la Leyenda Nacional de Geomorfología para Levantamiento de Suelos. De otra parte, se hizo entrega del documento explicativo del proceso realizado y los resultados principales de la Interpretación de Geomorfología.</w:t>
      </w:r>
    </w:p>
    <w:p w14:paraId="53AD9A79" w14:textId="6F3E606F"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592A3E4C" w14:textId="03784F9F"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5A3CA180" w14:textId="407DEEB0"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 </w:t>
      </w:r>
    </w:p>
    <w:p w14:paraId="3134A96D" w14:textId="52CFBDD6"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lastRenderedPageBreak/>
        <w:t xml:space="preserve">En el año 2022 se continua con el proceso de control de calidad de regiones de Amazonia, Orinoquia y Pacífica, se procede a revisar y compilar la información de Unidades Cartográficas de Suelos (UCS) y de perfiles para consulta, análisis y ajuste.  </w:t>
      </w:r>
    </w:p>
    <w:p w14:paraId="235527F1" w14:textId="779B960E"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   </w:t>
      </w:r>
    </w:p>
    <w:p w14:paraId="3C0BF084" w14:textId="7A2BCC15" w:rsidR="13D13739" w:rsidRPr="00B710A9" w:rsidRDefault="75B02D90"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lang w:val="es"/>
        </w:rPr>
        <w:t>A la fecha se ha recopilado información de UCS y perfiles de los departamentos de Arauca, Amazonas, Casanare, Guaviare, Guainía, Vaupés, Caquetá, Meta, Vichada, Putumayo y Nariño, Cauca, Huila y Boyacá, Chocó y Valle del Cauca, siendo 16 departamentales y dos estudios semidetallado</w:t>
      </w:r>
      <w:r w:rsidR="0022083D" w:rsidRPr="00B710A9">
        <w:rPr>
          <w:rFonts w:ascii="Arial" w:eastAsia="Arial" w:hAnsi="Arial" w:cs="Arial"/>
          <w:color w:val="000000" w:themeColor="text1"/>
          <w:sz w:val="22"/>
          <w:szCs w:val="22"/>
          <w:lang w:val="es"/>
        </w:rPr>
        <w:t>s,</w:t>
      </w:r>
      <w:r w:rsidRPr="00B710A9">
        <w:rPr>
          <w:rFonts w:ascii="Arial" w:eastAsia="Arial" w:hAnsi="Arial" w:cs="Arial"/>
          <w:color w:val="000000" w:themeColor="text1"/>
          <w:sz w:val="22"/>
          <w:szCs w:val="22"/>
          <w:lang w:val="es"/>
        </w:rPr>
        <w:t xml:space="preserve"> que abarca el sector de Humedales de la región Orinoquia y estudio de páramos Nariño-Putumayo.   </w:t>
      </w:r>
      <w:r w:rsidRPr="00B710A9">
        <w:rPr>
          <w:rFonts w:ascii="Arial" w:eastAsia="Arial" w:hAnsi="Arial" w:cs="Arial"/>
          <w:color w:val="000000" w:themeColor="text1"/>
          <w:sz w:val="22"/>
          <w:szCs w:val="22"/>
        </w:rPr>
        <w:t xml:space="preserve"> </w:t>
      </w:r>
    </w:p>
    <w:p w14:paraId="73FE5C4B" w14:textId="4CE2148E" w:rsidR="13D13739" w:rsidRPr="00B710A9" w:rsidRDefault="75B02D90"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 </w:t>
      </w:r>
    </w:p>
    <w:p w14:paraId="633E7914" w14:textId="2B74F248" w:rsidR="33A1FD1F" w:rsidRPr="00B710A9" w:rsidRDefault="33A1FD1F" w:rsidP="33A1FD1F">
      <w:pPr>
        <w:spacing w:after="0" w:line="240" w:lineRule="auto"/>
        <w:jc w:val="both"/>
        <w:rPr>
          <w:rFonts w:ascii="Arial" w:eastAsia="Arial" w:hAnsi="Arial" w:cs="Arial"/>
          <w:color w:val="000000" w:themeColor="text1"/>
          <w:sz w:val="22"/>
          <w:szCs w:val="22"/>
        </w:rPr>
      </w:pPr>
    </w:p>
    <w:p w14:paraId="62B12A63" w14:textId="196F1C8A" w:rsidR="13D13739" w:rsidRPr="00B710A9" w:rsidRDefault="008E245A" w:rsidP="75B02D90">
      <w:pPr>
        <w:spacing w:after="0" w:line="240" w:lineRule="auto"/>
        <w:jc w:val="both"/>
        <w:rPr>
          <w:rFonts w:ascii="Arial" w:eastAsia="Arial" w:hAnsi="Arial" w:cs="Arial"/>
          <w:b/>
          <w:color w:val="000000" w:themeColor="text1"/>
          <w:sz w:val="22"/>
          <w:szCs w:val="22"/>
          <w:u w:val="single"/>
          <w:lang w:val="es"/>
        </w:rPr>
      </w:pPr>
      <w:r w:rsidRPr="00B710A9">
        <w:rPr>
          <w:rFonts w:ascii="Arial" w:eastAsia="Arial" w:hAnsi="Arial" w:cs="Arial"/>
          <w:b/>
          <w:color w:val="000000" w:themeColor="text1"/>
          <w:sz w:val="22"/>
          <w:szCs w:val="22"/>
          <w:u w:val="single"/>
          <w:lang w:val="es"/>
        </w:rPr>
        <w:t xml:space="preserve">Geomorfología aplicada a los levantamientos de suelos </w:t>
      </w:r>
    </w:p>
    <w:p w14:paraId="520B9CE9" w14:textId="23D4F5BD"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  </w:t>
      </w:r>
    </w:p>
    <w:p w14:paraId="781288E4" w14:textId="14935E81"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Durante las vigencias 2019 a 2021, se recopiló todo el conocimiento de la geomorfología adquirido en más 7 décadas de existencia y se sintetizó en la obra </w:t>
      </w:r>
      <w:r w:rsidRPr="00B710A9">
        <w:rPr>
          <w:rFonts w:ascii="Arial" w:eastAsia="Arial" w:hAnsi="Arial" w:cs="Arial"/>
          <w:i/>
          <w:color w:val="000000" w:themeColor="text1"/>
          <w:sz w:val="22"/>
          <w:szCs w:val="22"/>
          <w:lang w:val="es"/>
        </w:rPr>
        <w:t>“Clasificación Geomorfológica aplicado a los Levantamientos de Suelos”</w:t>
      </w:r>
      <w:r w:rsidRPr="00B710A9">
        <w:rPr>
          <w:rFonts w:ascii="Arial" w:eastAsia="Arial" w:hAnsi="Arial" w:cs="Arial"/>
          <w:color w:val="000000" w:themeColor="text1"/>
          <w:sz w:val="22"/>
          <w:szCs w:val="22"/>
          <w:lang w:val="es"/>
        </w:rPr>
        <w:t xml:space="preserve"> que se constituye en un referente técnico para la elaboración de cartografía geomorfológica de manera confiable, precisa, ágil, jerarquizada, uniforme, estandarizada y controlada. Esta información no solo es útil para los estudios de suelos realizados por el IGAC, sino también para otras entidades como el Ministerio de Ambiente y Desarrollo Sostenible (MADS), la Autoridad Nacional de Licencias Ambientales (ANLA) y la Unidad Nacional para la Gestión del Riesgo de Desastres (UNGRD), donde se define la cartografía geomorfológica como capa básica de información para las evaluaciones ambientales, los planes de ordenamiento ambiental y los estudios de riesgo.</w:t>
      </w:r>
    </w:p>
    <w:p w14:paraId="4503EF0B" w14:textId="20DF3C78"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63750B96" w14:textId="4A43F2BA"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En el año 2021 se realizó la interpretación geomorfológica aplicada a suelos de 900.000 hectáreas localizadas en sectores de los municipios de: Popayán, Caldono, </w:t>
      </w:r>
      <w:proofErr w:type="spellStart"/>
      <w:r w:rsidRPr="00B710A9">
        <w:rPr>
          <w:rFonts w:ascii="Arial" w:eastAsia="Arial" w:hAnsi="Arial" w:cs="Arial"/>
          <w:color w:val="000000" w:themeColor="text1"/>
          <w:sz w:val="22"/>
          <w:szCs w:val="22"/>
          <w:lang w:val="es"/>
        </w:rPr>
        <w:t>Jambaló</w:t>
      </w:r>
      <w:proofErr w:type="spellEnd"/>
      <w:r w:rsidRPr="00B710A9">
        <w:rPr>
          <w:rFonts w:ascii="Arial" w:eastAsia="Arial" w:hAnsi="Arial" w:cs="Arial"/>
          <w:color w:val="000000" w:themeColor="text1"/>
          <w:sz w:val="22"/>
          <w:szCs w:val="22"/>
          <w:lang w:val="es"/>
        </w:rPr>
        <w:t xml:space="preserve"> y </w:t>
      </w:r>
      <w:proofErr w:type="spellStart"/>
      <w:r w:rsidRPr="00B710A9">
        <w:rPr>
          <w:rFonts w:ascii="Arial" w:eastAsia="Arial" w:hAnsi="Arial" w:cs="Arial"/>
          <w:color w:val="000000" w:themeColor="text1"/>
          <w:sz w:val="22"/>
          <w:szCs w:val="22"/>
          <w:lang w:val="es"/>
        </w:rPr>
        <w:t>Toribío</w:t>
      </w:r>
      <w:proofErr w:type="spellEnd"/>
      <w:r w:rsidRPr="00B710A9">
        <w:rPr>
          <w:rFonts w:ascii="Arial" w:eastAsia="Arial" w:hAnsi="Arial" w:cs="Arial"/>
          <w:color w:val="000000" w:themeColor="text1"/>
          <w:sz w:val="22"/>
          <w:szCs w:val="22"/>
          <w:lang w:val="es"/>
        </w:rPr>
        <w:t xml:space="preserve">, (Cauca); Arauquita, (Arauca); Tumaco, (Nariño); </w:t>
      </w:r>
      <w:proofErr w:type="spellStart"/>
      <w:r w:rsidRPr="00B710A9">
        <w:rPr>
          <w:rFonts w:ascii="Arial" w:eastAsia="Arial" w:hAnsi="Arial" w:cs="Arial"/>
          <w:color w:val="000000" w:themeColor="text1"/>
          <w:sz w:val="22"/>
          <w:szCs w:val="22"/>
          <w:lang w:val="es"/>
        </w:rPr>
        <w:t>Villagarzón</w:t>
      </w:r>
      <w:proofErr w:type="spellEnd"/>
      <w:r w:rsidRPr="00B710A9">
        <w:rPr>
          <w:rFonts w:ascii="Arial" w:eastAsia="Arial" w:hAnsi="Arial" w:cs="Arial"/>
          <w:color w:val="000000" w:themeColor="text1"/>
          <w:sz w:val="22"/>
          <w:szCs w:val="22"/>
          <w:lang w:val="es"/>
        </w:rPr>
        <w:t xml:space="preserve">, (Putumayo); Coyaima, (Tolima); y Pereira, (Risaralda).  Asimismo, se elaboró el capítulo de aspectos geológicos y geomorfológicos como insumo para los informes técnicos de suelos de 11 municipios del departamento de Magdalena </w:t>
      </w:r>
    </w:p>
    <w:p w14:paraId="0E8AEFE8" w14:textId="013A2D12"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   </w:t>
      </w:r>
    </w:p>
    <w:p w14:paraId="31FA9363" w14:textId="27D7A6CB" w:rsidR="13D13739" w:rsidRPr="00B710A9" w:rsidRDefault="75B02D90" w:rsidP="75B02D90">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Durante la vigencia 2022, con corte a junio, se ha realizado la interpretación de 673.500 ha de cartografía geomorfológica escala 1:25.000 localizadas en sectores de los municipios de Tumaco, Fortul, Puerto Libertador, Orito, Balboa y San Juan de Arama</w:t>
      </w:r>
    </w:p>
    <w:p w14:paraId="17503067" w14:textId="4098CD2B" w:rsidR="13D13739" w:rsidRPr="00B710A9" w:rsidRDefault="13D13739" w:rsidP="75B02D90">
      <w:pPr>
        <w:spacing w:after="0" w:line="240" w:lineRule="auto"/>
        <w:jc w:val="both"/>
        <w:rPr>
          <w:rFonts w:ascii="Arial" w:eastAsia="Arial" w:hAnsi="Arial" w:cs="Arial"/>
        </w:rPr>
      </w:pPr>
    </w:p>
    <w:p w14:paraId="5A2345CF" w14:textId="477C2E3A" w:rsidR="13D13739" w:rsidRPr="00B710A9" w:rsidRDefault="13D13739" w:rsidP="75B02D90">
      <w:pPr>
        <w:spacing w:after="0" w:line="240" w:lineRule="auto"/>
        <w:jc w:val="both"/>
        <w:rPr>
          <w:rFonts w:ascii="Arial" w:eastAsia="Arial" w:hAnsi="Arial" w:cs="Arial"/>
        </w:rPr>
      </w:pPr>
    </w:p>
    <w:p w14:paraId="785A4FBF" w14:textId="38075EFA" w:rsidR="13D13739" w:rsidRPr="00B710A9" w:rsidRDefault="008E245A" w:rsidP="009D279A">
      <w:pPr>
        <w:spacing w:after="0" w:line="240" w:lineRule="auto"/>
        <w:jc w:val="both"/>
        <w:rPr>
          <w:rFonts w:ascii="Arial" w:eastAsia="Arial" w:hAnsi="Arial" w:cs="Arial"/>
          <w:b/>
          <w:color w:val="000000" w:themeColor="text1"/>
          <w:sz w:val="22"/>
          <w:szCs w:val="22"/>
          <w:u w:val="single"/>
          <w:lang w:val="es"/>
        </w:rPr>
      </w:pPr>
      <w:r w:rsidRPr="00B710A9">
        <w:rPr>
          <w:rFonts w:ascii="Arial" w:eastAsia="Arial" w:hAnsi="Arial" w:cs="Arial"/>
          <w:b/>
          <w:color w:val="000000" w:themeColor="text1"/>
          <w:sz w:val="22"/>
          <w:szCs w:val="22"/>
          <w:u w:val="single"/>
          <w:lang w:val="es"/>
        </w:rPr>
        <w:t xml:space="preserve">Aplicación de la información de suelos </w:t>
      </w:r>
    </w:p>
    <w:p w14:paraId="036AE076" w14:textId="00950E8D"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  </w:t>
      </w:r>
    </w:p>
    <w:p w14:paraId="749298AC" w14:textId="49EAA129"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A continuación, se describen las aplicaciones derivadas de los estudios de suelos, las cuales comprenden las Áreas homogéneas de Tierras y Potencial de uso de las Tierras: </w:t>
      </w:r>
    </w:p>
    <w:p w14:paraId="219801A5" w14:textId="4E0B3D58" w:rsidR="13D13739" w:rsidRPr="00B710A9" w:rsidRDefault="75B02D90" w:rsidP="009D279A">
      <w:pPr>
        <w:spacing w:after="0" w:line="240" w:lineRule="auto"/>
        <w:jc w:val="both"/>
        <w:rPr>
          <w:rFonts w:ascii="Arial" w:eastAsia="Arial" w:hAnsi="Arial" w:cs="Arial"/>
          <w:color w:val="000000" w:themeColor="text1"/>
          <w:lang w:val="es"/>
        </w:rPr>
      </w:pPr>
      <w:r w:rsidRPr="00B710A9">
        <w:rPr>
          <w:rFonts w:ascii="Arial" w:eastAsia="Arial" w:hAnsi="Arial" w:cs="Arial"/>
          <w:color w:val="000000" w:themeColor="text1"/>
          <w:lang w:val="es"/>
        </w:rPr>
        <w:t xml:space="preserve"> </w:t>
      </w:r>
    </w:p>
    <w:p w14:paraId="31F89E73" w14:textId="0B90053B" w:rsidR="33A1FD1F" w:rsidRPr="00B710A9" w:rsidRDefault="33A1FD1F" w:rsidP="33A1FD1F">
      <w:pPr>
        <w:spacing w:after="0" w:line="240" w:lineRule="auto"/>
        <w:jc w:val="both"/>
        <w:rPr>
          <w:rFonts w:ascii="Arial" w:eastAsia="Arial" w:hAnsi="Arial" w:cs="Arial"/>
          <w:b/>
          <w:bCs/>
          <w:color w:val="000000" w:themeColor="text1"/>
          <w:sz w:val="22"/>
          <w:szCs w:val="22"/>
          <w:u w:val="single"/>
          <w:lang w:val="es"/>
        </w:rPr>
      </w:pPr>
    </w:p>
    <w:p w14:paraId="7A4D8017" w14:textId="666DCD18" w:rsidR="13D13739" w:rsidRPr="00B710A9" w:rsidRDefault="75B02D90" w:rsidP="009D279A">
      <w:pPr>
        <w:spacing w:after="0" w:line="240" w:lineRule="auto"/>
        <w:jc w:val="both"/>
        <w:rPr>
          <w:rFonts w:ascii="Arial" w:eastAsia="Arial" w:hAnsi="Arial" w:cs="Arial"/>
          <w:b/>
          <w:color w:val="000000" w:themeColor="text1"/>
          <w:sz w:val="22"/>
          <w:szCs w:val="22"/>
          <w:u w:val="single"/>
          <w:lang w:val="es"/>
        </w:rPr>
      </w:pPr>
      <w:r w:rsidRPr="00B710A9">
        <w:rPr>
          <w:rFonts w:ascii="Arial" w:eastAsia="Arial" w:hAnsi="Arial" w:cs="Arial"/>
          <w:b/>
          <w:color w:val="000000" w:themeColor="text1"/>
          <w:sz w:val="22"/>
          <w:szCs w:val="22"/>
          <w:u w:val="single"/>
          <w:lang w:val="es"/>
        </w:rPr>
        <w:t>Áreas Homogéneas de Tierras (AHT)</w:t>
      </w:r>
    </w:p>
    <w:p w14:paraId="6EB59EEF" w14:textId="62439211" w:rsidR="13D13739" w:rsidRPr="00B710A9" w:rsidRDefault="75B02D90" w:rsidP="009D279A">
      <w:pPr>
        <w:spacing w:after="0" w:line="240" w:lineRule="auto"/>
        <w:jc w:val="both"/>
        <w:rPr>
          <w:rFonts w:ascii="Arial" w:eastAsia="Arial" w:hAnsi="Arial" w:cs="Arial"/>
          <w:b/>
          <w:color w:val="000000" w:themeColor="text1"/>
          <w:u w:val="single"/>
          <w:lang w:val="es"/>
        </w:rPr>
      </w:pPr>
      <w:r w:rsidRPr="00B710A9">
        <w:rPr>
          <w:rFonts w:ascii="Arial" w:eastAsia="Arial" w:hAnsi="Arial" w:cs="Arial"/>
          <w:b/>
          <w:color w:val="000000" w:themeColor="text1"/>
          <w:u w:val="single"/>
          <w:lang w:val="es"/>
        </w:rPr>
        <w:t xml:space="preserve"> </w:t>
      </w:r>
    </w:p>
    <w:p w14:paraId="69E25213" w14:textId="33C4E885" w:rsidR="13D13739" w:rsidRPr="00B710A9" w:rsidRDefault="75B02D90"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Las Áreas Homogéneas de Tierras (AHT), son una aplicación de los estudios de suelos e insumo agrológico para la elaboración del Catastro Multipropósito, éstas entregan un valor potencial de las tierras, que se constituye en una base cuantitativa para la actualización catastral a realizar en un municipio.  Asimismo, el catastro rural cuenta con información más veras que le permite determinar el avalúo de la tierra de forma precisa y a los municipios </w:t>
      </w:r>
      <w:r w:rsidRPr="00B710A9">
        <w:rPr>
          <w:rFonts w:ascii="Arial" w:eastAsia="Arial" w:hAnsi="Arial" w:cs="Arial"/>
          <w:color w:val="000000" w:themeColor="text1"/>
          <w:sz w:val="22"/>
          <w:szCs w:val="22"/>
        </w:rPr>
        <w:lastRenderedPageBreak/>
        <w:t xml:space="preserve">mejorar su gestión financiera al conocer la realidad de la calidad de sus tierras y la capacidad productiva de las mismas.  </w:t>
      </w:r>
    </w:p>
    <w:p w14:paraId="7E40B3F8" w14:textId="210C0C89" w:rsidR="13D13739" w:rsidRPr="00B710A9" w:rsidRDefault="75B02D90"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  </w:t>
      </w:r>
    </w:p>
    <w:p w14:paraId="4FB7629C" w14:textId="5FD36620" w:rsidR="13D13739" w:rsidRPr="00B710A9" w:rsidRDefault="75B02D90"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En el año 2019 se actualizaron cincuenta y siete (57) municipios equivalentes a 7.907.112 ha, en el año 2020 treinta y cinco (35) municipios con un área de 2.042.072,10 ha, en la vigencia 2021 se actualizaron trece (13) municipios correspondientes a 1.509.968,99 ha, finalmente para lo trascurrido del año 2022 se han actualizado diez (10) municipios con un área de 3.369.566 ha (origen nacional). Los municipios actualizados para el período 2021- 2022 se relacionan a continuación: </w:t>
      </w:r>
    </w:p>
    <w:p w14:paraId="4083618B" w14:textId="30583535" w:rsidR="13D13739" w:rsidRPr="00B710A9" w:rsidRDefault="75B02D90" w:rsidP="009D279A">
      <w:pPr>
        <w:spacing w:after="0" w:line="240" w:lineRule="auto"/>
        <w:jc w:val="both"/>
        <w:rPr>
          <w:rFonts w:ascii="Arial" w:eastAsia="Arial" w:hAnsi="Arial" w:cs="Arial"/>
          <w:b/>
          <w:color w:val="000000" w:themeColor="text1"/>
          <w:sz w:val="16"/>
          <w:szCs w:val="16"/>
        </w:rPr>
      </w:pPr>
      <w:r w:rsidRPr="00B710A9">
        <w:rPr>
          <w:rFonts w:ascii="Arial" w:eastAsia="Arial" w:hAnsi="Arial" w:cs="Arial"/>
          <w:color w:val="000000" w:themeColor="text1"/>
          <w:sz w:val="22"/>
          <w:szCs w:val="22"/>
          <w:lang w:val="es"/>
        </w:rPr>
        <w:t xml:space="preserve"> </w:t>
      </w:r>
      <w:r w:rsidRPr="00B710A9">
        <w:rPr>
          <w:rFonts w:ascii="Arial" w:eastAsia="Arial" w:hAnsi="Arial" w:cs="Arial"/>
          <w:b/>
          <w:bCs/>
          <w:color w:val="000000" w:themeColor="text1"/>
          <w:sz w:val="16"/>
          <w:szCs w:val="16"/>
        </w:rPr>
        <w:t xml:space="preserve"> </w:t>
      </w:r>
    </w:p>
    <w:p w14:paraId="2E0094BA" w14:textId="77777777" w:rsidR="008450B1" w:rsidRPr="00B710A9" w:rsidRDefault="008450B1" w:rsidP="0022083D">
      <w:pPr>
        <w:pStyle w:val="Descripcin"/>
        <w:keepNext/>
        <w:jc w:val="center"/>
        <w:rPr>
          <w:rFonts w:ascii="Arial" w:hAnsi="Arial" w:cs="Arial"/>
          <w:b/>
          <w:bCs/>
          <w:i w:val="0"/>
          <w:iCs w:val="0"/>
          <w:color w:val="auto"/>
          <w:sz w:val="16"/>
          <w:szCs w:val="16"/>
        </w:rPr>
      </w:pPr>
    </w:p>
    <w:p w14:paraId="2DFC6BDC" w14:textId="23E89AD4" w:rsidR="0022083D" w:rsidRPr="00B710A9" w:rsidRDefault="0022083D" w:rsidP="0022083D">
      <w:pPr>
        <w:pStyle w:val="Descripcin"/>
        <w:keepNext/>
        <w:jc w:val="center"/>
        <w:rPr>
          <w:rFonts w:ascii="Arial" w:hAnsi="Arial" w:cs="Arial"/>
          <w:b/>
          <w:bCs/>
          <w:i w:val="0"/>
          <w:iCs w:val="0"/>
          <w:color w:val="auto"/>
          <w:sz w:val="16"/>
          <w:szCs w:val="16"/>
        </w:rPr>
      </w:pPr>
      <w:bookmarkStart w:id="11" w:name="_Toc109057736"/>
      <w:r w:rsidRPr="00B710A9">
        <w:rPr>
          <w:rFonts w:ascii="Arial" w:hAnsi="Arial" w:cs="Arial"/>
          <w:b/>
          <w:bCs/>
          <w:i w:val="0"/>
          <w:iCs w:val="0"/>
          <w:color w:val="auto"/>
          <w:sz w:val="16"/>
          <w:szCs w:val="16"/>
        </w:rPr>
        <w:t xml:space="preserve">Tabla </w:t>
      </w:r>
      <w:r w:rsidRPr="00B710A9">
        <w:rPr>
          <w:rFonts w:ascii="Arial" w:hAnsi="Arial" w:cs="Arial"/>
          <w:b/>
          <w:bCs/>
          <w:i w:val="0"/>
          <w:iCs w:val="0"/>
          <w:color w:val="auto"/>
          <w:sz w:val="16"/>
          <w:szCs w:val="16"/>
        </w:rPr>
        <w:fldChar w:fldCharType="begin"/>
      </w:r>
      <w:r w:rsidRPr="00B710A9">
        <w:rPr>
          <w:rFonts w:ascii="Arial" w:hAnsi="Arial" w:cs="Arial"/>
          <w:b/>
          <w:bCs/>
          <w:i w:val="0"/>
          <w:iCs w:val="0"/>
          <w:color w:val="auto"/>
          <w:sz w:val="16"/>
          <w:szCs w:val="16"/>
        </w:rPr>
        <w:instrText xml:space="preserve"> SEQ Tabla \* ARABIC </w:instrText>
      </w:r>
      <w:r w:rsidRPr="00B710A9">
        <w:rPr>
          <w:rFonts w:ascii="Arial" w:hAnsi="Arial" w:cs="Arial"/>
          <w:b/>
          <w:bCs/>
          <w:i w:val="0"/>
          <w:iCs w:val="0"/>
          <w:color w:val="auto"/>
          <w:sz w:val="16"/>
          <w:szCs w:val="16"/>
        </w:rPr>
        <w:fldChar w:fldCharType="separate"/>
      </w:r>
      <w:r w:rsidR="00801DF8" w:rsidRPr="00B710A9">
        <w:rPr>
          <w:rFonts w:ascii="Arial" w:hAnsi="Arial" w:cs="Arial"/>
          <w:b/>
          <w:bCs/>
          <w:i w:val="0"/>
          <w:iCs w:val="0"/>
          <w:noProof/>
          <w:color w:val="auto"/>
          <w:sz w:val="16"/>
          <w:szCs w:val="16"/>
        </w:rPr>
        <w:t>6</w:t>
      </w:r>
      <w:r w:rsidRPr="00B710A9">
        <w:rPr>
          <w:rFonts w:ascii="Arial" w:hAnsi="Arial" w:cs="Arial"/>
          <w:b/>
          <w:bCs/>
          <w:i w:val="0"/>
          <w:iCs w:val="0"/>
          <w:color w:val="auto"/>
          <w:sz w:val="16"/>
          <w:szCs w:val="16"/>
        </w:rPr>
        <w:fldChar w:fldCharType="end"/>
      </w:r>
      <w:r w:rsidRPr="00B710A9">
        <w:rPr>
          <w:rFonts w:ascii="Arial" w:hAnsi="Arial" w:cs="Arial"/>
          <w:b/>
          <w:bCs/>
          <w:i w:val="0"/>
          <w:iCs w:val="0"/>
          <w:color w:val="auto"/>
          <w:sz w:val="16"/>
          <w:szCs w:val="16"/>
        </w:rPr>
        <w:t>. Listado de municipios actualizados de AHT 2021- 2022</w:t>
      </w:r>
      <w:bookmarkEnd w:id="11"/>
    </w:p>
    <w:tbl>
      <w:tblPr>
        <w:tblStyle w:val="Tablaconcuadrcula4-nfasis1"/>
        <w:tblW w:w="0" w:type="auto"/>
        <w:tblLayout w:type="fixed"/>
        <w:tblLook w:val="04A0" w:firstRow="1" w:lastRow="0" w:firstColumn="1" w:lastColumn="0" w:noHBand="0" w:noVBand="1"/>
      </w:tblPr>
      <w:tblGrid>
        <w:gridCol w:w="705"/>
        <w:gridCol w:w="1800"/>
        <w:gridCol w:w="1890"/>
        <w:gridCol w:w="690"/>
        <w:gridCol w:w="1800"/>
        <w:gridCol w:w="1890"/>
      </w:tblGrid>
      <w:tr w:rsidR="75B02D90" w:rsidRPr="00B710A9" w14:paraId="03AF3B69" w14:textId="77777777" w:rsidTr="0022083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775" w:type="dxa"/>
            <w:gridSpan w:val="6"/>
          </w:tcPr>
          <w:p w14:paraId="47F82D39" w14:textId="1E49D32F" w:rsidR="75B02D90" w:rsidRPr="00B710A9" w:rsidRDefault="75B02D90" w:rsidP="75B02D90">
            <w:pPr>
              <w:jc w:val="center"/>
              <w:rPr>
                <w:rFonts w:ascii="Arial" w:eastAsia="Arial" w:hAnsi="Arial" w:cs="Arial"/>
                <w:b w:val="0"/>
                <w:color w:val="000000" w:themeColor="text1"/>
                <w:sz w:val="28"/>
                <w:szCs w:val="28"/>
                <w:lang w:val="es"/>
              </w:rPr>
            </w:pPr>
            <w:r w:rsidRPr="00B710A9">
              <w:rPr>
                <w:rFonts w:ascii="Arial" w:eastAsia="Arial" w:hAnsi="Arial" w:cs="Arial"/>
                <w:color w:val="000000" w:themeColor="text1"/>
                <w:sz w:val="28"/>
                <w:szCs w:val="28"/>
                <w:lang w:val="es"/>
              </w:rPr>
              <w:t xml:space="preserve">2021  </w:t>
            </w:r>
          </w:p>
        </w:tc>
      </w:tr>
      <w:tr w:rsidR="75B02D90" w:rsidRPr="00B710A9" w14:paraId="2D482CE3" w14:textId="77777777" w:rsidTr="0022083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05" w:type="dxa"/>
          </w:tcPr>
          <w:p w14:paraId="38A1D2F1" w14:textId="5945222B" w:rsidR="75B02D90" w:rsidRPr="00B710A9" w:rsidRDefault="75B02D90" w:rsidP="75B02D90">
            <w:pPr>
              <w:jc w:val="center"/>
              <w:rPr>
                <w:rFonts w:ascii="Arial" w:eastAsia="Arial" w:hAnsi="Arial" w:cs="Arial"/>
                <w:b w:val="0"/>
                <w:color w:val="000000" w:themeColor="text1"/>
                <w:sz w:val="16"/>
                <w:szCs w:val="16"/>
                <w:lang w:val="es"/>
              </w:rPr>
            </w:pPr>
            <w:r w:rsidRPr="00B710A9">
              <w:rPr>
                <w:rFonts w:ascii="Arial" w:eastAsia="Arial" w:hAnsi="Arial" w:cs="Arial"/>
                <w:color w:val="000000" w:themeColor="text1"/>
                <w:sz w:val="16"/>
                <w:szCs w:val="16"/>
                <w:lang w:val="es"/>
              </w:rPr>
              <w:t xml:space="preserve">No.  </w:t>
            </w:r>
          </w:p>
        </w:tc>
        <w:tc>
          <w:tcPr>
            <w:tcW w:w="1800" w:type="dxa"/>
          </w:tcPr>
          <w:p w14:paraId="08194296" w14:textId="46D29CB0"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color w:val="000000" w:themeColor="text1"/>
                <w:sz w:val="16"/>
                <w:szCs w:val="16"/>
                <w:lang w:val="es"/>
              </w:rPr>
              <w:t>Departamento</w:t>
            </w:r>
            <w:r w:rsidRPr="00B710A9">
              <w:rPr>
                <w:rFonts w:ascii="Arial" w:eastAsia="Arial" w:hAnsi="Arial" w:cs="Arial"/>
                <w:color w:val="000000" w:themeColor="text1"/>
                <w:sz w:val="16"/>
                <w:szCs w:val="16"/>
                <w:lang w:val="es"/>
              </w:rPr>
              <w:t xml:space="preserve">  </w:t>
            </w:r>
          </w:p>
        </w:tc>
        <w:tc>
          <w:tcPr>
            <w:tcW w:w="1890" w:type="dxa"/>
          </w:tcPr>
          <w:p w14:paraId="246E4EFB" w14:textId="5A2A1F2F"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color w:val="000000" w:themeColor="text1"/>
                <w:sz w:val="16"/>
                <w:szCs w:val="16"/>
                <w:lang w:val="es"/>
              </w:rPr>
              <w:t>Municipio/ Área No Municipalizada</w:t>
            </w:r>
            <w:r w:rsidRPr="00B710A9">
              <w:rPr>
                <w:rFonts w:ascii="Arial" w:eastAsia="Arial" w:hAnsi="Arial" w:cs="Arial"/>
                <w:color w:val="000000" w:themeColor="text1"/>
                <w:sz w:val="16"/>
                <w:szCs w:val="16"/>
                <w:lang w:val="es"/>
              </w:rPr>
              <w:t xml:space="preserve">  </w:t>
            </w:r>
          </w:p>
        </w:tc>
        <w:tc>
          <w:tcPr>
            <w:tcW w:w="690" w:type="dxa"/>
          </w:tcPr>
          <w:p w14:paraId="7176C795" w14:textId="5097EA8A"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color w:val="000000" w:themeColor="text1"/>
                <w:sz w:val="16"/>
                <w:szCs w:val="16"/>
                <w:lang w:val="es"/>
              </w:rPr>
              <w:t>No.</w:t>
            </w:r>
            <w:r w:rsidRPr="00B710A9">
              <w:rPr>
                <w:rFonts w:ascii="Arial" w:eastAsia="Arial" w:hAnsi="Arial" w:cs="Arial"/>
                <w:color w:val="000000" w:themeColor="text1"/>
                <w:sz w:val="16"/>
                <w:szCs w:val="16"/>
                <w:lang w:val="es"/>
              </w:rPr>
              <w:t xml:space="preserve">  </w:t>
            </w:r>
          </w:p>
        </w:tc>
        <w:tc>
          <w:tcPr>
            <w:tcW w:w="1800" w:type="dxa"/>
          </w:tcPr>
          <w:p w14:paraId="7B8C4EB0" w14:textId="5089088C"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color w:val="000000" w:themeColor="text1"/>
                <w:sz w:val="16"/>
                <w:szCs w:val="16"/>
                <w:lang w:val="es"/>
              </w:rPr>
              <w:t>Departamento</w:t>
            </w:r>
            <w:r w:rsidRPr="00B710A9">
              <w:rPr>
                <w:rFonts w:ascii="Arial" w:eastAsia="Arial" w:hAnsi="Arial" w:cs="Arial"/>
                <w:color w:val="000000" w:themeColor="text1"/>
                <w:sz w:val="16"/>
                <w:szCs w:val="16"/>
                <w:lang w:val="es"/>
              </w:rPr>
              <w:t xml:space="preserve">  </w:t>
            </w:r>
          </w:p>
        </w:tc>
        <w:tc>
          <w:tcPr>
            <w:tcW w:w="1890" w:type="dxa"/>
          </w:tcPr>
          <w:p w14:paraId="0F2ADE4B" w14:textId="731571B1"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color w:val="000000" w:themeColor="text1"/>
                <w:sz w:val="16"/>
                <w:szCs w:val="16"/>
                <w:lang w:val="es"/>
              </w:rPr>
              <w:t>Municipio/ Área No Municipalizada</w:t>
            </w:r>
            <w:r w:rsidRPr="00B710A9">
              <w:rPr>
                <w:rFonts w:ascii="Arial" w:eastAsia="Arial" w:hAnsi="Arial" w:cs="Arial"/>
                <w:color w:val="000000" w:themeColor="text1"/>
                <w:sz w:val="16"/>
                <w:szCs w:val="16"/>
                <w:lang w:val="es"/>
              </w:rPr>
              <w:t xml:space="preserve">  </w:t>
            </w:r>
          </w:p>
        </w:tc>
      </w:tr>
      <w:tr w:rsidR="75B02D90" w:rsidRPr="00B710A9" w14:paraId="483A8ACE" w14:textId="77777777" w:rsidTr="0022083D">
        <w:trPr>
          <w:trHeight w:val="180"/>
        </w:trPr>
        <w:tc>
          <w:tcPr>
            <w:cnfStyle w:val="001000000000" w:firstRow="0" w:lastRow="0" w:firstColumn="1" w:lastColumn="0" w:oddVBand="0" w:evenVBand="0" w:oddHBand="0" w:evenHBand="0" w:firstRowFirstColumn="0" w:firstRowLastColumn="0" w:lastRowFirstColumn="0" w:lastRowLastColumn="0"/>
            <w:tcW w:w="705" w:type="dxa"/>
          </w:tcPr>
          <w:p w14:paraId="2D636193" w14:textId="4E3A2EA4" w:rsidR="75B02D90" w:rsidRPr="00B710A9" w:rsidRDefault="75B02D90" w:rsidP="75B02D90">
            <w:pPr>
              <w:jc w:val="center"/>
              <w:rPr>
                <w:rFonts w:ascii="Arial" w:eastAsia="Arial" w:hAnsi="Arial" w:cs="Arial"/>
                <w:b w:val="0"/>
                <w:color w:val="000000" w:themeColor="text1"/>
                <w:sz w:val="16"/>
                <w:szCs w:val="16"/>
                <w:lang w:val="es"/>
              </w:rPr>
            </w:pPr>
            <w:r w:rsidRPr="00B710A9">
              <w:rPr>
                <w:rFonts w:ascii="Arial" w:eastAsia="Arial" w:hAnsi="Arial" w:cs="Arial"/>
                <w:color w:val="000000" w:themeColor="text1"/>
                <w:sz w:val="16"/>
                <w:szCs w:val="16"/>
                <w:lang w:val="es"/>
              </w:rPr>
              <w:t xml:space="preserve">1  </w:t>
            </w:r>
          </w:p>
        </w:tc>
        <w:tc>
          <w:tcPr>
            <w:tcW w:w="1800" w:type="dxa"/>
          </w:tcPr>
          <w:p w14:paraId="749E4EA9" w14:textId="7550BB28"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Arauca  </w:t>
            </w:r>
          </w:p>
        </w:tc>
        <w:tc>
          <w:tcPr>
            <w:tcW w:w="1890" w:type="dxa"/>
          </w:tcPr>
          <w:p w14:paraId="36B195CA" w14:textId="036C3DB2"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Arauquita  </w:t>
            </w:r>
          </w:p>
        </w:tc>
        <w:tc>
          <w:tcPr>
            <w:tcW w:w="690" w:type="dxa"/>
          </w:tcPr>
          <w:p w14:paraId="3E214773" w14:textId="0AA9BC4E"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bCs/>
                <w:color w:val="000000" w:themeColor="text1"/>
                <w:sz w:val="16"/>
                <w:szCs w:val="16"/>
                <w:lang w:val="es"/>
              </w:rPr>
              <w:t xml:space="preserve">  </w:t>
            </w:r>
            <w:r w:rsidRPr="00B710A9">
              <w:rPr>
                <w:rFonts w:ascii="Arial" w:eastAsia="Arial" w:hAnsi="Arial" w:cs="Arial"/>
                <w:b/>
                <w:color w:val="000000" w:themeColor="text1"/>
                <w:sz w:val="16"/>
                <w:szCs w:val="16"/>
                <w:lang w:val="es"/>
              </w:rPr>
              <w:t>7</w:t>
            </w:r>
            <w:r w:rsidRPr="00B710A9">
              <w:rPr>
                <w:rFonts w:ascii="Arial" w:eastAsia="Arial" w:hAnsi="Arial" w:cs="Arial"/>
                <w:color w:val="000000" w:themeColor="text1"/>
                <w:sz w:val="16"/>
                <w:szCs w:val="16"/>
                <w:lang w:val="es"/>
              </w:rPr>
              <w:t xml:space="preserve"> </w:t>
            </w:r>
          </w:p>
        </w:tc>
        <w:tc>
          <w:tcPr>
            <w:tcW w:w="1800" w:type="dxa"/>
          </w:tcPr>
          <w:p w14:paraId="21068A40" w14:textId="4E470573"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Santander  </w:t>
            </w:r>
          </w:p>
        </w:tc>
        <w:tc>
          <w:tcPr>
            <w:tcW w:w="1890" w:type="dxa"/>
          </w:tcPr>
          <w:p w14:paraId="390970BF" w14:textId="45C62285"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Bolívar  </w:t>
            </w:r>
          </w:p>
        </w:tc>
      </w:tr>
      <w:tr w:rsidR="75B02D90" w:rsidRPr="00B710A9" w14:paraId="44E75C43" w14:textId="77777777" w:rsidTr="0022083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05" w:type="dxa"/>
          </w:tcPr>
          <w:p w14:paraId="2B45C600" w14:textId="2B5FD011" w:rsidR="75B02D90" w:rsidRPr="00B710A9" w:rsidRDefault="75B02D90" w:rsidP="75B02D90">
            <w:pPr>
              <w:jc w:val="center"/>
              <w:rPr>
                <w:rFonts w:ascii="Arial" w:eastAsia="Arial" w:hAnsi="Arial" w:cs="Arial"/>
                <w:b w:val="0"/>
                <w:color w:val="000000" w:themeColor="text1"/>
                <w:sz w:val="16"/>
                <w:szCs w:val="16"/>
                <w:lang w:val="es"/>
              </w:rPr>
            </w:pPr>
            <w:r w:rsidRPr="00B710A9">
              <w:rPr>
                <w:rFonts w:ascii="Arial" w:eastAsia="Arial" w:hAnsi="Arial" w:cs="Arial"/>
                <w:color w:val="000000" w:themeColor="text1"/>
                <w:sz w:val="16"/>
                <w:szCs w:val="16"/>
                <w:lang w:val="es"/>
              </w:rPr>
              <w:t xml:space="preserve">2  </w:t>
            </w:r>
          </w:p>
        </w:tc>
        <w:tc>
          <w:tcPr>
            <w:tcW w:w="1800" w:type="dxa"/>
          </w:tcPr>
          <w:p w14:paraId="5775694B" w14:textId="6788841E"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Bolívar  </w:t>
            </w:r>
          </w:p>
        </w:tc>
        <w:tc>
          <w:tcPr>
            <w:tcW w:w="1890" w:type="dxa"/>
          </w:tcPr>
          <w:p w14:paraId="5908AE6B" w14:textId="634837E4"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Zambrano  </w:t>
            </w:r>
          </w:p>
        </w:tc>
        <w:tc>
          <w:tcPr>
            <w:tcW w:w="690" w:type="dxa"/>
          </w:tcPr>
          <w:p w14:paraId="54D28048" w14:textId="4A0459FF"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bCs/>
                <w:color w:val="000000" w:themeColor="text1"/>
                <w:sz w:val="16"/>
                <w:szCs w:val="16"/>
                <w:lang w:val="es"/>
              </w:rPr>
              <w:t xml:space="preserve">  </w:t>
            </w:r>
            <w:r w:rsidRPr="00B710A9">
              <w:rPr>
                <w:rFonts w:ascii="Arial" w:eastAsia="Arial" w:hAnsi="Arial" w:cs="Arial"/>
                <w:b/>
                <w:color w:val="000000" w:themeColor="text1"/>
                <w:sz w:val="16"/>
                <w:szCs w:val="16"/>
                <w:lang w:val="es"/>
              </w:rPr>
              <w:t>8</w:t>
            </w:r>
            <w:r w:rsidRPr="00B710A9">
              <w:rPr>
                <w:rFonts w:ascii="Arial" w:eastAsia="Arial" w:hAnsi="Arial" w:cs="Arial"/>
                <w:color w:val="000000" w:themeColor="text1"/>
                <w:sz w:val="16"/>
                <w:szCs w:val="16"/>
                <w:lang w:val="es"/>
              </w:rPr>
              <w:t xml:space="preserve"> </w:t>
            </w:r>
          </w:p>
        </w:tc>
        <w:tc>
          <w:tcPr>
            <w:tcW w:w="1800" w:type="dxa"/>
          </w:tcPr>
          <w:p w14:paraId="7528AC6E" w14:textId="70B075CA"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Sucre  </w:t>
            </w:r>
          </w:p>
        </w:tc>
        <w:tc>
          <w:tcPr>
            <w:tcW w:w="1890" w:type="dxa"/>
          </w:tcPr>
          <w:p w14:paraId="5D64CC8C" w14:textId="625D8521"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San Onofre  </w:t>
            </w:r>
          </w:p>
        </w:tc>
      </w:tr>
      <w:tr w:rsidR="75B02D90" w:rsidRPr="00B710A9" w14:paraId="6439C5D1" w14:textId="77777777" w:rsidTr="0022083D">
        <w:trPr>
          <w:trHeight w:val="180"/>
        </w:trPr>
        <w:tc>
          <w:tcPr>
            <w:cnfStyle w:val="001000000000" w:firstRow="0" w:lastRow="0" w:firstColumn="1" w:lastColumn="0" w:oddVBand="0" w:evenVBand="0" w:oddHBand="0" w:evenHBand="0" w:firstRowFirstColumn="0" w:firstRowLastColumn="0" w:lastRowFirstColumn="0" w:lastRowLastColumn="0"/>
            <w:tcW w:w="705" w:type="dxa"/>
          </w:tcPr>
          <w:p w14:paraId="215B6B27" w14:textId="4CF0D089" w:rsidR="75B02D90" w:rsidRPr="00B710A9" w:rsidRDefault="75B02D90" w:rsidP="75B02D90">
            <w:pPr>
              <w:jc w:val="center"/>
              <w:rPr>
                <w:rFonts w:ascii="Arial" w:eastAsia="Arial" w:hAnsi="Arial" w:cs="Arial"/>
                <w:b w:val="0"/>
                <w:color w:val="000000" w:themeColor="text1"/>
                <w:sz w:val="16"/>
                <w:szCs w:val="16"/>
                <w:lang w:val="es"/>
              </w:rPr>
            </w:pPr>
            <w:r w:rsidRPr="00B710A9">
              <w:rPr>
                <w:rFonts w:ascii="Arial" w:eastAsia="Arial" w:hAnsi="Arial" w:cs="Arial"/>
                <w:color w:val="000000" w:themeColor="text1"/>
                <w:sz w:val="16"/>
                <w:szCs w:val="16"/>
                <w:lang w:val="es"/>
              </w:rPr>
              <w:t xml:space="preserve">3  </w:t>
            </w:r>
          </w:p>
        </w:tc>
        <w:tc>
          <w:tcPr>
            <w:tcW w:w="1800" w:type="dxa"/>
          </w:tcPr>
          <w:p w14:paraId="1D61DE46" w14:textId="6C769AF5"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Bolívar  </w:t>
            </w:r>
          </w:p>
        </w:tc>
        <w:tc>
          <w:tcPr>
            <w:tcW w:w="1890" w:type="dxa"/>
          </w:tcPr>
          <w:p w14:paraId="4866D40D" w14:textId="2DF1FF89"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El Peñón  </w:t>
            </w:r>
          </w:p>
        </w:tc>
        <w:tc>
          <w:tcPr>
            <w:tcW w:w="690" w:type="dxa"/>
          </w:tcPr>
          <w:p w14:paraId="5688725F" w14:textId="388CB048"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bCs/>
                <w:color w:val="000000" w:themeColor="text1"/>
                <w:sz w:val="16"/>
                <w:szCs w:val="16"/>
                <w:lang w:val="es"/>
              </w:rPr>
              <w:t xml:space="preserve">  </w:t>
            </w:r>
            <w:r w:rsidRPr="00B710A9">
              <w:rPr>
                <w:rFonts w:ascii="Arial" w:eastAsia="Arial" w:hAnsi="Arial" w:cs="Arial"/>
                <w:b/>
                <w:color w:val="000000" w:themeColor="text1"/>
                <w:sz w:val="16"/>
                <w:szCs w:val="16"/>
                <w:lang w:val="es"/>
              </w:rPr>
              <w:t>9</w:t>
            </w:r>
            <w:r w:rsidRPr="00B710A9">
              <w:rPr>
                <w:rFonts w:ascii="Arial" w:eastAsia="Arial" w:hAnsi="Arial" w:cs="Arial"/>
                <w:color w:val="000000" w:themeColor="text1"/>
                <w:sz w:val="16"/>
                <w:szCs w:val="16"/>
                <w:lang w:val="es"/>
              </w:rPr>
              <w:t xml:space="preserve"> </w:t>
            </w:r>
          </w:p>
        </w:tc>
        <w:tc>
          <w:tcPr>
            <w:tcW w:w="1800" w:type="dxa"/>
          </w:tcPr>
          <w:p w14:paraId="56C823AE" w14:textId="5BC8B8A3"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Sucre  </w:t>
            </w:r>
          </w:p>
        </w:tc>
        <w:tc>
          <w:tcPr>
            <w:tcW w:w="1890" w:type="dxa"/>
          </w:tcPr>
          <w:p w14:paraId="3A8D5E6F" w14:textId="36C830B0"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Toluviejo  </w:t>
            </w:r>
          </w:p>
        </w:tc>
      </w:tr>
      <w:tr w:rsidR="75B02D90" w:rsidRPr="00B710A9" w14:paraId="6954D593" w14:textId="77777777" w:rsidTr="0022083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05" w:type="dxa"/>
          </w:tcPr>
          <w:p w14:paraId="351ECC12" w14:textId="214089FB" w:rsidR="75B02D90" w:rsidRPr="00B710A9" w:rsidRDefault="75B02D90" w:rsidP="75B02D90">
            <w:pPr>
              <w:jc w:val="center"/>
              <w:rPr>
                <w:rFonts w:ascii="Arial" w:eastAsia="Arial" w:hAnsi="Arial" w:cs="Arial"/>
                <w:b w:val="0"/>
                <w:color w:val="000000" w:themeColor="text1"/>
                <w:sz w:val="16"/>
                <w:szCs w:val="16"/>
                <w:lang w:val="es"/>
              </w:rPr>
            </w:pPr>
            <w:r w:rsidRPr="00B710A9">
              <w:rPr>
                <w:rFonts w:ascii="Arial" w:eastAsia="Arial" w:hAnsi="Arial" w:cs="Arial"/>
                <w:color w:val="000000" w:themeColor="text1"/>
                <w:sz w:val="16"/>
                <w:szCs w:val="16"/>
                <w:lang w:val="es"/>
              </w:rPr>
              <w:t xml:space="preserve">4  </w:t>
            </w:r>
          </w:p>
        </w:tc>
        <w:tc>
          <w:tcPr>
            <w:tcW w:w="1800" w:type="dxa"/>
          </w:tcPr>
          <w:p w14:paraId="52C6D7EC" w14:textId="6FBE5200"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Cauca  </w:t>
            </w:r>
          </w:p>
        </w:tc>
        <w:tc>
          <w:tcPr>
            <w:tcW w:w="1890" w:type="dxa"/>
          </w:tcPr>
          <w:p w14:paraId="1EA07D95" w14:textId="24F95928"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Popayán  </w:t>
            </w:r>
          </w:p>
        </w:tc>
        <w:tc>
          <w:tcPr>
            <w:tcW w:w="690" w:type="dxa"/>
          </w:tcPr>
          <w:p w14:paraId="622E88C8" w14:textId="708A129B"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bCs/>
                <w:color w:val="000000" w:themeColor="text1"/>
                <w:sz w:val="16"/>
                <w:szCs w:val="16"/>
                <w:lang w:val="es"/>
              </w:rPr>
              <w:t xml:space="preserve">  </w:t>
            </w:r>
            <w:r w:rsidRPr="00B710A9">
              <w:rPr>
                <w:rFonts w:ascii="Arial" w:eastAsia="Arial" w:hAnsi="Arial" w:cs="Arial"/>
                <w:b/>
                <w:color w:val="000000" w:themeColor="text1"/>
                <w:sz w:val="16"/>
                <w:szCs w:val="16"/>
                <w:lang w:val="es"/>
              </w:rPr>
              <w:t>10</w:t>
            </w:r>
            <w:r w:rsidRPr="00B710A9">
              <w:rPr>
                <w:rFonts w:ascii="Arial" w:eastAsia="Arial" w:hAnsi="Arial" w:cs="Arial"/>
                <w:color w:val="000000" w:themeColor="text1"/>
                <w:sz w:val="16"/>
                <w:szCs w:val="16"/>
                <w:lang w:val="es"/>
              </w:rPr>
              <w:t xml:space="preserve"> </w:t>
            </w:r>
          </w:p>
        </w:tc>
        <w:tc>
          <w:tcPr>
            <w:tcW w:w="1800" w:type="dxa"/>
          </w:tcPr>
          <w:p w14:paraId="3535B382" w14:textId="2FD724A0"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Tolima  </w:t>
            </w:r>
          </w:p>
        </w:tc>
        <w:tc>
          <w:tcPr>
            <w:tcW w:w="1890" w:type="dxa"/>
          </w:tcPr>
          <w:p w14:paraId="092F245B" w14:textId="18FD3532"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Chaparral  </w:t>
            </w:r>
          </w:p>
        </w:tc>
      </w:tr>
      <w:tr w:rsidR="75B02D90" w:rsidRPr="00B710A9" w14:paraId="489D7E8C" w14:textId="77777777" w:rsidTr="0022083D">
        <w:trPr>
          <w:trHeight w:val="180"/>
        </w:trPr>
        <w:tc>
          <w:tcPr>
            <w:cnfStyle w:val="001000000000" w:firstRow="0" w:lastRow="0" w:firstColumn="1" w:lastColumn="0" w:oddVBand="0" w:evenVBand="0" w:oddHBand="0" w:evenHBand="0" w:firstRowFirstColumn="0" w:firstRowLastColumn="0" w:lastRowFirstColumn="0" w:lastRowLastColumn="0"/>
            <w:tcW w:w="705" w:type="dxa"/>
          </w:tcPr>
          <w:p w14:paraId="3BA239D9" w14:textId="6B56C83E" w:rsidR="75B02D90" w:rsidRPr="00B710A9" w:rsidRDefault="75B02D90" w:rsidP="75B02D90">
            <w:pPr>
              <w:jc w:val="center"/>
              <w:rPr>
                <w:rFonts w:ascii="Arial" w:eastAsia="Arial" w:hAnsi="Arial" w:cs="Arial"/>
                <w:b w:val="0"/>
                <w:color w:val="000000" w:themeColor="text1"/>
                <w:sz w:val="16"/>
                <w:szCs w:val="16"/>
                <w:lang w:val="es"/>
              </w:rPr>
            </w:pPr>
            <w:r w:rsidRPr="00B710A9">
              <w:rPr>
                <w:rFonts w:ascii="Arial" w:eastAsia="Arial" w:hAnsi="Arial" w:cs="Arial"/>
                <w:color w:val="000000" w:themeColor="text1"/>
                <w:sz w:val="16"/>
                <w:szCs w:val="16"/>
                <w:lang w:val="es"/>
              </w:rPr>
              <w:t xml:space="preserve">5  </w:t>
            </w:r>
          </w:p>
        </w:tc>
        <w:tc>
          <w:tcPr>
            <w:tcW w:w="1800" w:type="dxa"/>
          </w:tcPr>
          <w:p w14:paraId="77BF740C" w14:textId="374EE5EE"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La Guajira  </w:t>
            </w:r>
          </w:p>
        </w:tc>
        <w:tc>
          <w:tcPr>
            <w:tcW w:w="1890" w:type="dxa"/>
          </w:tcPr>
          <w:p w14:paraId="4E8F7623" w14:textId="0E8891F8"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Dibulla  </w:t>
            </w:r>
          </w:p>
        </w:tc>
        <w:tc>
          <w:tcPr>
            <w:tcW w:w="690" w:type="dxa"/>
          </w:tcPr>
          <w:p w14:paraId="35419CFB" w14:textId="66C5A42A"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bCs/>
                <w:color w:val="000000" w:themeColor="text1"/>
                <w:sz w:val="16"/>
                <w:szCs w:val="16"/>
                <w:lang w:val="es"/>
              </w:rPr>
              <w:t xml:space="preserve">  </w:t>
            </w:r>
            <w:r w:rsidRPr="00B710A9">
              <w:rPr>
                <w:rFonts w:ascii="Arial" w:eastAsia="Arial" w:hAnsi="Arial" w:cs="Arial"/>
                <w:b/>
                <w:color w:val="000000" w:themeColor="text1"/>
                <w:sz w:val="16"/>
                <w:szCs w:val="16"/>
                <w:lang w:val="es"/>
              </w:rPr>
              <w:t>11</w:t>
            </w:r>
            <w:r w:rsidRPr="00B710A9">
              <w:rPr>
                <w:rFonts w:ascii="Arial" w:eastAsia="Arial" w:hAnsi="Arial" w:cs="Arial"/>
                <w:color w:val="000000" w:themeColor="text1"/>
                <w:sz w:val="16"/>
                <w:szCs w:val="16"/>
                <w:lang w:val="es"/>
              </w:rPr>
              <w:t xml:space="preserve"> </w:t>
            </w:r>
          </w:p>
        </w:tc>
        <w:tc>
          <w:tcPr>
            <w:tcW w:w="1800" w:type="dxa"/>
          </w:tcPr>
          <w:p w14:paraId="3B210F02" w14:textId="66C9C6F3"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Valle del Cauca  </w:t>
            </w:r>
          </w:p>
        </w:tc>
        <w:tc>
          <w:tcPr>
            <w:tcW w:w="1890" w:type="dxa"/>
          </w:tcPr>
          <w:p w14:paraId="718EF80B" w14:textId="4059085E"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Buga  </w:t>
            </w:r>
          </w:p>
        </w:tc>
      </w:tr>
      <w:tr w:rsidR="75B02D90" w:rsidRPr="00B710A9" w14:paraId="76871BAE" w14:textId="77777777" w:rsidTr="0022083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05" w:type="dxa"/>
          </w:tcPr>
          <w:p w14:paraId="62C46B1B" w14:textId="16E66C53" w:rsidR="75B02D90" w:rsidRPr="00B710A9" w:rsidRDefault="75B02D90" w:rsidP="75B02D90">
            <w:pPr>
              <w:jc w:val="center"/>
              <w:rPr>
                <w:rFonts w:ascii="Arial" w:eastAsia="Arial" w:hAnsi="Arial" w:cs="Arial"/>
                <w:b w:val="0"/>
                <w:color w:val="000000" w:themeColor="text1"/>
                <w:sz w:val="16"/>
                <w:szCs w:val="16"/>
                <w:lang w:val="es"/>
              </w:rPr>
            </w:pPr>
            <w:r w:rsidRPr="00B710A9">
              <w:rPr>
                <w:rFonts w:ascii="Arial" w:eastAsia="Arial" w:hAnsi="Arial" w:cs="Arial"/>
                <w:color w:val="000000" w:themeColor="text1"/>
                <w:sz w:val="16"/>
                <w:szCs w:val="16"/>
                <w:lang w:val="es"/>
              </w:rPr>
              <w:t xml:space="preserve">6  </w:t>
            </w:r>
          </w:p>
        </w:tc>
        <w:tc>
          <w:tcPr>
            <w:tcW w:w="1800" w:type="dxa"/>
          </w:tcPr>
          <w:p w14:paraId="7A169EF0" w14:textId="1D6FC731"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Magdalena  </w:t>
            </w:r>
          </w:p>
        </w:tc>
        <w:tc>
          <w:tcPr>
            <w:tcW w:w="1890" w:type="dxa"/>
          </w:tcPr>
          <w:p w14:paraId="0C6F64CA" w14:textId="7D50827B"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Fundación  </w:t>
            </w:r>
          </w:p>
        </w:tc>
        <w:tc>
          <w:tcPr>
            <w:tcW w:w="690" w:type="dxa"/>
          </w:tcPr>
          <w:p w14:paraId="25FDB04A" w14:textId="1DE316B7"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bCs/>
                <w:color w:val="000000" w:themeColor="text1"/>
                <w:sz w:val="16"/>
                <w:szCs w:val="16"/>
                <w:lang w:val="es"/>
              </w:rPr>
              <w:t xml:space="preserve">  </w:t>
            </w:r>
            <w:r w:rsidRPr="00B710A9">
              <w:rPr>
                <w:rFonts w:ascii="Arial" w:eastAsia="Arial" w:hAnsi="Arial" w:cs="Arial"/>
                <w:b/>
                <w:color w:val="000000" w:themeColor="text1"/>
                <w:sz w:val="16"/>
                <w:szCs w:val="16"/>
                <w:lang w:val="es"/>
              </w:rPr>
              <w:t>12</w:t>
            </w:r>
            <w:r w:rsidRPr="00B710A9">
              <w:rPr>
                <w:rFonts w:ascii="Arial" w:eastAsia="Arial" w:hAnsi="Arial" w:cs="Arial"/>
                <w:color w:val="000000" w:themeColor="text1"/>
                <w:sz w:val="16"/>
                <w:szCs w:val="16"/>
                <w:lang w:val="es"/>
              </w:rPr>
              <w:t xml:space="preserve"> </w:t>
            </w:r>
          </w:p>
        </w:tc>
        <w:tc>
          <w:tcPr>
            <w:tcW w:w="1800" w:type="dxa"/>
          </w:tcPr>
          <w:p w14:paraId="4AD77AFE" w14:textId="1C543E86"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Valle del Cauca  </w:t>
            </w:r>
          </w:p>
        </w:tc>
        <w:tc>
          <w:tcPr>
            <w:tcW w:w="1890" w:type="dxa"/>
          </w:tcPr>
          <w:p w14:paraId="3CF0617A" w14:textId="217E2306"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proofErr w:type="spellStart"/>
            <w:r w:rsidRPr="00B710A9">
              <w:rPr>
                <w:rFonts w:ascii="Arial" w:eastAsia="Arial" w:hAnsi="Arial" w:cs="Arial"/>
                <w:color w:val="000000" w:themeColor="text1"/>
                <w:sz w:val="16"/>
                <w:szCs w:val="16"/>
                <w:lang w:val="es"/>
              </w:rPr>
              <w:t>Yotocó</w:t>
            </w:r>
            <w:proofErr w:type="spellEnd"/>
            <w:r w:rsidRPr="00B710A9">
              <w:rPr>
                <w:rFonts w:ascii="Arial" w:eastAsia="Arial" w:hAnsi="Arial" w:cs="Arial"/>
                <w:color w:val="000000" w:themeColor="text1"/>
                <w:sz w:val="16"/>
                <w:szCs w:val="16"/>
                <w:lang w:val="es"/>
              </w:rPr>
              <w:t xml:space="preserve">  </w:t>
            </w:r>
          </w:p>
        </w:tc>
      </w:tr>
      <w:tr w:rsidR="75B02D90" w:rsidRPr="00B710A9" w14:paraId="30925C1D" w14:textId="77777777" w:rsidTr="0022083D">
        <w:trPr>
          <w:trHeight w:val="180"/>
        </w:trPr>
        <w:tc>
          <w:tcPr>
            <w:cnfStyle w:val="001000000000" w:firstRow="0" w:lastRow="0" w:firstColumn="1" w:lastColumn="0" w:oddVBand="0" w:evenVBand="0" w:oddHBand="0" w:evenHBand="0" w:firstRowFirstColumn="0" w:firstRowLastColumn="0" w:lastRowFirstColumn="0" w:lastRowLastColumn="0"/>
            <w:tcW w:w="705" w:type="dxa"/>
          </w:tcPr>
          <w:p w14:paraId="77393162" w14:textId="6985C66F" w:rsidR="75B02D90" w:rsidRPr="00B710A9" w:rsidRDefault="75B02D90" w:rsidP="75B02D90">
            <w:pPr>
              <w:jc w:val="both"/>
              <w:rPr>
                <w:rFonts w:ascii="Arial" w:eastAsia="Arial" w:hAnsi="Arial" w:cs="Arial"/>
                <w:b w:val="0"/>
                <w:color w:val="000000" w:themeColor="text1"/>
                <w:sz w:val="16"/>
                <w:szCs w:val="16"/>
                <w:lang w:val="es"/>
              </w:rPr>
            </w:pPr>
            <w:r w:rsidRPr="00B710A9">
              <w:rPr>
                <w:rFonts w:ascii="Arial" w:eastAsia="Arial" w:hAnsi="Arial" w:cs="Arial"/>
                <w:color w:val="000000" w:themeColor="text1"/>
                <w:sz w:val="16"/>
                <w:szCs w:val="16"/>
                <w:lang w:val="es"/>
              </w:rPr>
              <w:t xml:space="preserve">   </w:t>
            </w:r>
          </w:p>
        </w:tc>
        <w:tc>
          <w:tcPr>
            <w:tcW w:w="1800" w:type="dxa"/>
          </w:tcPr>
          <w:p w14:paraId="58AE1A0B" w14:textId="15376B1B"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   </w:t>
            </w:r>
          </w:p>
        </w:tc>
        <w:tc>
          <w:tcPr>
            <w:tcW w:w="1890" w:type="dxa"/>
          </w:tcPr>
          <w:p w14:paraId="168B12F1" w14:textId="717131C2"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   </w:t>
            </w:r>
          </w:p>
        </w:tc>
        <w:tc>
          <w:tcPr>
            <w:tcW w:w="690" w:type="dxa"/>
          </w:tcPr>
          <w:p w14:paraId="45736457" w14:textId="1505CF17"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bCs/>
                <w:color w:val="000000" w:themeColor="text1"/>
                <w:sz w:val="16"/>
                <w:szCs w:val="16"/>
                <w:lang w:val="es"/>
              </w:rPr>
              <w:t xml:space="preserve">  </w:t>
            </w:r>
            <w:r w:rsidRPr="00B710A9">
              <w:rPr>
                <w:rFonts w:ascii="Arial" w:eastAsia="Arial" w:hAnsi="Arial" w:cs="Arial"/>
                <w:b/>
                <w:color w:val="000000" w:themeColor="text1"/>
                <w:sz w:val="16"/>
                <w:szCs w:val="16"/>
                <w:lang w:val="es"/>
              </w:rPr>
              <w:t>13</w:t>
            </w:r>
            <w:r w:rsidRPr="00B710A9">
              <w:rPr>
                <w:rFonts w:ascii="Arial" w:eastAsia="Arial" w:hAnsi="Arial" w:cs="Arial"/>
                <w:color w:val="000000" w:themeColor="text1"/>
                <w:sz w:val="16"/>
                <w:szCs w:val="16"/>
                <w:lang w:val="es"/>
              </w:rPr>
              <w:t xml:space="preserve"> </w:t>
            </w:r>
          </w:p>
        </w:tc>
        <w:tc>
          <w:tcPr>
            <w:tcW w:w="1800" w:type="dxa"/>
          </w:tcPr>
          <w:p w14:paraId="6F649DDD" w14:textId="1C7EF086"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Vichada  </w:t>
            </w:r>
          </w:p>
        </w:tc>
        <w:tc>
          <w:tcPr>
            <w:tcW w:w="1890" w:type="dxa"/>
          </w:tcPr>
          <w:p w14:paraId="7B524659" w14:textId="11FC29C9"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Santa Rosalía  </w:t>
            </w:r>
          </w:p>
        </w:tc>
      </w:tr>
      <w:tr w:rsidR="75B02D90" w:rsidRPr="00B710A9" w14:paraId="4A00E418" w14:textId="77777777" w:rsidTr="002208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775" w:type="dxa"/>
            <w:gridSpan w:val="6"/>
          </w:tcPr>
          <w:p w14:paraId="228DF5FD" w14:textId="0087ECA5" w:rsidR="75B02D90" w:rsidRPr="00B710A9" w:rsidRDefault="75B02D90" w:rsidP="75B02D90">
            <w:pPr>
              <w:jc w:val="center"/>
              <w:rPr>
                <w:rFonts w:ascii="Arial" w:eastAsia="Arial" w:hAnsi="Arial" w:cs="Arial"/>
                <w:b w:val="0"/>
                <w:color w:val="000000" w:themeColor="text1"/>
                <w:sz w:val="28"/>
                <w:szCs w:val="28"/>
                <w:lang w:val="es"/>
              </w:rPr>
            </w:pPr>
            <w:r w:rsidRPr="00B710A9">
              <w:rPr>
                <w:rFonts w:ascii="Arial" w:eastAsia="Arial" w:hAnsi="Arial" w:cs="Arial"/>
                <w:color w:val="000000" w:themeColor="text1"/>
                <w:sz w:val="28"/>
                <w:szCs w:val="28"/>
                <w:lang w:val="es"/>
              </w:rPr>
              <w:t xml:space="preserve">2022  </w:t>
            </w:r>
          </w:p>
        </w:tc>
      </w:tr>
      <w:tr w:rsidR="75B02D90" w:rsidRPr="00B710A9" w14:paraId="09B748E7" w14:textId="77777777" w:rsidTr="0022083D">
        <w:trPr>
          <w:trHeight w:val="180"/>
        </w:trPr>
        <w:tc>
          <w:tcPr>
            <w:cnfStyle w:val="001000000000" w:firstRow="0" w:lastRow="0" w:firstColumn="1" w:lastColumn="0" w:oddVBand="0" w:evenVBand="0" w:oddHBand="0" w:evenHBand="0" w:firstRowFirstColumn="0" w:firstRowLastColumn="0" w:lastRowFirstColumn="0" w:lastRowLastColumn="0"/>
            <w:tcW w:w="705" w:type="dxa"/>
          </w:tcPr>
          <w:p w14:paraId="15DB625C" w14:textId="1851BDEA" w:rsidR="75B02D90" w:rsidRPr="00B710A9" w:rsidRDefault="75B02D90" w:rsidP="75B02D90">
            <w:pPr>
              <w:jc w:val="center"/>
              <w:rPr>
                <w:rFonts w:ascii="Arial" w:eastAsia="Arial" w:hAnsi="Arial" w:cs="Arial"/>
                <w:b w:val="0"/>
                <w:color w:val="000000" w:themeColor="text1"/>
                <w:sz w:val="16"/>
                <w:szCs w:val="16"/>
                <w:lang w:val="es"/>
              </w:rPr>
            </w:pPr>
            <w:r w:rsidRPr="00B710A9">
              <w:rPr>
                <w:rFonts w:ascii="Arial" w:eastAsia="Arial" w:hAnsi="Arial" w:cs="Arial"/>
                <w:color w:val="000000" w:themeColor="text1"/>
                <w:sz w:val="16"/>
                <w:szCs w:val="16"/>
                <w:lang w:val="es"/>
              </w:rPr>
              <w:t xml:space="preserve">No.  </w:t>
            </w:r>
          </w:p>
        </w:tc>
        <w:tc>
          <w:tcPr>
            <w:tcW w:w="1800" w:type="dxa"/>
          </w:tcPr>
          <w:p w14:paraId="1C1CFD2A" w14:textId="665C8DEC"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color w:val="000000" w:themeColor="text1"/>
                <w:sz w:val="16"/>
                <w:szCs w:val="16"/>
                <w:lang w:val="es"/>
              </w:rPr>
              <w:t>Departamento</w:t>
            </w:r>
            <w:r w:rsidRPr="00B710A9">
              <w:rPr>
                <w:rFonts w:ascii="Arial" w:eastAsia="Arial" w:hAnsi="Arial" w:cs="Arial"/>
                <w:color w:val="000000" w:themeColor="text1"/>
                <w:sz w:val="16"/>
                <w:szCs w:val="16"/>
                <w:lang w:val="es"/>
              </w:rPr>
              <w:t xml:space="preserve">  </w:t>
            </w:r>
          </w:p>
        </w:tc>
        <w:tc>
          <w:tcPr>
            <w:tcW w:w="1890" w:type="dxa"/>
          </w:tcPr>
          <w:p w14:paraId="03FC1EF6" w14:textId="5293EF82"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color w:val="000000" w:themeColor="text1"/>
                <w:sz w:val="16"/>
                <w:szCs w:val="16"/>
                <w:lang w:val="es"/>
              </w:rPr>
              <w:t>Municipio/ Área No Municipalizada</w:t>
            </w:r>
            <w:r w:rsidRPr="00B710A9">
              <w:rPr>
                <w:rFonts w:ascii="Arial" w:eastAsia="Arial" w:hAnsi="Arial" w:cs="Arial"/>
                <w:color w:val="000000" w:themeColor="text1"/>
                <w:sz w:val="16"/>
                <w:szCs w:val="16"/>
                <w:lang w:val="es"/>
              </w:rPr>
              <w:t xml:space="preserve">  </w:t>
            </w:r>
          </w:p>
        </w:tc>
        <w:tc>
          <w:tcPr>
            <w:tcW w:w="690" w:type="dxa"/>
          </w:tcPr>
          <w:p w14:paraId="001E74DC" w14:textId="1F05D42A"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color w:val="000000" w:themeColor="text1"/>
                <w:sz w:val="16"/>
                <w:szCs w:val="16"/>
                <w:lang w:val="es"/>
              </w:rPr>
              <w:t>No.</w:t>
            </w:r>
            <w:r w:rsidRPr="00B710A9">
              <w:rPr>
                <w:rFonts w:ascii="Arial" w:eastAsia="Arial" w:hAnsi="Arial" w:cs="Arial"/>
                <w:color w:val="000000" w:themeColor="text1"/>
                <w:sz w:val="16"/>
                <w:szCs w:val="16"/>
                <w:lang w:val="es"/>
              </w:rPr>
              <w:t xml:space="preserve">  </w:t>
            </w:r>
          </w:p>
        </w:tc>
        <w:tc>
          <w:tcPr>
            <w:tcW w:w="1800" w:type="dxa"/>
          </w:tcPr>
          <w:p w14:paraId="60929228" w14:textId="765D7D2A"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color w:val="000000" w:themeColor="text1"/>
                <w:sz w:val="16"/>
                <w:szCs w:val="16"/>
                <w:lang w:val="es"/>
              </w:rPr>
              <w:t>Departamento</w:t>
            </w:r>
            <w:r w:rsidRPr="00B710A9">
              <w:rPr>
                <w:rFonts w:ascii="Arial" w:eastAsia="Arial" w:hAnsi="Arial" w:cs="Arial"/>
                <w:color w:val="000000" w:themeColor="text1"/>
                <w:sz w:val="16"/>
                <w:szCs w:val="16"/>
                <w:lang w:val="es"/>
              </w:rPr>
              <w:t xml:space="preserve">  </w:t>
            </w:r>
          </w:p>
        </w:tc>
        <w:tc>
          <w:tcPr>
            <w:tcW w:w="1890" w:type="dxa"/>
          </w:tcPr>
          <w:p w14:paraId="0D24AC71" w14:textId="04A7CDE3"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color w:val="000000" w:themeColor="text1"/>
                <w:sz w:val="16"/>
                <w:szCs w:val="16"/>
                <w:lang w:val="es"/>
              </w:rPr>
              <w:t>Municipio/ Área No Municipalizada</w:t>
            </w:r>
            <w:r w:rsidRPr="00B710A9">
              <w:rPr>
                <w:rFonts w:ascii="Arial" w:eastAsia="Arial" w:hAnsi="Arial" w:cs="Arial"/>
                <w:color w:val="000000" w:themeColor="text1"/>
                <w:sz w:val="16"/>
                <w:szCs w:val="16"/>
                <w:lang w:val="es"/>
              </w:rPr>
              <w:t xml:space="preserve">  </w:t>
            </w:r>
          </w:p>
        </w:tc>
      </w:tr>
      <w:tr w:rsidR="75B02D90" w:rsidRPr="00B710A9" w14:paraId="2D8CE0DD" w14:textId="77777777" w:rsidTr="0022083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05" w:type="dxa"/>
          </w:tcPr>
          <w:p w14:paraId="47D3D545" w14:textId="689152BB" w:rsidR="75B02D90" w:rsidRPr="00B710A9" w:rsidRDefault="75B02D90" w:rsidP="75B02D90">
            <w:pPr>
              <w:jc w:val="center"/>
              <w:rPr>
                <w:rFonts w:ascii="Arial" w:eastAsia="Arial" w:hAnsi="Arial" w:cs="Arial"/>
                <w:b w:val="0"/>
                <w:color w:val="000000" w:themeColor="text1"/>
                <w:sz w:val="16"/>
                <w:szCs w:val="16"/>
                <w:lang w:val="es"/>
              </w:rPr>
            </w:pPr>
            <w:r w:rsidRPr="00B710A9">
              <w:rPr>
                <w:rFonts w:ascii="Arial" w:eastAsia="Arial" w:hAnsi="Arial" w:cs="Arial"/>
                <w:color w:val="000000" w:themeColor="text1"/>
                <w:sz w:val="16"/>
                <w:szCs w:val="16"/>
                <w:lang w:val="es"/>
              </w:rPr>
              <w:t xml:space="preserve">1  </w:t>
            </w:r>
          </w:p>
        </w:tc>
        <w:tc>
          <w:tcPr>
            <w:tcW w:w="1800" w:type="dxa"/>
          </w:tcPr>
          <w:p w14:paraId="4F8734F6" w14:textId="11DC21E4"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Amazonas  </w:t>
            </w:r>
          </w:p>
        </w:tc>
        <w:tc>
          <w:tcPr>
            <w:tcW w:w="1890" w:type="dxa"/>
          </w:tcPr>
          <w:p w14:paraId="360A2899" w14:textId="68B13663"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La Victoria (</w:t>
            </w:r>
            <w:proofErr w:type="spellStart"/>
            <w:r w:rsidRPr="00B710A9">
              <w:rPr>
                <w:rFonts w:ascii="Arial" w:eastAsia="Arial" w:hAnsi="Arial" w:cs="Arial"/>
                <w:color w:val="000000" w:themeColor="text1"/>
                <w:sz w:val="16"/>
                <w:szCs w:val="16"/>
                <w:lang w:val="es"/>
              </w:rPr>
              <w:t>Pacoa</w:t>
            </w:r>
            <w:proofErr w:type="spellEnd"/>
            <w:r w:rsidRPr="00B710A9">
              <w:rPr>
                <w:rFonts w:ascii="Arial" w:eastAsia="Arial" w:hAnsi="Arial" w:cs="Arial"/>
                <w:color w:val="000000" w:themeColor="text1"/>
                <w:sz w:val="16"/>
                <w:szCs w:val="16"/>
                <w:lang w:val="es"/>
              </w:rPr>
              <w:t xml:space="preserve">)  </w:t>
            </w:r>
          </w:p>
        </w:tc>
        <w:tc>
          <w:tcPr>
            <w:tcW w:w="690" w:type="dxa"/>
          </w:tcPr>
          <w:p w14:paraId="143B6B1E" w14:textId="4AAB152D"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bCs/>
                <w:color w:val="000000" w:themeColor="text1"/>
                <w:sz w:val="16"/>
                <w:szCs w:val="16"/>
                <w:lang w:val="es"/>
              </w:rPr>
              <w:t xml:space="preserve"> </w:t>
            </w:r>
            <w:r w:rsidRPr="00B710A9">
              <w:rPr>
                <w:rFonts w:ascii="Arial" w:eastAsia="Arial" w:hAnsi="Arial" w:cs="Arial"/>
                <w:b/>
                <w:color w:val="000000" w:themeColor="text1"/>
                <w:sz w:val="16"/>
                <w:szCs w:val="16"/>
                <w:lang w:val="es"/>
              </w:rPr>
              <w:t>6</w:t>
            </w:r>
            <w:r w:rsidRPr="00B710A9">
              <w:rPr>
                <w:rFonts w:ascii="Arial" w:eastAsia="Arial" w:hAnsi="Arial" w:cs="Arial"/>
                <w:color w:val="000000" w:themeColor="text1"/>
                <w:sz w:val="16"/>
                <w:szCs w:val="16"/>
                <w:lang w:val="es"/>
              </w:rPr>
              <w:t xml:space="preserve"> </w:t>
            </w:r>
          </w:p>
        </w:tc>
        <w:tc>
          <w:tcPr>
            <w:tcW w:w="1800" w:type="dxa"/>
          </w:tcPr>
          <w:p w14:paraId="17B1C275" w14:textId="1EA39EE8"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Guainía </w:t>
            </w:r>
          </w:p>
        </w:tc>
        <w:tc>
          <w:tcPr>
            <w:tcW w:w="1890" w:type="dxa"/>
          </w:tcPr>
          <w:p w14:paraId="3A5522D2" w14:textId="5359E9DD"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La Guadalupe </w:t>
            </w:r>
          </w:p>
        </w:tc>
      </w:tr>
      <w:tr w:rsidR="75B02D90" w:rsidRPr="00B710A9" w14:paraId="0E570D55" w14:textId="77777777" w:rsidTr="0022083D">
        <w:trPr>
          <w:trHeight w:val="180"/>
        </w:trPr>
        <w:tc>
          <w:tcPr>
            <w:cnfStyle w:val="001000000000" w:firstRow="0" w:lastRow="0" w:firstColumn="1" w:lastColumn="0" w:oddVBand="0" w:evenVBand="0" w:oddHBand="0" w:evenHBand="0" w:firstRowFirstColumn="0" w:firstRowLastColumn="0" w:lastRowFirstColumn="0" w:lastRowLastColumn="0"/>
            <w:tcW w:w="705" w:type="dxa"/>
          </w:tcPr>
          <w:p w14:paraId="76869E55" w14:textId="3DF5E412" w:rsidR="75B02D90" w:rsidRPr="00B710A9" w:rsidRDefault="75B02D90" w:rsidP="75B02D90">
            <w:pPr>
              <w:jc w:val="center"/>
              <w:rPr>
                <w:rFonts w:ascii="Arial" w:eastAsia="Arial" w:hAnsi="Arial" w:cs="Arial"/>
                <w:b w:val="0"/>
                <w:color w:val="000000" w:themeColor="text1"/>
                <w:sz w:val="16"/>
                <w:szCs w:val="16"/>
                <w:lang w:val="es"/>
              </w:rPr>
            </w:pPr>
            <w:r w:rsidRPr="00B710A9">
              <w:rPr>
                <w:rFonts w:ascii="Arial" w:eastAsia="Arial" w:hAnsi="Arial" w:cs="Arial"/>
                <w:color w:val="000000" w:themeColor="text1"/>
                <w:sz w:val="16"/>
                <w:szCs w:val="16"/>
                <w:lang w:val="es"/>
              </w:rPr>
              <w:t xml:space="preserve">2  </w:t>
            </w:r>
          </w:p>
        </w:tc>
        <w:tc>
          <w:tcPr>
            <w:tcW w:w="1800" w:type="dxa"/>
          </w:tcPr>
          <w:p w14:paraId="3173B88F" w14:textId="646D1E6C"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Amazonas  </w:t>
            </w:r>
          </w:p>
        </w:tc>
        <w:tc>
          <w:tcPr>
            <w:tcW w:w="1890" w:type="dxa"/>
          </w:tcPr>
          <w:p w14:paraId="771C8213" w14:textId="2138DF57"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Leticia  </w:t>
            </w:r>
          </w:p>
        </w:tc>
        <w:tc>
          <w:tcPr>
            <w:tcW w:w="690" w:type="dxa"/>
          </w:tcPr>
          <w:p w14:paraId="6442FDDF" w14:textId="295145C9"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color w:val="000000" w:themeColor="text1"/>
                <w:sz w:val="16"/>
                <w:szCs w:val="16"/>
                <w:lang w:val="es"/>
              </w:rPr>
              <w:t>7</w:t>
            </w:r>
            <w:r w:rsidRPr="00B710A9">
              <w:rPr>
                <w:rFonts w:ascii="Arial" w:eastAsia="Arial" w:hAnsi="Arial" w:cs="Arial"/>
                <w:color w:val="000000" w:themeColor="text1"/>
                <w:sz w:val="16"/>
                <w:szCs w:val="16"/>
                <w:lang w:val="es"/>
              </w:rPr>
              <w:t xml:space="preserve"> </w:t>
            </w:r>
          </w:p>
        </w:tc>
        <w:tc>
          <w:tcPr>
            <w:tcW w:w="1800" w:type="dxa"/>
          </w:tcPr>
          <w:p w14:paraId="425DF546" w14:textId="5E7886CB"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Guainía </w:t>
            </w:r>
          </w:p>
        </w:tc>
        <w:tc>
          <w:tcPr>
            <w:tcW w:w="1890" w:type="dxa"/>
          </w:tcPr>
          <w:p w14:paraId="260032F1" w14:textId="4694A311"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San Felipe </w:t>
            </w:r>
          </w:p>
        </w:tc>
      </w:tr>
      <w:tr w:rsidR="75B02D90" w:rsidRPr="00B710A9" w14:paraId="5C8F7EFE" w14:textId="77777777" w:rsidTr="0022083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05" w:type="dxa"/>
          </w:tcPr>
          <w:p w14:paraId="2C32EEE4" w14:textId="0E0DE11E" w:rsidR="75B02D90" w:rsidRPr="00B710A9" w:rsidRDefault="75B02D90" w:rsidP="75B02D90">
            <w:pPr>
              <w:jc w:val="center"/>
              <w:rPr>
                <w:rFonts w:ascii="Arial" w:eastAsia="Arial" w:hAnsi="Arial" w:cs="Arial"/>
                <w:b w:val="0"/>
                <w:color w:val="000000" w:themeColor="text1"/>
                <w:sz w:val="16"/>
                <w:szCs w:val="16"/>
                <w:lang w:val="es"/>
              </w:rPr>
            </w:pPr>
            <w:r w:rsidRPr="00B710A9">
              <w:rPr>
                <w:rFonts w:ascii="Arial" w:eastAsia="Arial" w:hAnsi="Arial" w:cs="Arial"/>
                <w:color w:val="000000" w:themeColor="text1"/>
                <w:sz w:val="16"/>
                <w:szCs w:val="16"/>
                <w:lang w:val="es"/>
              </w:rPr>
              <w:t xml:space="preserve">3 </w:t>
            </w:r>
          </w:p>
        </w:tc>
        <w:tc>
          <w:tcPr>
            <w:tcW w:w="1800" w:type="dxa"/>
          </w:tcPr>
          <w:p w14:paraId="6C223097" w14:textId="29C26A4B"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Amazonas  </w:t>
            </w:r>
          </w:p>
        </w:tc>
        <w:tc>
          <w:tcPr>
            <w:tcW w:w="1890" w:type="dxa"/>
          </w:tcPr>
          <w:p w14:paraId="2CBE7773" w14:textId="42CECA3B"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Puerto Nariño </w:t>
            </w:r>
          </w:p>
        </w:tc>
        <w:tc>
          <w:tcPr>
            <w:tcW w:w="690" w:type="dxa"/>
          </w:tcPr>
          <w:p w14:paraId="534356D0" w14:textId="5DE9D445"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color w:val="000000" w:themeColor="text1"/>
                <w:sz w:val="16"/>
                <w:szCs w:val="16"/>
                <w:lang w:val="es"/>
              </w:rPr>
              <w:t>8</w:t>
            </w:r>
            <w:r w:rsidRPr="00B710A9">
              <w:rPr>
                <w:rFonts w:ascii="Arial" w:eastAsia="Arial" w:hAnsi="Arial" w:cs="Arial"/>
                <w:color w:val="000000" w:themeColor="text1"/>
                <w:sz w:val="16"/>
                <w:szCs w:val="16"/>
                <w:lang w:val="es"/>
              </w:rPr>
              <w:t xml:space="preserve"> </w:t>
            </w:r>
          </w:p>
        </w:tc>
        <w:tc>
          <w:tcPr>
            <w:tcW w:w="1800" w:type="dxa"/>
          </w:tcPr>
          <w:p w14:paraId="79F1A065" w14:textId="59A41A6C"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Vaupés  </w:t>
            </w:r>
          </w:p>
        </w:tc>
        <w:tc>
          <w:tcPr>
            <w:tcW w:w="1890" w:type="dxa"/>
          </w:tcPr>
          <w:p w14:paraId="208D84D9" w14:textId="71DBF858"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Yavaraté  </w:t>
            </w:r>
          </w:p>
        </w:tc>
      </w:tr>
      <w:tr w:rsidR="75B02D90" w:rsidRPr="00B710A9" w14:paraId="0A4D94B2" w14:textId="77777777" w:rsidTr="0022083D">
        <w:trPr>
          <w:trHeight w:val="180"/>
        </w:trPr>
        <w:tc>
          <w:tcPr>
            <w:cnfStyle w:val="001000000000" w:firstRow="0" w:lastRow="0" w:firstColumn="1" w:lastColumn="0" w:oddVBand="0" w:evenVBand="0" w:oddHBand="0" w:evenHBand="0" w:firstRowFirstColumn="0" w:firstRowLastColumn="0" w:lastRowFirstColumn="0" w:lastRowLastColumn="0"/>
            <w:tcW w:w="705" w:type="dxa"/>
          </w:tcPr>
          <w:p w14:paraId="338086B0" w14:textId="334DC5DA" w:rsidR="75B02D90" w:rsidRPr="00B710A9" w:rsidRDefault="75B02D90" w:rsidP="75B02D90">
            <w:pPr>
              <w:jc w:val="center"/>
              <w:rPr>
                <w:rFonts w:ascii="Arial" w:eastAsia="Arial" w:hAnsi="Arial" w:cs="Arial"/>
                <w:b w:val="0"/>
                <w:color w:val="000000" w:themeColor="text1"/>
                <w:sz w:val="16"/>
                <w:szCs w:val="16"/>
                <w:lang w:val="es"/>
              </w:rPr>
            </w:pPr>
            <w:r w:rsidRPr="00B710A9">
              <w:rPr>
                <w:rFonts w:ascii="Arial" w:eastAsia="Arial" w:hAnsi="Arial" w:cs="Arial"/>
                <w:color w:val="000000" w:themeColor="text1"/>
                <w:sz w:val="16"/>
                <w:szCs w:val="16"/>
                <w:lang w:val="es"/>
              </w:rPr>
              <w:t xml:space="preserve">4 </w:t>
            </w:r>
          </w:p>
        </w:tc>
        <w:tc>
          <w:tcPr>
            <w:tcW w:w="1800" w:type="dxa"/>
          </w:tcPr>
          <w:p w14:paraId="6E31872C" w14:textId="63048712"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Arauca </w:t>
            </w:r>
          </w:p>
        </w:tc>
        <w:tc>
          <w:tcPr>
            <w:tcW w:w="1890" w:type="dxa"/>
          </w:tcPr>
          <w:p w14:paraId="544442FD" w14:textId="26B58219"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Fortul </w:t>
            </w:r>
          </w:p>
        </w:tc>
        <w:tc>
          <w:tcPr>
            <w:tcW w:w="690" w:type="dxa"/>
          </w:tcPr>
          <w:p w14:paraId="518D1A25" w14:textId="40304AA7"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color w:val="000000" w:themeColor="text1"/>
                <w:sz w:val="16"/>
                <w:szCs w:val="16"/>
                <w:lang w:val="es"/>
              </w:rPr>
              <w:t>9</w:t>
            </w:r>
            <w:r w:rsidRPr="00B710A9">
              <w:rPr>
                <w:rFonts w:ascii="Arial" w:eastAsia="Arial" w:hAnsi="Arial" w:cs="Arial"/>
                <w:color w:val="000000" w:themeColor="text1"/>
                <w:sz w:val="16"/>
                <w:szCs w:val="16"/>
                <w:lang w:val="es"/>
              </w:rPr>
              <w:t xml:space="preserve"> </w:t>
            </w:r>
          </w:p>
        </w:tc>
        <w:tc>
          <w:tcPr>
            <w:tcW w:w="1800" w:type="dxa"/>
          </w:tcPr>
          <w:p w14:paraId="34A14A0D" w14:textId="13F6AF65"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Vaupés  </w:t>
            </w:r>
          </w:p>
        </w:tc>
        <w:tc>
          <w:tcPr>
            <w:tcW w:w="1890" w:type="dxa"/>
          </w:tcPr>
          <w:p w14:paraId="6A6E9FF8" w14:textId="1EC8E62E" w:rsidR="75B02D90" w:rsidRPr="00B710A9" w:rsidRDefault="75B02D90" w:rsidP="75B02D9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lang w:val="es"/>
              </w:rPr>
            </w:pPr>
            <w:proofErr w:type="spellStart"/>
            <w:r w:rsidRPr="00B710A9">
              <w:rPr>
                <w:rFonts w:ascii="Arial" w:eastAsia="Arial" w:hAnsi="Arial" w:cs="Arial"/>
                <w:color w:val="000000" w:themeColor="text1"/>
                <w:sz w:val="16"/>
                <w:szCs w:val="16"/>
                <w:lang w:val="es"/>
              </w:rPr>
              <w:t>Taraira</w:t>
            </w:r>
            <w:proofErr w:type="spellEnd"/>
            <w:r w:rsidRPr="00B710A9">
              <w:rPr>
                <w:rFonts w:ascii="Arial" w:eastAsia="Arial" w:hAnsi="Arial" w:cs="Arial"/>
                <w:color w:val="000000" w:themeColor="text1"/>
                <w:sz w:val="16"/>
                <w:szCs w:val="16"/>
                <w:lang w:val="es"/>
              </w:rPr>
              <w:t xml:space="preserve">  </w:t>
            </w:r>
          </w:p>
        </w:tc>
      </w:tr>
      <w:tr w:rsidR="75B02D90" w:rsidRPr="00B710A9" w14:paraId="79D9945E" w14:textId="77777777" w:rsidTr="0022083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05" w:type="dxa"/>
          </w:tcPr>
          <w:p w14:paraId="1CD027AF" w14:textId="7C2310A8" w:rsidR="75B02D90" w:rsidRPr="00B710A9" w:rsidRDefault="75B02D90" w:rsidP="75B02D90">
            <w:pPr>
              <w:jc w:val="center"/>
              <w:rPr>
                <w:rFonts w:ascii="Arial" w:eastAsia="Arial" w:hAnsi="Arial" w:cs="Arial"/>
                <w:b w:val="0"/>
                <w:color w:val="000000" w:themeColor="text1"/>
                <w:sz w:val="16"/>
                <w:szCs w:val="16"/>
                <w:lang w:val="es"/>
              </w:rPr>
            </w:pPr>
            <w:r w:rsidRPr="00B710A9">
              <w:rPr>
                <w:rFonts w:ascii="Arial" w:eastAsia="Arial" w:hAnsi="Arial" w:cs="Arial"/>
                <w:color w:val="000000" w:themeColor="text1"/>
                <w:sz w:val="16"/>
                <w:szCs w:val="16"/>
                <w:lang w:val="es"/>
              </w:rPr>
              <w:t xml:space="preserve">5 </w:t>
            </w:r>
          </w:p>
        </w:tc>
        <w:tc>
          <w:tcPr>
            <w:tcW w:w="1800" w:type="dxa"/>
          </w:tcPr>
          <w:p w14:paraId="0593A3C3" w14:textId="2EA78190"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Casanare  </w:t>
            </w:r>
          </w:p>
        </w:tc>
        <w:tc>
          <w:tcPr>
            <w:tcW w:w="1890" w:type="dxa"/>
          </w:tcPr>
          <w:p w14:paraId="3A4F31F3" w14:textId="22C29B95"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Trinidad  </w:t>
            </w:r>
          </w:p>
        </w:tc>
        <w:tc>
          <w:tcPr>
            <w:tcW w:w="690" w:type="dxa"/>
          </w:tcPr>
          <w:p w14:paraId="76CDD8B6" w14:textId="419A0DEE"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b/>
                <w:color w:val="000000" w:themeColor="text1"/>
                <w:sz w:val="16"/>
                <w:szCs w:val="16"/>
                <w:lang w:val="es"/>
              </w:rPr>
              <w:t>10</w:t>
            </w:r>
            <w:r w:rsidRPr="00B710A9">
              <w:rPr>
                <w:rFonts w:ascii="Arial" w:eastAsia="Arial" w:hAnsi="Arial" w:cs="Arial"/>
                <w:color w:val="000000" w:themeColor="text1"/>
                <w:sz w:val="16"/>
                <w:szCs w:val="16"/>
                <w:lang w:val="es"/>
              </w:rPr>
              <w:t xml:space="preserve"> </w:t>
            </w:r>
          </w:p>
        </w:tc>
        <w:tc>
          <w:tcPr>
            <w:tcW w:w="1800" w:type="dxa"/>
          </w:tcPr>
          <w:p w14:paraId="1537AA0B" w14:textId="1964FE9B"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r w:rsidRPr="00B710A9">
              <w:rPr>
                <w:rFonts w:ascii="Arial" w:eastAsia="Arial" w:hAnsi="Arial" w:cs="Arial"/>
                <w:color w:val="000000" w:themeColor="text1"/>
                <w:sz w:val="16"/>
                <w:szCs w:val="16"/>
                <w:lang w:val="es"/>
              </w:rPr>
              <w:t xml:space="preserve">Vaupés  </w:t>
            </w:r>
          </w:p>
        </w:tc>
        <w:tc>
          <w:tcPr>
            <w:tcW w:w="1890" w:type="dxa"/>
          </w:tcPr>
          <w:p w14:paraId="57E5A4A8" w14:textId="5F0B5621" w:rsidR="75B02D90" w:rsidRPr="00B710A9" w:rsidRDefault="75B02D90" w:rsidP="75B02D9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6"/>
                <w:szCs w:val="16"/>
                <w:lang w:val="es"/>
              </w:rPr>
            </w:pPr>
            <w:proofErr w:type="spellStart"/>
            <w:r w:rsidRPr="00B710A9">
              <w:rPr>
                <w:rFonts w:ascii="Arial" w:eastAsia="Arial" w:hAnsi="Arial" w:cs="Arial"/>
                <w:color w:val="000000" w:themeColor="text1"/>
                <w:sz w:val="16"/>
                <w:szCs w:val="16"/>
                <w:lang w:val="es"/>
              </w:rPr>
              <w:t>Papunaua</w:t>
            </w:r>
            <w:proofErr w:type="spellEnd"/>
            <w:r w:rsidRPr="00B710A9">
              <w:rPr>
                <w:rFonts w:ascii="Arial" w:eastAsia="Arial" w:hAnsi="Arial" w:cs="Arial"/>
                <w:color w:val="000000" w:themeColor="text1"/>
                <w:sz w:val="16"/>
                <w:szCs w:val="16"/>
                <w:lang w:val="es"/>
              </w:rPr>
              <w:t xml:space="preserve"> </w:t>
            </w:r>
          </w:p>
        </w:tc>
      </w:tr>
    </w:tbl>
    <w:p w14:paraId="4B6D7955" w14:textId="4B8BE158" w:rsidR="13D13739" w:rsidRPr="00B710A9" w:rsidRDefault="75B02D90" w:rsidP="009D279A">
      <w:pPr>
        <w:spacing w:after="0" w:line="240" w:lineRule="auto"/>
        <w:jc w:val="both"/>
        <w:rPr>
          <w:rFonts w:ascii="Arial" w:eastAsia="Arial" w:hAnsi="Arial" w:cs="Arial"/>
          <w:b/>
          <w:color w:val="000000" w:themeColor="text1"/>
          <w:sz w:val="22"/>
          <w:szCs w:val="22"/>
          <w:lang w:val="es"/>
        </w:rPr>
      </w:pPr>
      <w:r w:rsidRPr="00B710A9">
        <w:rPr>
          <w:rFonts w:ascii="Arial" w:eastAsia="Arial" w:hAnsi="Arial" w:cs="Arial"/>
          <w:b/>
          <w:color w:val="000000" w:themeColor="text1"/>
          <w:sz w:val="22"/>
          <w:szCs w:val="22"/>
          <w:lang w:val="es"/>
        </w:rPr>
        <w:t xml:space="preserve"> </w:t>
      </w:r>
    </w:p>
    <w:p w14:paraId="374B4312" w14:textId="29987A88" w:rsidR="13D13739" w:rsidRPr="00B710A9" w:rsidRDefault="75B02D90" w:rsidP="75B02D90">
      <w:pPr>
        <w:spacing w:after="0" w:line="240" w:lineRule="auto"/>
        <w:jc w:val="center"/>
        <w:rPr>
          <w:rFonts w:ascii="Arial" w:eastAsia="Arial" w:hAnsi="Arial" w:cs="Arial"/>
          <w:b/>
          <w:color w:val="000000" w:themeColor="text1"/>
          <w:sz w:val="16"/>
          <w:szCs w:val="16"/>
          <w:lang w:val="es-MX"/>
        </w:rPr>
      </w:pPr>
      <w:r w:rsidRPr="00B710A9">
        <w:rPr>
          <w:rFonts w:ascii="Arial" w:eastAsia="Arial" w:hAnsi="Arial" w:cs="Arial"/>
          <w:b/>
          <w:color w:val="000000" w:themeColor="text1"/>
          <w:sz w:val="16"/>
          <w:szCs w:val="16"/>
          <w:lang w:val="es-MX"/>
        </w:rPr>
        <w:t>Fuente: IGAC. Subdirección de Agrología</w:t>
      </w:r>
    </w:p>
    <w:p w14:paraId="345B866D" w14:textId="5DB23D63" w:rsidR="13D13739" w:rsidRPr="00B710A9" w:rsidRDefault="13D13739" w:rsidP="75B02D90">
      <w:pPr>
        <w:spacing w:after="0" w:line="240" w:lineRule="auto"/>
        <w:jc w:val="both"/>
        <w:rPr>
          <w:rFonts w:ascii="Arial" w:eastAsia="Arial" w:hAnsi="Arial" w:cs="Arial"/>
          <w:color w:val="000000" w:themeColor="text1"/>
          <w:lang w:val="es"/>
        </w:rPr>
      </w:pPr>
    </w:p>
    <w:p w14:paraId="2389CA5B" w14:textId="7816E8D8" w:rsidR="13D13739" w:rsidRPr="00B710A9" w:rsidRDefault="75B02D90" w:rsidP="009D279A">
      <w:pPr>
        <w:spacing w:after="0" w:line="240" w:lineRule="auto"/>
        <w:jc w:val="both"/>
        <w:rPr>
          <w:rFonts w:ascii="Arial" w:eastAsia="Arial" w:hAnsi="Arial" w:cs="Arial"/>
          <w:color w:val="000000" w:themeColor="text1"/>
          <w:sz w:val="22"/>
          <w:szCs w:val="22"/>
          <w:u w:val="single"/>
        </w:rPr>
      </w:pPr>
      <w:r w:rsidRPr="00B710A9">
        <w:rPr>
          <w:rFonts w:ascii="Arial" w:eastAsia="Arial" w:hAnsi="Arial" w:cs="Arial"/>
          <w:b/>
          <w:color w:val="000000" w:themeColor="text1"/>
          <w:sz w:val="22"/>
          <w:szCs w:val="22"/>
          <w:u w:val="single"/>
        </w:rPr>
        <w:t>Potencial de uso de las Tierras</w:t>
      </w:r>
      <w:r w:rsidRPr="00B710A9">
        <w:rPr>
          <w:rFonts w:ascii="Arial" w:eastAsia="Arial" w:hAnsi="Arial" w:cs="Arial"/>
          <w:b/>
          <w:bCs/>
          <w:color w:val="000000" w:themeColor="text1"/>
          <w:sz w:val="22"/>
          <w:szCs w:val="22"/>
        </w:rPr>
        <w:t xml:space="preserve"> </w:t>
      </w:r>
      <w:r w:rsidRPr="00B710A9">
        <w:rPr>
          <w:rFonts w:ascii="Arial" w:eastAsia="Arial" w:hAnsi="Arial" w:cs="Arial"/>
          <w:color w:val="000000" w:themeColor="text1"/>
          <w:sz w:val="22"/>
          <w:szCs w:val="22"/>
        </w:rPr>
        <w:t xml:space="preserve"> </w:t>
      </w:r>
    </w:p>
    <w:p w14:paraId="5AD3A54F" w14:textId="021CAA65" w:rsidR="13D13739" w:rsidRPr="00B710A9" w:rsidRDefault="75B02D90"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 </w:t>
      </w:r>
    </w:p>
    <w:p w14:paraId="79A67D0A" w14:textId="51AD25AB" w:rsidR="13D13739" w:rsidRPr="00B710A9" w:rsidRDefault="75B02D90"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Como apoyo al cálculo de renta para los avalúos rurales, en el año 2021 se generó un nuevo producto agrológico el cual se denominó potencial de uso. Este evalúa las tierras en condiciones naturales, para el desarrollo de especies vegetales, a partir de la información de las áreas homogéneas de tierra (AHT) que representan superficies con características similares de suelo, clima y relieve, que permiten orientar usos específicos.  </w:t>
      </w:r>
    </w:p>
    <w:p w14:paraId="6B4EF251" w14:textId="458BAC0F" w:rsidR="13D13739" w:rsidRPr="00B710A9" w:rsidRDefault="75B02D90"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  </w:t>
      </w:r>
    </w:p>
    <w:p w14:paraId="3AB55FF3" w14:textId="43A5CDF9" w:rsidR="13D13739" w:rsidRPr="00B710A9" w:rsidRDefault="75B02D90" w:rsidP="009D279A">
      <w:pPr>
        <w:spacing w:after="0" w:line="240" w:lineRule="auto"/>
        <w:jc w:val="both"/>
        <w:rPr>
          <w:rFonts w:ascii="Arial" w:eastAsia="Arial" w:hAnsi="Arial" w:cs="Arial"/>
          <w:sz w:val="22"/>
          <w:szCs w:val="22"/>
        </w:rPr>
      </w:pPr>
      <w:r w:rsidRPr="00B710A9">
        <w:rPr>
          <w:rFonts w:ascii="Arial" w:eastAsia="Arial" w:hAnsi="Arial" w:cs="Arial"/>
          <w:sz w:val="22"/>
          <w:szCs w:val="22"/>
        </w:rPr>
        <w:t xml:space="preserve">Con relación a este insumo agrológico en el año 2021 se elaboraron ciento treinta y uno (131) municipios con un área de 35.798.913 ha y para el año 2022 se han generado veintisiete (27) municipios equivalentes a 18.775.460 ha (origen nacional).  </w:t>
      </w:r>
    </w:p>
    <w:p w14:paraId="3A303876" w14:textId="6B8674D6" w:rsidR="13D13739" w:rsidRPr="00B710A9" w:rsidRDefault="13D13739" w:rsidP="75B02D90">
      <w:pPr>
        <w:spacing w:after="0" w:line="240" w:lineRule="auto"/>
        <w:jc w:val="both"/>
        <w:rPr>
          <w:rFonts w:ascii="Arial" w:eastAsia="Arial" w:hAnsi="Arial" w:cs="Arial"/>
        </w:rPr>
      </w:pPr>
    </w:p>
    <w:p w14:paraId="3D50827B" w14:textId="008A5B07" w:rsidR="13D13739" w:rsidRPr="00B710A9" w:rsidRDefault="13D13739" w:rsidP="75B02D90">
      <w:pPr>
        <w:spacing w:after="0" w:line="240" w:lineRule="auto"/>
        <w:jc w:val="both"/>
        <w:rPr>
          <w:rFonts w:ascii="Arial" w:eastAsia="Arial" w:hAnsi="Arial" w:cs="Arial"/>
          <w:b/>
          <w:color w:val="000000" w:themeColor="text1"/>
          <w:u w:val="single"/>
          <w:lang w:val="es"/>
        </w:rPr>
      </w:pPr>
    </w:p>
    <w:p w14:paraId="79280DDB" w14:textId="527E3097" w:rsidR="13D13739" w:rsidRPr="00B710A9" w:rsidRDefault="008E245A" w:rsidP="009D279A">
      <w:pPr>
        <w:spacing w:after="0" w:line="240" w:lineRule="auto"/>
        <w:jc w:val="both"/>
        <w:rPr>
          <w:rFonts w:ascii="Arial" w:eastAsia="Arial" w:hAnsi="Arial" w:cs="Arial"/>
          <w:b/>
          <w:color w:val="000000" w:themeColor="text1"/>
          <w:sz w:val="22"/>
          <w:szCs w:val="22"/>
          <w:u w:val="single"/>
          <w:lang w:val="es"/>
        </w:rPr>
      </w:pPr>
      <w:r w:rsidRPr="00B710A9">
        <w:rPr>
          <w:rFonts w:ascii="Arial" w:eastAsia="Arial" w:hAnsi="Arial" w:cs="Arial"/>
          <w:b/>
          <w:color w:val="000000" w:themeColor="text1"/>
          <w:sz w:val="22"/>
          <w:szCs w:val="22"/>
          <w:u w:val="single"/>
          <w:lang w:val="es"/>
        </w:rPr>
        <w:t>Información de clases agrológicas</w:t>
      </w:r>
    </w:p>
    <w:p w14:paraId="5CF2F08C" w14:textId="7A2F0AEC" w:rsidR="13D13739" w:rsidRPr="00B710A9" w:rsidRDefault="75B02D90" w:rsidP="009D279A">
      <w:pPr>
        <w:spacing w:after="0" w:line="240" w:lineRule="auto"/>
        <w:jc w:val="both"/>
        <w:rPr>
          <w:rFonts w:ascii="Arial" w:eastAsia="Arial" w:hAnsi="Arial" w:cs="Arial"/>
          <w:b/>
          <w:color w:val="000000" w:themeColor="text1"/>
          <w:u w:val="single"/>
          <w:lang w:val="es"/>
        </w:rPr>
      </w:pPr>
      <w:r w:rsidRPr="00B710A9">
        <w:rPr>
          <w:rFonts w:ascii="Arial" w:eastAsia="Arial" w:hAnsi="Arial" w:cs="Arial"/>
          <w:b/>
          <w:color w:val="000000" w:themeColor="text1"/>
          <w:u w:val="single"/>
          <w:lang w:val="es"/>
        </w:rPr>
        <w:t xml:space="preserve"> </w:t>
      </w:r>
    </w:p>
    <w:p w14:paraId="18154DCE" w14:textId="78E646DB"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Desde la Subdirección de Agrología, se lleva a cabo la atención de solicitudes sobre clases agrológicas que consiste en informar al usuario que lo requiera la capacidad de uso de las tierras de un predio determinado de acuerdo con el procedimiento establecido, este producto se obtiene a partir de la información disponible y vigente.      </w:t>
      </w:r>
    </w:p>
    <w:p w14:paraId="0956DE25" w14:textId="575B102F"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  </w:t>
      </w:r>
    </w:p>
    <w:p w14:paraId="73E33598" w14:textId="7FE7129B"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lastRenderedPageBreak/>
        <w:t xml:space="preserve">Las solicitudes atendidas para el periodo 2019 a 30 de junio de 2022 en total son 394 solicitudes relacionadas con información de clases agrológicas y referentes a uso del suelo, entre las cuales se encuentran derechos de petición, comprobación de clases agrológicas, solicitudes por medio de mensajes de correo electrónico, entre otros.  </w:t>
      </w:r>
    </w:p>
    <w:p w14:paraId="7503113C" w14:textId="29ED54E8" w:rsidR="13D13739" w:rsidRPr="00B710A9" w:rsidRDefault="75B02D90" w:rsidP="009D279A">
      <w:pPr>
        <w:spacing w:after="0" w:line="240" w:lineRule="auto"/>
        <w:jc w:val="both"/>
      </w:pPr>
      <w:r w:rsidRPr="00B710A9">
        <w:rPr>
          <w:rFonts w:ascii="Arial" w:eastAsia="Arial" w:hAnsi="Arial" w:cs="Arial"/>
          <w:color w:val="000000" w:themeColor="text1"/>
          <w:sz w:val="22"/>
          <w:szCs w:val="22"/>
          <w:lang w:val="es"/>
        </w:rPr>
        <w:t xml:space="preserve"> </w:t>
      </w:r>
    </w:p>
    <w:p w14:paraId="59066EFC" w14:textId="61217658" w:rsidR="008450B1" w:rsidRPr="00B710A9" w:rsidRDefault="008450B1" w:rsidP="008450B1">
      <w:pPr>
        <w:pStyle w:val="Descripcin"/>
        <w:keepNext/>
        <w:jc w:val="center"/>
        <w:rPr>
          <w:rFonts w:ascii="Arial" w:hAnsi="Arial" w:cs="Arial"/>
          <w:b/>
          <w:bCs/>
          <w:i w:val="0"/>
          <w:iCs w:val="0"/>
          <w:color w:val="auto"/>
          <w:sz w:val="16"/>
          <w:szCs w:val="16"/>
        </w:rPr>
      </w:pPr>
      <w:bookmarkStart w:id="12" w:name="_Toc109057737"/>
      <w:r w:rsidRPr="00B710A9">
        <w:rPr>
          <w:rFonts w:ascii="Arial" w:hAnsi="Arial" w:cs="Arial"/>
          <w:b/>
          <w:bCs/>
          <w:i w:val="0"/>
          <w:iCs w:val="0"/>
          <w:color w:val="auto"/>
          <w:sz w:val="16"/>
          <w:szCs w:val="16"/>
        </w:rPr>
        <w:t xml:space="preserve">Tabla </w:t>
      </w:r>
      <w:r w:rsidRPr="00B710A9">
        <w:rPr>
          <w:rFonts w:ascii="Arial" w:hAnsi="Arial" w:cs="Arial"/>
          <w:b/>
          <w:bCs/>
          <w:i w:val="0"/>
          <w:iCs w:val="0"/>
          <w:color w:val="auto"/>
          <w:sz w:val="16"/>
          <w:szCs w:val="16"/>
        </w:rPr>
        <w:fldChar w:fldCharType="begin"/>
      </w:r>
      <w:r w:rsidRPr="00B710A9">
        <w:rPr>
          <w:rFonts w:ascii="Arial" w:hAnsi="Arial" w:cs="Arial"/>
          <w:b/>
          <w:bCs/>
          <w:i w:val="0"/>
          <w:iCs w:val="0"/>
          <w:color w:val="auto"/>
          <w:sz w:val="16"/>
          <w:szCs w:val="16"/>
        </w:rPr>
        <w:instrText xml:space="preserve"> SEQ Tabla \* ARABIC </w:instrText>
      </w:r>
      <w:r w:rsidRPr="00B710A9">
        <w:rPr>
          <w:rFonts w:ascii="Arial" w:hAnsi="Arial" w:cs="Arial"/>
          <w:b/>
          <w:bCs/>
          <w:i w:val="0"/>
          <w:iCs w:val="0"/>
          <w:color w:val="auto"/>
          <w:sz w:val="16"/>
          <w:szCs w:val="16"/>
        </w:rPr>
        <w:fldChar w:fldCharType="separate"/>
      </w:r>
      <w:r w:rsidR="00801DF8" w:rsidRPr="00B710A9">
        <w:rPr>
          <w:rFonts w:ascii="Arial" w:hAnsi="Arial" w:cs="Arial"/>
          <w:b/>
          <w:bCs/>
          <w:i w:val="0"/>
          <w:iCs w:val="0"/>
          <w:noProof/>
          <w:color w:val="auto"/>
          <w:sz w:val="16"/>
          <w:szCs w:val="16"/>
        </w:rPr>
        <w:t>7</w:t>
      </w:r>
      <w:r w:rsidRPr="00B710A9">
        <w:rPr>
          <w:rFonts w:ascii="Arial" w:hAnsi="Arial" w:cs="Arial"/>
          <w:b/>
          <w:bCs/>
          <w:i w:val="0"/>
          <w:iCs w:val="0"/>
          <w:color w:val="auto"/>
          <w:sz w:val="16"/>
          <w:szCs w:val="16"/>
        </w:rPr>
        <w:fldChar w:fldCharType="end"/>
      </w:r>
      <w:r w:rsidRPr="00B710A9">
        <w:rPr>
          <w:rFonts w:ascii="Arial" w:hAnsi="Arial" w:cs="Arial"/>
          <w:b/>
          <w:bCs/>
          <w:i w:val="0"/>
          <w:iCs w:val="0"/>
          <w:color w:val="auto"/>
          <w:sz w:val="16"/>
          <w:szCs w:val="16"/>
        </w:rPr>
        <w:t>. Solicitudes sobre clases agrológicas atendidas 2019 – 2022</w:t>
      </w:r>
      <w:bookmarkEnd w:id="12"/>
    </w:p>
    <w:tbl>
      <w:tblPr>
        <w:tblStyle w:val="Tablaconcuadrcula4-nfasis1"/>
        <w:tblW w:w="8108" w:type="dxa"/>
        <w:jc w:val="center"/>
        <w:tblLayout w:type="fixed"/>
        <w:tblLook w:val="04A0" w:firstRow="1" w:lastRow="0" w:firstColumn="1" w:lastColumn="0" w:noHBand="0" w:noVBand="1"/>
      </w:tblPr>
      <w:tblGrid>
        <w:gridCol w:w="4054"/>
        <w:gridCol w:w="4054"/>
      </w:tblGrid>
      <w:tr w:rsidR="75B02D90" w:rsidRPr="00B710A9" w14:paraId="69A96892" w14:textId="77777777" w:rsidTr="00024431">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4054" w:type="dxa"/>
            <w:tcBorders>
              <w:top w:val="single" w:sz="8" w:space="0" w:color="4F81BD"/>
              <w:left w:val="single" w:sz="8" w:space="0" w:color="4F81BD"/>
              <w:bottom w:val="single" w:sz="8" w:space="0" w:color="4F81BD"/>
            </w:tcBorders>
            <w:shd w:val="clear" w:color="auto" w:fill="4F81BD"/>
          </w:tcPr>
          <w:p w14:paraId="538FD3A0" w14:textId="710B8424" w:rsidR="75B02D90" w:rsidRPr="00B710A9" w:rsidRDefault="75B02D90" w:rsidP="75B02D90">
            <w:pPr>
              <w:jc w:val="center"/>
              <w:rPr>
                <w:sz w:val="18"/>
                <w:szCs w:val="18"/>
              </w:rPr>
            </w:pPr>
            <w:r w:rsidRPr="00B710A9">
              <w:rPr>
                <w:rFonts w:ascii="Arial" w:eastAsia="Arial" w:hAnsi="Arial" w:cs="Arial"/>
                <w:sz w:val="18"/>
                <w:szCs w:val="18"/>
                <w:lang w:val="es"/>
              </w:rPr>
              <w:t xml:space="preserve">Vigencia /  </w:t>
            </w:r>
          </w:p>
          <w:p w14:paraId="71C4E6F9" w14:textId="611F15E9" w:rsidR="75B02D90" w:rsidRPr="00B710A9" w:rsidRDefault="75B02D90" w:rsidP="75B02D90">
            <w:pPr>
              <w:jc w:val="center"/>
              <w:rPr>
                <w:sz w:val="18"/>
                <w:szCs w:val="18"/>
              </w:rPr>
            </w:pPr>
            <w:r w:rsidRPr="00B710A9">
              <w:rPr>
                <w:rFonts w:ascii="Arial" w:eastAsia="Arial" w:hAnsi="Arial" w:cs="Arial"/>
                <w:sz w:val="18"/>
                <w:szCs w:val="18"/>
                <w:lang w:val="es"/>
              </w:rPr>
              <w:t xml:space="preserve">solicitudes  </w:t>
            </w:r>
          </w:p>
        </w:tc>
        <w:tc>
          <w:tcPr>
            <w:tcW w:w="4054" w:type="dxa"/>
            <w:tcBorders>
              <w:top w:val="single" w:sz="8" w:space="0" w:color="4F81BD"/>
              <w:bottom w:val="single" w:sz="8" w:space="0" w:color="4F81BD"/>
              <w:right w:val="single" w:sz="8" w:space="0" w:color="4F81BD"/>
            </w:tcBorders>
            <w:shd w:val="clear" w:color="auto" w:fill="4F81BD"/>
          </w:tcPr>
          <w:p w14:paraId="3B6907FB" w14:textId="5E65F429" w:rsidR="75B02D90" w:rsidRPr="00B710A9" w:rsidRDefault="75B02D90" w:rsidP="75B02D90">
            <w:pPr>
              <w:jc w:val="center"/>
              <w:cnfStyle w:val="100000000000" w:firstRow="1" w:lastRow="0" w:firstColumn="0" w:lastColumn="0" w:oddVBand="0" w:evenVBand="0" w:oddHBand="0" w:evenHBand="0" w:firstRowFirstColumn="0" w:firstRowLastColumn="0" w:lastRowFirstColumn="0" w:lastRowLastColumn="0"/>
              <w:rPr>
                <w:sz w:val="18"/>
                <w:szCs w:val="18"/>
              </w:rPr>
            </w:pPr>
            <w:r w:rsidRPr="00B710A9">
              <w:rPr>
                <w:rFonts w:ascii="Arial" w:eastAsia="Arial" w:hAnsi="Arial" w:cs="Arial"/>
                <w:sz w:val="18"/>
                <w:szCs w:val="18"/>
                <w:lang w:val="es"/>
              </w:rPr>
              <w:t xml:space="preserve">Información de  </w:t>
            </w:r>
          </w:p>
          <w:p w14:paraId="65E5684B" w14:textId="6CAF5249" w:rsidR="75B02D90" w:rsidRPr="00B710A9" w:rsidRDefault="75B02D90" w:rsidP="75B02D90">
            <w:pPr>
              <w:jc w:val="center"/>
              <w:cnfStyle w:val="100000000000" w:firstRow="1" w:lastRow="0" w:firstColumn="0" w:lastColumn="0" w:oddVBand="0" w:evenVBand="0" w:oddHBand="0" w:evenHBand="0" w:firstRowFirstColumn="0" w:firstRowLastColumn="0" w:lastRowFirstColumn="0" w:lastRowLastColumn="0"/>
              <w:rPr>
                <w:sz w:val="18"/>
                <w:szCs w:val="18"/>
              </w:rPr>
            </w:pPr>
            <w:r w:rsidRPr="00B710A9">
              <w:rPr>
                <w:rFonts w:ascii="Arial" w:eastAsia="Arial" w:hAnsi="Arial" w:cs="Arial"/>
                <w:sz w:val="18"/>
                <w:szCs w:val="18"/>
                <w:lang w:val="es"/>
              </w:rPr>
              <w:t xml:space="preserve"> Clases Agrológicas  </w:t>
            </w:r>
          </w:p>
        </w:tc>
      </w:tr>
      <w:tr w:rsidR="75B02D90" w:rsidRPr="00B710A9" w14:paraId="167278ED" w14:textId="77777777" w:rsidTr="00024431">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054" w:type="dxa"/>
            <w:tcBorders>
              <w:top w:val="single" w:sz="8" w:space="0" w:color="4F81BD"/>
              <w:left w:val="single" w:sz="8" w:space="0" w:color="95B3D7"/>
              <w:bottom w:val="single" w:sz="8" w:space="0" w:color="95B3D7"/>
              <w:right w:val="single" w:sz="8" w:space="0" w:color="95B3D7"/>
            </w:tcBorders>
            <w:shd w:val="clear" w:color="auto" w:fill="DBE5F1"/>
          </w:tcPr>
          <w:p w14:paraId="69A04D97" w14:textId="632F6053" w:rsidR="75B02D90" w:rsidRPr="00B710A9" w:rsidRDefault="75B02D90" w:rsidP="75B02D90">
            <w:pPr>
              <w:jc w:val="center"/>
              <w:rPr>
                <w:sz w:val="18"/>
                <w:szCs w:val="18"/>
              </w:rPr>
            </w:pPr>
            <w:r w:rsidRPr="00B710A9">
              <w:rPr>
                <w:rFonts w:ascii="Arial" w:eastAsia="Arial" w:hAnsi="Arial" w:cs="Arial"/>
                <w:color w:val="000000" w:themeColor="text1"/>
                <w:sz w:val="18"/>
                <w:szCs w:val="18"/>
                <w:lang w:val="es"/>
              </w:rPr>
              <w:t xml:space="preserve">2019  </w:t>
            </w:r>
          </w:p>
        </w:tc>
        <w:tc>
          <w:tcPr>
            <w:tcW w:w="4054" w:type="dxa"/>
            <w:tcBorders>
              <w:top w:val="single" w:sz="8" w:space="0" w:color="4F81BD"/>
              <w:left w:val="single" w:sz="8" w:space="0" w:color="95B3D7"/>
              <w:bottom w:val="single" w:sz="8" w:space="0" w:color="95B3D7"/>
              <w:right w:val="single" w:sz="8" w:space="0" w:color="95B3D7"/>
            </w:tcBorders>
            <w:shd w:val="clear" w:color="auto" w:fill="DBE5F1"/>
          </w:tcPr>
          <w:p w14:paraId="5379C015" w14:textId="11D74355"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10A9">
              <w:rPr>
                <w:rFonts w:ascii="Arial" w:eastAsia="Arial" w:hAnsi="Arial" w:cs="Arial"/>
                <w:color w:val="000000" w:themeColor="text1"/>
                <w:sz w:val="18"/>
                <w:szCs w:val="18"/>
                <w:lang w:val="es"/>
              </w:rPr>
              <w:t xml:space="preserve">260  </w:t>
            </w:r>
          </w:p>
        </w:tc>
      </w:tr>
      <w:tr w:rsidR="75B02D90" w:rsidRPr="00B710A9" w14:paraId="15DCFDD4" w14:textId="77777777" w:rsidTr="00024431">
        <w:trPr>
          <w:trHeight w:val="64"/>
          <w:jc w:val="center"/>
        </w:trPr>
        <w:tc>
          <w:tcPr>
            <w:cnfStyle w:val="001000000000" w:firstRow="0" w:lastRow="0" w:firstColumn="1" w:lastColumn="0" w:oddVBand="0" w:evenVBand="0" w:oddHBand="0" w:evenHBand="0" w:firstRowFirstColumn="0" w:firstRowLastColumn="0" w:lastRowFirstColumn="0" w:lastRowLastColumn="0"/>
            <w:tcW w:w="4054" w:type="dxa"/>
            <w:tcBorders>
              <w:top w:val="single" w:sz="8" w:space="0" w:color="95B3D7"/>
              <w:left w:val="single" w:sz="8" w:space="0" w:color="95B3D7"/>
              <w:bottom w:val="single" w:sz="8" w:space="0" w:color="95B3D7"/>
              <w:right w:val="single" w:sz="8" w:space="0" w:color="95B3D7"/>
            </w:tcBorders>
          </w:tcPr>
          <w:p w14:paraId="3250A70A" w14:textId="2E60D82B" w:rsidR="75B02D90" w:rsidRPr="00B710A9" w:rsidRDefault="75B02D90" w:rsidP="75B02D90">
            <w:pPr>
              <w:jc w:val="center"/>
              <w:rPr>
                <w:sz w:val="18"/>
                <w:szCs w:val="18"/>
              </w:rPr>
            </w:pPr>
            <w:r w:rsidRPr="00B710A9">
              <w:rPr>
                <w:rFonts w:ascii="Arial" w:eastAsia="Arial" w:hAnsi="Arial" w:cs="Arial"/>
                <w:color w:val="000000" w:themeColor="text1"/>
                <w:sz w:val="18"/>
                <w:szCs w:val="18"/>
                <w:lang w:val="es"/>
              </w:rPr>
              <w:t xml:space="preserve">2020  </w:t>
            </w:r>
          </w:p>
        </w:tc>
        <w:tc>
          <w:tcPr>
            <w:tcW w:w="4054" w:type="dxa"/>
            <w:tcBorders>
              <w:top w:val="single" w:sz="8" w:space="0" w:color="95B3D7"/>
              <w:left w:val="single" w:sz="8" w:space="0" w:color="95B3D7"/>
              <w:bottom w:val="single" w:sz="8" w:space="0" w:color="95B3D7"/>
              <w:right w:val="single" w:sz="8" w:space="0" w:color="95B3D7"/>
            </w:tcBorders>
          </w:tcPr>
          <w:p w14:paraId="6AC02C90" w14:textId="4E0E2F90"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710A9">
              <w:rPr>
                <w:rFonts w:ascii="Arial" w:eastAsia="Arial" w:hAnsi="Arial" w:cs="Arial"/>
                <w:color w:val="000000" w:themeColor="text1"/>
                <w:sz w:val="18"/>
                <w:szCs w:val="18"/>
                <w:lang w:val="es"/>
              </w:rPr>
              <w:t xml:space="preserve">37  </w:t>
            </w:r>
          </w:p>
        </w:tc>
      </w:tr>
      <w:tr w:rsidR="75B02D90" w:rsidRPr="00B710A9" w14:paraId="6695DFCA" w14:textId="77777777" w:rsidTr="00024431">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4054" w:type="dxa"/>
            <w:tcBorders>
              <w:top w:val="single" w:sz="8" w:space="0" w:color="95B3D7"/>
              <w:left w:val="single" w:sz="8" w:space="0" w:color="95B3D7"/>
              <w:bottom w:val="single" w:sz="8" w:space="0" w:color="95B3D7"/>
              <w:right w:val="single" w:sz="8" w:space="0" w:color="95B3D7"/>
            </w:tcBorders>
            <w:shd w:val="clear" w:color="auto" w:fill="DBE5F1"/>
          </w:tcPr>
          <w:p w14:paraId="69F21DE1" w14:textId="544F097D" w:rsidR="75B02D90" w:rsidRPr="00B710A9" w:rsidRDefault="75B02D90" w:rsidP="75B02D90">
            <w:pPr>
              <w:jc w:val="center"/>
              <w:rPr>
                <w:sz w:val="18"/>
                <w:szCs w:val="18"/>
              </w:rPr>
            </w:pPr>
            <w:r w:rsidRPr="00B710A9">
              <w:rPr>
                <w:rFonts w:ascii="Arial" w:eastAsia="Arial" w:hAnsi="Arial" w:cs="Arial"/>
                <w:color w:val="000000" w:themeColor="text1"/>
                <w:sz w:val="18"/>
                <w:szCs w:val="18"/>
                <w:lang w:val="es"/>
              </w:rPr>
              <w:t xml:space="preserve">2021  </w:t>
            </w:r>
          </w:p>
        </w:tc>
        <w:tc>
          <w:tcPr>
            <w:tcW w:w="4054" w:type="dxa"/>
            <w:tcBorders>
              <w:top w:val="single" w:sz="8" w:space="0" w:color="95B3D7"/>
              <w:left w:val="single" w:sz="8" w:space="0" w:color="95B3D7"/>
              <w:bottom w:val="single" w:sz="8" w:space="0" w:color="95B3D7"/>
              <w:right w:val="single" w:sz="8" w:space="0" w:color="95B3D7"/>
            </w:tcBorders>
            <w:shd w:val="clear" w:color="auto" w:fill="DBE5F1"/>
          </w:tcPr>
          <w:p w14:paraId="602DCBF4" w14:textId="3E53DCA1" w:rsidR="75B02D90" w:rsidRPr="00B710A9" w:rsidRDefault="75B02D90" w:rsidP="75B02D9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10A9">
              <w:rPr>
                <w:rFonts w:ascii="Arial" w:eastAsia="Arial" w:hAnsi="Arial" w:cs="Arial"/>
                <w:color w:val="000000" w:themeColor="text1"/>
                <w:sz w:val="18"/>
                <w:szCs w:val="18"/>
                <w:lang w:val="es"/>
              </w:rPr>
              <w:t xml:space="preserve">65  </w:t>
            </w:r>
          </w:p>
        </w:tc>
      </w:tr>
      <w:tr w:rsidR="75B02D90" w:rsidRPr="00B710A9" w14:paraId="051501ED" w14:textId="77777777" w:rsidTr="00024431">
        <w:trPr>
          <w:trHeight w:val="177"/>
          <w:jc w:val="center"/>
        </w:trPr>
        <w:tc>
          <w:tcPr>
            <w:cnfStyle w:val="001000000000" w:firstRow="0" w:lastRow="0" w:firstColumn="1" w:lastColumn="0" w:oddVBand="0" w:evenVBand="0" w:oddHBand="0" w:evenHBand="0" w:firstRowFirstColumn="0" w:firstRowLastColumn="0" w:lastRowFirstColumn="0" w:lastRowLastColumn="0"/>
            <w:tcW w:w="4054" w:type="dxa"/>
            <w:tcBorders>
              <w:top w:val="single" w:sz="8" w:space="0" w:color="95B3D7"/>
              <w:left w:val="single" w:sz="8" w:space="0" w:color="95B3D7"/>
              <w:bottom w:val="single" w:sz="8" w:space="0" w:color="95B3D7"/>
              <w:right w:val="single" w:sz="8" w:space="0" w:color="95B3D7"/>
            </w:tcBorders>
          </w:tcPr>
          <w:p w14:paraId="3EB37BF1" w14:textId="50807CF2" w:rsidR="75B02D90" w:rsidRPr="00B710A9" w:rsidRDefault="75B02D90" w:rsidP="75B02D90">
            <w:pPr>
              <w:jc w:val="center"/>
              <w:rPr>
                <w:sz w:val="18"/>
                <w:szCs w:val="18"/>
              </w:rPr>
            </w:pPr>
            <w:r w:rsidRPr="00B710A9">
              <w:rPr>
                <w:rFonts w:ascii="Arial" w:eastAsia="Arial" w:hAnsi="Arial" w:cs="Arial"/>
                <w:color w:val="000000" w:themeColor="text1"/>
                <w:sz w:val="18"/>
                <w:szCs w:val="18"/>
                <w:lang w:val="es"/>
              </w:rPr>
              <w:t xml:space="preserve">2022  </w:t>
            </w:r>
          </w:p>
        </w:tc>
        <w:tc>
          <w:tcPr>
            <w:tcW w:w="4054" w:type="dxa"/>
            <w:tcBorders>
              <w:top w:val="single" w:sz="8" w:space="0" w:color="95B3D7"/>
              <w:left w:val="single" w:sz="8" w:space="0" w:color="95B3D7"/>
              <w:bottom w:val="single" w:sz="8" w:space="0" w:color="95B3D7"/>
              <w:right w:val="single" w:sz="8" w:space="0" w:color="95B3D7"/>
            </w:tcBorders>
          </w:tcPr>
          <w:p w14:paraId="394E24FC" w14:textId="4C4810E6" w:rsidR="75B02D90" w:rsidRPr="00B710A9" w:rsidRDefault="75B02D90" w:rsidP="75B02D9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710A9">
              <w:rPr>
                <w:rFonts w:ascii="Arial" w:eastAsia="Arial" w:hAnsi="Arial" w:cs="Arial"/>
                <w:color w:val="000000" w:themeColor="text1"/>
                <w:sz w:val="18"/>
                <w:szCs w:val="18"/>
                <w:lang w:val="es"/>
              </w:rPr>
              <w:t xml:space="preserve">32  </w:t>
            </w:r>
          </w:p>
        </w:tc>
      </w:tr>
    </w:tbl>
    <w:p w14:paraId="6A4F7604" w14:textId="53311535" w:rsidR="13D13739" w:rsidRPr="00B710A9" w:rsidRDefault="75B02D90" w:rsidP="75B02D90">
      <w:pPr>
        <w:spacing w:after="0" w:line="240" w:lineRule="auto"/>
        <w:jc w:val="center"/>
        <w:rPr>
          <w:rFonts w:ascii="Arial" w:eastAsia="Arial" w:hAnsi="Arial" w:cs="Arial"/>
          <w:b/>
          <w:color w:val="000000" w:themeColor="text1"/>
          <w:sz w:val="16"/>
          <w:szCs w:val="16"/>
          <w:lang w:val="es"/>
        </w:rPr>
      </w:pPr>
      <w:r w:rsidRPr="00B710A9">
        <w:rPr>
          <w:rFonts w:ascii="Arial" w:eastAsia="Arial" w:hAnsi="Arial" w:cs="Arial"/>
          <w:b/>
          <w:color w:val="000000" w:themeColor="text1"/>
          <w:sz w:val="16"/>
          <w:szCs w:val="16"/>
          <w:lang w:val="es"/>
        </w:rPr>
        <w:t>Fuente: IGAC. Subdirección de Agrología</w:t>
      </w:r>
      <w:r w:rsidRPr="00B710A9">
        <w:rPr>
          <w:rFonts w:ascii="Arial" w:eastAsia="Arial" w:hAnsi="Arial" w:cs="Arial"/>
          <w:b/>
          <w:bCs/>
          <w:color w:val="000000" w:themeColor="text1"/>
          <w:sz w:val="16"/>
          <w:szCs w:val="16"/>
          <w:lang w:val="es"/>
        </w:rPr>
        <w:t xml:space="preserve">  </w:t>
      </w:r>
    </w:p>
    <w:p w14:paraId="0D65120D" w14:textId="0026DCC2" w:rsidR="008B7DE8" w:rsidRPr="00024431" w:rsidRDefault="75B02D90" w:rsidP="009D279A">
      <w:pPr>
        <w:spacing w:after="0" w:line="240" w:lineRule="auto"/>
        <w:jc w:val="both"/>
        <w:rPr>
          <w:rFonts w:ascii="Arial" w:eastAsia="Arial" w:hAnsi="Arial" w:cs="Arial"/>
          <w:b/>
          <w:color w:val="000000" w:themeColor="text1"/>
          <w:sz w:val="16"/>
          <w:szCs w:val="16"/>
          <w:lang w:val="es"/>
        </w:rPr>
      </w:pPr>
      <w:r w:rsidRPr="00B710A9">
        <w:rPr>
          <w:rFonts w:ascii="Arial" w:eastAsia="Arial" w:hAnsi="Arial" w:cs="Arial"/>
          <w:b/>
          <w:color w:val="000000" w:themeColor="text1"/>
          <w:sz w:val="16"/>
          <w:szCs w:val="16"/>
          <w:lang w:val="es"/>
        </w:rPr>
        <w:t xml:space="preserve">  </w:t>
      </w:r>
    </w:p>
    <w:p w14:paraId="03066990" w14:textId="73F15C0B"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Con el fin de disponer la información a los usuarios en el 2022 se dio inicio al desarrollo e implementación de una nueva herramienta para la consulta de la información de clases agrológicas en la plataforma Colombia en Mapas, la cual se encuentra en primera versión con la información de capacidad de uso de las tierras a escala 1:100.000. Adicionalmente, en proceso de estructuración se encuentra la unificación de la información de clases a escala 1:25.000 y 1:10. 000, vinculando 35 y 6 estudios, respectivamente.  Con lo anterior, se espera optimizar el trámite para los ciudadanos, y agilizar la obtención de la información por predio.  </w:t>
      </w:r>
    </w:p>
    <w:p w14:paraId="6EBCBB08" w14:textId="262C1008" w:rsidR="13D13739" w:rsidRPr="00B710A9" w:rsidRDefault="75B02D90" w:rsidP="009D279A">
      <w:p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 xml:space="preserve"> </w:t>
      </w:r>
    </w:p>
    <w:p w14:paraId="5DD6EFF5" w14:textId="7A3AEFD3" w:rsidR="13D13739" w:rsidRPr="00B710A9" w:rsidRDefault="008E245A" w:rsidP="009D279A">
      <w:pPr>
        <w:spacing w:after="0" w:line="240" w:lineRule="auto"/>
        <w:jc w:val="both"/>
        <w:rPr>
          <w:rFonts w:ascii="Arial" w:eastAsia="Arial" w:hAnsi="Arial" w:cs="Arial"/>
          <w:b/>
          <w:color w:val="000000" w:themeColor="text1"/>
          <w:sz w:val="22"/>
          <w:szCs w:val="22"/>
          <w:u w:val="single"/>
          <w:lang w:val="es"/>
        </w:rPr>
      </w:pPr>
      <w:r w:rsidRPr="00B710A9">
        <w:rPr>
          <w:rFonts w:ascii="Arial" w:eastAsia="Arial" w:hAnsi="Arial" w:cs="Arial"/>
          <w:b/>
          <w:color w:val="000000" w:themeColor="text1"/>
          <w:sz w:val="22"/>
          <w:szCs w:val="22"/>
          <w:u w:val="single"/>
          <w:lang w:val="es"/>
        </w:rPr>
        <w:t>Laboratorio Nacional de Suelos (</w:t>
      </w:r>
      <w:r w:rsidRPr="00B710A9">
        <w:rPr>
          <w:rFonts w:ascii="Arial" w:eastAsia="Arial" w:hAnsi="Arial" w:cs="Arial"/>
          <w:b/>
          <w:bCs/>
          <w:color w:val="000000" w:themeColor="text1"/>
          <w:sz w:val="22"/>
          <w:szCs w:val="22"/>
          <w:u w:val="single"/>
          <w:lang w:val="es"/>
        </w:rPr>
        <w:t>LNS</w:t>
      </w:r>
      <w:r w:rsidRPr="00B710A9">
        <w:rPr>
          <w:rFonts w:ascii="Arial" w:eastAsia="Arial" w:hAnsi="Arial" w:cs="Arial"/>
          <w:b/>
          <w:color w:val="000000" w:themeColor="text1"/>
          <w:sz w:val="22"/>
          <w:szCs w:val="22"/>
          <w:u w:val="single"/>
          <w:lang w:val="es"/>
        </w:rPr>
        <w:t>)</w:t>
      </w:r>
    </w:p>
    <w:p w14:paraId="7862CF13" w14:textId="262C1008" w:rsidR="008E245A" w:rsidRPr="00B710A9" w:rsidRDefault="008E245A" w:rsidP="009D279A">
      <w:pPr>
        <w:spacing w:after="0" w:line="240" w:lineRule="auto"/>
        <w:jc w:val="both"/>
        <w:rPr>
          <w:rFonts w:ascii="Arial" w:eastAsia="Arial" w:hAnsi="Arial" w:cs="Arial"/>
          <w:sz w:val="22"/>
          <w:szCs w:val="22"/>
        </w:rPr>
      </w:pPr>
    </w:p>
    <w:p w14:paraId="699130EE" w14:textId="262C1008"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El Laboratorio Nacional de Suelos (LNS), cuenta con una amplia experiencia, de más de 40 años, en la ejecución de análisis de laboratorio de los suelos de Colombia. El LNS presenta una oferta de más de 150 paquetes analíticos de las propiedades químicas, físicas, biológicas y mineralógicas de los suelos del país, además de diferentes análisis de tejidos vegetales, aguas y otros con fines de ingeniería. Anualmente se realizan alrededor de 80.000 análisis requeridos por clientes externos e internos del Instituto.</w:t>
      </w:r>
    </w:p>
    <w:p w14:paraId="06E74D2E" w14:textId="262C1008" w:rsidR="13D13739" w:rsidRPr="00B710A9" w:rsidRDefault="13D13739" w:rsidP="75B02D90">
      <w:pPr>
        <w:spacing w:after="0" w:line="240" w:lineRule="auto"/>
        <w:jc w:val="both"/>
        <w:rPr>
          <w:rFonts w:ascii="Arial" w:eastAsia="Arial" w:hAnsi="Arial" w:cs="Arial"/>
          <w:color w:val="000000" w:themeColor="text1"/>
          <w:sz w:val="22"/>
          <w:szCs w:val="22"/>
          <w:lang w:val="es"/>
        </w:rPr>
      </w:pPr>
    </w:p>
    <w:p w14:paraId="6FAA7214" w14:textId="262C1008"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Realizar el análisis de muestras de suelos de clientes tanto internos como externos y el lograr la acreditación del Laboratorio Nacional de Suelos según la norma ISO 17025:2017, fueron los objetivos propuestos alcanzar dentro del cuatrienio, por lo tanto, a continuación, se relaciona la gestión llevada a cabo con corte a 30 de junio de 2022:</w:t>
      </w:r>
    </w:p>
    <w:p w14:paraId="1674314F" w14:textId="262C1008" w:rsidR="13D13739" w:rsidRPr="00B710A9" w:rsidRDefault="75B02D90" w:rsidP="009D279A">
      <w:p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 </w:t>
      </w:r>
    </w:p>
    <w:p w14:paraId="3253EA9F" w14:textId="262C1008" w:rsidR="3808A3D5" w:rsidRPr="00B710A9" w:rsidRDefault="3808A3D5" w:rsidP="3808A3D5">
      <w:pPr>
        <w:spacing w:after="0" w:line="240" w:lineRule="auto"/>
        <w:jc w:val="both"/>
        <w:rPr>
          <w:rFonts w:ascii="Arial" w:eastAsia="Arial" w:hAnsi="Arial" w:cs="Arial"/>
          <w:color w:val="000000" w:themeColor="text1"/>
          <w:sz w:val="22"/>
          <w:szCs w:val="22"/>
          <w:lang w:val="es"/>
        </w:rPr>
      </w:pPr>
    </w:p>
    <w:p w14:paraId="3F42589A" w14:textId="262C1008" w:rsidR="13D13739" w:rsidRPr="00B710A9" w:rsidRDefault="75B02D90" w:rsidP="009D279A">
      <w:pPr>
        <w:spacing w:after="0" w:line="240" w:lineRule="auto"/>
        <w:jc w:val="both"/>
        <w:rPr>
          <w:rFonts w:ascii="Arial" w:eastAsia="Arial" w:hAnsi="Arial" w:cs="Arial"/>
          <w:b/>
          <w:color w:val="000000" w:themeColor="text1"/>
          <w:sz w:val="22"/>
          <w:szCs w:val="22"/>
          <w:lang w:val="es"/>
        </w:rPr>
      </w:pPr>
      <w:r w:rsidRPr="00B710A9">
        <w:rPr>
          <w:rFonts w:ascii="Arial" w:eastAsia="Arial" w:hAnsi="Arial" w:cs="Arial"/>
          <w:b/>
          <w:sz w:val="22"/>
          <w:szCs w:val="22"/>
          <w:lang w:val="es"/>
        </w:rPr>
        <w:t>Análisis Químicos, Físicos, Mineralógicos y Biológicos de Suelos</w:t>
      </w:r>
      <w:r w:rsidRPr="00B710A9">
        <w:rPr>
          <w:rFonts w:ascii="Arial" w:eastAsia="Arial" w:hAnsi="Arial" w:cs="Arial"/>
          <w:b/>
          <w:bCs/>
          <w:color w:val="000000" w:themeColor="text1"/>
          <w:sz w:val="22"/>
          <w:szCs w:val="22"/>
          <w:lang w:val="es"/>
        </w:rPr>
        <w:t xml:space="preserve"> </w:t>
      </w:r>
    </w:p>
    <w:p w14:paraId="75A9723E" w14:textId="262C1008" w:rsidR="00107B04" w:rsidRPr="00B710A9" w:rsidRDefault="00107B04" w:rsidP="009D279A">
      <w:pPr>
        <w:spacing w:after="0" w:line="240" w:lineRule="auto"/>
        <w:jc w:val="both"/>
        <w:rPr>
          <w:rFonts w:ascii="Arial" w:eastAsia="Arial" w:hAnsi="Arial" w:cs="Arial"/>
          <w:color w:val="000000" w:themeColor="text1"/>
          <w:sz w:val="22"/>
          <w:szCs w:val="22"/>
          <w:lang w:val="es-MX"/>
        </w:rPr>
      </w:pPr>
    </w:p>
    <w:p w14:paraId="364344F4" w14:textId="262C1008" w:rsidR="13D13739" w:rsidRPr="00B710A9" w:rsidRDefault="75B02D90" w:rsidP="009D279A">
      <w:pPr>
        <w:spacing w:after="0" w:line="240" w:lineRule="auto"/>
        <w:jc w:val="both"/>
        <w:rPr>
          <w:rFonts w:ascii="Arial" w:eastAsia="Arial" w:hAnsi="Arial" w:cs="Arial"/>
          <w:color w:val="000000" w:themeColor="text1"/>
          <w:sz w:val="22"/>
          <w:szCs w:val="22"/>
          <w:lang w:val="es-MX"/>
        </w:rPr>
      </w:pPr>
      <w:r w:rsidRPr="00B710A9">
        <w:rPr>
          <w:rFonts w:ascii="Arial" w:eastAsia="Arial" w:hAnsi="Arial" w:cs="Arial"/>
          <w:color w:val="000000" w:themeColor="text1"/>
          <w:sz w:val="22"/>
          <w:szCs w:val="22"/>
          <w:lang w:val="es-MX"/>
        </w:rPr>
        <w:t xml:space="preserve">Por medio del LNS se realiza el análisis de las propiedades físicas, químicas, biológicas o mineralógicas de los suelos y contenido orgánico y mineral del agua para riego con el fin de dar las recomendaciones técnicas para las enmiendas y fertilizantes requeridos en el suelo para el establecimiento de una plantación o cultivo agrícola. </w:t>
      </w:r>
    </w:p>
    <w:p w14:paraId="651D34C2" w14:textId="262C1008" w:rsidR="13D13739" w:rsidRPr="00B710A9" w:rsidRDefault="13D13739" w:rsidP="75B02D90">
      <w:pPr>
        <w:spacing w:after="0" w:line="240" w:lineRule="auto"/>
        <w:jc w:val="both"/>
        <w:rPr>
          <w:rFonts w:ascii="Arial" w:eastAsia="Arial" w:hAnsi="Arial" w:cs="Arial"/>
          <w:sz w:val="22"/>
          <w:szCs w:val="22"/>
        </w:rPr>
      </w:pPr>
    </w:p>
    <w:p w14:paraId="4A30B183" w14:textId="262C1008" w:rsidR="13D13739" w:rsidRPr="00B710A9" w:rsidRDefault="75B02D90"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A continuación, en la tabla, se relaciona la cantidad de análisis recibidos en el Laboratorio Nacional de Suelos desde el 2019 hasta el 30 de junio de 2022: </w:t>
      </w:r>
    </w:p>
    <w:p w14:paraId="60155E7B" w14:textId="51A7D335" w:rsidR="13D13739" w:rsidRPr="00B710A9" w:rsidRDefault="75B02D90"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 </w:t>
      </w:r>
    </w:p>
    <w:p w14:paraId="7009D7DB" w14:textId="579C445C" w:rsidR="13D13739" w:rsidRPr="00B710A9" w:rsidRDefault="75B02D90" w:rsidP="75B02D90">
      <w:pPr>
        <w:spacing w:after="0" w:line="240" w:lineRule="auto"/>
        <w:jc w:val="center"/>
      </w:pPr>
      <w:r w:rsidRPr="00B710A9">
        <w:rPr>
          <w:rFonts w:ascii="Arial" w:eastAsia="Arial" w:hAnsi="Arial" w:cs="Arial"/>
          <w:i/>
          <w:iCs/>
          <w:color w:val="1F497D"/>
          <w:sz w:val="16"/>
          <w:szCs w:val="16"/>
        </w:rPr>
        <w:t xml:space="preserve"> </w:t>
      </w:r>
    </w:p>
    <w:p w14:paraId="5B07C6AB" w14:textId="32E3BC5C" w:rsidR="00145814" w:rsidRPr="00B710A9" w:rsidRDefault="00145814" w:rsidP="00145814">
      <w:pPr>
        <w:pStyle w:val="Descripcin"/>
        <w:keepNext/>
        <w:jc w:val="center"/>
        <w:rPr>
          <w:rFonts w:ascii="Arial" w:hAnsi="Arial" w:cs="Arial"/>
          <w:b/>
          <w:bCs/>
          <w:i w:val="0"/>
          <w:iCs w:val="0"/>
          <w:color w:val="auto"/>
          <w:sz w:val="16"/>
          <w:szCs w:val="16"/>
        </w:rPr>
      </w:pPr>
      <w:bookmarkStart w:id="13" w:name="_Toc109057738"/>
      <w:r w:rsidRPr="00B710A9">
        <w:rPr>
          <w:rFonts w:ascii="Arial" w:hAnsi="Arial" w:cs="Arial"/>
          <w:b/>
          <w:bCs/>
          <w:i w:val="0"/>
          <w:iCs w:val="0"/>
          <w:color w:val="auto"/>
          <w:sz w:val="16"/>
          <w:szCs w:val="16"/>
        </w:rPr>
        <w:lastRenderedPageBreak/>
        <w:t xml:space="preserve">Tabla </w:t>
      </w:r>
      <w:r w:rsidRPr="00B710A9">
        <w:rPr>
          <w:rFonts w:ascii="Arial" w:hAnsi="Arial" w:cs="Arial"/>
          <w:b/>
          <w:bCs/>
          <w:i w:val="0"/>
          <w:iCs w:val="0"/>
          <w:color w:val="auto"/>
          <w:sz w:val="16"/>
          <w:szCs w:val="16"/>
        </w:rPr>
        <w:fldChar w:fldCharType="begin"/>
      </w:r>
      <w:r w:rsidRPr="00B710A9">
        <w:rPr>
          <w:rFonts w:ascii="Arial" w:hAnsi="Arial" w:cs="Arial"/>
          <w:b/>
          <w:bCs/>
          <w:i w:val="0"/>
          <w:iCs w:val="0"/>
          <w:color w:val="auto"/>
          <w:sz w:val="16"/>
          <w:szCs w:val="16"/>
        </w:rPr>
        <w:instrText xml:space="preserve"> SEQ Tabla \* ARABIC </w:instrText>
      </w:r>
      <w:r w:rsidRPr="00B710A9">
        <w:rPr>
          <w:rFonts w:ascii="Arial" w:hAnsi="Arial" w:cs="Arial"/>
          <w:b/>
          <w:bCs/>
          <w:i w:val="0"/>
          <w:iCs w:val="0"/>
          <w:color w:val="auto"/>
          <w:sz w:val="16"/>
          <w:szCs w:val="16"/>
        </w:rPr>
        <w:fldChar w:fldCharType="separate"/>
      </w:r>
      <w:r w:rsidR="00801DF8" w:rsidRPr="00B710A9">
        <w:rPr>
          <w:rFonts w:ascii="Arial" w:hAnsi="Arial" w:cs="Arial"/>
          <w:b/>
          <w:bCs/>
          <w:i w:val="0"/>
          <w:iCs w:val="0"/>
          <w:noProof/>
          <w:color w:val="auto"/>
          <w:sz w:val="16"/>
          <w:szCs w:val="16"/>
        </w:rPr>
        <w:t>8</w:t>
      </w:r>
      <w:r w:rsidRPr="00B710A9">
        <w:rPr>
          <w:rFonts w:ascii="Arial" w:hAnsi="Arial" w:cs="Arial"/>
          <w:b/>
          <w:bCs/>
          <w:i w:val="0"/>
          <w:iCs w:val="0"/>
          <w:color w:val="auto"/>
          <w:sz w:val="16"/>
          <w:szCs w:val="16"/>
        </w:rPr>
        <w:fldChar w:fldCharType="end"/>
      </w:r>
      <w:r w:rsidRPr="00B710A9">
        <w:rPr>
          <w:rFonts w:ascii="Arial" w:hAnsi="Arial" w:cs="Arial"/>
          <w:b/>
          <w:bCs/>
          <w:i w:val="0"/>
          <w:iCs w:val="0"/>
          <w:color w:val="auto"/>
          <w:sz w:val="16"/>
          <w:szCs w:val="16"/>
        </w:rPr>
        <w:t>. Análisis recibidos 2019-2022</w:t>
      </w:r>
      <w:bookmarkEnd w:id="13"/>
    </w:p>
    <w:tbl>
      <w:tblPr>
        <w:tblW w:w="0" w:type="auto"/>
        <w:jc w:val="center"/>
        <w:tblLayout w:type="fixed"/>
        <w:tblLook w:val="04A0" w:firstRow="1" w:lastRow="0" w:firstColumn="1" w:lastColumn="0" w:noHBand="0" w:noVBand="1"/>
      </w:tblPr>
      <w:tblGrid>
        <w:gridCol w:w="1740"/>
        <w:gridCol w:w="975"/>
        <w:gridCol w:w="975"/>
        <w:gridCol w:w="990"/>
        <w:gridCol w:w="1080"/>
      </w:tblGrid>
      <w:tr w:rsidR="75B02D90" w:rsidRPr="00B710A9" w14:paraId="7211CD42" w14:textId="77777777" w:rsidTr="00107B04">
        <w:trPr>
          <w:trHeight w:val="315"/>
          <w:jc w:val="center"/>
        </w:trPr>
        <w:tc>
          <w:tcPr>
            <w:tcW w:w="1740" w:type="dxa"/>
            <w:tcBorders>
              <w:top w:val="single" w:sz="8" w:space="0" w:color="4472C4" w:themeColor="accent1"/>
              <w:left w:val="single" w:sz="8" w:space="0" w:color="4472C4" w:themeColor="accent1"/>
              <w:bottom w:val="single" w:sz="8" w:space="0" w:color="4472C4" w:themeColor="accent1"/>
              <w:right w:val="nil"/>
            </w:tcBorders>
            <w:shd w:val="clear" w:color="auto" w:fill="4472C4" w:themeFill="accent1"/>
          </w:tcPr>
          <w:p w14:paraId="4060E2B5" w14:textId="20608A27" w:rsidR="75B02D90" w:rsidRPr="00B710A9" w:rsidRDefault="75B02D90" w:rsidP="75B02D90">
            <w:pPr>
              <w:jc w:val="center"/>
              <w:rPr>
                <w:sz w:val="18"/>
                <w:szCs w:val="18"/>
              </w:rPr>
            </w:pPr>
            <w:r w:rsidRPr="00B710A9">
              <w:rPr>
                <w:rFonts w:ascii="Arial" w:eastAsia="Arial" w:hAnsi="Arial" w:cs="Arial"/>
                <w:b/>
                <w:bCs/>
                <w:color w:val="FFFFFF" w:themeColor="background1"/>
                <w:sz w:val="18"/>
                <w:szCs w:val="18"/>
                <w:lang w:val="es"/>
              </w:rPr>
              <w:t xml:space="preserve">Análisis </w:t>
            </w:r>
            <w:r w:rsidRPr="00B710A9">
              <w:rPr>
                <w:rFonts w:ascii="Arial" w:eastAsia="Arial" w:hAnsi="Arial" w:cs="Arial"/>
                <w:b/>
                <w:bCs/>
                <w:color w:val="FFFFFF" w:themeColor="background1"/>
                <w:sz w:val="18"/>
                <w:szCs w:val="18"/>
              </w:rPr>
              <w:t xml:space="preserve"> </w:t>
            </w:r>
          </w:p>
        </w:tc>
        <w:tc>
          <w:tcPr>
            <w:tcW w:w="975" w:type="dxa"/>
            <w:tcBorders>
              <w:top w:val="single" w:sz="8" w:space="0" w:color="4472C4" w:themeColor="accent1"/>
              <w:left w:val="nil"/>
              <w:bottom w:val="single" w:sz="8" w:space="0" w:color="4472C4" w:themeColor="accent1"/>
              <w:right w:val="nil"/>
            </w:tcBorders>
            <w:shd w:val="clear" w:color="auto" w:fill="4472C4" w:themeFill="accent1"/>
          </w:tcPr>
          <w:p w14:paraId="52555F52" w14:textId="1EA2F393" w:rsidR="75B02D90" w:rsidRPr="00B710A9" w:rsidRDefault="75B02D90" w:rsidP="75B02D90">
            <w:pPr>
              <w:jc w:val="center"/>
              <w:rPr>
                <w:sz w:val="18"/>
                <w:szCs w:val="18"/>
              </w:rPr>
            </w:pPr>
            <w:r w:rsidRPr="00B710A9">
              <w:rPr>
                <w:rFonts w:ascii="Arial" w:eastAsia="Arial" w:hAnsi="Arial" w:cs="Arial"/>
                <w:b/>
                <w:bCs/>
                <w:color w:val="FFFFFF" w:themeColor="background1"/>
                <w:sz w:val="18"/>
                <w:szCs w:val="18"/>
                <w:lang w:val="es"/>
              </w:rPr>
              <w:t xml:space="preserve">2019 </w:t>
            </w:r>
            <w:r w:rsidRPr="00B710A9">
              <w:rPr>
                <w:rFonts w:ascii="Arial" w:eastAsia="Arial" w:hAnsi="Arial" w:cs="Arial"/>
                <w:b/>
                <w:bCs/>
                <w:color w:val="FFFFFF" w:themeColor="background1"/>
                <w:sz w:val="18"/>
                <w:szCs w:val="18"/>
              </w:rPr>
              <w:t xml:space="preserve"> </w:t>
            </w:r>
          </w:p>
        </w:tc>
        <w:tc>
          <w:tcPr>
            <w:tcW w:w="975" w:type="dxa"/>
            <w:tcBorders>
              <w:top w:val="single" w:sz="8" w:space="0" w:color="4472C4" w:themeColor="accent1"/>
              <w:left w:val="nil"/>
              <w:bottom w:val="single" w:sz="8" w:space="0" w:color="4472C4" w:themeColor="accent1"/>
              <w:right w:val="nil"/>
            </w:tcBorders>
            <w:shd w:val="clear" w:color="auto" w:fill="4472C4" w:themeFill="accent1"/>
          </w:tcPr>
          <w:p w14:paraId="779DAF8B" w14:textId="793426D2" w:rsidR="75B02D90" w:rsidRPr="00B710A9" w:rsidRDefault="75B02D90" w:rsidP="75B02D90">
            <w:pPr>
              <w:jc w:val="center"/>
              <w:rPr>
                <w:sz w:val="18"/>
                <w:szCs w:val="18"/>
              </w:rPr>
            </w:pPr>
            <w:r w:rsidRPr="00B710A9">
              <w:rPr>
                <w:rFonts w:ascii="Arial" w:eastAsia="Arial" w:hAnsi="Arial" w:cs="Arial"/>
                <w:b/>
                <w:bCs/>
                <w:color w:val="FFFFFF" w:themeColor="background1"/>
                <w:sz w:val="18"/>
                <w:szCs w:val="18"/>
                <w:lang w:val="es"/>
              </w:rPr>
              <w:t xml:space="preserve">2020 </w:t>
            </w:r>
            <w:r w:rsidRPr="00B710A9">
              <w:rPr>
                <w:rFonts w:ascii="Arial" w:eastAsia="Arial" w:hAnsi="Arial" w:cs="Arial"/>
                <w:b/>
                <w:bCs/>
                <w:color w:val="FFFFFF" w:themeColor="background1"/>
                <w:sz w:val="18"/>
                <w:szCs w:val="18"/>
              </w:rPr>
              <w:t xml:space="preserve"> </w:t>
            </w:r>
          </w:p>
        </w:tc>
        <w:tc>
          <w:tcPr>
            <w:tcW w:w="990" w:type="dxa"/>
            <w:tcBorders>
              <w:top w:val="single" w:sz="8" w:space="0" w:color="4472C4" w:themeColor="accent1"/>
              <w:left w:val="nil"/>
              <w:bottom w:val="single" w:sz="8" w:space="0" w:color="4472C4" w:themeColor="accent1"/>
              <w:right w:val="nil"/>
            </w:tcBorders>
            <w:shd w:val="clear" w:color="auto" w:fill="4472C4" w:themeFill="accent1"/>
          </w:tcPr>
          <w:p w14:paraId="04098D02" w14:textId="4991F29B" w:rsidR="75B02D90" w:rsidRPr="00B710A9" w:rsidRDefault="75B02D90" w:rsidP="75B02D90">
            <w:pPr>
              <w:jc w:val="center"/>
              <w:rPr>
                <w:sz w:val="18"/>
                <w:szCs w:val="18"/>
              </w:rPr>
            </w:pPr>
            <w:r w:rsidRPr="00B710A9">
              <w:rPr>
                <w:rFonts w:ascii="Arial" w:eastAsia="Arial" w:hAnsi="Arial" w:cs="Arial"/>
                <w:b/>
                <w:bCs/>
                <w:color w:val="FFFFFF" w:themeColor="background1"/>
                <w:sz w:val="18"/>
                <w:szCs w:val="18"/>
                <w:lang w:val="es"/>
              </w:rPr>
              <w:t xml:space="preserve">2021 </w:t>
            </w:r>
            <w:r w:rsidRPr="00B710A9">
              <w:rPr>
                <w:rFonts w:ascii="Arial" w:eastAsia="Arial" w:hAnsi="Arial" w:cs="Arial"/>
                <w:b/>
                <w:bCs/>
                <w:color w:val="FFFFFF" w:themeColor="background1"/>
                <w:sz w:val="18"/>
                <w:szCs w:val="18"/>
              </w:rPr>
              <w:t xml:space="preserve"> </w:t>
            </w:r>
          </w:p>
        </w:tc>
        <w:tc>
          <w:tcPr>
            <w:tcW w:w="1080" w:type="dxa"/>
            <w:tcBorders>
              <w:top w:val="single" w:sz="8" w:space="0" w:color="4472C4" w:themeColor="accent1"/>
              <w:left w:val="nil"/>
              <w:bottom w:val="single" w:sz="8" w:space="0" w:color="4472C4" w:themeColor="accent1"/>
              <w:right w:val="single" w:sz="8" w:space="0" w:color="4472C4" w:themeColor="accent1"/>
            </w:tcBorders>
            <w:shd w:val="clear" w:color="auto" w:fill="4472C4" w:themeFill="accent1"/>
          </w:tcPr>
          <w:p w14:paraId="0F548942" w14:textId="0550FD99" w:rsidR="75B02D90" w:rsidRPr="00B710A9" w:rsidRDefault="75B02D90" w:rsidP="75B02D90">
            <w:pPr>
              <w:jc w:val="center"/>
              <w:rPr>
                <w:sz w:val="18"/>
                <w:szCs w:val="18"/>
              </w:rPr>
            </w:pPr>
            <w:r w:rsidRPr="00B710A9">
              <w:rPr>
                <w:rFonts w:ascii="Arial" w:eastAsia="Arial" w:hAnsi="Arial" w:cs="Arial"/>
                <w:b/>
                <w:bCs/>
                <w:color w:val="FFFFFF" w:themeColor="background1"/>
                <w:sz w:val="18"/>
                <w:szCs w:val="18"/>
                <w:lang w:val="es"/>
              </w:rPr>
              <w:t xml:space="preserve">2022 </w:t>
            </w:r>
            <w:r w:rsidRPr="00B710A9">
              <w:rPr>
                <w:rFonts w:ascii="Arial" w:eastAsia="Arial" w:hAnsi="Arial" w:cs="Arial"/>
                <w:b/>
                <w:bCs/>
                <w:color w:val="FFFFFF" w:themeColor="background1"/>
                <w:sz w:val="18"/>
                <w:szCs w:val="18"/>
              </w:rPr>
              <w:t xml:space="preserve"> </w:t>
            </w:r>
          </w:p>
        </w:tc>
      </w:tr>
      <w:tr w:rsidR="75B02D90" w:rsidRPr="00B710A9" w14:paraId="6DBE172D" w14:textId="77777777" w:rsidTr="00107B04">
        <w:trPr>
          <w:trHeight w:val="300"/>
          <w:jc w:val="center"/>
        </w:trPr>
        <w:tc>
          <w:tcPr>
            <w:tcW w:w="1740" w:type="dxa"/>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tcPr>
          <w:p w14:paraId="305D21D8" w14:textId="058A28AC" w:rsidR="75B02D90" w:rsidRPr="00B710A9" w:rsidRDefault="75B02D90" w:rsidP="75B02D90">
            <w:pPr>
              <w:jc w:val="both"/>
              <w:rPr>
                <w:sz w:val="18"/>
                <w:szCs w:val="18"/>
              </w:rPr>
            </w:pPr>
            <w:r w:rsidRPr="00B710A9">
              <w:rPr>
                <w:rFonts w:ascii="Arial" w:eastAsia="Arial" w:hAnsi="Arial" w:cs="Arial"/>
                <w:b/>
                <w:bCs/>
                <w:color w:val="222222"/>
                <w:sz w:val="18"/>
                <w:szCs w:val="18"/>
                <w:lang w:val="es"/>
              </w:rPr>
              <w:t xml:space="preserve">Químicos </w:t>
            </w:r>
            <w:r w:rsidRPr="00B710A9">
              <w:rPr>
                <w:rFonts w:ascii="Arial" w:eastAsia="Arial" w:hAnsi="Arial" w:cs="Arial"/>
                <w:b/>
                <w:bCs/>
                <w:color w:val="222222"/>
                <w:sz w:val="18"/>
                <w:szCs w:val="18"/>
              </w:rPr>
              <w:t xml:space="preserve"> </w:t>
            </w:r>
          </w:p>
        </w:tc>
        <w:tc>
          <w:tcPr>
            <w:tcW w:w="975" w:type="dxa"/>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tcPr>
          <w:p w14:paraId="02AB8123" w14:textId="075F83C6" w:rsidR="75B02D90" w:rsidRPr="00B710A9" w:rsidRDefault="75B02D90" w:rsidP="75B02D90">
            <w:pPr>
              <w:jc w:val="right"/>
              <w:rPr>
                <w:sz w:val="18"/>
                <w:szCs w:val="18"/>
              </w:rPr>
            </w:pPr>
            <w:r w:rsidRPr="00B710A9">
              <w:rPr>
                <w:rFonts w:ascii="Arial" w:eastAsia="Arial" w:hAnsi="Arial" w:cs="Arial"/>
                <w:color w:val="000000" w:themeColor="text1"/>
                <w:sz w:val="18"/>
                <w:szCs w:val="18"/>
                <w:lang w:val="es"/>
              </w:rPr>
              <w:t xml:space="preserve">64.695  </w:t>
            </w:r>
          </w:p>
        </w:tc>
        <w:tc>
          <w:tcPr>
            <w:tcW w:w="975" w:type="dxa"/>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tcPr>
          <w:p w14:paraId="3EDC50DD" w14:textId="670BB635" w:rsidR="75B02D90" w:rsidRPr="00B710A9" w:rsidRDefault="75B02D90" w:rsidP="75B02D90">
            <w:pPr>
              <w:jc w:val="right"/>
              <w:rPr>
                <w:sz w:val="18"/>
                <w:szCs w:val="18"/>
              </w:rPr>
            </w:pPr>
            <w:r w:rsidRPr="00B710A9">
              <w:rPr>
                <w:rFonts w:ascii="Arial" w:eastAsia="Arial" w:hAnsi="Arial" w:cs="Arial"/>
                <w:color w:val="000000" w:themeColor="text1"/>
                <w:sz w:val="18"/>
                <w:szCs w:val="18"/>
                <w:lang w:val="es"/>
              </w:rPr>
              <w:t xml:space="preserve">37.170  </w:t>
            </w:r>
          </w:p>
        </w:tc>
        <w:tc>
          <w:tcPr>
            <w:tcW w:w="990" w:type="dxa"/>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tcPr>
          <w:p w14:paraId="23B4B93A" w14:textId="76673DBF" w:rsidR="75B02D90" w:rsidRPr="00B710A9" w:rsidRDefault="75B02D90" w:rsidP="75B02D90">
            <w:pPr>
              <w:jc w:val="right"/>
              <w:rPr>
                <w:sz w:val="18"/>
                <w:szCs w:val="18"/>
              </w:rPr>
            </w:pPr>
            <w:r w:rsidRPr="00B710A9">
              <w:rPr>
                <w:rFonts w:ascii="Arial" w:eastAsia="Arial" w:hAnsi="Arial" w:cs="Arial"/>
                <w:color w:val="000000" w:themeColor="text1"/>
                <w:sz w:val="18"/>
                <w:szCs w:val="18"/>
                <w:lang w:val="es"/>
              </w:rPr>
              <w:t xml:space="preserve">63.332  </w:t>
            </w:r>
          </w:p>
        </w:tc>
        <w:tc>
          <w:tcPr>
            <w:tcW w:w="1080" w:type="dxa"/>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tcPr>
          <w:p w14:paraId="1B163AF1" w14:textId="2B334AE3" w:rsidR="75B02D90" w:rsidRPr="00B710A9" w:rsidRDefault="75B02D90" w:rsidP="75B02D90">
            <w:pPr>
              <w:jc w:val="right"/>
              <w:rPr>
                <w:sz w:val="18"/>
                <w:szCs w:val="18"/>
              </w:rPr>
            </w:pPr>
            <w:r w:rsidRPr="00B710A9">
              <w:rPr>
                <w:rFonts w:ascii="Arial" w:eastAsia="Arial" w:hAnsi="Arial" w:cs="Arial"/>
                <w:color w:val="000000" w:themeColor="text1"/>
                <w:sz w:val="18"/>
                <w:szCs w:val="18"/>
                <w:lang w:val="es"/>
              </w:rPr>
              <w:t xml:space="preserve">21.247 </w:t>
            </w:r>
          </w:p>
        </w:tc>
      </w:tr>
      <w:tr w:rsidR="75B02D90" w:rsidRPr="00B710A9" w14:paraId="7B98C8C8" w14:textId="77777777" w:rsidTr="00107B04">
        <w:trPr>
          <w:trHeight w:val="300"/>
          <w:jc w:val="center"/>
        </w:trPr>
        <w:tc>
          <w:tcPr>
            <w:tcW w:w="174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349ADECA" w14:textId="46D9EEC9" w:rsidR="75B02D90" w:rsidRPr="00B710A9" w:rsidRDefault="75B02D90" w:rsidP="75B02D90">
            <w:pPr>
              <w:jc w:val="both"/>
              <w:rPr>
                <w:sz w:val="18"/>
                <w:szCs w:val="18"/>
              </w:rPr>
            </w:pPr>
            <w:r w:rsidRPr="00B710A9">
              <w:rPr>
                <w:rFonts w:ascii="Arial" w:eastAsia="Arial" w:hAnsi="Arial" w:cs="Arial"/>
                <w:b/>
                <w:bCs/>
                <w:color w:val="222222"/>
                <w:sz w:val="18"/>
                <w:szCs w:val="18"/>
                <w:lang w:val="es"/>
              </w:rPr>
              <w:t xml:space="preserve">Físicos </w:t>
            </w:r>
            <w:r w:rsidRPr="00B710A9">
              <w:rPr>
                <w:rFonts w:ascii="Arial" w:eastAsia="Arial" w:hAnsi="Arial" w:cs="Arial"/>
                <w:b/>
                <w:bCs/>
                <w:color w:val="222222"/>
                <w:sz w:val="18"/>
                <w:szCs w:val="18"/>
              </w:rPr>
              <w:t xml:space="preserve"> </w:t>
            </w:r>
          </w:p>
        </w:tc>
        <w:tc>
          <w:tcPr>
            <w:tcW w:w="9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6884CA9E" w14:textId="74F7D677" w:rsidR="75B02D90" w:rsidRPr="00B710A9" w:rsidRDefault="75B02D90" w:rsidP="75B02D90">
            <w:pPr>
              <w:jc w:val="center"/>
              <w:rPr>
                <w:sz w:val="18"/>
                <w:szCs w:val="18"/>
              </w:rPr>
            </w:pPr>
            <w:r w:rsidRPr="00B710A9">
              <w:rPr>
                <w:rFonts w:ascii="Arial" w:eastAsia="Arial" w:hAnsi="Arial" w:cs="Arial"/>
                <w:color w:val="000000" w:themeColor="text1"/>
                <w:sz w:val="18"/>
                <w:szCs w:val="18"/>
                <w:lang w:val="es"/>
              </w:rPr>
              <w:t xml:space="preserve">16.868  </w:t>
            </w:r>
          </w:p>
        </w:tc>
        <w:tc>
          <w:tcPr>
            <w:tcW w:w="9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14A26054" w14:textId="17AE5EF0" w:rsidR="75B02D90" w:rsidRPr="00B710A9" w:rsidRDefault="75B02D90" w:rsidP="75B02D90">
            <w:pPr>
              <w:jc w:val="right"/>
              <w:rPr>
                <w:sz w:val="18"/>
                <w:szCs w:val="18"/>
              </w:rPr>
            </w:pPr>
            <w:r w:rsidRPr="00B710A9">
              <w:rPr>
                <w:rFonts w:ascii="Arial" w:eastAsia="Arial" w:hAnsi="Arial" w:cs="Arial"/>
                <w:color w:val="000000" w:themeColor="text1"/>
                <w:sz w:val="18"/>
                <w:szCs w:val="18"/>
                <w:lang w:val="es"/>
              </w:rPr>
              <w:t xml:space="preserve">6.124  </w:t>
            </w:r>
          </w:p>
        </w:tc>
        <w:tc>
          <w:tcPr>
            <w:tcW w:w="99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10EF0828" w14:textId="0019871D" w:rsidR="75B02D90" w:rsidRPr="00B710A9" w:rsidRDefault="75B02D90" w:rsidP="75B02D90">
            <w:pPr>
              <w:jc w:val="right"/>
              <w:rPr>
                <w:sz w:val="18"/>
                <w:szCs w:val="18"/>
              </w:rPr>
            </w:pPr>
            <w:r w:rsidRPr="00B710A9">
              <w:rPr>
                <w:rFonts w:ascii="Arial" w:eastAsia="Arial" w:hAnsi="Arial" w:cs="Arial"/>
                <w:color w:val="000000" w:themeColor="text1"/>
                <w:sz w:val="18"/>
                <w:szCs w:val="18"/>
                <w:lang w:val="es"/>
              </w:rPr>
              <w:t xml:space="preserve">11.547  </w:t>
            </w:r>
          </w:p>
        </w:tc>
        <w:tc>
          <w:tcPr>
            <w:tcW w:w="108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6C539E28" w14:textId="768BA383" w:rsidR="75B02D90" w:rsidRPr="00B710A9" w:rsidRDefault="75B02D90" w:rsidP="75B02D90">
            <w:pPr>
              <w:jc w:val="right"/>
              <w:rPr>
                <w:sz w:val="18"/>
                <w:szCs w:val="18"/>
              </w:rPr>
            </w:pPr>
            <w:r w:rsidRPr="00B710A9">
              <w:rPr>
                <w:rFonts w:ascii="Arial" w:eastAsia="Arial" w:hAnsi="Arial" w:cs="Arial"/>
                <w:color w:val="000000" w:themeColor="text1"/>
                <w:sz w:val="18"/>
                <w:szCs w:val="18"/>
                <w:lang w:val="es"/>
              </w:rPr>
              <w:t xml:space="preserve">2.258  </w:t>
            </w:r>
          </w:p>
        </w:tc>
      </w:tr>
      <w:tr w:rsidR="75B02D90" w:rsidRPr="00B710A9" w14:paraId="1931EF1E" w14:textId="77777777" w:rsidTr="00107B04">
        <w:trPr>
          <w:trHeight w:val="315"/>
          <w:jc w:val="center"/>
        </w:trPr>
        <w:tc>
          <w:tcPr>
            <w:tcW w:w="174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tcPr>
          <w:p w14:paraId="33D66B82" w14:textId="525C4DEB" w:rsidR="75B02D90" w:rsidRPr="00B710A9" w:rsidRDefault="75B02D90" w:rsidP="75B02D90">
            <w:pPr>
              <w:jc w:val="both"/>
              <w:rPr>
                <w:sz w:val="18"/>
                <w:szCs w:val="18"/>
              </w:rPr>
            </w:pPr>
            <w:r w:rsidRPr="00B710A9">
              <w:rPr>
                <w:rFonts w:ascii="Arial" w:eastAsia="Arial" w:hAnsi="Arial" w:cs="Arial"/>
                <w:b/>
                <w:bCs/>
                <w:color w:val="222222"/>
                <w:sz w:val="18"/>
                <w:szCs w:val="18"/>
                <w:lang w:val="es"/>
              </w:rPr>
              <w:t xml:space="preserve">Mineralógicos </w:t>
            </w:r>
            <w:r w:rsidRPr="00B710A9">
              <w:rPr>
                <w:rFonts w:ascii="Arial" w:eastAsia="Arial" w:hAnsi="Arial" w:cs="Arial"/>
                <w:b/>
                <w:bCs/>
                <w:color w:val="222222"/>
                <w:sz w:val="18"/>
                <w:szCs w:val="18"/>
              </w:rPr>
              <w:t xml:space="preserve"> </w:t>
            </w:r>
          </w:p>
        </w:tc>
        <w:tc>
          <w:tcPr>
            <w:tcW w:w="9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tcPr>
          <w:p w14:paraId="598BF45D" w14:textId="6C2198FD" w:rsidR="75B02D90" w:rsidRPr="00B710A9" w:rsidRDefault="75B02D90" w:rsidP="75B02D90">
            <w:pPr>
              <w:jc w:val="center"/>
              <w:rPr>
                <w:sz w:val="18"/>
                <w:szCs w:val="18"/>
              </w:rPr>
            </w:pPr>
            <w:r w:rsidRPr="00B710A9">
              <w:rPr>
                <w:rFonts w:ascii="Arial" w:eastAsia="Arial" w:hAnsi="Arial" w:cs="Arial"/>
                <w:color w:val="000000" w:themeColor="text1"/>
                <w:sz w:val="18"/>
                <w:szCs w:val="18"/>
                <w:lang w:val="es"/>
              </w:rPr>
              <w:t xml:space="preserve">8.224  </w:t>
            </w:r>
          </w:p>
        </w:tc>
        <w:tc>
          <w:tcPr>
            <w:tcW w:w="9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tcPr>
          <w:p w14:paraId="6356BD1D" w14:textId="0B49D452" w:rsidR="75B02D90" w:rsidRPr="00B710A9" w:rsidRDefault="75B02D90" w:rsidP="75B02D90">
            <w:pPr>
              <w:jc w:val="right"/>
              <w:rPr>
                <w:sz w:val="18"/>
                <w:szCs w:val="18"/>
              </w:rPr>
            </w:pPr>
            <w:r w:rsidRPr="00B710A9">
              <w:rPr>
                <w:rFonts w:ascii="Arial" w:eastAsia="Arial" w:hAnsi="Arial" w:cs="Arial"/>
                <w:color w:val="000000" w:themeColor="text1"/>
                <w:sz w:val="18"/>
                <w:szCs w:val="18"/>
                <w:lang w:val="es"/>
              </w:rPr>
              <w:t xml:space="preserve">1.174  </w:t>
            </w:r>
          </w:p>
        </w:tc>
        <w:tc>
          <w:tcPr>
            <w:tcW w:w="99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tcPr>
          <w:p w14:paraId="796E6400" w14:textId="1584D7E7" w:rsidR="75B02D90" w:rsidRPr="00B710A9" w:rsidRDefault="75B02D90" w:rsidP="75B02D90">
            <w:pPr>
              <w:jc w:val="right"/>
              <w:rPr>
                <w:sz w:val="18"/>
                <w:szCs w:val="18"/>
              </w:rPr>
            </w:pPr>
            <w:r w:rsidRPr="00B710A9">
              <w:rPr>
                <w:rFonts w:ascii="Arial" w:eastAsia="Arial" w:hAnsi="Arial" w:cs="Arial"/>
                <w:color w:val="000000" w:themeColor="text1"/>
                <w:sz w:val="18"/>
                <w:szCs w:val="18"/>
                <w:lang w:val="es"/>
              </w:rPr>
              <w:t xml:space="preserve">1.660  </w:t>
            </w:r>
          </w:p>
        </w:tc>
        <w:tc>
          <w:tcPr>
            <w:tcW w:w="108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tcPr>
          <w:p w14:paraId="4B0017A0" w14:textId="05D04C1B" w:rsidR="75B02D90" w:rsidRPr="00B710A9" w:rsidRDefault="75B02D90" w:rsidP="75B02D90">
            <w:pPr>
              <w:jc w:val="right"/>
              <w:rPr>
                <w:sz w:val="18"/>
                <w:szCs w:val="18"/>
              </w:rPr>
            </w:pPr>
            <w:r w:rsidRPr="00B710A9">
              <w:rPr>
                <w:rFonts w:ascii="Arial" w:eastAsia="Arial" w:hAnsi="Arial" w:cs="Arial"/>
                <w:color w:val="000000" w:themeColor="text1"/>
                <w:sz w:val="18"/>
                <w:szCs w:val="18"/>
                <w:lang w:val="es"/>
              </w:rPr>
              <w:t xml:space="preserve">694 </w:t>
            </w:r>
          </w:p>
        </w:tc>
      </w:tr>
      <w:tr w:rsidR="75B02D90" w:rsidRPr="00B710A9" w14:paraId="0F1A2CDC" w14:textId="77777777" w:rsidTr="00107B04">
        <w:trPr>
          <w:trHeight w:val="270"/>
          <w:jc w:val="center"/>
        </w:trPr>
        <w:tc>
          <w:tcPr>
            <w:tcW w:w="174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3C355200" w14:textId="324907B7" w:rsidR="75B02D90" w:rsidRPr="00B710A9" w:rsidRDefault="75B02D90" w:rsidP="75B02D90">
            <w:pPr>
              <w:jc w:val="both"/>
              <w:rPr>
                <w:sz w:val="18"/>
                <w:szCs w:val="18"/>
              </w:rPr>
            </w:pPr>
            <w:r w:rsidRPr="00B710A9">
              <w:rPr>
                <w:rFonts w:ascii="Arial" w:eastAsia="Arial" w:hAnsi="Arial" w:cs="Arial"/>
                <w:b/>
                <w:bCs/>
                <w:color w:val="222222"/>
                <w:sz w:val="18"/>
                <w:szCs w:val="18"/>
                <w:lang w:val="es"/>
              </w:rPr>
              <w:t xml:space="preserve">Biológicos </w:t>
            </w:r>
            <w:r w:rsidRPr="00B710A9">
              <w:rPr>
                <w:rFonts w:ascii="Arial" w:eastAsia="Arial" w:hAnsi="Arial" w:cs="Arial"/>
                <w:b/>
                <w:bCs/>
                <w:color w:val="222222"/>
                <w:sz w:val="18"/>
                <w:szCs w:val="18"/>
              </w:rPr>
              <w:t xml:space="preserve"> </w:t>
            </w:r>
          </w:p>
        </w:tc>
        <w:tc>
          <w:tcPr>
            <w:tcW w:w="9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347F310D" w14:textId="40B6ACB7" w:rsidR="75B02D90" w:rsidRPr="00B710A9" w:rsidRDefault="75B02D90" w:rsidP="75B02D90">
            <w:pPr>
              <w:jc w:val="center"/>
              <w:rPr>
                <w:sz w:val="18"/>
                <w:szCs w:val="18"/>
              </w:rPr>
            </w:pPr>
            <w:r w:rsidRPr="00B710A9">
              <w:rPr>
                <w:rFonts w:ascii="Arial" w:eastAsia="Arial" w:hAnsi="Arial" w:cs="Arial"/>
                <w:color w:val="000000" w:themeColor="text1"/>
                <w:sz w:val="18"/>
                <w:szCs w:val="18"/>
                <w:lang w:val="es"/>
              </w:rPr>
              <w:t xml:space="preserve">4.305  </w:t>
            </w:r>
          </w:p>
        </w:tc>
        <w:tc>
          <w:tcPr>
            <w:tcW w:w="9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76EA07E1" w14:textId="140F46A6" w:rsidR="75B02D90" w:rsidRPr="00B710A9" w:rsidRDefault="75B02D90" w:rsidP="75B02D90">
            <w:pPr>
              <w:jc w:val="right"/>
              <w:rPr>
                <w:sz w:val="18"/>
                <w:szCs w:val="18"/>
              </w:rPr>
            </w:pPr>
            <w:r w:rsidRPr="00B710A9">
              <w:rPr>
                <w:rFonts w:ascii="Arial" w:eastAsia="Arial" w:hAnsi="Arial" w:cs="Arial"/>
                <w:color w:val="000000" w:themeColor="text1"/>
                <w:sz w:val="18"/>
                <w:szCs w:val="18"/>
                <w:lang w:val="es"/>
              </w:rPr>
              <w:t xml:space="preserve">4.214  </w:t>
            </w:r>
          </w:p>
        </w:tc>
        <w:tc>
          <w:tcPr>
            <w:tcW w:w="99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113977F4" w14:textId="65DAD8B7" w:rsidR="75B02D90" w:rsidRPr="00B710A9" w:rsidRDefault="75B02D90" w:rsidP="75B02D90">
            <w:pPr>
              <w:jc w:val="right"/>
              <w:rPr>
                <w:sz w:val="18"/>
                <w:szCs w:val="18"/>
              </w:rPr>
            </w:pPr>
            <w:r w:rsidRPr="00B710A9">
              <w:rPr>
                <w:rFonts w:ascii="Arial" w:eastAsia="Arial" w:hAnsi="Arial" w:cs="Arial"/>
                <w:color w:val="000000" w:themeColor="text1"/>
                <w:sz w:val="18"/>
                <w:szCs w:val="18"/>
                <w:lang w:val="es"/>
              </w:rPr>
              <w:t xml:space="preserve">5.598  </w:t>
            </w:r>
          </w:p>
        </w:tc>
        <w:tc>
          <w:tcPr>
            <w:tcW w:w="108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233B1C74" w14:textId="0C5D99FE" w:rsidR="75B02D90" w:rsidRPr="00B710A9" w:rsidRDefault="75B02D90" w:rsidP="75B02D90">
            <w:pPr>
              <w:jc w:val="right"/>
              <w:rPr>
                <w:sz w:val="18"/>
                <w:szCs w:val="18"/>
              </w:rPr>
            </w:pPr>
            <w:r w:rsidRPr="00B710A9">
              <w:rPr>
                <w:rFonts w:ascii="Arial" w:eastAsia="Arial" w:hAnsi="Arial" w:cs="Arial"/>
                <w:color w:val="000000" w:themeColor="text1"/>
                <w:sz w:val="18"/>
                <w:szCs w:val="18"/>
                <w:lang w:val="es"/>
              </w:rPr>
              <w:t xml:space="preserve">3.534 </w:t>
            </w:r>
          </w:p>
        </w:tc>
      </w:tr>
      <w:tr w:rsidR="75B02D90" w:rsidRPr="00B710A9" w14:paraId="0BA6983C" w14:textId="77777777" w:rsidTr="00107B04">
        <w:trPr>
          <w:trHeight w:val="270"/>
          <w:jc w:val="center"/>
        </w:trPr>
        <w:tc>
          <w:tcPr>
            <w:tcW w:w="174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tcPr>
          <w:p w14:paraId="5C360379" w14:textId="4B8E31DF" w:rsidR="75B02D90" w:rsidRPr="00B710A9" w:rsidRDefault="75B02D90" w:rsidP="75B02D90">
            <w:pPr>
              <w:jc w:val="both"/>
              <w:rPr>
                <w:sz w:val="18"/>
                <w:szCs w:val="18"/>
              </w:rPr>
            </w:pPr>
            <w:proofErr w:type="gramStart"/>
            <w:r w:rsidRPr="00B710A9">
              <w:rPr>
                <w:rFonts w:ascii="Arial" w:eastAsia="Arial" w:hAnsi="Arial" w:cs="Arial"/>
                <w:b/>
                <w:bCs/>
                <w:color w:val="222222"/>
                <w:sz w:val="18"/>
                <w:szCs w:val="18"/>
                <w:lang w:val="es"/>
              </w:rPr>
              <w:t>Total</w:t>
            </w:r>
            <w:proofErr w:type="gramEnd"/>
            <w:r w:rsidRPr="00B710A9">
              <w:rPr>
                <w:rFonts w:ascii="Arial" w:eastAsia="Arial" w:hAnsi="Arial" w:cs="Arial"/>
                <w:b/>
                <w:bCs/>
                <w:color w:val="222222"/>
                <w:sz w:val="18"/>
                <w:szCs w:val="18"/>
                <w:lang w:val="es"/>
              </w:rPr>
              <w:t xml:space="preserve"> Análisis </w:t>
            </w:r>
          </w:p>
        </w:tc>
        <w:tc>
          <w:tcPr>
            <w:tcW w:w="9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tcPr>
          <w:p w14:paraId="01679FE6" w14:textId="75C92357" w:rsidR="75B02D90" w:rsidRPr="00B710A9" w:rsidRDefault="75B02D90" w:rsidP="75B02D90">
            <w:pPr>
              <w:jc w:val="center"/>
              <w:rPr>
                <w:sz w:val="18"/>
                <w:szCs w:val="18"/>
              </w:rPr>
            </w:pPr>
            <w:r w:rsidRPr="00B710A9">
              <w:rPr>
                <w:rFonts w:ascii="Arial" w:eastAsia="Arial" w:hAnsi="Arial" w:cs="Arial"/>
                <w:b/>
                <w:bCs/>
                <w:color w:val="000000" w:themeColor="text1"/>
                <w:sz w:val="18"/>
                <w:szCs w:val="18"/>
                <w:lang w:val="es"/>
              </w:rPr>
              <w:t xml:space="preserve">94.092 </w:t>
            </w:r>
          </w:p>
        </w:tc>
        <w:tc>
          <w:tcPr>
            <w:tcW w:w="9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tcPr>
          <w:p w14:paraId="5F3111DE" w14:textId="1A79A4A4" w:rsidR="75B02D90" w:rsidRPr="00B710A9" w:rsidRDefault="75B02D90" w:rsidP="75B02D90">
            <w:pPr>
              <w:jc w:val="right"/>
              <w:rPr>
                <w:sz w:val="18"/>
                <w:szCs w:val="18"/>
              </w:rPr>
            </w:pPr>
            <w:r w:rsidRPr="00B710A9">
              <w:rPr>
                <w:rFonts w:ascii="Arial" w:eastAsia="Arial" w:hAnsi="Arial" w:cs="Arial"/>
                <w:b/>
                <w:bCs/>
                <w:color w:val="000000" w:themeColor="text1"/>
                <w:sz w:val="18"/>
                <w:szCs w:val="18"/>
                <w:lang w:val="es"/>
              </w:rPr>
              <w:t xml:space="preserve">48.682 </w:t>
            </w:r>
          </w:p>
        </w:tc>
        <w:tc>
          <w:tcPr>
            <w:tcW w:w="99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tcPr>
          <w:p w14:paraId="3E850970" w14:textId="1BC18E61" w:rsidR="75B02D90" w:rsidRPr="00B710A9" w:rsidRDefault="75B02D90" w:rsidP="75B02D90">
            <w:pPr>
              <w:jc w:val="right"/>
              <w:rPr>
                <w:sz w:val="18"/>
                <w:szCs w:val="18"/>
              </w:rPr>
            </w:pPr>
            <w:r w:rsidRPr="00B710A9">
              <w:rPr>
                <w:rFonts w:ascii="Arial" w:eastAsia="Arial" w:hAnsi="Arial" w:cs="Arial"/>
                <w:b/>
                <w:bCs/>
                <w:color w:val="000000" w:themeColor="text1"/>
                <w:sz w:val="18"/>
                <w:szCs w:val="18"/>
                <w:lang w:val="es"/>
              </w:rPr>
              <w:t xml:space="preserve">82.137 </w:t>
            </w:r>
          </w:p>
        </w:tc>
        <w:tc>
          <w:tcPr>
            <w:tcW w:w="108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tcPr>
          <w:p w14:paraId="2C876F77" w14:textId="22B36EE3" w:rsidR="75B02D90" w:rsidRPr="00B710A9" w:rsidRDefault="75B02D90" w:rsidP="75B02D90">
            <w:pPr>
              <w:jc w:val="right"/>
              <w:rPr>
                <w:sz w:val="18"/>
                <w:szCs w:val="18"/>
              </w:rPr>
            </w:pPr>
            <w:r w:rsidRPr="00B710A9">
              <w:rPr>
                <w:rFonts w:ascii="Arial" w:eastAsia="Arial" w:hAnsi="Arial" w:cs="Arial"/>
                <w:b/>
                <w:bCs/>
                <w:color w:val="000000" w:themeColor="text1"/>
                <w:sz w:val="18"/>
                <w:szCs w:val="18"/>
                <w:lang w:val="es"/>
              </w:rPr>
              <w:t xml:space="preserve">27.733 </w:t>
            </w:r>
          </w:p>
        </w:tc>
      </w:tr>
    </w:tbl>
    <w:p w14:paraId="06FD00CD" w14:textId="210A9663" w:rsidR="13D13739" w:rsidRPr="00B710A9" w:rsidRDefault="75B02D90" w:rsidP="75B02D90">
      <w:pPr>
        <w:spacing w:after="0" w:line="240" w:lineRule="auto"/>
        <w:jc w:val="center"/>
      </w:pPr>
      <w:r w:rsidRPr="00B710A9">
        <w:rPr>
          <w:rFonts w:ascii="Arial" w:eastAsia="Arial" w:hAnsi="Arial" w:cs="Arial"/>
          <w:b/>
          <w:bCs/>
          <w:lang w:val="es"/>
        </w:rPr>
        <w:t xml:space="preserve"> </w:t>
      </w:r>
    </w:p>
    <w:p w14:paraId="1BF5546A" w14:textId="2BE43F4B" w:rsidR="13D13739" w:rsidRPr="00B710A9" w:rsidRDefault="75B02D90" w:rsidP="75B02D90">
      <w:pPr>
        <w:spacing w:after="0" w:line="240" w:lineRule="auto"/>
        <w:jc w:val="center"/>
      </w:pPr>
      <w:r w:rsidRPr="00B710A9">
        <w:rPr>
          <w:rFonts w:ascii="Arial" w:eastAsia="Arial" w:hAnsi="Arial" w:cs="Arial"/>
          <w:b/>
          <w:bCs/>
          <w:color w:val="000000" w:themeColor="text1"/>
          <w:sz w:val="16"/>
          <w:szCs w:val="16"/>
          <w:lang w:val="es-MX"/>
        </w:rPr>
        <w:t xml:space="preserve">Fuente: IGAC. Dirección de Gestión de la Información Geográfica </w:t>
      </w:r>
    </w:p>
    <w:p w14:paraId="2C3D794A" w14:textId="1C407535" w:rsidR="13D13739" w:rsidRPr="00B710A9" w:rsidRDefault="75B02D90" w:rsidP="00024431">
      <w:pPr>
        <w:spacing w:after="0" w:line="240" w:lineRule="auto"/>
        <w:jc w:val="center"/>
      </w:pPr>
      <w:r w:rsidRPr="00B710A9">
        <w:rPr>
          <w:rFonts w:ascii="Arial" w:eastAsia="Arial" w:hAnsi="Arial" w:cs="Arial"/>
          <w:b/>
          <w:bCs/>
          <w:color w:val="000000" w:themeColor="text1"/>
          <w:lang w:val="es-MX"/>
        </w:rPr>
        <w:t xml:space="preserve"> </w:t>
      </w:r>
    </w:p>
    <w:p w14:paraId="4375916C" w14:textId="3F808CBB" w:rsidR="13D13739" w:rsidRPr="00B710A9" w:rsidRDefault="75B02D90" w:rsidP="75B02D90">
      <w:pPr>
        <w:spacing w:after="0" w:line="257"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Es preciso mencionar, que las cifras presentadas corresponden al reporte generado por el Sistema de Información de Gestión Geográfica.</w:t>
      </w:r>
    </w:p>
    <w:p w14:paraId="51F739C8" w14:textId="29492912" w:rsidR="13D13739" w:rsidRPr="00B710A9" w:rsidRDefault="75B02D90" w:rsidP="009D279A">
      <w:pPr>
        <w:spacing w:after="0" w:line="240" w:lineRule="auto"/>
        <w:jc w:val="both"/>
        <w:rPr>
          <w:rFonts w:ascii="Arial" w:eastAsia="Arial" w:hAnsi="Arial" w:cs="Arial"/>
          <w:lang w:val="es"/>
        </w:rPr>
      </w:pPr>
      <w:r w:rsidRPr="00B710A9">
        <w:rPr>
          <w:rFonts w:ascii="Arial" w:eastAsia="Arial" w:hAnsi="Arial" w:cs="Arial"/>
          <w:lang w:val="es"/>
        </w:rPr>
        <w:t xml:space="preserve"> </w:t>
      </w:r>
    </w:p>
    <w:p w14:paraId="381BFEA4" w14:textId="2CC3C2A2" w:rsidR="13D13739" w:rsidRPr="00B710A9" w:rsidRDefault="75B02D90"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Relacionado con lo anterior, a continuación, se muestra el comportamiento durante las vigencias 2019 a 30 de junio de 2022 de las solicitudes de análisis, tanto de clientes internos (Contratos y convenios de la Subdirección de Agrología) como externos:</w:t>
      </w:r>
    </w:p>
    <w:p w14:paraId="5B0193CF" w14:textId="0FAC6177" w:rsidR="13D13739" w:rsidRPr="00B710A9" w:rsidRDefault="75B02D90" w:rsidP="009D279A">
      <w:pPr>
        <w:spacing w:after="0" w:line="240" w:lineRule="auto"/>
        <w:jc w:val="both"/>
      </w:pPr>
      <w:r w:rsidRPr="00B710A9">
        <w:rPr>
          <w:rFonts w:ascii="Arial" w:eastAsia="Arial" w:hAnsi="Arial" w:cs="Arial"/>
          <w:color w:val="000000" w:themeColor="text1"/>
          <w:sz w:val="22"/>
          <w:szCs w:val="22"/>
        </w:rPr>
        <w:t xml:space="preserve"> </w:t>
      </w:r>
    </w:p>
    <w:p w14:paraId="64727FFE" w14:textId="01C68F3A" w:rsidR="00107B04" w:rsidRPr="00B710A9" w:rsidRDefault="75B02D90"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 </w:t>
      </w:r>
    </w:p>
    <w:p w14:paraId="6326576C" w14:textId="77777777" w:rsidR="0027763F" w:rsidRPr="00B710A9" w:rsidRDefault="0027763F" w:rsidP="009D279A">
      <w:pPr>
        <w:spacing w:after="0" w:line="240" w:lineRule="auto"/>
        <w:jc w:val="both"/>
        <w:rPr>
          <w:rFonts w:ascii="Arial" w:eastAsia="Arial" w:hAnsi="Arial" w:cs="Arial"/>
          <w:color w:val="000000" w:themeColor="text1"/>
          <w:sz w:val="22"/>
          <w:szCs w:val="22"/>
        </w:rPr>
      </w:pPr>
    </w:p>
    <w:p w14:paraId="5538B3B6" w14:textId="77777777" w:rsidR="0027763F" w:rsidRPr="00B710A9" w:rsidRDefault="0027763F" w:rsidP="009D279A">
      <w:pPr>
        <w:spacing w:after="0" w:line="240" w:lineRule="auto"/>
        <w:jc w:val="both"/>
        <w:rPr>
          <w:rFonts w:ascii="Arial" w:eastAsia="Arial" w:hAnsi="Arial" w:cs="Arial"/>
          <w:color w:val="000000" w:themeColor="text1"/>
          <w:sz w:val="22"/>
          <w:szCs w:val="22"/>
        </w:rPr>
      </w:pPr>
    </w:p>
    <w:p w14:paraId="3FD69901" w14:textId="77777777" w:rsidR="0027763F" w:rsidRPr="00B710A9" w:rsidRDefault="0027763F" w:rsidP="009D279A">
      <w:pPr>
        <w:spacing w:after="0" w:line="240" w:lineRule="auto"/>
        <w:jc w:val="both"/>
      </w:pPr>
    </w:p>
    <w:p w14:paraId="7AA6FD20" w14:textId="77777777" w:rsidR="00107B04" w:rsidRPr="00B710A9" w:rsidRDefault="00107B04" w:rsidP="009D279A">
      <w:pPr>
        <w:spacing w:after="0" w:line="240" w:lineRule="auto"/>
        <w:jc w:val="both"/>
      </w:pPr>
    </w:p>
    <w:p w14:paraId="1FFF3FE9" w14:textId="0AAE3B1F" w:rsidR="13D13739" w:rsidRPr="00B710A9" w:rsidRDefault="00DA62EA" w:rsidP="00DA62EA">
      <w:pPr>
        <w:pStyle w:val="Descripcin"/>
        <w:jc w:val="center"/>
        <w:rPr>
          <w:rFonts w:ascii="Arial" w:hAnsi="Arial" w:cs="Arial"/>
          <w:b/>
          <w:bCs/>
          <w:i w:val="0"/>
          <w:iCs w:val="0"/>
          <w:color w:val="000000" w:themeColor="text1"/>
        </w:rPr>
      </w:pPr>
      <w:bookmarkStart w:id="14" w:name="_Toc109057773"/>
      <w:r w:rsidRPr="00B710A9">
        <w:rPr>
          <w:rFonts w:ascii="Arial" w:hAnsi="Arial" w:cs="Arial"/>
          <w:b/>
          <w:bCs/>
          <w:i w:val="0"/>
          <w:iCs w:val="0"/>
          <w:color w:val="000000" w:themeColor="text1"/>
        </w:rPr>
        <w:t xml:space="preserve">Ilustración </w:t>
      </w:r>
      <w:r w:rsidRPr="00B710A9">
        <w:rPr>
          <w:rFonts w:ascii="Arial" w:hAnsi="Arial" w:cs="Arial"/>
          <w:b/>
          <w:bCs/>
          <w:i w:val="0"/>
          <w:iCs w:val="0"/>
          <w:color w:val="000000" w:themeColor="text1"/>
        </w:rPr>
        <w:fldChar w:fldCharType="begin"/>
      </w:r>
      <w:r w:rsidRPr="00B710A9">
        <w:rPr>
          <w:rFonts w:ascii="Arial" w:hAnsi="Arial" w:cs="Arial"/>
          <w:b/>
          <w:bCs/>
          <w:i w:val="0"/>
          <w:iCs w:val="0"/>
          <w:color w:val="000000" w:themeColor="text1"/>
        </w:rPr>
        <w:instrText xml:space="preserve"> SEQ Ilustración \* ARABIC </w:instrText>
      </w:r>
      <w:r w:rsidRPr="00B710A9">
        <w:rPr>
          <w:rFonts w:ascii="Arial" w:hAnsi="Arial" w:cs="Arial"/>
          <w:b/>
          <w:bCs/>
          <w:i w:val="0"/>
          <w:iCs w:val="0"/>
          <w:color w:val="000000" w:themeColor="text1"/>
        </w:rPr>
        <w:fldChar w:fldCharType="separate"/>
      </w:r>
      <w:r w:rsidR="00735F5D" w:rsidRPr="00B710A9">
        <w:rPr>
          <w:rFonts w:ascii="Arial" w:hAnsi="Arial" w:cs="Arial"/>
          <w:b/>
          <w:bCs/>
          <w:i w:val="0"/>
          <w:iCs w:val="0"/>
          <w:noProof/>
          <w:color w:val="000000" w:themeColor="text1"/>
        </w:rPr>
        <w:t>3</w:t>
      </w:r>
      <w:r w:rsidRPr="00B710A9">
        <w:rPr>
          <w:rFonts w:ascii="Arial" w:hAnsi="Arial" w:cs="Arial"/>
          <w:b/>
          <w:bCs/>
          <w:i w:val="0"/>
          <w:iCs w:val="0"/>
          <w:color w:val="000000" w:themeColor="text1"/>
        </w:rPr>
        <w:fldChar w:fldCharType="end"/>
      </w:r>
      <w:r w:rsidRPr="00B710A9">
        <w:rPr>
          <w:rFonts w:ascii="Arial" w:hAnsi="Arial" w:cs="Arial"/>
          <w:b/>
          <w:bCs/>
          <w:i w:val="0"/>
          <w:iCs w:val="0"/>
          <w:color w:val="000000" w:themeColor="text1"/>
        </w:rPr>
        <w:t>. Solicitudes de análisis - Clientes Externos 2019-2022</w:t>
      </w:r>
      <w:bookmarkEnd w:id="14"/>
    </w:p>
    <w:p w14:paraId="78F49E02" w14:textId="4365DD2B" w:rsidR="13D13739" w:rsidRPr="00B710A9" w:rsidRDefault="13D13739" w:rsidP="75B02D90">
      <w:pPr>
        <w:spacing w:after="0" w:line="240" w:lineRule="auto"/>
        <w:jc w:val="center"/>
      </w:pPr>
    </w:p>
    <w:p w14:paraId="3A6181A0" w14:textId="3656B4A9" w:rsidR="13D13739" w:rsidRPr="00B710A9" w:rsidRDefault="75B02D90" w:rsidP="75B02D90">
      <w:pPr>
        <w:spacing w:after="0" w:line="240" w:lineRule="auto"/>
        <w:jc w:val="center"/>
      </w:pPr>
      <w:r w:rsidRPr="00B710A9">
        <w:rPr>
          <w:noProof/>
        </w:rPr>
        <w:drawing>
          <wp:inline distT="0" distB="0" distL="0" distR="0" wp14:anchorId="5ED69394" wp14:editId="7196A786">
            <wp:extent cx="4572000" cy="2400300"/>
            <wp:effectExtent l="0" t="0" r="0" b="0"/>
            <wp:docPr id="1110242164" name="Imagen 111024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2400300"/>
                    </a:xfrm>
                    <a:prstGeom prst="rect">
                      <a:avLst/>
                    </a:prstGeom>
                  </pic:spPr>
                </pic:pic>
              </a:graphicData>
            </a:graphic>
          </wp:inline>
        </w:drawing>
      </w:r>
    </w:p>
    <w:p w14:paraId="468E59E0" w14:textId="1816A85F" w:rsidR="13D13739" w:rsidRPr="00B710A9" w:rsidRDefault="75B02D90" w:rsidP="75B02D90">
      <w:pPr>
        <w:spacing w:after="0" w:line="240" w:lineRule="auto"/>
        <w:jc w:val="center"/>
      </w:pPr>
      <w:r w:rsidRPr="00B710A9">
        <w:rPr>
          <w:rFonts w:ascii="Arial" w:eastAsia="Arial" w:hAnsi="Arial" w:cs="Arial"/>
          <w:b/>
          <w:bCs/>
          <w:color w:val="000000" w:themeColor="text1"/>
          <w:sz w:val="16"/>
          <w:szCs w:val="16"/>
          <w:lang w:val="es-MX"/>
        </w:rPr>
        <w:t xml:space="preserve">Fuente: IGAC. Dirección de Gestión de la Información Geográfica </w:t>
      </w:r>
    </w:p>
    <w:p w14:paraId="58EF4CFA" w14:textId="6ADB7CD2" w:rsidR="13D13739" w:rsidRPr="00B710A9" w:rsidRDefault="75B02D90" w:rsidP="009D279A">
      <w:pPr>
        <w:spacing w:after="0" w:line="240" w:lineRule="auto"/>
        <w:jc w:val="both"/>
      </w:pPr>
      <w:r w:rsidRPr="00B710A9">
        <w:rPr>
          <w:rFonts w:ascii="Arial" w:eastAsia="Arial" w:hAnsi="Arial" w:cs="Arial"/>
          <w:color w:val="222222"/>
        </w:rPr>
        <w:t xml:space="preserve"> </w:t>
      </w:r>
    </w:p>
    <w:p w14:paraId="2569015A" w14:textId="19CFEFF1" w:rsidR="13D13739" w:rsidRPr="00B710A9" w:rsidRDefault="75B02D90" w:rsidP="009D279A">
      <w:pPr>
        <w:spacing w:after="0" w:line="240" w:lineRule="auto"/>
        <w:jc w:val="both"/>
      </w:pPr>
      <w:r w:rsidRPr="00B710A9">
        <w:rPr>
          <w:rFonts w:ascii="Arial" w:eastAsia="Arial" w:hAnsi="Arial" w:cs="Arial"/>
          <w:color w:val="222222"/>
        </w:rPr>
        <w:t xml:space="preserve"> </w:t>
      </w:r>
    </w:p>
    <w:p w14:paraId="522DC156" w14:textId="22402C80" w:rsidR="00640496" w:rsidRPr="00B710A9" w:rsidRDefault="75B02D90" w:rsidP="00640496">
      <w:pPr>
        <w:spacing w:after="0" w:line="240" w:lineRule="auto"/>
        <w:jc w:val="both"/>
      </w:pPr>
      <w:r w:rsidRPr="00B710A9">
        <w:rPr>
          <w:rFonts w:ascii="Arial" w:eastAsia="Arial" w:hAnsi="Arial" w:cs="Arial"/>
          <w:color w:val="222222"/>
        </w:rPr>
        <w:t xml:space="preserve"> </w:t>
      </w:r>
    </w:p>
    <w:p w14:paraId="5A5E1BA2" w14:textId="4FF3250E" w:rsidR="13D13739" w:rsidRPr="00B710A9" w:rsidRDefault="00640496" w:rsidP="00640496">
      <w:pPr>
        <w:pStyle w:val="Descripcin"/>
        <w:jc w:val="center"/>
        <w:rPr>
          <w:rFonts w:ascii="Arial" w:hAnsi="Arial" w:cs="Arial"/>
          <w:b/>
          <w:bCs/>
          <w:i w:val="0"/>
          <w:iCs w:val="0"/>
          <w:color w:val="000000" w:themeColor="text1"/>
          <w:sz w:val="16"/>
          <w:szCs w:val="16"/>
        </w:rPr>
      </w:pPr>
      <w:bookmarkStart w:id="15" w:name="_Toc109057774"/>
      <w:r w:rsidRPr="00B710A9">
        <w:rPr>
          <w:rFonts w:ascii="Arial" w:hAnsi="Arial" w:cs="Arial"/>
          <w:b/>
          <w:bCs/>
          <w:i w:val="0"/>
          <w:iCs w:val="0"/>
          <w:color w:val="000000" w:themeColor="text1"/>
          <w:sz w:val="16"/>
          <w:szCs w:val="16"/>
        </w:rPr>
        <w:t xml:space="preserve">Ilustración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Ilustración \* ARABIC </w:instrText>
      </w:r>
      <w:r w:rsidRPr="00B710A9">
        <w:rPr>
          <w:rFonts w:ascii="Arial" w:hAnsi="Arial" w:cs="Arial"/>
          <w:b/>
          <w:bCs/>
          <w:i w:val="0"/>
          <w:iCs w:val="0"/>
          <w:color w:val="000000" w:themeColor="text1"/>
          <w:sz w:val="16"/>
          <w:szCs w:val="16"/>
        </w:rPr>
        <w:fldChar w:fldCharType="separate"/>
      </w:r>
      <w:r w:rsidR="00735F5D" w:rsidRPr="00B710A9">
        <w:rPr>
          <w:rFonts w:ascii="Arial" w:hAnsi="Arial" w:cs="Arial"/>
          <w:b/>
          <w:bCs/>
          <w:i w:val="0"/>
          <w:iCs w:val="0"/>
          <w:noProof/>
          <w:color w:val="000000" w:themeColor="text1"/>
          <w:sz w:val="16"/>
          <w:szCs w:val="16"/>
        </w:rPr>
        <w:t>4</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Solicitudes de análisis - Clientes Internos 2020-2022</w:t>
      </w:r>
      <w:bookmarkEnd w:id="15"/>
    </w:p>
    <w:p w14:paraId="3E1ED269" w14:textId="64365034" w:rsidR="13D13739" w:rsidRPr="00B710A9" w:rsidRDefault="75B02D90" w:rsidP="75B02D90">
      <w:pPr>
        <w:spacing w:after="0" w:line="240" w:lineRule="auto"/>
        <w:jc w:val="center"/>
      </w:pPr>
      <w:r w:rsidRPr="00B710A9">
        <w:rPr>
          <w:noProof/>
        </w:rPr>
        <w:lastRenderedPageBreak/>
        <w:drawing>
          <wp:inline distT="0" distB="0" distL="0" distR="0" wp14:anchorId="33E1D7D5" wp14:editId="6DD1BE86">
            <wp:extent cx="4572000" cy="2276475"/>
            <wp:effectExtent l="0" t="0" r="0" b="0"/>
            <wp:docPr id="1016034655" name="Imagen 101603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276475"/>
                    </a:xfrm>
                    <a:prstGeom prst="rect">
                      <a:avLst/>
                    </a:prstGeom>
                  </pic:spPr>
                </pic:pic>
              </a:graphicData>
            </a:graphic>
          </wp:inline>
        </w:drawing>
      </w:r>
      <w:r w:rsidR="13D13739" w:rsidRPr="00B710A9">
        <w:br/>
      </w:r>
      <w:r w:rsidR="13D13739" w:rsidRPr="00B710A9">
        <w:br/>
      </w:r>
      <w:r w:rsidRPr="00B710A9">
        <w:rPr>
          <w:rFonts w:ascii="Arial" w:eastAsia="Arial" w:hAnsi="Arial" w:cs="Arial"/>
          <w:b/>
          <w:bCs/>
          <w:color w:val="000000" w:themeColor="text1"/>
          <w:sz w:val="16"/>
          <w:szCs w:val="16"/>
          <w:lang w:val="es-MX"/>
        </w:rPr>
        <w:t>Fuente: IGAC. Dirección de Gestión de la Información Geográfica</w:t>
      </w:r>
    </w:p>
    <w:p w14:paraId="060E2B87" w14:textId="4F99A114" w:rsidR="13D13739" w:rsidRPr="00B710A9" w:rsidRDefault="13D13739" w:rsidP="75B02D90">
      <w:pPr>
        <w:spacing w:after="0" w:line="240" w:lineRule="auto"/>
        <w:jc w:val="both"/>
      </w:pPr>
    </w:p>
    <w:p w14:paraId="6EBFE746" w14:textId="696CEA0A" w:rsidR="13D13739" w:rsidRPr="00B710A9" w:rsidRDefault="13D13739" w:rsidP="75B02D90">
      <w:pPr>
        <w:spacing w:after="0" w:line="240" w:lineRule="auto"/>
        <w:jc w:val="both"/>
      </w:pPr>
    </w:p>
    <w:p w14:paraId="4E64566A" w14:textId="77777777" w:rsidR="00AB6076" w:rsidRPr="00B710A9" w:rsidRDefault="00AB6076" w:rsidP="00AB6076">
      <w:pPr>
        <w:pBdr>
          <w:top w:val="nil"/>
          <w:left w:val="nil"/>
          <w:bottom w:val="nil"/>
          <w:right w:val="nil"/>
          <w:between w:val="nil"/>
        </w:pBdr>
        <w:spacing w:after="0" w:line="240" w:lineRule="auto"/>
      </w:pPr>
    </w:p>
    <w:p w14:paraId="65ECB348" w14:textId="6EC9181D" w:rsidR="00AB6076" w:rsidRPr="00B710A9" w:rsidRDefault="00AB6076" w:rsidP="00AB6076">
      <w:pPr>
        <w:pBdr>
          <w:top w:val="nil"/>
          <w:left w:val="nil"/>
          <w:bottom w:val="nil"/>
          <w:right w:val="nil"/>
          <w:between w:val="nil"/>
        </w:pBdr>
        <w:spacing w:after="0" w:line="240" w:lineRule="auto"/>
        <w:rPr>
          <w:rFonts w:ascii="Arial" w:eastAsia="Arial" w:hAnsi="Arial" w:cs="Arial"/>
          <w:b/>
          <w:color w:val="000000" w:themeColor="text1"/>
          <w:sz w:val="22"/>
          <w:szCs w:val="22"/>
          <w:u w:val="single"/>
        </w:rPr>
      </w:pPr>
      <w:r w:rsidRPr="00B710A9">
        <w:rPr>
          <w:rFonts w:ascii="Arial" w:eastAsia="Arial" w:hAnsi="Arial" w:cs="Arial"/>
          <w:b/>
          <w:color w:val="000000" w:themeColor="text1"/>
          <w:sz w:val="22"/>
          <w:szCs w:val="22"/>
          <w:u w:val="single"/>
        </w:rPr>
        <w:t>Acreditación del Laboratorio Nacional de Suelos</w:t>
      </w:r>
    </w:p>
    <w:p w14:paraId="011A1818" w14:textId="77777777" w:rsidR="00AB6076" w:rsidRPr="00B710A9" w:rsidRDefault="00AB6076" w:rsidP="75B02D90">
      <w:pPr>
        <w:spacing w:after="0" w:line="240" w:lineRule="auto"/>
        <w:jc w:val="both"/>
        <w:rPr>
          <w:rFonts w:ascii="Arial" w:hAnsi="Arial" w:cs="Arial"/>
          <w:sz w:val="22"/>
          <w:szCs w:val="22"/>
        </w:rPr>
      </w:pPr>
    </w:p>
    <w:p w14:paraId="3608DF07" w14:textId="3FF9F298" w:rsidR="00AB6076" w:rsidRPr="00B710A9" w:rsidRDefault="00AB6076" w:rsidP="00AB6076">
      <w:pPr>
        <w:spacing w:line="240" w:lineRule="exact"/>
        <w:jc w:val="both"/>
        <w:rPr>
          <w:rFonts w:ascii="Arial" w:hAnsi="Arial" w:cs="Arial"/>
          <w:sz w:val="22"/>
          <w:szCs w:val="22"/>
        </w:rPr>
      </w:pPr>
      <w:r w:rsidRPr="00B710A9">
        <w:rPr>
          <w:rFonts w:ascii="Arial" w:eastAsia="Arial" w:hAnsi="Arial" w:cs="Arial"/>
          <w:color w:val="000000" w:themeColor="text1"/>
          <w:sz w:val="22"/>
          <w:szCs w:val="22"/>
          <w:lang w:val="es"/>
        </w:rPr>
        <w:t>Mediante Resolución No. 1149 de 7 de octubre de 2021, se otorgó la acreditación al Laboratorio Nacional de Suelos del Instituto Geográfico Agustín Codazzi, para las determinaciones del paquete Q-01</w:t>
      </w:r>
      <w:r w:rsidRPr="00B710A9">
        <w:rPr>
          <w:rFonts w:ascii="Arial" w:eastAsia="Arial" w:hAnsi="Arial" w:cs="Arial"/>
          <w:color w:val="FF0000"/>
          <w:sz w:val="22"/>
          <w:szCs w:val="22"/>
          <w:lang w:val="es"/>
        </w:rPr>
        <w:t>.</w:t>
      </w:r>
    </w:p>
    <w:p w14:paraId="5961EC39" w14:textId="77777777" w:rsidR="00AB6076" w:rsidRPr="00B710A9" w:rsidRDefault="00AB6076" w:rsidP="00AB6076">
      <w:pPr>
        <w:jc w:val="both"/>
        <w:textAlignment w:val="baseline"/>
        <w:rPr>
          <w:rFonts w:ascii="Arial" w:eastAsia="Arial" w:hAnsi="Arial" w:cs="Arial"/>
          <w:color w:val="000000" w:themeColor="text1"/>
          <w:sz w:val="22"/>
          <w:szCs w:val="22"/>
          <w:lang w:val="es"/>
        </w:rPr>
      </w:pPr>
      <w:r w:rsidRPr="00B710A9">
        <w:rPr>
          <w:rFonts w:ascii="Arial" w:hAnsi="Arial" w:cs="Arial"/>
          <w:color w:val="000000"/>
          <w:sz w:val="22"/>
          <w:szCs w:val="22"/>
        </w:rPr>
        <w:t xml:space="preserve">Con el propósito de mantener la acreditación, durante el 2022, se ha realizado la revisión de los instructivos que soportan la gestión del LNS al igual que sus respectivos formatos; se recolectaron los residuos peligrosos de acuerdo con lo establecido con el instructivo “Manejo de residuos analíticos en el Laboratorio Nacional </w:t>
      </w:r>
      <w:r w:rsidRPr="00B710A9">
        <w:rPr>
          <w:rFonts w:ascii="Arial" w:eastAsia="Arial" w:hAnsi="Arial" w:cs="Arial"/>
          <w:color w:val="000000" w:themeColor="text1"/>
          <w:sz w:val="22"/>
          <w:szCs w:val="22"/>
          <w:lang w:val="es"/>
        </w:rPr>
        <w:t>de Suelos” y se llevó a cabo la verificación de 16 Balanzas, 18 micropipetas, 3 Dispensadores, 7 tamices y 2 hornos de acuerdo con lo programado. </w:t>
      </w:r>
    </w:p>
    <w:p w14:paraId="2B75F130" w14:textId="77777777" w:rsidR="00AB6076" w:rsidRPr="00B710A9" w:rsidRDefault="00AB6076" w:rsidP="00AB6076">
      <w:pPr>
        <w:jc w:val="both"/>
        <w:textAlignment w:val="baseline"/>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Asimismo, se gestionaron dos procesos de contratación relacionados con la prestación del servicio de calibración acreditada de equipos e instrumentos del Laboratorio Nacional de Suelos”, el cual fue adjudicado y celebrado en el mes de junio y el proceso de prestación del servicio de calibración acreditada de equipos e instrumentos del Laboratorio Nacional de Suelos, el cual se encuentra en proceso de evaluación y observaciones.    </w:t>
      </w:r>
    </w:p>
    <w:p w14:paraId="6BB3F708" w14:textId="77777777" w:rsidR="00AB6076" w:rsidRPr="00B710A9" w:rsidRDefault="00AB6076" w:rsidP="00AB6076">
      <w:pPr>
        <w:jc w:val="both"/>
        <w:rPr>
          <w:rFonts w:ascii="Arial" w:hAnsi="Arial" w:cs="Arial"/>
          <w:sz w:val="22"/>
          <w:szCs w:val="22"/>
        </w:rPr>
      </w:pPr>
      <w:r w:rsidRPr="00B710A9">
        <w:rPr>
          <w:rFonts w:ascii="Arial" w:eastAsia="Arial" w:hAnsi="Arial" w:cs="Arial"/>
          <w:color w:val="000000" w:themeColor="text1"/>
          <w:sz w:val="22"/>
          <w:szCs w:val="22"/>
          <w:lang w:val="es"/>
        </w:rPr>
        <w:t>Adicionalmente, por el buen desempeño del LNS, la Red Mundial de Laboratorios de Suelos – GLOSOLAN otorgó un reconocimiento que consiste en la adjudicación de un equipo de centrifugado, el cual será utilizado en procesos analíticos principalmente en el tema de física de suelos. Esta es una donación por parte de la FAO que se dio por medio de apoyos financieros de empresas donantes a la Red.</w:t>
      </w:r>
    </w:p>
    <w:p w14:paraId="3B32ECBB" w14:textId="3065CF4D" w:rsidR="13D13739" w:rsidRPr="00B710A9" w:rsidRDefault="13D13739" w:rsidP="75B02D90">
      <w:pPr>
        <w:spacing w:after="0" w:line="240" w:lineRule="auto"/>
        <w:jc w:val="both"/>
      </w:pPr>
    </w:p>
    <w:p w14:paraId="5E0B5294" w14:textId="6B0BB5D7" w:rsidR="13D13739" w:rsidRPr="00B710A9" w:rsidRDefault="13D13739" w:rsidP="75B02D90">
      <w:pPr>
        <w:spacing w:after="0" w:line="240" w:lineRule="auto"/>
        <w:jc w:val="both"/>
        <w:rPr>
          <w:rFonts w:ascii="Arial" w:hAnsi="Arial" w:cs="Arial"/>
          <w:color w:val="000000" w:themeColor="text1"/>
          <w:sz w:val="22"/>
          <w:szCs w:val="22"/>
        </w:rPr>
      </w:pPr>
    </w:p>
    <w:p w14:paraId="3359C4CE" w14:textId="0BC0FE1C" w:rsidR="008C4A23" w:rsidRPr="00B710A9" w:rsidRDefault="00526830" w:rsidP="00356A3E">
      <w:pPr>
        <w:pStyle w:val="Prrafodelista"/>
        <w:numPr>
          <w:ilvl w:val="0"/>
          <w:numId w:val="51"/>
        </w:numPr>
        <w:pBdr>
          <w:top w:val="nil"/>
          <w:left w:val="nil"/>
          <w:bottom w:val="nil"/>
          <w:right w:val="nil"/>
          <w:between w:val="nil"/>
        </w:pBdr>
        <w:spacing w:after="0" w:line="240" w:lineRule="auto"/>
        <w:rPr>
          <w:rFonts w:ascii="Arial" w:eastAsia="Arial" w:hAnsi="Arial" w:cs="Arial"/>
          <w:b/>
          <w:color w:val="000000" w:themeColor="text1"/>
          <w:sz w:val="22"/>
          <w:szCs w:val="22"/>
        </w:rPr>
      </w:pPr>
      <w:r w:rsidRPr="00B710A9">
        <w:rPr>
          <w:rFonts w:ascii="Arial" w:eastAsia="Arial" w:hAnsi="Arial" w:cs="Arial"/>
          <w:b/>
          <w:color w:val="000000" w:themeColor="text1"/>
          <w:sz w:val="22"/>
          <w:szCs w:val="22"/>
        </w:rPr>
        <w:t>Avalúos catastrales</w:t>
      </w:r>
    </w:p>
    <w:p w14:paraId="49DD644F" w14:textId="280CF84C" w:rsidR="19B98323" w:rsidRPr="00B710A9" w:rsidRDefault="19B98323" w:rsidP="009D279A">
      <w:pPr>
        <w:spacing w:after="0" w:line="240" w:lineRule="auto"/>
        <w:jc w:val="both"/>
        <w:rPr>
          <w:rFonts w:ascii="Arial" w:eastAsia="Arial" w:hAnsi="Arial" w:cs="Arial"/>
          <w:b/>
          <w:color w:val="000000" w:themeColor="text1"/>
          <w:sz w:val="22"/>
          <w:szCs w:val="22"/>
        </w:rPr>
      </w:pPr>
    </w:p>
    <w:p w14:paraId="694A66C1" w14:textId="35218CD5" w:rsidR="666A80FD" w:rsidRPr="00B710A9" w:rsidRDefault="666A80FD"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El IGAC, presta el servicio de realización de avalúos administrativos y comerciales a nivel nacional, para lo cual desarrolla las siguientes actividades:</w:t>
      </w:r>
    </w:p>
    <w:p w14:paraId="2F7180B3" w14:textId="7ED5B9E2" w:rsidR="666A80FD" w:rsidRPr="00B710A9" w:rsidRDefault="666A80FD" w:rsidP="00356A3E">
      <w:pPr>
        <w:pStyle w:val="Prrafodelista"/>
        <w:numPr>
          <w:ilvl w:val="0"/>
          <w:numId w:val="26"/>
        </w:num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lastRenderedPageBreak/>
        <w:t>Elaborar y comunicar los avalúos de bienes inmuebles de interés para el Estado en todo el territorio nacional, de conformidad con las disposiciones vigentes</w:t>
      </w:r>
    </w:p>
    <w:p w14:paraId="40C2472B" w14:textId="3505B16D" w:rsidR="666A80FD" w:rsidRPr="00B710A9" w:rsidRDefault="666A80FD" w:rsidP="00356A3E">
      <w:pPr>
        <w:pStyle w:val="Prrafodelista"/>
        <w:numPr>
          <w:ilvl w:val="0"/>
          <w:numId w:val="26"/>
        </w:num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Realizar avalúos de inmuebles de los particulares con fines privados</w:t>
      </w:r>
    </w:p>
    <w:p w14:paraId="3A467045" w14:textId="10388A23" w:rsidR="666A80FD" w:rsidRPr="00B710A9" w:rsidRDefault="666A80FD" w:rsidP="00356A3E">
      <w:pPr>
        <w:pStyle w:val="Prrafodelista"/>
        <w:numPr>
          <w:ilvl w:val="0"/>
          <w:numId w:val="26"/>
        </w:num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Elaborar y comunicar los </w:t>
      </w:r>
      <w:proofErr w:type="spellStart"/>
      <w:r w:rsidRPr="00B710A9">
        <w:rPr>
          <w:rFonts w:ascii="Arial" w:eastAsia="Arial" w:hAnsi="Arial" w:cs="Arial"/>
          <w:color w:val="000000" w:themeColor="text1"/>
          <w:sz w:val="22"/>
          <w:szCs w:val="22"/>
        </w:rPr>
        <w:t>peritazgos</w:t>
      </w:r>
      <w:proofErr w:type="spellEnd"/>
      <w:r w:rsidRPr="00B710A9">
        <w:rPr>
          <w:rFonts w:ascii="Arial" w:eastAsia="Arial" w:hAnsi="Arial" w:cs="Arial"/>
          <w:color w:val="000000" w:themeColor="text1"/>
          <w:sz w:val="22"/>
          <w:szCs w:val="22"/>
        </w:rPr>
        <w:t xml:space="preserve"> y dictámenes que soliciten las entidades estatales</w:t>
      </w:r>
    </w:p>
    <w:p w14:paraId="786C8791" w14:textId="186683B5" w:rsidR="666A80FD" w:rsidRPr="00B710A9" w:rsidRDefault="666A80FD" w:rsidP="00356A3E">
      <w:pPr>
        <w:pStyle w:val="Prrafodelista"/>
        <w:numPr>
          <w:ilvl w:val="0"/>
          <w:numId w:val="26"/>
        </w:num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Resolver las observaciones, recursos o revisiones de los avalúos de inmuebles solicitados por entidades del Estado, conforme a la ley</w:t>
      </w:r>
    </w:p>
    <w:p w14:paraId="1B7EBE96" w14:textId="31005DCC" w:rsidR="666A80FD" w:rsidRPr="00B710A9" w:rsidRDefault="666A80FD" w:rsidP="00356A3E">
      <w:pPr>
        <w:pStyle w:val="Prrafodelista"/>
        <w:numPr>
          <w:ilvl w:val="0"/>
          <w:numId w:val="26"/>
        </w:num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Diseñar especificaciones y desarrollar métodos y procedimientos para la correcta y eficiente realización de los avalúos administrativos.</w:t>
      </w:r>
    </w:p>
    <w:p w14:paraId="21DF9318" w14:textId="70C164E5" w:rsidR="19B98323" w:rsidRPr="00B710A9" w:rsidRDefault="19B98323" w:rsidP="009D279A">
      <w:pPr>
        <w:spacing w:after="0" w:line="240" w:lineRule="auto"/>
        <w:jc w:val="both"/>
        <w:rPr>
          <w:rFonts w:ascii="Arial" w:eastAsia="Arial" w:hAnsi="Arial" w:cs="Arial"/>
          <w:color w:val="000000" w:themeColor="text1"/>
          <w:sz w:val="22"/>
          <w:szCs w:val="22"/>
        </w:rPr>
      </w:pPr>
    </w:p>
    <w:p w14:paraId="1D1CBDE2" w14:textId="3BDF183B" w:rsidR="666A80FD" w:rsidRPr="00B710A9" w:rsidRDefault="666A80FD"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En este contexto se obtuvieron los siguientes logros durante el periodo 202</w:t>
      </w:r>
      <w:r w:rsidR="00BD57C6" w:rsidRPr="00B710A9">
        <w:rPr>
          <w:rFonts w:ascii="Arial" w:eastAsia="Arial" w:hAnsi="Arial" w:cs="Arial"/>
          <w:color w:val="000000" w:themeColor="text1"/>
          <w:sz w:val="22"/>
          <w:szCs w:val="22"/>
        </w:rPr>
        <w:t>1</w:t>
      </w:r>
      <w:r w:rsidRPr="00B710A9">
        <w:rPr>
          <w:rFonts w:ascii="Arial" w:eastAsia="Arial" w:hAnsi="Arial" w:cs="Arial"/>
          <w:color w:val="000000" w:themeColor="text1"/>
          <w:sz w:val="22"/>
          <w:szCs w:val="22"/>
        </w:rPr>
        <w:t xml:space="preserve"> – 202</w:t>
      </w:r>
      <w:r w:rsidR="00BD57C6" w:rsidRPr="00B710A9">
        <w:rPr>
          <w:rFonts w:ascii="Arial" w:eastAsia="Arial" w:hAnsi="Arial" w:cs="Arial"/>
          <w:color w:val="000000" w:themeColor="text1"/>
          <w:sz w:val="22"/>
          <w:szCs w:val="22"/>
        </w:rPr>
        <w:t>2</w:t>
      </w:r>
      <w:r w:rsidRPr="00B710A9">
        <w:rPr>
          <w:rFonts w:ascii="Arial" w:eastAsia="Arial" w:hAnsi="Arial" w:cs="Arial"/>
          <w:color w:val="000000" w:themeColor="text1"/>
          <w:sz w:val="22"/>
          <w:szCs w:val="22"/>
        </w:rPr>
        <w:t>:</w:t>
      </w:r>
    </w:p>
    <w:p w14:paraId="445574E7" w14:textId="77777777" w:rsidR="0055594E" w:rsidRPr="00B710A9" w:rsidRDefault="0055594E" w:rsidP="009D279A">
      <w:pPr>
        <w:spacing w:after="0" w:line="240" w:lineRule="auto"/>
        <w:jc w:val="both"/>
        <w:rPr>
          <w:rFonts w:ascii="Arial" w:eastAsia="Arial" w:hAnsi="Arial" w:cs="Arial"/>
          <w:color w:val="000000" w:themeColor="text1"/>
          <w:sz w:val="22"/>
          <w:szCs w:val="22"/>
        </w:rPr>
      </w:pPr>
    </w:p>
    <w:p w14:paraId="513FA504" w14:textId="37B36A74" w:rsidR="666A80FD" w:rsidRPr="00B710A9" w:rsidRDefault="666A80FD" w:rsidP="009D279A">
      <w:pPr>
        <w:spacing w:after="0" w:line="240" w:lineRule="auto"/>
        <w:jc w:val="both"/>
        <w:rPr>
          <w:rStyle w:val="normaltextrun"/>
          <w:rFonts w:ascii="Arial" w:eastAsia="Arial" w:hAnsi="Arial" w:cs="Arial"/>
          <w:color w:val="000000" w:themeColor="text1"/>
          <w:sz w:val="22"/>
          <w:szCs w:val="22"/>
        </w:rPr>
      </w:pPr>
      <w:r w:rsidRPr="00B710A9">
        <w:rPr>
          <w:rStyle w:val="normaltextrun"/>
          <w:rFonts w:ascii="Arial" w:eastAsia="Arial" w:hAnsi="Arial" w:cs="Arial"/>
          <w:color w:val="000000" w:themeColor="text1"/>
          <w:sz w:val="22"/>
          <w:szCs w:val="22"/>
        </w:rPr>
        <w:t xml:space="preserve">En materia de avalúos comerciales, fueron elaborados </w:t>
      </w:r>
      <w:r w:rsidR="00E36124" w:rsidRPr="00B710A9">
        <w:rPr>
          <w:rStyle w:val="normaltextrun"/>
          <w:rFonts w:ascii="Arial" w:eastAsia="Arial" w:hAnsi="Arial" w:cs="Arial"/>
          <w:color w:val="000000" w:themeColor="text1"/>
          <w:sz w:val="22"/>
          <w:szCs w:val="22"/>
        </w:rPr>
        <w:t>6</w:t>
      </w:r>
      <w:r w:rsidRPr="00B710A9">
        <w:rPr>
          <w:rStyle w:val="normaltextrun"/>
          <w:rFonts w:ascii="Arial" w:eastAsia="Arial" w:hAnsi="Arial" w:cs="Arial"/>
          <w:color w:val="000000" w:themeColor="text1"/>
          <w:sz w:val="22"/>
          <w:szCs w:val="22"/>
        </w:rPr>
        <w:t>.</w:t>
      </w:r>
      <w:r w:rsidR="00E36124" w:rsidRPr="00B710A9">
        <w:rPr>
          <w:rStyle w:val="normaltextrun"/>
          <w:rFonts w:ascii="Arial" w:eastAsia="Arial" w:hAnsi="Arial" w:cs="Arial"/>
          <w:color w:val="000000" w:themeColor="text1"/>
          <w:sz w:val="22"/>
          <w:szCs w:val="22"/>
        </w:rPr>
        <w:t>548</w:t>
      </w:r>
      <w:r w:rsidRPr="00B710A9">
        <w:rPr>
          <w:rStyle w:val="normaltextrun"/>
          <w:rFonts w:ascii="Arial" w:eastAsia="Arial" w:hAnsi="Arial" w:cs="Arial"/>
          <w:color w:val="000000" w:themeColor="text1"/>
          <w:sz w:val="22"/>
          <w:szCs w:val="22"/>
        </w:rPr>
        <w:t xml:space="preserve"> avalúos en el marco de los contratos suscritos entre el Instituto y distintas entidades para tal fin. </w:t>
      </w:r>
      <w:r w:rsidR="007B3A2F" w:rsidRPr="00B710A9">
        <w:rPr>
          <w:rStyle w:val="normaltextrun"/>
          <w:rFonts w:ascii="Arial" w:eastAsia="Arial" w:hAnsi="Arial" w:cs="Arial"/>
          <w:color w:val="000000" w:themeColor="text1"/>
          <w:sz w:val="22"/>
          <w:szCs w:val="22"/>
        </w:rPr>
        <w:t xml:space="preserve">En este sentido, </w:t>
      </w:r>
      <w:r w:rsidRPr="00B710A9">
        <w:rPr>
          <w:rStyle w:val="normaltextrun"/>
          <w:rFonts w:ascii="Arial" w:eastAsia="Arial" w:hAnsi="Arial" w:cs="Arial"/>
          <w:color w:val="000000" w:themeColor="text1"/>
          <w:sz w:val="22"/>
          <w:szCs w:val="22"/>
        </w:rPr>
        <w:t>se han suscrito contratos para la elaboración de avalúos comerciales con la Unidad de Restitución de Tierras Despojadas - URT, la Agencia Nacional de Tierras – ANT, la Contraloría General de la República, Oleoducto de los Llanos Orientales S.A. y Oleoducto Bicentenario de Colombia S.A.S.</w:t>
      </w:r>
      <w:r w:rsidR="00887F0C" w:rsidRPr="00B710A9">
        <w:rPr>
          <w:rStyle w:val="normaltextrun"/>
          <w:rFonts w:ascii="Arial" w:eastAsia="Arial" w:hAnsi="Arial" w:cs="Arial"/>
          <w:color w:val="000000" w:themeColor="text1"/>
          <w:sz w:val="22"/>
          <w:szCs w:val="22"/>
        </w:rPr>
        <w:t xml:space="preserve"> A continuación</w:t>
      </w:r>
      <w:r w:rsidR="004F1839" w:rsidRPr="00B710A9">
        <w:rPr>
          <w:rStyle w:val="normaltextrun"/>
          <w:rFonts w:ascii="Arial" w:eastAsia="Arial" w:hAnsi="Arial" w:cs="Arial"/>
          <w:color w:val="000000" w:themeColor="text1"/>
          <w:sz w:val="22"/>
          <w:szCs w:val="22"/>
        </w:rPr>
        <w:t>,</w:t>
      </w:r>
      <w:r w:rsidR="00887F0C" w:rsidRPr="00B710A9">
        <w:rPr>
          <w:rStyle w:val="normaltextrun"/>
          <w:rFonts w:ascii="Arial" w:eastAsia="Arial" w:hAnsi="Arial" w:cs="Arial"/>
          <w:color w:val="000000" w:themeColor="text1"/>
          <w:sz w:val="22"/>
          <w:szCs w:val="22"/>
        </w:rPr>
        <w:t xml:space="preserve"> se presentan </w:t>
      </w:r>
      <w:r w:rsidR="004F1839" w:rsidRPr="00B710A9">
        <w:rPr>
          <w:rStyle w:val="normaltextrun"/>
          <w:rFonts w:ascii="Arial" w:eastAsia="Arial" w:hAnsi="Arial" w:cs="Arial"/>
          <w:color w:val="000000" w:themeColor="text1"/>
          <w:sz w:val="22"/>
          <w:szCs w:val="22"/>
        </w:rPr>
        <w:t>los contratos suscritos para la realización de avalúos comerciales.</w:t>
      </w:r>
    </w:p>
    <w:p w14:paraId="74FD5C50" w14:textId="782C357C" w:rsidR="005E0BEB" w:rsidRPr="00B710A9" w:rsidRDefault="005E0BEB" w:rsidP="009D279A">
      <w:pPr>
        <w:spacing w:after="0" w:line="240" w:lineRule="auto"/>
        <w:jc w:val="both"/>
        <w:rPr>
          <w:rFonts w:ascii="Arial" w:eastAsia="Calibri" w:hAnsi="Arial" w:cs="Arial"/>
          <w:color w:val="000000" w:themeColor="text1"/>
        </w:rPr>
      </w:pPr>
    </w:p>
    <w:p w14:paraId="6D9F287E" w14:textId="782C357C" w:rsidR="00C70ECF" w:rsidRPr="00B710A9" w:rsidRDefault="00C70ECF" w:rsidP="009D279A">
      <w:pPr>
        <w:spacing w:after="0" w:line="240" w:lineRule="auto"/>
        <w:jc w:val="both"/>
        <w:rPr>
          <w:rFonts w:ascii="Arial" w:eastAsia="Calibri" w:hAnsi="Arial" w:cs="Arial"/>
          <w:color w:val="000000" w:themeColor="text1"/>
        </w:rPr>
      </w:pPr>
    </w:p>
    <w:p w14:paraId="12919259" w14:textId="77777777" w:rsidR="00640496" w:rsidRPr="00B710A9" w:rsidRDefault="00640496" w:rsidP="009D279A">
      <w:pPr>
        <w:spacing w:after="0" w:line="240" w:lineRule="auto"/>
        <w:jc w:val="both"/>
        <w:rPr>
          <w:rFonts w:ascii="Arial" w:eastAsia="Calibri" w:hAnsi="Arial" w:cs="Arial"/>
          <w:color w:val="000000" w:themeColor="text1"/>
        </w:rPr>
      </w:pPr>
    </w:p>
    <w:p w14:paraId="4A970EAF" w14:textId="77777777" w:rsidR="00640496" w:rsidRPr="00B710A9" w:rsidRDefault="00640496" w:rsidP="009D279A">
      <w:pPr>
        <w:spacing w:after="0" w:line="240" w:lineRule="auto"/>
        <w:jc w:val="both"/>
        <w:rPr>
          <w:rFonts w:ascii="Arial" w:eastAsia="Calibri" w:hAnsi="Arial" w:cs="Arial"/>
          <w:color w:val="000000" w:themeColor="text1"/>
        </w:rPr>
      </w:pPr>
    </w:p>
    <w:p w14:paraId="7A4655CD" w14:textId="77777777" w:rsidR="00640496" w:rsidRPr="00B710A9" w:rsidRDefault="00640496" w:rsidP="009D279A">
      <w:pPr>
        <w:spacing w:after="0" w:line="240" w:lineRule="auto"/>
        <w:jc w:val="both"/>
        <w:rPr>
          <w:rFonts w:ascii="Arial" w:eastAsia="Calibri" w:hAnsi="Arial" w:cs="Arial"/>
          <w:color w:val="000000" w:themeColor="text1"/>
        </w:rPr>
      </w:pPr>
    </w:p>
    <w:p w14:paraId="71C35CB5" w14:textId="77777777" w:rsidR="00640496" w:rsidRPr="00B710A9" w:rsidRDefault="00640496" w:rsidP="009D279A">
      <w:pPr>
        <w:spacing w:after="0" w:line="240" w:lineRule="auto"/>
        <w:jc w:val="both"/>
        <w:rPr>
          <w:rFonts w:ascii="Arial" w:eastAsia="Calibri" w:hAnsi="Arial" w:cs="Arial"/>
          <w:color w:val="000000" w:themeColor="text1"/>
        </w:rPr>
      </w:pPr>
    </w:p>
    <w:p w14:paraId="7996BAE0" w14:textId="77777777" w:rsidR="00640496" w:rsidRPr="00B710A9" w:rsidRDefault="00640496" w:rsidP="009D279A">
      <w:pPr>
        <w:spacing w:after="0" w:line="240" w:lineRule="auto"/>
        <w:jc w:val="both"/>
        <w:rPr>
          <w:rFonts w:ascii="Arial" w:eastAsia="Calibri" w:hAnsi="Arial" w:cs="Arial"/>
          <w:color w:val="000000" w:themeColor="text1"/>
        </w:rPr>
      </w:pPr>
    </w:p>
    <w:p w14:paraId="208BEEE4" w14:textId="782C357C" w:rsidR="00C70ECF" w:rsidRPr="00B710A9" w:rsidRDefault="00C70ECF" w:rsidP="75B02D90">
      <w:pPr>
        <w:pStyle w:val="Descripcin"/>
        <w:jc w:val="center"/>
        <w:rPr>
          <w:rFonts w:ascii="Arial" w:hAnsi="Arial" w:cs="Arial"/>
          <w:b/>
          <w:bCs/>
          <w:i w:val="0"/>
          <w:iCs w:val="0"/>
          <w:color w:val="auto"/>
          <w:sz w:val="16"/>
          <w:szCs w:val="16"/>
        </w:rPr>
      </w:pPr>
      <w:bookmarkStart w:id="16" w:name="_Toc107995422"/>
    </w:p>
    <w:p w14:paraId="0D923B6B" w14:textId="2BE24A66" w:rsidR="00CC3A0D" w:rsidRPr="00B710A9" w:rsidRDefault="00CC3A0D" w:rsidP="00CC3A0D">
      <w:pPr>
        <w:pStyle w:val="Descripcin"/>
        <w:keepNext/>
        <w:jc w:val="center"/>
        <w:rPr>
          <w:rFonts w:ascii="Arial" w:hAnsi="Arial" w:cs="Arial"/>
          <w:b/>
          <w:bCs/>
          <w:i w:val="0"/>
          <w:iCs w:val="0"/>
          <w:color w:val="000000" w:themeColor="text1"/>
          <w:sz w:val="16"/>
          <w:szCs w:val="16"/>
        </w:rPr>
      </w:pPr>
      <w:bookmarkStart w:id="17" w:name="_Toc109057739"/>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9</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Contratos suscritos para la elaboración de avalúos comerciales, periodo 2021-2022</w:t>
      </w:r>
      <w:bookmarkEnd w:id="17"/>
    </w:p>
    <w:bookmarkEnd w:id="16"/>
    <w:p w14:paraId="6AB345C0" w14:textId="782C357C" w:rsidR="00887F0C" w:rsidRPr="00B710A9" w:rsidRDefault="00887F0C" w:rsidP="009D279A">
      <w:pPr>
        <w:spacing w:after="0" w:line="240" w:lineRule="auto"/>
        <w:jc w:val="both"/>
        <w:rPr>
          <w:rFonts w:ascii="Arial" w:eastAsia="Calibri" w:hAnsi="Arial" w:cs="Arial"/>
          <w:color w:val="000000" w:themeColor="text1"/>
          <w:sz w:val="16"/>
          <w:szCs w:val="16"/>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2690"/>
        <w:gridCol w:w="1670"/>
        <w:gridCol w:w="1740"/>
      </w:tblGrid>
      <w:tr w:rsidR="00C70ECF" w:rsidRPr="00B710A9" w14:paraId="50AFDB02" w14:textId="77777777" w:rsidTr="00491526">
        <w:trPr>
          <w:trHeight w:val="540"/>
          <w:tblHeader/>
          <w:jc w:val="center"/>
        </w:trPr>
        <w:tc>
          <w:tcPr>
            <w:tcW w:w="2180" w:type="dxa"/>
            <w:shd w:val="clear" w:color="auto" w:fill="4472C4" w:themeFill="accent1"/>
            <w:vAlign w:val="center"/>
            <w:hideMark/>
          </w:tcPr>
          <w:p w14:paraId="5145D7B0" w14:textId="77777777" w:rsidR="00C70ECF" w:rsidRPr="00B710A9" w:rsidRDefault="00C70ECF" w:rsidP="00491526">
            <w:pPr>
              <w:jc w:val="center"/>
              <w:rPr>
                <w:rFonts w:ascii="Arial" w:hAnsi="Arial" w:cs="Arial"/>
                <w:b/>
                <w:bCs/>
                <w:color w:val="FFFFFF"/>
                <w:sz w:val="18"/>
                <w:szCs w:val="18"/>
              </w:rPr>
            </w:pPr>
            <w:r w:rsidRPr="00B710A9">
              <w:rPr>
                <w:rFonts w:ascii="Arial" w:hAnsi="Arial" w:cs="Arial"/>
                <w:b/>
                <w:bCs/>
                <w:color w:val="FFFFFF"/>
                <w:sz w:val="18"/>
                <w:szCs w:val="18"/>
              </w:rPr>
              <w:t>No. Contrato</w:t>
            </w:r>
          </w:p>
        </w:tc>
        <w:tc>
          <w:tcPr>
            <w:tcW w:w="2690" w:type="dxa"/>
            <w:shd w:val="clear" w:color="auto" w:fill="4472C4" w:themeFill="accent1"/>
            <w:vAlign w:val="center"/>
            <w:hideMark/>
          </w:tcPr>
          <w:p w14:paraId="7F706662" w14:textId="77777777" w:rsidR="00C70ECF" w:rsidRPr="00B710A9" w:rsidRDefault="00C70ECF" w:rsidP="00491526">
            <w:pPr>
              <w:jc w:val="center"/>
              <w:rPr>
                <w:rFonts w:ascii="Arial" w:hAnsi="Arial" w:cs="Arial"/>
                <w:b/>
                <w:bCs/>
                <w:color w:val="FFFFFF"/>
                <w:sz w:val="18"/>
                <w:szCs w:val="18"/>
              </w:rPr>
            </w:pPr>
            <w:r w:rsidRPr="00B710A9">
              <w:rPr>
                <w:rFonts w:ascii="Arial" w:hAnsi="Arial" w:cs="Arial"/>
                <w:b/>
                <w:bCs/>
                <w:color w:val="FFFFFF"/>
                <w:sz w:val="18"/>
                <w:szCs w:val="18"/>
              </w:rPr>
              <w:t>Entidad contratante</w:t>
            </w:r>
          </w:p>
        </w:tc>
        <w:tc>
          <w:tcPr>
            <w:tcW w:w="1670" w:type="dxa"/>
            <w:shd w:val="clear" w:color="auto" w:fill="4472C4" w:themeFill="accent1"/>
            <w:vAlign w:val="center"/>
            <w:hideMark/>
          </w:tcPr>
          <w:p w14:paraId="1614A993" w14:textId="77777777" w:rsidR="00C70ECF" w:rsidRPr="00B710A9" w:rsidRDefault="00C70ECF" w:rsidP="00491526">
            <w:pPr>
              <w:jc w:val="center"/>
              <w:rPr>
                <w:rFonts w:ascii="Arial" w:hAnsi="Arial" w:cs="Arial"/>
                <w:b/>
                <w:bCs/>
                <w:color w:val="FFFFFF"/>
                <w:sz w:val="18"/>
                <w:szCs w:val="18"/>
              </w:rPr>
            </w:pPr>
            <w:proofErr w:type="gramStart"/>
            <w:r w:rsidRPr="00B710A9">
              <w:rPr>
                <w:rFonts w:ascii="Arial" w:hAnsi="Arial" w:cs="Arial"/>
                <w:b/>
                <w:bCs/>
                <w:color w:val="FFFFFF"/>
                <w:sz w:val="18"/>
                <w:szCs w:val="18"/>
              </w:rPr>
              <w:t>Total</w:t>
            </w:r>
            <w:proofErr w:type="gramEnd"/>
            <w:r w:rsidRPr="00B710A9">
              <w:rPr>
                <w:rFonts w:ascii="Arial" w:hAnsi="Arial" w:cs="Arial"/>
                <w:b/>
                <w:bCs/>
                <w:color w:val="FFFFFF"/>
                <w:sz w:val="18"/>
                <w:szCs w:val="18"/>
              </w:rPr>
              <w:t xml:space="preserve"> contrato</w:t>
            </w:r>
            <w:r w:rsidRPr="00B710A9">
              <w:rPr>
                <w:rFonts w:ascii="Arial" w:hAnsi="Arial" w:cs="Arial"/>
                <w:b/>
                <w:bCs/>
                <w:color w:val="FFFFFF"/>
                <w:sz w:val="18"/>
                <w:szCs w:val="18"/>
              </w:rPr>
              <w:br/>
              <w:t>(con IVA)</w:t>
            </w:r>
          </w:p>
        </w:tc>
        <w:tc>
          <w:tcPr>
            <w:tcW w:w="1740" w:type="dxa"/>
            <w:shd w:val="clear" w:color="auto" w:fill="4472C4" w:themeFill="accent1"/>
            <w:vAlign w:val="center"/>
            <w:hideMark/>
          </w:tcPr>
          <w:p w14:paraId="31BA3C80" w14:textId="77777777" w:rsidR="00C70ECF" w:rsidRPr="00B710A9" w:rsidRDefault="00C70ECF" w:rsidP="00491526">
            <w:pPr>
              <w:jc w:val="center"/>
              <w:rPr>
                <w:rFonts w:ascii="Arial" w:hAnsi="Arial" w:cs="Arial"/>
                <w:b/>
                <w:bCs/>
                <w:color w:val="FFFFFF"/>
                <w:sz w:val="18"/>
                <w:szCs w:val="18"/>
              </w:rPr>
            </w:pPr>
            <w:r w:rsidRPr="00B710A9">
              <w:rPr>
                <w:rFonts w:ascii="Arial" w:hAnsi="Arial" w:cs="Arial"/>
                <w:b/>
                <w:bCs/>
                <w:color w:val="FFFFFF"/>
                <w:sz w:val="18"/>
                <w:szCs w:val="18"/>
              </w:rPr>
              <w:t>Estado del contrato</w:t>
            </w:r>
          </w:p>
        </w:tc>
      </w:tr>
      <w:tr w:rsidR="00C70ECF" w:rsidRPr="00B710A9" w14:paraId="3BE98918" w14:textId="77777777" w:rsidTr="00491526">
        <w:trPr>
          <w:trHeight w:val="540"/>
          <w:jc w:val="center"/>
        </w:trPr>
        <w:tc>
          <w:tcPr>
            <w:tcW w:w="2180" w:type="dxa"/>
            <w:shd w:val="clear" w:color="auto" w:fill="auto"/>
            <w:vAlign w:val="center"/>
            <w:hideMark/>
          </w:tcPr>
          <w:p w14:paraId="4735AC61"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5270/2021</w:t>
            </w:r>
          </w:p>
        </w:tc>
        <w:tc>
          <w:tcPr>
            <w:tcW w:w="2690" w:type="dxa"/>
            <w:shd w:val="clear" w:color="auto" w:fill="auto"/>
            <w:vAlign w:val="center"/>
            <w:hideMark/>
          </w:tcPr>
          <w:p w14:paraId="7122DFE6" w14:textId="77777777" w:rsidR="00C70ECF" w:rsidRPr="00B710A9" w:rsidRDefault="00C70ECF" w:rsidP="00491526">
            <w:pPr>
              <w:rPr>
                <w:rFonts w:ascii="Arial" w:hAnsi="Arial" w:cs="Arial"/>
                <w:color w:val="000000"/>
                <w:sz w:val="18"/>
                <w:szCs w:val="18"/>
              </w:rPr>
            </w:pPr>
            <w:proofErr w:type="spellStart"/>
            <w:r w:rsidRPr="00B710A9">
              <w:rPr>
                <w:rFonts w:ascii="Arial" w:hAnsi="Arial" w:cs="Arial"/>
                <w:sz w:val="18"/>
                <w:szCs w:val="18"/>
              </w:rPr>
              <w:t>Fiduagraria</w:t>
            </w:r>
            <w:proofErr w:type="spellEnd"/>
          </w:p>
        </w:tc>
        <w:tc>
          <w:tcPr>
            <w:tcW w:w="1670" w:type="dxa"/>
            <w:shd w:val="clear" w:color="auto" w:fill="auto"/>
            <w:noWrap/>
            <w:vAlign w:val="center"/>
            <w:hideMark/>
          </w:tcPr>
          <w:p w14:paraId="61F47283" w14:textId="77777777" w:rsidR="00C70ECF" w:rsidRPr="00B710A9" w:rsidRDefault="00C70ECF" w:rsidP="00491526">
            <w:pPr>
              <w:jc w:val="center"/>
              <w:rPr>
                <w:rFonts w:ascii="Arial" w:hAnsi="Arial" w:cs="Arial"/>
                <w:color w:val="000000"/>
                <w:sz w:val="18"/>
                <w:szCs w:val="18"/>
              </w:rPr>
            </w:pPr>
            <w:r w:rsidRPr="00B710A9">
              <w:rPr>
                <w:rFonts w:ascii="Arial" w:hAnsi="Arial" w:cs="Arial"/>
                <w:sz w:val="18"/>
                <w:szCs w:val="18"/>
              </w:rPr>
              <w:t>$6.500.000</w:t>
            </w:r>
          </w:p>
        </w:tc>
        <w:tc>
          <w:tcPr>
            <w:tcW w:w="1740" w:type="dxa"/>
            <w:shd w:val="clear" w:color="auto" w:fill="auto"/>
            <w:vAlign w:val="center"/>
            <w:hideMark/>
          </w:tcPr>
          <w:p w14:paraId="79DA0472"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Ejecutado</w:t>
            </w:r>
          </w:p>
        </w:tc>
      </w:tr>
      <w:tr w:rsidR="00C70ECF" w:rsidRPr="00B710A9" w14:paraId="02388FF0" w14:textId="77777777" w:rsidTr="00491526">
        <w:trPr>
          <w:trHeight w:val="540"/>
          <w:jc w:val="center"/>
        </w:trPr>
        <w:tc>
          <w:tcPr>
            <w:tcW w:w="2180" w:type="dxa"/>
            <w:shd w:val="clear" w:color="auto" w:fill="D9E1F2"/>
            <w:vAlign w:val="center"/>
            <w:hideMark/>
          </w:tcPr>
          <w:p w14:paraId="093D24FB" w14:textId="77777777" w:rsidR="00C70ECF" w:rsidRPr="00B710A9" w:rsidRDefault="00C70ECF" w:rsidP="00491526">
            <w:pPr>
              <w:rPr>
                <w:rFonts w:ascii="Arial" w:hAnsi="Arial" w:cs="Arial"/>
                <w:color w:val="000000"/>
                <w:sz w:val="18"/>
                <w:szCs w:val="18"/>
              </w:rPr>
            </w:pPr>
            <w:proofErr w:type="spellStart"/>
            <w:r w:rsidRPr="00B710A9">
              <w:rPr>
                <w:rFonts w:ascii="Arial" w:hAnsi="Arial" w:cs="Arial"/>
                <w:color w:val="000000"/>
                <w:sz w:val="18"/>
                <w:szCs w:val="18"/>
              </w:rPr>
              <w:t>Cia</w:t>
            </w:r>
            <w:proofErr w:type="spellEnd"/>
            <w:r w:rsidRPr="00B710A9">
              <w:rPr>
                <w:rFonts w:ascii="Arial" w:hAnsi="Arial" w:cs="Arial"/>
                <w:color w:val="000000"/>
                <w:sz w:val="18"/>
                <w:szCs w:val="18"/>
              </w:rPr>
              <w:t xml:space="preserve"> 004-2021</w:t>
            </w:r>
          </w:p>
        </w:tc>
        <w:tc>
          <w:tcPr>
            <w:tcW w:w="2690" w:type="dxa"/>
            <w:shd w:val="clear" w:color="auto" w:fill="D9E1F2"/>
            <w:vAlign w:val="center"/>
            <w:hideMark/>
          </w:tcPr>
          <w:p w14:paraId="09C05AB3"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Alcaldía municipio Dabeiba – Antioquia</w:t>
            </w:r>
          </w:p>
        </w:tc>
        <w:tc>
          <w:tcPr>
            <w:tcW w:w="1670" w:type="dxa"/>
            <w:shd w:val="clear" w:color="auto" w:fill="D9E1F2"/>
            <w:noWrap/>
            <w:vAlign w:val="center"/>
            <w:hideMark/>
          </w:tcPr>
          <w:p w14:paraId="33642A45" w14:textId="77777777" w:rsidR="00C70ECF" w:rsidRPr="00B710A9" w:rsidRDefault="00C70ECF" w:rsidP="00491526">
            <w:pPr>
              <w:jc w:val="center"/>
              <w:rPr>
                <w:rFonts w:ascii="Arial" w:hAnsi="Arial" w:cs="Arial"/>
                <w:color w:val="000000"/>
                <w:sz w:val="18"/>
                <w:szCs w:val="18"/>
              </w:rPr>
            </w:pPr>
            <w:r w:rsidRPr="00B710A9">
              <w:rPr>
                <w:rFonts w:ascii="Arial" w:hAnsi="Arial" w:cs="Arial"/>
                <w:color w:val="000000"/>
                <w:sz w:val="18"/>
                <w:szCs w:val="18"/>
              </w:rPr>
              <w:t>$4.250.000</w:t>
            </w:r>
          </w:p>
        </w:tc>
        <w:tc>
          <w:tcPr>
            <w:tcW w:w="1740" w:type="dxa"/>
            <w:shd w:val="clear" w:color="auto" w:fill="D9E1F2"/>
            <w:vAlign w:val="center"/>
            <w:hideMark/>
          </w:tcPr>
          <w:p w14:paraId="24B6571C"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Ejecutado</w:t>
            </w:r>
          </w:p>
        </w:tc>
      </w:tr>
      <w:tr w:rsidR="00C70ECF" w:rsidRPr="00B710A9" w14:paraId="70E7442E" w14:textId="77777777" w:rsidTr="00491526">
        <w:trPr>
          <w:trHeight w:val="540"/>
          <w:jc w:val="center"/>
        </w:trPr>
        <w:tc>
          <w:tcPr>
            <w:tcW w:w="2180" w:type="dxa"/>
            <w:shd w:val="clear" w:color="auto" w:fill="auto"/>
            <w:vAlign w:val="center"/>
            <w:hideMark/>
          </w:tcPr>
          <w:p w14:paraId="4EF69798"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Alcaldía no. 12052101</w:t>
            </w:r>
            <w:r w:rsidRPr="00B710A9">
              <w:rPr>
                <w:rFonts w:ascii="Arial" w:hAnsi="Arial" w:cs="Arial"/>
                <w:color w:val="000000"/>
                <w:sz w:val="18"/>
                <w:szCs w:val="18"/>
              </w:rPr>
              <w:br/>
              <w:t>IGAC no. 5293/2021</w:t>
            </w:r>
          </w:p>
        </w:tc>
        <w:tc>
          <w:tcPr>
            <w:tcW w:w="2690" w:type="dxa"/>
            <w:shd w:val="clear" w:color="auto" w:fill="auto"/>
            <w:vAlign w:val="center"/>
            <w:hideMark/>
          </w:tcPr>
          <w:p w14:paraId="65227EE8" w14:textId="4936CE22"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 xml:space="preserve">Alcaldía </w:t>
            </w:r>
            <w:r w:rsidR="005354B9" w:rsidRPr="00B710A9">
              <w:rPr>
                <w:rFonts w:ascii="Arial" w:hAnsi="Arial" w:cs="Arial"/>
                <w:color w:val="000000"/>
                <w:sz w:val="18"/>
                <w:szCs w:val="18"/>
              </w:rPr>
              <w:t>M</w:t>
            </w:r>
            <w:r w:rsidRPr="00B710A9">
              <w:rPr>
                <w:rFonts w:ascii="Arial" w:hAnsi="Arial" w:cs="Arial"/>
                <w:color w:val="000000"/>
                <w:sz w:val="18"/>
                <w:szCs w:val="18"/>
              </w:rPr>
              <w:t xml:space="preserve">unicipio </w:t>
            </w:r>
            <w:r w:rsidR="005354B9" w:rsidRPr="00B710A9">
              <w:rPr>
                <w:rFonts w:ascii="Arial" w:hAnsi="Arial" w:cs="Arial"/>
                <w:color w:val="000000"/>
                <w:sz w:val="18"/>
                <w:szCs w:val="18"/>
              </w:rPr>
              <w:t>L</w:t>
            </w:r>
            <w:r w:rsidRPr="00B710A9">
              <w:rPr>
                <w:rFonts w:ascii="Arial" w:hAnsi="Arial" w:cs="Arial"/>
                <w:color w:val="000000"/>
                <w:sz w:val="18"/>
                <w:szCs w:val="18"/>
              </w:rPr>
              <w:t xml:space="preserve">a </w:t>
            </w:r>
            <w:r w:rsidR="005354B9" w:rsidRPr="00B710A9">
              <w:rPr>
                <w:rFonts w:ascii="Arial" w:hAnsi="Arial" w:cs="Arial"/>
                <w:color w:val="000000"/>
                <w:sz w:val="18"/>
                <w:szCs w:val="18"/>
              </w:rPr>
              <w:t>D</w:t>
            </w:r>
            <w:r w:rsidRPr="00B710A9">
              <w:rPr>
                <w:rFonts w:ascii="Arial" w:hAnsi="Arial" w:cs="Arial"/>
                <w:color w:val="000000"/>
                <w:sz w:val="18"/>
                <w:szCs w:val="18"/>
              </w:rPr>
              <w:t xml:space="preserve">orada – </w:t>
            </w:r>
            <w:r w:rsidR="005354B9" w:rsidRPr="00B710A9">
              <w:rPr>
                <w:rFonts w:ascii="Arial" w:hAnsi="Arial" w:cs="Arial"/>
                <w:color w:val="000000"/>
                <w:sz w:val="18"/>
                <w:szCs w:val="18"/>
              </w:rPr>
              <w:t>C</w:t>
            </w:r>
            <w:r w:rsidRPr="00B710A9">
              <w:rPr>
                <w:rFonts w:ascii="Arial" w:hAnsi="Arial" w:cs="Arial"/>
                <w:color w:val="000000"/>
                <w:sz w:val="18"/>
                <w:szCs w:val="18"/>
              </w:rPr>
              <w:t>aldas</w:t>
            </w:r>
          </w:p>
        </w:tc>
        <w:tc>
          <w:tcPr>
            <w:tcW w:w="1670" w:type="dxa"/>
            <w:shd w:val="clear" w:color="auto" w:fill="auto"/>
            <w:noWrap/>
            <w:vAlign w:val="center"/>
            <w:hideMark/>
          </w:tcPr>
          <w:p w14:paraId="776B6F35" w14:textId="77777777" w:rsidR="00C70ECF" w:rsidRPr="00B710A9" w:rsidRDefault="00C70ECF" w:rsidP="00491526">
            <w:pPr>
              <w:jc w:val="center"/>
              <w:rPr>
                <w:rFonts w:ascii="Arial" w:hAnsi="Arial" w:cs="Arial"/>
                <w:color w:val="000000"/>
                <w:sz w:val="18"/>
                <w:szCs w:val="18"/>
              </w:rPr>
            </w:pPr>
            <w:r w:rsidRPr="00B710A9">
              <w:rPr>
                <w:rFonts w:ascii="Arial" w:hAnsi="Arial" w:cs="Arial"/>
                <w:color w:val="000000"/>
                <w:sz w:val="18"/>
                <w:szCs w:val="18"/>
              </w:rPr>
              <w:t>$8.000.000</w:t>
            </w:r>
          </w:p>
        </w:tc>
        <w:tc>
          <w:tcPr>
            <w:tcW w:w="1740" w:type="dxa"/>
            <w:shd w:val="clear" w:color="auto" w:fill="auto"/>
            <w:vAlign w:val="center"/>
            <w:hideMark/>
          </w:tcPr>
          <w:p w14:paraId="6F9637CA"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Ejecutado</w:t>
            </w:r>
          </w:p>
        </w:tc>
      </w:tr>
      <w:tr w:rsidR="00C70ECF" w:rsidRPr="00B710A9" w14:paraId="3E351057" w14:textId="77777777" w:rsidTr="00491526">
        <w:trPr>
          <w:trHeight w:val="540"/>
          <w:jc w:val="center"/>
        </w:trPr>
        <w:tc>
          <w:tcPr>
            <w:tcW w:w="2180" w:type="dxa"/>
            <w:shd w:val="clear" w:color="auto" w:fill="D9E2F3" w:themeFill="accent1" w:themeFillTint="33"/>
            <w:vAlign w:val="center"/>
            <w:hideMark/>
          </w:tcPr>
          <w:p w14:paraId="732F8607"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 xml:space="preserve">Orden de </w:t>
            </w:r>
            <w:proofErr w:type="spellStart"/>
            <w:r w:rsidRPr="00B710A9">
              <w:rPr>
                <w:rFonts w:ascii="Arial" w:hAnsi="Arial" w:cs="Arial"/>
                <w:sz w:val="18"/>
                <w:szCs w:val="18"/>
              </w:rPr>
              <w:t>serv</w:t>
            </w:r>
            <w:proofErr w:type="spellEnd"/>
            <w:r w:rsidRPr="00B710A9">
              <w:rPr>
                <w:rFonts w:ascii="Arial" w:hAnsi="Arial" w:cs="Arial"/>
                <w:sz w:val="18"/>
                <w:szCs w:val="18"/>
              </w:rPr>
              <w:t>. Nro. 8000004151 de 2021</w:t>
            </w:r>
          </w:p>
        </w:tc>
        <w:tc>
          <w:tcPr>
            <w:tcW w:w="2690" w:type="dxa"/>
            <w:shd w:val="clear" w:color="auto" w:fill="D9E2F3" w:themeFill="accent1" w:themeFillTint="33"/>
            <w:vAlign w:val="center"/>
            <w:hideMark/>
          </w:tcPr>
          <w:p w14:paraId="0135BB59" w14:textId="3D8C751D" w:rsidR="00C70ECF" w:rsidRPr="00B710A9" w:rsidRDefault="00C70ECF" w:rsidP="00491526">
            <w:pPr>
              <w:rPr>
                <w:rFonts w:ascii="Arial" w:hAnsi="Arial" w:cs="Arial"/>
                <w:color w:val="000000"/>
                <w:sz w:val="18"/>
                <w:szCs w:val="18"/>
              </w:rPr>
            </w:pPr>
            <w:r w:rsidRPr="00B710A9">
              <w:rPr>
                <w:rFonts w:ascii="Arial" w:hAnsi="Arial" w:cs="Arial"/>
                <w:sz w:val="18"/>
                <w:szCs w:val="18"/>
              </w:rPr>
              <w:t xml:space="preserve">Hospital </w:t>
            </w:r>
            <w:r w:rsidR="005354B9" w:rsidRPr="00B710A9">
              <w:rPr>
                <w:rFonts w:ascii="Arial" w:hAnsi="Arial" w:cs="Arial"/>
                <w:sz w:val="18"/>
                <w:szCs w:val="18"/>
              </w:rPr>
              <w:t>G</w:t>
            </w:r>
            <w:r w:rsidRPr="00B710A9">
              <w:rPr>
                <w:rFonts w:ascii="Arial" w:hAnsi="Arial" w:cs="Arial"/>
                <w:sz w:val="18"/>
                <w:szCs w:val="18"/>
              </w:rPr>
              <w:t>eneral de Medellín</w:t>
            </w:r>
          </w:p>
        </w:tc>
        <w:tc>
          <w:tcPr>
            <w:tcW w:w="1670" w:type="dxa"/>
            <w:shd w:val="clear" w:color="auto" w:fill="D9E2F3" w:themeFill="accent1" w:themeFillTint="33"/>
            <w:noWrap/>
            <w:vAlign w:val="center"/>
            <w:hideMark/>
          </w:tcPr>
          <w:p w14:paraId="0561021A" w14:textId="77777777" w:rsidR="00C70ECF" w:rsidRPr="00B710A9" w:rsidRDefault="00C70ECF" w:rsidP="00491526">
            <w:pPr>
              <w:jc w:val="center"/>
              <w:rPr>
                <w:rFonts w:ascii="Arial" w:hAnsi="Arial" w:cs="Arial"/>
                <w:color w:val="000000"/>
                <w:sz w:val="18"/>
                <w:szCs w:val="18"/>
              </w:rPr>
            </w:pPr>
            <w:r w:rsidRPr="00B710A9">
              <w:rPr>
                <w:rFonts w:ascii="Arial" w:hAnsi="Arial" w:cs="Arial"/>
                <w:sz w:val="18"/>
                <w:szCs w:val="18"/>
              </w:rPr>
              <w:t>$44.610.000</w:t>
            </w:r>
          </w:p>
        </w:tc>
        <w:tc>
          <w:tcPr>
            <w:tcW w:w="1740" w:type="dxa"/>
            <w:shd w:val="clear" w:color="auto" w:fill="D9E2F3" w:themeFill="accent1" w:themeFillTint="33"/>
            <w:noWrap/>
            <w:vAlign w:val="center"/>
            <w:hideMark/>
          </w:tcPr>
          <w:p w14:paraId="759A5ED5"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Ejecutado</w:t>
            </w:r>
          </w:p>
        </w:tc>
      </w:tr>
      <w:tr w:rsidR="00C70ECF" w:rsidRPr="00B710A9" w14:paraId="2F420E7B" w14:textId="77777777" w:rsidTr="00491526">
        <w:trPr>
          <w:trHeight w:val="540"/>
          <w:jc w:val="center"/>
        </w:trPr>
        <w:tc>
          <w:tcPr>
            <w:tcW w:w="2180" w:type="dxa"/>
            <w:shd w:val="clear" w:color="auto" w:fill="auto"/>
            <w:vAlign w:val="center"/>
            <w:hideMark/>
          </w:tcPr>
          <w:p w14:paraId="14C0B70B"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Fp-297 de 2021</w:t>
            </w:r>
          </w:p>
        </w:tc>
        <w:tc>
          <w:tcPr>
            <w:tcW w:w="2690" w:type="dxa"/>
            <w:shd w:val="clear" w:color="auto" w:fill="auto"/>
            <w:vAlign w:val="center"/>
            <w:hideMark/>
          </w:tcPr>
          <w:p w14:paraId="403AE7E1" w14:textId="7E53E512" w:rsidR="00C70ECF" w:rsidRPr="00B710A9" w:rsidRDefault="00C70ECF" w:rsidP="00491526">
            <w:pPr>
              <w:rPr>
                <w:rFonts w:ascii="Arial" w:hAnsi="Arial" w:cs="Arial"/>
                <w:color w:val="000000"/>
                <w:sz w:val="18"/>
                <w:szCs w:val="18"/>
              </w:rPr>
            </w:pPr>
            <w:r w:rsidRPr="00B710A9">
              <w:rPr>
                <w:rFonts w:ascii="Arial" w:hAnsi="Arial" w:cs="Arial"/>
                <w:sz w:val="18"/>
                <w:szCs w:val="18"/>
              </w:rPr>
              <w:t xml:space="preserve">Fondo de </w:t>
            </w:r>
            <w:r w:rsidR="005354B9" w:rsidRPr="00B710A9">
              <w:rPr>
                <w:rFonts w:ascii="Arial" w:hAnsi="Arial" w:cs="Arial"/>
                <w:sz w:val="18"/>
                <w:szCs w:val="18"/>
              </w:rPr>
              <w:t>P</w:t>
            </w:r>
            <w:r w:rsidRPr="00B710A9">
              <w:rPr>
                <w:rFonts w:ascii="Arial" w:hAnsi="Arial" w:cs="Arial"/>
                <w:sz w:val="18"/>
                <w:szCs w:val="18"/>
              </w:rPr>
              <w:t xml:space="preserve">rogramas </w:t>
            </w:r>
            <w:r w:rsidR="005354B9" w:rsidRPr="00B710A9">
              <w:rPr>
                <w:rFonts w:ascii="Arial" w:hAnsi="Arial" w:cs="Arial"/>
                <w:sz w:val="18"/>
                <w:szCs w:val="18"/>
              </w:rPr>
              <w:t>E</w:t>
            </w:r>
            <w:r w:rsidRPr="00B710A9">
              <w:rPr>
                <w:rFonts w:ascii="Arial" w:hAnsi="Arial" w:cs="Arial"/>
                <w:sz w:val="18"/>
                <w:szCs w:val="18"/>
              </w:rPr>
              <w:t xml:space="preserve">speciales para la </w:t>
            </w:r>
            <w:r w:rsidR="005354B9" w:rsidRPr="00B710A9">
              <w:rPr>
                <w:rFonts w:ascii="Arial" w:hAnsi="Arial" w:cs="Arial"/>
                <w:sz w:val="18"/>
                <w:szCs w:val="18"/>
              </w:rPr>
              <w:t>P</w:t>
            </w:r>
            <w:r w:rsidRPr="00B710A9">
              <w:rPr>
                <w:rFonts w:ascii="Arial" w:hAnsi="Arial" w:cs="Arial"/>
                <w:sz w:val="18"/>
                <w:szCs w:val="18"/>
              </w:rPr>
              <w:t xml:space="preserve">az del </w:t>
            </w:r>
            <w:r w:rsidR="005354B9" w:rsidRPr="00B710A9">
              <w:rPr>
                <w:rFonts w:ascii="Arial" w:hAnsi="Arial" w:cs="Arial"/>
                <w:sz w:val="18"/>
                <w:szCs w:val="18"/>
              </w:rPr>
              <w:t>D</w:t>
            </w:r>
            <w:r w:rsidRPr="00B710A9">
              <w:rPr>
                <w:rFonts w:ascii="Arial" w:hAnsi="Arial" w:cs="Arial"/>
                <w:sz w:val="18"/>
                <w:szCs w:val="18"/>
              </w:rPr>
              <w:t xml:space="preserve">epartamento </w:t>
            </w:r>
            <w:r w:rsidR="005354B9" w:rsidRPr="00B710A9">
              <w:rPr>
                <w:rFonts w:ascii="Arial" w:hAnsi="Arial" w:cs="Arial"/>
                <w:sz w:val="18"/>
                <w:szCs w:val="18"/>
              </w:rPr>
              <w:t>A</w:t>
            </w:r>
            <w:r w:rsidRPr="00B710A9">
              <w:rPr>
                <w:rFonts w:ascii="Arial" w:hAnsi="Arial" w:cs="Arial"/>
                <w:sz w:val="18"/>
                <w:szCs w:val="18"/>
              </w:rPr>
              <w:t xml:space="preserve">dministrativo de la </w:t>
            </w:r>
            <w:r w:rsidR="005354B9" w:rsidRPr="00B710A9">
              <w:rPr>
                <w:rFonts w:ascii="Arial" w:hAnsi="Arial" w:cs="Arial"/>
                <w:sz w:val="18"/>
                <w:szCs w:val="18"/>
              </w:rPr>
              <w:t>P</w:t>
            </w:r>
            <w:r w:rsidRPr="00B710A9">
              <w:rPr>
                <w:rFonts w:ascii="Arial" w:hAnsi="Arial" w:cs="Arial"/>
                <w:sz w:val="18"/>
                <w:szCs w:val="18"/>
              </w:rPr>
              <w:t xml:space="preserve">residencia de la </w:t>
            </w:r>
            <w:r w:rsidR="005354B9" w:rsidRPr="00B710A9">
              <w:rPr>
                <w:rFonts w:ascii="Arial" w:hAnsi="Arial" w:cs="Arial"/>
                <w:sz w:val="18"/>
                <w:szCs w:val="18"/>
              </w:rPr>
              <w:t>R</w:t>
            </w:r>
            <w:r w:rsidRPr="00B710A9">
              <w:rPr>
                <w:rFonts w:ascii="Arial" w:hAnsi="Arial" w:cs="Arial"/>
                <w:sz w:val="18"/>
                <w:szCs w:val="18"/>
              </w:rPr>
              <w:t>epública – DAPRE</w:t>
            </w:r>
          </w:p>
        </w:tc>
        <w:tc>
          <w:tcPr>
            <w:tcW w:w="1670" w:type="dxa"/>
            <w:shd w:val="clear" w:color="auto" w:fill="auto"/>
            <w:noWrap/>
            <w:vAlign w:val="center"/>
            <w:hideMark/>
          </w:tcPr>
          <w:p w14:paraId="2EDE7623" w14:textId="77777777" w:rsidR="00C70ECF" w:rsidRPr="00B710A9" w:rsidRDefault="00C70ECF" w:rsidP="00491526">
            <w:pPr>
              <w:jc w:val="center"/>
              <w:rPr>
                <w:rFonts w:ascii="Arial" w:hAnsi="Arial" w:cs="Arial"/>
                <w:color w:val="000000"/>
                <w:sz w:val="18"/>
                <w:szCs w:val="18"/>
              </w:rPr>
            </w:pPr>
            <w:r w:rsidRPr="00B710A9">
              <w:rPr>
                <w:rFonts w:ascii="Arial" w:hAnsi="Arial" w:cs="Arial"/>
                <w:sz w:val="18"/>
                <w:szCs w:val="18"/>
              </w:rPr>
              <w:t>$3.700.000</w:t>
            </w:r>
          </w:p>
        </w:tc>
        <w:tc>
          <w:tcPr>
            <w:tcW w:w="1740" w:type="dxa"/>
            <w:shd w:val="clear" w:color="auto" w:fill="auto"/>
            <w:vAlign w:val="center"/>
            <w:hideMark/>
          </w:tcPr>
          <w:p w14:paraId="2766D690"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Ejecutado</w:t>
            </w:r>
          </w:p>
        </w:tc>
      </w:tr>
      <w:tr w:rsidR="00C70ECF" w:rsidRPr="00B710A9" w14:paraId="215DFA29" w14:textId="77777777" w:rsidTr="00491526">
        <w:trPr>
          <w:trHeight w:val="540"/>
          <w:jc w:val="center"/>
        </w:trPr>
        <w:tc>
          <w:tcPr>
            <w:tcW w:w="2180" w:type="dxa"/>
            <w:shd w:val="clear" w:color="auto" w:fill="D9E1F2"/>
            <w:vAlign w:val="center"/>
            <w:hideMark/>
          </w:tcPr>
          <w:p w14:paraId="1432590E"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5308/2021</w:t>
            </w:r>
          </w:p>
        </w:tc>
        <w:tc>
          <w:tcPr>
            <w:tcW w:w="2690" w:type="dxa"/>
            <w:shd w:val="clear" w:color="auto" w:fill="D9E1F2"/>
            <w:vAlign w:val="center"/>
            <w:hideMark/>
          </w:tcPr>
          <w:p w14:paraId="6A8F35CA" w14:textId="77777777" w:rsidR="00C70ECF" w:rsidRPr="00B710A9" w:rsidRDefault="00C70ECF" w:rsidP="00491526">
            <w:pPr>
              <w:rPr>
                <w:rFonts w:ascii="Arial" w:hAnsi="Arial" w:cs="Arial"/>
                <w:color w:val="000000"/>
                <w:sz w:val="18"/>
                <w:szCs w:val="18"/>
              </w:rPr>
            </w:pPr>
            <w:proofErr w:type="spellStart"/>
            <w:r w:rsidRPr="00B710A9">
              <w:rPr>
                <w:rFonts w:ascii="Arial" w:hAnsi="Arial" w:cs="Arial"/>
                <w:color w:val="000000"/>
                <w:sz w:val="18"/>
                <w:szCs w:val="18"/>
              </w:rPr>
              <w:t>Concay</w:t>
            </w:r>
            <w:proofErr w:type="spellEnd"/>
            <w:r w:rsidRPr="00B710A9">
              <w:rPr>
                <w:rFonts w:ascii="Arial" w:hAnsi="Arial" w:cs="Arial"/>
                <w:color w:val="000000"/>
                <w:sz w:val="18"/>
                <w:szCs w:val="18"/>
              </w:rPr>
              <w:t xml:space="preserve"> s.a. </w:t>
            </w:r>
            <w:proofErr w:type="spellStart"/>
            <w:r w:rsidRPr="00B710A9">
              <w:rPr>
                <w:rFonts w:ascii="Arial" w:hAnsi="Arial" w:cs="Arial"/>
                <w:color w:val="000000"/>
                <w:sz w:val="18"/>
                <w:szCs w:val="18"/>
              </w:rPr>
              <w:t>N°</w:t>
            </w:r>
            <w:proofErr w:type="spellEnd"/>
            <w:r w:rsidRPr="00B710A9">
              <w:rPr>
                <w:rFonts w:ascii="Arial" w:hAnsi="Arial" w:cs="Arial"/>
                <w:color w:val="000000"/>
                <w:sz w:val="18"/>
                <w:szCs w:val="18"/>
              </w:rPr>
              <w:t xml:space="preserve"> 226-2021 de 2021</w:t>
            </w:r>
          </w:p>
        </w:tc>
        <w:tc>
          <w:tcPr>
            <w:tcW w:w="1670" w:type="dxa"/>
            <w:shd w:val="clear" w:color="auto" w:fill="D9E1F2"/>
            <w:noWrap/>
            <w:vAlign w:val="center"/>
            <w:hideMark/>
          </w:tcPr>
          <w:p w14:paraId="130F8012" w14:textId="77777777" w:rsidR="00C70ECF" w:rsidRPr="00B710A9" w:rsidRDefault="00C70ECF" w:rsidP="00491526">
            <w:pPr>
              <w:jc w:val="center"/>
              <w:rPr>
                <w:rFonts w:ascii="Arial" w:hAnsi="Arial" w:cs="Arial"/>
                <w:color w:val="000000"/>
                <w:sz w:val="18"/>
                <w:szCs w:val="18"/>
              </w:rPr>
            </w:pPr>
            <w:r w:rsidRPr="00B710A9">
              <w:rPr>
                <w:rFonts w:ascii="Arial" w:hAnsi="Arial" w:cs="Arial"/>
                <w:color w:val="000000"/>
                <w:sz w:val="18"/>
                <w:szCs w:val="18"/>
              </w:rPr>
              <w:t>$90.000.000</w:t>
            </w:r>
          </w:p>
        </w:tc>
        <w:tc>
          <w:tcPr>
            <w:tcW w:w="1740" w:type="dxa"/>
            <w:shd w:val="clear" w:color="auto" w:fill="D9E1F2"/>
            <w:noWrap/>
            <w:vAlign w:val="center"/>
            <w:hideMark/>
          </w:tcPr>
          <w:p w14:paraId="54B0E56A"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Ejecutado</w:t>
            </w:r>
          </w:p>
        </w:tc>
      </w:tr>
      <w:tr w:rsidR="00C70ECF" w:rsidRPr="00B710A9" w14:paraId="036ABD68" w14:textId="77777777" w:rsidTr="00491526">
        <w:trPr>
          <w:trHeight w:val="540"/>
          <w:jc w:val="center"/>
        </w:trPr>
        <w:tc>
          <w:tcPr>
            <w:tcW w:w="2180" w:type="dxa"/>
            <w:shd w:val="clear" w:color="auto" w:fill="auto"/>
            <w:vAlign w:val="center"/>
            <w:hideMark/>
          </w:tcPr>
          <w:p w14:paraId="2D52CAE4"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lastRenderedPageBreak/>
              <w:t>Env-07-09-1014-21</w:t>
            </w:r>
          </w:p>
        </w:tc>
        <w:tc>
          <w:tcPr>
            <w:tcW w:w="2690" w:type="dxa"/>
            <w:shd w:val="clear" w:color="auto" w:fill="auto"/>
            <w:vAlign w:val="center"/>
            <w:hideMark/>
          </w:tcPr>
          <w:p w14:paraId="5C3E580E" w14:textId="62DDEEC4" w:rsidR="00C70ECF" w:rsidRPr="00B710A9" w:rsidRDefault="00C70ECF" w:rsidP="00491526">
            <w:pPr>
              <w:rPr>
                <w:rFonts w:ascii="Arial" w:hAnsi="Arial" w:cs="Arial"/>
                <w:color w:val="000000"/>
                <w:sz w:val="18"/>
                <w:szCs w:val="18"/>
              </w:rPr>
            </w:pPr>
            <w:r w:rsidRPr="00B710A9">
              <w:rPr>
                <w:rFonts w:ascii="Arial" w:hAnsi="Arial" w:cs="Arial"/>
                <w:sz w:val="18"/>
                <w:szCs w:val="18"/>
              </w:rPr>
              <w:t xml:space="preserve">Alcaldía </w:t>
            </w:r>
            <w:r w:rsidR="005354B9" w:rsidRPr="00B710A9">
              <w:rPr>
                <w:rFonts w:ascii="Arial" w:hAnsi="Arial" w:cs="Arial"/>
                <w:sz w:val="18"/>
                <w:szCs w:val="18"/>
              </w:rPr>
              <w:t>M</w:t>
            </w:r>
            <w:r w:rsidRPr="00B710A9">
              <w:rPr>
                <w:rFonts w:ascii="Arial" w:hAnsi="Arial" w:cs="Arial"/>
                <w:sz w:val="18"/>
                <w:szCs w:val="18"/>
              </w:rPr>
              <w:t xml:space="preserve">unicipal de </w:t>
            </w:r>
            <w:r w:rsidR="005354B9" w:rsidRPr="00B710A9">
              <w:rPr>
                <w:rFonts w:ascii="Arial" w:hAnsi="Arial" w:cs="Arial"/>
                <w:sz w:val="18"/>
                <w:szCs w:val="18"/>
              </w:rPr>
              <w:t>E</w:t>
            </w:r>
            <w:r w:rsidRPr="00B710A9">
              <w:rPr>
                <w:rFonts w:ascii="Arial" w:hAnsi="Arial" w:cs="Arial"/>
                <w:sz w:val="18"/>
                <w:szCs w:val="18"/>
              </w:rPr>
              <w:t>nvigado no. Env-07-09-1014-21</w:t>
            </w:r>
          </w:p>
        </w:tc>
        <w:tc>
          <w:tcPr>
            <w:tcW w:w="1670" w:type="dxa"/>
            <w:shd w:val="clear" w:color="auto" w:fill="auto"/>
            <w:noWrap/>
            <w:vAlign w:val="center"/>
            <w:hideMark/>
          </w:tcPr>
          <w:p w14:paraId="5EC4F903" w14:textId="77777777" w:rsidR="00C70ECF" w:rsidRPr="00B710A9" w:rsidRDefault="00C70ECF" w:rsidP="00491526">
            <w:pPr>
              <w:jc w:val="center"/>
              <w:rPr>
                <w:rFonts w:ascii="Arial" w:hAnsi="Arial" w:cs="Arial"/>
                <w:color w:val="000000"/>
                <w:sz w:val="18"/>
                <w:szCs w:val="18"/>
              </w:rPr>
            </w:pPr>
            <w:r w:rsidRPr="00B710A9">
              <w:rPr>
                <w:rFonts w:ascii="Arial" w:hAnsi="Arial" w:cs="Arial"/>
                <w:sz w:val="18"/>
                <w:szCs w:val="18"/>
              </w:rPr>
              <w:t>$2.600.000</w:t>
            </w:r>
          </w:p>
        </w:tc>
        <w:tc>
          <w:tcPr>
            <w:tcW w:w="1740" w:type="dxa"/>
            <w:shd w:val="clear" w:color="auto" w:fill="auto"/>
            <w:noWrap/>
            <w:vAlign w:val="center"/>
            <w:hideMark/>
          </w:tcPr>
          <w:p w14:paraId="4591BF75"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Ejecutado</w:t>
            </w:r>
          </w:p>
        </w:tc>
      </w:tr>
      <w:tr w:rsidR="00C70ECF" w:rsidRPr="00B710A9" w14:paraId="6F999363" w14:textId="77777777" w:rsidTr="00491526">
        <w:trPr>
          <w:trHeight w:val="540"/>
          <w:jc w:val="center"/>
        </w:trPr>
        <w:tc>
          <w:tcPr>
            <w:tcW w:w="2180" w:type="dxa"/>
            <w:shd w:val="clear" w:color="auto" w:fill="D9E1F2"/>
            <w:vAlign w:val="center"/>
            <w:hideMark/>
          </w:tcPr>
          <w:p w14:paraId="30F0E05A"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5314/2021</w:t>
            </w:r>
          </w:p>
        </w:tc>
        <w:tc>
          <w:tcPr>
            <w:tcW w:w="2690" w:type="dxa"/>
            <w:shd w:val="clear" w:color="auto" w:fill="D9E1F2"/>
            <w:vAlign w:val="center"/>
            <w:hideMark/>
          </w:tcPr>
          <w:p w14:paraId="23DB9E8F" w14:textId="791FA9F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 xml:space="preserve">Fondo de </w:t>
            </w:r>
            <w:r w:rsidR="005354B9" w:rsidRPr="00B710A9">
              <w:rPr>
                <w:rFonts w:ascii="Arial" w:hAnsi="Arial" w:cs="Arial"/>
                <w:color w:val="000000"/>
                <w:sz w:val="18"/>
                <w:szCs w:val="18"/>
              </w:rPr>
              <w:t>P</w:t>
            </w:r>
            <w:r w:rsidRPr="00B710A9">
              <w:rPr>
                <w:rFonts w:ascii="Arial" w:hAnsi="Arial" w:cs="Arial"/>
                <w:color w:val="000000"/>
                <w:sz w:val="18"/>
                <w:szCs w:val="18"/>
              </w:rPr>
              <w:t xml:space="preserve">asivo </w:t>
            </w:r>
            <w:r w:rsidR="005354B9" w:rsidRPr="00B710A9">
              <w:rPr>
                <w:rFonts w:ascii="Arial" w:hAnsi="Arial" w:cs="Arial"/>
                <w:color w:val="000000"/>
                <w:sz w:val="18"/>
                <w:szCs w:val="18"/>
              </w:rPr>
              <w:t>S</w:t>
            </w:r>
            <w:r w:rsidRPr="00B710A9">
              <w:rPr>
                <w:rFonts w:ascii="Arial" w:hAnsi="Arial" w:cs="Arial"/>
                <w:color w:val="000000"/>
                <w:sz w:val="18"/>
                <w:szCs w:val="18"/>
              </w:rPr>
              <w:t xml:space="preserve">ocial de </w:t>
            </w:r>
            <w:r w:rsidR="005354B9" w:rsidRPr="00B710A9">
              <w:rPr>
                <w:rFonts w:ascii="Arial" w:hAnsi="Arial" w:cs="Arial"/>
                <w:color w:val="000000"/>
                <w:sz w:val="18"/>
                <w:szCs w:val="18"/>
              </w:rPr>
              <w:t>F</w:t>
            </w:r>
            <w:r w:rsidRPr="00B710A9">
              <w:rPr>
                <w:rFonts w:ascii="Arial" w:hAnsi="Arial" w:cs="Arial"/>
                <w:color w:val="000000"/>
                <w:sz w:val="18"/>
                <w:szCs w:val="18"/>
              </w:rPr>
              <w:t xml:space="preserve">errocarriles </w:t>
            </w:r>
            <w:r w:rsidR="005354B9" w:rsidRPr="00B710A9">
              <w:rPr>
                <w:rFonts w:ascii="Arial" w:hAnsi="Arial" w:cs="Arial"/>
                <w:color w:val="000000"/>
                <w:sz w:val="18"/>
                <w:szCs w:val="18"/>
              </w:rPr>
              <w:t>N</w:t>
            </w:r>
            <w:r w:rsidRPr="00B710A9">
              <w:rPr>
                <w:rFonts w:ascii="Arial" w:hAnsi="Arial" w:cs="Arial"/>
                <w:color w:val="000000"/>
                <w:sz w:val="18"/>
                <w:szCs w:val="18"/>
              </w:rPr>
              <w:t xml:space="preserve">acionales de Colombia - </w:t>
            </w:r>
            <w:proofErr w:type="spellStart"/>
            <w:r w:rsidRPr="00B710A9">
              <w:rPr>
                <w:rFonts w:ascii="Arial" w:hAnsi="Arial" w:cs="Arial"/>
                <w:color w:val="000000"/>
                <w:sz w:val="18"/>
                <w:szCs w:val="18"/>
              </w:rPr>
              <w:t>fps</w:t>
            </w:r>
            <w:proofErr w:type="spellEnd"/>
            <w:r w:rsidRPr="00B710A9">
              <w:rPr>
                <w:rFonts w:ascii="Arial" w:hAnsi="Arial" w:cs="Arial"/>
                <w:color w:val="000000"/>
                <w:sz w:val="18"/>
                <w:szCs w:val="18"/>
              </w:rPr>
              <w:t xml:space="preserve"> no. 317 de 2021</w:t>
            </w:r>
          </w:p>
        </w:tc>
        <w:tc>
          <w:tcPr>
            <w:tcW w:w="1670" w:type="dxa"/>
            <w:shd w:val="clear" w:color="auto" w:fill="D9E1F2"/>
            <w:noWrap/>
            <w:vAlign w:val="center"/>
            <w:hideMark/>
          </w:tcPr>
          <w:p w14:paraId="3B5EA0D4" w14:textId="77777777" w:rsidR="00C70ECF" w:rsidRPr="00B710A9" w:rsidRDefault="00C70ECF" w:rsidP="00491526">
            <w:pPr>
              <w:jc w:val="center"/>
              <w:rPr>
                <w:rFonts w:ascii="Arial" w:hAnsi="Arial" w:cs="Arial"/>
                <w:color w:val="000000"/>
                <w:sz w:val="18"/>
                <w:szCs w:val="18"/>
              </w:rPr>
            </w:pPr>
            <w:r w:rsidRPr="00B710A9">
              <w:rPr>
                <w:rFonts w:ascii="Arial" w:hAnsi="Arial" w:cs="Arial"/>
                <w:color w:val="000000"/>
                <w:sz w:val="18"/>
                <w:szCs w:val="18"/>
              </w:rPr>
              <w:t>$25.500.000</w:t>
            </w:r>
          </w:p>
        </w:tc>
        <w:tc>
          <w:tcPr>
            <w:tcW w:w="1740" w:type="dxa"/>
            <w:shd w:val="clear" w:color="auto" w:fill="D9E1F2"/>
            <w:vAlign w:val="center"/>
            <w:hideMark/>
          </w:tcPr>
          <w:p w14:paraId="384CA66E"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Ejecutado</w:t>
            </w:r>
          </w:p>
        </w:tc>
      </w:tr>
      <w:tr w:rsidR="00C70ECF" w:rsidRPr="00B710A9" w14:paraId="6750A35F" w14:textId="77777777" w:rsidTr="00491526">
        <w:trPr>
          <w:trHeight w:val="540"/>
          <w:jc w:val="center"/>
        </w:trPr>
        <w:tc>
          <w:tcPr>
            <w:tcW w:w="2180" w:type="dxa"/>
            <w:shd w:val="clear" w:color="auto" w:fill="auto"/>
            <w:vAlign w:val="center"/>
            <w:hideMark/>
          </w:tcPr>
          <w:p w14:paraId="71B83D77"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005/2021</w:t>
            </w:r>
          </w:p>
        </w:tc>
        <w:tc>
          <w:tcPr>
            <w:tcW w:w="2690" w:type="dxa"/>
            <w:shd w:val="clear" w:color="auto" w:fill="auto"/>
            <w:vAlign w:val="center"/>
            <w:hideMark/>
          </w:tcPr>
          <w:p w14:paraId="441AEBDA" w14:textId="0BD41DA3" w:rsidR="00C70ECF" w:rsidRPr="00B710A9" w:rsidRDefault="00C70ECF" w:rsidP="00491526">
            <w:pPr>
              <w:rPr>
                <w:rFonts w:ascii="Arial" w:hAnsi="Arial" w:cs="Arial"/>
                <w:color w:val="000000"/>
                <w:sz w:val="18"/>
                <w:szCs w:val="18"/>
              </w:rPr>
            </w:pPr>
            <w:r w:rsidRPr="00B710A9">
              <w:rPr>
                <w:rFonts w:ascii="Arial" w:hAnsi="Arial" w:cs="Arial"/>
                <w:sz w:val="18"/>
                <w:szCs w:val="18"/>
              </w:rPr>
              <w:t xml:space="preserve">Instituto de </w:t>
            </w:r>
            <w:r w:rsidR="005354B9" w:rsidRPr="00B710A9">
              <w:rPr>
                <w:rFonts w:ascii="Arial" w:hAnsi="Arial" w:cs="Arial"/>
                <w:sz w:val="18"/>
                <w:szCs w:val="18"/>
              </w:rPr>
              <w:t>F</w:t>
            </w:r>
            <w:r w:rsidRPr="00B710A9">
              <w:rPr>
                <w:rFonts w:ascii="Arial" w:hAnsi="Arial" w:cs="Arial"/>
                <w:sz w:val="18"/>
                <w:szCs w:val="18"/>
              </w:rPr>
              <w:t xml:space="preserve">omento y </w:t>
            </w:r>
            <w:r w:rsidR="005354B9" w:rsidRPr="00B710A9">
              <w:rPr>
                <w:rFonts w:ascii="Arial" w:hAnsi="Arial" w:cs="Arial"/>
                <w:sz w:val="18"/>
                <w:szCs w:val="18"/>
              </w:rPr>
              <w:t>D</w:t>
            </w:r>
            <w:r w:rsidRPr="00B710A9">
              <w:rPr>
                <w:rFonts w:ascii="Arial" w:hAnsi="Arial" w:cs="Arial"/>
                <w:sz w:val="18"/>
                <w:szCs w:val="18"/>
              </w:rPr>
              <w:t xml:space="preserve">esarrollo de Boyacá - </w:t>
            </w:r>
            <w:r w:rsidR="005354B9" w:rsidRPr="00B710A9">
              <w:rPr>
                <w:rFonts w:ascii="Arial" w:hAnsi="Arial" w:cs="Arial"/>
                <w:sz w:val="18"/>
                <w:szCs w:val="18"/>
              </w:rPr>
              <w:t>IDEBOY</w:t>
            </w:r>
            <w:r w:rsidRPr="00B710A9">
              <w:rPr>
                <w:rFonts w:ascii="Arial" w:hAnsi="Arial" w:cs="Arial"/>
                <w:sz w:val="18"/>
                <w:szCs w:val="18"/>
              </w:rPr>
              <w:t xml:space="preserve"> no. 005 de 2021</w:t>
            </w:r>
          </w:p>
        </w:tc>
        <w:tc>
          <w:tcPr>
            <w:tcW w:w="1670" w:type="dxa"/>
            <w:shd w:val="clear" w:color="auto" w:fill="auto"/>
            <w:noWrap/>
            <w:vAlign w:val="center"/>
            <w:hideMark/>
          </w:tcPr>
          <w:p w14:paraId="57D6DA25" w14:textId="77777777" w:rsidR="00C70ECF" w:rsidRPr="00B710A9" w:rsidRDefault="00C70ECF" w:rsidP="00491526">
            <w:pPr>
              <w:jc w:val="center"/>
              <w:rPr>
                <w:rFonts w:ascii="Arial" w:hAnsi="Arial" w:cs="Arial"/>
                <w:color w:val="000000"/>
                <w:sz w:val="18"/>
                <w:szCs w:val="18"/>
              </w:rPr>
            </w:pPr>
            <w:r w:rsidRPr="00B710A9">
              <w:rPr>
                <w:rFonts w:ascii="Arial" w:hAnsi="Arial" w:cs="Arial"/>
                <w:sz w:val="18"/>
                <w:szCs w:val="18"/>
              </w:rPr>
              <w:t>$35.000.000</w:t>
            </w:r>
          </w:p>
        </w:tc>
        <w:tc>
          <w:tcPr>
            <w:tcW w:w="1740" w:type="dxa"/>
            <w:shd w:val="clear" w:color="auto" w:fill="auto"/>
            <w:noWrap/>
            <w:vAlign w:val="center"/>
            <w:hideMark/>
          </w:tcPr>
          <w:p w14:paraId="687B9003"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Ejecutado</w:t>
            </w:r>
          </w:p>
        </w:tc>
      </w:tr>
      <w:tr w:rsidR="00C70ECF" w:rsidRPr="00B710A9" w14:paraId="205A7F5F" w14:textId="77777777" w:rsidTr="00491526">
        <w:trPr>
          <w:trHeight w:val="540"/>
          <w:jc w:val="center"/>
        </w:trPr>
        <w:tc>
          <w:tcPr>
            <w:tcW w:w="2180" w:type="dxa"/>
            <w:shd w:val="clear" w:color="auto" w:fill="D9E2F3" w:themeFill="accent1" w:themeFillTint="33"/>
            <w:vAlign w:val="center"/>
            <w:hideMark/>
          </w:tcPr>
          <w:p w14:paraId="1B985D03" w14:textId="4435446F" w:rsidR="00C70ECF" w:rsidRPr="00B710A9" w:rsidRDefault="00C70ECF" w:rsidP="00491526">
            <w:pPr>
              <w:rPr>
                <w:rFonts w:ascii="Arial" w:hAnsi="Arial" w:cs="Arial"/>
                <w:color w:val="000000"/>
                <w:sz w:val="18"/>
                <w:szCs w:val="18"/>
              </w:rPr>
            </w:pPr>
            <w:r w:rsidRPr="00B710A9">
              <w:rPr>
                <w:rFonts w:ascii="Arial" w:hAnsi="Arial" w:cs="Arial"/>
                <w:sz w:val="18"/>
                <w:szCs w:val="18"/>
              </w:rPr>
              <w:t xml:space="preserve">No. 037-2021- </w:t>
            </w:r>
            <w:r w:rsidR="00127485">
              <w:rPr>
                <w:rFonts w:ascii="Arial" w:hAnsi="Arial" w:cs="Arial"/>
                <w:sz w:val="18"/>
                <w:szCs w:val="18"/>
              </w:rPr>
              <w:t>IGAC</w:t>
            </w:r>
            <w:r w:rsidRPr="00B710A9">
              <w:rPr>
                <w:rFonts w:ascii="Arial" w:hAnsi="Arial" w:cs="Arial"/>
                <w:sz w:val="18"/>
                <w:szCs w:val="18"/>
              </w:rPr>
              <w:t xml:space="preserve"> no. 5323 de 2021</w:t>
            </w:r>
          </w:p>
        </w:tc>
        <w:tc>
          <w:tcPr>
            <w:tcW w:w="2690" w:type="dxa"/>
            <w:shd w:val="clear" w:color="auto" w:fill="D9E2F3" w:themeFill="accent1" w:themeFillTint="33"/>
            <w:vAlign w:val="center"/>
            <w:hideMark/>
          </w:tcPr>
          <w:p w14:paraId="3F350C57"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Alcaldía Guatapé - Antioquia</w:t>
            </w:r>
          </w:p>
        </w:tc>
        <w:tc>
          <w:tcPr>
            <w:tcW w:w="1670" w:type="dxa"/>
            <w:shd w:val="clear" w:color="auto" w:fill="D9E2F3" w:themeFill="accent1" w:themeFillTint="33"/>
            <w:noWrap/>
            <w:vAlign w:val="center"/>
            <w:hideMark/>
          </w:tcPr>
          <w:p w14:paraId="71272DAF" w14:textId="77777777" w:rsidR="00C70ECF" w:rsidRPr="00B710A9" w:rsidRDefault="00C70ECF" w:rsidP="00491526">
            <w:pPr>
              <w:jc w:val="center"/>
              <w:rPr>
                <w:rFonts w:ascii="Arial" w:hAnsi="Arial" w:cs="Arial"/>
                <w:color w:val="000000"/>
                <w:sz w:val="18"/>
                <w:szCs w:val="18"/>
              </w:rPr>
            </w:pPr>
            <w:r w:rsidRPr="00B710A9">
              <w:rPr>
                <w:rFonts w:ascii="Arial" w:hAnsi="Arial" w:cs="Arial"/>
                <w:sz w:val="18"/>
                <w:szCs w:val="18"/>
              </w:rPr>
              <w:t>$5.000.000</w:t>
            </w:r>
          </w:p>
        </w:tc>
        <w:tc>
          <w:tcPr>
            <w:tcW w:w="1740" w:type="dxa"/>
            <w:shd w:val="clear" w:color="auto" w:fill="D9E2F3" w:themeFill="accent1" w:themeFillTint="33"/>
            <w:vAlign w:val="center"/>
            <w:hideMark/>
          </w:tcPr>
          <w:p w14:paraId="071088BD"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Ejecutado</w:t>
            </w:r>
          </w:p>
        </w:tc>
      </w:tr>
      <w:tr w:rsidR="00C70ECF" w:rsidRPr="00B710A9" w14:paraId="04A57BB5" w14:textId="77777777" w:rsidTr="00491526">
        <w:trPr>
          <w:trHeight w:val="540"/>
          <w:jc w:val="center"/>
        </w:trPr>
        <w:tc>
          <w:tcPr>
            <w:tcW w:w="2180" w:type="dxa"/>
            <w:shd w:val="clear" w:color="auto" w:fill="auto"/>
            <w:vAlign w:val="center"/>
            <w:hideMark/>
          </w:tcPr>
          <w:p w14:paraId="4AD528A4"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Mc-ci-05-2021</w:t>
            </w:r>
          </w:p>
        </w:tc>
        <w:tc>
          <w:tcPr>
            <w:tcW w:w="2690" w:type="dxa"/>
            <w:shd w:val="clear" w:color="auto" w:fill="auto"/>
            <w:vAlign w:val="center"/>
            <w:hideMark/>
          </w:tcPr>
          <w:p w14:paraId="6E850034"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 xml:space="preserve">Alcaldía municipal </w:t>
            </w:r>
            <w:proofErr w:type="spellStart"/>
            <w:r w:rsidRPr="00B710A9">
              <w:rPr>
                <w:rFonts w:ascii="Arial" w:hAnsi="Arial" w:cs="Arial"/>
                <w:sz w:val="18"/>
                <w:szCs w:val="18"/>
              </w:rPr>
              <w:t>Chiquiza</w:t>
            </w:r>
            <w:proofErr w:type="spellEnd"/>
            <w:r w:rsidRPr="00B710A9">
              <w:rPr>
                <w:rFonts w:ascii="Arial" w:hAnsi="Arial" w:cs="Arial"/>
                <w:sz w:val="18"/>
                <w:szCs w:val="18"/>
              </w:rPr>
              <w:t xml:space="preserve"> – Boyacá</w:t>
            </w:r>
          </w:p>
        </w:tc>
        <w:tc>
          <w:tcPr>
            <w:tcW w:w="1670" w:type="dxa"/>
            <w:shd w:val="clear" w:color="auto" w:fill="auto"/>
            <w:noWrap/>
            <w:vAlign w:val="center"/>
            <w:hideMark/>
          </w:tcPr>
          <w:p w14:paraId="7F65C8EB" w14:textId="77777777" w:rsidR="00C70ECF" w:rsidRPr="00B710A9" w:rsidRDefault="00C70ECF" w:rsidP="00491526">
            <w:pPr>
              <w:jc w:val="center"/>
              <w:rPr>
                <w:rFonts w:ascii="Arial" w:hAnsi="Arial" w:cs="Arial"/>
                <w:color w:val="000000"/>
                <w:sz w:val="18"/>
                <w:szCs w:val="18"/>
              </w:rPr>
            </w:pPr>
            <w:r w:rsidRPr="00B710A9">
              <w:rPr>
                <w:rFonts w:ascii="Arial" w:hAnsi="Arial" w:cs="Arial"/>
                <w:sz w:val="18"/>
                <w:szCs w:val="18"/>
              </w:rPr>
              <w:t>$3.100.000</w:t>
            </w:r>
          </w:p>
        </w:tc>
        <w:tc>
          <w:tcPr>
            <w:tcW w:w="1740" w:type="dxa"/>
            <w:shd w:val="clear" w:color="auto" w:fill="auto"/>
            <w:vAlign w:val="center"/>
            <w:hideMark/>
          </w:tcPr>
          <w:p w14:paraId="7ED9CD4A"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Ejecutado</w:t>
            </w:r>
          </w:p>
        </w:tc>
      </w:tr>
      <w:tr w:rsidR="00C70ECF" w:rsidRPr="00B710A9" w14:paraId="5F632222" w14:textId="77777777" w:rsidTr="00491526">
        <w:trPr>
          <w:trHeight w:val="540"/>
          <w:jc w:val="center"/>
        </w:trPr>
        <w:tc>
          <w:tcPr>
            <w:tcW w:w="2180" w:type="dxa"/>
            <w:shd w:val="clear" w:color="auto" w:fill="D9E2F3" w:themeFill="accent1" w:themeFillTint="33"/>
            <w:vAlign w:val="center"/>
            <w:hideMark/>
          </w:tcPr>
          <w:p w14:paraId="5B8790EA"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5316 de 2021</w:t>
            </w:r>
          </w:p>
        </w:tc>
        <w:tc>
          <w:tcPr>
            <w:tcW w:w="2690" w:type="dxa"/>
            <w:shd w:val="clear" w:color="auto" w:fill="D9E2F3" w:themeFill="accent1" w:themeFillTint="33"/>
            <w:vAlign w:val="center"/>
            <w:hideMark/>
          </w:tcPr>
          <w:p w14:paraId="7ACF49C1" w14:textId="0D8F24DB" w:rsidR="00C70ECF" w:rsidRPr="00B710A9" w:rsidRDefault="00C70ECF" w:rsidP="00491526">
            <w:pPr>
              <w:rPr>
                <w:rFonts w:ascii="Arial" w:hAnsi="Arial" w:cs="Arial"/>
                <w:color w:val="000000"/>
                <w:sz w:val="18"/>
                <w:szCs w:val="18"/>
              </w:rPr>
            </w:pPr>
            <w:proofErr w:type="spellStart"/>
            <w:r w:rsidRPr="00B710A9">
              <w:rPr>
                <w:rFonts w:ascii="Arial" w:hAnsi="Arial" w:cs="Arial"/>
                <w:sz w:val="18"/>
                <w:szCs w:val="18"/>
              </w:rPr>
              <w:t>Yebrail</w:t>
            </w:r>
            <w:proofErr w:type="spellEnd"/>
            <w:r w:rsidRPr="00B710A9">
              <w:rPr>
                <w:rFonts w:ascii="Arial" w:hAnsi="Arial" w:cs="Arial"/>
                <w:sz w:val="18"/>
                <w:szCs w:val="18"/>
              </w:rPr>
              <w:t xml:space="preserve"> Rincón </w:t>
            </w:r>
            <w:r w:rsidR="005354B9" w:rsidRPr="00B710A9">
              <w:rPr>
                <w:rFonts w:ascii="Arial" w:hAnsi="Arial" w:cs="Arial"/>
                <w:sz w:val="18"/>
                <w:szCs w:val="18"/>
              </w:rPr>
              <w:t>P</w:t>
            </w:r>
            <w:r w:rsidRPr="00B710A9">
              <w:rPr>
                <w:rFonts w:ascii="Arial" w:hAnsi="Arial" w:cs="Arial"/>
                <w:sz w:val="18"/>
                <w:szCs w:val="18"/>
              </w:rPr>
              <w:t>acheco</w:t>
            </w:r>
          </w:p>
        </w:tc>
        <w:tc>
          <w:tcPr>
            <w:tcW w:w="1670" w:type="dxa"/>
            <w:shd w:val="clear" w:color="auto" w:fill="D9E2F3" w:themeFill="accent1" w:themeFillTint="33"/>
            <w:noWrap/>
            <w:vAlign w:val="center"/>
            <w:hideMark/>
          </w:tcPr>
          <w:p w14:paraId="7D4D6EC4" w14:textId="77777777" w:rsidR="00C70ECF" w:rsidRPr="00B710A9" w:rsidRDefault="00C70ECF" w:rsidP="00491526">
            <w:pPr>
              <w:jc w:val="center"/>
              <w:rPr>
                <w:rFonts w:ascii="Arial" w:hAnsi="Arial" w:cs="Arial"/>
                <w:color w:val="000000"/>
                <w:sz w:val="18"/>
                <w:szCs w:val="18"/>
              </w:rPr>
            </w:pPr>
            <w:r w:rsidRPr="00B710A9">
              <w:rPr>
                <w:rFonts w:ascii="Arial" w:hAnsi="Arial" w:cs="Arial"/>
                <w:sz w:val="18"/>
                <w:szCs w:val="18"/>
              </w:rPr>
              <w:t>$6.300.000</w:t>
            </w:r>
          </w:p>
        </w:tc>
        <w:tc>
          <w:tcPr>
            <w:tcW w:w="1740" w:type="dxa"/>
            <w:shd w:val="clear" w:color="auto" w:fill="D9E2F3" w:themeFill="accent1" w:themeFillTint="33"/>
            <w:noWrap/>
            <w:vAlign w:val="center"/>
            <w:hideMark/>
          </w:tcPr>
          <w:p w14:paraId="1E9F4692"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Ejecutado</w:t>
            </w:r>
          </w:p>
        </w:tc>
      </w:tr>
      <w:tr w:rsidR="00C70ECF" w:rsidRPr="00B710A9" w14:paraId="6F1DB27C" w14:textId="77777777" w:rsidTr="00491526">
        <w:trPr>
          <w:trHeight w:val="540"/>
          <w:jc w:val="center"/>
        </w:trPr>
        <w:tc>
          <w:tcPr>
            <w:tcW w:w="2180" w:type="dxa"/>
            <w:shd w:val="clear" w:color="auto" w:fill="D9E1F2"/>
            <w:vAlign w:val="center"/>
            <w:hideMark/>
          </w:tcPr>
          <w:p w14:paraId="23FA7B5F" w14:textId="77777777" w:rsidR="00C70ECF" w:rsidRPr="00B710A9" w:rsidRDefault="00C70ECF" w:rsidP="00491526">
            <w:pPr>
              <w:rPr>
                <w:rFonts w:ascii="Arial" w:hAnsi="Arial" w:cs="Arial"/>
                <w:color w:val="000000"/>
                <w:sz w:val="18"/>
                <w:szCs w:val="18"/>
              </w:rPr>
            </w:pPr>
            <w:proofErr w:type="spellStart"/>
            <w:r w:rsidRPr="00B710A9">
              <w:rPr>
                <w:rFonts w:ascii="Arial" w:hAnsi="Arial" w:cs="Arial"/>
                <w:color w:val="000000"/>
                <w:sz w:val="18"/>
                <w:szCs w:val="18"/>
              </w:rPr>
              <w:t>Urt</w:t>
            </w:r>
            <w:proofErr w:type="spellEnd"/>
            <w:r w:rsidRPr="00B710A9">
              <w:rPr>
                <w:rFonts w:ascii="Arial" w:hAnsi="Arial" w:cs="Arial"/>
                <w:color w:val="000000"/>
                <w:sz w:val="18"/>
                <w:szCs w:val="18"/>
              </w:rPr>
              <w:t xml:space="preserve"> 1758 /2021igac 5271/2021</w:t>
            </w:r>
          </w:p>
        </w:tc>
        <w:tc>
          <w:tcPr>
            <w:tcW w:w="2690" w:type="dxa"/>
            <w:shd w:val="clear" w:color="auto" w:fill="D9E1F2"/>
            <w:vAlign w:val="center"/>
            <w:hideMark/>
          </w:tcPr>
          <w:p w14:paraId="5B5BBE02" w14:textId="33B008BB"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 xml:space="preserve">Unidad de </w:t>
            </w:r>
            <w:r w:rsidR="005354B9" w:rsidRPr="00B710A9">
              <w:rPr>
                <w:rFonts w:ascii="Arial" w:hAnsi="Arial" w:cs="Arial"/>
                <w:color w:val="000000"/>
                <w:sz w:val="18"/>
                <w:szCs w:val="18"/>
              </w:rPr>
              <w:t>R</w:t>
            </w:r>
            <w:r w:rsidRPr="00B710A9">
              <w:rPr>
                <w:rFonts w:ascii="Arial" w:hAnsi="Arial" w:cs="Arial"/>
                <w:color w:val="000000"/>
                <w:sz w:val="18"/>
                <w:szCs w:val="18"/>
              </w:rPr>
              <w:t xml:space="preserve">estitución de </w:t>
            </w:r>
            <w:r w:rsidR="005354B9" w:rsidRPr="00B710A9">
              <w:rPr>
                <w:rFonts w:ascii="Arial" w:hAnsi="Arial" w:cs="Arial"/>
                <w:color w:val="000000"/>
                <w:sz w:val="18"/>
                <w:szCs w:val="18"/>
              </w:rPr>
              <w:t>T</w:t>
            </w:r>
            <w:r w:rsidRPr="00B710A9">
              <w:rPr>
                <w:rFonts w:ascii="Arial" w:hAnsi="Arial" w:cs="Arial"/>
                <w:color w:val="000000"/>
                <w:sz w:val="18"/>
                <w:szCs w:val="18"/>
              </w:rPr>
              <w:t xml:space="preserve">ierras </w:t>
            </w:r>
            <w:r w:rsidR="005354B9" w:rsidRPr="00B710A9">
              <w:rPr>
                <w:rFonts w:ascii="Arial" w:hAnsi="Arial" w:cs="Arial"/>
                <w:color w:val="000000"/>
                <w:sz w:val="18"/>
                <w:szCs w:val="18"/>
              </w:rPr>
              <w:t>D</w:t>
            </w:r>
            <w:r w:rsidRPr="00B710A9">
              <w:rPr>
                <w:rFonts w:ascii="Arial" w:hAnsi="Arial" w:cs="Arial"/>
                <w:color w:val="000000"/>
                <w:sz w:val="18"/>
                <w:szCs w:val="18"/>
              </w:rPr>
              <w:t>espojadas</w:t>
            </w:r>
          </w:p>
        </w:tc>
        <w:tc>
          <w:tcPr>
            <w:tcW w:w="1670" w:type="dxa"/>
            <w:shd w:val="clear" w:color="auto" w:fill="D9E1F2"/>
            <w:noWrap/>
            <w:vAlign w:val="center"/>
            <w:hideMark/>
          </w:tcPr>
          <w:p w14:paraId="69952C0A" w14:textId="77777777" w:rsidR="00C70ECF" w:rsidRPr="00B710A9" w:rsidRDefault="00C70ECF" w:rsidP="00491526">
            <w:pPr>
              <w:jc w:val="center"/>
              <w:rPr>
                <w:rFonts w:ascii="Arial" w:hAnsi="Arial" w:cs="Arial"/>
                <w:color w:val="000000"/>
                <w:sz w:val="18"/>
                <w:szCs w:val="18"/>
              </w:rPr>
            </w:pPr>
            <w:r w:rsidRPr="00B710A9">
              <w:rPr>
                <w:rFonts w:ascii="Arial" w:hAnsi="Arial" w:cs="Arial"/>
                <w:color w:val="000000"/>
                <w:sz w:val="18"/>
                <w:szCs w:val="18"/>
              </w:rPr>
              <w:t>$2.050.270.635</w:t>
            </w:r>
          </w:p>
        </w:tc>
        <w:tc>
          <w:tcPr>
            <w:tcW w:w="1740" w:type="dxa"/>
            <w:shd w:val="clear" w:color="auto" w:fill="D9E1F2"/>
            <w:noWrap/>
            <w:vAlign w:val="center"/>
            <w:hideMark/>
          </w:tcPr>
          <w:p w14:paraId="1AC76941"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En ejecución</w:t>
            </w:r>
          </w:p>
        </w:tc>
      </w:tr>
      <w:tr w:rsidR="00C70ECF" w:rsidRPr="00B710A9" w14:paraId="034C2A0C" w14:textId="77777777" w:rsidTr="00491526">
        <w:trPr>
          <w:trHeight w:val="540"/>
          <w:jc w:val="center"/>
        </w:trPr>
        <w:tc>
          <w:tcPr>
            <w:tcW w:w="2180" w:type="dxa"/>
            <w:shd w:val="clear" w:color="auto" w:fill="auto"/>
            <w:vAlign w:val="center"/>
            <w:hideMark/>
          </w:tcPr>
          <w:p w14:paraId="61553103" w14:textId="77777777" w:rsidR="00C70ECF" w:rsidRPr="00B710A9" w:rsidRDefault="00C70ECF" w:rsidP="00491526">
            <w:pPr>
              <w:rPr>
                <w:rFonts w:ascii="Arial" w:hAnsi="Arial" w:cs="Arial"/>
                <w:color w:val="000000"/>
                <w:sz w:val="18"/>
                <w:szCs w:val="18"/>
              </w:rPr>
            </w:pPr>
            <w:proofErr w:type="spellStart"/>
            <w:r w:rsidRPr="00B710A9">
              <w:rPr>
                <w:rFonts w:ascii="Arial" w:hAnsi="Arial" w:cs="Arial"/>
                <w:sz w:val="18"/>
                <w:szCs w:val="18"/>
              </w:rPr>
              <w:t>Ant</w:t>
            </w:r>
            <w:proofErr w:type="spellEnd"/>
            <w:r w:rsidRPr="00B710A9">
              <w:rPr>
                <w:rFonts w:ascii="Arial" w:hAnsi="Arial" w:cs="Arial"/>
                <w:sz w:val="18"/>
                <w:szCs w:val="18"/>
              </w:rPr>
              <w:t xml:space="preserve"> no. 1204 de 2021igac no.5273 de 2021</w:t>
            </w:r>
          </w:p>
        </w:tc>
        <w:tc>
          <w:tcPr>
            <w:tcW w:w="2690" w:type="dxa"/>
            <w:shd w:val="clear" w:color="auto" w:fill="auto"/>
            <w:vAlign w:val="center"/>
            <w:hideMark/>
          </w:tcPr>
          <w:p w14:paraId="1C462492" w14:textId="10F22A7A" w:rsidR="00C70ECF" w:rsidRPr="00B710A9" w:rsidRDefault="00C70ECF" w:rsidP="00491526">
            <w:pPr>
              <w:rPr>
                <w:rFonts w:ascii="Arial" w:hAnsi="Arial" w:cs="Arial"/>
                <w:color w:val="000000"/>
                <w:sz w:val="18"/>
                <w:szCs w:val="18"/>
              </w:rPr>
            </w:pPr>
            <w:r w:rsidRPr="00B710A9">
              <w:rPr>
                <w:rFonts w:ascii="Arial" w:hAnsi="Arial" w:cs="Arial"/>
                <w:sz w:val="18"/>
                <w:szCs w:val="18"/>
              </w:rPr>
              <w:t xml:space="preserve">Agencia </w:t>
            </w:r>
            <w:r w:rsidR="002A6926" w:rsidRPr="00B710A9">
              <w:rPr>
                <w:rFonts w:ascii="Arial" w:hAnsi="Arial" w:cs="Arial"/>
                <w:sz w:val="18"/>
                <w:szCs w:val="18"/>
              </w:rPr>
              <w:t>N</w:t>
            </w:r>
            <w:r w:rsidRPr="00B710A9">
              <w:rPr>
                <w:rFonts w:ascii="Arial" w:hAnsi="Arial" w:cs="Arial"/>
                <w:sz w:val="18"/>
                <w:szCs w:val="18"/>
              </w:rPr>
              <w:t xml:space="preserve">acional de </w:t>
            </w:r>
            <w:r w:rsidR="002A6926" w:rsidRPr="00B710A9">
              <w:rPr>
                <w:rFonts w:ascii="Arial" w:hAnsi="Arial" w:cs="Arial"/>
                <w:sz w:val="18"/>
                <w:szCs w:val="18"/>
              </w:rPr>
              <w:t>T</w:t>
            </w:r>
            <w:r w:rsidRPr="00B710A9">
              <w:rPr>
                <w:rFonts w:ascii="Arial" w:hAnsi="Arial" w:cs="Arial"/>
                <w:sz w:val="18"/>
                <w:szCs w:val="18"/>
              </w:rPr>
              <w:t>ierras – ANT</w:t>
            </w:r>
          </w:p>
        </w:tc>
        <w:tc>
          <w:tcPr>
            <w:tcW w:w="1670" w:type="dxa"/>
            <w:shd w:val="clear" w:color="auto" w:fill="auto"/>
            <w:noWrap/>
            <w:vAlign w:val="center"/>
            <w:hideMark/>
          </w:tcPr>
          <w:p w14:paraId="49F5BEC5" w14:textId="77777777" w:rsidR="00C70ECF" w:rsidRPr="00B710A9" w:rsidRDefault="00C70ECF" w:rsidP="00491526">
            <w:pPr>
              <w:jc w:val="center"/>
              <w:rPr>
                <w:rFonts w:ascii="Arial" w:hAnsi="Arial" w:cs="Arial"/>
                <w:color w:val="000000"/>
                <w:sz w:val="18"/>
                <w:szCs w:val="18"/>
              </w:rPr>
            </w:pPr>
            <w:r w:rsidRPr="00B710A9">
              <w:rPr>
                <w:rFonts w:ascii="Arial" w:hAnsi="Arial" w:cs="Arial"/>
                <w:sz w:val="18"/>
                <w:szCs w:val="18"/>
              </w:rPr>
              <w:t>$1.000.000.000</w:t>
            </w:r>
          </w:p>
        </w:tc>
        <w:tc>
          <w:tcPr>
            <w:tcW w:w="1740" w:type="dxa"/>
            <w:shd w:val="clear" w:color="auto" w:fill="auto"/>
            <w:noWrap/>
            <w:vAlign w:val="center"/>
            <w:hideMark/>
          </w:tcPr>
          <w:p w14:paraId="73A45B36"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En ejecución</w:t>
            </w:r>
          </w:p>
        </w:tc>
      </w:tr>
      <w:tr w:rsidR="00C70ECF" w:rsidRPr="00B710A9" w14:paraId="00FA0592" w14:textId="77777777" w:rsidTr="00491526">
        <w:trPr>
          <w:trHeight w:val="540"/>
          <w:jc w:val="center"/>
        </w:trPr>
        <w:tc>
          <w:tcPr>
            <w:tcW w:w="2180" w:type="dxa"/>
            <w:shd w:val="clear" w:color="auto" w:fill="D9E2F3" w:themeFill="accent1" w:themeFillTint="33"/>
            <w:noWrap/>
            <w:vAlign w:val="center"/>
            <w:hideMark/>
          </w:tcPr>
          <w:p w14:paraId="1BF5B28D"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371/2021</w:t>
            </w:r>
          </w:p>
        </w:tc>
        <w:tc>
          <w:tcPr>
            <w:tcW w:w="2690" w:type="dxa"/>
            <w:shd w:val="clear" w:color="auto" w:fill="D9E2F3" w:themeFill="accent1" w:themeFillTint="33"/>
            <w:vAlign w:val="center"/>
            <w:hideMark/>
          </w:tcPr>
          <w:p w14:paraId="3BCF9ACD" w14:textId="347BEEB6" w:rsidR="00C70ECF" w:rsidRPr="00B710A9" w:rsidRDefault="00C70ECF" w:rsidP="00491526">
            <w:pPr>
              <w:rPr>
                <w:rFonts w:ascii="Arial" w:hAnsi="Arial" w:cs="Arial"/>
                <w:color w:val="000000"/>
                <w:sz w:val="18"/>
                <w:szCs w:val="18"/>
              </w:rPr>
            </w:pPr>
            <w:r w:rsidRPr="00B710A9">
              <w:rPr>
                <w:rFonts w:ascii="Arial" w:hAnsi="Arial" w:cs="Arial"/>
                <w:sz w:val="18"/>
                <w:szCs w:val="18"/>
              </w:rPr>
              <w:t xml:space="preserve">Contraloría </w:t>
            </w:r>
            <w:r w:rsidR="002A6926" w:rsidRPr="00B710A9">
              <w:rPr>
                <w:rFonts w:ascii="Arial" w:hAnsi="Arial" w:cs="Arial"/>
                <w:sz w:val="18"/>
                <w:szCs w:val="18"/>
              </w:rPr>
              <w:t>G</w:t>
            </w:r>
            <w:r w:rsidRPr="00B710A9">
              <w:rPr>
                <w:rFonts w:ascii="Arial" w:hAnsi="Arial" w:cs="Arial"/>
                <w:sz w:val="18"/>
                <w:szCs w:val="18"/>
              </w:rPr>
              <w:t xml:space="preserve">eneral de la </w:t>
            </w:r>
            <w:r w:rsidR="002A6926" w:rsidRPr="00B710A9">
              <w:rPr>
                <w:rFonts w:ascii="Arial" w:hAnsi="Arial" w:cs="Arial"/>
                <w:sz w:val="18"/>
                <w:szCs w:val="18"/>
              </w:rPr>
              <w:t>R</w:t>
            </w:r>
            <w:r w:rsidRPr="00B710A9">
              <w:rPr>
                <w:rFonts w:ascii="Arial" w:hAnsi="Arial" w:cs="Arial"/>
                <w:sz w:val="18"/>
                <w:szCs w:val="18"/>
              </w:rPr>
              <w:t>ep</w:t>
            </w:r>
            <w:r w:rsidR="002A6926" w:rsidRPr="00B710A9">
              <w:rPr>
                <w:rFonts w:ascii="Arial" w:hAnsi="Arial" w:cs="Arial"/>
                <w:sz w:val="18"/>
                <w:szCs w:val="18"/>
              </w:rPr>
              <w:t>ú</w:t>
            </w:r>
            <w:r w:rsidRPr="00B710A9">
              <w:rPr>
                <w:rFonts w:ascii="Arial" w:hAnsi="Arial" w:cs="Arial"/>
                <w:sz w:val="18"/>
                <w:szCs w:val="18"/>
              </w:rPr>
              <w:t>blica</w:t>
            </w:r>
          </w:p>
        </w:tc>
        <w:tc>
          <w:tcPr>
            <w:tcW w:w="1670" w:type="dxa"/>
            <w:shd w:val="clear" w:color="auto" w:fill="D9E2F3" w:themeFill="accent1" w:themeFillTint="33"/>
            <w:noWrap/>
            <w:vAlign w:val="center"/>
            <w:hideMark/>
          </w:tcPr>
          <w:p w14:paraId="26727135" w14:textId="77777777" w:rsidR="00C70ECF" w:rsidRPr="00B710A9" w:rsidRDefault="00C70ECF" w:rsidP="00491526">
            <w:pPr>
              <w:jc w:val="center"/>
              <w:rPr>
                <w:rFonts w:ascii="Arial" w:hAnsi="Arial" w:cs="Arial"/>
                <w:color w:val="000000"/>
                <w:sz w:val="18"/>
                <w:szCs w:val="18"/>
              </w:rPr>
            </w:pPr>
            <w:r w:rsidRPr="00B710A9">
              <w:rPr>
                <w:rFonts w:ascii="Arial" w:hAnsi="Arial" w:cs="Arial"/>
                <w:sz w:val="18"/>
                <w:szCs w:val="18"/>
              </w:rPr>
              <w:t>$50.000.000</w:t>
            </w:r>
          </w:p>
        </w:tc>
        <w:tc>
          <w:tcPr>
            <w:tcW w:w="1740" w:type="dxa"/>
            <w:shd w:val="clear" w:color="auto" w:fill="D9E2F3" w:themeFill="accent1" w:themeFillTint="33"/>
            <w:noWrap/>
            <w:vAlign w:val="center"/>
            <w:hideMark/>
          </w:tcPr>
          <w:p w14:paraId="0F6DC3B7"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En ejecución</w:t>
            </w:r>
          </w:p>
        </w:tc>
      </w:tr>
      <w:tr w:rsidR="00C70ECF" w:rsidRPr="00B710A9" w14:paraId="2AC4F6CC" w14:textId="77777777" w:rsidTr="00491526">
        <w:trPr>
          <w:trHeight w:val="540"/>
          <w:jc w:val="center"/>
        </w:trPr>
        <w:tc>
          <w:tcPr>
            <w:tcW w:w="2180" w:type="dxa"/>
            <w:shd w:val="clear" w:color="auto" w:fill="auto"/>
            <w:vAlign w:val="center"/>
            <w:hideMark/>
          </w:tcPr>
          <w:p w14:paraId="12B46D76"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5306/2021</w:t>
            </w:r>
          </w:p>
        </w:tc>
        <w:tc>
          <w:tcPr>
            <w:tcW w:w="2690" w:type="dxa"/>
            <w:shd w:val="clear" w:color="auto" w:fill="auto"/>
            <w:vAlign w:val="center"/>
            <w:hideMark/>
          </w:tcPr>
          <w:p w14:paraId="2ED7FCEB" w14:textId="7D1F7916"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 xml:space="preserve">Oleoducto de los </w:t>
            </w:r>
            <w:r w:rsidR="002A6926" w:rsidRPr="00B710A9">
              <w:rPr>
                <w:rFonts w:ascii="Arial" w:hAnsi="Arial" w:cs="Arial"/>
                <w:color w:val="000000"/>
                <w:sz w:val="18"/>
                <w:szCs w:val="18"/>
              </w:rPr>
              <w:t>L</w:t>
            </w:r>
            <w:r w:rsidRPr="00B710A9">
              <w:rPr>
                <w:rFonts w:ascii="Arial" w:hAnsi="Arial" w:cs="Arial"/>
                <w:color w:val="000000"/>
                <w:sz w:val="18"/>
                <w:szCs w:val="18"/>
              </w:rPr>
              <w:t xml:space="preserve">lanos </w:t>
            </w:r>
            <w:r w:rsidR="002A6926" w:rsidRPr="00B710A9">
              <w:rPr>
                <w:rFonts w:ascii="Arial" w:hAnsi="Arial" w:cs="Arial"/>
                <w:color w:val="000000"/>
                <w:sz w:val="18"/>
                <w:szCs w:val="18"/>
              </w:rPr>
              <w:t>O</w:t>
            </w:r>
            <w:r w:rsidRPr="00B710A9">
              <w:rPr>
                <w:rFonts w:ascii="Arial" w:hAnsi="Arial" w:cs="Arial"/>
                <w:color w:val="000000"/>
                <w:sz w:val="18"/>
                <w:szCs w:val="18"/>
              </w:rPr>
              <w:t>rientales s.a. Sucursal Colombia no. 4100403</w:t>
            </w:r>
          </w:p>
        </w:tc>
        <w:tc>
          <w:tcPr>
            <w:tcW w:w="1670" w:type="dxa"/>
            <w:shd w:val="clear" w:color="auto" w:fill="auto"/>
            <w:noWrap/>
            <w:vAlign w:val="center"/>
            <w:hideMark/>
          </w:tcPr>
          <w:p w14:paraId="2F0E996D" w14:textId="77777777" w:rsidR="00C70ECF" w:rsidRPr="00B710A9" w:rsidRDefault="00C70ECF" w:rsidP="00491526">
            <w:pPr>
              <w:jc w:val="center"/>
              <w:rPr>
                <w:rFonts w:ascii="Arial" w:hAnsi="Arial" w:cs="Arial"/>
                <w:color w:val="000000"/>
                <w:sz w:val="18"/>
                <w:szCs w:val="18"/>
              </w:rPr>
            </w:pPr>
            <w:r w:rsidRPr="00B710A9">
              <w:rPr>
                <w:rFonts w:ascii="Arial" w:hAnsi="Arial" w:cs="Arial"/>
                <w:color w:val="000000"/>
                <w:sz w:val="18"/>
                <w:szCs w:val="18"/>
              </w:rPr>
              <w:t>$40.000.000</w:t>
            </w:r>
          </w:p>
        </w:tc>
        <w:tc>
          <w:tcPr>
            <w:tcW w:w="1740" w:type="dxa"/>
            <w:shd w:val="clear" w:color="auto" w:fill="auto"/>
            <w:noWrap/>
            <w:vAlign w:val="center"/>
            <w:hideMark/>
          </w:tcPr>
          <w:p w14:paraId="5E20C8D2"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En ejecución</w:t>
            </w:r>
          </w:p>
        </w:tc>
      </w:tr>
      <w:tr w:rsidR="00C70ECF" w:rsidRPr="00B710A9" w14:paraId="6E654BA4" w14:textId="77777777" w:rsidTr="00491526">
        <w:trPr>
          <w:trHeight w:val="540"/>
          <w:jc w:val="center"/>
        </w:trPr>
        <w:tc>
          <w:tcPr>
            <w:tcW w:w="2180" w:type="dxa"/>
            <w:shd w:val="clear" w:color="auto" w:fill="D9E1F2"/>
            <w:vAlign w:val="center"/>
            <w:hideMark/>
          </w:tcPr>
          <w:p w14:paraId="613CAB73"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5306/2021</w:t>
            </w:r>
          </w:p>
        </w:tc>
        <w:tc>
          <w:tcPr>
            <w:tcW w:w="2690" w:type="dxa"/>
            <w:shd w:val="clear" w:color="auto" w:fill="D9E1F2"/>
            <w:vAlign w:val="center"/>
            <w:hideMark/>
          </w:tcPr>
          <w:p w14:paraId="6F8A5595" w14:textId="1A3ACCA4" w:rsidR="00C70ECF" w:rsidRPr="00B710A9" w:rsidRDefault="00C70ECF" w:rsidP="00491526">
            <w:pPr>
              <w:rPr>
                <w:rFonts w:ascii="Arial" w:hAnsi="Arial" w:cs="Arial"/>
                <w:color w:val="000000"/>
                <w:sz w:val="18"/>
                <w:szCs w:val="18"/>
              </w:rPr>
            </w:pPr>
            <w:r w:rsidRPr="00B710A9">
              <w:rPr>
                <w:rFonts w:ascii="Arial" w:hAnsi="Arial" w:cs="Arial"/>
                <w:sz w:val="18"/>
                <w:szCs w:val="18"/>
              </w:rPr>
              <w:t xml:space="preserve">Oleoducto </w:t>
            </w:r>
            <w:r w:rsidR="00596519" w:rsidRPr="00B710A9">
              <w:rPr>
                <w:rFonts w:ascii="Arial" w:hAnsi="Arial" w:cs="Arial"/>
                <w:sz w:val="18"/>
                <w:szCs w:val="18"/>
              </w:rPr>
              <w:t>B</w:t>
            </w:r>
            <w:r w:rsidRPr="00B710A9">
              <w:rPr>
                <w:rFonts w:ascii="Arial" w:hAnsi="Arial" w:cs="Arial"/>
                <w:sz w:val="18"/>
                <w:szCs w:val="18"/>
              </w:rPr>
              <w:t>icentenario de Colombia S.A.S. No.4100404</w:t>
            </w:r>
          </w:p>
        </w:tc>
        <w:tc>
          <w:tcPr>
            <w:tcW w:w="1670" w:type="dxa"/>
            <w:shd w:val="clear" w:color="auto" w:fill="D9E1F2"/>
            <w:noWrap/>
            <w:vAlign w:val="center"/>
            <w:hideMark/>
          </w:tcPr>
          <w:p w14:paraId="29022A2B" w14:textId="77777777" w:rsidR="00C70ECF" w:rsidRPr="00B710A9" w:rsidRDefault="00C70ECF" w:rsidP="00491526">
            <w:pPr>
              <w:jc w:val="center"/>
              <w:rPr>
                <w:rFonts w:ascii="Arial" w:hAnsi="Arial" w:cs="Arial"/>
                <w:color w:val="000000"/>
                <w:sz w:val="18"/>
                <w:szCs w:val="18"/>
              </w:rPr>
            </w:pPr>
            <w:r w:rsidRPr="00B710A9">
              <w:rPr>
                <w:rFonts w:ascii="Arial" w:hAnsi="Arial" w:cs="Arial"/>
                <w:sz w:val="18"/>
                <w:szCs w:val="18"/>
              </w:rPr>
              <w:t>$38.000.000</w:t>
            </w:r>
          </w:p>
        </w:tc>
        <w:tc>
          <w:tcPr>
            <w:tcW w:w="1740" w:type="dxa"/>
            <w:shd w:val="clear" w:color="auto" w:fill="D9E1F2"/>
            <w:noWrap/>
            <w:vAlign w:val="center"/>
            <w:hideMark/>
          </w:tcPr>
          <w:p w14:paraId="531882F8"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En ejecución</w:t>
            </w:r>
          </w:p>
        </w:tc>
      </w:tr>
      <w:tr w:rsidR="00C70ECF" w:rsidRPr="00B710A9" w14:paraId="7669F358" w14:textId="77777777" w:rsidTr="00491526">
        <w:trPr>
          <w:trHeight w:val="540"/>
          <w:jc w:val="center"/>
        </w:trPr>
        <w:tc>
          <w:tcPr>
            <w:tcW w:w="2180" w:type="dxa"/>
            <w:shd w:val="clear" w:color="auto" w:fill="auto"/>
            <w:vAlign w:val="center"/>
            <w:hideMark/>
          </w:tcPr>
          <w:p w14:paraId="3F13D3D4"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No 001 de 2021</w:t>
            </w:r>
          </w:p>
        </w:tc>
        <w:tc>
          <w:tcPr>
            <w:tcW w:w="2690" w:type="dxa"/>
            <w:shd w:val="clear" w:color="auto" w:fill="auto"/>
            <w:vAlign w:val="center"/>
            <w:hideMark/>
          </w:tcPr>
          <w:p w14:paraId="76B25297" w14:textId="392E309D"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 xml:space="preserve">Alcaldía </w:t>
            </w:r>
            <w:r w:rsidR="00596519" w:rsidRPr="00B710A9">
              <w:rPr>
                <w:rFonts w:ascii="Arial" w:hAnsi="Arial" w:cs="Arial"/>
                <w:color w:val="000000"/>
                <w:sz w:val="18"/>
                <w:szCs w:val="18"/>
              </w:rPr>
              <w:t>Z</w:t>
            </w:r>
            <w:r w:rsidRPr="00B710A9">
              <w:rPr>
                <w:rFonts w:ascii="Arial" w:hAnsi="Arial" w:cs="Arial"/>
                <w:color w:val="000000"/>
                <w:sz w:val="18"/>
                <w:szCs w:val="18"/>
              </w:rPr>
              <w:t>aragoza - Antioquia</w:t>
            </w:r>
          </w:p>
        </w:tc>
        <w:tc>
          <w:tcPr>
            <w:tcW w:w="1670" w:type="dxa"/>
            <w:shd w:val="clear" w:color="auto" w:fill="auto"/>
            <w:noWrap/>
            <w:vAlign w:val="center"/>
            <w:hideMark/>
          </w:tcPr>
          <w:p w14:paraId="32175E3F" w14:textId="77777777" w:rsidR="00C70ECF" w:rsidRPr="00B710A9" w:rsidRDefault="00C70ECF" w:rsidP="00491526">
            <w:pPr>
              <w:jc w:val="center"/>
              <w:rPr>
                <w:rFonts w:ascii="Arial" w:hAnsi="Arial" w:cs="Arial"/>
                <w:color w:val="000000"/>
                <w:sz w:val="18"/>
                <w:szCs w:val="18"/>
              </w:rPr>
            </w:pPr>
            <w:r w:rsidRPr="00B710A9">
              <w:rPr>
                <w:rFonts w:ascii="Arial" w:hAnsi="Arial" w:cs="Arial"/>
                <w:color w:val="000000"/>
                <w:sz w:val="18"/>
                <w:szCs w:val="18"/>
              </w:rPr>
              <w:t>$50.000.000</w:t>
            </w:r>
          </w:p>
        </w:tc>
        <w:tc>
          <w:tcPr>
            <w:tcW w:w="1740" w:type="dxa"/>
            <w:shd w:val="clear" w:color="auto" w:fill="auto"/>
            <w:noWrap/>
            <w:vAlign w:val="center"/>
            <w:hideMark/>
          </w:tcPr>
          <w:p w14:paraId="4587663C"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En ejecución</w:t>
            </w:r>
          </w:p>
        </w:tc>
      </w:tr>
      <w:tr w:rsidR="00C70ECF" w:rsidRPr="00B710A9" w14:paraId="7E3964FC" w14:textId="77777777" w:rsidTr="00491526">
        <w:trPr>
          <w:trHeight w:val="540"/>
          <w:jc w:val="center"/>
        </w:trPr>
        <w:tc>
          <w:tcPr>
            <w:tcW w:w="2180" w:type="dxa"/>
            <w:shd w:val="clear" w:color="auto" w:fill="D9E1F2"/>
            <w:vAlign w:val="center"/>
            <w:hideMark/>
          </w:tcPr>
          <w:p w14:paraId="59A97838"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388/2021</w:t>
            </w:r>
          </w:p>
        </w:tc>
        <w:tc>
          <w:tcPr>
            <w:tcW w:w="2690" w:type="dxa"/>
            <w:shd w:val="clear" w:color="auto" w:fill="D9E1F2"/>
            <w:vAlign w:val="center"/>
            <w:hideMark/>
          </w:tcPr>
          <w:p w14:paraId="5575E2EB" w14:textId="7836250E"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 xml:space="preserve">Fondo de </w:t>
            </w:r>
            <w:r w:rsidR="00596519" w:rsidRPr="00B710A9">
              <w:rPr>
                <w:rFonts w:ascii="Arial" w:hAnsi="Arial" w:cs="Arial"/>
                <w:color w:val="000000"/>
                <w:sz w:val="18"/>
                <w:szCs w:val="18"/>
              </w:rPr>
              <w:t>P</w:t>
            </w:r>
            <w:r w:rsidRPr="00B710A9">
              <w:rPr>
                <w:rFonts w:ascii="Arial" w:hAnsi="Arial" w:cs="Arial"/>
                <w:color w:val="000000"/>
                <w:sz w:val="18"/>
                <w:szCs w:val="18"/>
              </w:rPr>
              <w:t xml:space="preserve">asivo </w:t>
            </w:r>
            <w:r w:rsidR="00596519" w:rsidRPr="00B710A9">
              <w:rPr>
                <w:rFonts w:ascii="Arial" w:hAnsi="Arial" w:cs="Arial"/>
                <w:color w:val="000000"/>
                <w:sz w:val="18"/>
                <w:szCs w:val="18"/>
              </w:rPr>
              <w:t>S</w:t>
            </w:r>
            <w:r w:rsidRPr="00B710A9">
              <w:rPr>
                <w:rFonts w:ascii="Arial" w:hAnsi="Arial" w:cs="Arial"/>
                <w:color w:val="000000"/>
                <w:sz w:val="18"/>
                <w:szCs w:val="18"/>
              </w:rPr>
              <w:t xml:space="preserve">ocial de </w:t>
            </w:r>
            <w:r w:rsidR="00596519" w:rsidRPr="00B710A9">
              <w:rPr>
                <w:rFonts w:ascii="Arial" w:hAnsi="Arial" w:cs="Arial"/>
                <w:color w:val="000000"/>
                <w:sz w:val="18"/>
                <w:szCs w:val="18"/>
              </w:rPr>
              <w:t>F</w:t>
            </w:r>
            <w:r w:rsidRPr="00B710A9">
              <w:rPr>
                <w:rFonts w:ascii="Arial" w:hAnsi="Arial" w:cs="Arial"/>
                <w:color w:val="000000"/>
                <w:sz w:val="18"/>
                <w:szCs w:val="18"/>
              </w:rPr>
              <w:t xml:space="preserve">errocarriles </w:t>
            </w:r>
            <w:r w:rsidR="00596519" w:rsidRPr="00B710A9">
              <w:rPr>
                <w:rFonts w:ascii="Arial" w:hAnsi="Arial" w:cs="Arial"/>
                <w:color w:val="000000"/>
                <w:sz w:val="18"/>
                <w:szCs w:val="18"/>
              </w:rPr>
              <w:t>N</w:t>
            </w:r>
            <w:r w:rsidRPr="00B710A9">
              <w:rPr>
                <w:rFonts w:ascii="Arial" w:hAnsi="Arial" w:cs="Arial"/>
                <w:color w:val="000000"/>
                <w:sz w:val="18"/>
                <w:szCs w:val="18"/>
              </w:rPr>
              <w:t xml:space="preserve">acionales de </w:t>
            </w:r>
            <w:r w:rsidR="00127485" w:rsidRPr="00B710A9">
              <w:rPr>
                <w:rFonts w:ascii="Arial" w:hAnsi="Arial" w:cs="Arial"/>
                <w:color w:val="000000"/>
                <w:sz w:val="18"/>
                <w:szCs w:val="18"/>
              </w:rPr>
              <w:t>Colombia - FPS</w:t>
            </w:r>
            <w:r w:rsidRPr="00B710A9">
              <w:rPr>
                <w:rFonts w:ascii="Arial" w:hAnsi="Arial" w:cs="Arial"/>
                <w:color w:val="000000"/>
                <w:sz w:val="18"/>
                <w:szCs w:val="18"/>
              </w:rPr>
              <w:t xml:space="preserve"> no. 388 de 2021</w:t>
            </w:r>
          </w:p>
        </w:tc>
        <w:tc>
          <w:tcPr>
            <w:tcW w:w="1670" w:type="dxa"/>
            <w:shd w:val="clear" w:color="auto" w:fill="D9E1F2"/>
            <w:noWrap/>
            <w:vAlign w:val="center"/>
            <w:hideMark/>
          </w:tcPr>
          <w:p w14:paraId="268F44C3" w14:textId="77777777" w:rsidR="00C70ECF" w:rsidRPr="00B710A9" w:rsidRDefault="00C70ECF" w:rsidP="00491526">
            <w:pPr>
              <w:jc w:val="center"/>
              <w:rPr>
                <w:rFonts w:ascii="Arial" w:hAnsi="Arial" w:cs="Arial"/>
                <w:color w:val="000000"/>
                <w:sz w:val="18"/>
                <w:szCs w:val="18"/>
              </w:rPr>
            </w:pPr>
            <w:r w:rsidRPr="00B710A9">
              <w:rPr>
                <w:rFonts w:ascii="Arial" w:hAnsi="Arial" w:cs="Arial"/>
                <w:color w:val="000000"/>
                <w:sz w:val="18"/>
                <w:szCs w:val="18"/>
              </w:rPr>
              <w:t>$42.970.000</w:t>
            </w:r>
          </w:p>
        </w:tc>
        <w:tc>
          <w:tcPr>
            <w:tcW w:w="1740" w:type="dxa"/>
            <w:shd w:val="clear" w:color="auto" w:fill="D9E1F2"/>
            <w:noWrap/>
            <w:vAlign w:val="center"/>
            <w:hideMark/>
          </w:tcPr>
          <w:p w14:paraId="614DBC30"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En ejecución</w:t>
            </w:r>
          </w:p>
        </w:tc>
      </w:tr>
      <w:tr w:rsidR="00C70ECF" w:rsidRPr="00B710A9" w14:paraId="607873B5" w14:textId="77777777" w:rsidTr="00491526">
        <w:trPr>
          <w:trHeight w:val="540"/>
          <w:jc w:val="center"/>
        </w:trPr>
        <w:tc>
          <w:tcPr>
            <w:tcW w:w="2180" w:type="dxa"/>
            <w:shd w:val="clear" w:color="auto" w:fill="auto"/>
            <w:vAlign w:val="center"/>
            <w:hideMark/>
          </w:tcPr>
          <w:p w14:paraId="7AE418CB"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225 de 2021</w:t>
            </w:r>
          </w:p>
        </w:tc>
        <w:tc>
          <w:tcPr>
            <w:tcW w:w="2690" w:type="dxa"/>
            <w:shd w:val="clear" w:color="auto" w:fill="auto"/>
            <w:vAlign w:val="center"/>
            <w:hideMark/>
          </w:tcPr>
          <w:p w14:paraId="1B9830B0" w14:textId="0B9D7BB9"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 xml:space="preserve">Unidad </w:t>
            </w:r>
            <w:r w:rsidR="00596519" w:rsidRPr="00B710A9">
              <w:rPr>
                <w:rFonts w:ascii="Arial" w:hAnsi="Arial" w:cs="Arial"/>
                <w:color w:val="000000"/>
                <w:sz w:val="18"/>
                <w:szCs w:val="18"/>
              </w:rPr>
              <w:t>A</w:t>
            </w:r>
            <w:r w:rsidRPr="00B710A9">
              <w:rPr>
                <w:rFonts w:ascii="Arial" w:hAnsi="Arial" w:cs="Arial"/>
                <w:color w:val="000000"/>
                <w:sz w:val="18"/>
                <w:szCs w:val="18"/>
              </w:rPr>
              <w:t xml:space="preserve">dministrativa </w:t>
            </w:r>
            <w:r w:rsidR="00596519" w:rsidRPr="00B710A9">
              <w:rPr>
                <w:rFonts w:ascii="Arial" w:hAnsi="Arial" w:cs="Arial"/>
                <w:color w:val="000000"/>
                <w:sz w:val="18"/>
                <w:szCs w:val="18"/>
              </w:rPr>
              <w:t>E</w:t>
            </w:r>
            <w:r w:rsidRPr="00B710A9">
              <w:rPr>
                <w:rFonts w:ascii="Arial" w:hAnsi="Arial" w:cs="Arial"/>
                <w:color w:val="000000"/>
                <w:sz w:val="18"/>
                <w:szCs w:val="18"/>
              </w:rPr>
              <w:t xml:space="preserve">special </w:t>
            </w:r>
            <w:r w:rsidR="00596519" w:rsidRPr="00B710A9">
              <w:rPr>
                <w:rFonts w:ascii="Arial" w:hAnsi="Arial" w:cs="Arial"/>
                <w:color w:val="000000"/>
                <w:sz w:val="18"/>
                <w:szCs w:val="18"/>
              </w:rPr>
              <w:t>J</w:t>
            </w:r>
            <w:r w:rsidRPr="00B710A9">
              <w:rPr>
                <w:rFonts w:ascii="Arial" w:hAnsi="Arial" w:cs="Arial"/>
                <w:color w:val="000000"/>
                <w:sz w:val="18"/>
                <w:szCs w:val="18"/>
              </w:rPr>
              <w:t xml:space="preserve">unta </w:t>
            </w:r>
            <w:r w:rsidR="00596519" w:rsidRPr="00B710A9">
              <w:rPr>
                <w:rFonts w:ascii="Arial" w:hAnsi="Arial" w:cs="Arial"/>
                <w:color w:val="000000"/>
                <w:sz w:val="18"/>
                <w:szCs w:val="18"/>
              </w:rPr>
              <w:t>C</w:t>
            </w:r>
            <w:r w:rsidRPr="00B710A9">
              <w:rPr>
                <w:rFonts w:ascii="Arial" w:hAnsi="Arial" w:cs="Arial"/>
                <w:color w:val="000000"/>
                <w:sz w:val="18"/>
                <w:szCs w:val="18"/>
              </w:rPr>
              <w:t xml:space="preserve">entral de </w:t>
            </w:r>
            <w:r w:rsidR="00596519" w:rsidRPr="00B710A9">
              <w:rPr>
                <w:rFonts w:ascii="Arial" w:hAnsi="Arial" w:cs="Arial"/>
                <w:color w:val="000000"/>
                <w:sz w:val="18"/>
                <w:szCs w:val="18"/>
              </w:rPr>
              <w:t>C</w:t>
            </w:r>
            <w:r w:rsidRPr="00B710A9">
              <w:rPr>
                <w:rFonts w:ascii="Arial" w:hAnsi="Arial" w:cs="Arial"/>
                <w:color w:val="000000"/>
                <w:sz w:val="18"/>
                <w:szCs w:val="18"/>
              </w:rPr>
              <w:t>ontadores</w:t>
            </w:r>
          </w:p>
        </w:tc>
        <w:tc>
          <w:tcPr>
            <w:tcW w:w="1670" w:type="dxa"/>
            <w:shd w:val="clear" w:color="auto" w:fill="auto"/>
            <w:noWrap/>
            <w:vAlign w:val="center"/>
            <w:hideMark/>
          </w:tcPr>
          <w:p w14:paraId="38909D0A" w14:textId="77777777" w:rsidR="00C70ECF" w:rsidRPr="00B710A9" w:rsidRDefault="00C70ECF" w:rsidP="00491526">
            <w:pPr>
              <w:jc w:val="center"/>
              <w:rPr>
                <w:rFonts w:ascii="Arial" w:hAnsi="Arial" w:cs="Arial"/>
                <w:color w:val="000000"/>
                <w:sz w:val="18"/>
                <w:szCs w:val="18"/>
              </w:rPr>
            </w:pPr>
            <w:r w:rsidRPr="00B710A9">
              <w:rPr>
                <w:rFonts w:ascii="Arial" w:hAnsi="Arial" w:cs="Arial"/>
                <w:color w:val="000000"/>
                <w:sz w:val="18"/>
                <w:szCs w:val="18"/>
              </w:rPr>
              <w:t>$5.650.000</w:t>
            </w:r>
          </w:p>
        </w:tc>
        <w:tc>
          <w:tcPr>
            <w:tcW w:w="1740" w:type="dxa"/>
            <w:shd w:val="clear" w:color="auto" w:fill="auto"/>
            <w:noWrap/>
            <w:vAlign w:val="center"/>
            <w:hideMark/>
          </w:tcPr>
          <w:p w14:paraId="1EE55EF4"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Ejecutado</w:t>
            </w:r>
          </w:p>
        </w:tc>
      </w:tr>
      <w:tr w:rsidR="00C70ECF" w:rsidRPr="00B710A9" w14:paraId="0C49AECE" w14:textId="77777777" w:rsidTr="00491526">
        <w:trPr>
          <w:trHeight w:val="540"/>
          <w:jc w:val="center"/>
        </w:trPr>
        <w:tc>
          <w:tcPr>
            <w:tcW w:w="2180" w:type="dxa"/>
            <w:shd w:val="clear" w:color="auto" w:fill="D9E1F2"/>
            <w:vAlign w:val="center"/>
            <w:hideMark/>
          </w:tcPr>
          <w:p w14:paraId="07FBC205"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Idu-1557-2021</w:t>
            </w:r>
          </w:p>
        </w:tc>
        <w:tc>
          <w:tcPr>
            <w:tcW w:w="2690" w:type="dxa"/>
            <w:shd w:val="clear" w:color="auto" w:fill="D9E1F2"/>
            <w:vAlign w:val="center"/>
            <w:hideMark/>
          </w:tcPr>
          <w:p w14:paraId="604EF66F" w14:textId="08426DCB"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 xml:space="preserve">Instituto de </w:t>
            </w:r>
            <w:r w:rsidR="00596519" w:rsidRPr="00B710A9">
              <w:rPr>
                <w:rFonts w:ascii="Arial" w:hAnsi="Arial" w:cs="Arial"/>
                <w:color w:val="000000"/>
                <w:sz w:val="18"/>
                <w:szCs w:val="18"/>
              </w:rPr>
              <w:t>D</w:t>
            </w:r>
            <w:r w:rsidRPr="00B710A9">
              <w:rPr>
                <w:rFonts w:ascii="Arial" w:hAnsi="Arial" w:cs="Arial"/>
                <w:color w:val="000000"/>
                <w:sz w:val="18"/>
                <w:szCs w:val="18"/>
              </w:rPr>
              <w:t xml:space="preserve">esarrollo </w:t>
            </w:r>
            <w:r w:rsidR="00596519" w:rsidRPr="00B710A9">
              <w:rPr>
                <w:rFonts w:ascii="Arial" w:hAnsi="Arial" w:cs="Arial"/>
                <w:color w:val="000000"/>
                <w:sz w:val="18"/>
                <w:szCs w:val="18"/>
              </w:rPr>
              <w:t>U</w:t>
            </w:r>
            <w:r w:rsidRPr="00B710A9">
              <w:rPr>
                <w:rFonts w:ascii="Arial" w:hAnsi="Arial" w:cs="Arial"/>
                <w:color w:val="000000"/>
                <w:sz w:val="18"/>
                <w:szCs w:val="18"/>
              </w:rPr>
              <w:t>rbano – IDU</w:t>
            </w:r>
          </w:p>
        </w:tc>
        <w:tc>
          <w:tcPr>
            <w:tcW w:w="1670" w:type="dxa"/>
            <w:shd w:val="clear" w:color="auto" w:fill="D9E1F2"/>
            <w:noWrap/>
            <w:vAlign w:val="center"/>
            <w:hideMark/>
          </w:tcPr>
          <w:p w14:paraId="5050D824" w14:textId="77777777" w:rsidR="00C70ECF" w:rsidRPr="00B710A9" w:rsidRDefault="00C70ECF" w:rsidP="00491526">
            <w:pPr>
              <w:jc w:val="center"/>
              <w:rPr>
                <w:rFonts w:ascii="Arial" w:hAnsi="Arial" w:cs="Arial"/>
                <w:color w:val="000000"/>
                <w:sz w:val="18"/>
                <w:szCs w:val="18"/>
              </w:rPr>
            </w:pPr>
            <w:r w:rsidRPr="00B710A9">
              <w:rPr>
                <w:rFonts w:ascii="Arial" w:hAnsi="Arial" w:cs="Arial"/>
                <w:color w:val="000000"/>
                <w:sz w:val="18"/>
                <w:szCs w:val="18"/>
              </w:rPr>
              <w:t>$33.160.000</w:t>
            </w:r>
          </w:p>
        </w:tc>
        <w:tc>
          <w:tcPr>
            <w:tcW w:w="1740" w:type="dxa"/>
            <w:shd w:val="clear" w:color="auto" w:fill="D9E1F2"/>
            <w:noWrap/>
            <w:vAlign w:val="center"/>
            <w:hideMark/>
          </w:tcPr>
          <w:p w14:paraId="4880B26C"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En ejecución</w:t>
            </w:r>
          </w:p>
        </w:tc>
      </w:tr>
      <w:tr w:rsidR="00C70ECF" w:rsidRPr="00B710A9" w14:paraId="4BB04439" w14:textId="77777777" w:rsidTr="00491526">
        <w:trPr>
          <w:trHeight w:val="540"/>
          <w:jc w:val="center"/>
        </w:trPr>
        <w:tc>
          <w:tcPr>
            <w:tcW w:w="2180" w:type="dxa"/>
            <w:shd w:val="clear" w:color="auto" w:fill="auto"/>
            <w:vAlign w:val="center"/>
            <w:hideMark/>
          </w:tcPr>
          <w:p w14:paraId="01C3D8F3" w14:textId="77777777" w:rsidR="00C70ECF" w:rsidRPr="00B710A9" w:rsidRDefault="00C70ECF" w:rsidP="00491526">
            <w:pPr>
              <w:rPr>
                <w:rFonts w:ascii="Arial" w:hAnsi="Arial" w:cs="Arial"/>
                <w:color w:val="000000"/>
                <w:sz w:val="18"/>
                <w:szCs w:val="18"/>
              </w:rPr>
            </w:pPr>
            <w:proofErr w:type="spellStart"/>
            <w:r w:rsidRPr="00B710A9">
              <w:rPr>
                <w:rFonts w:ascii="Arial" w:hAnsi="Arial" w:cs="Arial"/>
                <w:sz w:val="18"/>
                <w:szCs w:val="18"/>
              </w:rPr>
              <w:t>Pnn</w:t>
            </w:r>
            <w:proofErr w:type="spellEnd"/>
            <w:r w:rsidRPr="00B710A9">
              <w:rPr>
                <w:rFonts w:ascii="Arial" w:hAnsi="Arial" w:cs="Arial"/>
                <w:sz w:val="18"/>
                <w:szCs w:val="18"/>
              </w:rPr>
              <w:t xml:space="preserve"> 001 de 2021</w:t>
            </w:r>
          </w:p>
        </w:tc>
        <w:tc>
          <w:tcPr>
            <w:tcW w:w="2690" w:type="dxa"/>
            <w:shd w:val="clear" w:color="auto" w:fill="auto"/>
            <w:vAlign w:val="center"/>
            <w:hideMark/>
          </w:tcPr>
          <w:p w14:paraId="51669A06" w14:textId="48D4D8C2" w:rsidR="00C70ECF" w:rsidRPr="00B710A9" w:rsidRDefault="00C70ECF" w:rsidP="00491526">
            <w:pPr>
              <w:rPr>
                <w:rFonts w:ascii="Arial" w:hAnsi="Arial" w:cs="Arial"/>
                <w:color w:val="000000"/>
                <w:sz w:val="18"/>
                <w:szCs w:val="18"/>
              </w:rPr>
            </w:pPr>
            <w:r w:rsidRPr="00B710A9">
              <w:rPr>
                <w:rFonts w:ascii="Arial" w:hAnsi="Arial" w:cs="Arial"/>
                <w:sz w:val="18"/>
                <w:szCs w:val="18"/>
              </w:rPr>
              <w:t xml:space="preserve">Parques </w:t>
            </w:r>
            <w:r w:rsidR="007B3A2F" w:rsidRPr="00B710A9">
              <w:rPr>
                <w:rFonts w:ascii="Arial" w:hAnsi="Arial" w:cs="Arial"/>
                <w:sz w:val="18"/>
                <w:szCs w:val="18"/>
              </w:rPr>
              <w:t>N</w:t>
            </w:r>
            <w:r w:rsidRPr="00B710A9">
              <w:rPr>
                <w:rFonts w:ascii="Arial" w:hAnsi="Arial" w:cs="Arial"/>
                <w:sz w:val="18"/>
                <w:szCs w:val="18"/>
              </w:rPr>
              <w:t xml:space="preserve">acionales </w:t>
            </w:r>
            <w:r w:rsidR="00596519" w:rsidRPr="00B710A9">
              <w:rPr>
                <w:rFonts w:ascii="Arial" w:hAnsi="Arial" w:cs="Arial"/>
                <w:sz w:val="18"/>
                <w:szCs w:val="18"/>
              </w:rPr>
              <w:t>N</w:t>
            </w:r>
            <w:r w:rsidRPr="00B710A9">
              <w:rPr>
                <w:rFonts w:ascii="Arial" w:hAnsi="Arial" w:cs="Arial"/>
                <w:sz w:val="18"/>
                <w:szCs w:val="18"/>
              </w:rPr>
              <w:t>aturales de Colombia</w:t>
            </w:r>
          </w:p>
        </w:tc>
        <w:tc>
          <w:tcPr>
            <w:tcW w:w="1670" w:type="dxa"/>
            <w:shd w:val="clear" w:color="auto" w:fill="auto"/>
            <w:noWrap/>
            <w:vAlign w:val="center"/>
            <w:hideMark/>
          </w:tcPr>
          <w:p w14:paraId="682FB76A" w14:textId="77777777" w:rsidR="00C70ECF" w:rsidRPr="00B710A9" w:rsidRDefault="00C70ECF" w:rsidP="00491526">
            <w:pPr>
              <w:jc w:val="center"/>
              <w:rPr>
                <w:rFonts w:ascii="Arial" w:hAnsi="Arial" w:cs="Arial"/>
                <w:color w:val="000000"/>
                <w:sz w:val="18"/>
                <w:szCs w:val="18"/>
              </w:rPr>
            </w:pPr>
            <w:r w:rsidRPr="00B710A9">
              <w:rPr>
                <w:rFonts w:ascii="Arial" w:hAnsi="Arial" w:cs="Arial"/>
                <w:sz w:val="18"/>
                <w:szCs w:val="18"/>
              </w:rPr>
              <w:t>$102.000.000</w:t>
            </w:r>
          </w:p>
        </w:tc>
        <w:tc>
          <w:tcPr>
            <w:tcW w:w="1740" w:type="dxa"/>
            <w:shd w:val="clear" w:color="auto" w:fill="auto"/>
            <w:noWrap/>
            <w:vAlign w:val="center"/>
            <w:hideMark/>
          </w:tcPr>
          <w:p w14:paraId="099C492F" w14:textId="77777777" w:rsidR="00C70ECF" w:rsidRPr="00B710A9" w:rsidRDefault="00C70ECF" w:rsidP="00491526">
            <w:pPr>
              <w:rPr>
                <w:rFonts w:ascii="Arial" w:hAnsi="Arial" w:cs="Arial"/>
                <w:color w:val="000000"/>
                <w:sz w:val="18"/>
                <w:szCs w:val="18"/>
              </w:rPr>
            </w:pPr>
            <w:r w:rsidRPr="00B710A9">
              <w:rPr>
                <w:rFonts w:ascii="Arial" w:hAnsi="Arial" w:cs="Arial"/>
                <w:sz w:val="18"/>
                <w:szCs w:val="18"/>
              </w:rPr>
              <w:t>En ejecución</w:t>
            </w:r>
          </w:p>
        </w:tc>
      </w:tr>
      <w:tr w:rsidR="00C70ECF" w:rsidRPr="00B710A9" w14:paraId="239744A5" w14:textId="77777777" w:rsidTr="00491526">
        <w:trPr>
          <w:trHeight w:val="540"/>
          <w:jc w:val="center"/>
        </w:trPr>
        <w:tc>
          <w:tcPr>
            <w:tcW w:w="2180" w:type="dxa"/>
            <w:shd w:val="clear" w:color="auto" w:fill="D9E1F2"/>
            <w:vAlign w:val="center"/>
            <w:hideMark/>
          </w:tcPr>
          <w:p w14:paraId="443628BB"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1091 de 2021</w:t>
            </w:r>
          </w:p>
        </w:tc>
        <w:tc>
          <w:tcPr>
            <w:tcW w:w="2690" w:type="dxa"/>
            <w:shd w:val="clear" w:color="auto" w:fill="D9E1F2"/>
            <w:vAlign w:val="center"/>
            <w:hideMark/>
          </w:tcPr>
          <w:p w14:paraId="6CC56898" w14:textId="77777777" w:rsidR="00C70ECF" w:rsidRPr="00B710A9" w:rsidRDefault="00C70ECF" w:rsidP="00491526">
            <w:pPr>
              <w:rPr>
                <w:rFonts w:ascii="Arial" w:hAnsi="Arial" w:cs="Arial"/>
                <w:color w:val="000000"/>
                <w:sz w:val="18"/>
                <w:szCs w:val="18"/>
              </w:rPr>
            </w:pPr>
            <w:r w:rsidRPr="00B710A9">
              <w:rPr>
                <w:rFonts w:ascii="Arial" w:hAnsi="Arial" w:cs="Arial"/>
                <w:color w:val="000000" w:themeColor="text1"/>
                <w:sz w:val="18"/>
                <w:szCs w:val="18"/>
              </w:rPr>
              <w:t>Municipio de Tunja</w:t>
            </w:r>
          </w:p>
        </w:tc>
        <w:tc>
          <w:tcPr>
            <w:tcW w:w="1670" w:type="dxa"/>
            <w:shd w:val="clear" w:color="auto" w:fill="D9E1F2"/>
            <w:vAlign w:val="center"/>
            <w:hideMark/>
          </w:tcPr>
          <w:p w14:paraId="6C4A872D" w14:textId="77777777" w:rsidR="00C70ECF" w:rsidRPr="00B710A9" w:rsidRDefault="00C70ECF" w:rsidP="00491526">
            <w:pPr>
              <w:jc w:val="center"/>
              <w:rPr>
                <w:rFonts w:ascii="Arial" w:hAnsi="Arial" w:cs="Arial"/>
                <w:sz w:val="18"/>
                <w:szCs w:val="18"/>
              </w:rPr>
            </w:pPr>
            <w:r w:rsidRPr="00B710A9">
              <w:rPr>
                <w:rFonts w:ascii="Arial" w:hAnsi="Arial" w:cs="Arial"/>
                <w:sz w:val="18"/>
                <w:szCs w:val="18"/>
              </w:rPr>
              <w:t xml:space="preserve">$150.000.000 </w:t>
            </w:r>
          </w:p>
        </w:tc>
        <w:tc>
          <w:tcPr>
            <w:tcW w:w="1740" w:type="dxa"/>
            <w:shd w:val="clear" w:color="auto" w:fill="D9E1F2"/>
            <w:vAlign w:val="center"/>
            <w:hideMark/>
          </w:tcPr>
          <w:p w14:paraId="0230C236" w14:textId="77777777" w:rsidR="00C70ECF" w:rsidRPr="00B710A9" w:rsidRDefault="00C70ECF" w:rsidP="00491526">
            <w:pPr>
              <w:rPr>
                <w:rFonts w:ascii="Arial" w:hAnsi="Arial" w:cs="Arial"/>
                <w:sz w:val="18"/>
                <w:szCs w:val="18"/>
              </w:rPr>
            </w:pPr>
            <w:r w:rsidRPr="00B710A9">
              <w:rPr>
                <w:rFonts w:ascii="Arial" w:hAnsi="Arial" w:cs="Arial"/>
                <w:sz w:val="18"/>
                <w:szCs w:val="18"/>
              </w:rPr>
              <w:t xml:space="preserve">En ejecución </w:t>
            </w:r>
          </w:p>
        </w:tc>
      </w:tr>
      <w:tr w:rsidR="00C70ECF" w:rsidRPr="00B710A9" w14:paraId="141FFCD2" w14:textId="77777777" w:rsidTr="00491526">
        <w:trPr>
          <w:trHeight w:val="540"/>
          <w:jc w:val="center"/>
        </w:trPr>
        <w:tc>
          <w:tcPr>
            <w:tcW w:w="2180" w:type="dxa"/>
            <w:shd w:val="clear" w:color="auto" w:fill="auto"/>
            <w:vAlign w:val="center"/>
            <w:hideMark/>
          </w:tcPr>
          <w:p w14:paraId="7D313C2A"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GN-1588-2021</w:t>
            </w:r>
          </w:p>
        </w:tc>
        <w:tc>
          <w:tcPr>
            <w:tcW w:w="2690" w:type="dxa"/>
            <w:shd w:val="clear" w:color="auto" w:fill="auto"/>
            <w:vAlign w:val="center"/>
            <w:hideMark/>
          </w:tcPr>
          <w:p w14:paraId="64DE2060" w14:textId="77777777" w:rsidR="00C70ECF" w:rsidRPr="00B710A9" w:rsidRDefault="00C70ECF" w:rsidP="00491526">
            <w:pPr>
              <w:rPr>
                <w:rFonts w:ascii="Arial" w:hAnsi="Arial" w:cs="Arial"/>
                <w:color w:val="000000"/>
                <w:sz w:val="18"/>
                <w:szCs w:val="18"/>
              </w:rPr>
            </w:pPr>
            <w:r w:rsidRPr="00B710A9">
              <w:rPr>
                <w:rFonts w:ascii="Arial" w:hAnsi="Arial" w:cs="Arial"/>
                <w:color w:val="000000" w:themeColor="text1"/>
                <w:sz w:val="18"/>
                <w:szCs w:val="18"/>
              </w:rPr>
              <w:t>Departamento de Nariño</w:t>
            </w:r>
          </w:p>
        </w:tc>
        <w:tc>
          <w:tcPr>
            <w:tcW w:w="1670" w:type="dxa"/>
            <w:shd w:val="clear" w:color="auto" w:fill="auto"/>
            <w:vAlign w:val="center"/>
            <w:hideMark/>
          </w:tcPr>
          <w:p w14:paraId="388CEC4D" w14:textId="77777777" w:rsidR="00C70ECF" w:rsidRPr="00B710A9" w:rsidRDefault="00C70ECF" w:rsidP="00491526">
            <w:pPr>
              <w:jc w:val="center"/>
              <w:rPr>
                <w:rFonts w:ascii="Arial" w:hAnsi="Arial" w:cs="Arial"/>
                <w:sz w:val="18"/>
                <w:szCs w:val="18"/>
              </w:rPr>
            </w:pPr>
            <w:r w:rsidRPr="00B710A9">
              <w:rPr>
                <w:rFonts w:ascii="Arial" w:hAnsi="Arial" w:cs="Arial"/>
                <w:sz w:val="18"/>
                <w:szCs w:val="18"/>
              </w:rPr>
              <w:t>$158.518.880</w:t>
            </w:r>
          </w:p>
        </w:tc>
        <w:tc>
          <w:tcPr>
            <w:tcW w:w="1740" w:type="dxa"/>
            <w:shd w:val="clear" w:color="auto" w:fill="auto"/>
            <w:vAlign w:val="center"/>
            <w:hideMark/>
          </w:tcPr>
          <w:p w14:paraId="11520F41" w14:textId="77777777" w:rsidR="00C70ECF" w:rsidRPr="00B710A9" w:rsidRDefault="00C70ECF" w:rsidP="00491526">
            <w:pPr>
              <w:rPr>
                <w:rFonts w:ascii="Arial" w:hAnsi="Arial" w:cs="Arial"/>
                <w:sz w:val="18"/>
                <w:szCs w:val="18"/>
              </w:rPr>
            </w:pPr>
            <w:r w:rsidRPr="00B710A9">
              <w:rPr>
                <w:rFonts w:ascii="Arial" w:hAnsi="Arial" w:cs="Arial"/>
                <w:sz w:val="18"/>
                <w:szCs w:val="18"/>
              </w:rPr>
              <w:t xml:space="preserve">En ejecución </w:t>
            </w:r>
          </w:p>
        </w:tc>
      </w:tr>
      <w:tr w:rsidR="00C70ECF" w:rsidRPr="00B710A9" w14:paraId="1CDD013E" w14:textId="77777777" w:rsidTr="00491526">
        <w:trPr>
          <w:trHeight w:val="540"/>
          <w:jc w:val="center"/>
        </w:trPr>
        <w:tc>
          <w:tcPr>
            <w:tcW w:w="2180" w:type="dxa"/>
            <w:shd w:val="clear" w:color="auto" w:fill="D9E1F2"/>
            <w:vAlign w:val="center"/>
            <w:hideMark/>
          </w:tcPr>
          <w:p w14:paraId="2A32AD5A"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lastRenderedPageBreak/>
              <w:t>095 de 2021</w:t>
            </w:r>
          </w:p>
        </w:tc>
        <w:tc>
          <w:tcPr>
            <w:tcW w:w="2690" w:type="dxa"/>
            <w:shd w:val="clear" w:color="auto" w:fill="D9E1F2"/>
            <w:vAlign w:val="center"/>
            <w:hideMark/>
          </w:tcPr>
          <w:p w14:paraId="75311DD9" w14:textId="01DA416B" w:rsidR="00C70ECF" w:rsidRPr="00B710A9" w:rsidRDefault="00C70ECF" w:rsidP="00491526">
            <w:pPr>
              <w:rPr>
                <w:rFonts w:ascii="Arial" w:hAnsi="Arial" w:cs="Arial"/>
                <w:color w:val="000000"/>
                <w:sz w:val="18"/>
                <w:szCs w:val="18"/>
              </w:rPr>
            </w:pPr>
            <w:r w:rsidRPr="00B710A9">
              <w:rPr>
                <w:rFonts w:ascii="Arial" w:hAnsi="Arial" w:cs="Arial"/>
                <w:color w:val="000000" w:themeColor="text1"/>
                <w:sz w:val="18"/>
                <w:szCs w:val="18"/>
              </w:rPr>
              <w:t xml:space="preserve">Sociedad de </w:t>
            </w:r>
            <w:r w:rsidR="00596519" w:rsidRPr="00B710A9">
              <w:rPr>
                <w:rFonts w:ascii="Arial" w:hAnsi="Arial" w:cs="Arial"/>
                <w:color w:val="000000" w:themeColor="text1"/>
                <w:sz w:val="18"/>
                <w:szCs w:val="18"/>
              </w:rPr>
              <w:t>A</w:t>
            </w:r>
            <w:r w:rsidRPr="00B710A9">
              <w:rPr>
                <w:rFonts w:ascii="Arial" w:hAnsi="Arial" w:cs="Arial"/>
                <w:color w:val="000000" w:themeColor="text1"/>
                <w:sz w:val="18"/>
                <w:szCs w:val="18"/>
              </w:rPr>
              <w:t xml:space="preserve">ctivos </w:t>
            </w:r>
            <w:r w:rsidR="00596519" w:rsidRPr="00B710A9">
              <w:rPr>
                <w:rFonts w:ascii="Arial" w:hAnsi="Arial" w:cs="Arial"/>
                <w:color w:val="000000" w:themeColor="text1"/>
                <w:sz w:val="18"/>
                <w:szCs w:val="18"/>
              </w:rPr>
              <w:t>E</w:t>
            </w:r>
            <w:r w:rsidRPr="00B710A9">
              <w:rPr>
                <w:rFonts w:ascii="Arial" w:hAnsi="Arial" w:cs="Arial"/>
                <w:color w:val="000000" w:themeColor="text1"/>
                <w:sz w:val="18"/>
                <w:szCs w:val="18"/>
              </w:rPr>
              <w:t>speciales S.A.S</w:t>
            </w:r>
          </w:p>
        </w:tc>
        <w:tc>
          <w:tcPr>
            <w:tcW w:w="1670" w:type="dxa"/>
            <w:shd w:val="clear" w:color="auto" w:fill="D9E1F2"/>
            <w:vAlign w:val="center"/>
            <w:hideMark/>
          </w:tcPr>
          <w:p w14:paraId="78530AF6" w14:textId="77777777" w:rsidR="00C70ECF" w:rsidRPr="00B710A9" w:rsidRDefault="00C70ECF" w:rsidP="00491526">
            <w:pPr>
              <w:jc w:val="center"/>
              <w:rPr>
                <w:rFonts w:ascii="Arial" w:hAnsi="Arial" w:cs="Arial"/>
                <w:sz w:val="18"/>
                <w:szCs w:val="18"/>
              </w:rPr>
            </w:pPr>
            <w:r w:rsidRPr="00B710A9">
              <w:rPr>
                <w:rFonts w:ascii="Arial" w:hAnsi="Arial" w:cs="Arial"/>
                <w:sz w:val="18"/>
                <w:szCs w:val="18"/>
              </w:rPr>
              <w:t xml:space="preserve">$350.000.000 </w:t>
            </w:r>
          </w:p>
        </w:tc>
        <w:tc>
          <w:tcPr>
            <w:tcW w:w="1740" w:type="dxa"/>
            <w:shd w:val="clear" w:color="auto" w:fill="D9E1F2"/>
            <w:vAlign w:val="center"/>
            <w:hideMark/>
          </w:tcPr>
          <w:p w14:paraId="24D86665" w14:textId="77777777" w:rsidR="00C70ECF" w:rsidRPr="00B710A9" w:rsidRDefault="00C70ECF" w:rsidP="00491526">
            <w:pPr>
              <w:rPr>
                <w:rFonts w:ascii="Arial" w:hAnsi="Arial" w:cs="Arial"/>
                <w:sz w:val="18"/>
                <w:szCs w:val="18"/>
              </w:rPr>
            </w:pPr>
            <w:r w:rsidRPr="00B710A9">
              <w:rPr>
                <w:rFonts w:ascii="Arial" w:hAnsi="Arial" w:cs="Arial"/>
                <w:sz w:val="18"/>
                <w:szCs w:val="18"/>
              </w:rPr>
              <w:t xml:space="preserve">En ejecución </w:t>
            </w:r>
          </w:p>
        </w:tc>
      </w:tr>
      <w:tr w:rsidR="00C70ECF" w:rsidRPr="00B710A9" w14:paraId="08A22C84" w14:textId="77777777" w:rsidTr="00491526">
        <w:trPr>
          <w:trHeight w:val="540"/>
          <w:jc w:val="center"/>
        </w:trPr>
        <w:tc>
          <w:tcPr>
            <w:tcW w:w="2180" w:type="dxa"/>
            <w:shd w:val="clear" w:color="auto" w:fill="auto"/>
            <w:vAlign w:val="center"/>
            <w:hideMark/>
          </w:tcPr>
          <w:p w14:paraId="6585651D"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CD002248 – 2021</w:t>
            </w:r>
          </w:p>
        </w:tc>
        <w:tc>
          <w:tcPr>
            <w:tcW w:w="2690" w:type="dxa"/>
            <w:shd w:val="clear" w:color="auto" w:fill="auto"/>
            <w:vAlign w:val="center"/>
            <w:hideMark/>
          </w:tcPr>
          <w:p w14:paraId="4984EF36" w14:textId="4C510E14" w:rsidR="00C70ECF" w:rsidRPr="00B710A9" w:rsidRDefault="00C70ECF" w:rsidP="00491526">
            <w:pPr>
              <w:rPr>
                <w:rFonts w:ascii="Arial" w:hAnsi="Arial" w:cs="Arial"/>
                <w:color w:val="000000"/>
                <w:sz w:val="18"/>
                <w:szCs w:val="18"/>
              </w:rPr>
            </w:pPr>
            <w:r w:rsidRPr="00B710A9">
              <w:rPr>
                <w:rFonts w:ascii="Arial" w:hAnsi="Arial" w:cs="Arial"/>
                <w:color w:val="000000" w:themeColor="text1"/>
                <w:sz w:val="18"/>
                <w:szCs w:val="18"/>
              </w:rPr>
              <w:t xml:space="preserve">Carbones del </w:t>
            </w:r>
            <w:r w:rsidR="00596519" w:rsidRPr="00B710A9">
              <w:rPr>
                <w:rFonts w:ascii="Arial" w:hAnsi="Arial" w:cs="Arial"/>
                <w:color w:val="000000" w:themeColor="text1"/>
                <w:sz w:val="18"/>
                <w:szCs w:val="18"/>
              </w:rPr>
              <w:t>C</w:t>
            </w:r>
            <w:r w:rsidRPr="00B710A9">
              <w:rPr>
                <w:rFonts w:ascii="Arial" w:hAnsi="Arial" w:cs="Arial"/>
                <w:color w:val="000000" w:themeColor="text1"/>
                <w:sz w:val="18"/>
                <w:szCs w:val="18"/>
              </w:rPr>
              <w:t>errejón LIMITED</w:t>
            </w:r>
          </w:p>
        </w:tc>
        <w:tc>
          <w:tcPr>
            <w:tcW w:w="1670" w:type="dxa"/>
            <w:shd w:val="clear" w:color="auto" w:fill="auto"/>
            <w:vAlign w:val="center"/>
            <w:hideMark/>
          </w:tcPr>
          <w:p w14:paraId="0BD9D71E" w14:textId="77777777" w:rsidR="00C70ECF" w:rsidRPr="00B710A9" w:rsidRDefault="00C70ECF" w:rsidP="00491526">
            <w:pPr>
              <w:jc w:val="center"/>
              <w:rPr>
                <w:rFonts w:ascii="Arial" w:hAnsi="Arial" w:cs="Arial"/>
                <w:sz w:val="18"/>
                <w:szCs w:val="18"/>
              </w:rPr>
            </w:pPr>
            <w:r w:rsidRPr="00B710A9">
              <w:rPr>
                <w:rFonts w:ascii="Arial" w:hAnsi="Arial" w:cs="Arial"/>
                <w:sz w:val="18"/>
                <w:szCs w:val="18"/>
              </w:rPr>
              <w:t xml:space="preserve"> $92.000.000</w:t>
            </w:r>
          </w:p>
        </w:tc>
        <w:tc>
          <w:tcPr>
            <w:tcW w:w="1740" w:type="dxa"/>
            <w:shd w:val="clear" w:color="auto" w:fill="auto"/>
            <w:vAlign w:val="center"/>
            <w:hideMark/>
          </w:tcPr>
          <w:p w14:paraId="3F1E4DF9" w14:textId="77777777" w:rsidR="00C70ECF" w:rsidRPr="00B710A9" w:rsidRDefault="00C70ECF" w:rsidP="00491526">
            <w:pPr>
              <w:rPr>
                <w:rFonts w:ascii="Arial" w:hAnsi="Arial" w:cs="Arial"/>
                <w:sz w:val="18"/>
                <w:szCs w:val="18"/>
              </w:rPr>
            </w:pPr>
            <w:r w:rsidRPr="00B710A9">
              <w:rPr>
                <w:rFonts w:ascii="Arial" w:hAnsi="Arial" w:cs="Arial"/>
                <w:sz w:val="18"/>
                <w:szCs w:val="18"/>
              </w:rPr>
              <w:t xml:space="preserve">En ejecución </w:t>
            </w:r>
          </w:p>
        </w:tc>
      </w:tr>
      <w:tr w:rsidR="00C70ECF" w:rsidRPr="00B710A9" w14:paraId="002C97DC" w14:textId="77777777" w:rsidTr="00491526">
        <w:trPr>
          <w:trHeight w:val="540"/>
          <w:jc w:val="center"/>
        </w:trPr>
        <w:tc>
          <w:tcPr>
            <w:tcW w:w="2180" w:type="dxa"/>
            <w:shd w:val="clear" w:color="auto" w:fill="D9E1F2"/>
            <w:vAlign w:val="center"/>
            <w:hideMark/>
          </w:tcPr>
          <w:p w14:paraId="50927C60"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CI-FPS-442-2021</w:t>
            </w:r>
          </w:p>
        </w:tc>
        <w:tc>
          <w:tcPr>
            <w:tcW w:w="2690" w:type="dxa"/>
            <w:shd w:val="clear" w:color="auto" w:fill="D9E1F2"/>
            <w:vAlign w:val="center"/>
            <w:hideMark/>
          </w:tcPr>
          <w:p w14:paraId="1EBA401A" w14:textId="40814C61" w:rsidR="00C70ECF" w:rsidRPr="00B710A9" w:rsidRDefault="00C70ECF" w:rsidP="00491526">
            <w:pPr>
              <w:rPr>
                <w:rFonts w:ascii="Arial" w:hAnsi="Arial" w:cs="Arial"/>
                <w:color w:val="000000"/>
                <w:sz w:val="18"/>
                <w:szCs w:val="18"/>
              </w:rPr>
            </w:pPr>
            <w:r w:rsidRPr="00B710A9">
              <w:rPr>
                <w:rFonts w:ascii="Arial" w:hAnsi="Arial" w:cs="Arial"/>
                <w:color w:val="000000" w:themeColor="text1"/>
                <w:sz w:val="18"/>
                <w:szCs w:val="18"/>
              </w:rPr>
              <w:t xml:space="preserve">Fondo de </w:t>
            </w:r>
            <w:r w:rsidR="00596519" w:rsidRPr="00B710A9">
              <w:rPr>
                <w:rFonts w:ascii="Arial" w:hAnsi="Arial" w:cs="Arial"/>
                <w:color w:val="000000" w:themeColor="text1"/>
                <w:sz w:val="18"/>
                <w:szCs w:val="18"/>
              </w:rPr>
              <w:t>P</w:t>
            </w:r>
            <w:r w:rsidRPr="00B710A9">
              <w:rPr>
                <w:rFonts w:ascii="Arial" w:hAnsi="Arial" w:cs="Arial"/>
                <w:color w:val="000000" w:themeColor="text1"/>
                <w:sz w:val="18"/>
                <w:szCs w:val="18"/>
              </w:rPr>
              <w:t xml:space="preserve">asivo </w:t>
            </w:r>
            <w:r w:rsidR="00596519" w:rsidRPr="00B710A9">
              <w:rPr>
                <w:rFonts w:ascii="Arial" w:hAnsi="Arial" w:cs="Arial"/>
                <w:color w:val="000000" w:themeColor="text1"/>
                <w:sz w:val="18"/>
                <w:szCs w:val="18"/>
              </w:rPr>
              <w:t>S</w:t>
            </w:r>
            <w:r w:rsidRPr="00B710A9">
              <w:rPr>
                <w:rFonts w:ascii="Arial" w:hAnsi="Arial" w:cs="Arial"/>
                <w:color w:val="000000" w:themeColor="text1"/>
                <w:sz w:val="18"/>
                <w:szCs w:val="18"/>
              </w:rPr>
              <w:t xml:space="preserve">ocial de </w:t>
            </w:r>
            <w:r w:rsidR="00596519" w:rsidRPr="00B710A9">
              <w:rPr>
                <w:rFonts w:ascii="Arial" w:hAnsi="Arial" w:cs="Arial"/>
                <w:color w:val="000000" w:themeColor="text1"/>
                <w:sz w:val="18"/>
                <w:szCs w:val="18"/>
              </w:rPr>
              <w:t>F</w:t>
            </w:r>
            <w:r w:rsidRPr="00B710A9">
              <w:rPr>
                <w:rFonts w:ascii="Arial" w:hAnsi="Arial" w:cs="Arial"/>
                <w:color w:val="000000" w:themeColor="text1"/>
                <w:sz w:val="18"/>
                <w:szCs w:val="18"/>
              </w:rPr>
              <w:t xml:space="preserve">errocarriles </w:t>
            </w:r>
            <w:r w:rsidR="00596519" w:rsidRPr="00B710A9">
              <w:rPr>
                <w:rFonts w:ascii="Arial" w:hAnsi="Arial" w:cs="Arial"/>
                <w:color w:val="000000" w:themeColor="text1"/>
                <w:sz w:val="18"/>
                <w:szCs w:val="18"/>
              </w:rPr>
              <w:t>N</w:t>
            </w:r>
            <w:r w:rsidRPr="00B710A9">
              <w:rPr>
                <w:rFonts w:ascii="Arial" w:hAnsi="Arial" w:cs="Arial"/>
                <w:color w:val="000000" w:themeColor="text1"/>
                <w:sz w:val="18"/>
                <w:szCs w:val="18"/>
              </w:rPr>
              <w:t>acionales de Colombia</w:t>
            </w:r>
          </w:p>
        </w:tc>
        <w:tc>
          <w:tcPr>
            <w:tcW w:w="1670" w:type="dxa"/>
            <w:shd w:val="clear" w:color="auto" w:fill="D9E1F2"/>
            <w:vAlign w:val="center"/>
            <w:hideMark/>
          </w:tcPr>
          <w:p w14:paraId="6A39D506" w14:textId="77777777" w:rsidR="00C70ECF" w:rsidRPr="00B710A9" w:rsidRDefault="00C70ECF" w:rsidP="00491526">
            <w:pPr>
              <w:jc w:val="center"/>
              <w:rPr>
                <w:rFonts w:ascii="Arial" w:hAnsi="Arial" w:cs="Arial"/>
                <w:sz w:val="18"/>
                <w:szCs w:val="18"/>
              </w:rPr>
            </w:pPr>
            <w:r w:rsidRPr="00B710A9">
              <w:rPr>
                <w:rFonts w:ascii="Arial" w:hAnsi="Arial" w:cs="Arial"/>
                <w:sz w:val="18"/>
                <w:szCs w:val="18"/>
              </w:rPr>
              <w:t>$44.183.852</w:t>
            </w:r>
          </w:p>
        </w:tc>
        <w:tc>
          <w:tcPr>
            <w:tcW w:w="1740" w:type="dxa"/>
            <w:shd w:val="clear" w:color="auto" w:fill="D9E1F2"/>
            <w:vAlign w:val="center"/>
            <w:hideMark/>
          </w:tcPr>
          <w:p w14:paraId="47AE2E22" w14:textId="77777777" w:rsidR="00C70ECF" w:rsidRPr="00B710A9" w:rsidRDefault="00C70ECF" w:rsidP="00491526">
            <w:pPr>
              <w:rPr>
                <w:rFonts w:ascii="Arial" w:hAnsi="Arial" w:cs="Arial"/>
                <w:sz w:val="18"/>
                <w:szCs w:val="18"/>
              </w:rPr>
            </w:pPr>
            <w:r w:rsidRPr="00B710A9">
              <w:rPr>
                <w:rFonts w:ascii="Arial" w:hAnsi="Arial" w:cs="Arial"/>
                <w:sz w:val="18"/>
                <w:szCs w:val="18"/>
              </w:rPr>
              <w:t xml:space="preserve">En ejecución </w:t>
            </w:r>
          </w:p>
        </w:tc>
      </w:tr>
      <w:tr w:rsidR="00C70ECF" w:rsidRPr="00B710A9" w14:paraId="2245D784" w14:textId="77777777" w:rsidTr="00491526">
        <w:trPr>
          <w:trHeight w:val="540"/>
          <w:jc w:val="center"/>
        </w:trPr>
        <w:tc>
          <w:tcPr>
            <w:tcW w:w="2180" w:type="dxa"/>
            <w:shd w:val="clear" w:color="auto" w:fill="auto"/>
            <w:vAlign w:val="center"/>
            <w:hideMark/>
          </w:tcPr>
          <w:p w14:paraId="49CA8DAA"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594 DE 2022</w:t>
            </w:r>
          </w:p>
        </w:tc>
        <w:tc>
          <w:tcPr>
            <w:tcW w:w="2690" w:type="dxa"/>
            <w:shd w:val="clear" w:color="auto" w:fill="auto"/>
            <w:vAlign w:val="center"/>
            <w:hideMark/>
          </w:tcPr>
          <w:p w14:paraId="7AA99C2E" w14:textId="4DF28F85" w:rsidR="00C70ECF" w:rsidRPr="00B710A9" w:rsidRDefault="00C70ECF" w:rsidP="00491526">
            <w:pPr>
              <w:rPr>
                <w:rFonts w:ascii="Arial" w:hAnsi="Arial" w:cs="Arial"/>
                <w:color w:val="000000"/>
                <w:sz w:val="18"/>
                <w:szCs w:val="18"/>
              </w:rPr>
            </w:pPr>
            <w:r w:rsidRPr="00B710A9">
              <w:rPr>
                <w:rFonts w:ascii="Arial" w:hAnsi="Arial" w:cs="Arial"/>
                <w:color w:val="000000" w:themeColor="text1"/>
                <w:sz w:val="18"/>
                <w:szCs w:val="18"/>
              </w:rPr>
              <w:t xml:space="preserve">Escuela </w:t>
            </w:r>
            <w:r w:rsidR="002C69E6" w:rsidRPr="00B710A9">
              <w:rPr>
                <w:rFonts w:ascii="Arial" w:hAnsi="Arial" w:cs="Arial"/>
                <w:color w:val="000000" w:themeColor="text1"/>
                <w:sz w:val="18"/>
                <w:szCs w:val="18"/>
              </w:rPr>
              <w:t>S</w:t>
            </w:r>
            <w:r w:rsidRPr="00B710A9">
              <w:rPr>
                <w:rFonts w:ascii="Arial" w:hAnsi="Arial" w:cs="Arial"/>
                <w:color w:val="000000" w:themeColor="text1"/>
                <w:sz w:val="18"/>
                <w:szCs w:val="18"/>
              </w:rPr>
              <w:t xml:space="preserve">uperior de </w:t>
            </w:r>
            <w:r w:rsidR="002C69E6" w:rsidRPr="00B710A9">
              <w:rPr>
                <w:rFonts w:ascii="Arial" w:hAnsi="Arial" w:cs="Arial"/>
                <w:color w:val="000000" w:themeColor="text1"/>
                <w:sz w:val="18"/>
                <w:szCs w:val="18"/>
              </w:rPr>
              <w:t>A</w:t>
            </w:r>
            <w:r w:rsidRPr="00B710A9">
              <w:rPr>
                <w:rFonts w:ascii="Arial" w:hAnsi="Arial" w:cs="Arial"/>
                <w:color w:val="000000" w:themeColor="text1"/>
                <w:sz w:val="18"/>
                <w:szCs w:val="18"/>
              </w:rPr>
              <w:t xml:space="preserve">dministración </w:t>
            </w:r>
            <w:r w:rsidR="002C69E6" w:rsidRPr="00B710A9">
              <w:rPr>
                <w:rFonts w:ascii="Arial" w:hAnsi="Arial" w:cs="Arial"/>
                <w:color w:val="000000" w:themeColor="text1"/>
                <w:sz w:val="18"/>
                <w:szCs w:val="18"/>
              </w:rPr>
              <w:t>P</w:t>
            </w:r>
            <w:r w:rsidRPr="00B710A9">
              <w:rPr>
                <w:rFonts w:ascii="Arial" w:hAnsi="Arial" w:cs="Arial"/>
                <w:color w:val="000000" w:themeColor="text1"/>
                <w:sz w:val="18"/>
                <w:szCs w:val="18"/>
              </w:rPr>
              <w:t xml:space="preserve">ública - ESAP </w:t>
            </w:r>
          </w:p>
        </w:tc>
        <w:tc>
          <w:tcPr>
            <w:tcW w:w="1670" w:type="dxa"/>
            <w:shd w:val="clear" w:color="auto" w:fill="FFFFFF" w:themeFill="background1"/>
            <w:vAlign w:val="center"/>
            <w:hideMark/>
          </w:tcPr>
          <w:p w14:paraId="57D98EBD" w14:textId="77777777" w:rsidR="00C70ECF" w:rsidRPr="00B710A9" w:rsidRDefault="00C70ECF" w:rsidP="00491526">
            <w:pPr>
              <w:jc w:val="center"/>
              <w:rPr>
                <w:rFonts w:ascii="Arial" w:hAnsi="Arial" w:cs="Arial"/>
                <w:sz w:val="18"/>
                <w:szCs w:val="18"/>
              </w:rPr>
            </w:pPr>
            <w:r w:rsidRPr="00B710A9">
              <w:rPr>
                <w:rFonts w:ascii="Arial" w:hAnsi="Arial" w:cs="Arial"/>
                <w:sz w:val="18"/>
                <w:szCs w:val="18"/>
              </w:rPr>
              <w:t>$120.000.000</w:t>
            </w:r>
          </w:p>
        </w:tc>
        <w:tc>
          <w:tcPr>
            <w:tcW w:w="1740" w:type="dxa"/>
            <w:shd w:val="clear" w:color="auto" w:fill="auto"/>
            <w:vAlign w:val="center"/>
            <w:hideMark/>
          </w:tcPr>
          <w:p w14:paraId="5045D694" w14:textId="77777777" w:rsidR="00C70ECF" w:rsidRPr="00B710A9" w:rsidRDefault="00C70ECF" w:rsidP="00491526">
            <w:pPr>
              <w:rPr>
                <w:rFonts w:ascii="Arial" w:hAnsi="Arial" w:cs="Arial"/>
                <w:sz w:val="18"/>
                <w:szCs w:val="18"/>
              </w:rPr>
            </w:pPr>
            <w:r w:rsidRPr="00B710A9">
              <w:rPr>
                <w:rFonts w:ascii="Arial" w:hAnsi="Arial" w:cs="Arial"/>
                <w:sz w:val="18"/>
                <w:szCs w:val="18"/>
              </w:rPr>
              <w:t xml:space="preserve">En ejecución </w:t>
            </w:r>
          </w:p>
        </w:tc>
      </w:tr>
      <w:tr w:rsidR="00C70ECF" w:rsidRPr="00B710A9" w14:paraId="16E43025" w14:textId="77777777" w:rsidTr="00491526">
        <w:trPr>
          <w:trHeight w:val="540"/>
          <w:jc w:val="center"/>
        </w:trPr>
        <w:tc>
          <w:tcPr>
            <w:tcW w:w="2180" w:type="dxa"/>
            <w:shd w:val="clear" w:color="auto" w:fill="D9E1F2"/>
            <w:vAlign w:val="center"/>
            <w:hideMark/>
          </w:tcPr>
          <w:p w14:paraId="6C699E12"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CD-984-2022</w:t>
            </w:r>
          </w:p>
        </w:tc>
        <w:tc>
          <w:tcPr>
            <w:tcW w:w="2690" w:type="dxa"/>
            <w:shd w:val="clear" w:color="auto" w:fill="D9E1F2"/>
            <w:vAlign w:val="center"/>
            <w:hideMark/>
          </w:tcPr>
          <w:p w14:paraId="2AE1FE71" w14:textId="49D9546A" w:rsidR="00C70ECF" w:rsidRPr="00B710A9" w:rsidRDefault="00C70ECF" w:rsidP="00491526">
            <w:pPr>
              <w:rPr>
                <w:rFonts w:ascii="Arial" w:hAnsi="Arial" w:cs="Arial"/>
                <w:color w:val="000000"/>
                <w:sz w:val="18"/>
                <w:szCs w:val="18"/>
              </w:rPr>
            </w:pPr>
            <w:r w:rsidRPr="00B710A9">
              <w:rPr>
                <w:rFonts w:ascii="Arial" w:hAnsi="Arial" w:cs="Arial"/>
                <w:color w:val="000000" w:themeColor="text1"/>
                <w:sz w:val="18"/>
                <w:szCs w:val="18"/>
              </w:rPr>
              <w:t xml:space="preserve">Defensoría del </w:t>
            </w:r>
            <w:r w:rsidR="002C69E6" w:rsidRPr="00B710A9">
              <w:rPr>
                <w:rFonts w:ascii="Arial" w:hAnsi="Arial" w:cs="Arial"/>
                <w:color w:val="000000" w:themeColor="text1"/>
                <w:sz w:val="18"/>
                <w:szCs w:val="18"/>
              </w:rPr>
              <w:t>P</w:t>
            </w:r>
            <w:r w:rsidRPr="00B710A9">
              <w:rPr>
                <w:rFonts w:ascii="Arial" w:hAnsi="Arial" w:cs="Arial"/>
                <w:color w:val="000000" w:themeColor="text1"/>
                <w:sz w:val="18"/>
                <w:szCs w:val="18"/>
              </w:rPr>
              <w:t xml:space="preserve">ueblo </w:t>
            </w:r>
          </w:p>
        </w:tc>
        <w:tc>
          <w:tcPr>
            <w:tcW w:w="1670" w:type="dxa"/>
            <w:shd w:val="clear" w:color="auto" w:fill="D9E1F2"/>
            <w:vAlign w:val="center"/>
            <w:hideMark/>
          </w:tcPr>
          <w:p w14:paraId="3AEB1017" w14:textId="77777777" w:rsidR="00C70ECF" w:rsidRPr="00B710A9" w:rsidRDefault="00C70ECF" w:rsidP="00491526">
            <w:pPr>
              <w:jc w:val="center"/>
              <w:rPr>
                <w:rFonts w:ascii="Arial" w:hAnsi="Arial" w:cs="Arial"/>
                <w:sz w:val="18"/>
                <w:szCs w:val="18"/>
              </w:rPr>
            </w:pPr>
            <w:r w:rsidRPr="00B710A9">
              <w:rPr>
                <w:rFonts w:ascii="Arial" w:hAnsi="Arial" w:cs="Arial"/>
                <w:sz w:val="18"/>
                <w:szCs w:val="18"/>
              </w:rPr>
              <w:t>$257.913.616</w:t>
            </w:r>
          </w:p>
        </w:tc>
        <w:tc>
          <w:tcPr>
            <w:tcW w:w="1740" w:type="dxa"/>
            <w:shd w:val="clear" w:color="auto" w:fill="D9E1F2"/>
            <w:vAlign w:val="center"/>
            <w:hideMark/>
          </w:tcPr>
          <w:p w14:paraId="66D5106E" w14:textId="77777777" w:rsidR="00C70ECF" w:rsidRPr="00B710A9" w:rsidRDefault="00C70ECF" w:rsidP="00491526">
            <w:pPr>
              <w:rPr>
                <w:rFonts w:ascii="Arial" w:hAnsi="Arial" w:cs="Arial"/>
                <w:sz w:val="18"/>
                <w:szCs w:val="18"/>
              </w:rPr>
            </w:pPr>
            <w:r w:rsidRPr="00B710A9">
              <w:rPr>
                <w:rFonts w:ascii="Arial" w:hAnsi="Arial" w:cs="Arial"/>
                <w:sz w:val="18"/>
                <w:szCs w:val="18"/>
              </w:rPr>
              <w:t xml:space="preserve">En ejecución </w:t>
            </w:r>
          </w:p>
        </w:tc>
      </w:tr>
      <w:tr w:rsidR="00C70ECF" w:rsidRPr="00B710A9" w14:paraId="5FCB90E1" w14:textId="77777777" w:rsidTr="00491526">
        <w:trPr>
          <w:trHeight w:val="540"/>
          <w:jc w:val="center"/>
        </w:trPr>
        <w:tc>
          <w:tcPr>
            <w:tcW w:w="2180" w:type="dxa"/>
            <w:shd w:val="clear" w:color="auto" w:fill="auto"/>
            <w:vAlign w:val="center"/>
            <w:hideMark/>
          </w:tcPr>
          <w:p w14:paraId="4B17A94C"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032-2022</w:t>
            </w:r>
          </w:p>
        </w:tc>
        <w:tc>
          <w:tcPr>
            <w:tcW w:w="2690" w:type="dxa"/>
            <w:shd w:val="clear" w:color="auto" w:fill="auto"/>
            <w:vAlign w:val="center"/>
            <w:hideMark/>
          </w:tcPr>
          <w:p w14:paraId="65C6A8BE" w14:textId="67B5A3C2" w:rsidR="00C70ECF" w:rsidRPr="00B710A9" w:rsidRDefault="00C70ECF" w:rsidP="00491526">
            <w:pPr>
              <w:rPr>
                <w:rFonts w:ascii="Arial" w:hAnsi="Arial" w:cs="Arial"/>
                <w:color w:val="000000"/>
                <w:sz w:val="18"/>
                <w:szCs w:val="18"/>
              </w:rPr>
            </w:pPr>
            <w:r w:rsidRPr="00B710A9">
              <w:rPr>
                <w:rFonts w:ascii="Arial" w:hAnsi="Arial" w:cs="Arial"/>
                <w:color w:val="000000" w:themeColor="text1"/>
                <w:sz w:val="18"/>
                <w:szCs w:val="18"/>
              </w:rPr>
              <w:t xml:space="preserve">Caja </w:t>
            </w:r>
            <w:r w:rsidR="002C69E6" w:rsidRPr="00B710A9">
              <w:rPr>
                <w:rFonts w:ascii="Arial" w:hAnsi="Arial" w:cs="Arial"/>
                <w:color w:val="000000" w:themeColor="text1"/>
                <w:sz w:val="18"/>
                <w:szCs w:val="18"/>
              </w:rPr>
              <w:t>H</w:t>
            </w:r>
            <w:r w:rsidRPr="00B710A9">
              <w:rPr>
                <w:rFonts w:ascii="Arial" w:hAnsi="Arial" w:cs="Arial"/>
                <w:color w:val="000000" w:themeColor="text1"/>
                <w:sz w:val="18"/>
                <w:szCs w:val="18"/>
              </w:rPr>
              <w:t xml:space="preserve">onor – </w:t>
            </w:r>
            <w:r w:rsidR="002C69E6" w:rsidRPr="00B710A9">
              <w:rPr>
                <w:rFonts w:ascii="Arial" w:hAnsi="Arial" w:cs="Arial"/>
                <w:color w:val="000000" w:themeColor="text1"/>
                <w:sz w:val="18"/>
                <w:szCs w:val="18"/>
              </w:rPr>
              <w:t>C</w:t>
            </w:r>
            <w:r w:rsidRPr="00B710A9">
              <w:rPr>
                <w:rFonts w:ascii="Arial" w:hAnsi="Arial" w:cs="Arial"/>
                <w:color w:val="000000" w:themeColor="text1"/>
                <w:sz w:val="18"/>
                <w:szCs w:val="18"/>
              </w:rPr>
              <w:t xml:space="preserve">aja </w:t>
            </w:r>
            <w:r w:rsidR="002C69E6" w:rsidRPr="00B710A9">
              <w:rPr>
                <w:rFonts w:ascii="Arial" w:hAnsi="Arial" w:cs="Arial"/>
                <w:color w:val="000000" w:themeColor="text1"/>
                <w:sz w:val="18"/>
                <w:szCs w:val="18"/>
              </w:rPr>
              <w:t>P</w:t>
            </w:r>
            <w:r w:rsidRPr="00B710A9">
              <w:rPr>
                <w:rFonts w:ascii="Arial" w:hAnsi="Arial" w:cs="Arial"/>
                <w:color w:val="000000" w:themeColor="text1"/>
                <w:sz w:val="18"/>
                <w:szCs w:val="18"/>
              </w:rPr>
              <w:t xml:space="preserve">romotora de </w:t>
            </w:r>
            <w:r w:rsidR="002C69E6" w:rsidRPr="00B710A9">
              <w:rPr>
                <w:rFonts w:ascii="Arial" w:hAnsi="Arial" w:cs="Arial"/>
                <w:color w:val="000000" w:themeColor="text1"/>
                <w:sz w:val="18"/>
                <w:szCs w:val="18"/>
              </w:rPr>
              <w:t>V</w:t>
            </w:r>
            <w:r w:rsidRPr="00B710A9">
              <w:rPr>
                <w:rFonts w:ascii="Arial" w:hAnsi="Arial" w:cs="Arial"/>
                <w:color w:val="000000" w:themeColor="text1"/>
                <w:sz w:val="18"/>
                <w:szCs w:val="18"/>
              </w:rPr>
              <w:t xml:space="preserve">ivienda </w:t>
            </w:r>
            <w:r w:rsidR="002C69E6" w:rsidRPr="00B710A9">
              <w:rPr>
                <w:rFonts w:ascii="Arial" w:hAnsi="Arial" w:cs="Arial"/>
                <w:color w:val="000000" w:themeColor="text1"/>
                <w:sz w:val="18"/>
                <w:szCs w:val="18"/>
              </w:rPr>
              <w:t>M</w:t>
            </w:r>
            <w:r w:rsidRPr="00B710A9">
              <w:rPr>
                <w:rFonts w:ascii="Arial" w:hAnsi="Arial" w:cs="Arial"/>
                <w:color w:val="000000" w:themeColor="text1"/>
                <w:sz w:val="18"/>
                <w:szCs w:val="18"/>
              </w:rPr>
              <w:t xml:space="preserve">ilitar y de </w:t>
            </w:r>
            <w:r w:rsidR="002C69E6" w:rsidRPr="00B710A9">
              <w:rPr>
                <w:rFonts w:ascii="Arial" w:hAnsi="Arial" w:cs="Arial"/>
                <w:color w:val="000000" w:themeColor="text1"/>
                <w:sz w:val="18"/>
                <w:szCs w:val="18"/>
              </w:rPr>
              <w:t>P</w:t>
            </w:r>
            <w:r w:rsidRPr="00B710A9">
              <w:rPr>
                <w:rFonts w:ascii="Arial" w:hAnsi="Arial" w:cs="Arial"/>
                <w:color w:val="000000" w:themeColor="text1"/>
                <w:sz w:val="18"/>
                <w:szCs w:val="18"/>
              </w:rPr>
              <w:t>olicía</w:t>
            </w:r>
          </w:p>
        </w:tc>
        <w:tc>
          <w:tcPr>
            <w:tcW w:w="1670" w:type="dxa"/>
            <w:shd w:val="clear" w:color="auto" w:fill="auto"/>
            <w:vAlign w:val="center"/>
            <w:hideMark/>
          </w:tcPr>
          <w:p w14:paraId="11445C97" w14:textId="77777777" w:rsidR="00C70ECF" w:rsidRPr="00B710A9" w:rsidRDefault="00C70ECF" w:rsidP="00491526">
            <w:pPr>
              <w:jc w:val="center"/>
              <w:rPr>
                <w:rFonts w:ascii="Arial" w:hAnsi="Arial" w:cs="Arial"/>
                <w:sz w:val="18"/>
                <w:szCs w:val="18"/>
              </w:rPr>
            </w:pPr>
            <w:r w:rsidRPr="00B710A9">
              <w:rPr>
                <w:rFonts w:ascii="Arial" w:hAnsi="Arial" w:cs="Arial"/>
                <w:sz w:val="18"/>
                <w:szCs w:val="18"/>
              </w:rPr>
              <w:t>$41.870.000</w:t>
            </w:r>
          </w:p>
        </w:tc>
        <w:tc>
          <w:tcPr>
            <w:tcW w:w="1740" w:type="dxa"/>
            <w:shd w:val="clear" w:color="auto" w:fill="auto"/>
            <w:vAlign w:val="center"/>
            <w:hideMark/>
          </w:tcPr>
          <w:p w14:paraId="06A0BEFC" w14:textId="77777777" w:rsidR="00C70ECF" w:rsidRPr="00B710A9" w:rsidRDefault="00C70ECF" w:rsidP="00491526">
            <w:pPr>
              <w:rPr>
                <w:rFonts w:ascii="Arial" w:hAnsi="Arial" w:cs="Arial"/>
                <w:sz w:val="18"/>
                <w:szCs w:val="18"/>
              </w:rPr>
            </w:pPr>
            <w:r w:rsidRPr="00B710A9">
              <w:rPr>
                <w:rFonts w:ascii="Arial" w:hAnsi="Arial" w:cs="Arial"/>
                <w:sz w:val="18"/>
                <w:szCs w:val="18"/>
              </w:rPr>
              <w:t xml:space="preserve">En ejecución </w:t>
            </w:r>
          </w:p>
        </w:tc>
      </w:tr>
      <w:tr w:rsidR="00C70ECF" w:rsidRPr="00B710A9" w14:paraId="6E7E5DC3" w14:textId="77777777" w:rsidTr="00491526">
        <w:trPr>
          <w:trHeight w:val="540"/>
          <w:jc w:val="center"/>
        </w:trPr>
        <w:tc>
          <w:tcPr>
            <w:tcW w:w="2180" w:type="dxa"/>
            <w:shd w:val="clear" w:color="auto" w:fill="D9E1F2"/>
            <w:vAlign w:val="center"/>
            <w:hideMark/>
          </w:tcPr>
          <w:p w14:paraId="1F81DE95"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4062 DE 2022</w:t>
            </w:r>
          </w:p>
        </w:tc>
        <w:tc>
          <w:tcPr>
            <w:tcW w:w="2690" w:type="dxa"/>
            <w:shd w:val="clear" w:color="auto" w:fill="D9E1F2"/>
            <w:vAlign w:val="center"/>
            <w:hideMark/>
          </w:tcPr>
          <w:p w14:paraId="5444C19C" w14:textId="77777777" w:rsidR="00C70ECF" w:rsidRPr="00B710A9" w:rsidRDefault="00C70ECF" w:rsidP="00491526">
            <w:pPr>
              <w:rPr>
                <w:rFonts w:ascii="Arial" w:hAnsi="Arial" w:cs="Arial"/>
                <w:color w:val="000000"/>
                <w:sz w:val="18"/>
                <w:szCs w:val="18"/>
              </w:rPr>
            </w:pPr>
            <w:r w:rsidRPr="00B710A9">
              <w:rPr>
                <w:rFonts w:ascii="Arial" w:hAnsi="Arial" w:cs="Arial"/>
                <w:color w:val="000000" w:themeColor="text1"/>
                <w:sz w:val="18"/>
                <w:szCs w:val="18"/>
              </w:rPr>
              <w:t>Escuela Galán para el Desarrollo de la Democracia</w:t>
            </w:r>
          </w:p>
        </w:tc>
        <w:tc>
          <w:tcPr>
            <w:tcW w:w="1670" w:type="dxa"/>
            <w:shd w:val="clear" w:color="auto" w:fill="D9E1F2"/>
            <w:vAlign w:val="center"/>
            <w:hideMark/>
          </w:tcPr>
          <w:p w14:paraId="6CC46273" w14:textId="77777777" w:rsidR="00C70ECF" w:rsidRPr="00B710A9" w:rsidRDefault="00C70ECF" w:rsidP="00491526">
            <w:pPr>
              <w:jc w:val="center"/>
              <w:rPr>
                <w:rFonts w:ascii="Arial" w:hAnsi="Arial" w:cs="Arial"/>
                <w:sz w:val="18"/>
                <w:szCs w:val="18"/>
              </w:rPr>
            </w:pPr>
            <w:r w:rsidRPr="00B710A9">
              <w:rPr>
                <w:rFonts w:ascii="Arial" w:hAnsi="Arial" w:cs="Arial"/>
                <w:sz w:val="18"/>
                <w:szCs w:val="18"/>
              </w:rPr>
              <w:t>$33.000.000</w:t>
            </w:r>
          </w:p>
        </w:tc>
        <w:tc>
          <w:tcPr>
            <w:tcW w:w="1740" w:type="dxa"/>
            <w:shd w:val="clear" w:color="auto" w:fill="D9E1F2"/>
            <w:vAlign w:val="center"/>
            <w:hideMark/>
          </w:tcPr>
          <w:p w14:paraId="4501BB61" w14:textId="77777777" w:rsidR="00C70ECF" w:rsidRPr="00B710A9" w:rsidRDefault="00C70ECF" w:rsidP="00491526">
            <w:pPr>
              <w:rPr>
                <w:rFonts w:ascii="Arial" w:hAnsi="Arial" w:cs="Arial"/>
                <w:sz w:val="18"/>
                <w:szCs w:val="18"/>
              </w:rPr>
            </w:pPr>
            <w:r w:rsidRPr="00B710A9">
              <w:rPr>
                <w:rFonts w:ascii="Arial" w:hAnsi="Arial" w:cs="Arial"/>
                <w:sz w:val="18"/>
                <w:szCs w:val="18"/>
              </w:rPr>
              <w:t>En liquidación por mutuo acuerdo</w:t>
            </w:r>
          </w:p>
        </w:tc>
      </w:tr>
      <w:tr w:rsidR="00C70ECF" w:rsidRPr="00B710A9" w14:paraId="70CF4384" w14:textId="77777777" w:rsidTr="00491526">
        <w:trPr>
          <w:trHeight w:val="540"/>
          <w:jc w:val="center"/>
        </w:trPr>
        <w:tc>
          <w:tcPr>
            <w:tcW w:w="2180" w:type="dxa"/>
            <w:shd w:val="clear" w:color="auto" w:fill="auto"/>
            <w:vAlign w:val="center"/>
            <w:hideMark/>
          </w:tcPr>
          <w:p w14:paraId="00E006C4"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OSO-03-2022</w:t>
            </w:r>
          </w:p>
        </w:tc>
        <w:tc>
          <w:tcPr>
            <w:tcW w:w="2690" w:type="dxa"/>
            <w:shd w:val="clear" w:color="auto" w:fill="auto"/>
            <w:vAlign w:val="center"/>
            <w:hideMark/>
          </w:tcPr>
          <w:p w14:paraId="2D7049AC" w14:textId="025ED0C2" w:rsidR="00C70ECF" w:rsidRPr="00B710A9" w:rsidRDefault="00C70ECF" w:rsidP="00491526">
            <w:pPr>
              <w:rPr>
                <w:rFonts w:ascii="Arial" w:hAnsi="Arial" w:cs="Arial"/>
                <w:color w:val="000000"/>
                <w:sz w:val="18"/>
                <w:szCs w:val="18"/>
              </w:rPr>
            </w:pPr>
            <w:proofErr w:type="spellStart"/>
            <w:r w:rsidRPr="00B710A9">
              <w:rPr>
                <w:rFonts w:ascii="Arial" w:hAnsi="Arial" w:cs="Arial"/>
                <w:color w:val="000000" w:themeColor="text1"/>
                <w:sz w:val="18"/>
                <w:szCs w:val="18"/>
              </w:rPr>
              <w:t>Fogacoop</w:t>
            </w:r>
            <w:proofErr w:type="spellEnd"/>
            <w:r w:rsidRPr="00B710A9">
              <w:rPr>
                <w:rFonts w:ascii="Arial" w:hAnsi="Arial" w:cs="Arial"/>
                <w:color w:val="000000" w:themeColor="text1"/>
                <w:sz w:val="18"/>
                <w:szCs w:val="18"/>
              </w:rPr>
              <w:t xml:space="preserve"> – Fondo de </w:t>
            </w:r>
            <w:r w:rsidR="002C69E6" w:rsidRPr="00B710A9">
              <w:rPr>
                <w:rFonts w:ascii="Arial" w:hAnsi="Arial" w:cs="Arial"/>
                <w:color w:val="000000" w:themeColor="text1"/>
                <w:sz w:val="18"/>
                <w:szCs w:val="18"/>
              </w:rPr>
              <w:t>G</w:t>
            </w:r>
            <w:r w:rsidRPr="00B710A9">
              <w:rPr>
                <w:rFonts w:ascii="Arial" w:hAnsi="Arial" w:cs="Arial"/>
                <w:color w:val="000000" w:themeColor="text1"/>
                <w:sz w:val="18"/>
                <w:szCs w:val="18"/>
              </w:rPr>
              <w:t xml:space="preserve">arantías de </w:t>
            </w:r>
            <w:r w:rsidR="002C69E6" w:rsidRPr="00B710A9">
              <w:rPr>
                <w:rFonts w:ascii="Arial" w:hAnsi="Arial" w:cs="Arial"/>
                <w:color w:val="000000" w:themeColor="text1"/>
                <w:sz w:val="18"/>
                <w:szCs w:val="18"/>
              </w:rPr>
              <w:t>E</w:t>
            </w:r>
            <w:r w:rsidRPr="00B710A9">
              <w:rPr>
                <w:rFonts w:ascii="Arial" w:hAnsi="Arial" w:cs="Arial"/>
                <w:color w:val="000000" w:themeColor="text1"/>
                <w:sz w:val="18"/>
                <w:szCs w:val="18"/>
              </w:rPr>
              <w:t xml:space="preserve">ntidades </w:t>
            </w:r>
            <w:r w:rsidR="002C69E6" w:rsidRPr="00B710A9">
              <w:rPr>
                <w:rFonts w:ascii="Arial" w:hAnsi="Arial" w:cs="Arial"/>
                <w:color w:val="000000" w:themeColor="text1"/>
                <w:sz w:val="18"/>
                <w:szCs w:val="18"/>
              </w:rPr>
              <w:t>C</w:t>
            </w:r>
            <w:r w:rsidRPr="00B710A9">
              <w:rPr>
                <w:rFonts w:ascii="Arial" w:hAnsi="Arial" w:cs="Arial"/>
                <w:color w:val="000000" w:themeColor="text1"/>
                <w:sz w:val="18"/>
                <w:szCs w:val="18"/>
              </w:rPr>
              <w:t>ooperativas</w:t>
            </w:r>
          </w:p>
        </w:tc>
        <w:tc>
          <w:tcPr>
            <w:tcW w:w="1670" w:type="dxa"/>
            <w:shd w:val="clear" w:color="auto" w:fill="auto"/>
            <w:vAlign w:val="center"/>
            <w:hideMark/>
          </w:tcPr>
          <w:p w14:paraId="47C7155D" w14:textId="77777777" w:rsidR="00C70ECF" w:rsidRPr="00B710A9" w:rsidRDefault="00C70ECF" w:rsidP="00491526">
            <w:pPr>
              <w:jc w:val="center"/>
              <w:rPr>
                <w:rFonts w:ascii="Arial" w:hAnsi="Arial" w:cs="Arial"/>
                <w:sz w:val="18"/>
                <w:szCs w:val="18"/>
              </w:rPr>
            </w:pPr>
            <w:r w:rsidRPr="00B710A9">
              <w:rPr>
                <w:rFonts w:ascii="Arial" w:hAnsi="Arial" w:cs="Arial"/>
                <w:sz w:val="18"/>
                <w:szCs w:val="18"/>
              </w:rPr>
              <w:t xml:space="preserve">$5.500.000 </w:t>
            </w:r>
          </w:p>
        </w:tc>
        <w:tc>
          <w:tcPr>
            <w:tcW w:w="1740" w:type="dxa"/>
            <w:shd w:val="clear" w:color="auto" w:fill="auto"/>
            <w:vAlign w:val="center"/>
            <w:hideMark/>
          </w:tcPr>
          <w:p w14:paraId="3B8B79DF" w14:textId="77777777" w:rsidR="00C70ECF" w:rsidRPr="00B710A9" w:rsidRDefault="00C70ECF" w:rsidP="00491526">
            <w:pPr>
              <w:rPr>
                <w:rFonts w:ascii="Arial" w:hAnsi="Arial" w:cs="Arial"/>
                <w:sz w:val="18"/>
                <w:szCs w:val="18"/>
              </w:rPr>
            </w:pPr>
            <w:r w:rsidRPr="00B710A9">
              <w:rPr>
                <w:rFonts w:ascii="Arial" w:hAnsi="Arial" w:cs="Arial"/>
                <w:sz w:val="18"/>
                <w:szCs w:val="18"/>
              </w:rPr>
              <w:t>En proceso de facturación</w:t>
            </w:r>
          </w:p>
        </w:tc>
      </w:tr>
      <w:tr w:rsidR="00C70ECF" w:rsidRPr="00B710A9" w14:paraId="2D42AD10" w14:textId="77777777" w:rsidTr="00491526">
        <w:trPr>
          <w:trHeight w:val="540"/>
          <w:jc w:val="center"/>
        </w:trPr>
        <w:tc>
          <w:tcPr>
            <w:tcW w:w="2180" w:type="dxa"/>
            <w:shd w:val="clear" w:color="auto" w:fill="auto"/>
            <w:vAlign w:val="center"/>
            <w:hideMark/>
          </w:tcPr>
          <w:p w14:paraId="616B59C6"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4511 de 2021</w:t>
            </w:r>
          </w:p>
        </w:tc>
        <w:tc>
          <w:tcPr>
            <w:tcW w:w="2690" w:type="dxa"/>
            <w:shd w:val="clear" w:color="auto" w:fill="FFFFFF" w:themeFill="background1"/>
            <w:vAlign w:val="center"/>
            <w:hideMark/>
          </w:tcPr>
          <w:p w14:paraId="6E5FE209" w14:textId="39AE5708" w:rsidR="00C70ECF" w:rsidRPr="00B710A9" w:rsidRDefault="00C70ECF" w:rsidP="00491526">
            <w:pPr>
              <w:rPr>
                <w:rFonts w:ascii="Arial" w:hAnsi="Arial" w:cs="Arial"/>
                <w:color w:val="000000" w:themeColor="text1"/>
                <w:sz w:val="18"/>
                <w:szCs w:val="18"/>
              </w:rPr>
            </w:pPr>
            <w:r w:rsidRPr="00B710A9">
              <w:rPr>
                <w:rFonts w:ascii="Arial" w:hAnsi="Arial" w:cs="Arial"/>
                <w:color w:val="000000" w:themeColor="text1"/>
                <w:sz w:val="18"/>
                <w:szCs w:val="18"/>
              </w:rPr>
              <w:t xml:space="preserve">Ministerio de </w:t>
            </w:r>
            <w:r w:rsidR="002C69E6" w:rsidRPr="00B710A9">
              <w:rPr>
                <w:rFonts w:ascii="Arial" w:hAnsi="Arial" w:cs="Arial"/>
                <w:color w:val="000000" w:themeColor="text1"/>
                <w:sz w:val="18"/>
                <w:szCs w:val="18"/>
              </w:rPr>
              <w:t>C</w:t>
            </w:r>
            <w:r w:rsidRPr="00B710A9">
              <w:rPr>
                <w:rFonts w:ascii="Arial" w:hAnsi="Arial" w:cs="Arial"/>
                <w:color w:val="000000" w:themeColor="text1"/>
                <w:sz w:val="18"/>
                <w:szCs w:val="18"/>
              </w:rPr>
              <w:t>ultura</w:t>
            </w:r>
          </w:p>
        </w:tc>
        <w:tc>
          <w:tcPr>
            <w:tcW w:w="1670" w:type="dxa"/>
            <w:shd w:val="clear" w:color="auto" w:fill="auto"/>
            <w:vAlign w:val="center"/>
            <w:hideMark/>
          </w:tcPr>
          <w:p w14:paraId="6F6F5CB1" w14:textId="77777777" w:rsidR="00C70ECF" w:rsidRPr="00B710A9" w:rsidRDefault="00C70ECF" w:rsidP="00491526">
            <w:pPr>
              <w:jc w:val="center"/>
              <w:rPr>
                <w:rFonts w:ascii="Arial" w:hAnsi="Arial" w:cs="Arial"/>
                <w:sz w:val="18"/>
                <w:szCs w:val="18"/>
              </w:rPr>
            </w:pPr>
            <w:r w:rsidRPr="00B710A9">
              <w:rPr>
                <w:rFonts w:ascii="Arial" w:hAnsi="Arial" w:cs="Arial"/>
                <w:sz w:val="18"/>
                <w:szCs w:val="18"/>
              </w:rPr>
              <w:t>$6.620.000</w:t>
            </w:r>
          </w:p>
        </w:tc>
        <w:tc>
          <w:tcPr>
            <w:tcW w:w="1740" w:type="dxa"/>
            <w:shd w:val="clear" w:color="auto" w:fill="auto"/>
            <w:vAlign w:val="center"/>
            <w:hideMark/>
          </w:tcPr>
          <w:p w14:paraId="1E43E205" w14:textId="77777777" w:rsidR="00C70ECF" w:rsidRPr="00B710A9" w:rsidRDefault="00C70ECF" w:rsidP="00491526">
            <w:pPr>
              <w:rPr>
                <w:rFonts w:ascii="Arial" w:hAnsi="Arial" w:cs="Arial"/>
                <w:sz w:val="18"/>
                <w:szCs w:val="18"/>
              </w:rPr>
            </w:pPr>
            <w:r w:rsidRPr="00B710A9">
              <w:rPr>
                <w:rFonts w:ascii="Arial" w:hAnsi="Arial" w:cs="Arial"/>
                <w:sz w:val="18"/>
                <w:szCs w:val="18"/>
              </w:rPr>
              <w:t>En Liquidación</w:t>
            </w:r>
          </w:p>
        </w:tc>
      </w:tr>
      <w:tr w:rsidR="00C70ECF" w:rsidRPr="00B710A9" w14:paraId="0F5B11AA" w14:textId="77777777" w:rsidTr="00491526">
        <w:trPr>
          <w:trHeight w:val="540"/>
          <w:jc w:val="center"/>
        </w:trPr>
        <w:tc>
          <w:tcPr>
            <w:tcW w:w="2180" w:type="dxa"/>
            <w:shd w:val="clear" w:color="auto" w:fill="D9E1F2"/>
            <w:vAlign w:val="center"/>
            <w:hideMark/>
          </w:tcPr>
          <w:p w14:paraId="71F61115"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5354 DE 2021 /IGAC 1732 DE 2021</w:t>
            </w:r>
          </w:p>
        </w:tc>
        <w:tc>
          <w:tcPr>
            <w:tcW w:w="2690" w:type="dxa"/>
            <w:shd w:val="clear" w:color="auto" w:fill="D9E1F2"/>
            <w:vAlign w:val="center"/>
            <w:hideMark/>
          </w:tcPr>
          <w:p w14:paraId="07FA3D68" w14:textId="5D3A8843" w:rsidR="00C70ECF" w:rsidRPr="00B710A9" w:rsidRDefault="00C70ECF" w:rsidP="00491526">
            <w:pPr>
              <w:rPr>
                <w:rFonts w:ascii="Arial" w:hAnsi="Arial" w:cs="Arial"/>
                <w:color w:val="000000" w:themeColor="text1"/>
                <w:sz w:val="18"/>
                <w:szCs w:val="18"/>
              </w:rPr>
            </w:pPr>
            <w:r w:rsidRPr="00B710A9">
              <w:rPr>
                <w:rFonts w:ascii="Arial" w:hAnsi="Arial" w:cs="Arial"/>
                <w:color w:val="000000" w:themeColor="text1"/>
                <w:sz w:val="18"/>
                <w:szCs w:val="18"/>
              </w:rPr>
              <w:t xml:space="preserve">Instituto </w:t>
            </w:r>
            <w:r w:rsidR="002C69E6" w:rsidRPr="00B710A9">
              <w:rPr>
                <w:rFonts w:ascii="Arial" w:hAnsi="Arial" w:cs="Arial"/>
                <w:color w:val="000000" w:themeColor="text1"/>
                <w:sz w:val="18"/>
                <w:szCs w:val="18"/>
              </w:rPr>
              <w:t>N</w:t>
            </w:r>
            <w:r w:rsidRPr="00B710A9">
              <w:rPr>
                <w:rFonts w:ascii="Arial" w:hAnsi="Arial" w:cs="Arial"/>
                <w:color w:val="000000" w:themeColor="text1"/>
                <w:sz w:val="18"/>
                <w:szCs w:val="18"/>
              </w:rPr>
              <w:t xml:space="preserve">acional de </w:t>
            </w:r>
            <w:r w:rsidR="002C69E6" w:rsidRPr="00B710A9">
              <w:rPr>
                <w:rFonts w:ascii="Arial" w:hAnsi="Arial" w:cs="Arial"/>
                <w:color w:val="000000" w:themeColor="text1"/>
                <w:sz w:val="18"/>
                <w:szCs w:val="18"/>
              </w:rPr>
              <w:t>V</w:t>
            </w:r>
            <w:r w:rsidRPr="00B710A9">
              <w:rPr>
                <w:rFonts w:ascii="Arial" w:hAnsi="Arial" w:cs="Arial"/>
                <w:color w:val="000000" w:themeColor="text1"/>
                <w:sz w:val="18"/>
                <w:szCs w:val="18"/>
              </w:rPr>
              <w:t>ías – INVÍAS</w:t>
            </w:r>
          </w:p>
        </w:tc>
        <w:tc>
          <w:tcPr>
            <w:tcW w:w="1670" w:type="dxa"/>
            <w:shd w:val="clear" w:color="auto" w:fill="D9E1F2"/>
            <w:vAlign w:val="center"/>
            <w:hideMark/>
          </w:tcPr>
          <w:p w14:paraId="26126C1D" w14:textId="77777777" w:rsidR="00C70ECF" w:rsidRPr="00B710A9" w:rsidRDefault="00C70ECF" w:rsidP="00491526">
            <w:pPr>
              <w:jc w:val="center"/>
              <w:rPr>
                <w:rFonts w:ascii="Arial" w:hAnsi="Arial" w:cs="Arial"/>
                <w:sz w:val="18"/>
                <w:szCs w:val="18"/>
              </w:rPr>
            </w:pPr>
            <w:r w:rsidRPr="00B710A9">
              <w:rPr>
                <w:rFonts w:ascii="Arial" w:hAnsi="Arial" w:cs="Arial"/>
                <w:sz w:val="18"/>
                <w:szCs w:val="18"/>
              </w:rPr>
              <w:t xml:space="preserve">$16.400.000,00 </w:t>
            </w:r>
          </w:p>
        </w:tc>
        <w:tc>
          <w:tcPr>
            <w:tcW w:w="1740" w:type="dxa"/>
            <w:shd w:val="clear" w:color="auto" w:fill="D9E1F2"/>
            <w:vAlign w:val="center"/>
            <w:hideMark/>
          </w:tcPr>
          <w:p w14:paraId="2BCA6A41" w14:textId="77777777" w:rsidR="00C70ECF" w:rsidRPr="00B710A9" w:rsidRDefault="00C70ECF" w:rsidP="00491526">
            <w:pPr>
              <w:rPr>
                <w:rFonts w:ascii="Arial" w:hAnsi="Arial" w:cs="Arial"/>
                <w:sz w:val="18"/>
                <w:szCs w:val="18"/>
              </w:rPr>
            </w:pPr>
            <w:r w:rsidRPr="00B710A9">
              <w:rPr>
                <w:rFonts w:ascii="Arial" w:hAnsi="Arial" w:cs="Arial"/>
                <w:sz w:val="18"/>
                <w:szCs w:val="18"/>
              </w:rPr>
              <w:t>En Liquidación</w:t>
            </w:r>
          </w:p>
        </w:tc>
      </w:tr>
      <w:tr w:rsidR="00C70ECF" w:rsidRPr="00B710A9" w14:paraId="52B08720" w14:textId="77777777" w:rsidTr="00491526">
        <w:trPr>
          <w:trHeight w:val="540"/>
          <w:jc w:val="center"/>
        </w:trPr>
        <w:tc>
          <w:tcPr>
            <w:tcW w:w="2180" w:type="dxa"/>
            <w:shd w:val="clear" w:color="auto" w:fill="auto"/>
            <w:vAlign w:val="center"/>
            <w:hideMark/>
          </w:tcPr>
          <w:p w14:paraId="33C15643"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5296 de 2021</w:t>
            </w:r>
          </w:p>
        </w:tc>
        <w:tc>
          <w:tcPr>
            <w:tcW w:w="2690" w:type="dxa"/>
            <w:shd w:val="clear" w:color="auto" w:fill="FFFFFF" w:themeFill="background1"/>
            <w:vAlign w:val="center"/>
            <w:hideMark/>
          </w:tcPr>
          <w:p w14:paraId="1B172853" w14:textId="77777777" w:rsidR="00C70ECF" w:rsidRPr="00B710A9" w:rsidRDefault="00C70ECF" w:rsidP="00491526">
            <w:pPr>
              <w:rPr>
                <w:rFonts w:ascii="Arial" w:hAnsi="Arial" w:cs="Arial"/>
                <w:color w:val="000000" w:themeColor="text1"/>
                <w:sz w:val="18"/>
                <w:szCs w:val="18"/>
              </w:rPr>
            </w:pPr>
            <w:r w:rsidRPr="00B710A9">
              <w:rPr>
                <w:rFonts w:ascii="Arial" w:hAnsi="Arial" w:cs="Arial"/>
                <w:color w:val="000000" w:themeColor="text1"/>
                <w:sz w:val="18"/>
                <w:szCs w:val="18"/>
              </w:rPr>
              <w:t>Panamera S.A.S</w:t>
            </w:r>
          </w:p>
        </w:tc>
        <w:tc>
          <w:tcPr>
            <w:tcW w:w="1670" w:type="dxa"/>
            <w:shd w:val="clear" w:color="auto" w:fill="auto"/>
            <w:vAlign w:val="center"/>
            <w:hideMark/>
          </w:tcPr>
          <w:p w14:paraId="6272C5C7" w14:textId="77777777" w:rsidR="00C70ECF" w:rsidRPr="00B710A9" w:rsidRDefault="00C70ECF" w:rsidP="00491526">
            <w:pPr>
              <w:jc w:val="center"/>
              <w:rPr>
                <w:rFonts w:ascii="Arial" w:hAnsi="Arial" w:cs="Arial"/>
                <w:sz w:val="18"/>
                <w:szCs w:val="18"/>
              </w:rPr>
            </w:pPr>
            <w:r w:rsidRPr="00B710A9">
              <w:rPr>
                <w:rFonts w:ascii="Arial" w:hAnsi="Arial" w:cs="Arial"/>
                <w:sz w:val="18"/>
                <w:szCs w:val="18"/>
              </w:rPr>
              <w:t xml:space="preserve">$3.990.000,00 </w:t>
            </w:r>
          </w:p>
        </w:tc>
        <w:tc>
          <w:tcPr>
            <w:tcW w:w="1740" w:type="dxa"/>
            <w:shd w:val="clear" w:color="auto" w:fill="auto"/>
            <w:vAlign w:val="center"/>
            <w:hideMark/>
          </w:tcPr>
          <w:p w14:paraId="681A4406" w14:textId="77777777" w:rsidR="00C70ECF" w:rsidRPr="00B710A9" w:rsidRDefault="00C70ECF" w:rsidP="00491526">
            <w:pPr>
              <w:rPr>
                <w:rFonts w:ascii="Arial" w:hAnsi="Arial" w:cs="Arial"/>
                <w:sz w:val="18"/>
                <w:szCs w:val="18"/>
              </w:rPr>
            </w:pPr>
            <w:r w:rsidRPr="00B710A9">
              <w:rPr>
                <w:rFonts w:ascii="Arial" w:hAnsi="Arial" w:cs="Arial"/>
                <w:sz w:val="18"/>
                <w:szCs w:val="18"/>
              </w:rPr>
              <w:t>En Liquidación</w:t>
            </w:r>
          </w:p>
        </w:tc>
      </w:tr>
      <w:tr w:rsidR="00C70ECF" w:rsidRPr="00B710A9" w14:paraId="46543828" w14:textId="77777777" w:rsidTr="00491526">
        <w:trPr>
          <w:trHeight w:val="540"/>
          <w:jc w:val="center"/>
        </w:trPr>
        <w:tc>
          <w:tcPr>
            <w:tcW w:w="2180" w:type="dxa"/>
            <w:shd w:val="clear" w:color="auto" w:fill="auto"/>
            <w:vAlign w:val="center"/>
            <w:hideMark/>
          </w:tcPr>
          <w:p w14:paraId="799C93DC"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GGC No. 626 de 2021</w:t>
            </w:r>
          </w:p>
        </w:tc>
        <w:tc>
          <w:tcPr>
            <w:tcW w:w="2690" w:type="dxa"/>
            <w:shd w:val="clear" w:color="auto" w:fill="auto"/>
            <w:vAlign w:val="center"/>
            <w:hideMark/>
          </w:tcPr>
          <w:p w14:paraId="06E14FFE" w14:textId="7F7C3582" w:rsidR="00C70ECF" w:rsidRPr="00B710A9" w:rsidRDefault="00C70ECF" w:rsidP="00491526">
            <w:pPr>
              <w:rPr>
                <w:rFonts w:ascii="Arial" w:hAnsi="Arial" w:cs="Arial"/>
                <w:color w:val="000000"/>
                <w:sz w:val="18"/>
                <w:szCs w:val="18"/>
              </w:rPr>
            </w:pPr>
            <w:r w:rsidRPr="00B710A9">
              <w:rPr>
                <w:rFonts w:ascii="Arial" w:hAnsi="Arial" w:cs="Arial"/>
                <w:color w:val="000000" w:themeColor="text1"/>
                <w:sz w:val="18"/>
                <w:szCs w:val="18"/>
              </w:rPr>
              <w:t xml:space="preserve">Ministerio de </w:t>
            </w:r>
            <w:r w:rsidR="002C69E6" w:rsidRPr="00B710A9">
              <w:rPr>
                <w:rFonts w:ascii="Arial" w:hAnsi="Arial" w:cs="Arial"/>
                <w:color w:val="000000" w:themeColor="text1"/>
                <w:sz w:val="18"/>
                <w:szCs w:val="18"/>
              </w:rPr>
              <w:t>M</w:t>
            </w:r>
            <w:r w:rsidRPr="00B710A9">
              <w:rPr>
                <w:rFonts w:ascii="Arial" w:hAnsi="Arial" w:cs="Arial"/>
                <w:color w:val="000000" w:themeColor="text1"/>
                <w:sz w:val="18"/>
                <w:szCs w:val="18"/>
              </w:rPr>
              <w:t xml:space="preserve">inas y </w:t>
            </w:r>
            <w:r w:rsidR="002C69E6" w:rsidRPr="00B710A9">
              <w:rPr>
                <w:rFonts w:ascii="Arial" w:hAnsi="Arial" w:cs="Arial"/>
                <w:color w:val="000000" w:themeColor="text1"/>
                <w:sz w:val="18"/>
                <w:szCs w:val="18"/>
              </w:rPr>
              <w:t>E</w:t>
            </w:r>
            <w:r w:rsidRPr="00B710A9">
              <w:rPr>
                <w:rFonts w:ascii="Arial" w:hAnsi="Arial" w:cs="Arial"/>
                <w:color w:val="000000" w:themeColor="text1"/>
                <w:sz w:val="18"/>
                <w:szCs w:val="18"/>
              </w:rPr>
              <w:t>nergía</w:t>
            </w:r>
          </w:p>
        </w:tc>
        <w:tc>
          <w:tcPr>
            <w:tcW w:w="1670" w:type="dxa"/>
            <w:shd w:val="clear" w:color="auto" w:fill="auto"/>
            <w:vAlign w:val="center"/>
            <w:hideMark/>
          </w:tcPr>
          <w:p w14:paraId="0CC67A80" w14:textId="77777777" w:rsidR="00C70ECF" w:rsidRPr="00B710A9" w:rsidRDefault="00C70ECF" w:rsidP="00491526">
            <w:pPr>
              <w:jc w:val="center"/>
              <w:rPr>
                <w:rFonts w:ascii="Arial" w:hAnsi="Arial" w:cs="Arial"/>
                <w:sz w:val="18"/>
                <w:szCs w:val="18"/>
              </w:rPr>
            </w:pPr>
            <w:r w:rsidRPr="00B710A9">
              <w:rPr>
                <w:rFonts w:ascii="Arial" w:hAnsi="Arial" w:cs="Arial"/>
                <w:sz w:val="18"/>
                <w:szCs w:val="18"/>
              </w:rPr>
              <w:t xml:space="preserve">6.600.000,00 </w:t>
            </w:r>
          </w:p>
        </w:tc>
        <w:tc>
          <w:tcPr>
            <w:tcW w:w="1740" w:type="dxa"/>
            <w:shd w:val="clear" w:color="auto" w:fill="auto"/>
            <w:vAlign w:val="center"/>
            <w:hideMark/>
          </w:tcPr>
          <w:p w14:paraId="35562EF5" w14:textId="77777777" w:rsidR="00C70ECF" w:rsidRPr="00B710A9" w:rsidRDefault="00C70ECF" w:rsidP="00491526">
            <w:pPr>
              <w:rPr>
                <w:rFonts w:ascii="Arial" w:hAnsi="Arial" w:cs="Arial"/>
                <w:sz w:val="18"/>
                <w:szCs w:val="18"/>
              </w:rPr>
            </w:pPr>
            <w:r w:rsidRPr="00B710A9">
              <w:rPr>
                <w:rFonts w:ascii="Arial" w:hAnsi="Arial" w:cs="Arial"/>
                <w:sz w:val="18"/>
                <w:szCs w:val="18"/>
              </w:rPr>
              <w:t>En Proceso de Facturación</w:t>
            </w:r>
          </w:p>
        </w:tc>
      </w:tr>
      <w:tr w:rsidR="00C70ECF" w:rsidRPr="00B710A9" w14:paraId="6DECF14F" w14:textId="77777777" w:rsidTr="00491526">
        <w:trPr>
          <w:trHeight w:val="540"/>
          <w:jc w:val="center"/>
        </w:trPr>
        <w:tc>
          <w:tcPr>
            <w:tcW w:w="2180" w:type="dxa"/>
            <w:shd w:val="clear" w:color="auto" w:fill="D9E1F2"/>
            <w:vAlign w:val="center"/>
            <w:hideMark/>
          </w:tcPr>
          <w:p w14:paraId="27FB377E"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VPRE_579DE 2021</w:t>
            </w:r>
          </w:p>
        </w:tc>
        <w:tc>
          <w:tcPr>
            <w:tcW w:w="2690" w:type="dxa"/>
            <w:shd w:val="clear" w:color="auto" w:fill="D9E1F2"/>
            <w:vAlign w:val="center"/>
            <w:hideMark/>
          </w:tcPr>
          <w:p w14:paraId="6B8C91E5" w14:textId="71419E67" w:rsidR="00C70ECF" w:rsidRPr="00B710A9" w:rsidRDefault="00C70ECF" w:rsidP="00491526">
            <w:pPr>
              <w:rPr>
                <w:rFonts w:ascii="Arial" w:hAnsi="Arial" w:cs="Arial"/>
                <w:color w:val="000000"/>
                <w:sz w:val="18"/>
                <w:szCs w:val="18"/>
              </w:rPr>
            </w:pPr>
            <w:r w:rsidRPr="00B710A9">
              <w:rPr>
                <w:rFonts w:ascii="Arial" w:hAnsi="Arial" w:cs="Arial"/>
                <w:color w:val="000000" w:themeColor="text1"/>
                <w:sz w:val="18"/>
                <w:szCs w:val="18"/>
              </w:rPr>
              <w:t xml:space="preserve">ANI – Agencia </w:t>
            </w:r>
            <w:r w:rsidR="002C69E6" w:rsidRPr="00B710A9">
              <w:rPr>
                <w:rFonts w:ascii="Arial" w:hAnsi="Arial" w:cs="Arial"/>
                <w:color w:val="000000" w:themeColor="text1"/>
                <w:sz w:val="18"/>
                <w:szCs w:val="18"/>
              </w:rPr>
              <w:t>N</w:t>
            </w:r>
            <w:r w:rsidRPr="00B710A9">
              <w:rPr>
                <w:rFonts w:ascii="Arial" w:hAnsi="Arial" w:cs="Arial"/>
                <w:color w:val="000000" w:themeColor="text1"/>
                <w:sz w:val="18"/>
                <w:szCs w:val="18"/>
              </w:rPr>
              <w:t xml:space="preserve">acional de </w:t>
            </w:r>
            <w:r w:rsidR="002C69E6" w:rsidRPr="00B710A9">
              <w:rPr>
                <w:rFonts w:ascii="Arial" w:hAnsi="Arial" w:cs="Arial"/>
                <w:color w:val="000000" w:themeColor="text1"/>
                <w:sz w:val="18"/>
                <w:szCs w:val="18"/>
              </w:rPr>
              <w:t>I</w:t>
            </w:r>
            <w:r w:rsidRPr="00B710A9">
              <w:rPr>
                <w:rFonts w:ascii="Arial" w:hAnsi="Arial" w:cs="Arial"/>
                <w:color w:val="000000" w:themeColor="text1"/>
                <w:sz w:val="18"/>
                <w:szCs w:val="18"/>
              </w:rPr>
              <w:t>nfraestructura</w:t>
            </w:r>
          </w:p>
        </w:tc>
        <w:tc>
          <w:tcPr>
            <w:tcW w:w="1670" w:type="dxa"/>
            <w:shd w:val="clear" w:color="auto" w:fill="D9E1F2"/>
            <w:vAlign w:val="center"/>
            <w:hideMark/>
          </w:tcPr>
          <w:p w14:paraId="0AC5F615" w14:textId="77777777" w:rsidR="00C70ECF" w:rsidRPr="00B710A9" w:rsidRDefault="00C70ECF" w:rsidP="00491526">
            <w:pPr>
              <w:jc w:val="center"/>
              <w:rPr>
                <w:rFonts w:ascii="Arial" w:hAnsi="Arial" w:cs="Arial"/>
                <w:sz w:val="18"/>
                <w:szCs w:val="18"/>
              </w:rPr>
            </w:pPr>
            <w:r w:rsidRPr="00B710A9">
              <w:rPr>
                <w:rFonts w:ascii="Arial" w:hAnsi="Arial" w:cs="Arial"/>
                <w:sz w:val="18"/>
                <w:szCs w:val="18"/>
              </w:rPr>
              <w:t>$36.450.000</w:t>
            </w:r>
          </w:p>
        </w:tc>
        <w:tc>
          <w:tcPr>
            <w:tcW w:w="1740" w:type="dxa"/>
            <w:shd w:val="clear" w:color="auto" w:fill="D9E1F2"/>
            <w:vAlign w:val="center"/>
            <w:hideMark/>
          </w:tcPr>
          <w:p w14:paraId="677E28B7" w14:textId="77777777" w:rsidR="00C70ECF" w:rsidRPr="00B710A9" w:rsidRDefault="00C70ECF" w:rsidP="00491526">
            <w:pPr>
              <w:rPr>
                <w:rFonts w:ascii="Arial" w:hAnsi="Arial" w:cs="Arial"/>
                <w:sz w:val="18"/>
                <w:szCs w:val="18"/>
              </w:rPr>
            </w:pPr>
            <w:r w:rsidRPr="00B710A9">
              <w:rPr>
                <w:rFonts w:ascii="Arial" w:hAnsi="Arial" w:cs="Arial"/>
                <w:sz w:val="18"/>
                <w:szCs w:val="18"/>
              </w:rPr>
              <w:t>Ejecutado</w:t>
            </w:r>
          </w:p>
        </w:tc>
      </w:tr>
      <w:tr w:rsidR="00C70ECF" w:rsidRPr="00B710A9" w14:paraId="2CAF8C6E" w14:textId="77777777" w:rsidTr="00491526">
        <w:trPr>
          <w:trHeight w:val="540"/>
          <w:jc w:val="center"/>
        </w:trPr>
        <w:tc>
          <w:tcPr>
            <w:tcW w:w="2180" w:type="dxa"/>
            <w:shd w:val="clear" w:color="auto" w:fill="auto"/>
            <w:vAlign w:val="center"/>
            <w:hideMark/>
          </w:tcPr>
          <w:p w14:paraId="35F25511"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055 de 2021</w:t>
            </w:r>
          </w:p>
        </w:tc>
        <w:tc>
          <w:tcPr>
            <w:tcW w:w="2690" w:type="dxa"/>
            <w:shd w:val="clear" w:color="auto" w:fill="auto"/>
            <w:vAlign w:val="center"/>
            <w:hideMark/>
          </w:tcPr>
          <w:p w14:paraId="2CB64046" w14:textId="77777777" w:rsidR="00C70ECF" w:rsidRPr="00B710A9" w:rsidRDefault="00C70ECF" w:rsidP="00491526">
            <w:pPr>
              <w:rPr>
                <w:rFonts w:ascii="Arial" w:hAnsi="Arial" w:cs="Arial"/>
                <w:color w:val="000000"/>
                <w:sz w:val="18"/>
                <w:szCs w:val="18"/>
              </w:rPr>
            </w:pPr>
            <w:r w:rsidRPr="00B710A9">
              <w:rPr>
                <w:rFonts w:ascii="Arial" w:hAnsi="Arial" w:cs="Arial"/>
                <w:color w:val="000000" w:themeColor="text1"/>
                <w:sz w:val="18"/>
                <w:szCs w:val="18"/>
              </w:rPr>
              <w:t>Distrito de Cartagena</w:t>
            </w:r>
          </w:p>
        </w:tc>
        <w:tc>
          <w:tcPr>
            <w:tcW w:w="1670" w:type="dxa"/>
            <w:shd w:val="clear" w:color="auto" w:fill="auto"/>
            <w:vAlign w:val="center"/>
            <w:hideMark/>
          </w:tcPr>
          <w:p w14:paraId="66CC81C3" w14:textId="77777777" w:rsidR="00C70ECF" w:rsidRPr="00B710A9" w:rsidRDefault="00C70ECF" w:rsidP="00491526">
            <w:pPr>
              <w:jc w:val="center"/>
              <w:rPr>
                <w:rFonts w:ascii="Arial" w:hAnsi="Arial" w:cs="Arial"/>
                <w:sz w:val="18"/>
                <w:szCs w:val="18"/>
              </w:rPr>
            </w:pPr>
            <w:r w:rsidRPr="00B710A9">
              <w:rPr>
                <w:rFonts w:ascii="Arial" w:hAnsi="Arial" w:cs="Arial"/>
                <w:sz w:val="18"/>
                <w:szCs w:val="18"/>
              </w:rPr>
              <w:t xml:space="preserve">$3.021.000,00 </w:t>
            </w:r>
          </w:p>
        </w:tc>
        <w:tc>
          <w:tcPr>
            <w:tcW w:w="1740" w:type="dxa"/>
            <w:shd w:val="clear" w:color="auto" w:fill="auto"/>
            <w:vAlign w:val="center"/>
            <w:hideMark/>
          </w:tcPr>
          <w:p w14:paraId="4E9B08DB" w14:textId="77777777" w:rsidR="00C70ECF" w:rsidRPr="00B710A9" w:rsidRDefault="00C70ECF" w:rsidP="00491526">
            <w:pPr>
              <w:rPr>
                <w:rFonts w:ascii="Arial" w:hAnsi="Arial" w:cs="Arial"/>
                <w:sz w:val="18"/>
                <w:szCs w:val="18"/>
              </w:rPr>
            </w:pPr>
            <w:r w:rsidRPr="00B710A9">
              <w:rPr>
                <w:rFonts w:ascii="Arial" w:hAnsi="Arial" w:cs="Arial"/>
                <w:sz w:val="18"/>
                <w:szCs w:val="18"/>
              </w:rPr>
              <w:t>Ejecutado</w:t>
            </w:r>
          </w:p>
        </w:tc>
      </w:tr>
      <w:tr w:rsidR="00C70ECF" w:rsidRPr="00B710A9" w14:paraId="7456E414" w14:textId="77777777" w:rsidTr="00491526">
        <w:trPr>
          <w:trHeight w:val="540"/>
          <w:jc w:val="center"/>
        </w:trPr>
        <w:tc>
          <w:tcPr>
            <w:tcW w:w="2180" w:type="dxa"/>
            <w:shd w:val="clear" w:color="auto" w:fill="D9E1F2"/>
            <w:vAlign w:val="center"/>
            <w:hideMark/>
          </w:tcPr>
          <w:p w14:paraId="65AB2DC0"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226 DE 2021</w:t>
            </w:r>
          </w:p>
        </w:tc>
        <w:tc>
          <w:tcPr>
            <w:tcW w:w="2690" w:type="dxa"/>
            <w:shd w:val="clear" w:color="auto" w:fill="D9E1F2"/>
            <w:vAlign w:val="center"/>
            <w:hideMark/>
          </w:tcPr>
          <w:p w14:paraId="73071E20"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Cormagdalena</w:t>
            </w:r>
          </w:p>
        </w:tc>
        <w:tc>
          <w:tcPr>
            <w:tcW w:w="1670" w:type="dxa"/>
            <w:shd w:val="clear" w:color="auto" w:fill="D9E1F2"/>
            <w:vAlign w:val="center"/>
            <w:hideMark/>
          </w:tcPr>
          <w:p w14:paraId="731BA9BB" w14:textId="77777777" w:rsidR="00C70ECF" w:rsidRPr="00B710A9" w:rsidRDefault="00C70ECF" w:rsidP="00491526">
            <w:pPr>
              <w:jc w:val="center"/>
              <w:rPr>
                <w:rFonts w:ascii="Arial" w:hAnsi="Arial" w:cs="Arial"/>
                <w:color w:val="000000"/>
                <w:sz w:val="18"/>
                <w:szCs w:val="18"/>
              </w:rPr>
            </w:pPr>
            <w:r w:rsidRPr="00B710A9">
              <w:rPr>
                <w:rFonts w:ascii="Arial" w:hAnsi="Arial" w:cs="Arial"/>
                <w:color w:val="000000"/>
                <w:sz w:val="18"/>
                <w:szCs w:val="18"/>
              </w:rPr>
              <w:t xml:space="preserve">$22.650.000 </w:t>
            </w:r>
          </w:p>
        </w:tc>
        <w:tc>
          <w:tcPr>
            <w:tcW w:w="1740" w:type="dxa"/>
            <w:shd w:val="clear" w:color="auto" w:fill="D9E1F2"/>
            <w:vAlign w:val="center"/>
            <w:hideMark/>
          </w:tcPr>
          <w:p w14:paraId="074B71BC"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Ejecutado</w:t>
            </w:r>
          </w:p>
        </w:tc>
      </w:tr>
      <w:tr w:rsidR="00C70ECF" w:rsidRPr="00B710A9" w14:paraId="548CDFA4" w14:textId="77777777" w:rsidTr="00491526">
        <w:trPr>
          <w:trHeight w:val="540"/>
          <w:jc w:val="center"/>
        </w:trPr>
        <w:tc>
          <w:tcPr>
            <w:tcW w:w="2180" w:type="dxa"/>
            <w:shd w:val="clear" w:color="auto" w:fill="FFFFFF" w:themeFill="background1"/>
            <w:vAlign w:val="center"/>
            <w:hideMark/>
          </w:tcPr>
          <w:p w14:paraId="4478C89A"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ENV-07-09-1391-21</w:t>
            </w:r>
          </w:p>
        </w:tc>
        <w:tc>
          <w:tcPr>
            <w:tcW w:w="2690" w:type="dxa"/>
            <w:shd w:val="clear" w:color="auto" w:fill="auto"/>
            <w:vAlign w:val="center"/>
            <w:hideMark/>
          </w:tcPr>
          <w:p w14:paraId="68B4A72A"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Alcaldía de Envigado</w:t>
            </w:r>
          </w:p>
        </w:tc>
        <w:tc>
          <w:tcPr>
            <w:tcW w:w="1670" w:type="dxa"/>
            <w:shd w:val="clear" w:color="auto" w:fill="auto"/>
            <w:vAlign w:val="center"/>
            <w:hideMark/>
          </w:tcPr>
          <w:p w14:paraId="757DF3AF" w14:textId="77777777" w:rsidR="00C70ECF" w:rsidRPr="00B710A9" w:rsidRDefault="00C70ECF" w:rsidP="00491526">
            <w:pPr>
              <w:jc w:val="center"/>
              <w:rPr>
                <w:rFonts w:ascii="Arial" w:hAnsi="Arial" w:cs="Arial"/>
                <w:color w:val="000000"/>
                <w:sz w:val="18"/>
                <w:szCs w:val="18"/>
              </w:rPr>
            </w:pPr>
            <w:r w:rsidRPr="00B710A9">
              <w:rPr>
                <w:rFonts w:ascii="Arial" w:hAnsi="Arial" w:cs="Arial"/>
                <w:color w:val="000000"/>
                <w:sz w:val="18"/>
                <w:szCs w:val="18"/>
              </w:rPr>
              <w:t xml:space="preserve">$5.850.000 </w:t>
            </w:r>
          </w:p>
        </w:tc>
        <w:tc>
          <w:tcPr>
            <w:tcW w:w="1740" w:type="dxa"/>
            <w:shd w:val="clear" w:color="auto" w:fill="auto"/>
            <w:vAlign w:val="center"/>
            <w:hideMark/>
          </w:tcPr>
          <w:p w14:paraId="7BFA8352"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Ejecutado</w:t>
            </w:r>
          </w:p>
        </w:tc>
      </w:tr>
      <w:tr w:rsidR="00C70ECF" w:rsidRPr="00B710A9" w14:paraId="7316EB34" w14:textId="77777777" w:rsidTr="00491526">
        <w:trPr>
          <w:trHeight w:val="540"/>
          <w:jc w:val="center"/>
        </w:trPr>
        <w:tc>
          <w:tcPr>
            <w:tcW w:w="2180" w:type="dxa"/>
            <w:shd w:val="clear" w:color="auto" w:fill="D9E1F2"/>
            <w:vAlign w:val="center"/>
            <w:hideMark/>
          </w:tcPr>
          <w:p w14:paraId="3B6C8459"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5303/2021</w:t>
            </w:r>
          </w:p>
        </w:tc>
        <w:tc>
          <w:tcPr>
            <w:tcW w:w="2690" w:type="dxa"/>
            <w:shd w:val="clear" w:color="auto" w:fill="D9E1F2"/>
            <w:vAlign w:val="center"/>
            <w:hideMark/>
          </w:tcPr>
          <w:p w14:paraId="4D1E2824" w14:textId="24C4657E"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 xml:space="preserve">I.D.C. Inversiones </w:t>
            </w:r>
            <w:r w:rsidR="002C69E6" w:rsidRPr="00B710A9">
              <w:rPr>
                <w:rFonts w:ascii="Arial" w:hAnsi="Arial" w:cs="Arial"/>
                <w:color w:val="000000"/>
                <w:sz w:val="18"/>
                <w:szCs w:val="18"/>
              </w:rPr>
              <w:t>S</w:t>
            </w:r>
            <w:r w:rsidRPr="00B710A9">
              <w:rPr>
                <w:rFonts w:ascii="Arial" w:hAnsi="Arial" w:cs="Arial"/>
                <w:color w:val="000000"/>
                <w:sz w:val="18"/>
                <w:szCs w:val="18"/>
              </w:rPr>
              <w:t xml:space="preserve">ociedad por </w:t>
            </w:r>
            <w:r w:rsidR="002C69E6" w:rsidRPr="00B710A9">
              <w:rPr>
                <w:rFonts w:ascii="Arial" w:hAnsi="Arial" w:cs="Arial"/>
                <w:color w:val="000000"/>
                <w:sz w:val="18"/>
                <w:szCs w:val="18"/>
              </w:rPr>
              <w:t>A</w:t>
            </w:r>
            <w:r w:rsidRPr="00B710A9">
              <w:rPr>
                <w:rFonts w:ascii="Arial" w:hAnsi="Arial" w:cs="Arial"/>
                <w:color w:val="000000"/>
                <w:sz w:val="18"/>
                <w:szCs w:val="18"/>
              </w:rPr>
              <w:t xml:space="preserve">cciones </w:t>
            </w:r>
            <w:r w:rsidR="002C69E6" w:rsidRPr="00B710A9">
              <w:rPr>
                <w:rFonts w:ascii="Arial" w:hAnsi="Arial" w:cs="Arial"/>
                <w:color w:val="000000"/>
                <w:sz w:val="18"/>
                <w:szCs w:val="18"/>
              </w:rPr>
              <w:t>S</w:t>
            </w:r>
            <w:r w:rsidRPr="00B710A9">
              <w:rPr>
                <w:rFonts w:ascii="Arial" w:hAnsi="Arial" w:cs="Arial"/>
                <w:color w:val="000000"/>
                <w:sz w:val="18"/>
                <w:szCs w:val="18"/>
              </w:rPr>
              <w:t>implificada – I.D.C. Inversiones S.A.S</w:t>
            </w:r>
          </w:p>
        </w:tc>
        <w:tc>
          <w:tcPr>
            <w:tcW w:w="1670" w:type="dxa"/>
            <w:shd w:val="clear" w:color="auto" w:fill="D9E1F2"/>
            <w:noWrap/>
            <w:vAlign w:val="center"/>
            <w:hideMark/>
          </w:tcPr>
          <w:p w14:paraId="18F6D6CE" w14:textId="77777777" w:rsidR="00C70ECF" w:rsidRPr="00B710A9" w:rsidRDefault="00C70ECF" w:rsidP="00491526">
            <w:pPr>
              <w:jc w:val="center"/>
              <w:rPr>
                <w:rFonts w:ascii="Arial" w:hAnsi="Arial" w:cs="Arial"/>
                <w:color w:val="000000"/>
                <w:sz w:val="18"/>
                <w:szCs w:val="18"/>
              </w:rPr>
            </w:pPr>
            <w:r w:rsidRPr="00B710A9">
              <w:rPr>
                <w:rFonts w:ascii="Arial" w:hAnsi="Arial" w:cs="Arial"/>
                <w:color w:val="000000"/>
                <w:sz w:val="18"/>
                <w:szCs w:val="18"/>
              </w:rPr>
              <w:t>$45.650.000</w:t>
            </w:r>
          </w:p>
        </w:tc>
        <w:tc>
          <w:tcPr>
            <w:tcW w:w="1740" w:type="dxa"/>
            <w:shd w:val="clear" w:color="auto" w:fill="D9E1F2"/>
            <w:noWrap/>
            <w:vAlign w:val="center"/>
            <w:hideMark/>
          </w:tcPr>
          <w:p w14:paraId="509B5BA0" w14:textId="77777777" w:rsidR="00C70ECF" w:rsidRPr="00B710A9" w:rsidRDefault="00C70ECF" w:rsidP="00491526">
            <w:pPr>
              <w:rPr>
                <w:rFonts w:ascii="Arial" w:hAnsi="Arial" w:cs="Arial"/>
                <w:color w:val="000000"/>
                <w:sz w:val="18"/>
                <w:szCs w:val="18"/>
              </w:rPr>
            </w:pPr>
            <w:r w:rsidRPr="00B710A9">
              <w:rPr>
                <w:rFonts w:ascii="Arial" w:hAnsi="Arial" w:cs="Arial"/>
                <w:color w:val="000000"/>
                <w:sz w:val="18"/>
                <w:szCs w:val="18"/>
              </w:rPr>
              <w:t>Suspendido</w:t>
            </w:r>
          </w:p>
        </w:tc>
      </w:tr>
    </w:tbl>
    <w:p w14:paraId="140CF0B3" w14:textId="782C357C" w:rsidR="00887F0C" w:rsidRPr="00B710A9" w:rsidRDefault="002C69E6" w:rsidP="002C69E6">
      <w:pPr>
        <w:spacing w:after="0" w:line="240" w:lineRule="auto"/>
        <w:jc w:val="center"/>
        <w:rPr>
          <w:rFonts w:ascii="Arial" w:eastAsia="Calibri" w:hAnsi="Arial" w:cs="Arial"/>
          <w:b/>
          <w:bCs/>
          <w:color w:val="000000" w:themeColor="text1"/>
          <w:sz w:val="16"/>
          <w:szCs w:val="16"/>
        </w:rPr>
      </w:pPr>
      <w:r w:rsidRPr="00B710A9">
        <w:rPr>
          <w:rFonts w:ascii="Arial" w:eastAsia="Calibri" w:hAnsi="Arial" w:cs="Arial"/>
          <w:b/>
          <w:bCs/>
          <w:color w:val="000000" w:themeColor="text1"/>
          <w:sz w:val="16"/>
          <w:szCs w:val="16"/>
        </w:rPr>
        <w:t>Fuente: Dirección de Gestión Catastral</w:t>
      </w:r>
    </w:p>
    <w:p w14:paraId="318570ED" w14:textId="782C357C" w:rsidR="002C69E6" w:rsidRPr="00B710A9" w:rsidRDefault="002C69E6" w:rsidP="009D279A">
      <w:pPr>
        <w:spacing w:after="0" w:line="240" w:lineRule="auto"/>
        <w:jc w:val="both"/>
        <w:rPr>
          <w:rStyle w:val="normaltextrun"/>
          <w:rFonts w:ascii="Arial" w:eastAsia="Calibri" w:hAnsi="Arial" w:cs="Arial"/>
          <w:color w:val="000000" w:themeColor="text1"/>
          <w:sz w:val="22"/>
        </w:rPr>
      </w:pPr>
    </w:p>
    <w:p w14:paraId="4744A9EB" w14:textId="669EB88A" w:rsidR="666A80FD" w:rsidRPr="00B710A9" w:rsidRDefault="666A80FD" w:rsidP="009D279A">
      <w:pPr>
        <w:spacing w:after="0" w:line="240" w:lineRule="auto"/>
        <w:jc w:val="both"/>
        <w:rPr>
          <w:rFonts w:ascii="Arial" w:eastAsia="Calibri" w:hAnsi="Arial" w:cs="Arial"/>
          <w:color w:val="000000" w:themeColor="text1"/>
          <w:sz w:val="22"/>
        </w:rPr>
      </w:pPr>
      <w:r w:rsidRPr="00B710A9">
        <w:rPr>
          <w:rFonts w:ascii="Arial" w:eastAsia="Calibri" w:hAnsi="Arial" w:cs="Arial"/>
          <w:color w:val="000000" w:themeColor="text1"/>
          <w:sz w:val="22"/>
        </w:rPr>
        <w:t xml:space="preserve">Adicionalmente y en consonancia con el enfoque del catastro multipropósito se realizó un piloto para la calificación de tipologías constructivas, a fin de evaluar la posibilidad de calificar predios catastralmente sin ingresar a ellos. Como resultado de este ejercicio, se elaboró el manual de tipologías constructivas y se implementó la calificación de las </w:t>
      </w:r>
      <w:r w:rsidRPr="00B710A9">
        <w:rPr>
          <w:rFonts w:ascii="Arial" w:eastAsia="Calibri" w:hAnsi="Arial" w:cs="Arial"/>
          <w:color w:val="000000" w:themeColor="text1"/>
          <w:sz w:val="22"/>
        </w:rPr>
        <w:lastRenderedPageBreak/>
        <w:t xml:space="preserve">construcciones por tipologías constructivas, lo cual permite la estandarización de la calificación de construcciones a nivel nacional de acuerdo con las condiciones constructivas y la posibilidad de hacer un reconocimiento predial </w:t>
      </w:r>
      <w:proofErr w:type="spellStart"/>
      <w:r w:rsidRPr="00B710A9">
        <w:rPr>
          <w:rFonts w:ascii="Arial" w:eastAsia="Calibri" w:hAnsi="Arial" w:cs="Arial"/>
          <w:color w:val="000000" w:themeColor="text1"/>
          <w:sz w:val="22"/>
        </w:rPr>
        <w:t>bioseguro</w:t>
      </w:r>
      <w:proofErr w:type="spellEnd"/>
      <w:r w:rsidRPr="00B710A9">
        <w:rPr>
          <w:rFonts w:ascii="Arial" w:eastAsia="Calibri" w:hAnsi="Arial" w:cs="Arial"/>
          <w:color w:val="000000" w:themeColor="text1"/>
          <w:sz w:val="22"/>
        </w:rPr>
        <w:t xml:space="preserve"> para reconocedor y propietario, pues no requiere el acceso al inmueble para su calificación.</w:t>
      </w:r>
    </w:p>
    <w:p w14:paraId="721A6BCF" w14:textId="77777777" w:rsidR="005E0BEB" w:rsidRPr="00B710A9" w:rsidRDefault="005E0BEB" w:rsidP="009D279A">
      <w:pPr>
        <w:spacing w:after="0" w:line="240" w:lineRule="auto"/>
        <w:jc w:val="both"/>
        <w:rPr>
          <w:rFonts w:ascii="Arial" w:eastAsia="Calibri" w:hAnsi="Arial" w:cs="Arial"/>
          <w:color w:val="000000" w:themeColor="text1"/>
          <w:sz w:val="22"/>
        </w:rPr>
      </w:pPr>
    </w:p>
    <w:p w14:paraId="5158C331" w14:textId="23D90DBC" w:rsidR="666A80FD" w:rsidRPr="00B710A9" w:rsidRDefault="666A80FD" w:rsidP="009D279A">
      <w:pPr>
        <w:spacing w:after="0" w:line="240" w:lineRule="auto"/>
        <w:jc w:val="both"/>
        <w:rPr>
          <w:rFonts w:ascii="Arial" w:eastAsia="Calibri" w:hAnsi="Arial" w:cs="Arial"/>
          <w:color w:val="000000" w:themeColor="text1"/>
          <w:sz w:val="22"/>
        </w:rPr>
      </w:pPr>
      <w:r w:rsidRPr="00B710A9">
        <w:rPr>
          <w:rFonts w:ascii="Arial" w:eastAsia="Calibri" w:hAnsi="Arial" w:cs="Arial"/>
          <w:color w:val="000000" w:themeColor="text1"/>
          <w:sz w:val="22"/>
        </w:rPr>
        <w:t xml:space="preserve">En cuanto a las metodologías </w:t>
      </w:r>
      <w:proofErr w:type="spellStart"/>
      <w:r w:rsidRPr="00B710A9">
        <w:rPr>
          <w:rFonts w:ascii="Arial" w:eastAsia="Calibri" w:hAnsi="Arial" w:cs="Arial"/>
          <w:color w:val="000000" w:themeColor="text1"/>
          <w:sz w:val="22"/>
        </w:rPr>
        <w:t>valuatorias</w:t>
      </w:r>
      <w:proofErr w:type="spellEnd"/>
      <w:r w:rsidRPr="00B710A9">
        <w:rPr>
          <w:rFonts w:ascii="Arial" w:eastAsia="Calibri" w:hAnsi="Arial" w:cs="Arial"/>
          <w:color w:val="000000" w:themeColor="text1"/>
          <w:sz w:val="22"/>
        </w:rPr>
        <w:t xml:space="preserve">, se adelantaron mesas de trabajo con el Ministerio de Ambiente y Desarrollo Sostenible, el Instituto de Investigación de Recursos Biológicos Alexander </w:t>
      </w:r>
      <w:proofErr w:type="spellStart"/>
      <w:r w:rsidR="00127485">
        <w:rPr>
          <w:rFonts w:ascii="Arial" w:eastAsia="Calibri" w:hAnsi="Arial" w:cs="Arial"/>
          <w:color w:val="000000" w:themeColor="text1"/>
          <w:sz w:val="22"/>
        </w:rPr>
        <w:t>V</w:t>
      </w:r>
      <w:r w:rsidRPr="00B710A9">
        <w:rPr>
          <w:rFonts w:ascii="Arial" w:eastAsia="Calibri" w:hAnsi="Arial" w:cs="Arial"/>
          <w:color w:val="000000" w:themeColor="text1"/>
          <w:sz w:val="22"/>
        </w:rPr>
        <w:t>on</w:t>
      </w:r>
      <w:proofErr w:type="spellEnd"/>
      <w:r w:rsidRPr="00B710A9">
        <w:rPr>
          <w:rFonts w:ascii="Arial" w:eastAsia="Calibri" w:hAnsi="Arial" w:cs="Arial"/>
          <w:color w:val="000000" w:themeColor="text1"/>
          <w:sz w:val="22"/>
        </w:rPr>
        <w:t xml:space="preserve"> Humboldt y la consultoría </w:t>
      </w:r>
      <w:proofErr w:type="spellStart"/>
      <w:r w:rsidRPr="00B710A9">
        <w:rPr>
          <w:rFonts w:ascii="Arial" w:eastAsia="Calibri" w:hAnsi="Arial" w:cs="Arial"/>
          <w:color w:val="000000" w:themeColor="text1"/>
          <w:sz w:val="22"/>
        </w:rPr>
        <w:t>Ecosimple</w:t>
      </w:r>
      <w:proofErr w:type="spellEnd"/>
      <w:r w:rsidRPr="00B710A9">
        <w:rPr>
          <w:rFonts w:ascii="Arial" w:eastAsia="Calibri" w:hAnsi="Arial" w:cs="Arial"/>
          <w:color w:val="000000" w:themeColor="text1"/>
          <w:sz w:val="22"/>
        </w:rPr>
        <w:t xml:space="preserve"> SAS en el proceso de elaboración del índice cuantitativo como insumo requerido para la estructuración de la metodología para avalúos de predios en zonas de páramo y será entregado en los próximos días por </w:t>
      </w:r>
      <w:proofErr w:type="spellStart"/>
      <w:r w:rsidRPr="00B710A9">
        <w:rPr>
          <w:rFonts w:ascii="Arial" w:eastAsia="Calibri" w:hAnsi="Arial" w:cs="Arial"/>
          <w:color w:val="000000" w:themeColor="text1"/>
          <w:sz w:val="22"/>
        </w:rPr>
        <w:t>Minambiente</w:t>
      </w:r>
      <w:proofErr w:type="spellEnd"/>
      <w:r w:rsidRPr="00B710A9">
        <w:rPr>
          <w:rFonts w:ascii="Arial" w:eastAsia="Calibri" w:hAnsi="Arial" w:cs="Arial"/>
          <w:color w:val="000000" w:themeColor="text1"/>
          <w:sz w:val="22"/>
        </w:rPr>
        <w:t xml:space="preserve"> para incorporarlo en nuestras metodologías </w:t>
      </w:r>
      <w:proofErr w:type="spellStart"/>
      <w:r w:rsidRPr="00B710A9">
        <w:rPr>
          <w:rFonts w:ascii="Arial" w:eastAsia="Calibri" w:hAnsi="Arial" w:cs="Arial"/>
          <w:color w:val="000000" w:themeColor="text1"/>
          <w:sz w:val="22"/>
        </w:rPr>
        <w:t>valuatorias</w:t>
      </w:r>
      <w:proofErr w:type="spellEnd"/>
      <w:r w:rsidRPr="00B710A9">
        <w:rPr>
          <w:rFonts w:ascii="Arial" w:eastAsia="Calibri" w:hAnsi="Arial" w:cs="Arial"/>
          <w:color w:val="000000" w:themeColor="text1"/>
          <w:sz w:val="22"/>
        </w:rPr>
        <w:t xml:space="preserve">. También se revisaron las experiencias de Ecopetrol, </w:t>
      </w:r>
      <w:proofErr w:type="spellStart"/>
      <w:r w:rsidRPr="00B710A9">
        <w:rPr>
          <w:rFonts w:ascii="Arial" w:eastAsia="Calibri" w:hAnsi="Arial" w:cs="Arial"/>
          <w:color w:val="000000" w:themeColor="text1"/>
          <w:sz w:val="22"/>
        </w:rPr>
        <w:t>Andesco</w:t>
      </w:r>
      <w:proofErr w:type="spellEnd"/>
      <w:r w:rsidRPr="00B710A9">
        <w:rPr>
          <w:rFonts w:ascii="Arial" w:eastAsia="Calibri" w:hAnsi="Arial" w:cs="Arial"/>
          <w:color w:val="000000" w:themeColor="text1"/>
          <w:sz w:val="22"/>
        </w:rPr>
        <w:t>, Empresas Públicas de Medellín, Grupo de Energía de Bogotá entre otros, obtenidas en las pasadas mesas de trabajo con el propósito de identificar los aspectos a tener en cuenta en la estructuración de la metodología de avalúos para franjas de servidumbres.</w:t>
      </w:r>
    </w:p>
    <w:p w14:paraId="1E88FC8D" w14:textId="77777777" w:rsidR="00FB03CF" w:rsidRPr="00B710A9" w:rsidRDefault="00FB03CF" w:rsidP="009D279A">
      <w:pPr>
        <w:spacing w:after="0" w:line="240" w:lineRule="auto"/>
        <w:jc w:val="both"/>
        <w:rPr>
          <w:rFonts w:ascii="Arial" w:eastAsia="Calibri" w:hAnsi="Arial" w:cs="Arial"/>
          <w:color w:val="000000" w:themeColor="text1"/>
          <w:sz w:val="22"/>
        </w:rPr>
      </w:pPr>
    </w:p>
    <w:p w14:paraId="1B47276B" w14:textId="77777777" w:rsidR="00FB03CF" w:rsidRPr="00B710A9" w:rsidRDefault="00FB03CF" w:rsidP="009D279A">
      <w:pPr>
        <w:spacing w:after="0" w:line="240" w:lineRule="auto"/>
        <w:jc w:val="both"/>
        <w:rPr>
          <w:rFonts w:ascii="Arial" w:eastAsia="Calibri" w:hAnsi="Arial" w:cs="Arial"/>
          <w:color w:val="000000" w:themeColor="text1"/>
          <w:sz w:val="22"/>
        </w:rPr>
      </w:pPr>
    </w:p>
    <w:p w14:paraId="458262D7" w14:textId="77777777" w:rsidR="00FB03CF" w:rsidRPr="00B710A9" w:rsidRDefault="00FB03CF" w:rsidP="009D279A">
      <w:pPr>
        <w:spacing w:after="0" w:line="240" w:lineRule="auto"/>
        <w:jc w:val="both"/>
        <w:rPr>
          <w:rFonts w:ascii="Arial" w:eastAsia="Calibri" w:hAnsi="Arial" w:cs="Arial"/>
          <w:color w:val="000000" w:themeColor="text1"/>
          <w:sz w:val="22"/>
        </w:rPr>
      </w:pPr>
    </w:p>
    <w:p w14:paraId="5A243BAE" w14:textId="4A25566B" w:rsidR="007D7990" w:rsidRPr="00B710A9" w:rsidRDefault="007D7990" w:rsidP="00356A3E">
      <w:pPr>
        <w:numPr>
          <w:ilvl w:val="0"/>
          <w:numId w:val="39"/>
        </w:numPr>
        <w:spacing w:after="0" w:line="240" w:lineRule="auto"/>
        <w:jc w:val="both"/>
        <w:rPr>
          <w:rFonts w:ascii="Arial" w:hAnsi="Arial" w:cs="Arial"/>
          <w:b/>
          <w:bCs/>
          <w:color w:val="000000" w:themeColor="text1"/>
          <w:sz w:val="22"/>
          <w:szCs w:val="22"/>
        </w:rPr>
      </w:pPr>
      <w:r w:rsidRPr="00B710A9">
        <w:rPr>
          <w:rFonts w:ascii="Arial" w:hAnsi="Arial" w:cs="Arial"/>
          <w:b/>
          <w:bCs/>
          <w:color w:val="000000" w:themeColor="text1"/>
          <w:sz w:val="22"/>
          <w:szCs w:val="22"/>
        </w:rPr>
        <w:t xml:space="preserve">Actualización y </w:t>
      </w:r>
      <w:r w:rsidR="00526830" w:rsidRPr="00B710A9">
        <w:rPr>
          <w:rFonts w:ascii="Arial" w:hAnsi="Arial" w:cs="Arial"/>
          <w:b/>
          <w:bCs/>
          <w:color w:val="000000" w:themeColor="text1"/>
          <w:sz w:val="22"/>
          <w:szCs w:val="22"/>
        </w:rPr>
        <w:t>Conservación Catastral</w:t>
      </w:r>
    </w:p>
    <w:p w14:paraId="1E04BF5A" w14:textId="78BB0490" w:rsidR="19B98323" w:rsidRPr="00B710A9" w:rsidRDefault="19B98323" w:rsidP="009D279A">
      <w:pPr>
        <w:spacing w:after="0" w:line="240" w:lineRule="auto"/>
        <w:jc w:val="both"/>
        <w:rPr>
          <w:rFonts w:ascii="Arial" w:hAnsi="Arial" w:cs="Arial"/>
          <w:b/>
          <w:bCs/>
          <w:color w:val="000000" w:themeColor="text1"/>
          <w:sz w:val="22"/>
          <w:szCs w:val="22"/>
        </w:rPr>
      </w:pPr>
    </w:p>
    <w:p w14:paraId="224A7B5E" w14:textId="48FA601C" w:rsidR="2E1DF916" w:rsidRPr="00B710A9" w:rsidRDefault="2E1DF916" w:rsidP="009D279A">
      <w:pPr>
        <w:spacing w:after="0" w:line="240" w:lineRule="auto"/>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rPr>
        <w:t xml:space="preserve">La gestión catastral está conformada por los procesos de formación, actualización y conservación, de ahí que el total del área geográfica que cuenta con un catastro actualizado, incluye el área geográfica bajo jurisdicción del IGAC y de los gestores catastrales habilitados. </w:t>
      </w:r>
    </w:p>
    <w:p w14:paraId="54473F5B" w14:textId="77777777" w:rsidR="0058771C" w:rsidRPr="00B710A9" w:rsidRDefault="0058771C" w:rsidP="009D279A">
      <w:pPr>
        <w:spacing w:after="0" w:line="240" w:lineRule="auto"/>
        <w:jc w:val="both"/>
        <w:rPr>
          <w:rFonts w:ascii="Arial" w:eastAsia="Calibri" w:hAnsi="Arial" w:cs="Arial"/>
          <w:color w:val="000000" w:themeColor="text1"/>
          <w:sz w:val="22"/>
          <w:szCs w:val="22"/>
        </w:rPr>
      </w:pPr>
    </w:p>
    <w:p w14:paraId="25BA4BA8" w14:textId="31A5545E" w:rsidR="0058771C" w:rsidRPr="00B710A9" w:rsidRDefault="2E1DF916" w:rsidP="0058771C">
      <w:pPr>
        <w:jc w:val="both"/>
        <w:rPr>
          <w:rFonts w:ascii="Arial" w:hAnsi="Arial" w:cs="Arial"/>
          <w:sz w:val="22"/>
          <w:szCs w:val="22"/>
        </w:rPr>
      </w:pPr>
      <w:r w:rsidRPr="00B710A9">
        <w:rPr>
          <w:rFonts w:ascii="Arial" w:eastAsia="Calibri" w:hAnsi="Arial" w:cs="Arial"/>
          <w:color w:val="000000" w:themeColor="text1"/>
          <w:sz w:val="22"/>
          <w:szCs w:val="22"/>
        </w:rPr>
        <w:t xml:space="preserve">Por lo anterior, </w:t>
      </w:r>
      <w:r w:rsidR="0058771C" w:rsidRPr="00B710A9">
        <w:rPr>
          <w:rFonts w:ascii="Arial" w:hAnsi="Arial" w:cs="Arial"/>
          <w:sz w:val="22"/>
          <w:szCs w:val="22"/>
        </w:rPr>
        <w:t xml:space="preserve">Con fecha de corte 30 de junio de 2022, el país cuenta con </w:t>
      </w:r>
      <w:bookmarkStart w:id="18" w:name="_Hlk107820955"/>
      <w:r w:rsidR="0058771C" w:rsidRPr="00B710A9">
        <w:rPr>
          <w:rFonts w:ascii="Arial" w:hAnsi="Arial" w:cs="Arial"/>
          <w:sz w:val="22"/>
          <w:szCs w:val="22"/>
        </w:rPr>
        <w:t xml:space="preserve">45.988.350 </w:t>
      </w:r>
      <w:bookmarkEnd w:id="18"/>
      <w:r w:rsidR="0058771C" w:rsidRPr="00B710A9">
        <w:rPr>
          <w:rFonts w:ascii="Arial" w:hAnsi="Arial" w:cs="Arial"/>
          <w:sz w:val="22"/>
          <w:szCs w:val="22"/>
        </w:rPr>
        <w:t>hectáreas, equivalentes al 40,31% del área geográfica del país y al 67,18% de avance en el cumplimiento de la meta del Plan Nacional de Desarrollo, las cuales se discriminan de la siguiente manera:</w:t>
      </w:r>
    </w:p>
    <w:p w14:paraId="71B07606" w14:textId="77777777" w:rsidR="00FB0D5E" w:rsidRDefault="00FB0D5E" w:rsidP="00DC6941">
      <w:pPr>
        <w:pStyle w:val="Descripcin"/>
        <w:keepNext/>
        <w:jc w:val="center"/>
        <w:rPr>
          <w:rFonts w:ascii="Arial" w:hAnsi="Arial" w:cs="Arial"/>
          <w:b/>
          <w:bCs/>
          <w:i w:val="0"/>
          <w:iCs w:val="0"/>
          <w:color w:val="000000" w:themeColor="text1"/>
          <w:sz w:val="16"/>
          <w:szCs w:val="16"/>
        </w:rPr>
      </w:pPr>
      <w:bookmarkStart w:id="19" w:name="_Toc109057740"/>
      <w:bookmarkStart w:id="20" w:name="_Toc107902532"/>
    </w:p>
    <w:p w14:paraId="105028E9" w14:textId="13A9BC7B" w:rsidR="00DC6941" w:rsidRPr="00B710A9" w:rsidRDefault="00DC6941" w:rsidP="00DC6941">
      <w:pPr>
        <w:pStyle w:val="Descripcin"/>
        <w:keepNext/>
        <w:jc w:val="center"/>
        <w:rPr>
          <w:rFonts w:ascii="Arial" w:hAnsi="Arial" w:cs="Arial"/>
          <w:b/>
          <w:bCs/>
          <w:i w:val="0"/>
          <w:iCs w:val="0"/>
          <w:color w:val="000000" w:themeColor="text1"/>
          <w:sz w:val="16"/>
          <w:szCs w:val="16"/>
        </w:rPr>
      </w:pPr>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10</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Área geográfica con catastro actualizado periodo 2018 - junio 2022</w:t>
      </w:r>
      <w:bookmarkEnd w:id="19"/>
    </w:p>
    <w:bookmarkEnd w:id="20"/>
    <w:p w14:paraId="1E2C1808" w14:textId="77777777" w:rsidR="000539E4" w:rsidRPr="00B710A9" w:rsidRDefault="000539E4" w:rsidP="000539E4">
      <w:pPr>
        <w:jc w:val="center"/>
      </w:pPr>
      <w:r w:rsidRPr="00B710A9">
        <w:rPr>
          <w:noProof/>
        </w:rPr>
        <w:drawing>
          <wp:inline distT="0" distB="0" distL="0" distR="0" wp14:anchorId="3276B183" wp14:editId="243A2835">
            <wp:extent cx="4572000" cy="2743200"/>
            <wp:effectExtent l="0" t="0" r="0" b="0"/>
            <wp:docPr id="62" name="Gráfico 62">
              <a:extLst xmlns:a="http://schemas.openxmlformats.org/drawingml/2006/main">
                <a:ext uri="{FF2B5EF4-FFF2-40B4-BE49-F238E27FC236}">
                  <a16:creationId xmlns:a16="http://schemas.microsoft.com/office/drawing/2014/main" id="{9AFFFD98-D345-B394-D333-D62A5A096E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A2A414" w14:textId="77777777" w:rsidR="000539E4" w:rsidRPr="00B710A9" w:rsidRDefault="000539E4" w:rsidP="000539E4">
      <w:pPr>
        <w:jc w:val="center"/>
        <w:rPr>
          <w:rFonts w:ascii="Arial" w:hAnsi="Arial" w:cs="Arial"/>
          <w:b/>
          <w:bCs/>
          <w:color w:val="000000" w:themeColor="text1"/>
          <w:sz w:val="16"/>
          <w:szCs w:val="16"/>
        </w:rPr>
      </w:pPr>
      <w:r w:rsidRPr="00B710A9">
        <w:rPr>
          <w:rFonts w:ascii="Arial" w:hAnsi="Arial" w:cs="Arial"/>
          <w:b/>
          <w:bCs/>
          <w:color w:val="000000" w:themeColor="text1"/>
          <w:sz w:val="16"/>
          <w:szCs w:val="16"/>
        </w:rPr>
        <w:lastRenderedPageBreak/>
        <w:t>Fuente: Dirección de Gestión Catastral</w:t>
      </w:r>
    </w:p>
    <w:p w14:paraId="267D5D72" w14:textId="262C1008" w:rsidR="000539E4" w:rsidRPr="00B710A9" w:rsidRDefault="000539E4" w:rsidP="000539E4">
      <w:pPr>
        <w:jc w:val="center"/>
        <w:rPr>
          <w:rFonts w:cs="Arial"/>
          <w:sz w:val="18"/>
          <w:szCs w:val="18"/>
        </w:rPr>
      </w:pPr>
    </w:p>
    <w:p w14:paraId="3C02602A" w14:textId="3CC1011F" w:rsidR="000920C9" w:rsidRPr="00B710A9" w:rsidRDefault="000920C9" w:rsidP="000920C9">
      <w:pPr>
        <w:pStyle w:val="Descripcin"/>
        <w:jc w:val="center"/>
        <w:rPr>
          <w:rFonts w:ascii="Arial" w:hAnsi="Arial" w:cs="Arial"/>
          <w:b/>
          <w:bCs/>
          <w:i w:val="0"/>
          <w:iCs w:val="0"/>
          <w:color w:val="auto"/>
          <w:sz w:val="16"/>
          <w:szCs w:val="16"/>
        </w:rPr>
      </w:pPr>
      <w:bookmarkStart w:id="21" w:name="_Toc107995414"/>
      <w:bookmarkStart w:id="22" w:name="_Toc109057741"/>
      <w:r w:rsidRPr="00B710A9">
        <w:rPr>
          <w:rFonts w:ascii="Arial" w:hAnsi="Arial" w:cs="Arial"/>
          <w:b/>
          <w:bCs/>
          <w:i w:val="0"/>
          <w:iCs w:val="0"/>
          <w:color w:val="auto"/>
          <w:sz w:val="16"/>
          <w:szCs w:val="16"/>
        </w:rPr>
        <w:t xml:space="preserve">Tabla </w:t>
      </w:r>
      <w:r w:rsidRPr="00B710A9">
        <w:rPr>
          <w:rFonts w:ascii="Arial" w:hAnsi="Arial" w:cs="Arial"/>
          <w:b/>
          <w:bCs/>
          <w:i w:val="0"/>
          <w:iCs w:val="0"/>
          <w:color w:val="auto"/>
          <w:sz w:val="16"/>
          <w:szCs w:val="16"/>
        </w:rPr>
        <w:fldChar w:fldCharType="begin"/>
      </w:r>
      <w:r w:rsidRPr="00B710A9">
        <w:rPr>
          <w:rFonts w:ascii="Arial" w:hAnsi="Arial" w:cs="Arial"/>
          <w:b/>
          <w:bCs/>
          <w:i w:val="0"/>
          <w:iCs w:val="0"/>
          <w:color w:val="auto"/>
          <w:sz w:val="16"/>
          <w:szCs w:val="16"/>
        </w:rPr>
        <w:instrText xml:space="preserve"> SEQ Tabla \* ARABIC </w:instrText>
      </w:r>
      <w:r w:rsidRPr="00B710A9">
        <w:rPr>
          <w:rFonts w:ascii="Arial" w:hAnsi="Arial" w:cs="Arial"/>
          <w:b/>
          <w:bCs/>
          <w:i w:val="0"/>
          <w:iCs w:val="0"/>
          <w:color w:val="auto"/>
          <w:sz w:val="16"/>
          <w:szCs w:val="16"/>
        </w:rPr>
        <w:fldChar w:fldCharType="separate"/>
      </w:r>
      <w:r w:rsidR="00801DF8" w:rsidRPr="00B710A9">
        <w:rPr>
          <w:rFonts w:ascii="Arial" w:hAnsi="Arial" w:cs="Arial"/>
          <w:b/>
          <w:bCs/>
          <w:i w:val="0"/>
          <w:iCs w:val="0"/>
          <w:noProof/>
          <w:color w:val="auto"/>
          <w:sz w:val="16"/>
          <w:szCs w:val="16"/>
        </w:rPr>
        <w:t>11</w:t>
      </w:r>
      <w:r w:rsidRPr="00B710A9">
        <w:rPr>
          <w:rFonts w:ascii="Arial" w:hAnsi="Arial" w:cs="Arial"/>
          <w:b/>
          <w:bCs/>
          <w:i w:val="0"/>
          <w:iCs w:val="0"/>
          <w:color w:val="auto"/>
          <w:sz w:val="16"/>
          <w:szCs w:val="16"/>
        </w:rPr>
        <w:fldChar w:fldCharType="end"/>
      </w:r>
      <w:r w:rsidRPr="00B710A9">
        <w:rPr>
          <w:rFonts w:ascii="Arial" w:hAnsi="Arial" w:cs="Arial"/>
          <w:b/>
          <w:bCs/>
          <w:i w:val="0"/>
          <w:iCs w:val="0"/>
          <w:color w:val="auto"/>
          <w:sz w:val="16"/>
          <w:szCs w:val="16"/>
        </w:rPr>
        <w:t xml:space="preserve">. </w:t>
      </w:r>
      <w:proofErr w:type="gramStart"/>
      <w:r w:rsidRPr="00B710A9">
        <w:rPr>
          <w:rFonts w:ascii="Arial" w:hAnsi="Arial" w:cs="Arial"/>
          <w:b/>
          <w:bCs/>
          <w:i w:val="0"/>
          <w:iCs w:val="0"/>
          <w:color w:val="auto"/>
          <w:sz w:val="16"/>
          <w:szCs w:val="16"/>
        </w:rPr>
        <w:t>Total</w:t>
      </w:r>
      <w:proofErr w:type="gramEnd"/>
      <w:r w:rsidRPr="00B710A9">
        <w:rPr>
          <w:rFonts w:ascii="Arial" w:hAnsi="Arial" w:cs="Arial"/>
          <w:b/>
          <w:bCs/>
          <w:i w:val="0"/>
          <w:iCs w:val="0"/>
          <w:color w:val="auto"/>
          <w:sz w:val="16"/>
          <w:szCs w:val="16"/>
        </w:rPr>
        <w:t xml:space="preserve"> de hectáreas actualizadas</w:t>
      </w:r>
      <w:bookmarkEnd w:id="21"/>
      <w:bookmarkEnd w:id="22"/>
    </w:p>
    <w:tbl>
      <w:tblPr>
        <w:tblW w:w="8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5"/>
        <w:gridCol w:w="1053"/>
        <w:gridCol w:w="1007"/>
        <w:gridCol w:w="1053"/>
        <w:gridCol w:w="1080"/>
        <w:gridCol w:w="902"/>
        <w:gridCol w:w="771"/>
      </w:tblGrid>
      <w:tr w:rsidR="000920C9" w:rsidRPr="00B710A9" w14:paraId="53837E02" w14:textId="77777777" w:rsidTr="00F90DF3">
        <w:trPr>
          <w:trHeight w:val="533"/>
          <w:jc w:val="center"/>
        </w:trPr>
        <w:tc>
          <w:tcPr>
            <w:tcW w:w="3125" w:type="dxa"/>
            <w:shd w:val="clear" w:color="auto" w:fill="4472C4" w:themeFill="accent1"/>
            <w:vAlign w:val="center"/>
            <w:hideMark/>
          </w:tcPr>
          <w:p w14:paraId="42300060" w14:textId="77777777" w:rsidR="000920C9" w:rsidRPr="00B710A9" w:rsidRDefault="000920C9" w:rsidP="00F90DF3">
            <w:pPr>
              <w:jc w:val="center"/>
              <w:rPr>
                <w:rFonts w:ascii="Arial" w:hAnsi="Arial" w:cs="Arial"/>
                <w:b/>
                <w:bCs/>
                <w:color w:val="FFFFFF"/>
                <w:sz w:val="18"/>
                <w:szCs w:val="18"/>
              </w:rPr>
            </w:pPr>
            <w:r w:rsidRPr="00B710A9">
              <w:rPr>
                <w:rFonts w:ascii="Arial" w:hAnsi="Arial" w:cs="Arial"/>
                <w:b/>
                <w:bCs/>
                <w:color w:val="FFFFFF"/>
                <w:sz w:val="18"/>
                <w:szCs w:val="18"/>
              </w:rPr>
              <w:t>Concepto</w:t>
            </w:r>
          </w:p>
        </w:tc>
        <w:tc>
          <w:tcPr>
            <w:tcW w:w="1053" w:type="dxa"/>
            <w:shd w:val="clear" w:color="auto" w:fill="4472C4" w:themeFill="accent1"/>
            <w:vAlign w:val="center"/>
            <w:hideMark/>
          </w:tcPr>
          <w:p w14:paraId="468B49E7" w14:textId="77777777" w:rsidR="000920C9" w:rsidRPr="00B710A9" w:rsidRDefault="000920C9" w:rsidP="00F90DF3">
            <w:pPr>
              <w:jc w:val="center"/>
              <w:rPr>
                <w:rFonts w:ascii="Arial" w:hAnsi="Arial" w:cs="Arial"/>
                <w:b/>
                <w:bCs/>
                <w:color w:val="FFFFFF"/>
                <w:sz w:val="18"/>
                <w:szCs w:val="18"/>
              </w:rPr>
            </w:pPr>
            <w:r w:rsidRPr="00B710A9">
              <w:rPr>
                <w:rFonts w:ascii="Arial" w:hAnsi="Arial" w:cs="Arial"/>
                <w:b/>
                <w:bCs/>
                <w:color w:val="FFFFFF"/>
                <w:sz w:val="18"/>
                <w:szCs w:val="18"/>
              </w:rPr>
              <w:t>IGAC</w:t>
            </w:r>
            <w:r w:rsidRPr="00B710A9">
              <w:rPr>
                <w:rFonts w:ascii="Arial" w:hAnsi="Arial" w:cs="Arial"/>
                <w:b/>
                <w:bCs/>
                <w:color w:val="FFFFFF"/>
                <w:sz w:val="18"/>
                <w:szCs w:val="18"/>
              </w:rPr>
              <w:br/>
              <w:t>ha.</w:t>
            </w:r>
          </w:p>
        </w:tc>
        <w:tc>
          <w:tcPr>
            <w:tcW w:w="1007" w:type="dxa"/>
            <w:shd w:val="clear" w:color="auto" w:fill="4472C4" w:themeFill="accent1"/>
            <w:vAlign w:val="center"/>
            <w:hideMark/>
          </w:tcPr>
          <w:p w14:paraId="689EF364" w14:textId="77777777" w:rsidR="000920C9" w:rsidRPr="00B710A9" w:rsidRDefault="000920C9" w:rsidP="00F90DF3">
            <w:pPr>
              <w:jc w:val="center"/>
              <w:rPr>
                <w:rFonts w:ascii="Arial" w:hAnsi="Arial" w:cs="Arial"/>
                <w:b/>
                <w:bCs/>
                <w:color w:val="FFFFFF"/>
                <w:sz w:val="18"/>
                <w:szCs w:val="18"/>
              </w:rPr>
            </w:pPr>
            <w:r w:rsidRPr="00B710A9">
              <w:rPr>
                <w:rFonts w:ascii="Arial" w:hAnsi="Arial" w:cs="Arial"/>
                <w:b/>
                <w:bCs/>
                <w:color w:val="FFFFFF"/>
                <w:sz w:val="18"/>
                <w:szCs w:val="18"/>
              </w:rPr>
              <w:t xml:space="preserve">Otros </w:t>
            </w:r>
          </w:p>
          <w:p w14:paraId="34EC2051" w14:textId="77777777" w:rsidR="000920C9" w:rsidRPr="00B710A9" w:rsidRDefault="000920C9" w:rsidP="00F90DF3">
            <w:pPr>
              <w:jc w:val="center"/>
              <w:rPr>
                <w:rFonts w:ascii="Arial" w:hAnsi="Arial" w:cs="Arial"/>
                <w:b/>
                <w:bCs/>
                <w:color w:val="FFFFFF"/>
                <w:sz w:val="18"/>
                <w:szCs w:val="18"/>
              </w:rPr>
            </w:pPr>
            <w:r w:rsidRPr="00B710A9">
              <w:rPr>
                <w:rFonts w:ascii="Arial" w:hAnsi="Arial" w:cs="Arial"/>
                <w:b/>
                <w:bCs/>
                <w:color w:val="FFFFFF"/>
                <w:sz w:val="18"/>
                <w:szCs w:val="18"/>
              </w:rPr>
              <w:t xml:space="preserve">Gestores </w:t>
            </w:r>
            <w:r w:rsidRPr="00B710A9">
              <w:rPr>
                <w:rFonts w:ascii="Arial" w:hAnsi="Arial" w:cs="Arial"/>
                <w:b/>
                <w:bCs/>
                <w:color w:val="FFFFFF"/>
                <w:sz w:val="18"/>
                <w:szCs w:val="18"/>
              </w:rPr>
              <w:br/>
              <w:t xml:space="preserve">ha. </w:t>
            </w:r>
          </w:p>
        </w:tc>
        <w:tc>
          <w:tcPr>
            <w:tcW w:w="1053" w:type="dxa"/>
            <w:shd w:val="clear" w:color="auto" w:fill="4472C4" w:themeFill="accent1"/>
            <w:vAlign w:val="center"/>
            <w:hideMark/>
          </w:tcPr>
          <w:p w14:paraId="61A086DC" w14:textId="77777777" w:rsidR="000920C9" w:rsidRPr="00B710A9" w:rsidRDefault="000920C9" w:rsidP="00F90DF3">
            <w:pPr>
              <w:jc w:val="center"/>
              <w:rPr>
                <w:rFonts w:ascii="Arial" w:hAnsi="Arial" w:cs="Arial"/>
                <w:b/>
                <w:bCs/>
                <w:color w:val="FFFFFF"/>
                <w:sz w:val="18"/>
                <w:szCs w:val="18"/>
              </w:rPr>
            </w:pPr>
            <w:r w:rsidRPr="00B710A9">
              <w:rPr>
                <w:rFonts w:ascii="Arial" w:hAnsi="Arial" w:cs="Arial"/>
                <w:b/>
                <w:bCs/>
                <w:color w:val="FFFFFF"/>
                <w:sz w:val="18"/>
                <w:szCs w:val="18"/>
              </w:rPr>
              <w:t xml:space="preserve">Total </w:t>
            </w:r>
            <w:r w:rsidRPr="00B710A9">
              <w:rPr>
                <w:rFonts w:ascii="Arial" w:hAnsi="Arial" w:cs="Arial"/>
                <w:b/>
                <w:bCs/>
                <w:color w:val="FFFFFF"/>
                <w:sz w:val="18"/>
                <w:szCs w:val="18"/>
              </w:rPr>
              <w:br/>
              <w:t>ha.</w:t>
            </w:r>
          </w:p>
        </w:tc>
        <w:tc>
          <w:tcPr>
            <w:tcW w:w="1080" w:type="dxa"/>
            <w:shd w:val="clear" w:color="auto" w:fill="4472C4" w:themeFill="accent1"/>
            <w:vAlign w:val="center"/>
            <w:hideMark/>
          </w:tcPr>
          <w:p w14:paraId="6662920B" w14:textId="77777777" w:rsidR="000920C9" w:rsidRPr="00B710A9" w:rsidRDefault="000920C9" w:rsidP="00F90DF3">
            <w:pPr>
              <w:jc w:val="center"/>
              <w:rPr>
                <w:rFonts w:ascii="Arial" w:hAnsi="Arial" w:cs="Arial"/>
                <w:b/>
                <w:bCs/>
                <w:color w:val="FFFFFF"/>
                <w:sz w:val="18"/>
                <w:szCs w:val="18"/>
              </w:rPr>
            </w:pPr>
            <w:r w:rsidRPr="00B710A9">
              <w:rPr>
                <w:rFonts w:ascii="Arial" w:hAnsi="Arial" w:cs="Arial"/>
                <w:b/>
                <w:bCs/>
                <w:color w:val="FFFFFF"/>
                <w:sz w:val="18"/>
                <w:szCs w:val="18"/>
              </w:rPr>
              <w:t xml:space="preserve">No. </w:t>
            </w:r>
          </w:p>
          <w:p w14:paraId="6E898DF4" w14:textId="77777777" w:rsidR="000920C9" w:rsidRPr="00B710A9" w:rsidRDefault="000920C9" w:rsidP="00F90DF3">
            <w:pPr>
              <w:jc w:val="center"/>
              <w:rPr>
                <w:rFonts w:ascii="Arial" w:hAnsi="Arial" w:cs="Arial"/>
                <w:b/>
                <w:bCs/>
                <w:color w:val="FFFFFF"/>
                <w:sz w:val="18"/>
                <w:szCs w:val="18"/>
              </w:rPr>
            </w:pPr>
            <w:r w:rsidRPr="00B710A9">
              <w:rPr>
                <w:rFonts w:ascii="Arial" w:hAnsi="Arial" w:cs="Arial"/>
                <w:b/>
                <w:bCs/>
                <w:color w:val="FFFFFF"/>
                <w:sz w:val="18"/>
                <w:szCs w:val="18"/>
              </w:rPr>
              <w:t>Municipios</w:t>
            </w:r>
          </w:p>
        </w:tc>
        <w:tc>
          <w:tcPr>
            <w:tcW w:w="902" w:type="dxa"/>
            <w:shd w:val="clear" w:color="auto" w:fill="4472C4" w:themeFill="accent1"/>
            <w:vAlign w:val="center"/>
            <w:hideMark/>
          </w:tcPr>
          <w:p w14:paraId="2E17C14D" w14:textId="77777777" w:rsidR="000920C9" w:rsidRPr="00B710A9" w:rsidRDefault="000920C9" w:rsidP="00F90DF3">
            <w:pPr>
              <w:jc w:val="center"/>
              <w:rPr>
                <w:rFonts w:ascii="Arial" w:hAnsi="Arial" w:cs="Arial"/>
                <w:b/>
                <w:bCs/>
                <w:color w:val="FFFFFF"/>
                <w:sz w:val="18"/>
                <w:szCs w:val="18"/>
              </w:rPr>
            </w:pPr>
            <w:r w:rsidRPr="00B710A9">
              <w:rPr>
                <w:rFonts w:ascii="Arial" w:hAnsi="Arial" w:cs="Arial"/>
                <w:b/>
                <w:bCs/>
                <w:color w:val="FFFFFF"/>
                <w:sz w:val="18"/>
                <w:szCs w:val="18"/>
              </w:rPr>
              <w:t xml:space="preserve">% </w:t>
            </w:r>
          </w:p>
          <w:p w14:paraId="605F83F5" w14:textId="77777777" w:rsidR="000920C9" w:rsidRPr="00B710A9" w:rsidRDefault="000920C9" w:rsidP="00F90DF3">
            <w:pPr>
              <w:jc w:val="center"/>
              <w:rPr>
                <w:rFonts w:ascii="Arial" w:hAnsi="Arial" w:cs="Arial"/>
                <w:b/>
                <w:bCs/>
                <w:color w:val="FFFFFF"/>
                <w:sz w:val="18"/>
                <w:szCs w:val="18"/>
              </w:rPr>
            </w:pPr>
            <w:r w:rsidRPr="00B710A9">
              <w:rPr>
                <w:rFonts w:ascii="Arial" w:hAnsi="Arial" w:cs="Arial"/>
                <w:b/>
                <w:bCs/>
                <w:color w:val="FFFFFF"/>
                <w:sz w:val="18"/>
                <w:szCs w:val="18"/>
              </w:rPr>
              <w:t>Área país</w:t>
            </w:r>
          </w:p>
        </w:tc>
        <w:tc>
          <w:tcPr>
            <w:tcW w:w="771" w:type="dxa"/>
            <w:shd w:val="clear" w:color="auto" w:fill="4472C4" w:themeFill="accent1"/>
            <w:vAlign w:val="center"/>
            <w:hideMark/>
          </w:tcPr>
          <w:p w14:paraId="4B5637CD" w14:textId="77777777" w:rsidR="000920C9" w:rsidRPr="00B710A9" w:rsidRDefault="000920C9" w:rsidP="00F90DF3">
            <w:pPr>
              <w:jc w:val="center"/>
              <w:rPr>
                <w:rFonts w:ascii="Arial" w:hAnsi="Arial" w:cs="Arial"/>
                <w:b/>
                <w:bCs/>
                <w:color w:val="FFFFFF"/>
                <w:sz w:val="18"/>
                <w:szCs w:val="18"/>
              </w:rPr>
            </w:pPr>
            <w:r w:rsidRPr="00B710A9">
              <w:rPr>
                <w:rFonts w:ascii="Arial" w:hAnsi="Arial" w:cs="Arial"/>
                <w:b/>
                <w:bCs/>
                <w:color w:val="FFFFFF"/>
                <w:sz w:val="18"/>
                <w:szCs w:val="18"/>
              </w:rPr>
              <w:t xml:space="preserve">% </w:t>
            </w:r>
          </w:p>
          <w:p w14:paraId="45A79F98" w14:textId="77777777" w:rsidR="000920C9" w:rsidRPr="00B710A9" w:rsidRDefault="000920C9" w:rsidP="00F90DF3">
            <w:pPr>
              <w:jc w:val="center"/>
              <w:rPr>
                <w:rFonts w:ascii="Arial" w:hAnsi="Arial" w:cs="Arial"/>
                <w:b/>
                <w:bCs/>
                <w:color w:val="FFFFFF"/>
                <w:sz w:val="18"/>
                <w:szCs w:val="18"/>
              </w:rPr>
            </w:pPr>
            <w:r w:rsidRPr="00B710A9">
              <w:rPr>
                <w:rFonts w:ascii="Arial" w:hAnsi="Arial" w:cs="Arial"/>
                <w:b/>
                <w:bCs/>
                <w:color w:val="FFFFFF"/>
                <w:sz w:val="18"/>
                <w:szCs w:val="18"/>
              </w:rPr>
              <w:t xml:space="preserve">Meta </w:t>
            </w:r>
          </w:p>
          <w:p w14:paraId="4AA2682E" w14:textId="77777777" w:rsidR="000920C9" w:rsidRPr="00B710A9" w:rsidRDefault="000920C9" w:rsidP="00F90DF3">
            <w:pPr>
              <w:jc w:val="center"/>
              <w:rPr>
                <w:rFonts w:ascii="Arial" w:hAnsi="Arial" w:cs="Arial"/>
                <w:b/>
                <w:bCs/>
                <w:color w:val="FFFFFF"/>
                <w:sz w:val="18"/>
                <w:szCs w:val="18"/>
              </w:rPr>
            </w:pPr>
            <w:r w:rsidRPr="00B710A9">
              <w:rPr>
                <w:rFonts w:ascii="Arial" w:hAnsi="Arial" w:cs="Arial"/>
                <w:b/>
                <w:bCs/>
                <w:color w:val="FFFFFF"/>
                <w:sz w:val="18"/>
                <w:szCs w:val="18"/>
              </w:rPr>
              <w:t>PND</w:t>
            </w:r>
          </w:p>
        </w:tc>
      </w:tr>
      <w:tr w:rsidR="000920C9" w:rsidRPr="00B710A9" w14:paraId="3656490E" w14:textId="77777777" w:rsidTr="00F90DF3">
        <w:trPr>
          <w:trHeight w:val="602"/>
          <w:jc w:val="center"/>
        </w:trPr>
        <w:tc>
          <w:tcPr>
            <w:tcW w:w="3125" w:type="dxa"/>
            <w:shd w:val="clear" w:color="auto" w:fill="D9E2F3" w:themeFill="accent1" w:themeFillTint="33"/>
            <w:vAlign w:val="center"/>
            <w:hideMark/>
          </w:tcPr>
          <w:p w14:paraId="7685EFA2" w14:textId="77777777" w:rsidR="000920C9" w:rsidRPr="00B710A9" w:rsidRDefault="000920C9" w:rsidP="00F90DF3">
            <w:pPr>
              <w:jc w:val="center"/>
              <w:rPr>
                <w:rFonts w:ascii="Arial" w:hAnsi="Arial" w:cs="Arial"/>
                <w:color w:val="000000"/>
                <w:sz w:val="18"/>
                <w:szCs w:val="18"/>
              </w:rPr>
            </w:pPr>
            <w:r w:rsidRPr="00B710A9">
              <w:rPr>
                <w:rFonts w:ascii="Arial" w:hAnsi="Arial" w:cs="Arial"/>
                <w:color w:val="000000"/>
                <w:sz w:val="18"/>
                <w:szCs w:val="18"/>
              </w:rPr>
              <w:t xml:space="preserve">Actualización catastral (últimos 5 años) </w:t>
            </w:r>
          </w:p>
        </w:tc>
        <w:tc>
          <w:tcPr>
            <w:tcW w:w="1053" w:type="dxa"/>
            <w:shd w:val="clear" w:color="auto" w:fill="D9E2F3" w:themeFill="accent1" w:themeFillTint="33"/>
            <w:vAlign w:val="center"/>
            <w:hideMark/>
          </w:tcPr>
          <w:p w14:paraId="0B47230C" w14:textId="77777777" w:rsidR="000920C9" w:rsidRPr="00B710A9" w:rsidRDefault="000920C9" w:rsidP="00F90DF3">
            <w:pPr>
              <w:jc w:val="center"/>
              <w:rPr>
                <w:rFonts w:ascii="Arial" w:hAnsi="Arial" w:cs="Arial"/>
                <w:color w:val="000000"/>
                <w:sz w:val="18"/>
                <w:szCs w:val="18"/>
              </w:rPr>
            </w:pPr>
            <w:r w:rsidRPr="00B710A9">
              <w:rPr>
                <w:rFonts w:ascii="Arial" w:hAnsi="Arial" w:cs="Arial"/>
                <w:color w:val="000000"/>
                <w:sz w:val="18"/>
                <w:szCs w:val="18"/>
              </w:rPr>
              <w:t>8.912.491</w:t>
            </w:r>
          </w:p>
        </w:tc>
        <w:tc>
          <w:tcPr>
            <w:tcW w:w="1007" w:type="dxa"/>
            <w:shd w:val="clear" w:color="auto" w:fill="D9E2F3" w:themeFill="accent1" w:themeFillTint="33"/>
            <w:vAlign w:val="center"/>
            <w:hideMark/>
          </w:tcPr>
          <w:p w14:paraId="43184D50" w14:textId="77777777" w:rsidR="000920C9" w:rsidRPr="00B710A9" w:rsidRDefault="000920C9" w:rsidP="00F90DF3">
            <w:pPr>
              <w:jc w:val="center"/>
              <w:rPr>
                <w:rFonts w:ascii="Arial" w:hAnsi="Arial" w:cs="Arial"/>
                <w:color w:val="000000"/>
                <w:sz w:val="18"/>
                <w:szCs w:val="18"/>
              </w:rPr>
            </w:pPr>
            <w:r w:rsidRPr="00B710A9">
              <w:rPr>
                <w:rFonts w:ascii="Arial" w:hAnsi="Arial" w:cs="Arial"/>
                <w:color w:val="000000"/>
                <w:sz w:val="18"/>
                <w:szCs w:val="18"/>
              </w:rPr>
              <w:t>1.817.966</w:t>
            </w:r>
          </w:p>
        </w:tc>
        <w:tc>
          <w:tcPr>
            <w:tcW w:w="1053" w:type="dxa"/>
            <w:shd w:val="clear" w:color="auto" w:fill="D9E2F3" w:themeFill="accent1" w:themeFillTint="33"/>
            <w:vAlign w:val="center"/>
            <w:hideMark/>
          </w:tcPr>
          <w:p w14:paraId="165ADA9E" w14:textId="77777777" w:rsidR="000920C9" w:rsidRPr="00B710A9" w:rsidRDefault="000920C9" w:rsidP="00F90DF3">
            <w:pPr>
              <w:jc w:val="center"/>
              <w:rPr>
                <w:rFonts w:ascii="Arial" w:hAnsi="Arial" w:cs="Arial"/>
                <w:color w:val="000000"/>
                <w:sz w:val="18"/>
                <w:szCs w:val="18"/>
              </w:rPr>
            </w:pPr>
            <w:r w:rsidRPr="00B710A9">
              <w:rPr>
                <w:rFonts w:ascii="Arial" w:hAnsi="Arial" w:cs="Arial"/>
                <w:color w:val="000000"/>
                <w:sz w:val="18"/>
                <w:szCs w:val="18"/>
              </w:rPr>
              <w:t>10.730.457</w:t>
            </w:r>
          </w:p>
        </w:tc>
        <w:tc>
          <w:tcPr>
            <w:tcW w:w="1080" w:type="dxa"/>
            <w:shd w:val="clear" w:color="auto" w:fill="D9E2F3" w:themeFill="accent1" w:themeFillTint="33"/>
            <w:vAlign w:val="center"/>
            <w:hideMark/>
          </w:tcPr>
          <w:p w14:paraId="3681B019" w14:textId="77777777" w:rsidR="000920C9" w:rsidRPr="00B710A9" w:rsidRDefault="000920C9" w:rsidP="00F90DF3">
            <w:pPr>
              <w:jc w:val="center"/>
              <w:rPr>
                <w:rFonts w:ascii="Arial" w:hAnsi="Arial" w:cs="Arial"/>
                <w:color w:val="000000"/>
                <w:sz w:val="18"/>
                <w:szCs w:val="18"/>
              </w:rPr>
            </w:pPr>
            <w:r w:rsidRPr="00B710A9">
              <w:rPr>
                <w:rFonts w:ascii="Arial" w:hAnsi="Arial" w:cs="Arial"/>
                <w:color w:val="000000"/>
                <w:sz w:val="18"/>
                <w:szCs w:val="18"/>
              </w:rPr>
              <w:t>82</w:t>
            </w:r>
          </w:p>
        </w:tc>
        <w:tc>
          <w:tcPr>
            <w:tcW w:w="902" w:type="dxa"/>
            <w:shd w:val="clear" w:color="auto" w:fill="D9E2F3" w:themeFill="accent1" w:themeFillTint="33"/>
            <w:vAlign w:val="center"/>
            <w:hideMark/>
          </w:tcPr>
          <w:p w14:paraId="284D7A9D" w14:textId="77777777" w:rsidR="000920C9" w:rsidRPr="00B710A9" w:rsidRDefault="000920C9" w:rsidP="00F90DF3">
            <w:pPr>
              <w:jc w:val="center"/>
              <w:rPr>
                <w:rFonts w:ascii="Arial" w:hAnsi="Arial" w:cs="Arial"/>
                <w:color w:val="000000"/>
                <w:sz w:val="18"/>
                <w:szCs w:val="18"/>
              </w:rPr>
            </w:pPr>
            <w:r w:rsidRPr="00B710A9">
              <w:rPr>
                <w:rFonts w:ascii="Arial" w:hAnsi="Arial" w:cs="Arial"/>
                <w:color w:val="000000"/>
                <w:sz w:val="18"/>
                <w:szCs w:val="18"/>
              </w:rPr>
              <w:t>9,40%</w:t>
            </w:r>
          </w:p>
        </w:tc>
        <w:tc>
          <w:tcPr>
            <w:tcW w:w="771" w:type="dxa"/>
            <w:shd w:val="clear" w:color="auto" w:fill="D9E2F3" w:themeFill="accent1" w:themeFillTint="33"/>
            <w:vAlign w:val="center"/>
            <w:hideMark/>
          </w:tcPr>
          <w:p w14:paraId="3F65901C" w14:textId="77777777" w:rsidR="000920C9" w:rsidRPr="00B710A9" w:rsidRDefault="000920C9" w:rsidP="00F90DF3">
            <w:pPr>
              <w:jc w:val="center"/>
              <w:rPr>
                <w:rFonts w:ascii="Arial" w:hAnsi="Arial" w:cs="Arial"/>
                <w:color w:val="000000"/>
                <w:sz w:val="18"/>
                <w:szCs w:val="18"/>
              </w:rPr>
            </w:pPr>
            <w:r w:rsidRPr="00B710A9">
              <w:rPr>
                <w:rFonts w:ascii="Arial" w:hAnsi="Arial" w:cs="Arial"/>
                <w:color w:val="000000"/>
                <w:sz w:val="18"/>
                <w:szCs w:val="18"/>
              </w:rPr>
              <w:t>15,67%</w:t>
            </w:r>
          </w:p>
        </w:tc>
      </w:tr>
      <w:tr w:rsidR="000920C9" w:rsidRPr="00B710A9" w14:paraId="2166BA9D" w14:textId="77777777" w:rsidTr="00F90DF3">
        <w:trPr>
          <w:trHeight w:val="579"/>
          <w:jc w:val="center"/>
        </w:trPr>
        <w:tc>
          <w:tcPr>
            <w:tcW w:w="3125" w:type="dxa"/>
            <w:shd w:val="clear" w:color="auto" w:fill="auto"/>
            <w:noWrap/>
            <w:vAlign w:val="center"/>
            <w:hideMark/>
          </w:tcPr>
          <w:p w14:paraId="273D717C" w14:textId="77777777" w:rsidR="000920C9" w:rsidRPr="00B710A9" w:rsidRDefault="000920C9" w:rsidP="00F90DF3">
            <w:pPr>
              <w:jc w:val="center"/>
              <w:rPr>
                <w:rFonts w:ascii="Arial" w:hAnsi="Arial" w:cs="Arial"/>
                <w:color w:val="000000"/>
                <w:sz w:val="18"/>
                <w:szCs w:val="18"/>
              </w:rPr>
            </w:pPr>
            <w:r w:rsidRPr="00B710A9">
              <w:rPr>
                <w:rFonts w:ascii="Arial" w:hAnsi="Arial" w:cs="Arial"/>
                <w:color w:val="000000"/>
                <w:sz w:val="18"/>
                <w:szCs w:val="18"/>
              </w:rPr>
              <w:t>Conservación catastral (2019 - 2022)</w:t>
            </w:r>
          </w:p>
        </w:tc>
        <w:tc>
          <w:tcPr>
            <w:tcW w:w="1053" w:type="dxa"/>
            <w:shd w:val="clear" w:color="auto" w:fill="auto"/>
            <w:noWrap/>
            <w:vAlign w:val="center"/>
            <w:hideMark/>
          </w:tcPr>
          <w:p w14:paraId="7B375BE3" w14:textId="77777777" w:rsidR="000920C9" w:rsidRPr="00B710A9" w:rsidRDefault="000920C9" w:rsidP="00F90DF3">
            <w:pPr>
              <w:jc w:val="center"/>
              <w:rPr>
                <w:rFonts w:ascii="Arial" w:hAnsi="Arial" w:cs="Arial"/>
                <w:color w:val="000000"/>
                <w:sz w:val="18"/>
                <w:szCs w:val="18"/>
              </w:rPr>
            </w:pPr>
            <w:r w:rsidRPr="00B710A9">
              <w:rPr>
                <w:rFonts w:ascii="Arial" w:hAnsi="Arial" w:cs="Arial"/>
                <w:color w:val="000000"/>
                <w:sz w:val="18"/>
                <w:szCs w:val="18"/>
              </w:rPr>
              <w:t>33.251.516</w:t>
            </w:r>
          </w:p>
        </w:tc>
        <w:tc>
          <w:tcPr>
            <w:tcW w:w="1007" w:type="dxa"/>
            <w:shd w:val="clear" w:color="auto" w:fill="auto"/>
            <w:noWrap/>
            <w:vAlign w:val="center"/>
            <w:hideMark/>
          </w:tcPr>
          <w:p w14:paraId="15CD1C5D" w14:textId="77777777" w:rsidR="000920C9" w:rsidRPr="00B710A9" w:rsidRDefault="000920C9" w:rsidP="00F90DF3">
            <w:pPr>
              <w:jc w:val="center"/>
              <w:rPr>
                <w:rFonts w:ascii="Arial" w:hAnsi="Arial" w:cs="Arial"/>
                <w:color w:val="000000"/>
                <w:sz w:val="18"/>
                <w:szCs w:val="18"/>
              </w:rPr>
            </w:pPr>
            <w:r w:rsidRPr="00B710A9">
              <w:rPr>
                <w:rFonts w:ascii="Arial" w:hAnsi="Arial" w:cs="Arial"/>
                <w:color w:val="000000"/>
                <w:sz w:val="18"/>
                <w:szCs w:val="18"/>
              </w:rPr>
              <w:t>2.006.377</w:t>
            </w:r>
          </w:p>
        </w:tc>
        <w:tc>
          <w:tcPr>
            <w:tcW w:w="1053" w:type="dxa"/>
            <w:shd w:val="clear" w:color="auto" w:fill="auto"/>
            <w:noWrap/>
            <w:vAlign w:val="center"/>
            <w:hideMark/>
          </w:tcPr>
          <w:p w14:paraId="78C5C9DD" w14:textId="77777777" w:rsidR="000920C9" w:rsidRPr="00B710A9" w:rsidRDefault="000920C9" w:rsidP="00F90DF3">
            <w:pPr>
              <w:jc w:val="center"/>
              <w:rPr>
                <w:rFonts w:ascii="Arial" w:hAnsi="Arial" w:cs="Arial"/>
                <w:color w:val="000000"/>
                <w:sz w:val="18"/>
                <w:szCs w:val="18"/>
              </w:rPr>
            </w:pPr>
            <w:r w:rsidRPr="00B710A9">
              <w:rPr>
                <w:rFonts w:ascii="Arial" w:hAnsi="Arial" w:cs="Arial"/>
                <w:color w:val="000000"/>
                <w:sz w:val="18"/>
                <w:szCs w:val="18"/>
              </w:rPr>
              <w:t>35.257.893</w:t>
            </w:r>
          </w:p>
        </w:tc>
        <w:tc>
          <w:tcPr>
            <w:tcW w:w="1080" w:type="dxa"/>
            <w:shd w:val="clear" w:color="auto" w:fill="auto"/>
            <w:vAlign w:val="center"/>
            <w:hideMark/>
          </w:tcPr>
          <w:p w14:paraId="56DE1852" w14:textId="77777777" w:rsidR="000920C9" w:rsidRPr="00B710A9" w:rsidRDefault="000920C9" w:rsidP="00F90DF3">
            <w:pPr>
              <w:jc w:val="center"/>
              <w:rPr>
                <w:rFonts w:ascii="Arial" w:hAnsi="Arial" w:cs="Arial"/>
                <w:color w:val="000000"/>
                <w:sz w:val="18"/>
                <w:szCs w:val="18"/>
              </w:rPr>
            </w:pPr>
            <w:r w:rsidRPr="00B710A9">
              <w:rPr>
                <w:rFonts w:ascii="Arial" w:hAnsi="Arial" w:cs="Arial"/>
                <w:color w:val="000000"/>
                <w:sz w:val="18"/>
                <w:szCs w:val="18"/>
              </w:rPr>
              <w:t>N/A</w:t>
            </w:r>
          </w:p>
        </w:tc>
        <w:tc>
          <w:tcPr>
            <w:tcW w:w="902" w:type="dxa"/>
            <w:shd w:val="clear" w:color="auto" w:fill="auto"/>
            <w:vAlign w:val="center"/>
            <w:hideMark/>
          </w:tcPr>
          <w:p w14:paraId="2157F781" w14:textId="77777777" w:rsidR="000920C9" w:rsidRPr="00B710A9" w:rsidRDefault="000920C9" w:rsidP="00F90DF3">
            <w:pPr>
              <w:jc w:val="center"/>
              <w:rPr>
                <w:rFonts w:ascii="Arial" w:hAnsi="Arial" w:cs="Arial"/>
                <w:color w:val="000000"/>
                <w:sz w:val="18"/>
                <w:szCs w:val="18"/>
              </w:rPr>
            </w:pPr>
            <w:r w:rsidRPr="00B710A9">
              <w:rPr>
                <w:rFonts w:ascii="Arial" w:hAnsi="Arial" w:cs="Arial"/>
                <w:color w:val="000000"/>
                <w:sz w:val="18"/>
                <w:szCs w:val="18"/>
              </w:rPr>
              <w:t>30,90%</w:t>
            </w:r>
          </w:p>
        </w:tc>
        <w:tc>
          <w:tcPr>
            <w:tcW w:w="771" w:type="dxa"/>
            <w:shd w:val="clear" w:color="auto" w:fill="auto"/>
            <w:vAlign w:val="center"/>
            <w:hideMark/>
          </w:tcPr>
          <w:p w14:paraId="46BED10D" w14:textId="77777777" w:rsidR="000920C9" w:rsidRPr="00B710A9" w:rsidRDefault="000920C9" w:rsidP="00F90DF3">
            <w:pPr>
              <w:jc w:val="center"/>
              <w:rPr>
                <w:rFonts w:ascii="Arial" w:hAnsi="Arial" w:cs="Arial"/>
                <w:color w:val="000000"/>
                <w:sz w:val="18"/>
                <w:szCs w:val="18"/>
              </w:rPr>
            </w:pPr>
            <w:r w:rsidRPr="00B710A9">
              <w:rPr>
                <w:rFonts w:ascii="Arial" w:hAnsi="Arial" w:cs="Arial"/>
                <w:color w:val="000000"/>
                <w:sz w:val="18"/>
                <w:szCs w:val="18"/>
              </w:rPr>
              <w:t>51,50%</w:t>
            </w:r>
          </w:p>
        </w:tc>
      </w:tr>
      <w:tr w:rsidR="000920C9" w:rsidRPr="00B710A9" w14:paraId="2CC1CC10" w14:textId="77777777" w:rsidTr="00F90DF3">
        <w:trPr>
          <w:trHeight w:val="426"/>
          <w:jc w:val="center"/>
        </w:trPr>
        <w:tc>
          <w:tcPr>
            <w:tcW w:w="3125" w:type="dxa"/>
            <w:shd w:val="clear" w:color="auto" w:fill="D9E2F3" w:themeFill="accent1" w:themeFillTint="33"/>
            <w:vAlign w:val="center"/>
            <w:hideMark/>
          </w:tcPr>
          <w:p w14:paraId="7D11D92C" w14:textId="77777777" w:rsidR="000920C9" w:rsidRPr="00B710A9" w:rsidRDefault="000920C9" w:rsidP="00F90DF3">
            <w:pPr>
              <w:jc w:val="center"/>
              <w:rPr>
                <w:rFonts w:ascii="Arial" w:hAnsi="Arial" w:cs="Arial"/>
                <w:b/>
                <w:bCs/>
                <w:color w:val="000000"/>
                <w:sz w:val="18"/>
                <w:szCs w:val="18"/>
              </w:rPr>
            </w:pPr>
            <w:r w:rsidRPr="00B710A9">
              <w:rPr>
                <w:rFonts w:ascii="Arial" w:hAnsi="Arial" w:cs="Arial"/>
                <w:b/>
                <w:bCs/>
                <w:color w:val="000000"/>
                <w:sz w:val="18"/>
                <w:szCs w:val="18"/>
              </w:rPr>
              <w:t>Total 30 de junio 2022</w:t>
            </w:r>
          </w:p>
        </w:tc>
        <w:tc>
          <w:tcPr>
            <w:tcW w:w="1053" w:type="dxa"/>
            <w:shd w:val="clear" w:color="auto" w:fill="D9E2F3" w:themeFill="accent1" w:themeFillTint="33"/>
            <w:vAlign w:val="center"/>
            <w:hideMark/>
          </w:tcPr>
          <w:p w14:paraId="30C55968" w14:textId="77777777" w:rsidR="000920C9" w:rsidRPr="00B710A9" w:rsidRDefault="000920C9" w:rsidP="00F90DF3">
            <w:pPr>
              <w:jc w:val="center"/>
              <w:rPr>
                <w:rFonts w:ascii="Arial" w:hAnsi="Arial" w:cs="Arial"/>
                <w:b/>
                <w:bCs/>
                <w:color w:val="000000"/>
                <w:sz w:val="18"/>
                <w:szCs w:val="18"/>
              </w:rPr>
            </w:pPr>
            <w:r w:rsidRPr="00B710A9">
              <w:rPr>
                <w:rFonts w:ascii="Arial" w:hAnsi="Arial" w:cs="Arial"/>
                <w:b/>
                <w:bCs/>
                <w:color w:val="000000"/>
                <w:sz w:val="18"/>
                <w:szCs w:val="18"/>
              </w:rPr>
              <w:t>42.164.007</w:t>
            </w:r>
          </w:p>
        </w:tc>
        <w:tc>
          <w:tcPr>
            <w:tcW w:w="1007" w:type="dxa"/>
            <w:shd w:val="clear" w:color="auto" w:fill="D9E2F3" w:themeFill="accent1" w:themeFillTint="33"/>
            <w:vAlign w:val="center"/>
            <w:hideMark/>
          </w:tcPr>
          <w:p w14:paraId="1E03BE54" w14:textId="77777777" w:rsidR="000920C9" w:rsidRPr="00B710A9" w:rsidRDefault="000920C9" w:rsidP="00F90DF3">
            <w:pPr>
              <w:jc w:val="center"/>
              <w:rPr>
                <w:rFonts w:ascii="Arial" w:hAnsi="Arial" w:cs="Arial"/>
                <w:b/>
                <w:bCs/>
                <w:color w:val="000000"/>
                <w:sz w:val="18"/>
                <w:szCs w:val="18"/>
              </w:rPr>
            </w:pPr>
            <w:r w:rsidRPr="00B710A9">
              <w:rPr>
                <w:rFonts w:ascii="Arial" w:hAnsi="Arial" w:cs="Arial"/>
                <w:b/>
                <w:bCs/>
                <w:color w:val="000000"/>
                <w:sz w:val="18"/>
                <w:szCs w:val="18"/>
              </w:rPr>
              <w:t>3.824.343</w:t>
            </w:r>
          </w:p>
        </w:tc>
        <w:tc>
          <w:tcPr>
            <w:tcW w:w="1053" w:type="dxa"/>
            <w:shd w:val="clear" w:color="auto" w:fill="D9E2F3" w:themeFill="accent1" w:themeFillTint="33"/>
            <w:vAlign w:val="center"/>
            <w:hideMark/>
          </w:tcPr>
          <w:p w14:paraId="10A9644D" w14:textId="77777777" w:rsidR="000920C9" w:rsidRPr="00B710A9" w:rsidRDefault="000920C9" w:rsidP="00F90DF3">
            <w:pPr>
              <w:jc w:val="center"/>
              <w:rPr>
                <w:rFonts w:ascii="Arial" w:hAnsi="Arial" w:cs="Arial"/>
                <w:b/>
                <w:bCs/>
                <w:color w:val="000000"/>
                <w:sz w:val="18"/>
                <w:szCs w:val="18"/>
              </w:rPr>
            </w:pPr>
            <w:r w:rsidRPr="00B710A9">
              <w:rPr>
                <w:rFonts w:ascii="Arial" w:hAnsi="Arial" w:cs="Arial"/>
                <w:b/>
                <w:bCs/>
                <w:color w:val="000000"/>
                <w:sz w:val="18"/>
                <w:szCs w:val="18"/>
              </w:rPr>
              <w:t>45.988.350</w:t>
            </w:r>
          </w:p>
        </w:tc>
        <w:tc>
          <w:tcPr>
            <w:tcW w:w="1080" w:type="dxa"/>
            <w:shd w:val="clear" w:color="auto" w:fill="D9E2F3" w:themeFill="accent1" w:themeFillTint="33"/>
            <w:vAlign w:val="center"/>
            <w:hideMark/>
          </w:tcPr>
          <w:p w14:paraId="4D7991E6" w14:textId="77777777" w:rsidR="000920C9" w:rsidRPr="00B710A9" w:rsidRDefault="000920C9" w:rsidP="00F90DF3">
            <w:pPr>
              <w:jc w:val="center"/>
              <w:rPr>
                <w:rFonts w:ascii="Arial" w:hAnsi="Arial" w:cs="Arial"/>
                <w:b/>
                <w:bCs/>
                <w:color w:val="000000"/>
                <w:sz w:val="18"/>
                <w:szCs w:val="18"/>
              </w:rPr>
            </w:pPr>
            <w:r w:rsidRPr="00B710A9">
              <w:rPr>
                <w:rFonts w:ascii="Arial" w:hAnsi="Arial" w:cs="Arial"/>
                <w:b/>
                <w:bCs/>
                <w:color w:val="000000"/>
                <w:sz w:val="18"/>
                <w:szCs w:val="18"/>
              </w:rPr>
              <w:t> </w:t>
            </w:r>
          </w:p>
        </w:tc>
        <w:tc>
          <w:tcPr>
            <w:tcW w:w="902" w:type="dxa"/>
            <w:shd w:val="clear" w:color="auto" w:fill="D9E2F3" w:themeFill="accent1" w:themeFillTint="33"/>
            <w:vAlign w:val="center"/>
            <w:hideMark/>
          </w:tcPr>
          <w:p w14:paraId="4BDEF9AC" w14:textId="77777777" w:rsidR="000920C9" w:rsidRPr="00B710A9" w:rsidRDefault="000920C9" w:rsidP="00F90DF3">
            <w:pPr>
              <w:jc w:val="center"/>
              <w:rPr>
                <w:rFonts w:ascii="Arial" w:hAnsi="Arial" w:cs="Arial"/>
                <w:b/>
                <w:bCs/>
                <w:color w:val="000000"/>
                <w:sz w:val="18"/>
                <w:szCs w:val="18"/>
              </w:rPr>
            </w:pPr>
            <w:r w:rsidRPr="00B710A9">
              <w:rPr>
                <w:rFonts w:ascii="Arial" w:hAnsi="Arial" w:cs="Arial"/>
                <w:b/>
                <w:bCs/>
                <w:color w:val="000000"/>
                <w:sz w:val="18"/>
                <w:szCs w:val="18"/>
              </w:rPr>
              <w:t>40,31%</w:t>
            </w:r>
          </w:p>
        </w:tc>
        <w:tc>
          <w:tcPr>
            <w:tcW w:w="771" w:type="dxa"/>
            <w:shd w:val="clear" w:color="auto" w:fill="D9E2F3" w:themeFill="accent1" w:themeFillTint="33"/>
            <w:vAlign w:val="center"/>
            <w:hideMark/>
          </w:tcPr>
          <w:p w14:paraId="441D2283" w14:textId="77777777" w:rsidR="000920C9" w:rsidRPr="00B710A9" w:rsidRDefault="000920C9" w:rsidP="00F90DF3">
            <w:pPr>
              <w:jc w:val="center"/>
              <w:rPr>
                <w:rFonts w:ascii="Arial" w:hAnsi="Arial" w:cs="Arial"/>
                <w:b/>
                <w:bCs/>
                <w:color w:val="000000"/>
                <w:sz w:val="18"/>
                <w:szCs w:val="18"/>
              </w:rPr>
            </w:pPr>
            <w:r w:rsidRPr="00B710A9">
              <w:rPr>
                <w:rFonts w:ascii="Arial" w:hAnsi="Arial" w:cs="Arial"/>
                <w:b/>
                <w:bCs/>
                <w:color w:val="000000"/>
                <w:sz w:val="18"/>
                <w:szCs w:val="18"/>
              </w:rPr>
              <w:t>67,18%</w:t>
            </w:r>
          </w:p>
        </w:tc>
      </w:tr>
    </w:tbl>
    <w:p w14:paraId="1A1B2D68" w14:textId="262C1008" w:rsidR="000920C9" w:rsidRPr="00B710A9" w:rsidRDefault="000920C9" w:rsidP="000920C9">
      <w:pPr>
        <w:jc w:val="center"/>
        <w:rPr>
          <w:rFonts w:cs="Arial"/>
          <w:b/>
          <w:bCs/>
          <w:color w:val="000000" w:themeColor="text1"/>
          <w:sz w:val="16"/>
          <w:szCs w:val="16"/>
        </w:rPr>
      </w:pPr>
      <w:r w:rsidRPr="00B710A9">
        <w:rPr>
          <w:rFonts w:cs="Arial"/>
          <w:b/>
          <w:bCs/>
          <w:color w:val="000000" w:themeColor="text1"/>
          <w:sz w:val="16"/>
          <w:szCs w:val="16"/>
        </w:rPr>
        <w:t>Fuente: Dirección de Gestión Catastral</w:t>
      </w:r>
    </w:p>
    <w:p w14:paraId="18968E7C" w14:textId="262C1008" w:rsidR="000920C9" w:rsidRPr="00B710A9" w:rsidRDefault="000920C9" w:rsidP="000920C9">
      <w:pPr>
        <w:jc w:val="both"/>
        <w:rPr>
          <w:rFonts w:ascii="Arial" w:eastAsia="Arial" w:hAnsi="Arial" w:cs="Arial"/>
          <w:sz w:val="22"/>
          <w:szCs w:val="22"/>
          <w:lang w:val="es"/>
        </w:rPr>
      </w:pPr>
      <w:r w:rsidRPr="00B710A9">
        <w:rPr>
          <w:rFonts w:ascii="Arial" w:eastAsia="Arial" w:hAnsi="Arial" w:cs="Arial"/>
          <w:sz w:val="22"/>
          <w:szCs w:val="22"/>
          <w:lang w:val="es"/>
        </w:rPr>
        <w:t>Por su parte, el IGAC, con corte al mes de junio de 2022, en su rol de gestor catastral por excepción, llevó a cabo procesos de actualización y formación catastral de 23.704.941 hectáreas en zonas rurales y urbanas del país, como se muestra a continuación:</w:t>
      </w:r>
    </w:p>
    <w:p w14:paraId="62E4EE7B" w14:textId="262C1008" w:rsidR="000920C9" w:rsidRPr="00B710A9" w:rsidRDefault="000920C9" w:rsidP="000920C9">
      <w:pPr>
        <w:pStyle w:val="Lista"/>
        <w:rPr>
          <w:rFonts w:cs="Arial"/>
          <w:sz w:val="22"/>
          <w:szCs w:val="22"/>
        </w:rPr>
      </w:pPr>
    </w:p>
    <w:p w14:paraId="0D21B14F" w14:textId="77777777" w:rsidR="00006132" w:rsidRDefault="00006132" w:rsidP="000920C9">
      <w:pPr>
        <w:pStyle w:val="Descripcin"/>
        <w:jc w:val="center"/>
        <w:rPr>
          <w:rFonts w:ascii="Arial" w:hAnsi="Arial" w:cs="Arial"/>
          <w:b/>
          <w:bCs/>
          <w:i w:val="0"/>
          <w:iCs w:val="0"/>
          <w:color w:val="auto"/>
          <w:sz w:val="22"/>
          <w:szCs w:val="22"/>
        </w:rPr>
      </w:pPr>
      <w:bookmarkStart w:id="23" w:name="_Toc107902533"/>
    </w:p>
    <w:p w14:paraId="1327BEAA" w14:textId="77777777" w:rsidR="00FB0D5E" w:rsidRPr="00FB0D5E" w:rsidRDefault="00FB0D5E" w:rsidP="00FB0D5E"/>
    <w:p w14:paraId="58604CCB" w14:textId="00AF0CC3" w:rsidR="000920C9" w:rsidRPr="00B710A9" w:rsidRDefault="00094092" w:rsidP="00094092">
      <w:pPr>
        <w:pStyle w:val="Descripcin"/>
        <w:jc w:val="center"/>
        <w:rPr>
          <w:rFonts w:ascii="Arial" w:hAnsi="Arial" w:cs="Arial"/>
          <w:b/>
          <w:bCs/>
          <w:i w:val="0"/>
          <w:iCs w:val="0"/>
          <w:color w:val="000000" w:themeColor="text1"/>
          <w:sz w:val="20"/>
          <w:szCs w:val="20"/>
        </w:rPr>
      </w:pPr>
      <w:bookmarkStart w:id="24" w:name="_Toc109057775"/>
      <w:bookmarkEnd w:id="23"/>
      <w:r w:rsidRPr="00B710A9">
        <w:rPr>
          <w:rFonts w:ascii="Arial" w:hAnsi="Arial" w:cs="Arial"/>
          <w:b/>
          <w:bCs/>
          <w:i w:val="0"/>
          <w:iCs w:val="0"/>
          <w:color w:val="000000" w:themeColor="text1"/>
          <w:sz w:val="16"/>
          <w:szCs w:val="16"/>
        </w:rPr>
        <w:t xml:space="preserve">Ilustración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Ilustración \* ARABIC </w:instrText>
      </w:r>
      <w:r w:rsidRPr="00B710A9">
        <w:rPr>
          <w:rFonts w:ascii="Arial" w:hAnsi="Arial" w:cs="Arial"/>
          <w:b/>
          <w:bCs/>
          <w:i w:val="0"/>
          <w:iCs w:val="0"/>
          <w:color w:val="000000" w:themeColor="text1"/>
          <w:sz w:val="16"/>
          <w:szCs w:val="16"/>
        </w:rPr>
        <w:fldChar w:fldCharType="separate"/>
      </w:r>
      <w:r w:rsidR="00735F5D" w:rsidRPr="00B710A9">
        <w:rPr>
          <w:rFonts w:ascii="Arial" w:hAnsi="Arial" w:cs="Arial"/>
          <w:b/>
          <w:bCs/>
          <w:i w:val="0"/>
          <w:iCs w:val="0"/>
          <w:noProof/>
          <w:color w:val="000000" w:themeColor="text1"/>
          <w:sz w:val="16"/>
          <w:szCs w:val="16"/>
        </w:rPr>
        <w:t>5</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Comparativo de actualización catastral 2018-2022_IGAC</w:t>
      </w:r>
      <w:r w:rsidR="00597403" w:rsidRPr="00B710A9">
        <w:rPr>
          <w:rStyle w:val="Refdenotaalpie"/>
          <w:rFonts w:ascii="Arial" w:hAnsi="Arial" w:cs="Arial"/>
          <w:b/>
          <w:bCs/>
          <w:i w:val="0"/>
          <w:iCs w:val="0"/>
          <w:color w:val="000000" w:themeColor="text1"/>
          <w:sz w:val="16"/>
          <w:szCs w:val="16"/>
        </w:rPr>
        <w:footnoteReference w:id="2"/>
      </w:r>
      <w:bookmarkEnd w:id="24"/>
    </w:p>
    <w:p w14:paraId="1A4915B2" w14:textId="77777777" w:rsidR="000920C9" w:rsidRPr="00B710A9" w:rsidRDefault="000920C9" w:rsidP="000920C9">
      <w:pPr>
        <w:jc w:val="center"/>
        <w:rPr>
          <w:rFonts w:ascii="Arial" w:hAnsi="Arial" w:cs="Arial"/>
          <w:noProof/>
          <w:sz w:val="22"/>
          <w:szCs w:val="22"/>
        </w:rPr>
      </w:pPr>
      <w:r w:rsidRPr="00B710A9">
        <w:rPr>
          <w:rFonts w:ascii="Arial" w:hAnsi="Arial" w:cs="Arial"/>
          <w:noProof/>
          <w:sz w:val="22"/>
          <w:szCs w:val="22"/>
        </w:rPr>
        <w:drawing>
          <wp:inline distT="0" distB="0" distL="0" distR="0" wp14:anchorId="4CD70DA8" wp14:editId="6EC1FC78">
            <wp:extent cx="4572000" cy="2743200"/>
            <wp:effectExtent l="0" t="0" r="0" b="0"/>
            <wp:docPr id="2094547216" name="Gráfico 2094547216">
              <a:extLst xmlns:a="http://schemas.openxmlformats.org/drawingml/2006/main">
                <a:ext uri="{FF2B5EF4-FFF2-40B4-BE49-F238E27FC236}">
                  <a16:creationId xmlns:a16="http://schemas.microsoft.com/office/drawing/2014/main" id="{88546252-89BE-18CD-51C0-87CF8CF36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4DB8FBC" w14:textId="262C1008" w:rsidR="000920C9" w:rsidRPr="00B710A9" w:rsidRDefault="000920C9" w:rsidP="000920C9">
      <w:pPr>
        <w:jc w:val="center"/>
        <w:rPr>
          <w:rFonts w:ascii="Arial" w:hAnsi="Arial" w:cs="Arial"/>
          <w:b/>
          <w:bCs/>
          <w:color w:val="000000" w:themeColor="text1"/>
          <w:sz w:val="16"/>
          <w:szCs w:val="16"/>
        </w:rPr>
      </w:pPr>
      <w:r w:rsidRPr="00B710A9">
        <w:rPr>
          <w:rFonts w:ascii="Arial" w:hAnsi="Arial" w:cs="Arial"/>
          <w:b/>
          <w:bCs/>
          <w:color w:val="000000" w:themeColor="text1"/>
          <w:sz w:val="16"/>
          <w:szCs w:val="16"/>
        </w:rPr>
        <w:t>Fuente: Dirección de Gestión Catastral</w:t>
      </w:r>
    </w:p>
    <w:p w14:paraId="4625E52B" w14:textId="262C1008" w:rsidR="000920C9" w:rsidRPr="00B710A9" w:rsidRDefault="000920C9" w:rsidP="000920C9">
      <w:pPr>
        <w:jc w:val="center"/>
        <w:rPr>
          <w:rFonts w:ascii="Arial" w:hAnsi="Arial" w:cs="Arial"/>
          <w:sz w:val="22"/>
          <w:szCs w:val="22"/>
        </w:rPr>
      </w:pPr>
    </w:p>
    <w:p w14:paraId="6891FDD9" w14:textId="262C1008" w:rsidR="000920C9" w:rsidRPr="00B710A9" w:rsidRDefault="000920C9" w:rsidP="000920C9">
      <w:pPr>
        <w:jc w:val="both"/>
        <w:rPr>
          <w:rFonts w:ascii="Arial" w:hAnsi="Arial" w:cs="Arial"/>
          <w:sz w:val="22"/>
          <w:szCs w:val="22"/>
        </w:rPr>
      </w:pPr>
      <w:r w:rsidRPr="00B710A9">
        <w:rPr>
          <w:rFonts w:ascii="Arial" w:hAnsi="Arial" w:cs="Arial"/>
          <w:sz w:val="22"/>
          <w:szCs w:val="22"/>
        </w:rPr>
        <w:lastRenderedPageBreak/>
        <w:t xml:space="preserve">A continuación, se relacionan los avances con fecha de corte 30 de junio, en la ejecución de los proyectos de actualización catastral que iniciaron en la vigencia 2021 y 2022, así. </w:t>
      </w:r>
    </w:p>
    <w:p w14:paraId="43C45C0D" w14:textId="262C1008" w:rsidR="000920C9" w:rsidRPr="00B710A9" w:rsidRDefault="000920C9" w:rsidP="000920C9">
      <w:pPr>
        <w:jc w:val="both"/>
        <w:rPr>
          <w:rFonts w:ascii="Arial" w:hAnsi="Arial" w:cs="Arial"/>
          <w:sz w:val="22"/>
          <w:szCs w:val="22"/>
        </w:rPr>
      </w:pPr>
    </w:p>
    <w:p w14:paraId="5F0C3FFA" w14:textId="262C1008" w:rsidR="000920C9" w:rsidRPr="00B710A9" w:rsidRDefault="000920C9" w:rsidP="00356A3E">
      <w:pPr>
        <w:pStyle w:val="Prrafodelista"/>
        <w:numPr>
          <w:ilvl w:val="0"/>
          <w:numId w:val="82"/>
        </w:numPr>
        <w:suppressAutoHyphens/>
        <w:overflowPunct w:val="0"/>
        <w:autoSpaceDE w:val="0"/>
        <w:spacing w:after="0" w:line="240" w:lineRule="auto"/>
        <w:jc w:val="both"/>
        <w:textAlignment w:val="baseline"/>
        <w:rPr>
          <w:rFonts w:ascii="Arial" w:hAnsi="Arial" w:cs="Arial"/>
          <w:b/>
          <w:sz w:val="22"/>
          <w:szCs w:val="22"/>
        </w:rPr>
      </w:pPr>
      <w:r w:rsidRPr="00B710A9">
        <w:rPr>
          <w:rFonts w:ascii="Arial" w:hAnsi="Arial" w:cs="Arial"/>
          <w:b/>
          <w:sz w:val="22"/>
          <w:szCs w:val="22"/>
        </w:rPr>
        <w:t xml:space="preserve">Popayán (Cauca): </w:t>
      </w:r>
      <w:r w:rsidRPr="00B710A9">
        <w:rPr>
          <w:rFonts w:ascii="Arial" w:hAnsi="Arial" w:cs="Arial"/>
          <w:bCs/>
          <w:sz w:val="22"/>
          <w:szCs w:val="22"/>
        </w:rPr>
        <w:t>El proyecto se inició en el año 2021, durante este se realizó la actualización catastral de 86.005 predios, los cuales incluyen los cancelados, estos fueron puestos en vigencia en 2022, quedando pendiente aproximadamente 64.118 predios por actualizar. El contrato había sido suspendido el 28 de diciembre de 2021 debido principalmente a los inconvenientes presentados durante la ejecución relacionados con Imposibilidad de acceso a predios debido a dificultades presentadas con la comunidad en los siguientes casos: - Agresión física a funcionarios de la Entidad. - Inseguridad en zonas con presencia de grupos al margen de la ley. - Asentamientos ilegales en desacuerdo con el proceso de Actualización Catastral en la zona urbana del municipio. - Áreas de Resguardos Indígenas presentes en la zona rural del municipio. - Zonas con predios de mayor extensión que presentan desarrollo urbanístico ilegal. - Dificultad en la entrega de información de segregaciones materiales en PH y NPH por parte de entes privados y municipales encargados de suministrarla, en este caso Las Curadurías Urbanas, además se estaba coordinando  con el municipio los sectores prioritarios de intervención y mecanismos de socialización con la comunidad, una vez superados estos inconvenientes el contrato se reinició el 11 de mayo de 2022, actualmente se están ejecutando labores de socialización con diferentes sectores de la comunidad y se continua con el reconocimiento predial.</w:t>
      </w:r>
    </w:p>
    <w:p w14:paraId="73FF512E" w14:textId="262C1008" w:rsidR="000920C9" w:rsidRPr="00B710A9" w:rsidRDefault="000920C9" w:rsidP="00356A3E">
      <w:pPr>
        <w:pStyle w:val="Prrafodelista"/>
        <w:numPr>
          <w:ilvl w:val="0"/>
          <w:numId w:val="82"/>
        </w:numPr>
        <w:suppressAutoHyphens/>
        <w:overflowPunct w:val="0"/>
        <w:autoSpaceDE w:val="0"/>
        <w:spacing w:after="0" w:line="240" w:lineRule="auto"/>
        <w:jc w:val="both"/>
        <w:textAlignment w:val="baseline"/>
        <w:rPr>
          <w:rFonts w:ascii="Arial" w:hAnsi="Arial" w:cs="Arial"/>
          <w:b/>
          <w:bCs/>
          <w:sz w:val="22"/>
          <w:szCs w:val="22"/>
        </w:rPr>
      </w:pPr>
      <w:r w:rsidRPr="00B710A9">
        <w:rPr>
          <w:rFonts w:ascii="Arial" w:hAnsi="Arial" w:cs="Arial"/>
          <w:b/>
          <w:bCs/>
          <w:sz w:val="22"/>
          <w:szCs w:val="22"/>
        </w:rPr>
        <w:t>Arauquita (Arauca):</w:t>
      </w:r>
      <w:r w:rsidRPr="00B710A9">
        <w:rPr>
          <w:rFonts w:ascii="Arial" w:hAnsi="Arial" w:cs="Arial"/>
          <w:sz w:val="22"/>
          <w:szCs w:val="22"/>
        </w:rPr>
        <w:t xml:space="preserve"> Durante la vigencia de 2021 y 2022 se llevó a cabo la identificación predial de 4.974 predios, los cuales se encuentran en diferentes etapas del proceso. Sin embargo, en lo corrido este año no se ha podido ejecutar correctamente el proyecto debido a que no fue posible la contratación del personal completo debido a los inconvenientes de orden público del municipio, lo que conllevó a que los perfiles seleccionados no aceptarán los contratos. Lo anterior generó que en este primer trimestre de 2022 se esté realizando trabajo remoto desde la sede central. Para dar continuidad a las actividades planeadas, se plantearon estrategias para la continuación del proyecto, tales como capacitar a personal de la zona como reconocedores prediales urbanos y rurales con enfoque multipropósito, de manera que se cuente con personal de campo suficiente para realizar labores en la zona y se pueda articular un modelo de trabajo en campo y remoto complementando este personal de la zona con profesionales que trabajen desde la sede central. A la fecha se está adelantando la selección de perfiles y consecución de documentos para la contratación del personal del proyecto y de esta manera poder continuar la ejecución del proyecto.</w:t>
      </w:r>
    </w:p>
    <w:p w14:paraId="24DA391D" w14:textId="262C1008" w:rsidR="000920C9" w:rsidRPr="00B710A9" w:rsidRDefault="000920C9" w:rsidP="00356A3E">
      <w:pPr>
        <w:pStyle w:val="Prrafodelista"/>
        <w:numPr>
          <w:ilvl w:val="0"/>
          <w:numId w:val="82"/>
        </w:numPr>
        <w:suppressAutoHyphens/>
        <w:overflowPunct w:val="0"/>
        <w:autoSpaceDE w:val="0"/>
        <w:spacing w:after="0" w:line="240" w:lineRule="auto"/>
        <w:jc w:val="both"/>
        <w:textAlignment w:val="baseline"/>
        <w:rPr>
          <w:rFonts w:ascii="Arial" w:hAnsi="Arial" w:cs="Arial"/>
          <w:b/>
          <w:sz w:val="22"/>
          <w:szCs w:val="22"/>
        </w:rPr>
      </w:pPr>
      <w:r w:rsidRPr="00B710A9">
        <w:rPr>
          <w:rFonts w:ascii="Arial" w:hAnsi="Arial" w:cs="Arial"/>
          <w:b/>
          <w:sz w:val="22"/>
          <w:szCs w:val="22"/>
        </w:rPr>
        <w:t xml:space="preserve">Paz de Ariporo (Casanare): </w:t>
      </w:r>
      <w:r w:rsidRPr="00B710A9">
        <w:rPr>
          <w:rFonts w:ascii="Arial" w:hAnsi="Arial" w:cs="Arial"/>
          <w:bCs/>
          <w:sz w:val="22"/>
          <w:szCs w:val="22"/>
        </w:rPr>
        <w:t>El 10 de noviembre de 2021 se dio inicio al proyecto, realizando labores de alistamiento y consecución de insumos. Este fue suspendido finalizando el 2021. Se dio reinicio al mismo el 23 de marzo de 2022; en este contrato se ha avanzado en la identificación predial de 5.263 predios, de los cuales se tienen 823 predios digitalizados y 230 en control de calidad de grupo, de igual manera se continúan con las actividades de socialización con la comunidad.</w:t>
      </w:r>
    </w:p>
    <w:p w14:paraId="62CDDA7C" w14:textId="45491F5E" w:rsidR="000920C9" w:rsidRPr="00B710A9" w:rsidRDefault="000920C9" w:rsidP="00356A3E">
      <w:pPr>
        <w:pStyle w:val="Prrafodelista"/>
        <w:numPr>
          <w:ilvl w:val="0"/>
          <w:numId w:val="82"/>
        </w:numPr>
        <w:suppressAutoHyphens/>
        <w:overflowPunct w:val="0"/>
        <w:autoSpaceDE w:val="0"/>
        <w:spacing w:after="0" w:line="240" w:lineRule="auto"/>
        <w:jc w:val="both"/>
        <w:textAlignment w:val="baseline"/>
        <w:rPr>
          <w:rFonts w:ascii="Arial" w:hAnsi="Arial" w:cs="Arial"/>
          <w:bCs/>
          <w:sz w:val="22"/>
          <w:szCs w:val="22"/>
        </w:rPr>
      </w:pPr>
      <w:r w:rsidRPr="00B710A9">
        <w:rPr>
          <w:rFonts w:ascii="Arial" w:hAnsi="Arial" w:cs="Arial"/>
          <w:b/>
          <w:sz w:val="22"/>
          <w:szCs w:val="22"/>
        </w:rPr>
        <w:t xml:space="preserve">Tocancipá (Cundinamarca): </w:t>
      </w:r>
      <w:r w:rsidRPr="00B710A9">
        <w:rPr>
          <w:rFonts w:ascii="Arial" w:hAnsi="Arial" w:cs="Arial"/>
          <w:bCs/>
          <w:sz w:val="22"/>
          <w:szCs w:val="22"/>
        </w:rPr>
        <w:t xml:space="preserve">Durante la actual vigencia se iniciaron las labores de reconocimiento predial. A la fecha, se ha realizado el levantamiento predial de 3.192 predios, sin </w:t>
      </w:r>
      <w:r w:rsidR="00597403" w:rsidRPr="00B710A9">
        <w:rPr>
          <w:rFonts w:ascii="Arial" w:hAnsi="Arial" w:cs="Arial"/>
          <w:bCs/>
          <w:sz w:val="22"/>
          <w:szCs w:val="22"/>
        </w:rPr>
        <w:t>embargo,</w:t>
      </w:r>
      <w:r w:rsidRPr="00B710A9">
        <w:rPr>
          <w:rFonts w:ascii="Arial" w:hAnsi="Arial" w:cs="Arial"/>
          <w:bCs/>
          <w:sz w:val="22"/>
          <w:szCs w:val="22"/>
        </w:rPr>
        <w:t xml:space="preserve"> luego de una verificación por parte del grupo de aseguramiento de calidad se evidencio que sobre estos se tenían observaciones las cuales se encuentran en proceso de ajuste por parte del equipo de campo.</w:t>
      </w:r>
    </w:p>
    <w:p w14:paraId="0E43B5CB" w14:textId="262C1008" w:rsidR="000920C9" w:rsidRPr="00B710A9" w:rsidRDefault="000920C9" w:rsidP="00356A3E">
      <w:pPr>
        <w:pStyle w:val="Prrafodelista"/>
        <w:numPr>
          <w:ilvl w:val="0"/>
          <w:numId w:val="82"/>
        </w:numPr>
        <w:suppressAutoHyphens/>
        <w:overflowPunct w:val="0"/>
        <w:autoSpaceDE w:val="0"/>
        <w:spacing w:after="0" w:line="240" w:lineRule="auto"/>
        <w:jc w:val="both"/>
        <w:textAlignment w:val="baseline"/>
        <w:rPr>
          <w:rFonts w:ascii="Arial" w:hAnsi="Arial" w:cs="Arial"/>
          <w:b/>
          <w:sz w:val="22"/>
          <w:szCs w:val="22"/>
        </w:rPr>
      </w:pPr>
      <w:r w:rsidRPr="00B710A9">
        <w:rPr>
          <w:rFonts w:ascii="Arial" w:hAnsi="Arial" w:cs="Arial"/>
          <w:b/>
          <w:sz w:val="22"/>
          <w:szCs w:val="22"/>
        </w:rPr>
        <w:lastRenderedPageBreak/>
        <w:t xml:space="preserve">Gachancipá (Cundinamarca): </w:t>
      </w:r>
      <w:r w:rsidRPr="00B710A9">
        <w:rPr>
          <w:rFonts w:ascii="Arial" w:hAnsi="Arial" w:cs="Arial"/>
          <w:bCs/>
          <w:sz w:val="22"/>
          <w:szCs w:val="22"/>
        </w:rPr>
        <w:t>Durante el año 2021, se realizó la actualización de 3 veredas de este municipio: San Martin, El Roble y Santa Bárbara, en las cuales se realizó el levantamiento y actualización catastral de 1.703 predios. En la actual vigencia, se ha realizado el levantamiento predial de 2.588 predios.</w:t>
      </w:r>
    </w:p>
    <w:p w14:paraId="56A1F20E" w14:textId="262C1008" w:rsidR="000920C9" w:rsidRPr="00B710A9" w:rsidRDefault="000920C9" w:rsidP="00356A3E">
      <w:pPr>
        <w:pStyle w:val="Prrafodelista"/>
        <w:numPr>
          <w:ilvl w:val="0"/>
          <w:numId w:val="82"/>
        </w:numPr>
        <w:suppressAutoHyphens/>
        <w:overflowPunct w:val="0"/>
        <w:autoSpaceDE w:val="0"/>
        <w:spacing w:after="0" w:line="240" w:lineRule="auto"/>
        <w:jc w:val="both"/>
        <w:textAlignment w:val="baseline"/>
        <w:rPr>
          <w:rFonts w:ascii="Arial" w:hAnsi="Arial" w:cs="Arial"/>
          <w:b/>
          <w:sz w:val="22"/>
          <w:szCs w:val="22"/>
        </w:rPr>
      </w:pPr>
      <w:r w:rsidRPr="00B710A9">
        <w:rPr>
          <w:rFonts w:ascii="Arial" w:hAnsi="Arial" w:cs="Arial"/>
          <w:b/>
          <w:sz w:val="22"/>
          <w:szCs w:val="22"/>
        </w:rPr>
        <w:t xml:space="preserve">La Tebaida (Quindío): </w:t>
      </w:r>
      <w:r w:rsidRPr="00B710A9">
        <w:rPr>
          <w:rFonts w:ascii="Arial" w:hAnsi="Arial" w:cs="Arial"/>
          <w:bCs/>
          <w:sz w:val="22"/>
          <w:szCs w:val="22"/>
        </w:rPr>
        <w:t xml:space="preserve">A la fecha del presente informe se ha realizado el levantamiento catastral de 2.656 predios y se tienen 2.969 predios con revisión jurídica. </w:t>
      </w:r>
    </w:p>
    <w:p w14:paraId="1DCFDD9A" w14:textId="20991A76" w:rsidR="000920C9" w:rsidRPr="00B710A9" w:rsidRDefault="000920C9" w:rsidP="00356A3E">
      <w:pPr>
        <w:pStyle w:val="Prrafodelista"/>
        <w:numPr>
          <w:ilvl w:val="0"/>
          <w:numId w:val="82"/>
        </w:numPr>
        <w:suppressAutoHyphens/>
        <w:overflowPunct w:val="0"/>
        <w:autoSpaceDE w:val="0"/>
        <w:spacing w:after="0" w:line="240" w:lineRule="auto"/>
        <w:jc w:val="both"/>
        <w:textAlignment w:val="baseline"/>
        <w:rPr>
          <w:rFonts w:ascii="Arial" w:hAnsi="Arial" w:cs="Arial"/>
          <w:bCs/>
          <w:sz w:val="22"/>
          <w:szCs w:val="22"/>
        </w:rPr>
      </w:pPr>
      <w:proofErr w:type="spellStart"/>
      <w:r w:rsidRPr="00B710A9">
        <w:rPr>
          <w:rFonts w:ascii="Arial" w:hAnsi="Arial" w:cs="Arial"/>
          <w:b/>
          <w:sz w:val="22"/>
          <w:szCs w:val="22"/>
        </w:rPr>
        <w:t>Betéitiva</w:t>
      </w:r>
      <w:proofErr w:type="spellEnd"/>
      <w:r w:rsidRPr="00B710A9">
        <w:rPr>
          <w:rFonts w:ascii="Arial" w:hAnsi="Arial" w:cs="Arial"/>
          <w:b/>
          <w:sz w:val="22"/>
          <w:szCs w:val="22"/>
        </w:rPr>
        <w:t xml:space="preserve">, </w:t>
      </w:r>
      <w:proofErr w:type="spellStart"/>
      <w:r w:rsidRPr="00B710A9">
        <w:rPr>
          <w:rFonts w:ascii="Arial" w:hAnsi="Arial" w:cs="Arial"/>
          <w:b/>
          <w:sz w:val="22"/>
          <w:szCs w:val="22"/>
        </w:rPr>
        <w:t>Busbanzá</w:t>
      </w:r>
      <w:proofErr w:type="spellEnd"/>
      <w:r w:rsidRPr="00B710A9">
        <w:rPr>
          <w:rFonts w:ascii="Arial" w:hAnsi="Arial" w:cs="Arial"/>
          <w:b/>
          <w:sz w:val="22"/>
          <w:szCs w:val="22"/>
        </w:rPr>
        <w:t xml:space="preserve">, Corrales, Paz del Rio (Boyacá): </w:t>
      </w:r>
      <w:r w:rsidRPr="00B710A9">
        <w:rPr>
          <w:rFonts w:ascii="Arial" w:hAnsi="Arial" w:cs="Arial"/>
          <w:bCs/>
          <w:sz w:val="22"/>
          <w:szCs w:val="22"/>
        </w:rPr>
        <w:t xml:space="preserve">Durante el 2021 y 2022 se realizó la actualización catastral de estos municipios con financiación del Banco Interamericano de Desarrollo, a través de un operador. Se culminó el proceso el 24 de abril de 2022, con una intervención estimada de 13.319 predios, sin </w:t>
      </w:r>
      <w:r w:rsidR="00127485" w:rsidRPr="00B710A9">
        <w:rPr>
          <w:rFonts w:ascii="Arial" w:hAnsi="Arial" w:cs="Arial"/>
          <w:bCs/>
          <w:sz w:val="22"/>
          <w:szCs w:val="22"/>
        </w:rPr>
        <w:t>embargo,</w:t>
      </w:r>
      <w:r w:rsidRPr="00B710A9">
        <w:rPr>
          <w:rFonts w:ascii="Arial" w:hAnsi="Arial" w:cs="Arial"/>
          <w:bCs/>
          <w:sz w:val="22"/>
          <w:szCs w:val="22"/>
        </w:rPr>
        <w:t xml:space="preserve"> a la fecha se continúa realizando la verificación y aseguramiento de la calidad de la información entregada por el operador.</w:t>
      </w:r>
    </w:p>
    <w:p w14:paraId="4A75209B" w14:textId="262C1008" w:rsidR="000920C9" w:rsidRPr="00B710A9" w:rsidRDefault="000920C9" w:rsidP="00356A3E">
      <w:pPr>
        <w:pStyle w:val="Prrafodelista"/>
        <w:numPr>
          <w:ilvl w:val="0"/>
          <w:numId w:val="82"/>
        </w:numPr>
        <w:suppressAutoHyphens/>
        <w:overflowPunct w:val="0"/>
        <w:autoSpaceDE w:val="0"/>
        <w:spacing w:after="0" w:line="240" w:lineRule="auto"/>
        <w:jc w:val="both"/>
        <w:textAlignment w:val="baseline"/>
        <w:rPr>
          <w:rFonts w:ascii="Arial" w:hAnsi="Arial" w:cs="Arial"/>
          <w:b/>
          <w:sz w:val="22"/>
          <w:szCs w:val="22"/>
        </w:rPr>
      </w:pPr>
      <w:r w:rsidRPr="00B710A9">
        <w:rPr>
          <w:rFonts w:ascii="Arial" w:hAnsi="Arial" w:cs="Arial"/>
          <w:b/>
          <w:bCs/>
          <w:sz w:val="22"/>
          <w:szCs w:val="22"/>
        </w:rPr>
        <w:t xml:space="preserve">Socha, Socotá, </w:t>
      </w:r>
      <w:proofErr w:type="spellStart"/>
      <w:r w:rsidRPr="00B710A9">
        <w:rPr>
          <w:rFonts w:ascii="Arial" w:hAnsi="Arial" w:cs="Arial"/>
          <w:b/>
          <w:bCs/>
          <w:sz w:val="22"/>
          <w:szCs w:val="22"/>
        </w:rPr>
        <w:t>Sativasur</w:t>
      </w:r>
      <w:proofErr w:type="spellEnd"/>
      <w:r w:rsidRPr="00B710A9">
        <w:rPr>
          <w:rFonts w:ascii="Arial" w:hAnsi="Arial" w:cs="Arial"/>
          <w:b/>
          <w:bCs/>
          <w:sz w:val="22"/>
          <w:szCs w:val="22"/>
        </w:rPr>
        <w:t>, Tasco</w:t>
      </w:r>
      <w:r w:rsidRPr="00B710A9">
        <w:rPr>
          <w:rFonts w:ascii="Arial" w:hAnsi="Arial" w:cs="Arial"/>
          <w:sz w:val="22"/>
          <w:szCs w:val="22"/>
        </w:rPr>
        <w:t xml:space="preserve"> </w:t>
      </w:r>
      <w:r w:rsidRPr="00B710A9">
        <w:rPr>
          <w:rFonts w:ascii="Arial" w:hAnsi="Arial" w:cs="Arial"/>
          <w:b/>
          <w:bCs/>
          <w:sz w:val="22"/>
          <w:szCs w:val="22"/>
        </w:rPr>
        <w:t xml:space="preserve">(Boyacá); </w:t>
      </w:r>
      <w:r w:rsidRPr="00B710A9">
        <w:rPr>
          <w:rFonts w:ascii="Arial" w:hAnsi="Arial" w:cs="Arial"/>
          <w:bCs/>
          <w:sz w:val="22"/>
          <w:szCs w:val="22"/>
        </w:rPr>
        <w:t>Durante el 2021 y 2022 se realizó la actualización catastral de estos municipios con financiación del Banco Mundial a través de un operador, se culminó el proceso el 31 de mayo de 2022, se tiene estimada una intervención de 27.494 predios y actualmente se está realizando la verificación y aseguramiento de la calidad de la información entregada por el operador</w:t>
      </w:r>
      <w:r w:rsidRPr="00B710A9">
        <w:rPr>
          <w:rFonts w:ascii="Arial" w:hAnsi="Arial" w:cs="Arial"/>
          <w:sz w:val="22"/>
          <w:szCs w:val="22"/>
        </w:rPr>
        <w:t>.</w:t>
      </w:r>
    </w:p>
    <w:p w14:paraId="0A70B4FA" w14:textId="262C1008" w:rsidR="000920C9" w:rsidRPr="00B710A9" w:rsidRDefault="000920C9" w:rsidP="00356A3E">
      <w:pPr>
        <w:pStyle w:val="Prrafodelista"/>
        <w:numPr>
          <w:ilvl w:val="0"/>
          <w:numId w:val="82"/>
        </w:numPr>
        <w:suppressAutoHyphens/>
        <w:overflowPunct w:val="0"/>
        <w:autoSpaceDE w:val="0"/>
        <w:spacing w:after="0" w:line="240" w:lineRule="auto"/>
        <w:jc w:val="both"/>
        <w:textAlignment w:val="baseline"/>
        <w:rPr>
          <w:rFonts w:ascii="Arial" w:hAnsi="Arial" w:cs="Arial"/>
          <w:b/>
          <w:sz w:val="22"/>
          <w:szCs w:val="22"/>
        </w:rPr>
      </w:pPr>
      <w:r w:rsidRPr="00B710A9">
        <w:rPr>
          <w:rFonts w:ascii="Arial" w:hAnsi="Arial" w:cs="Arial"/>
          <w:b/>
          <w:sz w:val="22"/>
          <w:szCs w:val="22"/>
        </w:rPr>
        <w:t>Rioblanco (Tolima):</w:t>
      </w:r>
      <w:r w:rsidRPr="00B710A9">
        <w:rPr>
          <w:rFonts w:ascii="Arial" w:hAnsi="Arial" w:cs="Arial"/>
          <w:sz w:val="22"/>
          <w:szCs w:val="22"/>
        </w:rPr>
        <w:t xml:space="preserve"> A la fecha del presente informe se ha realizado el levantamiento catastral de 1.601 predios de la zona urbana, los cuales se encuentran en proceso de validación de calidad y se ha dado inicio a la ejecución de actividades del componente económico.</w:t>
      </w:r>
    </w:p>
    <w:p w14:paraId="20DB860E" w14:textId="262C1008" w:rsidR="000920C9" w:rsidRPr="00B710A9" w:rsidRDefault="000920C9" w:rsidP="00356A3E">
      <w:pPr>
        <w:pStyle w:val="Prrafodelista"/>
        <w:numPr>
          <w:ilvl w:val="0"/>
          <w:numId w:val="82"/>
        </w:numPr>
        <w:suppressAutoHyphens/>
        <w:overflowPunct w:val="0"/>
        <w:autoSpaceDE w:val="0"/>
        <w:spacing w:after="0" w:line="240" w:lineRule="auto"/>
        <w:jc w:val="both"/>
        <w:textAlignment w:val="baseline"/>
        <w:rPr>
          <w:rFonts w:ascii="Arial" w:hAnsi="Arial" w:cs="Arial"/>
          <w:b/>
          <w:sz w:val="22"/>
          <w:szCs w:val="22"/>
        </w:rPr>
      </w:pPr>
      <w:r w:rsidRPr="00B710A9">
        <w:rPr>
          <w:rFonts w:ascii="Arial" w:hAnsi="Arial" w:cs="Arial"/>
          <w:b/>
          <w:sz w:val="22"/>
          <w:szCs w:val="22"/>
        </w:rPr>
        <w:t xml:space="preserve">Villarrica (Tolima): </w:t>
      </w:r>
      <w:r w:rsidRPr="00B710A9">
        <w:rPr>
          <w:rFonts w:ascii="Arial" w:hAnsi="Arial" w:cs="Arial"/>
          <w:bCs/>
          <w:sz w:val="22"/>
          <w:szCs w:val="22"/>
        </w:rPr>
        <w:t>A la fecha del presente informe se ha realizado el levantamiento catastral de 1.245 predios de la zona urbana.</w:t>
      </w:r>
    </w:p>
    <w:p w14:paraId="20B29982" w14:textId="262C1008" w:rsidR="000920C9" w:rsidRPr="00B710A9" w:rsidRDefault="000920C9" w:rsidP="00356A3E">
      <w:pPr>
        <w:pStyle w:val="Prrafodelista"/>
        <w:numPr>
          <w:ilvl w:val="0"/>
          <w:numId w:val="82"/>
        </w:numPr>
        <w:suppressAutoHyphens/>
        <w:overflowPunct w:val="0"/>
        <w:autoSpaceDE w:val="0"/>
        <w:spacing w:after="0" w:line="240" w:lineRule="auto"/>
        <w:jc w:val="both"/>
        <w:textAlignment w:val="baseline"/>
        <w:rPr>
          <w:rFonts w:ascii="Arial" w:hAnsi="Arial" w:cs="Arial"/>
          <w:b/>
          <w:sz w:val="22"/>
          <w:szCs w:val="22"/>
        </w:rPr>
      </w:pPr>
      <w:r w:rsidRPr="00B710A9">
        <w:rPr>
          <w:rFonts w:ascii="Arial" w:hAnsi="Arial" w:cs="Arial"/>
          <w:b/>
          <w:sz w:val="22"/>
          <w:szCs w:val="22"/>
        </w:rPr>
        <w:t>San Carlos:</w:t>
      </w:r>
      <w:r w:rsidRPr="00B710A9">
        <w:rPr>
          <w:rFonts w:ascii="Arial" w:hAnsi="Arial" w:cs="Arial"/>
          <w:sz w:val="22"/>
          <w:szCs w:val="22"/>
        </w:rPr>
        <w:t xml:space="preserve"> Durante el mes de octubre de 2021, se dio inicio al proceso de intervención catastral de este municipio, a la fecha se tiene un total de 3.707 con reconocimiento predial, los cuales se encuentran en diferentes etapas del proceso.</w:t>
      </w:r>
    </w:p>
    <w:p w14:paraId="7EB7E292" w14:textId="262C1008" w:rsidR="000920C9" w:rsidRPr="00B710A9" w:rsidRDefault="000920C9" w:rsidP="000920C9">
      <w:pPr>
        <w:rPr>
          <w:rFonts w:ascii="Arial" w:hAnsi="Arial" w:cs="Arial"/>
          <w:b/>
          <w:sz w:val="22"/>
          <w:szCs w:val="22"/>
        </w:rPr>
      </w:pPr>
    </w:p>
    <w:p w14:paraId="0037844F" w14:textId="77777777" w:rsidR="000920C9" w:rsidRPr="00B710A9" w:rsidRDefault="000920C9" w:rsidP="000920C9">
      <w:pPr>
        <w:jc w:val="both"/>
        <w:rPr>
          <w:rFonts w:ascii="Arial" w:hAnsi="Arial" w:cs="Arial"/>
          <w:sz w:val="22"/>
          <w:szCs w:val="22"/>
        </w:rPr>
      </w:pPr>
      <w:r w:rsidRPr="00B710A9">
        <w:rPr>
          <w:rFonts w:ascii="Arial" w:hAnsi="Arial" w:cs="Arial"/>
          <w:sz w:val="22"/>
          <w:szCs w:val="22"/>
        </w:rPr>
        <w:t>Para el año 2022 el IGAC a través de la Dirección de Gestión Catastral en conversaciones con la Organización Nacional de los Pueblos Indígenas de la Amazonía Colombiana – OPIAC, decidió realizar la estrategia de resguardos indígenas, proyecto que consiste en la depuración</w:t>
      </w:r>
      <w:r w:rsidRPr="00B710A9">
        <w:rPr>
          <w:rStyle w:val="Refdenotaalpie"/>
          <w:rFonts w:ascii="Arial" w:hAnsi="Arial" w:cs="Arial"/>
          <w:sz w:val="22"/>
          <w:szCs w:val="22"/>
        </w:rPr>
        <w:footnoteReference w:id="3"/>
      </w:r>
      <w:r w:rsidRPr="00B710A9">
        <w:rPr>
          <w:rFonts w:ascii="Arial" w:hAnsi="Arial" w:cs="Arial"/>
          <w:sz w:val="22"/>
          <w:szCs w:val="22"/>
        </w:rPr>
        <w:t xml:space="preserve"> catastral de los resguardos indígenas localizados en la Amazonía Colombiana. </w:t>
      </w:r>
    </w:p>
    <w:p w14:paraId="6CDB8178" w14:textId="262C1008" w:rsidR="000920C9" w:rsidRPr="00B710A9" w:rsidRDefault="000920C9" w:rsidP="000920C9">
      <w:pPr>
        <w:jc w:val="both"/>
        <w:rPr>
          <w:rFonts w:cs="Arial"/>
          <w:sz w:val="22"/>
          <w:szCs w:val="22"/>
        </w:rPr>
      </w:pPr>
    </w:p>
    <w:p w14:paraId="08D383C6" w14:textId="50A5A2E9" w:rsidR="000920C9" w:rsidRPr="00B710A9" w:rsidRDefault="00597403" w:rsidP="00597403">
      <w:pPr>
        <w:pStyle w:val="Descripcin"/>
        <w:keepNext/>
        <w:jc w:val="center"/>
        <w:rPr>
          <w:rFonts w:ascii="Arial" w:hAnsi="Arial" w:cs="Arial"/>
          <w:b/>
          <w:bCs/>
          <w:i w:val="0"/>
          <w:iCs w:val="0"/>
          <w:color w:val="000000" w:themeColor="text1"/>
          <w:sz w:val="16"/>
          <w:szCs w:val="16"/>
        </w:rPr>
      </w:pPr>
      <w:bookmarkStart w:id="25" w:name="_Toc109057776"/>
      <w:r w:rsidRPr="00B710A9">
        <w:rPr>
          <w:rFonts w:ascii="Arial" w:hAnsi="Arial" w:cs="Arial"/>
          <w:b/>
          <w:bCs/>
          <w:i w:val="0"/>
          <w:iCs w:val="0"/>
          <w:color w:val="000000" w:themeColor="text1"/>
          <w:sz w:val="16"/>
          <w:szCs w:val="16"/>
        </w:rPr>
        <w:t xml:space="preserve">Ilustración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Ilustración \* ARABIC </w:instrText>
      </w:r>
      <w:r w:rsidRPr="00B710A9">
        <w:rPr>
          <w:rFonts w:ascii="Arial" w:hAnsi="Arial" w:cs="Arial"/>
          <w:b/>
          <w:bCs/>
          <w:i w:val="0"/>
          <w:iCs w:val="0"/>
          <w:color w:val="000000" w:themeColor="text1"/>
          <w:sz w:val="16"/>
          <w:szCs w:val="16"/>
        </w:rPr>
        <w:fldChar w:fldCharType="separate"/>
      </w:r>
      <w:r w:rsidR="00735F5D" w:rsidRPr="00B710A9">
        <w:rPr>
          <w:rFonts w:ascii="Arial" w:hAnsi="Arial" w:cs="Arial"/>
          <w:b/>
          <w:bCs/>
          <w:i w:val="0"/>
          <w:iCs w:val="0"/>
          <w:noProof/>
          <w:color w:val="000000" w:themeColor="text1"/>
          <w:sz w:val="16"/>
          <w:szCs w:val="16"/>
        </w:rPr>
        <w:t>6</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Intervención resguardos indígenas 2022</w:t>
      </w:r>
      <w:bookmarkEnd w:id="25"/>
    </w:p>
    <w:p w14:paraId="2C3C88EF" w14:textId="2A9E87CA" w:rsidR="00597403" w:rsidRPr="00B710A9" w:rsidRDefault="00597403" w:rsidP="00597403">
      <w:bookmarkStart w:id="26" w:name="_Toc107902534"/>
      <w:r w:rsidRPr="00B710A9">
        <w:rPr>
          <w:rFonts w:ascii="Arial" w:hAnsi="Arial" w:cs="Arial"/>
          <w:b/>
          <w:bCs/>
          <w:i/>
          <w:iCs/>
          <w:noProof/>
          <w:color w:val="000000" w:themeColor="text1"/>
          <w:sz w:val="16"/>
          <w:szCs w:val="16"/>
        </w:rPr>
        <w:drawing>
          <wp:anchor distT="0" distB="0" distL="114300" distR="114300" simplePos="0" relativeHeight="251668992" behindDoc="1" locked="0" layoutInCell="1" allowOverlap="1" wp14:anchorId="30A0818B" wp14:editId="14A895FE">
            <wp:simplePos x="0" y="0"/>
            <wp:positionH relativeFrom="page">
              <wp:posOffset>2628900</wp:posOffset>
            </wp:positionH>
            <wp:positionV relativeFrom="paragraph">
              <wp:posOffset>13335</wp:posOffset>
            </wp:positionV>
            <wp:extent cx="2505075" cy="294322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5075" cy="2943225"/>
                    </a:xfrm>
                    <a:prstGeom prst="rect">
                      <a:avLst/>
                    </a:prstGeom>
                    <a:noFill/>
                  </pic:spPr>
                </pic:pic>
              </a:graphicData>
            </a:graphic>
            <wp14:sizeRelH relativeFrom="page">
              <wp14:pctWidth>0</wp14:pctWidth>
            </wp14:sizeRelH>
            <wp14:sizeRelV relativeFrom="page">
              <wp14:pctHeight>0</wp14:pctHeight>
            </wp14:sizeRelV>
          </wp:anchor>
        </w:drawing>
      </w:r>
      <w:bookmarkEnd w:id="26"/>
    </w:p>
    <w:p w14:paraId="17276AA4" w14:textId="77777777" w:rsidR="00597403" w:rsidRPr="00B710A9" w:rsidRDefault="00597403" w:rsidP="00597403"/>
    <w:p w14:paraId="3572FA87" w14:textId="262C1008" w:rsidR="000920C9" w:rsidRPr="00B710A9" w:rsidRDefault="000920C9" w:rsidP="000920C9">
      <w:pPr>
        <w:rPr>
          <w:lang w:eastAsia="es-ES"/>
        </w:rPr>
      </w:pPr>
    </w:p>
    <w:p w14:paraId="1701DE58" w14:textId="262C1008" w:rsidR="000920C9" w:rsidRPr="00B710A9" w:rsidRDefault="000920C9" w:rsidP="000920C9">
      <w:pPr>
        <w:rPr>
          <w:lang w:eastAsia="es-ES"/>
        </w:rPr>
      </w:pPr>
    </w:p>
    <w:p w14:paraId="3DBB8C84" w14:textId="262C1008" w:rsidR="000920C9" w:rsidRPr="00B710A9" w:rsidRDefault="000920C9" w:rsidP="000920C9">
      <w:pPr>
        <w:rPr>
          <w:lang w:eastAsia="es-ES"/>
        </w:rPr>
      </w:pPr>
    </w:p>
    <w:p w14:paraId="5F0A86C8" w14:textId="262C1008" w:rsidR="000920C9" w:rsidRPr="00B710A9" w:rsidRDefault="000920C9" w:rsidP="000920C9">
      <w:pPr>
        <w:rPr>
          <w:lang w:eastAsia="es-ES"/>
        </w:rPr>
      </w:pPr>
    </w:p>
    <w:p w14:paraId="31E196E6" w14:textId="262C1008" w:rsidR="000920C9" w:rsidRPr="00B710A9" w:rsidRDefault="000920C9" w:rsidP="000920C9">
      <w:pPr>
        <w:rPr>
          <w:lang w:eastAsia="es-ES"/>
        </w:rPr>
      </w:pPr>
    </w:p>
    <w:p w14:paraId="3666D324" w14:textId="262C1008" w:rsidR="000920C9" w:rsidRPr="00B710A9" w:rsidRDefault="000920C9" w:rsidP="000920C9">
      <w:pPr>
        <w:rPr>
          <w:lang w:eastAsia="es-ES"/>
        </w:rPr>
      </w:pPr>
    </w:p>
    <w:p w14:paraId="21BEE0E6" w14:textId="262C1008" w:rsidR="000920C9" w:rsidRPr="00B710A9" w:rsidRDefault="000920C9" w:rsidP="000920C9">
      <w:pPr>
        <w:rPr>
          <w:lang w:eastAsia="es-ES"/>
        </w:rPr>
      </w:pPr>
    </w:p>
    <w:p w14:paraId="04D973DC" w14:textId="262C1008" w:rsidR="000920C9" w:rsidRPr="00B710A9" w:rsidRDefault="000920C9" w:rsidP="000920C9">
      <w:pPr>
        <w:jc w:val="center"/>
        <w:rPr>
          <w:rFonts w:ascii="Arial" w:hAnsi="Arial" w:cs="Arial"/>
          <w:b/>
          <w:bCs/>
          <w:color w:val="000000" w:themeColor="text1"/>
          <w:sz w:val="16"/>
          <w:szCs w:val="16"/>
        </w:rPr>
      </w:pPr>
      <w:r w:rsidRPr="00B710A9">
        <w:rPr>
          <w:rFonts w:ascii="Arial" w:hAnsi="Arial" w:cs="Arial"/>
          <w:b/>
          <w:bCs/>
          <w:color w:val="000000" w:themeColor="text1"/>
          <w:sz w:val="16"/>
          <w:szCs w:val="16"/>
        </w:rPr>
        <w:t>Fuente: Dirección de Gestión Catastral</w:t>
      </w:r>
    </w:p>
    <w:p w14:paraId="253E741F" w14:textId="262C1008" w:rsidR="000920C9" w:rsidRPr="00B710A9" w:rsidRDefault="000920C9" w:rsidP="000920C9">
      <w:pPr>
        <w:jc w:val="both"/>
        <w:rPr>
          <w:rFonts w:cs="Arial"/>
          <w:sz w:val="22"/>
          <w:szCs w:val="22"/>
        </w:rPr>
      </w:pPr>
    </w:p>
    <w:p w14:paraId="6EBF3071" w14:textId="262C1008" w:rsidR="000920C9" w:rsidRPr="00B710A9" w:rsidRDefault="000920C9" w:rsidP="000920C9">
      <w:pPr>
        <w:jc w:val="both"/>
        <w:rPr>
          <w:rFonts w:ascii="Arial" w:hAnsi="Arial" w:cs="Arial"/>
          <w:sz w:val="22"/>
          <w:szCs w:val="22"/>
        </w:rPr>
      </w:pPr>
      <w:r w:rsidRPr="00B710A9">
        <w:rPr>
          <w:rFonts w:ascii="Arial" w:hAnsi="Arial" w:cs="Arial"/>
          <w:sz w:val="22"/>
          <w:szCs w:val="22"/>
        </w:rPr>
        <w:t xml:space="preserve">La estrategia de resguardos se está implementando en los departamentos del Amazonas, Guainía, Guaviare, Vaupés y en los municipios de Puerto Carreño y de La Primavera en el Vichada. La depuración catastral se está adelantando en la actualidad sobre 83 resguardos ubicados en los departamentos mencionados anteriormente como se evidencia en la siguiente tabla: </w:t>
      </w:r>
    </w:p>
    <w:p w14:paraId="010F2E04" w14:textId="262C1008" w:rsidR="000920C9" w:rsidRPr="00B710A9" w:rsidRDefault="000920C9" w:rsidP="000920C9"/>
    <w:p w14:paraId="0890F924" w14:textId="63FEE0C3" w:rsidR="00597403" w:rsidRPr="00B710A9" w:rsidRDefault="00597403" w:rsidP="00597403">
      <w:pPr>
        <w:pStyle w:val="Descripcin"/>
        <w:keepNext/>
        <w:jc w:val="center"/>
        <w:rPr>
          <w:rFonts w:ascii="Arial" w:hAnsi="Arial" w:cs="Arial"/>
          <w:b/>
          <w:bCs/>
          <w:i w:val="0"/>
          <w:iCs w:val="0"/>
          <w:color w:val="000000" w:themeColor="text1"/>
          <w:sz w:val="16"/>
          <w:szCs w:val="16"/>
        </w:rPr>
      </w:pPr>
      <w:bookmarkStart w:id="27" w:name="_Toc109057742"/>
      <w:bookmarkStart w:id="28" w:name="_Toc107995415"/>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12</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Listado de resguardos intervención 2022</w:t>
      </w:r>
      <w:bookmarkEnd w:id="27"/>
    </w:p>
    <w:tbl>
      <w:tblPr>
        <w:tblStyle w:val="Tablaconcuadrcula4-nfasis1"/>
        <w:tblW w:w="9209" w:type="dxa"/>
        <w:jc w:val="center"/>
        <w:tblLook w:val="04A0" w:firstRow="1" w:lastRow="0" w:firstColumn="1" w:lastColumn="0" w:noHBand="0" w:noVBand="1"/>
      </w:tblPr>
      <w:tblGrid>
        <w:gridCol w:w="1427"/>
        <w:gridCol w:w="1067"/>
        <w:gridCol w:w="6715"/>
      </w:tblGrid>
      <w:tr w:rsidR="000920C9" w:rsidRPr="00B710A9" w14:paraId="5F906265" w14:textId="77777777" w:rsidTr="00F90DF3">
        <w:trPr>
          <w:cnfStyle w:val="100000000000" w:firstRow="1" w:lastRow="0" w:firstColumn="0" w:lastColumn="0" w:oddVBand="0" w:evenVBand="0" w:oddHBand="0" w:evenHBand="0" w:firstRowFirstColumn="0" w:firstRowLastColumn="0" w:lastRowFirstColumn="0" w:lastRowLastColumn="0"/>
          <w:trHeight w:val="416"/>
          <w:tblHeader/>
          <w:jc w:val="center"/>
        </w:trPr>
        <w:tc>
          <w:tcPr>
            <w:cnfStyle w:val="001000000000" w:firstRow="0" w:lastRow="0" w:firstColumn="1" w:lastColumn="0" w:oddVBand="0" w:evenVBand="0" w:oddHBand="0" w:evenHBand="0" w:firstRowFirstColumn="0" w:firstRowLastColumn="0" w:lastRowFirstColumn="0" w:lastRowLastColumn="0"/>
            <w:tcW w:w="1427" w:type="dxa"/>
            <w:noWrap/>
            <w:vAlign w:val="center"/>
            <w:hideMark/>
          </w:tcPr>
          <w:bookmarkEnd w:id="28"/>
          <w:p w14:paraId="5CB5A827" w14:textId="77777777" w:rsidR="000920C9" w:rsidRPr="00B710A9" w:rsidRDefault="000920C9" w:rsidP="00F90DF3">
            <w:pPr>
              <w:jc w:val="center"/>
              <w:rPr>
                <w:rFonts w:ascii="Arial" w:hAnsi="Arial" w:cs="Arial"/>
                <w:b w:val="0"/>
                <w:bCs w:val="0"/>
                <w:sz w:val="16"/>
                <w:szCs w:val="16"/>
              </w:rPr>
            </w:pPr>
            <w:r w:rsidRPr="00B710A9">
              <w:rPr>
                <w:rFonts w:ascii="Arial" w:hAnsi="Arial" w:cs="Arial"/>
                <w:sz w:val="16"/>
                <w:szCs w:val="16"/>
              </w:rPr>
              <w:t>Departamento</w:t>
            </w:r>
          </w:p>
        </w:tc>
        <w:tc>
          <w:tcPr>
            <w:tcW w:w="1067" w:type="dxa"/>
            <w:noWrap/>
            <w:vAlign w:val="center"/>
            <w:hideMark/>
          </w:tcPr>
          <w:p w14:paraId="4000C1A6" w14:textId="77777777" w:rsidR="000920C9" w:rsidRPr="00B710A9" w:rsidRDefault="000920C9" w:rsidP="00F90D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B710A9">
              <w:rPr>
                <w:rFonts w:ascii="Arial" w:hAnsi="Arial" w:cs="Arial"/>
                <w:sz w:val="16"/>
                <w:szCs w:val="16"/>
              </w:rPr>
              <w:t>No.</w:t>
            </w:r>
          </w:p>
          <w:p w14:paraId="7811E334" w14:textId="77777777" w:rsidR="000920C9" w:rsidRPr="00B710A9" w:rsidRDefault="000920C9" w:rsidP="00F90D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B710A9">
              <w:rPr>
                <w:rFonts w:ascii="Arial" w:hAnsi="Arial" w:cs="Arial"/>
                <w:sz w:val="16"/>
                <w:szCs w:val="16"/>
              </w:rPr>
              <w:t>territorios</w:t>
            </w:r>
          </w:p>
        </w:tc>
        <w:tc>
          <w:tcPr>
            <w:tcW w:w="6715" w:type="dxa"/>
            <w:noWrap/>
            <w:vAlign w:val="center"/>
            <w:hideMark/>
          </w:tcPr>
          <w:p w14:paraId="6146434A" w14:textId="77777777" w:rsidR="000920C9" w:rsidRPr="00B710A9" w:rsidRDefault="000920C9" w:rsidP="00F90D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B710A9">
              <w:rPr>
                <w:rFonts w:ascii="Arial" w:hAnsi="Arial" w:cs="Arial"/>
                <w:sz w:val="16"/>
                <w:szCs w:val="16"/>
              </w:rPr>
              <w:t>Resguardos</w:t>
            </w:r>
          </w:p>
        </w:tc>
      </w:tr>
      <w:tr w:rsidR="000920C9" w:rsidRPr="00B710A9" w14:paraId="1545CB19" w14:textId="77777777" w:rsidTr="00F90DF3">
        <w:trPr>
          <w:cnfStyle w:val="000000100000" w:firstRow="0" w:lastRow="0" w:firstColumn="0" w:lastColumn="0" w:oddVBand="0" w:evenVBand="0" w:oddHBand="1" w:evenHBand="0" w:firstRowFirstColumn="0" w:firstRowLastColumn="0" w:lastRowFirstColumn="0" w:lastRowLastColumn="0"/>
          <w:trHeight w:val="1375"/>
          <w:jc w:val="center"/>
        </w:trPr>
        <w:tc>
          <w:tcPr>
            <w:cnfStyle w:val="001000000000" w:firstRow="0" w:lastRow="0" w:firstColumn="1" w:lastColumn="0" w:oddVBand="0" w:evenVBand="0" w:oddHBand="0" w:evenHBand="0" w:firstRowFirstColumn="0" w:firstRowLastColumn="0" w:lastRowFirstColumn="0" w:lastRowLastColumn="0"/>
            <w:tcW w:w="1427" w:type="dxa"/>
            <w:noWrap/>
            <w:vAlign w:val="center"/>
            <w:hideMark/>
          </w:tcPr>
          <w:p w14:paraId="411BA7D7" w14:textId="77777777" w:rsidR="000920C9" w:rsidRPr="00B710A9" w:rsidRDefault="000920C9" w:rsidP="00F90DF3">
            <w:pPr>
              <w:rPr>
                <w:rFonts w:ascii="Arial" w:hAnsi="Arial" w:cs="Arial"/>
                <w:b w:val="0"/>
                <w:bCs w:val="0"/>
                <w:color w:val="000000"/>
                <w:sz w:val="16"/>
                <w:szCs w:val="16"/>
              </w:rPr>
            </w:pPr>
            <w:r w:rsidRPr="00B710A9">
              <w:rPr>
                <w:rFonts w:ascii="Arial" w:hAnsi="Arial" w:cs="Arial"/>
                <w:color w:val="000000"/>
                <w:sz w:val="16"/>
                <w:szCs w:val="16"/>
              </w:rPr>
              <w:t>Amazonas</w:t>
            </w:r>
          </w:p>
        </w:tc>
        <w:tc>
          <w:tcPr>
            <w:tcW w:w="1067" w:type="dxa"/>
            <w:noWrap/>
            <w:vAlign w:val="center"/>
            <w:hideMark/>
          </w:tcPr>
          <w:p w14:paraId="5D02B334"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23</w:t>
            </w:r>
          </w:p>
        </w:tc>
        <w:tc>
          <w:tcPr>
            <w:tcW w:w="6715" w:type="dxa"/>
            <w:vAlign w:val="center"/>
            <w:hideMark/>
          </w:tcPr>
          <w:p w14:paraId="4BA1B266" w14:textId="77777777" w:rsidR="000920C9" w:rsidRPr="00B710A9" w:rsidRDefault="000920C9" w:rsidP="00F90DF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ADUCHE, ARARA, CAMARITAGUA, COMEYAFU, CURARE LOS INGLESES, ISLA DE RONDA, K 6 Y 11, LA PLAYA, MIRITÍ-PARANÁ, MOCAGUA, MACEDONIA, EL VERGEL Y ZARAGOZA, NAZARET, NUNUYA DE VILLAZUL, PREDIO PUTUMAYO, PUERTO CÓRDOBA, PUERTO NARIÑO, PUERTO TRIUNFO, RÍOS COTUHÉ Y PUTUMAYO, SAN ANTONIO DE LOS LAGOS Y SAN SEBASTIÁN, SAN JOSÉ DEL RÍO, SAN JUAN DE LOS PARENTES, SANTA SOFÍA, UITIBOC, YAIGOJÉ-RÍO APAPORIS.</w:t>
            </w:r>
          </w:p>
        </w:tc>
      </w:tr>
      <w:tr w:rsidR="000920C9" w:rsidRPr="00B710A9" w14:paraId="7BCC87CC" w14:textId="77777777" w:rsidTr="00F90DF3">
        <w:trPr>
          <w:trHeight w:val="1339"/>
          <w:jc w:val="center"/>
        </w:trPr>
        <w:tc>
          <w:tcPr>
            <w:cnfStyle w:val="001000000000" w:firstRow="0" w:lastRow="0" w:firstColumn="1" w:lastColumn="0" w:oddVBand="0" w:evenVBand="0" w:oddHBand="0" w:evenHBand="0" w:firstRowFirstColumn="0" w:firstRowLastColumn="0" w:lastRowFirstColumn="0" w:lastRowLastColumn="0"/>
            <w:tcW w:w="1427" w:type="dxa"/>
            <w:noWrap/>
            <w:vAlign w:val="center"/>
            <w:hideMark/>
          </w:tcPr>
          <w:p w14:paraId="318D41F8" w14:textId="77777777" w:rsidR="000920C9" w:rsidRPr="00B710A9" w:rsidRDefault="000920C9" w:rsidP="00F90DF3">
            <w:pPr>
              <w:rPr>
                <w:rFonts w:ascii="Arial" w:hAnsi="Arial" w:cs="Arial"/>
                <w:b w:val="0"/>
                <w:bCs w:val="0"/>
                <w:color w:val="000000"/>
                <w:sz w:val="16"/>
                <w:szCs w:val="16"/>
              </w:rPr>
            </w:pPr>
            <w:r w:rsidRPr="00B710A9">
              <w:rPr>
                <w:rFonts w:ascii="Arial" w:hAnsi="Arial" w:cs="Arial"/>
                <w:color w:val="000000"/>
                <w:sz w:val="16"/>
                <w:szCs w:val="16"/>
              </w:rPr>
              <w:t>Guainía</w:t>
            </w:r>
          </w:p>
        </w:tc>
        <w:tc>
          <w:tcPr>
            <w:tcW w:w="1067" w:type="dxa"/>
            <w:noWrap/>
            <w:vAlign w:val="center"/>
            <w:hideMark/>
          </w:tcPr>
          <w:p w14:paraId="1328904D"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24</w:t>
            </w:r>
          </w:p>
        </w:tc>
        <w:tc>
          <w:tcPr>
            <w:tcW w:w="6715" w:type="dxa"/>
            <w:vAlign w:val="center"/>
            <w:hideMark/>
          </w:tcPr>
          <w:p w14:paraId="16349F36" w14:textId="77777777" w:rsidR="000920C9" w:rsidRPr="00B710A9" w:rsidRDefault="000920C9" w:rsidP="00F90D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ALMIDÓN LA CEIBA, ARRECIFAL, BACHACO BUENAVISTA, BAJO RÍO GUAINIA Y RIO NEGRO, CARANACOA YURI-LAGUNA MOROCOTO, CARRIZAL, CHIGUIRO, COAYARE EL COCO, COROCORO, CUMARAL-GUAMUCO, EL VENADO, LAGUNA NIÑAL,COCUY, LOMA BAJA Y LOMA ALTA DEL CAÑO GUARIBEN, LAGUNA-CURVINA SAPUARA, MINITAS-MIRALINDO, MURCIÉLAGO ALTAMIRA, PAUJIL, PUEBLO NUEVO-LAGUNA COLORADA, REMANSO - CHORRO BOCON, RÍO ATABAPO E INÍRIDA, TIERRA ALTA, TONINA, SEJAL, SAN JOSÉ Y OTRAS, CUENCA MEDIA Y ALTA DEL RÍO INIRIDA, PARTE ALTA DEL RÍO GUAINIA, RÍOS CUIARI E ISANA.</w:t>
            </w:r>
          </w:p>
        </w:tc>
      </w:tr>
      <w:tr w:rsidR="000920C9" w:rsidRPr="00B710A9" w14:paraId="3E4900F3" w14:textId="77777777" w:rsidTr="00F90DF3">
        <w:trPr>
          <w:cnfStyle w:val="000000100000" w:firstRow="0" w:lastRow="0" w:firstColumn="0" w:lastColumn="0" w:oddVBand="0" w:evenVBand="0" w:oddHBand="1" w:evenHBand="0" w:firstRowFirstColumn="0" w:firstRowLastColumn="0" w:lastRowFirstColumn="0" w:lastRowLastColumn="0"/>
          <w:trHeight w:val="1640"/>
          <w:jc w:val="center"/>
        </w:trPr>
        <w:tc>
          <w:tcPr>
            <w:cnfStyle w:val="001000000000" w:firstRow="0" w:lastRow="0" w:firstColumn="1" w:lastColumn="0" w:oddVBand="0" w:evenVBand="0" w:oddHBand="0" w:evenHBand="0" w:firstRowFirstColumn="0" w:firstRowLastColumn="0" w:lastRowFirstColumn="0" w:lastRowLastColumn="0"/>
            <w:tcW w:w="1427" w:type="dxa"/>
            <w:noWrap/>
            <w:vAlign w:val="center"/>
            <w:hideMark/>
          </w:tcPr>
          <w:p w14:paraId="70828B40" w14:textId="77777777" w:rsidR="000920C9" w:rsidRPr="00B710A9" w:rsidRDefault="000920C9" w:rsidP="00F90DF3">
            <w:pPr>
              <w:rPr>
                <w:rFonts w:ascii="Arial" w:hAnsi="Arial" w:cs="Arial"/>
                <w:b w:val="0"/>
                <w:bCs w:val="0"/>
                <w:color w:val="000000"/>
                <w:sz w:val="16"/>
                <w:szCs w:val="16"/>
              </w:rPr>
            </w:pPr>
            <w:r w:rsidRPr="00B710A9">
              <w:rPr>
                <w:rFonts w:ascii="Arial" w:hAnsi="Arial" w:cs="Arial"/>
                <w:color w:val="000000"/>
                <w:sz w:val="16"/>
                <w:szCs w:val="16"/>
              </w:rPr>
              <w:t>Guaviare</w:t>
            </w:r>
          </w:p>
        </w:tc>
        <w:tc>
          <w:tcPr>
            <w:tcW w:w="1067" w:type="dxa"/>
            <w:noWrap/>
            <w:vAlign w:val="center"/>
            <w:hideMark/>
          </w:tcPr>
          <w:p w14:paraId="5B25170D"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24</w:t>
            </w:r>
          </w:p>
        </w:tc>
        <w:tc>
          <w:tcPr>
            <w:tcW w:w="6715" w:type="dxa"/>
            <w:vAlign w:val="center"/>
            <w:hideMark/>
          </w:tcPr>
          <w:p w14:paraId="38F230DB" w14:textId="77777777" w:rsidR="000920C9" w:rsidRPr="00B710A9" w:rsidRDefault="000920C9" w:rsidP="00F90DF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BARRANCO COLORADO, BARRANCÓN, BARRANQUILLITA, CACHIVERA DE NARE, CAÑO NEGRO, CENTRO MIRAFLORES, EL ITILLA, EL REFUGIO, GUAYABERO DE LA MARÍA, LA ASUNCION, LA FUGA, LA YUQUERA, LAGOS DEL DORADO,  LAGOS DEL PASO Y EL REMANSO, LAGUNA ARAGUATO Y BARRANCO CEIBA, LLANOS DEL YARÍ - YAGUARÁ II, MORICHAL VIEJO,  SANTA ROSA,  CERRO CUCUY,  SANTA CRUZ,  CAÑO DANTA- OTROS, NUKAK - MAKU, PANURE (VENEZUELA), PUERTO MONFORTH, PUERTO NARE, PUERTO VIEJO Y PUERTO ESPERANZA, TUCÁN DE CAÑO GIRIZA Y PUERTO LA PALMA, VUELTA DEL ALIVIO, YAVILLA II.</w:t>
            </w:r>
          </w:p>
        </w:tc>
      </w:tr>
      <w:tr w:rsidR="000920C9" w:rsidRPr="00B710A9" w14:paraId="7000BDB7" w14:textId="77777777" w:rsidTr="00F90DF3">
        <w:trPr>
          <w:trHeight w:val="289"/>
          <w:jc w:val="center"/>
        </w:trPr>
        <w:tc>
          <w:tcPr>
            <w:cnfStyle w:val="001000000000" w:firstRow="0" w:lastRow="0" w:firstColumn="1" w:lastColumn="0" w:oddVBand="0" w:evenVBand="0" w:oddHBand="0" w:evenHBand="0" w:firstRowFirstColumn="0" w:firstRowLastColumn="0" w:lastRowFirstColumn="0" w:lastRowLastColumn="0"/>
            <w:tcW w:w="1427" w:type="dxa"/>
            <w:noWrap/>
            <w:vAlign w:val="center"/>
            <w:hideMark/>
          </w:tcPr>
          <w:p w14:paraId="11B63762" w14:textId="77777777" w:rsidR="000920C9" w:rsidRPr="00B710A9" w:rsidRDefault="000920C9" w:rsidP="00F90DF3">
            <w:pPr>
              <w:rPr>
                <w:rFonts w:ascii="Arial" w:hAnsi="Arial" w:cs="Arial"/>
                <w:b w:val="0"/>
                <w:bCs w:val="0"/>
                <w:color w:val="000000"/>
                <w:sz w:val="16"/>
                <w:szCs w:val="16"/>
              </w:rPr>
            </w:pPr>
            <w:r w:rsidRPr="00B710A9">
              <w:rPr>
                <w:rFonts w:ascii="Arial" w:hAnsi="Arial" w:cs="Arial"/>
                <w:color w:val="000000"/>
                <w:sz w:val="16"/>
                <w:szCs w:val="16"/>
              </w:rPr>
              <w:t>Vaupés</w:t>
            </w:r>
          </w:p>
        </w:tc>
        <w:tc>
          <w:tcPr>
            <w:tcW w:w="1067" w:type="dxa"/>
            <w:noWrap/>
            <w:vAlign w:val="center"/>
            <w:hideMark/>
          </w:tcPr>
          <w:p w14:paraId="16775A8F"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w:t>
            </w:r>
          </w:p>
        </w:tc>
        <w:tc>
          <w:tcPr>
            <w:tcW w:w="6715" w:type="dxa"/>
            <w:vAlign w:val="center"/>
            <w:hideMark/>
          </w:tcPr>
          <w:p w14:paraId="7BD9DD03" w14:textId="77777777" w:rsidR="000920C9" w:rsidRPr="00B710A9" w:rsidRDefault="000920C9" w:rsidP="00F90D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VAUPÉS, ARARA, BACATÍ, CARURU Y MIRAFLORES.</w:t>
            </w:r>
          </w:p>
        </w:tc>
      </w:tr>
      <w:tr w:rsidR="000920C9" w:rsidRPr="00B710A9" w14:paraId="065F3B64" w14:textId="77777777" w:rsidTr="00F90DF3">
        <w:trPr>
          <w:cnfStyle w:val="000000100000" w:firstRow="0" w:lastRow="0" w:firstColumn="0" w:lastColumn="0" w:oddVBand="0" w:evenVBand="0" w:oddHBand="1"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1427" w:type="dxa"/>
            <w:noWrap/>
            <w:vAlign w:val="center"/>
            <w:hideMark/>
          </w:tcPr>
          <w:p w14:paraId="677AF89C" w14:textId="77777777" w:rsidR="000920C9" w:rsidRPr="00B710A9" w:rsidRDefault="000920C9" w:rsidP="00F90DF3">
            <w:pPr>
              <w:rPr>
                <w:rFonts w:ascii="Arial" w:hAnsi="Arial" w:cs="Arial"/>
                <w:b w:val="0"/>
                <w:bCs w:val="0"/>
                <w:color w:val="000000"/>
                <w:sz w:val="16"/>
                <w:szCs w:val="16"/>
              </w:rPr>
            </w:pPr>
            <w:r w:rsidRPr="00B710A9">
              <w:rPr>
                <w:rFonts w:ascii="Arial" w:hAnsi="Arial" w:cs="Arial"/>
                <w:color w:val="000000"/>
                <w:sz w:val="16"/>
                <w:szCs w:val="16"/>
              </w:rPr>
              <w:t xml:space="preserve">Vichada </w:t>
            </w:r>
          </w:p>
        </w:tc>
        <w:tc>
          <w:tcPr>
            <w:tcW w:w="1067" w:type="dxa"/>
            <w:noWrap/>
            <w:vAlign w:val="center"/>
            <w:hideMark/>
          </w:tcPr>
          <w:p w14:paraId="73A05E7F"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10</w:t>
            </w:r>
          </w:p>
        </w:tc>
        <w:tc>
          <w:tcPr>
            <w:tcW w:w="6715" w:type="dxa"/>
            <w:vAlign w:val="center"/>
            <w:hideMark/>
          </w:tcPr>
          <w:p w14:paraId="6A562891" w14:textId="77777777" w:rsidR="000920C9" w:rsidRPr="00B710A9" w:rsidRDefault="000920C9" w:rsidP="00F90DF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CAMPO ALEGRE Y RIPIALITO, CAÑO BACHACO, CAÑO GUARIPA, CAÑO LA HORMIGA, CAÑO MESETAS-DAGUA Y MURCIELAGO, COMUNIDAD INDÍGENA KANALITOJO PUERTO COLOMBIA, GUACAMAYAS MAIPORE, LA LLANURA, LA PASCUA, PIAROA DE CACHICAMO.</w:t>
            </w:r>
          </w:p>
        </w:tc>
      </w:tr>
    </w:tbl>
    <w:p w14:paraId="43ECFDB8" w14:textId="262C1008" w:rsidR="000920C9" w:rsidRPr="00B710A9" w:rsidRDefault="000920C9" w:rsidP="000920C9">
      <w:pPr>
        <w:jc w:val="center"/>
        <w:rPr>
          <w:rFonts w:ascii="Arial" w:hAnsi="Arial" w:cs="Arial"/>
          <w:b/>
          <w:bCs/>
          <w:sz w:val="16"/>
          <w:szCs w:val="16"/>
        </w:rPr>
      </w:pPr>
      <w:r w:rsidRPr="00B710A9">
        <w:rPr>
          <w:rFonts w:ascii="Arial" w:hAnsi="Arial" w:cs="Arial"/>
          <w:b/>
          <w:bCs/>
          <w:sz w:val="16"/>
          <w:szCs w:val="16"/>
        </w:rPr>
        <w:t>Fuente: IGAC – ANT 2022</w:t>
      </w:r>
    </w:p>
    <w:p w14:paraId="75CE4E7D" w14:textId="262C1008" w:rsidR="000920C9" w:rsidRPr="00B710A9" w:rsidRDefault="000920C9" w:rsidP="000920C9">
      <w:pPr>
        <w:jc w:val="both"/>
        <w:rPr>
          <w:rFonts w:cs="Arial"/>
          <w:sz w:val="16"/>
          <w:szCs w:val="16"/>
        </w:rPr>
      </w:pPr>
    </w:p>
    <w:p w14:paraId="284150ED" w14:textId="262C1008" w:rsidR="000920C9" w:rsidRPr="00B710A9" w:rsidRDefault="000920C9" w:rsidP="000920C9">
      <w:pPr>
        <w:jc w:val="both"/>
        <w:rPr>
          <w:rFonts w:ascii="Arial" w:hAnsi="Arial" w:cs="Arial"/>
          <w:sz w:val="22"/>
          <w:szCs w:val="22"/>
        </w:rPr>
      </w:pPr>
      <w:r w:rsidRPr="00B710A9">
        <w:rPr>
          <w:rFonts w:ascii="Arial" w:hAnsi="Arial" w:cs="Arial"/>
          <w:sz w:val="22"/>
          <w:szCs w:val="22"/>
        </w:rPr>
        <w:lastRenderedPageBreak/>
        <w:t>Como se mencionó anteriormente, la estrategia abarca un total de 83 territorios étnicos (resguardos) que equivalen a un área de intervención total de 22.645.469 ha. En el siguiente gráfico, se evidencia el área de la intervención, así como el porcentaje de la misma para el período comprendido entre febrero y junio de 2022.</w:t>
      </w:r>
    </w:p>
    <w:p w14:paraId="14999660" w14:textId="77777777" w:rsidR="00597403" w:rsidRPr="00B710A9" w:rsidRDefault="00597403" w:rsidP="000920C9">
      <w:pPr>
        <w:pStyle w:val="Descripcin"/>
        <w:jc w:val="center"/>
        <w:rPr>
          <w:rFonts w:ascii="Arial" w:hAnsi="Arial" w:cs="Arial"/>
          <w:b/>
          <w:bCs/>
          <w:i w:val="0"/>
          <w:iCs w:val="0"/>
          <w:color w:val="auto"/>
          <w:sz w:val="16"/>
          <w:szCs w:val="16"/>
        </w:rPr>
      </w:pPr>
      <w:bookmarkStart w:id="29" w:name="_Toc107902535"/>
    </w:p>
    <w:p w14:paraId="007F557C" w14:textId="14E472A9" w:rsidR="000920C9" w:rsidRPr="00B710A9" w:rsidRDefault="00FD5B02" w:rsidP="00FD5B02">
      <w:pPr>
        <w:pStyle w:val="Descripcin"/>
        <w:jc w:val="center"/>
        <w:rPr>
          <w:rFonts w:ascii="Arial" w:hAnsi="Arial" w:cs="Arial"/>
          <w:b/>
          <w:bCs/>
          <w:i w:val="0"/>
          <w:iCs w:val="0"/>
          <w:color w:val="000000" w:themeColor="text1"/>
          <w:sz w:val="14"/>
          <w:szCs w:val="14"/>
        </w:rPr>
      </w:pPr>
      <w:bookmarkStart w:id="30" w:name="_Toc109057777"/>
      <w:bookmarkEnd w:id="29"/>
      <w:r w:rsidRPr="00B710A9">
        <w:rPr>
          <w:rFonts w:ascii="Arial" w:hAnsi="Arial" w:cs="Arial"/>
          <w:b/>
          <w:bCs/>
          <w:i w:val="0"/>
          <w:iCs w:val="0"/>
          <w:color w:val="000000" w:themeColor="text1"/>
          <w:sz w:val="16"/>
          <w:szCs w:val="16"/>
        </w:rPr>
        <w:t xml:space="preserve">Ilustración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Ilustración \* ARABIC </w:instrText>
      </w:r>
      <w:r w:rsidRPr="00B710A9">
        <w:rPr>
          <w:rFonts w:ascii="Arial" w:hAnsi="Arial" w:cs="Arial"/>
          <w:b/>
          <w:bCs/>
          <w:i w:val="0"/>
          <w:iCs w:val="0"/>
          <w:color w:val="000000" w:themeColor="text1"/>
          <w:sz w:val="16"/>
          <w:szCs w:val="16"/>
        </w:rPr>
        <w:fldChar w:fldCharType="separate"/>
      </w:r>
      <w:r w:rsidR="00735F5D" w:rsidRPr="00B710A9">
        <w:rPr>
          <w:rFonts w:ascii="Arial" w:hAnsi="Arial" w:cs="Arial"/>
          <w:b/>
          <w:bCs/>
          <w:i w:val="0"/>
          <w:iCs w:val="0"/>
          <w:noProof/>
          <w:color w:val="000000" w:themeColor="text1"/>
          <w:sz w:val="16"/>
          <w:szCs w:val="16"/>
        </w:rPr>
        <w:t>7</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Relación del área y porcentaje de intervención resguardos febrero-junio 2022</w:t>
      </w:r>
      <w:bookmarkEnd w:id="30"/>
    </w:p>
    <w:p w14:paraId="68004CD9" w14:textId="77777777" w:rsidR="000920C9" w:rsidRPr="00B710A9" w:rsidRDefault="000920C9" w:rsidP="000920C9">
      <w:pPr>
        <w:jc w:val="center"/>
        <w:rPr>
          <w:lang w:eastAsia="es-ES"/>
        </w:rPr>
      </w:pPr>
      <w:r w:rsidRPr="00B710A9">
        <w:rPr>
          <w:rFonts w:cs="Arial"/>
          <w:noProof/>
          <w:sz w:val="20"/>
          <w:szCs w:val="20"/>
        </w:rPr>
        <w:drawing>
          <wp:inline distT="0" distB="0" distL="0" distR="0" wp14:anchorId="6AE42DB4" wp14:editId="251452F2">
            <wp:extent cx="3724275" cy="2057400"/>
            <wp:effectExtent l="0" t="0" r="9525" b="0"/>
            <wp:docPr id="369470146" name="Gráfico 369470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8FD2D0" w14:textId="6E7E763E" w:rsidR="000920C9" w:rsidRPr="00B710A9" w:rsidRDefault="000920C9" w:rsidP="000920C9">
      <w:pPr>
        <w:jc w:val="center"/>
        <w:rPr>
          <w:rFonts w:ascii="Arial" w:hAnsi="Arial" w:cs="Arial"/>
          <w:b/>
          <w:bCs/>
          <w:sz w:val="22"/>
          <w:szCs w:val="22"/>
        </w:rPr>
      </w:pPr>
      <w:r w:rsidRPr="00B710A9">
        <w:rPr>
          <w:rFonts w:ascii="Arial" w:hAnsi="Arial" w:cs="Arial"/>
          <w:b/>
          <w:bCs/>
          <w:sz w:val="16"/>
          <w:szCs w:val="16"/>
        </w:rPr>
        <w:t>Fuente: Dirección de Gestión Catastral 2022</w:t>
      </w:r>
    </w:p>
    <w:p w14:paraId="35D3AEC5" w14:textId="262C1008" w:rsidR="000920C9" w:rsidRPr="00B710A9" w:rsidRDefault="000920C9" w:rsidP="000920C9">
      <w:pPr>
        <w:jc w:val="both"/>
        <w:rPr>
          <w:rFonts w:ascii="Arial" w:hAnsi="Arial" w:cs="Arial"/>
          <w:sz w:val="22"/>
          <w:szCs w:val="22"/>
        </w:rPr>
      </w:pPr>
      <w:r w:rsidRPr="00B710A9">
        <w:rPr>
          <w:rFonts w:ascii="Arial" w:hAnsi="Arial" w:cs="Arial"/>
          <w:sz w:val="22"/>
          <w:szCs w:val="22"/>
        </w:rPr>
        <w:t>De acuerdo con el cronograma establecido para la intervención de la estrategia, de los 22.645.469 ha representados en 83 resguardos, se realizó la depuración de 77 resguardos equivalentes a un total de 21.421.731 ha. Cabe mencionar que en los territorios restantes no se realizaron trámites catastrales por encontrarse con medidas cautelares en el marco de la restitución de derechos territoriales, adelantada por la Unidad de Restitución de Tierras.</w:t>
      </w:r>
    </w:p>
    <w:p w14:paraId="14E48A52" w14:textId="262C1008" w:rsidR="000920C9" w:rsidRPr="00B710A9" w:rsidRDefault="000920C9" w:rsidP="000920C9">
      <w:pPr>
        <w:jc w:val="both"/>
        <w:rPr>
          <w:rFonts w:cs="Arial"/>
          <w:b/>
          <w:bCs/>
          <w:sz w:val="22"/>
          <w:szCs w:val="22"/>
        </w:rPr>
      </w:pPr>
    </w:p>
    <w:p w14:paraId="54E25AD8" w14:textId="262C1008" w:rsidR="000920C9" w:rsidRPr="00B710A9" w:rsidRDefault="000920C9" w:rsidP="00356A3E">
      <w:pPr>
        <w:numPr>
          <w:ilvl w:val="0"/>
          <w:numId w:val="39"/>
        </w:numPr>
        <w:spacing w:after="0" w:line="240" w:lineRule="auto"/>
        <w:jc w:val="both"/>
        <w:rPr>
          <w:rFonts w:ascii="Arial" w:hAnsi="Arial" w:cs="Arial"/>
          <w:b/>
          <w:bCs/>
          <w:color w:val="000000" w:themeColor="text1"/>
          <w:sz w:val="22"/>
          <w:szCs w:val="22"/>
        </w:rPr>
      </w:pPr>
      <w:r w:rsidRPr="00B710A9">
        <w:rPr>
          <w:rFonts w:ascii="Arial" w:hAnsi="Arial" w:cs="Arial"/>
          <w:b/>
          <w:bCs/>
          <w:color w:val="000000" w:themeColor="text1"/>
          <w:sz w:val="22"/>
          <w:szCs w:val="22"/>
        </w:rPr>
        <w:t xml:space="preserve">Hectáreas actualizadas a nivel nacional – cumplimiento meta No. 2 PND- actualización catastral en municipios PDET: </w:t>
      </w:r>
    </w:p>
    <w:p w14:paraId="0AC3F9AC" w14:textId="262C1008" w:rsidR="000920C9" w:rsidRPr="00B710A9" w:rsidRDefault="000920C9" w:rsidP="000920C9">
      <w:pPr>
        <w:jc w:val="both"/>
        <w:rPr>
          <w:rFonts w:cs="Arial"/>
          <w:b/>
          <w:bCs/>
          <w:sz w:val="22"/>
          <w:szCs w:val="22"/>
        </w:rPr>
      </w:pPr>
    </w:p>
    <w:p w14:paraId="1B4DFDB9" w14:textId="262C1008" w:rsidR="000920C9" w:rsidRPr="00B710A9" w:rsidRDefault="000920C9" w:rsidP="000920C9">
      <w:pPr>
        <w:jc w:val="both"/>
        <w:rPr>
          <w:rFonts w:ascii="Arial" w:hAnsi="Arial" w:cs="Arial"/>
          <w:sz w:val="22"/>
          <w:szCs w:val="22"/>
        </w:rPr>
      </w:pPr>
      <w:r w:rsidRPr="00B710A9">
        <w:rPr>
          <w:rFonts w:ascii="Arial" w:hAnsi="Arial" w:cs="Arial"/>
          <w:sz w:val="22"/>
          <w:szCs w:val="22"/>
        </w:rPr>
        <w:t>Con relación a la segunda meta del Plan Nacional de Desarrollo, relacionada con la actualización catastral de los municipios PDET, en la vigencia 2021 se llevó a cabo la actualización de 5.718.659 hectáreas del área geográfica de los municipios ubicados en territorios PDET correspondientes al 14,63% del total del área geográfica de los mismos, por procesos de actualización y conservación intervenidos por el IGAC y otros gestores catastrales (</w:t>
      </w:r>
      <w:proofErr w:type="spellStart"/>
      <w:r w:rsidRPr="00B710A9">
        <w:rPr>
          <w:rFonts w:ascii="Arial" w:hAnsi="Arial" w:cs="Arial"/>
          <w:sz w:val="22"/>
          <w:szCs w:val="22"/>
        </w:rPr>
        <w:t>Asomunicipios</w:t>
      </w:r>
      <w:proofErr w:type="spellEnd"/>
      <w:r w:rsidRPr="00B710A9">
        <w:rPr>
          <w:rFonts w:ascii="Arial" w:hAnsi="Arial" w:cs="Arial"/>
          <w:sz w:val="22"/>
          <w:szCs w:val="22"/>
        </w:rPr>
        <w:t>, Catastro Antioquia, Santa Marta, Valle del Cauca y Valledupar).</w:t>
      </w:r>
    </w:p>
    <w:p w14:paraId="432A467C" w14:textId="262C1008" w:rsidR="000920C9" w:rsidRPr="00B710A9" w:rsidRDefault="000920C9" w:rsidP="000920C9">
      <w:pPr>
        <w:jc w:val="both"/>
        <w:rPr>
          <w:rFonts w:ascii="Arial" w:hAnsi="Arial" w:cs="Arial"/>
          <w:sz w:val="22"/>
          <w:szCs w:val="22"/>
        </w:rPr>
      </w:pPr>
      <w:r w:rsidRPr="00B710A9">
        <w:rPr>
          <w:rFonts w:ascii="Arial" w:hAnsi="Arial" w:cs="Arial"/>
          <w:sz w:val="22"/>
          <w:szCs w:val="22"/>
        </w:rPr>
        <w:t>A 30 de junio de la vigencia 2022, por procesos de conservación y actualización, se ha logrado avanzar en la actualización de la información catastral de los municipios PDET, contando a la fecha con un avance del 22,58% del área total de los municipios PDET, que corresponde a 8.823.981hectáreas.</w:t>
      </w:r>
    </w:p>
    <w:p w14:paraId="499F1B3A" w14:textId="262C1008" w:rsidR="000920C9" w:rsidRPr="00B710A9" w:rsidRDefault="000920C9" w:rsidP="00F90DF3">
      <w:pPr>
        <w:jc w:val="both"/>
        <w:rPr>
          <w:rFonts w:ascii="Arial" w:hAnsi="Arial" w:cs="Arial"/>
          <w:sz w:val="22"/>
          <w:szCs w:val="22"/>
        </w:rPr>
      </w:pPr>
      <w:r w:rsidRPr="00B710A9">
        <w:rPr>
          <w:rFonts w:ascii="Arial" w:hAnsi="Arial" w:cs="Arial"/>
          <w:sz w:val="22"/>
          <w:szCs w:val="22"/>
        </w:rPr>
        <w:t xml:space="preserve">De acuerdo con la gestión realizada, con corte 30 de junio de los 170 municipios PDET hay financiados 106 que corresponden al 77% del total del área de estos municipios (39.084.775 Has.). </w:t>
      </w:r>
    </w:p>
    <w:p w14:paraId="0D5D1CB3" w14:textId="262C1008" w:rsidR="000920C9" w:rsidRPr="00B710A9" w:rsidRDefault="000920C9" w:rsidP="00F90DF3">
      <w:pPr>
        <w:jc w:val="both"/>
        <w:rPr>
          <w:rFonts w:ascii="Arial" w:hAnsi="Arial" w:cs="Arial"/>
          <w:sz w:val="22"/>
          <w:szCs w:val="22"/>
        </w:rPr>
      </w:pPr>
      <w:r w:rsidRPr="00B710A9">
        <w:rPr>
          <w:rFonts w:ascii="Arial" w:hAnsi="Arial" w:cs="Arial"/>
          <w:sz w:val="22"/>
          <w:szCs w:val="22"/>
        </w:rPr>
        <w:lastRenderedPageBreak/>
        <w:t xml:space="preserve">De los 69 municipios a financiar para la realización de los procesos de formación o actualización catastral con enfoque multipropósito ubicados en territorios PDET y en el marco de la Mesa Nacional del Pilar 1 PDET, en octubre de 2020 se convocaron a los mandatarios locales de dichos municipios con el objetivo de presentar la estrategia del Gobierno que fue diseñada conjuntamente entre la Consejería para la Gestión y el Cumplimiento, la Consejería para la Estabilización y Consolidación, el Departamento Nacional de Planeación - DNP, IGAC y la Agencia de Renovación del Territorio – ART, lo anterior con el objeto de brindar el acompañamiento en el proceso de formulación y estructuración de proyectos de inversión que permitan gestionar recursos para implementar el Catastro Multipropósito a partir del proyecto tipo adoptado por el sistema general de regalías y lograr su presentación ante el OCAD PAZ. </w:t>
      </w:r>
    </w:p>
    <w:p w14:paraId="78B6330C" w14:textId="262C1008" w:rsidR="000920C9" w:rsidRPr="00B710A9" w:rsidRDefault="000920C9" w:rsidP="00F90DF3">
      <w:pPr>
        <w:jc w:val="both"/>
        <w:rPr>
          <w:rFonts w:ascii="Arial" w:hAnsi="Arial" w:cs="Arial"/>
          <w:sz w:val="22"/>
          <w:szCs w:val="22"/>
        </w:rPr>
      </w:pPr>
      <w:r w:rsidRPr="00B710A9">
        <w:rPr>
          <w:rFonts w:ascii="Arial" w:hAnsi="Arial" w:cs="Arial"/>
          <w:sz w:val="22"/>
          <w:szCs w:val="22"/>
        </w:rPr>
        <w:t xml:space="preserve">Como parte de esta estrategia, se consolidó un equipo de profesionales en temas catastrales y de ordenamiento territorial pertenecientes a los CETAPS (Centros Territoriales de Administración Pública) de la Escuela Superior de Administración Pública quienes acompañan a los municipios en la formulación y estructuración del proyecto tipo de Catastro Multipropósito, contando con la asistencia técnica de parte del IGAC como gestor catastral por excepción; de ahí en adelante desde el IGAC se ha venido brindando de manera permanente el acompañamiento a dichos territorios y gradualmente se ha logrado el avance hasta la presentación al OCAD PAZ con los siguientes resultados. </w:t>
      </w:r>
    </w:p>
    <w:p w14:paraId="0A5CA105" w14:textId="262C1008" w:rsidR="000920C9" w:rsidRPr="00B710A9" w:rsidRDefault="000920C9" w:rsidP="000920C9">
      <w:pPr>
        <w:jc w:val="both"/>
        <w:rPr>
          <w:rFonts w:ascii="Arial" w:hAnsi="Arial" w:cs="Arial"/>
          <w:sz w:val="22"/>
          <w:szCs w:val="22"/>
        </w:rPr>
      </w:pPr>
      <w:r w:rsidRPr="00B710A9">
        <w:rPr>
          <w:rFonts w:ascii="Arial" w:hAnsi="Arial" w:cs="Arial"/>
          <w:sz w:val="22"/>
          <w:szCs w:val="22"/>
        </w:rPr>
        <w:t>Además de las diferentes acciones que desde el IGAC se desarrollan en calidad de gestor catastral por excepción, para los municipios PDET se llevan a cabo las siguientes acciones de tipo transversal y permanente en virtud de las condiciones de vulnerabilidad que los caracteriza y los diferentes esquemas de articulación institucional, especialmente entorno a los objetivos estratégicos y proyectos que se articulan con las iniciativas consignadas en los Planes de Acción para la Transformación Regional  - PATR, así:</w:t>
      </w:r>
    </w:p>
    <w:p w14:paraId="14C66659" w14:textId="262C1008" w:rsidR="000920C9" w:rsidRPr="00B710A9" w:rsidRDefault="000920C9" w:rsidP="00356A3E">
      <w:pPr>
        <w:pStyle w:val="Prrafodelista"/>
        <w:numPr>
          <w:ilvl w:val="0"/>
          <w:numId w:val="96"/>
        </w:numPr>
        <w:spacing w:after="200" w:line="240" w:lineRule="auto"/>
        <w:jc w:val="both"/>
        <w:rPr>
          <w:rFonts w:ascii="Arial" w:hAnsi="Arial" w:cs="Arial"/>
          <w:sz w:val="22"/>
          <w:szCs w:val="22"/>
        </w:rPr>
      </w:pPr>
      <w:r w:rsidRPr="00B710A9">
        <w:rPr>
          <w:rFonts w:ascii="Arial" w:hAnsi="Arial" w:cs="Arial"/>
          <w:b/>
          <w:sz w:val="22"/>
          <w:szCs w:val="22"/>
        </w:rPr>
        <w:t>Mesas de impulso</w:t>
      </w:r>
      <w:r w:rsidRPr="00B710A9">
        <w:rPr>
          <w:rFonts w:ascii="Arial" w:hAnsi="Arial" w:cs="Arial"/>
          <w:sz w:val="22"/>
          <w:szCs w:val="22"/>
        </w:rPr>
        <w:t>:</w:t>
      </w:r>
      <w:r w:rsidRPr="00B710A9">
        <w:rPr>
          <w:rFonts w:ascii="Arial" w:hAnsi="Arial" w:cs="Arial"/>
        </w:rPr>
        <w:t xml:space="preserve"> </w:t>
      </w:r>
      <w:r w:rsidRPr="00B710A9">
        <w:rPr>
          <w:rFonts w:ascii="Arial" w:hAnsi="Arial" w:cs="Arial"/>
          <w:sz w:val="22"/>
          <w:szCs w:val="22"/>
        </w:rPr>
        <w:t xml:space="preserve">escenarios de trabajo que tienen un carácter técnico, cada uno de los ocho pilares de las dieciséis subregiones cuenta con una mesa de impulso, para un total de ciento veintiocho mesas.  Su propósito es reunir a todos los actores de la subregión, públicos, privados, de organismos de cooperación y de todos los niveles de gobierno, relevantes o con incidencia en la gestión de las iniciativas relacionadas con la temática del respectivo pilar.  </w:t>
      </w:r>
    </w:p>
    <w:p w14:paraId="1A512DFD" w14:textId="262C1008" w:rsidR="000920C9" w:rsidRPr="00B710A9" w:rsidRDefault="000920C9" w:rsidP="00356A3E">
      <w:pPr>
        <w:pStyle w:val="Prrafodelista"/>
        <w:numPr>
          <w:ilvl w:val="0"/>
          <w:numId w:val="96"/>
        </w:numPr>
        <w:spacing w:after="200" w:line="240" w:lineRule="auto"/>
        <w:jc w:val="both"/>
        <w:rPr>
          <w:rFonts w:ascii="Arial" w:hAnsi="Arial" w:cs="Arial"/>
          <w:sz w:val="22"/>
          <w:szCs w:val="22"/>
        </w:rPr>
      </w:pPr>
      <w:r w:rsidRPr="00B710A9">
        <w:rPr>
          <w:rFonts w:ascii="Arial" w:hAnsi="Arial" w:cs="Arial"/>
          <w:b/>
          <w:sz w:val="22"/>
          <w:szCs w:val="22"/>
        </w:rPr>
        <w:t>Mesa de ayuda - bilaterales</w:t>
      </w:r>
      <w:r w:rsidRPr="00B710A9">
        <w:rPr>
          <w:rFonts w:ascii="Arial" w:hAnsi="Arial" w:cs="Arial"/>
          <w:sz w:val="22"/>
          <w:szCs w:val="22"/>
        </w:rPr>
        <w:t xml:space="preserve"> para atención de casos masivos o puntuales en los municipios PDET que requieran información catastral o articulación con equipos técnicos asociados a procesos de legalización de tenencia o saneamiento, construcción de inventarios, intercambio de insumos técnicos tales como caracterizaciones catastrales, cartográficas o geodésicas.</w:t>
      </w:r>
    </w:p>
    <w:p w14:paraId="375E0B97" w14:textId="262C1008" w:rsidR="000920C9" w:rsidRPr="00B710A9" w:rsidRDefault="000920C9" w:rsidP="00356A3E">
      <w:pPr>
        <w:pStyle w:val="Prrafodelista"/>
        <w:numPr>
          <w:ilvl w:val="0"/>
          <w:numId w:val="96"/>
        </w:numPr>
        <w:spacing w:after="200" w:line="240" w:lineRule="auto"/>
        <w:jc w:val="both"/>
        <w:rPr>
          <w:rFonts w:ascii="Arial" w:hAnsi="Arial" w:cs="Arial"/>
          <w:sz w:val="22"/>
          <w:szCs w:val="22"/>
        </w:rPr>
      </w:pPr>
      <w:r w:rsidRPr="00B710A9">
        <w:rPr>
          <w:rFonts w:ascii="Arial" w:hAnsi="Arial" w:cs="Arial"/>
          <w:b/>
          <w:sz w:val="22"/>
          <w:szCs w:val="22"/>
        </w:rPr>
        <w:t xml:space="preserve">Sesiones institucionales: </w:t>
      </w:r>
      <w:r w:rsidRPr="00B710A9">
        <w:rPr>
          <w:rFonts w:ascii="Arial" w:hAnsi="Arial" w:cs="Arial"/>
          <w:sz w:val="22"/>
          <w:szCs w:val="22"/>
        </w:rPr>
        <w:t>espacios de trabajo semipresenciales que tienen lugar en las subregiones, en ellos se encuentran los actores de todos los pilares de la ART de la subregión.  A este espacio la Consejería y la ART convocan a los representantes de las entidades territoriales - alcaldes y gobernadores – de la respectiva subregión y también a funcionarios de la alta dirección y enlaces de las entidades del nivel nacional con especial incidencia en la implementación de los PDET, de acuerdo con las iniciativas y dinámica de la subregión.   Además, participan los equipos técnicos de las mesas de impulso.</w:t>
      </w:r>
    </w:p>
    <w:p w14:paraId="2DEF810A" w14:textId="262C1008" w:rsidR="000920C9" w:rsidRPr="00B710A9" w:rsidRDefault="000920C9" w:rsidP="00356A3E">
      <w:pPr>
        <w:pStyle w:val="Prrafodelista"/>
        <w:numPr>
          <w:ilvl w:val="0"/>
          <w:numId w:val="96"/>
        </w:numPr>
        <w:spacing w:after="200" w:line="240" w:lineRule="auto"/>
        <w:jc w:val="both"/>
        <w:rPr>
          <w:rFonts w:ascii="Arial" w:hAnsi="Arial" w:cs="Arial"/>
          <w:sz w:val="22"/>
          <w:szCs w:val="22"/>
        </w:rPr>
      </w:pPr>
      <w:r w:rsidRPr="00B710A9">
        <w:rPr>
          <w:rFonts w:ascii="Arial" w:hAnsi="Arial" w:cs="Arial"/>
          <w:b/>
          <w:sz w:val="22"/>
          <w:szCs w:val="22"/>
        </w:rPr>
        <w:t>Consolidación de línea base del estado de condiciones limítrofes</w:t>
      </w:r>
      <w:r w:rsidRPr="00B710A9">
        <w:rPr>
          <w:rFonts w:ascii="Arial" w:hAnsi="Arial" w:cs="Arial"/>
          <w:sz w:val="22"/>
          <w:szCs w:val="22"/>
        </w:rPr>
        <w:t xml:space="preserve"> entre municipios PDET, a través de la generación de informes técnicos para cada uno de los municipios y su estado con cada ente territorial colindante; esta actividad se </w:t>
      </w:r>
      <w:r w:rsidRPr="00B710A9">
        <w:rPr>
          <w:rFonts w:ascii="Arial" w:hAnsi="Arial" w:cs="Arial"/>
          <w:sz w:val="22"/>
          <w:szCs w:val="22"/>
        </w:rPr>
        <w:lastRenderedPageBreak/>
        <w:t>encuentra en proceso de desarrollo y puesta a disposición a través de COLOMBIA EN MAPAS como herramienta pública de consulta.</w:t>
      </w:r>
    </w:p>
    <w:p w14:paraId="583626A9" w14:textId="262C1008" w:rsidR="000920C9" w:rsidRPr="00B710A9" w:rsidRDefault="000920C9" w:rsidP="00356A3E">
      <w:pPr>
        <w:pStyle w:val="Prrafodelista"/>
        <w:numPr>
          <w:ilvl w:val="0"/>
          <w:numId w:val="96"/>
        </w:numPr>
        <w:spacing w:after="200" w:line="240" w:lineRule="auto"/>
        <w:jc w:val="both"/>
        <w:rPr>
          <w:rFonts w:ascii="Arial" w:hAnsi="Arial" w:cs="Arial"/>
          <w:sz w:val="22"/>
          <w:szCs w:val="22"/>
        </w:rPr>
      </w:pPr>
      <w:r w:rsidRPr="00B710A9">
        <w:rPr>
          <w:rFonts w:ascii="Arial" w:hAnsi="Arial" w:cs="Arial"/>
          <w:b/>
          <w:sz w:val="22"/>
          <w:szCs w:val="22"/>
        </w:rPr>
        <w:t>Herramientas de apoyo para las certificaciones de concordancia</w:t>
      </w:r>
      <w:r w:rsidRPr="00B710A9">
        <w:rPr>
          <w:rFonts w:ascii="Arial" w:hAnsi="Arial" w:cs="Arial"/>
          <w:sz w:val="22"/>
          <w:szCs w:val="22"/>
        </w:rPr>
        <w:t xml:space="preserve"> de conformidad con lo establecido en la Resol. 0111 de 2021 de la Agencia de Renovación del Territorio, el IGAC como máxima autoridad catastral definió las actividades objeto de cobertura con recursos de la asignación para la Paz del SGR a aprobarse por el OCAD-Paz asociadas a la implementación de catastro multipropósito en los municipios PDET, como una herramienta que permita verificar la articulación de otros procesos del ordenamiento social de la propiedad que requieren información catastral o predial actualizada. Esta resolución corresponde a la Resolución No. 333 del 8 de junio de 2021</w:t>
      </w:r>
    </w:p>
    <w:p w14:paraId="30760CEB" w14:textId="262C1008" w:rsidR="000920C9" w:rsidRPr="00B710A9" w:rsidRDefault="000920C9" w:rsidP="000920C9">
      <w:pPr>
        <w:pStyle w:val="Lista"/>
      </w:pPr>
    </w:p>
    <w:p w14:paraId="3BDA5FF3" w14:textId="262C1008" w:rsidR="000920C9" w:rsidRPr="00B710A9" w:rsidRDefault="000920C9" w:rsidP="00356A3E">
      <w:pPr>
        <w:pStyle w:val="Prrafodelista"/>
        <w:numPr>
          <w:ilvl w:val="0"/>
          <w:numId w:val="80"/>
        </w:numPr>
        <w:suppressAutoHyphens/>
        <w:overflowPunct w:val="0"/>
        <w:autoSpaceDE w:val="0"/>
        <w:spacing w:after="0" w:line="240" w:lineRule="auto"/>
        <w:jc w:val="both"/>
        <w:textAlignment w:val="baseline"/>
        <w:rPr>
          <w:rFonts w:ascii="Arial" w:eastAsiaTheme="minorEastAsia" w:hAnsi="Arial" w:cs="Arial"/>
          <w:b/>
          <w:bCs/>
          <w:sz w:val="22"/>
          <w:szCs w:val="22"/>
          <w:lang w:eastAsia="en-US"/>
        </w:rPr>
      </w:pPr>
      <w:r w:rsidRPr="00B710A9">
        <w:rPr>
          <w:rFonts w:ascii="Arial" w:eastAsiaTheme="minorEastAsia" w:hAnsi="Arial" w:cs="Arial"/>
          <w:b/>
          <w:bCs/>
          <w:sz w:val="22"/>
          <w:szCs w:val="22"/>
          <w:lang w:eastAsia="en-US"/>
        </w:rPr>
        <w:t xml:space="preserve">Trámites de conservación adelantados: </w:t>
      </w:r>
    </w:p>
    <w:p w14:paraId="439FB92E" w14:textId="262C1008" w:rsidR="000920C9" w:rsidRPr="00B710A9" w:rsidRDefault="000920C9" w:rsidP="000920C9">
      <w:pPr>
        <w:ind w:left="142"/>
        <w:jc w:val="both"/>
        <w:rPr>
          <w:rFonts w:ascii="Arial" w:hAnsi="Arial" w:cs="Arial"/>
          <w:sz w:val="22"/>
          <w:szCs w:val="22"/>
        </w:rPr>
      </w:pPr>
    </w:p>
    <w:p w14:paraId="618FF3A0" w14:textId="262C1008" w:rsidR="000920C9" w:rsidRPr="00B710A9" w:rsidRDefault="000920C9" w:rsidP="00F90DF3">
      <w:pPr>
        <w:jc w:val="both"/>
        <w:rPr>
          <w:rFonts w:ascii="Arial" w:hAnsi="Arial" w:cs="Arial"/>
          <w:sz w:val="22"/>
          <w:szCs w:val="22"/>
        </w:rPr>
      </w:pPr>
      <w:r w:rsidRPr="00B710A9">
        <w:rPr>
          <w:rFonts w:ascii="Arial" w:hAnsi="Arial" w:cs="Arial"/>
          <w:sz w:val="22"/>
          <w:szCs w:val="22"/>
        </w:rPr>
        <w:t xml:space="preserve">El Instituto a través de las 22 Direcciones Territoriales lleva a cabo la labor catastral que incluye la recepción, estudio y ejecución de mutaciones y trámites catastrales, además de rectificaciones de cabida y linderos, </w:t>
      </w:r>
      <w:proofErr w:type="spellStart"/>
      <w:r w:rsidRPr="00B710A9">
        <w:rPr>
          <w:rFonts w:ascii="Arial" w:hAnsi="Arial" w:cs="Arial"/>
          <w:sz w:val="22"/>
          <w:szCs w:val="22"/>
        </w:rPr>
        <w:t>espacialización</w:t>
      </w:r>
      <w:proofErr w:type="spellEnd"/>
      <w:r w:rsidRPr="00B710A9">
        <w:rPr>
          <w:rFonts w:ascii="Arial" w:hAnsi="Arial" w:cs="Arial"/>
          <w:sz w:val="22"/>
          <w:szCs w:val="22"/>
        </w:rPr>
        <w:t xml:space="preserve"> de ajuste y expedición de certificados para resguardos indígenas.  La labor de conservación catastral inicia al día siguiente de la puesta en vigencia de la formación o actualización catastral y busca el mantenimiento de la base predial de conformidad con los cambios que experimente la propiedad inmueble en sus aspectos físico, jurídico, económico y fiscal.</w:t>
      </w:r>
    </w:p>
    <w:p w14:paraId="6A8219C3" w14:textId="262C1008" w:rsidR="000920C9" w:rsidRPr="00B710A9" w:rsidRDefault="000920C9" w:rsidP="000920C9">
      <w:pPr>
        <w:jc w:val="both"/>
        <w:rPr>
          <w:rFonts w:ascii="Arial" w:hAnsi="Arial" w:cs="Arial"/>
          <w:b/>
          <w:bCs/>
          <w:color w:val="000000" w:themeColor="text1"/>
          <w:sz w:val="20"/>
          <w:szCs w:val="20"/>
        </w:rPr>
      </w:pPr>
    </w:p>
    <w:p w14:paraId="5DE324CF" w14:textId="138A4A06" w:rsidR="000920C9" w:rsidRPr="00B710A9" w:rsidRDefault="00FD5B02" w:rsidP="00FD5B02">
      <w:pPr>
        <w:pStyle w:val="Descripcin"/>
        <w:jc w:val="center"/>
        <w:rPr>
          <w:rFonts w:ascii="Arial" w:hAnsi="Arial" w:cs="Arial"/>
          <w:b/>
          <w:bCs/>
          <w:i w:val="0"/>
          <w:iCs w:val="0"/>
          <w:color w:val="000000" w:themeColor="text1"/>
          <w:sz w:val="12"/>
          <w:szCs w:val="12"/>
        </w:rPr>
      </w:pPr>
      <w:bookmarkStart w:id="31" w:name="_Toc109057778"/>
      <w:r w:rsidRPr="00B710A9">
        <w:rPr>
          <w:rFonts w:ascii="Arial" w:hAnsi="Arial" w:cs="Arial"/>
          <w:b/>
          <w:bCs/>
          <w:i w:val="0"/>
          <w:iCs w:val="0"/>
          <w:color w:val="000000" w:themeColor="text1"/>
          <w:sz w:val="16"/>
          <w:szCs w:val="16"/>
        </w:rPr>
        <w:t xml:space="preserve">Ilustración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Ilustración \* ARABIC </w:instrText>
      </w:r>
      <w:r w:rsidRPr="00B710A9">
        <w:rPr>
          <w:rFonts w:ascii="Arial" w:hAnsi="Arial" w:cs="Arial"/>
          <w:b/>
          <w:bCs/>
          <w:i w:val="0"/>
          <w:iCs w:val="0"/>
          <w:color w:val="000000" w:themeColor="text1"/>
          <w:sz w:val="16"/>
          <w:szCs w:val="16"/>
        </w:rPr>
        <w:fldChar w:fldCharType="separate"/>
      </w:r>
      <w:r w:rsidR="00735F5D" w:rsidRPr="00B710A9">
        <w:rPr>
          <w:rFonts w:ascii="Arial" w:hAnsi="Arial" w:cs="Arial"/>
          <w:b/>
          <w:bCs/>
          <w:i w:val="0"/>
          <w:iCs w:val="0"/>
          <w:noProof/>
          <w:color w:val="000000" w:themeColor="text1"/>
          <w:sz w:val="16"/>
          <w:szCs w:val="16"/>
        </w:rPr>
        <w:t>8</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Solicitudes tramitadas Direcciones Territoriales IGAC</w:t>
      </w:r>
      <w:bookmarkEnd w:id="31"/>
    </w:p>
    <w:p w14:paraId="6E07F79B" w14:textId="77777777" w:rsidR="000920C9" w:rsidRPr="00B710A9" w:rsidRDefault="000920C9" w:rsidP="000920C9">
      <w:pPr>
        <w:jc w:val="center"/>
        <w:rPr>
          <w:noProof/>
        </w:rPr>
      </w:pPr>
      <w:r w:rsidRPr="00B710A9">
        <w:rPr>
          <w:noProof/>
        </w:rPr>
        <w:drawing>
          <wp:inline distT="0" distB="0" distL="0" distR="0" wp14:anchorId="5D559F16" wp14:editId="0F65F556">
            <wp:extent cx="4324350" cy="2543175"/>
            <wp:effectExtent l="0" t="0" r="0" b="9525"/>
            <wp:docPr id="2094547222" name="Gráfico 2094547222">
              <a:extLst xmlns:a="http://schemas.openxmlformats.org/drawingml/2006/main">
                <a:ext uri="{FF2B5EF4-FFF2-40B4-BE49-F238E27FC236}">
                  <a16:creationId xmlns:a16="http://schemas.microsoft.com/office/drawing/2014/main" id="{0858523A-0955-41D6-9995-4423705350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BDFD21" w14:textId="262C1008" w:rsidR="000920C9" w:rsidRPr="00B710A9" w:rsidRDefault="000920C9" w:rsidP="000920C9">
      <w:pPr>
        <w:jc w:val="center"/>
        <w:rPr>
          <w:rFonts w:ascii="Arial" w:hAnsi="Arial" w:cs="Arial"/>
          <w:b/>
          <w:sz w:val="16"/>
          <w:szCs w:val="16"/>
        </w:rPr>
      </w:pPr>
      <w:r w:rsidRPr="00B710A9">
        <w:rPr>
          <w:rFonts w:ascii="Arial" w:hAnsi="Arial" w:cs="Arial"/>
          <w:b/>
          <w:sz w:val="16"/>
          <w:szCs w:val="16"/>
        </w:rPr>
        <w:t>Fuente: Dirección de Gestión Catastral</w:t>
      </w:r>
    </w:p>
    <w:p w14:paraId="44A4C709" w14:textId="262C1008" w:rsidR="000920C9" w:rsidRPr="00B710A9" w:rsidRDefault="000920C9" w:rsidP="000920C9">
      <w:pPr>
        <w:jc w:val="both"/>
        <w:rPr>
          <w:rFonts w:cs="Arial"/>
          <w:b/>
          <w:bCs/>
          <w:sz w:val="22"/>
          <w:szCs w:val="22"/>
        </w:rPr>
      </w:pPr>
    </w:p>
    <w:p w14:paraId="0FA98EC3" w14:textId="262C1008" w:rsidR="000920C9" w:rsidRPr="00B710A9" w:rsidRDefault="000920C9" w:rsidP="000920C9">
      <w:pPr>
        <w:jc w:val="both"/>
        <w:rPr>
          <w:rFonts w:ascii="Arial" w:hAnsi="Arial" w:cs="Arial"/>
          <w:sz w:val="22"/>
          <w:szCs w:val="22"/>
        </w:rPr>
      </w:pPr>
      <w:r w:rsidRPr="00B710A9">
        <w:rPr>
          <w:rFonts w:ascii="Arial" w:hAnsi="Arial" w:cs="Arial"/>
          <w:sz w:val="22"/>
          <w:szCs w:val="22"/>
        </w:rPr>
        <w:t xml:space="preserve">El 2021 fue un año atípico. Debido a la continuidad de la pandemia, el trabajo de campo se vio afectado. Adicionalmente, entre los años 2020 y 2021 se habilitaron 22 municipios que estaban bajo jurisdicción del IGAC, lo cual se evidencia en la amplia diferencia de lo </w:t>
      </w:r>
      <w:r w:rsidRPr="00B710A9">
        <w:rPr>
          <w:rFonts w:ascii="Arial" w:hAnsi="Arial" w:cs="Arial"/>
          <w:sz w:val="22"/>
          <w:szCs w:val="22"/>
        </w:rPr>
        <w:lastRenderedPageBreak/>
        <w:t>ejecutado en dicha vigencia con respecto a lo ejecutado en las vigencias anteriores tal y como se muestra a continuación.</w:t>
      </w:r>
    </w:p>
    <w:p w14:paraId="76D68503" w14:textId="262C1008" w:rsidR="000920C9" w:rsidRPr="00B710A9" w:rsidRDefault="000920C9" w:rsidP="000920C9">
      <w:pPr>
        <w:jc w:val="both"/>
        <w:rPr>
          <w:rFonts w:ascii="Arial" w:hAnsi="Arial" w:cs="Arial"/>
          <w:sz w:val="22"/>
          <w:szCs w:val="22"/>
        </w:rPr>
      </w:pPr>
    </w:p>
    <w:p w14:paraId="1EB9B5F2" w14:textId="262C1008" w:rsidR="000920C9" w:rsidRPr="00B710A9" w:rsidRDefault="000920C9" w:rsidP="00356A3E">
      <w:pPr>
        <w:pStyle w:val="Prrafodelista"/>
        <w:numPr>
          <w:ilvl w:val="0"/>
          <w:numId w:val="97"/>
        </w:numPr>
        <w:jc w:val="both"/>
        <w:rPr>
          <w:rFonts w:ascii="Arial" w:hAnsi="Arial" w:cs="Arial"/>
          <w:b/>
          <w:bCs/>
          <w:sz w:val="22"/>
          <w:szCs w:val="22"/>
        </w:rPr>
      </w:pPr>
      <w:r w:rsidRPr="00B710A9">
        <w:rPr>
          <w:rFonts w:ascii="Arial" w:hAnsi="Arial" w:cs="Arial"/>
          <w:b/>
          <w:bCs/>
          <w:sz w:val="22"/>
          <w:szCs w:val="22"/>
        </w:rPr>
        <w:t xml:space="preserve">Solicitudes radicadas vigencia 2022: </w:t>
      </w:r>
    </w:p>
    <w:p w14:paraId="08E544A3" w14:textId="262C1008" w:rsidR="000920C9" w:rsidRPr="00B710A9" w:rsidRDefault="000920C9" w:rsidP="000920C9">
      <w:pPr>
        <w:jc w:val="both"/>
        <w:rPr>
          <w:rFonts w:ascii="Arial" w:hAnsi="Arial" w:cs="Arial"/>
          <w:sz w:val="22"/>
          <w:szCs w:val="22"/>
        </w:rPr>
      </w:pPr>
      <w:r w:rsidRPr="00B710A9">
        <w:rPr>
          <w:rFonts w:ascii="Arial" w:hAnsi="Arial" w:cs="Arial"/>
          <w:sz w:val="22"/>
          <w:szCs w:val="22"/>
        </w:rPr>
        <w:t xml:space="preserve">Para la vigencia 2022, con fecha de corte 30 de junio de 2022, las Direcciones Territoriales han recibido 118.210 peticiones, distribuidas de la siguiente manera: </w:t>
      </w:r>
    </w:p>
    <w:p w14:paraId="5E86DF2E" w14:textId="262C1008" w:rsidR="000920C9" w:rsidRPr="00B710A9" w:rsidRDefault="000920C9" w:rsidP="000920C9">
      <w:pPr>
        <w:jc w:val="both"/>
        <w:rPr>
          <w:rFonts w:cs="Arial"/>
          <w:sz w:val="22"/>
          <w:szCs w:val="22"/>
        </w:rPr>
      </w:pPr>
    </w:p>
    <w:p w14:paraId="698EE987" w14:textId="77777777" w:rsidR="00FD5B02" w:rsidRPr="00B710A9" w:rsidRDefault="00FD5B02" w:rsidP="000920C9">
      <w:pPr>
        <w:jc w:val="both"/>
        <w:rPr>
          <w:rFonts w:cs="Arial"/>
          <w:sz w:val="22"/>
          <w:szCs w:val="22"/>
        </w:rPr>
      </w:pPr>
    </w:p>
    <w:p w14:paraId="1D9234AB" w14:textId="77777777" w:rsidR="00FD5B02" w:rsidRPr="00B710A9" w:rsidRDefault="00FD5B02" w:rsidP="000920C9">
      <w:pPr>
        <w:jc w:val="both"/>
        <w:rPr>
          <w:rFonts w:cs="Arial"/>
          <w:sz w:val="22"/>
          <w:szCs w:val="22"/>
        </w:rPr>
      </w:pPr>
    </w:p>
    <w:p w14:paraId="07CC3C6E" w14:textId="77777777" w:rsidR="00FD5B02" w:rsidRPr="00B710A9" w:rsidRDefault="00FD5B02" w:rsidP="000920C9">
      <w:pPr>
        <w:jc w:val="both"/>
        <w:rPr>
          <w:rFonts w:cs="Arial"/>
          <w:sz w:val="22"/>
          <w:szCs w:val="22"/>
        </w:rPr>
      </w:pPr>
    </w:p>
    <w:p w14:paraId="5FA8095C" w14:textId="77777777" w:rsidR="00FD5B02" w:rsidRPr="00B710A9" w:rsidRDefault="00FD5B02" w:rsidP="000920C9">
      <w:pPr>
        <w:jc w:val="both"/>
        <w:rPr>
          <w:rFonts w:cs="Arial"/>
          <w:sz w:val="22"/>
          <w:szCs w:val="22"/>
        </w:rPr>
      </w:pPr>
    </w:p>
    <w:p w14:paraId="23FD1B53" w14:textId="77777777" w:rsidR="00FD5B02" w:rsidRPr="00B710A9" w:rsidRDefault="00FD5B02" w:rsidP="000920C9">
      <w:pPr>
        <w:jc w:val="both"/>
        <w:rPr>
          <w:rFonts w:cs="Arial"/>
          <w:sz w:val="22"/>
          <w:szCs w:val="22"/>
        </w:rPr>
      </w:pPr>
    </w:p>
    <w:p w14:paraId="34763A72" w14:textId="77777777" w:rsidR="00FD5B02" w:rsidRPr="00B710A9" w:rsidRDefault="00FD5B02" w:rsidP="000920C9">
      <w:pPr>
        <w:jc w:val="both"/>
        <w:rPr>
          <w:rFonts w:cs="Arial"/>
          <w:sz w:val="22"/>
          <w:szCs w:val="22"/>
        </w:rPr>
      </w:pPr>
    </w:p>
    <w:p w14:paraId="408CBA01" w14:textId="287802FE" w:rsidR="00FD5B02" w:rsidRPr="00B710A9" w:rsidRDefault="00FD5B02" w:rsidP="00FD5B02">
      <w:pPr>
        <w:pStyle w:val="Descripcin"/>
        <w:keepNext/>
        <w:jc w:val="center"/>
        <w:rPr>
          <w:rFonts w:ascii="Arial" w:hAnsi="Arial" w:cs="Arial"/>
          <w:b/>
          <w:bCs/>
          <w:i w:val="0"/>
          <w:iCs w:val="0"/>
          <w:color w:val="000000" w:themeColor="text1"/>
          <w:sz w:val="16"/>
          <w:szCs w:val="16"/>
        </w:rPr>
      </w:pPr>
      <w:bookmarkStart w:id="32" w:name="_Toc109057743"/>
      <w:bookmarkStart w:id="33" w:name="_Toc107995416"/>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13</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Estado de trámites vigencia 2022</w:t>
      </w:r>
      <w:bookmarkEnd w:id="32"/>
    </w:p>
    <w:tbl>
      <w:tblPr>
        <w:tblStyle w:val="Tablaconcuadrcula4-nfasis1"/>
        <w:tblW w:w="8075" w:type="dxa"/>
        <w:tblLook w:val="04A0" w:firstRow="1" w:lastRow="0" w:firstColumn="1" w:lastColumn="0" w:noHBand="0" w:noVBand="1"/>
      </w:tblPr>
      <w:tblGrid>
        <w:gridCol w:w="2378"/>
        <w:gridCol w:w="1176"/>
        <w:gridCol w:w="1016"/>
        <w:gridCol w:w="1452"/>
        <w:gridCol w:w="1398"/>
        <w:gridCol w:w="872"/>
      </w:tblGrid>
      <w:tr w:rsidR="00F90DF3" w:rsidRPr="00B710A9" w14:paraId="12DA5650" w14:textId="77777777" w:rsidTr="00FD5B02">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378" w:type="dxa"/>
            <w:vMerge w:val="restart"/>
            <w:hideMark/>
          </w:tcPr>
          <w:bookmarkEnd w:id="33"/>
          <w:p w14:paraId="787B6DA3" w14:textId="77777777" w:rsidR="00F90DF3" w:rsidRPr="00B710A9" w:rsidRDefault="00F90DF3" w:rsidP="00F90DF3">
            <w:pPr>
              <w:jc w:val="center"/>
              <w:rPr>
                <w:rFonts w:ascii="Arial" w:hAnsi="Arial" w:cs="Arial"/>
                <w:b w:val="0"/>
                <w:bCs w:val="0"/>
                <w:color w:val="000000"/>
                <w:sz w:val="16"/>
                <w:szCs w:val="16"/>
              </w:rPr>
            </w:pPr>
            <w:r w:rsidRPr="00B710A9">
              <w:rPr>
                <w:rFonts w:ascii="Arial" w:hAnsi="Arial" w:cs="Arial"/>
                <w:color w:val="000000"/>
                <w:sz w:val="16"/>
                <w:szCs w:val="16"/>
              </w:rPr>
              <w:t>DIRECCIÓN TERRITORIAL</w:t>
            </w:r>
          </w:p>
        </w:tc>
        <w:tc>
          <w:tcPr>
            <w:tcW w:w="5697" w:type="dxa"/>
            <w:gridSpan w:val="5"/>
            <w:noWrap/>
            <w:hideMark/>
          </w:tcPr>
          <w:p w14:paraId="322A10FC" w14:textId="77777777" w:rsidR="00F90DF3" w:rsidRPr="00B710A9" w:rsidRDefault="00F90DF3" w:rsidP="00F90D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B710A9">
              <w:rPr>
                <w:rFonts w:ascii="Arial" w:hAnsi="Arial" w:cs="Arial"/>
                <w:color w:val="000000"/>
                <w:sz w:val="16"/>
                <w:szCs w:val="16"/>
              </w:rPr>
              <w:t>ESTADO</w:t>
            </w:r>
          </w:p>
        </w:tc>
      </w:tr>
      <w:tr w:rsidR="00F90DF3" w:rsidRPr="00B710A9" w14:paraId="0B40A737" w14:textId="77777777" w:rsidTr="00FD5B0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8" w:type="dxa"/>
            <w:vMerge/>
            <w:hideMark/>
          </w:tcPr>
          <w:p w14:paraId="5D2DE878" w14:textId="77777777" w:rsidR="00F90DF3" w:rsidRPr="00B710A9" w:rsidRDefault="00F90DF3" w:rsidP="00F90DF3">
            <w:pPr>
              <w:rPr>
                <w:rFonts w:ascii="Arial" w:hAnsi="Arial" w:cs="Arial"/>
                <w:b w:val="0"/>
                <w:bCs w:val="0"/>
                <w:color w:val="000000"/>
                <w:sz w:val="16"/>
                <w:szCs w:val="16"/>
              </w:rPr>
            </w:pPr>
          </w:p>
        </w:tc>
        <w:tc>
          <w:tcPr>
            <w:tcW w:w="1100" w:type="dxa"/>
            <w:noWrap/>
            <w:hideMark/>
          </w:tcPr>
          <w:p w14:paraId="453C2048" w14:textId="77777777" w:rsidR="00F90DF3" w:rsidRPr="00B710A9" w:rsidRDefault="00F90DF3"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TRAMITADO</w:t>
            </w:r>
          </w:p>
        </w:tc>
        <w:tc>
          <w:tcPr>
            <w:tcW w:w="940" w:type="dxa"/>
            <w:noWrap/>
            <w:hideMark/>
          </w:tcPr>
          <w:p w14:paraId="2EAF3815" w14:textId="77777777" w:rsidR="00F90DF3" w:rsidRPr="00B710A9" w:rsidRDefault="00F90DF3"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ANULADO</w:t>
            </w:r>
          </w:p>
        </w:tc>
        <w:tc>
          <w:tcPr>
            <w:tcW w:w="1387" w:type="dxa"/>
            <w:noWrap/>
            <w:hideMark/>
          </w:tcPr>
          <w:p w14:paraId="130753E0" w14:textId="77777777" w:rsidR="00F90DF3" w:rsidRPr="00B710A9" w:rsidRDefault="00F90DF3"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INTERRUMPIDO</w:t>
            </w:r>
          </w:p>
        </w:tc>
        <w:tc>
          <w:tcPr>
            <w:tcW w:w="1398" w:type="dxa"/>
            <w:noWrap/>
            <w:hideMark/>
          </w:tcPr>
          <w:p w14:paraId="1B296E7A" w14:textId="77777777" w:rsidR="00F90DF3" w:rsidRPr="00B710A9" w:rsidRDefault="00F90DF3"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NO TRAMITADO</w:t>
            </w:r>
          </w:p>
        </w:tc>
        <w:tc>
          <w:tcPr>
            <w:tcW w:w="872" w:type="dxa"/>
            <w:noWrap/>
            <w:hideMark/>
          </w:tcPr>
          <w:p w14:paraId="1F7FF758" w14:textId="77777777" w:rsidR="00F90DF3" w:rsidRPr="00B710A9" w:rsidRDefault="00F90DF3"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TOTAL</w:t>
            </w:r>
          </w:p>
        </w:tc>
      </w:tr>
      <w:tr w:rsidR="00F90DF3" w:rsidRPr="00B710A9" w14:paraId="004C62EA" w14:textId="77777777" w:rsidTr="00FD5B02">
        <w:trPr>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4A5B9DF4"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ATLÀNTICO</w:t>
            </w:r>
          </w:p>
        </w:tc>
        <w:tc>
          <w:tcPr>
            <w:tcW w:w="1100" w:type="dxa"/>
            <w:noWrap/>
            <w:hideMark/>
          </w:tcPr>
          <w:p w14:paraId="37C78397"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1.844</w:t>
            </w:r>
          </w:p>
        </w:tc>
        <w:tc>
          <w:tcPr>
            <w:tcW w:w="940" w:type="dxa"/>
            <w:noWrap/>
            <w:hideMark/>
          </w:tcPr>
          <w:p w14:paraId="7C100B8C"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17</w:t>
            </w:r>
          </w:p>
        </w:tc>
        <w:tc>
          <w:tcPr>
            <w:tcW w:w="1387" w:type="dxa"/>
            <w:noWrap/>
            <w:hideMark/>
          </w:tcPr>
          <w:p w14:paraId="0E97F5F2"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0</w:t>
            </w:r>
          </w:p>
        </w:tc>
        <w:tc>
          <w:tcPr>
            <w:tcW w:w="1398" w:type="dxa"/>
            <w:noWrap/>
            <w:hideMark/>
          </w:tcPr>
          <w:p w14:paraId="76C2F098"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1.526</w:t>
            </w:r>
          </w:p>
        </w:tc>
        <w:tc>
          <w:tcPr>
            <w:tcW w:w="872" w:type="dxa"/>
            <w:noWrap/>
            <w:hideMark/>
          </w:tcPr>
          <w:p w14:paraId="2F94F374"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3.387</w:t>
            </w:r>
          </w:p>
        </w:tc>
      </w:tr>
      <w:tr w:rsidR="00F90DF3" w:rsidRPr="00B710A9" w14:paraId="06BC8AD6" w14:textId="77777777" w:rsidTr="00FD5B0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0D7B6036"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BOLÍVAR</w:t>
            </w:r>
          </w:p>
        </w:tc>
        <w:tc>
          <w:tcPr>
            <w:tcW w:w="1100" w:type="dxa"/>
            <w:noWrap/>
            <w:hideMark/>
          </w:tcPr>
          <w:p w14:paraId="5126A9BF"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1.986</w:t>
            </w:r>
          </w:p>
        </w:tc>
        <w:tc>
          <w:tcPr>
            <w:tcW w:w="940" w:type="dxa"/>
            <w:noWrap/>
            <w:hideMark/>
          </w:tcPr>
          <w:p w14:paraId="534ADA16"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63</w:t>
            </w:r>
          </w:p>
        </w:tc>
        <w:tc>
          <w:tcPr>
            <w:tcW w:w="1387" w:type="dxa"/>
            <w:noWrap/>
            <w:hideMark/>
          </w:tcPr>
          <w:p w14:paraId="799D57E7"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325</w:t>
            </w:r>
          </w:p>
        </w:tc>
        <w:tc>
          <w:tcPr>
            <w:tcW w:w="1398" w:type="dxa"/>
            <w:noWrap/>
            <w:hideMark/>
          </w:tcPr>
          <w:p w14:paraId="244237EC"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1.643</w:t>
            </w:r>
          </w:p>
        </w:tc>
        <w:tc>
          <w:tcPr>
            <w:tcW w:w="872" w:type="dxa"/>
            <w:noWrap/>
            <w:hideMark/>
          </w:tcPr>
          <w:p w14:paraId="1B682E15"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4.017</w:t>
            </w:r>
          </w:p>
        </w:tc>
      </w:tr>
      <w:tr w:rsidR="00F90DF3" w:rsidRPr="00B710A9" w14:paraId="41969EE0" w14:textId="77777777" w:rsidTr="00FD5B02">
        <w:trPr>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0A26F7DB"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BOYACÁ</w:t>
            </w:r>
          </w:p>
        </w:tc>
        <w:tc>
          <w:tcPr>
            <w:tcW w:w="1100" w:type="dxa"/>
            <w:noWrap/>
            <w:hideMark/>
          </w:tcPr>
          <w:p w14:paraId="13FF444F"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3.339</w:t>
            </w:r>
          </w:p>
        </w:tc>
        <w:tc>
          <w:tcPr>
            <w:tcW w:w="940" w:type="dxa"/>
            <w:noWrap/>
            <w:hideMark/>
          </w:tcPr>
          <w:p w14:paraId="42EC4392"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194</w:t>
            </w:r>
          </w:p>
        </w:tc>
        <w:tc>
          <w:tcPr>
            <w:tcW w:w="1387" w:type="dxa"/>
            <w:noWrap/>
            <w:hideMark/>
          </w:tcPr>
          <w:p w14:paraId="7CE90CB4"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75</w:t>
            </w:r>
          </w:p>
        </w:tc>
        <w:tc>
          <w:tcPr>
            <w:tcW w:w="1398" w:type="dxa"/>
            <w:noWrap/>
            <w:hideMark/>
          </w:tcPr>
          <w:p w14:paraId="13995F56"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4.498</w:t>
            </w:r>
          </w:p>
        </w:tc>
        <w:tc>
          <w:tcPr>
            <w:tcW w:w="872" w:type="dxa"/>
            <w:noWrap/>
            <w:hideMark/>
          </w:tcPr>
          <w:p w14:paraId="7DEB2926"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8.106</w:t>
            </w:r>
          </w:p>
        </w:tc>
      </w:tr>
      <w:tr w:rsidR="00F90DF3" w:rsidRPr="00B710A9" w14:paraId="539E6BB3" w14:textId="77777777" w:rsidTr="00FD5B0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4A59CBD2"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CALDAS</w:t>
            </w:r>
          </w:p>
        </w:tc>
        <w:tc>
          <w:tcPr>
            <w:tcW w:w="1100" w:type="dxa"/>
            <w:noWrap/>
            <w:hideMark/>
          </w:tcPr>
          <w:p w14:paraId="71ED05F6"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2.953</w:t>
            </w:r>
          </w:p>
        </w:tc>
        <w:tc>
          <w:tcPr>
            <w:tcW w:w="940" w:type="dxa"/>
            <w:noWrap/>
            <w:hideMark/>
          </w:tcPr>
          <w:p w14:paraId="2D0AA3EE"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156</w:t>
            </w:r>
          </w:p>
        </w:tc>
        <w:tc>
          <w:tcPr>
            <w:tcW w:w="1387" w:type="dxa"/>
            <w:noWrap/>
            <w:hideMark/>
          </w:tcPr>
          <w:p w14:paraId="0C3FBB27"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0</w:t>
            </w:r>
          </w:p>
        </w:tc>
        <w:tc>
          <w:tcPr>
            <w:tcW w:w="1398" w:type="dxa"/>
            <w:noWrap/>
            <w:hideMark/>
          </w:tcPr>
          <w:p w14:paraId="03FB8AE8"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1.232</w:t>
            </w:r>
          </w:p>
        </w:tc>
        <w:tc>
          <w:tcPr>
            <w:tcW w:w="872" w:type="dxa"/>
            <w:noWrap/>
            <w:hideMark/>
          </w:tcPr>
          <w:p w14:paraId="640CA18C"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4.341</w:t>
            </w:r>
          </w:p>
        </w:tc>
      </w:tr>
      <w:tr w:rsidR="00F90DF3" w:rsidRPr="00B710A9" w14:paraId="53E56247" w14:textId="77777777" w:rsidTr="00FD5B02">
        <w:trPr>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7F9684D2"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CAQUETÁ</w:t>
            </w:r>
          </w:p>
        </w:tc>
        <w:tc>
          <w:tcPr>
            <w:tcW w:w="1100" w:type="dxa"/>
            <w:noWrap/>
            <w:hideMark/>
          </w:tcPr>
          <w:p w14:paraId="4C72617A"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3.246</w:t>
            </w:r>
          </w:p>
        </w:tc>
        <w:tc>
          <w:tcPr>
            <w:tcW w:w="940" w:type="dxa"/>
            <w:noWrap/>
            <w:hideMark/>
          </w:tcPr>
          <w:p w14:paraId="5B126274"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65</w:t>
            </w:r>
          </w:p>
        </w:tc>
        <w:tc>
          <w:tcPr>
            <w:tcW w:w="1387" w:type="dxa"/>
            <w:noWrap/>
            <w:hideMark/>
          </w:tcPr>
          <w:p w14:paraId="6B57F3E0"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0</w:t>
            </w:r>
          </w:p>
        </w:tc>
        <w:tc>
          <w:tcPr>
            <w:tcW w:w="1398" w:type="dxa"/>
            <w:noWrap/>
            <w:hideMark/>
          </w:tcPr>
          <w:p w14:paraId="2833BC42"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1.074</w:t>
            </w:r>
          </w:p>
        </w:tc>
        <w:tc>
          <w:tcPr>
            <w:tcW w:w="872" w:type="dxa"/>
            <w:noWrap/>
            <w:hideMark/>
          </w:tcPr>
          <w:p w14:paraId="63C9E865"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4.385</w:t>
            </w:r>
          </w:p>
        </w:tc>
      </w:tr>
      <w:tr w:rsidR="00F90DF3" w:rsidRPr="00B710A9" w14:paraId="6F33EF08" w14:textId="77777777" w:rsidTr="00FD5B0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21F813BD"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CASANARE</w:t>
            </w:r>
          </w:p>
        </w:tc>
        <w:tc>
          <w:tcPr>
            <w:tcW w:w="1100" w:type="dxa"/>
            <w:noWrap/>
            <w:hideMark/>
          </w:tcPr>
          <w:p w14:paraId="4519FA40"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1.095</w:t>
            </w:r>
          </w:p>
        </w:tc>
        <w:tc>
          <w:tcPr>
            <w:tcW w:w="940" w:type="dxa"/>
            <w:noWrap/>
            <w:hideMark/>
          </w:tcPr>
          <w:p w14:paraId="10A232C2"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42</w:t>
            </w:r>
          </w:p>
        </w:tc>
        <w:tc>
          <w:tcPr>
            <w:tcW w:w="1387" w:type="dxa"/>
            <w:noWrap/>
            <w:hideMark/>
          </w:tcPr>
          <w:p w14:paraId="3981F739"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0</w:t>
            </w:r>
          </w:p>
        </w:tc>
        <w:tc>
          <w:tcPr>
            <w:tcW w:w="1398" w:type="dxa"/>
            <w:noWrap/>
            <w:hideMark/>
          </w:tcPr>
          <w:p w14:paraId="49F608C4"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2.813</w:t>
            </w:r>
          </w:p>
        </w:tc>
        <w:tc>
          <w:tcPr>
            <w:tcW w:w="872" w:type="dxa"/>
            <w:noWrap/>
            <w:hideMark/>
          </w:tcPr>
          <w:p w14:paraId="7EBB36D8"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3.950</w:t>
            </w:r>
          </w:p>
        </w:tc>
      </w:tr>
      <w:tr w:rsidR="00F90DF3" w:rsidRPr="00B710A9" w14:paraId="6BBB8CE6" w14:textId="77777777" w:rsidTr="00FD5B02">
        <w:trPr>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3665FBC5"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CAUCA</w:t>
            </w:r>
          </w:p>
        </w:tc>
        <w:tc>
          <w:tcPr>
            <w:tcW w:w="1100" w:type="dxa"/>
            <w:noWrap/>
            <w:hideMark/>
          </w:tcPr>
          <w:p w14:paraId="017883C5"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3.188</w:t>
            </w:r>
          </w:p>
        </w:tc>
        <w:tc>
          <w:tcPr>
            <w:tcW w:w="940" w:type="dxa"/>
            <w:noWrap/>
            <w:hideMark/>
          </w:tcPr>
          <w:p w14:paraId="0763CFD2"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145</w:t>
            </w:r>
          </w:p>
        </w:tc>
        <w:tc>
          <w:tcPr>
            <w:tcW w:w="1387" w:type="dxa"/>
            <w:noWrap/>
            <w:hideMark/>
          </w:tcPr>
          <w:p w14:paraId="1B28680F"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34</w:t>
            </w:r>
          </w:p>
        </w:tc>
        <w:tc>
          <w:tcPr>
            <w:tcW w:w="1398" w:type="dxa"/>
            <w:noWrap/>
            <w:hideMark/>
          </w:tcPr>
          <w:p w14:paraId="782CD256"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1.376</w:t>
            </w:r>
          </w:p>
        </w:tc>
        <w:tc>
          <w:tcPr>
            <w:tcW w:w="872" w:type="dxa"/>
            <w:noWrap/>
            <w:hideMark/>
          </w:tcPr>
          <w:p w14:paraId="6A8E2F5A"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4.743</w:t>
            </w:r>
          </w:p>
        </w:tc>
      </w:tr>
      <w:tr w:rsidR="00F90DF3" w:rsidRPr="00B710A9" w14:paraId="3114762A" w14:textId="77777777" w:rsidTr="00FD5B0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15194167"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CESAR</w:t>
            </w:r>
          </w:p>
        </w:tc>
        <w:tc>
          <w:tcPr>
            <w:tcW w:w="1100" w:type="dxa"/>
            <w:noWrap/>
            <w:hideMark/>
          </w:tcPr>
          <w:p w14:paraId="04EECAFD"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3.947</w:t>
            </w:r>
          </w:p>
        </w:tc>
        <w:tc>
          <w:tcPr>
            <w:tcW w:w="940" w:type="dxa"/>
            <w:noWrap/>
            <w:hideMark/>
          </w:tcPr>
          <w:p w14:paraId="57EDF2B9"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90</w:t>
            </w:r>
          </w:p>
        </w:tc>
        <w:tc>
          <w:tcPr>
            <w:tcW w:w="1387" w:type="dxa"/>
            <w:noWrap/>
            <w:hideMark/>
          </w:tcPr>
          <w:p w14:paraId="5E85807E"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88</w:t>
            </w:r>
          </w:p>
        </w:tc>
        <w:tc>
          <w:tcPr>
            <w:tcW w:w="1398" w:type="dxa"/>
            <w:noWrap/>
            <w:hideMark/>
          </w:tcPr>
          <w:p w14:paraId="429F4115"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955</w:t>
            </w:r>
          </w:p>
        </w:tc>
        <w:tc>
          <w:tcPr>
            <w:tcW w:w="872" w:type="dxa"/>
            <w:noWrap/>
            <w:hideMark/>
          </w:tcPr>
          <w:p w14:paraId="72909E43"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5.080</w:t>
            </w:r>
          </w:p>
        </w:tc>
      </w:tr>
      <w:tr w:rsidR="00F90DF3" w:rsidRPr="00B710A9" w14:paraId="3C27764B" w14:textId="77777777" w:rsidTr="00FD5B02">
        <w:trPr>
          <w:trHeight w:val="197"/>
        </w:trPr>
        <w:tc>
          <w:tcPr>
            <w:cnfStyle w:val="001000000000" w:firstRow="0" w:lastRow="0" w:firstColumn="1" w:lastColumn="0" w:oddVBand="0" w:evenVBand="0" w:oddHBand="0" w:evenHBand="0" w:firstRowFirstColumn="0" w:firstRowLastColumn="0" w:lastRowFirstColumn="0" w:lastRowLastColumn="0"/>
            <w:tcW w:w="2378" w:type="dxa"/>
            <w:noWrap/>
            <w:hideMark/>
          </w:tcPr>
          <w:p w14:paraId="7905EC9D"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CÒRDOBA</w:t>
            </w:r>
          </w:p>
        </w:tc>
        <w:tc>
          <w:tcPr>
            <w:tcW w:w="1100" w:type="dxa"/>
            <w:noWrap/>
            <w:hideMark/>
          </w:tcPr>
          <w:p w14:paraId="73534E8D"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3.784</w:t>
            </w:r>
          </w:p>
        </w:tc>
        <w:tc>
          <w:tcPr>
            <w:tcW w:w="940" w:type="dxa"/>
            <w:noWrap/>
            <w:hideMark/>
          </w:tcPr>
          <w:p w14:paraId="5DF95974"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41</w:t>
            </w:r>
          </w:p>
        </w:tc>
        <w:tc>
          <w:tcPr>
            <w:tcW w:w="1387" w:type="dxa"/>
            <w:noWrap/>
            <w:hideMark/>
          </w:tcPr>
          <w:p w14:paraId="41E99613"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w:t>
            </w:r>
          </w:p>
        </w:tc>
        <w:tc>
          <w:tcPr>
            <w:tcW w:w="1398" w:type="dxa"/>
            <w:noWrap/>
            <w:hideMark/>
          </w:tcPr>
          <w:p w14:paraId="392F3610"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2.524</w:t>
            </w:r>
          </w:p>
        </w:tc>
        <w:tc>
          <w:tcPr>
            <w:tcW w:w="872" w:type="dxa"/>
            <w:noWrap/>
            <w:hideMark/>
          </w:tcPr>
          <w:p w14:paraId="6339D183"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6.356</w:t>
            </w:r>
          </w:p>
        </w:tc>
      </w:tr>
      <w:tr w:rsidR="00F90DF3" w:rsidRPr="00B710A9" w14:paraId="05BC8714" w14:textId="77777777" w:rsidTr="00FD5B0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50F1DDB5"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CUNDINAMARCA</w:t>
            </w:r>
          </w:p>
        </w:tc>
        <w:tc>
          <w:tcPr>
            <w:tcW w:w="1100" w:type="dxa"/>
            <w:noWrap/>
            <w:hideMark/>
          </w:tcPr>
          <w:p w14:paraId="69D34703"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2.161</w:t>
            </w:r>
          </w:p>
        </w:tc>
        <w:tc>
          <w:tcPr>
            <w:tcW w:w="940" w:type="dxa"/>
            <w:noWrap/>
            <w:hideMark/>
          </w:tcPr>
          <w:p w14:paraId="69582B42"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51</w:t>
            </w:r>
          </w:p>
        </w:tc>
        <w:tc>
          <w:tcPr>
            <w:tcW w:w="1387" w:type="dxa"/>
            <w:noWrap/>
            <w:hideMark/>
          </w:tcPr>
          <w:p w14:paraId="768075C4"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w:t>
            </w:r>
          </w:p>
        </w:tc>
        <w:tc>
          <w:tcPr>
            <w:tcW w:w="1398" w:type="dxa"/>
            <w:noWrap/>
            <w:hideMark/>
          </w:tcPr>
          <w:p w14:paraId="3932C488"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1.538</w:t>
            </w:r>
          </w:p>
        </w:tc>
        <w:tc>
          <w:tcPr>
            <w:tcW w:w="872" w:type="dxa"/>
            <w:noWrap/>
            <w:hideMark/>
          </w:tcPr>
          <w:p w14:paraId="6BAA77A3"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3.753</w:t>
            </w:r>
          </w:p>
        </w:tc>
      </w:tr>
      <w:tr w:rsidR="00F90DF3" w:rsidRPr="00B710A9" w14:paraId="5ECD03B6" w14:textId="77777777" w:rsidTr="00FD5B02">
        <w:trPr>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2C96BC3F"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HUILA</w:t>
            </w:r>
          </w:p>
        </w:tc>
        <w:tc>
          <w:tcPr>
            <w:tcW w:w="1100" w:type="dxa"/>
            <w:noWrap/>
            <w:hideMark/>
          </w:tcPr>
          <w:p w14:paraId="2DC07649"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5.800</w:t>
            </w:r>
          </w:p>
        </w:tc>
        <w:tc>
          <w:tcPr>
            <w:tcW w:w="940" w:type="dxa"/>
            <w:noWrap/>
            <w:hideMark/>
          </w:tcPr>
          <w:p w14:paraId="4B86873D"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58</w:t>
            </w:r>
          </w:p>
        </w:tc>
        <w:tc>
          <w:tcPr>
            <w:tcW w:w="1387" w:type="dxa"/>
            <w:noWrap/>
            <w:hideMark/>
          </w:tcPr>
          <w:p w14:paraId="02FF1C43"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w:t>
            </w:r>
          </w:p>
        </w:tc>
        <w:tc>
          <w:tcPr>
            <w:tcW w:w="1398" w:type="dxa"/>
            <w:noWrap/>
            <w:hideMark/>
          </w:tcPr>
          <w:p w14:paraId="0FEBD570"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1.280</w:t>
            </w:r>
          </w:p>
        </w:tc>
        <w:tc>
          <w:tcPr>
            <w:tcW w:w="872" w:type="dxa"/>
            <w:noWrap/>
            <w:hideMark/>
          </w:tcPr>
          <w:p w14:paraId="6567EBC6"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7.141</w:t>
            </w:r>
          </w:p>
        </w:tc>
      </w:tr>
      <w:tr w:rsidR="00F90DF3" w:rsidRPr="00B710A9" w14:paraId="73AFB4BF" w14:textId="77777777" w:rsidTr="00FD5B0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7A1455D3"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LA GUAJIRA</w:t>
            </w:r>
          </w:p>
        </w:tc>
        <w:tc>
          <w:tcPr>
            <w:tcW w:w="1100" w:type="dxa"/>
            <w:noWrap/>
            <w:hideMark/>
          </w:tcPr>
          <w:p w14:paraId="792D7164"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2.275</w:t>
            </w:r>
          </w:p>
        </w:tc>
        <w:tc>
          <w:tcPr>
            <w:tcW w:w="940" w:type="dxa"/>
            <w:noWrap/>
            <w:hideMark/>
          </w:tcPr>
          <w:p w14:paraId="5F63FF57"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74</w:t>
            </w:r>
          </w:p>
        </w:tc>
        <w:tc>
          <w:tcPr>
            <w:tcW w:w="1387" w:type="dxa"/>
            <w:noWrap/>
            <w:hideMark/>
          </w:tcPr>
          <w:p w14:paraId="1A4789BE"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w:t>
            </w:r>
          </w:p>
        </w:tc>
        <w:tc>
          <w:tcPr>
            <w:tcW w:w="1398" w:type="dxa"/>
            <w:noWrap/>
            <w:hideMark/>
          </w:tcPr>
          <w:p w14:paraId="457C0F65"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1.782</w:t>
            </w:r>
          </w:p>
        </w:tc>
        <w:tc>
          <w:tcPr>
            <w:tcW w:w="872" w:type="dxa"/>
            <w:noWrap/>
            <w:hideMark/>
          </w:tcPr>
          <w:p w14:paraId="43677992"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4.135</w:t>
            </w:r>
          </w:p>
        </w:tc>
      </w:tr>
      <w:tr w:rsidR="00F90DF3" w:rsidRPr="00B710A9" w14:paraId="6619D52D" w14:textId="77777777" w:rsidTr="00FD5B02">
        <w:trPr>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36B5F401"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MAGDALENA</w:t>
            </w:r>
          </w:p>
        </w:tc>
        <w:tc>
          <w:tcPr>
            <w:tcW w:w="1100" w:type="dxa"/>
            <w:noWrap/>
            <w:hideMark/>
          </w:tcPr>
          <w:p w14:paraId="7D5EA480"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2.401</w:t>
            </w:r>
          </w:p>
        </w:tc>
        <w:tc>
          <w:tcPr>
            <w:tcW w:w="940" w:type="dxa"/>
            <w:noWrap/>
            <w:hideMark/>
          </w:tcPr>
          <w:p w14:paraId="32D9B00C"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45</w:t>
            </w:r>
          </w:p>
        </w:tc>
        <w:tc>
          <w:tcPr>
            <w:tcW w:w="1387" w:type="dxa"/>
            <w:noWrap/>
            <w:hideMark/>
          </w:tcPr>
          <w:p w14:paraId="6443856A"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181</w:t>
            </w:r>
          </w:p>
        </w:tc>
        <w:tc>
          <w:tcPr>
            <w:tcW w:w="1398" w:type="dxa"/>
            <w:noWrap/>
            <w:hideMark/>
          </w:tcPr>
          <w:p w14:paraId="0D62112C"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572</w:t>
            </w:r>
          </w:p>
        </w:tc>
        <w:tc>
          <w:tcPr>
            <w:tcW w:w="872" w:type="dxa"/>
            <w:noWrap/>
            <w:hideMark/>
          </w:tcPr>
          <w:p w14:paraId="06397A69"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3.199</w:t>
            </w:r>
          </w:p>
        </w:tc>
      </w:tr>
      <w:tr w:rsidR="00F90DF3" w:rsidRPr="00B710A9" w14:paraId="38B969D0" w14:textId="77777777" w:rsidTr="00FD5B0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081400AF"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META</w:t>
            </w:r>
          </w:p>
        </w:tc>
        <w:tc>
          <w:tcPr>
            <w:tcW w:w="1100" w:type="dxa"/>
            <w:noWrap/>
            <w:hideMark/>
          </w:tcPr>
          <w:p w14:paraId="026AEB2E"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3.917</w:t>
            </w:r>
          </w:p>
        </w:tc>
        <w:tc>
          <w:tcPr>
            <w:tcW w:w="940" w:type="dxa"/>
            <w:noWrap/>
            <w:hideMark/>
          </w:tcPr>
          <w:p w14:paraId="5ACD00A0"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99</w:t>
            </w:r>
          </w:p>
        </w:tc>
        <w:tc>
          <w:tcPr>
            <w:tcW w:w="1387" w:type="dxa"/>
            <w:noWrap/>
            <w:hideMark/>
          </w:tcPr>
          <w:p w14:paraId="059DEDD2"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0</w:t>
            </w:r>
          </w:p>
        </w:tc>
        <w:tc>
          <w:tcPr>
            <w:tcW w:w="1398" w:type="dxa"/>
            <w:noWrap/>
            <w:hideMark/>
          </w:tcPr>
          <w:p w14:paraId="16B946CA"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3.010</w:t>
            </w:r>
          </w:p>
        </w:tc>
        <w:tc>
          <w:tcPr>
            <w:tcW w:w="872" w:type="dxa"/>
            <w:noWrap/>
            <w:hideMark/>
          </w:tcPr>
          <w:p w14:paraId="5CDD8162"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7.026</w:t>
            </w:r>
          </w:p>
        </w:tc>
      </w:tr>
      <w:tr w:rsidR="00F90DF3" w:rsidRPr="00B710A9" w14:paraId="3B03D937" w14:textId="77777777" w:rsidTr="00FD5B02">
        <w:trPr>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3C1D28E7"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NARIÑO</w:t>
            </w:r>
          </w:p>
        </w:tc>
        <w:tc>
          <w:tcPr>
            <w:tcW w:w="1100" w:type="dxa"/>
            <w:noWrap/>
            <w:hideMark/>
          </w:tcPr>
          <w:p w14:paraId="45B705AD"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5.130</w:t>
            </w:r>
          </w:p>
        </w:tc>
        <w:tc>
          <w:tcPr>
            <w:tcW w:w="940" w:type="dxa"/>
            <w:noWrap/>
            <w:hideMark/>
          </w:tcPr>
          <w:p w14:paraId="19619CEF"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173</w:t>
            </w:r>
          </w:p>
        </w:tc>
        <w:tc>
          <w:tcPr>
            <w:tcW w:w="1387" w:type="dxa"/>
            <w:noWrap/>
            <w:hideMark/>
          </w:tcPr>
          <w:p w14:paraId="50CE438E"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150</w:t>
            </w:r>
          </w:p>
        </w:tc>
        <w:tc>
          <w:tcPr>
            <w:tcW w:w="1398" w:type="dxa"/>
            <w:noWrap/>
            <w:hideMark/>
          </w:tcPr>
          <w:p w14:paraId="14028A69"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1.504</w:t>
            </w:r>
          </w:p>
        </w:tc>
        <w:tc>
          <w:tcPr>
            <w:tcW w:w="872" w:type="dxa"/>
            <w:noWrap/>
            <w:hideMark/>
          </w:tcPr>
          <w:p w14:paraId="4084A03B"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6.957</w:t>
            </w:r>
          </w:p>
        </w:tc>
      </w:tr>
      <w:tr w:rsidR="00F90DF3" w:rsidRPr="00B710A9" w14:paraId="4C528BFF" w14:textId="77777777" w:rsidTr="00FD5B0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1DB0EE65"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NORTE DE SANTANDER</w:t>
            </w:r>
          </w:p>
        </w:tc>
        <w:tc>
          <w:tcPr>
            <w:tcW w:w="1100" w:type="dxa"/>
            <w:noWrap/>
            <w:hideMark/>
          </w:tcPr>
          <w:p w14:paraId="27B6633F"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7.513</w:t>
            </w:r>
          </w:p>
        </w:tc>
        <w:tc>
          <w:tcPr>
            <w:tcW w:w="940" w:type="dxa"/>
            <w:noWrap/>
            <w:hideMark/>
          </w:tcPr>
          <w:p w14:paraId="1B0A3777"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257</w:t>
            </w:r>
          </w:p>
        </w:tc>
        <w:tc>
          <w:tcPr>
            <w:tcW w:w="1387" w:type="dxa"/>
            <w:noWrap/>
            <w:hideMark/>
          </w:tcPr>
          <w:p w14:paraId="71FE7FF5"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353</w:t>
            </w:r>
          </w:p>
        </w:tc>
        <w:tc>
          <w:tcPr>
            <w:tcW w:w="1398" w:type="dxa"/>
            <w:noWrap/>
            <w:hideMark/>
          </w:tcPr>
          <w:p w14:paraId="4B7FCEE4"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618</w:t>
            </w:r>
          </w:p>
        </w:tc>
        <w:tc>
          <w:tcPr>
            <w:tcW w:w="872" w:type="dxa"/>
            <w:noWrap/>
            <w:hideMark/>
          </w:tcPr>
          <w:p w14:paraId="0130E875"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8.741</w:t>
            </w:r>
          </w:p>
        </w:tc>
      </w:tr>
      <w:tr w:rsidR="00F90DF3" w:rsidRPr="00B710A9" w14:paraId="689AB973" w14:textId="77777777" w:rsidTr="00FD5B02">
        <w:trPr>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15D19806"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QUINDÍO</w:t>
            </w:r>
          </w:p>
        </w:tc>
        <w:tc>
          <w:tcPr>
            <w:tcW w:w="1100" w:type="dxa"/>
            <w:noWrap/>
            <w:hideMark/>
          </w:tcPr>
          <w:p w14:paraId="24C1C9B7"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1.944</w:t>
            </w:r>
          </w:p>
        </w:tc>
        <w:tc>
          <w:tcPr>
            <w:tcW w:w="940" w:type="dxa"/>
            <w:noWrap/>
            <w:hideMark/>
          </w:tcPr>
          <w:p w14:paraId="3964396A"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20</w:t>
            </w:r>
          </w:p>
        </w:tc>
        <w:tc>
          <w:tcPr>
            <w:tcW w:w="1387" w:type="dxa"/>
            <w:noWrap/>
            <w:hideMark/>
          </w:tcPr>
          <w:p w14:paraId="54FB595E"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0</w:t>
            </w:r>
          </w:p>
        </w:tc>
        <w:tc>
          <w:tcPr>
            <w:tcW w:w="1398" w:type="dxa"/>
            <w:noWrap/>
            <w:hideMark/>
          </w:tcPr>
          <w:p w14:paraId="49A05E63"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487</w:t>
            </w:r>
          </w:p>
        </w:tc>
        <w:tc>
          <w:tcPr>
            <w:tcW w:w="872" w:type="dxa"/>
            <w:noWrap/>
            <w:hideMark/>
          </w:tcPr>
          <w:p w14:paraId="2851E3BE"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2.451</w:t>
            </w:r>
          </w:p>
        </w:tc>
      </w:tr>
      <w:tr w:rsidR="00F90DF3" w:rsidRPr="00B710A9" w14:paraId="50050160" w14:textId="77777777" w:rsidTr="00FD5B0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12C97148"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RISARALDA</w:t>
            </w:r>
          </w:p>
        </w:tc>
        <w:tc>
          <w:tcPr>
            <w:tcW w:w="1100" w:type="dxa"/>
            <w:noWrap/>
            <w:hideMark/>
          </w:tcPr>
          <w:p w14:paraId="550B9E56"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7.719</w:t>
            </w:r>
          </w:p>
        </w:tc>
        <w:tc>
          <w:tcPr>
            <w:tcW w:w="940" w:type="dxa"/>
            <w:noWrap/>
            <w:hideMark/>
          </w:tcPr>
          <w:p w14:paraId="39C63883"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54</w:t>
            </w:r>
          </w:p>
        </w:tc>
        <w:tc>
          <w:tcPr>
            <w:tcW w:w="1387" w:type="dxa"/>
            <w:noWrap/>
            <w:hideMark/>
          </w:tcPr>
          <w:p w14:paraId="0472C951"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39</w:t>
            </w:r>
          </w:p>
        </w:tc>
        <w:tc>
          <w:tcPr>
            <w:tcW w:w="1398" w:type="dxa"/>
            <w:noWrap/>
            <w:hideMark/>
          </w:tcPr>
          <w:p w14:paraId="42A1E618"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4.391</w:t>
            </w:r>
          </w:p>
        </w:tc>
        <w:tc>
          <w:tcPr>
            <w:tcW w:w="872" w:type="dxa"/>
            <w:noWrap/>
            <w:hideMark/>
          </w:tcPr>
          <w:p w14:paraId="5804ED00"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12.203</w:t>
            </w:r>
          </w:p>
        </w:tc>
      </w:tr>
      <w:tr w:rsidR="00F90DF3" w:rsidRPr="00B710A9" w14:paraId="10D72847" w14:textId="77777777" w:rsidTr="00FD5B02">
        <w:trPr>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6B129AB0"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SANTANDER</w:t>
            </w:r>
          </w:p>
        </w:tc>
        <w:tc>
          <w:tcPr>
            <w:tcW w:w="1100" w:type="dxa"/>
            <w:noWrap/>
            <w:hideMark/>
          </w:tcPr>
          <w:p w14:paraId="43C53179"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5.219</w:t>
            </w:r>
          </w:p>
        </w:tc>
        <w:tc>
          <w:tcPr>
            <w:tcW w:w="940" w:type="dxa"/>
            <w:noWrap/>
            <w:hideMark/>
          </w:tcPr>
          <w:p w14:paraId="7F07B935"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165</w:t>
            </w:r>
          </w:p>
        </w:tc>
        <w:tc>
          <w:tcPr>
            <w:tcW w:w="1387" w:type="dxa"/>
            <w:noWrap/>
            <w:hideMark/>
          </w:tcPr>
          <w:p w14:paraId="665926AE"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508</w:t>
            </w:r>
          </w:p>
        </w:tc>
        <w:tc>
          <w:tcPr>
            <w:tcW w:w="1398" w:type="dxa"/>
            <w:noWrap/>
            <w:hideMark/>
          </w:tcPr>
          <w:p w14:paraId="052DC7F1"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217</w:t>
            </w:r>
          </w:p>
        </w:tc>
        <w:tc>
          <w:tcPr>
            <w:tcW w:w="872" w:type="dxa"/>
            <w:noWrap/>
            <w:hideMark/>
          </w:tcPr>
          <w:p w14:paraId="485C1D26"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6.109</w:t>
            </w:r>
          </w:p>
        </w:tc>
      </w:tr>
      <w:tr w:rsidR="00F90DF3" w:rsidRPr="00B710A9" w14:paraId="2C7EC3DF" w14:textId="77777777" w:rsidTr="00FD5B0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2930EDBB"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SUCRE</w:t>
            </w:r>
          </w:p>
        </w:tc>
        <w:tc>
          <w:tcPr>
            <w:tcW w:w="1100" w:type="dxa"/>
            <w:noWrap/>
            <w:hideMark/>
          </w:tcPr>
          <w:p w14:paraId="551CF2C7"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3.452</w:t>
            </w:r>
          </w:p>
        </w:tc>
        <w:tc>
          <w:tcPr>
            <w:tcW w:w="940" w:type="dxa"/>
            <w:noWrap/>
            <w:hideMark/>
          </w:tcPr>
          <w:p w14:paraId="529A9FF2"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110</w:t>
            </w:r>
          </w:p>
        </w:tc>
        <w:tc>
          <w:tcPr>
            <w:tcW w:w="1387" w:type="dxa"/>
            <w:noWrap/>
            <w:hideMark/>
          </w:tcPr>
          <w:p w14:paraId="10F6F716"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0</w:t>
            </w:r>
          </w:p>
        </w:tc>
        <w:tc>
          <w:tcPr>
            <w:tcW w:w="1398" w:type="dxa"/>
            <w:noWrap/>
            <w:hideMark/>
          </w:tcPr>
          <w:p w14:paraId="6D71B73E"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480</w:t>
            </w:r>
          </w:p>
        </w:tc>
        <w:tc>
          <w:tcPr>
            <w:tcW w:w="872" w:type="dxa"/>
            <w:noWrap/>
            <w:hideMark/>
          </w:tcPr>
          <w:p w14:paraId="3E8FC4D4"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4.042</w:t>
            </w:r>
          </w:p>
        </w:tc>
      </w:tr>
      <w:tr w:rsidR="00F90DF3" w:rsidRPr="00B710A9" w14:paraId="7FA9F5BF" w14:textId="77777777" w:rsidTr="00FD5B02">
        <w:trPr>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162D0719"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TOLIMA</w:t>
            </w:r>
          </w:p>
        </w:tc>
        <w:tc>
          <w:tcPr>
            <w:tcW w:w="1100" w:type="dxa"/>
            <w:noWrap/>
            <w:hideMark/>
          </w:tcPr>
          <w:p w14:paraId="58760FB0"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113</w:t>
            </w:r>
          </w:p>
        </w:tc>
        <w:tc>
          <w:tcPr>
            <w:tcW w:w="940" w:type="dxa"/>
            <w:noWrap/>
            <w:hideMark/>
          </w:tcPr>
          <w:p w14:paraId="4444C953"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21</w:t>
            </w:r>
          </w:p>
        </w:tc>
        <w:tc>
          <w:tcPr>
            <w:tcW w:w="1387" w:type="dxa"/>
            <w:noWrap/>
            <w:hideMark/>
          </w:tcPr>
          <w:p w14:paraId="1DEC4EB2"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0</w:t>
            </w:r>
          </w:p>
        </w:tc>
        <w:tc>
          <w:tcPr>
            <w:tcW w:w="1398" w:type="dxa"/>
            <w:noWrap/>
            <w:hideMark/>
          </w:tcPr>
          <w:p w14:paraId="0D93B877"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2.595</w:t>
            </w:r>
          </w:p>
        </w:tc>
        <w:tc>
          <w:tcPr>
            <w:tcW w:w="872" w:type="dxa"/>
            <w:noWrap/>
            <w:hideMark/>
          </w:tcPr>
          <w:p w14:paraId="771870BD"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2.729</w:t>
            </w:r>
          </w:p>
        </w:tc>
      </w:tr>
      <w:tr w:rsidR="00F90DF3" w:rsidRPr="00B710A9" w14:paraId="15F3A9FA" w14:textId="77777777" w:rsidTr="00FD5B0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3645A097" w14:textId="77777777" w:rsidR="00F90DF3" w:rsidRPr="00B710A9" w:rsidRDefault="00F90DF3" w:rsidP="00F90DF3">
            <w:pPr>
              <w:rPr>
                <w:rFonts w:ascii="Arial" w:hAnsi="Arial" w:cs="Arial"/>
                <w:color w:val="000000"/>
                <w:sz w:val="16"/>
                <w:szCs w:val="16"/>
              </w:rPr>
            </w:pPr>
            <w:r w:rsidRPr="00B710A9">
              <w:rPr>
                <w:rFonts w:ascii="Arial" w:hAnsi="Arial" w:cs="Arial"/>
                <w:color w:val="000000"/>
                <w:sz w:val="16"/>
                <w:szCs w:val="16"/>
              </w:rPr>
              <w:t>VALLE</w:t>
            </w:r>
          </w:p>
        </w:tc>
        <w:tc>
          <w:tcPr>
            <w:tcW w:w="1100" w:type="dxa"/>
            <w:noWrap/>
            <w:hideMark/>
          </w:tcPr>
          <w:p w14:paraId="282E929B"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4.189</w:t>
            </w:r>
          </w:p>
        </w:tc>
        <w:tc>
          <w:tcPr>
            <w:tcW w:w="940" w:type="dxa"/>
            <w:noWrap/>
            <w:hideMark/>
          </w:tcPr>
          <w:p w14:paraId="1DBAFE4E"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158</w:t>
            </w:r>
          </w:p>
        </w:tc>
        <w:tc>
          <w:tcPr>
            <w:tcW w:w="1387" w:type="dxa"/>
            <w:noWrap/>
            <w:hideMark/>
          </w:tcPr>
          <w:p w14:paraId="29BAC071"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0</w:t>
            </w:r>
          </w:p>
        </w:tc>
        <w:tc>
          <w:tcPr>
            <w:tcW w:w="1398" w:type="dxa"/>
            <w:noWrap/>
            <w:hideMark/>
          </w:tcPr>
          <w:p w14:paraId="7C757B2D"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1.012</w:t>
            </w:r>
          </w:p>
        </w:tc>
        <w:tc>
          <w:tcPr>
            <w:tcW w:w="872" w:type="dxa"/>
            <w:noWrap/>
            <w:hideMark/>
          </w:tcPr>
          <w:p w14:paraId="42035C2B" w14:textId="77777777" w:rsidR="00F90DF3" w:rsidRPr="00B710A9" w:rsidRDefault="00F90DF3" w:rsidP="00F90DF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5.359</w:t>
            </w:r>
          </w:p>
        </w:tc>
      </w:tr>
      <w:tr w:rsidR="00F90DF3" w:rsidRPr="00B710A9" w14:paraId="36860E01" w14:textId="77777777" w:rsidTr="00FD5B02">
        <w:trPr>
          <w:trHeight w:val="60"/>
        </w:trPr>
        <w:tc>
          <w:tcPr>
            <w:cnfStyle w:val="001000000000" w:firstRow="0" w:lastRow="0" w:firstColumn="1" w:lastColumn="0" w:oddVBand="0" w:evenVBand="0" w:oddHBand="0" w:evenHBand="0" w:firstRowFirstColumn="0" w:firstRowLastColumn="0" w:lastRowFirstColumn="0" w:lastRowLastColumn="0"/>
            <w:tcW w:w="2378" w:type="dxa"/>
            <w:noWrap/>
            <w:hideMark/>
          </w:tcPr>
          <w:p w14:paraId="3FCC92D1" w14:textId="77777777" w:rsidR="00F90DF3" w:rsidRPr="00B710A9" w:rsidRDefault="00F90DF3" w:rsidP="00F90DF3">
            <w:pPr>
              <w:rPr>
                <w:rFonts w:ascii="Arial" w:hAnsi="Arial" w:cs="Arial"/>
                <w:b w:val="0"/>
                <w:bCs w:val="0"/>
                <w:color w:val="000000"/>
                <w:sz w:val="16"/>
                <w:szCs w:val="16"/>
              </w:rPr>
            </w:pPr>
            <w:proofErr w:type="gramStart"/>
            <w:r w:rsidRPr="00B710A9">
              <w:rPr>
                <w:rFonts w:ascii="Arial" w:hAnsi="Arial" w:cs="Arial"/>
                <w:color w:val="000000"/>
                <w:sz w:val="16"/>
                <w:szCs w:val="16"/>
              </w:rPr>
              <w:t>Total</w:t>
            </w:r>
            <w:proofErr w:type="gramEnd"/>
            <w:r w:rsidRPr="00B710A9">
              <w:rPr>
                <w:rFonts w:ascii="Arial" w:hAnsi="Arial" w:cs="Arial"/>
                <w:color w:val="000000"/>
                <w:sz w:val="16"/>
                <w:szCs w:val="16"/>
              </w:rPr>
              <w:t xml:space="preserve"> general</w:t>
            </w:r>
          </w:p>
        </w:tc>
        <w:tc>
          <w:tcPr>
            <w:tcW w:w="1100" w:type="dxa"/>
            <w:noWrap/>
            <w:hideMark/>
          </w:tcPr>
          <w:p w14:paraId="26294234"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77.215</w:t>
            </w:r>
          </w:p>
        </w:tc>
        <w:tc>
          <w:tcPr>
            <w:tcW w:w="940" w:type="dxa"/>
            <w:noWrap/>
            <w:hideMark/>
          </w:tcPr>
          <w:p w14:paraId="17DD9C69"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2.098</w:t>
            </w:r>
          </w:p>
        </w:tc>
        <w:tc>
          <w:tcPr>
            <w:tcW w:w="1387" w:type="dxa"/>
            <w:noWrap/>
            <w:hideMark/>
          </w:tcPr>
          <w:p w14:paraId="2BC6219E"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1.770</w:t>
            </w:r>
          </w:p>
        </w:tc>
        <w:tc>
          <w:tcPr>
            <w:tcW w:w="1398" w:type="dxa"/>
            <w:noWrap/>
            <w:hideMark/>
          </w:tcPr>
          <w:p w14:paraId="6B046A16"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37.127</w:t>
            </w:r>
          </w:p>
        </w:tc>
        <w:tc>
          <w:tcPr>
            <w:tcW w:w="872" w:type="dxa"/>
            <w:noWrap/>
            <w:hideMark/>
          </w:tcPr>
          <w:p w14:paraId="2366B6F8" w14:textId="77777777" w:rsidR="00F90DF3" w:rsidRPr="00B710A9" w:rsidRDefault="00F90DF3" w:rsidP="00F90DF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118.210</w:t>
            </w:r>
          </w:p>
        </w:tc>
      </w:tr>
    </w:tbl>
    <w:p w14:paraId="34CAB98F" w14:textId="262C1008" w:rsidR="000920C9" w:rsidRPr="00B710A9" w:rsidRDefault="000920C9" w:rsidP="000920C9">
      <w:pPr>
        <w:spacing w:line="276" w:lineRule="auto"/>
        <w:jc w:val="center"/>
        <w:rPr>
          <w:rFonts w:ascii="Arial" w:eastAsia="Arial" w:hAnsi="Arial" w:cs="Arial"/>
          <w:b/>
          <w:bCs/>
          <w:sz w:val="16"/>
          <w:szCs w:val="16"/>
        </w:rPr>
      </w:pPr>
      <w:r w:rsidRPr="00B710A9">
        <w:rPr>
          <w:rFonts w:ascii="Arial" w:eastAsia="Arial" w:hAnsi="Arial" w:cs="Arial"/>
          <w:b/>
          <w:bCs/>
          <w:sz w:val="16"/>
          <w:szCs w:val="16"/>
        </w:rPr>
        <w:t>Fuente:  Dirección de Gestión Catastral</w:t>
      </w:r>
    </w:p>
    <w:p w14:paraId="603D7F7C" w14:textId="262C1008" w:rsidR="000920C9" w:rsidRPr="00B710A9" w:rsidRDefault="000920C9" w:rsidP="000920C9">
      <w:pPr>
        <w:jc w:val="both"/>
        <w:rPr>
          <w:rFonts w:ascii="Arial" w:hAnsi="Arial" w:cs="Arial"/>
          <w:sz w:val="22"/>
          <w:szCs w:val="22"/>
        </w:rPr>
      </w:pPr>
    </w:p>
    <w:p w14:paraId="32509E66" w14:textId="609E2B53" w:rsidR="000920C9" w:rsidRPr="00B710A9" w:rsidRDefault="000920C9" w:rsidP="00356A3E">
      <w:pPr>
        <w:pStyle w:val="Prrafodelista"/>
        <w:numPr>
          <w:ilvl w:val="0"/>
          <w:numId w:val="97"/>
        </w:numPr>
        <w:jc w:val="both"/>
        <w:rPr>
          <w:rFonts w:ascii="Arial" w:hAnsi="Arial" w:cs="Arial"/>
          <w:b/>
          <w:bCs/>
          <w:sz w:val="22"/>
          <w:szCs w:val="22"/>
        </w:rPr>
      </w:pPr>
      <w:r w:rsidRPr="00B710A9">
        <w:rPr>
          <w:rFonts w:ascii="Arial" w:hAnsi="Arial" w:cs="Arial"/>
          <w:b/>
          <w:bCs/>
          <w:sz w:val="22"/>
          <w:szCs w:val="22"/>
        </w:rPr>
        <w:t>Solicitudes tramitadas en 20</w:t>
      </w:r>
      <w:r w:rsidR="000A0142" w:rsidRPr="00B710A9">
        <w:rPr>
          <w:rFonts w:ascii="Arial" w:hAnsi="Arial" w:cs="Arial"/>
          <w:b/>
          <w:bCs/>
          <w:sz w:val="22"/>
          <w:szCs w:val="22"/>
        </w:rPr>
        <w:t>22</w:t>
      </w:r>
    </w:p>
    <w:p w14:paraId="59D98D8A" w14:textId="21385E74" w:rsidR="000920C9" w:rsidRPr="00B710A9" w:rsidRDefault="000920C9" w:rsidP="000920C9">
      <w:pPr>
        <w:jc w:val="both"/>
        <w:rPr>
          <w:rFonts w:ascii="Arial" w:eastAsia="Arial" w:hAnsi="Arial" w:cs="Arial"/>
          <w:sz w:val="22"/>
          <w:szCs w:val="22"/>
        </w:rPr>
      </w:pPr>
      <w:r w:rsidRPr="00B710A9">
        <w:rPr>
          <w:rFonts w:ascii="Arial" w:hAnsi="Arial" w:cs="Arial"/>
        </w:rPr>
        <w:br/>
      </w:r>
      <w:r w:rsidRPr="00B710A9">
        <w:rPr>
          <w:rFonts w:ascii="Arial" w:hAnsi="Arial" w:cs="Arial"/>
          <w:sz w:val="22"/>
          <w:szCs w:val="22"/>
        </w:rPr>
        <w:t xml:space="preserve">A </w:t>
      </w:r>
      <w:r w:rsidR="000A0142" w:rsidRPr="00B710A9">
        <w:rPr>
          <w:rFonts w:ascii="Arial" w:hAnsi="Arial" w:cs="Arial"/>
          <w:sz w:val="22"/>
          <w:szCs w:val="22"/>
        </w:rPr>
        <w:t>30 de junio de 2022</w:t>
      </w:r>
      <w:r w:rsidRPr="00B710A9">
        <w:rPr>
          <w:rFonts w:ascii="Arial" w:hAnsi="Arial" w:cs="Arial"/>
          <w:sz w:val="22"/>
          <w:szCs w:val="22"/>
        </w:rPr>
        <w:t>, el estado de ejecución en conservación catastral por parte de las Direcciones Territoriales presenta un total acumulado de 87.471 trámites de conservación realizados, a continuación, se muestra el avance en el cumplimiento de la meta establecida para la presente vigencia:</w:t>
      </w:r>
    </w:p>
    <w:p w14:paraId="0A17C2D9" w14:textId="6E7E763E" w:rsidR="000920C9" w:rsidRPr="00B710A9" w:rsidRDefault="000920C9" w:rsidP="000920C9">
      <w:pPr>
        <w:spacing w:line="276" w:lineRule="auto"/>
        <w:jc w:val="center"/>
        <w:rPr>
          <w:rFonts w:ascii="Arial" w:eastAsia="Arial" w:hAnsi="Arial" w:cs="Arial"/>
          <w:b/>
          <w:bCs/>
          <w:color w:val="000000" w:themeColor="text1"/>
          <w:sz w:val="14"/>
          <w:szCs w:val="14"/>
        </w:rPr>
      </w:pPr>
    </w:p>
    <w:p w14:paraId="3229D343" w14:textId="778E1817" w:rsidR="00DC577C" w:rsidRPr="00B710A9" w:rsidRDefault="00DC577C" w:rsidP="00DC577C">
      <w:pPr>
        <w:pStyle w:val="Descripcin"/>
        <w:keepNext/>
        <w:jc w:val="center"/>
        <w:rPr>
          <w:rFonts w:ascii="Arial" w:hAnsi="Arial" w:cs="Arial"/>
          <w:b/>
          <w:bCs/>
          <w:color w:val="000000" w:themeColor="text1"/>
          <w:sz w:val="16"/>
          <w:szCs w:val="16"/>
        </w:rPr>
      </w:pPr>
      <w:bookmarkStart w:id="34" w:name="_Toc109057744"/>
      <w:r w:rsidRPr="00B710A9">
        <w:rPr>
          <w:rFonts w:ascii="Arial" w:hAnsi="Arial" w:cs="Arial"/>
          <w:b/>
          <w:bCs/>
          <w:color w:val="000000" w:themeColor="text1"/>
          <w:sz w:val="16"/>
          <w:szCs w:val="16"/>
        </w:rPr>
        <w:t xml:space="preserve">Tabla </w:t>
      </w:r>
      <w:r w:rsidRPr="00B710A9">
        <w:rPr>
          <w:rFonts w:ascii="Arial" w:hAnsi="Arial" w:cs="Arial"/>
          <w:b/>
          <w:bCs/>
          <w:color w:val="000000" w:themeColor="text1"/>
          <w:sz w:val="16"/>
          <w:szCs w:val="16"/>
        </w:rPr>
        <w:fldChar w:fldCharType="begin"/>
      </w:r>
      <w:r w:rsidRPr="00B710A9">
        <w:rPr>
          <w:rFonts w:ascii="Arial" w:hAnsi="Arial" w:cs="Arial"/>
          <w:b/>
          <w:bCs/>
          <w:color w:val="000000" w:themeColor="text1"/>
          <w:sz w:val="16"/>
          <w:szCs w:val="16"/>
        </w:rPr>
        <w:instrText xml:space="preserve"> SEQ Tabla \* ARABIC </w:instrText>
      </w:r>
      <w:r w:rsidRPr="00B710A9">
        <w:rPr>
          <w:rFonts w:ascii="Arial" w:hAnsi="Arial" w:cs="Arial"/>
          <w:b/>
          <w:bCs/>
          <w:color w:val="000000" w:themeColor="text1"/>
          <w:sz w:val="16"/>
          <w:szCs w:val="16"/>
        </w:rPr>
        <w:fldChar w:fldCharType="separate"/>
      </w:r>
      <w:r w:rsidR="00801DF8" w:rsidRPr="00B710A9">
        <w:rPr>
          <w:rFonts w:ascii="Arial" w:hAnsi="Arial" w:cs="Arial"/>
          <w:b/>
          <w:bCs/>
          <w:noProof/>
          <w:color w:val="000000" w:themeColor="text1"/>
          <w:sz w:val="16"/>
          <w:szCs w:val="16"/>
        </w:rPr>
        <w:t>14</w:t>
      </w:r>
      <w:r w:rsidRPr="00B710A9">
        <w:rPr>
          <w:rFonts w:ascii="Arial" w:hAnsi="Arial" w:cs="Arial"/>
          <w:b/>
          <w:bCs/>
          <w:color w:val="000000" w:themeColor="text1"/>
          <w:sz w:val="16"/>
          <w:szCs w:val="16"/>
        </w:rPr>
        <w:fldChar w:fldCharType="end"/>
      </w:r>
      <w:r w:rsidRPr="00B710A9">
        <w:rPr>
          <w:rFonts w:ascii="Arial" w:hAnsi="Arial" w:cs="Arial"/>
          <w:b/>
          <w:bCs/>
          <w:color w:val="000000" w:themeColor="text1"/>
          <w:sz w:val="16"/>
          <w:szCs w:val="16"/>
        </w:rPr>
        <w:t>. Estado ejecución conservación catastral 2022</w:t>
      </w:r>
      <w:bookmarkEnd w:id="34"/>
    </w:p>
    <w:tbl>
      <w:tblPr>
        <w:tblStyle w:val="Tablaconcuadrcula4-nfasis1"/>
        <w:tblW w:w="5373" w:type="pct"/>
        <w:tblLook w:val="04A0" w:firstRow="1" w:lastRow="0" w:firstColumn="1" w:lastColumn="0" w:noHBand="0" w:noVBand="1"/>
      </w:tblPr>
      <w:tblGrid>
        <w:gridCol w:w="2350"/>
        <w:gridCol w:w="874"/>
        <w:gridCol w:w="999"/>
        <w:gridCol w:w="795"/>
        <w:gridCol w:w="874"/>
        <w:gridCol w:w="999"/>
        <w:gridCol w:w="750"/>
        <w:gridCol w:w="9"/>
        <w:gridCol w:w="865"/>
        <w:gridCol w:w="999"/>
        <w:gridCol w:w="750"/>
      </w:tblGrid>
      <w:tr w:rsidR="000920C9" w:rsidRPr="00B710A9" w14:paraId="2752F46D" w14:textId="77777777" w:rsidTr="004D159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9" w:type="pct"/>
            <w:vMerge w:val="restart"/>
            <w:hideMark/>
          </w:tcPr>
          <w:p w14:paraId="679A3CA4" w14:textId="77777777" w:rsidR="000920C9" w:rsidRPr="00B710A9" w:rsidRDefault="000920C9" w:rsidP="00F90DF3">
            <w:pPr>
              <w:jc w:val="center"/>
              <w:rPr>
                <w:rFonts w:ascii="Arial" w:hAnsi="Arial" w:cs="Arial"/>
                <w:b w:val="0"/>
                <w:bCs w:val="0"/>
                <w:color w:val="000000"/>
                <w:sz w:val="16"/>
                <w:szCs w:val="16"/>
              </w:rPr>
            </w:pPr>
            <w:r w:rsidRPr="00B710A9">
              <w:rPr>
                <w:rFonts w:ascii="Arial" w:hAnsi="Arial" w:cs="Arial"/>
                <w:color w:val="000000"/>
                <w:sz w:val="16"/>
                <w:szCs w:val="16"/>
              </w:rPr>
              <w:t>DIRECCION TERRITORIAL</w:t>
            </w:r>
          </w:p>
        </w:tc>
        <w:tc>
          <w:tcPr>
            <w:tcW w:w="1286" w:type="pct"/>
            <w:gridSpan w:val="3"/>
            <w:noWrap/>
            <w:hideMark/>
          </w:tcPr>
          <w:p w14:paraId="23155D89" w14:textId="77777777" w:rsidR="000920C9" w:rsidRPr="00B710A9" w:rsidRDefault="000920C9" w:rsidP="00F90D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B710A9">
              <w:rPr>
                <w:rFonts w:ascii="Arial" w:hAnsi="Arial" w:cs="Arial"/>
                <w:color w:val="000000"/>
                <w:sz w:val="16"/>
                <w:szCs w:val="16"/>
              </w:rPr>
              <w:t>META</w:t>
            </w:r>
          </w:p>
        </w:tc>
        <w:tc>
          <w:tcPr>
            <w:tcW w:w="1266" w:type="pct"/>
            <w:gridSpan w:val="4"/>
            <w:noWrap/>
            <w:hideMark/>
          </w:tcPr>
          <w:p w14:paraId="05B21136" w14:textId="77777777" w:rsidR="000920C9" w:rsidRPr="00B710A9" w:rsidRDefault="000920C9" w:rsidP="00F90D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B710A9">
              <w:rPr>
                <w:rFonts w:ascii="Arial" w:hAnsi="Arial" w:cs="Arial"/>
                <w:color w:val="000000"/>
                <w:sz w:val="16"/>
                <w:szCs w:val="16"/>
              </w:rPr>
              <w:t>AVANCE</w:t>
            </w:r>
          </w:p>
        </w:tc>
        <w:tc>
          <w:tcPr>
            <w:tcW w:w="1259" w:type="pct"/>
            <w:gridSpan w:val="3"/>
            <w:noWrap/>
            <w:hideMark/>
          </w:tcPr>
          <w:p w14:paraId="1B4B0030" w14:textId="77777777" w:rsidR="000920C9" w:rsidRPr="00B710A9" w:rsidRDefault="000920C9" w:rsidP="00F90D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B710A9">
              <w:rPr>
                <w:rFonts w:ascii="Arial" w:hAnsi="Arial" w:cs="Arial"/>
                <w:color w:val="000000"/>
                <w:sz w:val="16"/>
                <w:szCs w:val="16"/>
              </w:rPr>
              <w:t>% DE AVANCE</w:t>
            </w:r>
          </w:p>
        </w:tc>
      </w:tr>
      <w:tr w:rsidR="004D159E" w:rsidRPr="00B710A9" w14:paraId="00DD5A96" w14:textId="77777777" w:rsidTr="004D15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9" w:type="pct"/>
            <w:vMerge/>
            <w:hideMark/>
          </w:tcPr>
          <w:p w14:paraId="3477BBE9" w14:textId="77777777" w:rsidR="000920C9" w:rsidRPr="00B710A9" w:rsidRDefault="000920C9" w:rsidP="00F90DF3">
            <w:pPr>
              <w:rPr>
                <w:rFonts w:ascii="Arial" w:hAnsi="Arial" w:cs="Arial"/>
                <w:b w:val="0"/>
                <w:bCs w:val="0"/>
                <w:color w:val="000000"/>
                <w:sz w:val="16"/>
                <w:szCs w:val="16"/>
              </w:rPr>
            </w:pPr>
          </w:p>
        </w:tc>
        <w:tc>
          <w:tcPr>
            <w:tcW w:w="421" w:type="pct"/>
            <w:noWrap/>
            <w:hideMark/>
          </w:tcPr>
          <w:p w14:paraId="7070A9F7"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OFICINA</w:t>
            </w:r>
          </w:p>
        </w:tc>
        <w:tc>
          <w:tcPr>
            <w:tcW w:w="486" w:type="pct"/>
            <w:noWrap/>
            <w:hideMark/>
          </w:tcPr>
          <w:p w14:paraId="2D355E25"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TERRENO</w:t>
            </w:r>
          </w:p>
        </w:tc>
        <w:tc>
          <w:tcPr>
            <w:tcW w:w="379" w:type="pct"/>
            <w:noWrap/>
            <w:hideMark/>
          </w:tcPr>
          <w:p w14:paraId="73697D31"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TOTAL</w:t>
            </w:r>
          </w:p>
        </w:tc>
        <w:tc>
          <w:tcPr>
            <w:tcW w:w="421" w:type="pct"/>
            <w:noWrap/>
            <w:hideMark/>
          </w:tcPr>
          <w:p w14:paraId="30F4B325"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OFICINA</w:t>
            </w:r>
          </w:p>
        </w:tc>
        <w:tc>
          <w:tcPr>
            <w:tcW w:w="486" w:type="pct"/>
            <w:noWrap/>
            <w:hideMark/>
          </w:tcPr>
          <w:p w14:paraId="36894D1C"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TERRENO</w:t>
            </w:r>
          </w:p>
        </w:tc>
        <w:tc>
          <w:tcPr>
            <w:tcW w:w="355" w:type="pct"/>
            <w:noWrap/>
            <w:hideMark/>
          </w:tcPr>
          <w:p w14:paraId="4C600DA1"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TOTAL</w:t>
            </w:r>
          </w:p>
        </w:tc>
        <w:tc>
          <w:tcPr>
            <w:tcW w:w="421" w:type="pct"/>
            <w:gridSpan w:val="2"/>
            <w:noWrap/>
            <w:hideMark/>
          </w:tcPr>
          <w:p w14:paraId="1BF7A6E4"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OFICINA</w:t>
            </w:r>
          </w:p>
        </w:tc>
        <w:tc>
          <w:tcPr>
            <w:tcW w:w="487" w:type="pct"/>
            <w:noWrap/>
            <w:hideMark/>
          </w:tcPr>
          <w:p w14:paraId="06CA44A9"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TERRENO</w:t>
            </w:r>
          </w:p>
        </w:tc>
        <w:tc>
          <w:tcPr>
            <w:tcW w:w="355" w:type="pct"/>
            <w:noWrap/>
            <w:hideMark/>
          </w:tcPr>
          <w:p w14:paraId="18B8B3FB"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TOTAL</w:t>
            </w:r>
          </w:p>
        </w:tc>
      </w:tr>
      <w:tr w:rsidR="000920C9" w:rsidRPr="00B710A9" w14:paraId="315CB460" w14:textId="77777777" w:rsidTr="004D159E">
        <w:trPr>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46E8DB06"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ATLÁNTICO</w:t>
            </w:r>
          </w:p>
        </w:tc>
        <w:tc>
          <w:tcPr>
            <w:tcW w:w="421" w:type="pct"/>
            <w:noWrap/>
            <w:hideMark/>
          </w:tcPr>
          <w:p w14:paraId="6E27474D"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3.212</w:t>
            </w:r>
          </w:p>
        </w:tc>
        <w:tc>
          <w:tcPr>
            <w:tcW w:w="486" w:type="pct"/>
            <w:noWrap/>
            <w:hideMark/>
          </w:tcPr>
          <w:p w14:paraId="73E73D45"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3.144</w:t>
            </w:r>
          </w:p>
        </w:tc>
        <w:tc>
          <w:tcPr>
            <w:tcW w:w="379" w:type="pct"/>
            <w:noWrap/>
            <w:hideMark/>
          </w:tcPr>
          <w:p w14:paraId="09267A47"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6.356</w:t>
            </w:r>
          </w:p>
        </w:tc>
        <w:tc>
          <w:tcPr>
            <w:tcW w:w="421" w:type="pct"/>
            <w:noWrap/>
            <w:hideMark/>
          </w:tcPr>
          <w:p w14:paraId="242DB329"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2.403</w:t>
            </w:r>
          </w:p>
        </w:tc>
        <w:tc>
          <w:tcPr>
            <w:tcW w:w="486" w:type="pct"/>
            <w:noWrap/>
            <w:hideMark/>
          </w:tcPr>
          <w:p w14:paraId="083EFCAC"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849</w:t>
            </w:r>
          </w:p>
        </w:tc>
        <w:tc>
          <w:tcPr>
            <w:tcW w:w="355" w:type="pct"/>
            <w:noWrap/>
            <w:hideMark/>
          </w:tcPr>
          <w:p w14:paraId="736FFE9D"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3.252</w:t>
            </w:r>
          </w:p>
        </w:tc>
        <w:tc>
          <w:tcPr>
            <w:tcW w:w="421" w:type="pct"/>
            <w:gridSpan w:val="2"/>
            <w:noWrap/>
            <w:hideMark/>
          </w:tcPr>
          <w:p w14:paraId="2A87CCB7"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75%</w:t>
            </w:r>
          </w:p>
        </w:tc>
        <w:tc>
          <w:tcPr>
            <w:tcW w:w="487" w:type="pct"/>
            <w:noWrap/>
            <w:hideMark/>
          </w:tcPr>
          <w:p w14:paraId="36C54FBD"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27%</w:t>
            </w:r>
          </w:p>
        </w:tc>
        <w:tc>
          <w:tcPr>
            <w:tcW w:w="355" w:type="pct"/>
            <w:noWrap/>
            <w:hideMark/>
          </w:tcPr>
          <w:p w14:paraId="4A90D589"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51%</w:t>
            </w:r>
          </w:p>
        </w:tc>
      </w:tr>
      <w:tr w:rsidR="004D159E" w:rsidRPr="00B710A9" w14:paraId="5A504776" w14:textId="77777777" w:rsidTr="004D15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4C8084EA"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BOLÍVAR</w:t>
            </w:r>
          </w:p>
        </w:tc>
        <w:tc>
          <w:tcPr>
            <w:tcW w:w="421" w:type="pct"/>
            <w:noWrap/>
            <w:hideMark/>
          </w:tcPr>
          <w:p w14:paraId="7977EE21"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5.675</w:t>
            </w:r>
          </w:p>
        </w:tc>
        <w:tc>
          <w:tcPr>
            <w:tcW w:w="486" w:type="pct"/>
            <w:noWrap/>
            <w:hideMark/>
          </w:tcPr>
          <w:p w14:paraId="08F76220"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4.647</w:t>
            </w:r>
          </w:p>
        </w:tc>
        <w:tc>
          <w:tcPr>
            <w:tcW w:w="379" w:type="pct"/>
            <w:noWrap/>
            <w:hideMark/>
          </w:tcPr>
          <w:p w14:paraId="157C1C1A"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10.322</w:t>
            </w:r>
          </w:p>
        </w:tc>
        <w:tc>
          <w:tcPr>
            <w:tcW w:w="421" w:type="pct"/>
            <w:noWrap/>
            <w:hideMark/>
          </w:tcPr>
          <w:p w14:paraId="554EC6F1"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2.050</w:t>
            </w:r>
          </w:p>
        </w:tc>
        <w:tc>
          <w:tcPr>
            <w:tcW w:w="486" w:type="pct"/>
            <w:noWrap/>
            <w:hideMark/>
          </w:tcPr>
          <w:p w14:paraId="4A32FFEA"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463</w:t>
            </w:r>
          </w:p>
        </w:tc>
        <w:tc>
          <w:tcPr>
            <w:tcW w:w="355" w:type="pct"/>
            <w:noWrap/>
            <w:hideMark/>
          </w:tcPr>
          <w:p w14:paraId="21909139"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2.513</w:t>
            </w:r>
          </w:p>
        </w:tc>
        <w:tc>
          <w:tcPr>
            <w:tcW w:w="421" w:type="pct"/>
            <w:gridSpan w:val="2"/>
            <w:noWrap/>
            <w:hideMark/>
          </w:tcPr>
          <w:p w14:paraId="421FE9AF"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36%</w:t>
            </w:r>
          </w:p>
        </w:tc>
        <w:tc>
          <w:tcPr>
            <w:tcW w:w="487" w:type="pct"/>
            <w:noWrap/>
            <w:hideMark/>
          </w:tcPr>
          <w:p w14:paraId="5D54BE55"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10%</w:t>
            </w:r>
          </w:p>
        </w:tc>
        <w:tc>
          <w:tcPr>
            <w:tcW w:w="355" w:type="pct"/>
            <w:noWrap/>
            <w:hideMark/>
          </w:tcPr>
          <w:p w14:paraId="1716A1F7"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24%</w:t>
            </w:r>
          </w:p>
        </w:tc>
      </w:tr>
      <w:tr w:rsidR="000920C9" w:rsidRPr="00B710A9" w14:paraId="0CC94304" w14:textId="77777777" w:rsidTr="004D159E">
        <w:trPr>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54D265B0"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BOYACÁ</w:t>
            </w:r>
          </w:p>
        </w:tc>
        <w:tc>
          <w:tcPr>
            <w:tcW w:w="421" w:type="pct"/>
            <w:noWrap/>
            <w:hideMark/>
          </w:tcPr>
          <w:p w14:paraId="2693F964"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15.597</w:t>
            </w:r>
          </w:p>
        </w:tc>
        <w:tc>
          <w:tcPr>
            <w:tcW w:w="486" w:type="pct"/>
            <w:noWrap/>
            <w:hideMark/>
          </w:tcPr>
          <w:p w14:paraId="15D32CC0"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4.922</w:t>
            </w:r>
          </w:p>
        </w:tc>
        <w:tc>
          <w:tcPr>
            <w:tcW w:w="379" w:type="pct"/>
            <w:noWrap/>
            <w:hideMark/>
          </w:tcPr>
          <w:p w14:paraId="616876CC"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20.519</w:t>
            </w:r>
          </w:p>
        </w:tc>
        <w:tc>
          <w:tcPr>
            <w:tcW w:w="421" w:type="pct"/>
            <w:noWrap/>
            <w:hideMark/>
          </w:tcPr>
          <w:p w14:paraId="7FA26106"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2.806</w:t>
            </w:r>
          </w:p>
        </w:tc>
        <w:tc>
          <w:tcPr>
            <w:tcW w:w="486" w:type="pct"/>
            <w:noWrap/>
            <w:hideMark/>
          </w:tcPr>
          <w:p w14:paraId="1371191F"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752</w:t>
            </w:r>
          </w:p>
        </w:tc>
        <w:tc>
          <w:tcPr>
            <w:tcW w:w="355" w:type="pct"/>
            <w:noWrap/>
            <w:hideMark/>
          </w:tcPr>
          <w:p w14:paraId="74DD6A23"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3.558</w:t>
            </w:r>
          </w:p>
        </w:tc>
        <w:tc>
          <w:tcPr>
            <w:tcW w:w="421" w:type="pct"/>
            <w:gridSpan w:val="2"/>
            <w:noWrap/>
            <w:hideMark/>
          </w:tcPr>
          <w:p w14:paraId="6D3DC38A"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18%</w:t>
            </w:r>
          </w:p>
        </w:tc>
        <w:tc>
          <w:tcPr>
            <w:tcW w:w="487" w:type="pct"/>
            <w:noWrap/>
            <w:hideMark/>
          </w:tcPr>
          <w:p w14:paraId="758364AA"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15%</w:t>
            </w:r>
          </w:p>
        </w:tc>
        <w:tc>
          <w:tcPr>
            <w:tcW w:w="355" w:type="pct"/>
            <w:noWrap/>
            <w:hideMark/>
          </w:tcPr>
          <w:p w14:paraId="4CB9BE60"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17%</w:t>
            </w:r>
          </w:p>
        </w:tc>
      </w:tr>
      <w:tr w:rsidR="004D159E" w:rsidRPr="00B710A9" w14:paraId="3F2C9C5F" w14:textId="77777777" w:rsidTr="004D15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201CB7A3"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CALDAS</w:t>
            </w:r>
          </w:p>
        </w:tc>
        <w:tc>
          <w:tcPr>
            <w:tcW w:w="421" w:type="pct"/>
            <w:noWrap/>
            <w:hideMark/>
          </w:tcPr>
          <w:p w14:paraId="08BDB120"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2.913</w:t>
            </w:r>
          </w:p>
        </w:tc>
        <w:tc>
          <w:tcPr>
            <w:tcW w:w="486" w:type="pct"/>
            <w:noWrap/>
            <w:hideMark/>
          </w:tcPr>
          <w:p w14:paraId="7040C1FC"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2.989</w:t>
            </w:r>
          </w:p>
        </w:tc>
        <w:tc>
          <w:tcPr>
            <w:tcW w:w="379" w:type="pct"/>
            <w:noWrap/>
            <w:hideMark/>
          </w:tcPr>
          <w:p w14:paraId="7F5EC493"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5.902</w:t>
            </w:r>
          </w:p>
        </w:tc>
        <w:tc>
          <w:tcPr>
            <w:tcW w:w="421" w:type="pct"/>
            <w:noWrap/>
            <w:hideMark/>
          </w:tcPr>
          <w:p w14:paraId="71A8281F"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2.088</w:t>
            </w:r>
          </w:p>
        </w:tc>
        <w:tc>
          <w:tcPr>
            <w:tcW w:w="486" w:type="pct"/>
            <w:noWrap/>
            <w:hideMark/>
          </w:tcPr>
          <w:p w14:paraId="5B181CAE"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1.606</w:t>
            </w:r>
          </w:p>
        </w:tc>
        <w:tc>
          <w:tcPr>
            <w:tcW w:w="355" w:type="pct"/>
            <w:noWrap/>
            <w:hideMark/>
          </w:tcPr>
          <w:p w14:paraId="47111CF2"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3.694</w:t>
            </w:r>
          </w:p>
        </w:tc>
        <w:tc>
          <w:tcPr>
            <w:tcW w:w="421" w:type="pct"/>
            <w:gridSpan w:val="2"/>
            <w:noWrap/>
            <w:hideMark/>
          </w:tcPr>
          <w:p w14:paraId="769052AB"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72%</w:t>
            </w:r>
          </w:p>
        </w:tc>
        <w:tc>
          <w:tcPr>
            <w:tcW w:w="487" w:type="pct"/>
            <w:noWrap/>
            <w:hideMark/>
          </w:tcPr>
          <w:p w14:paraId="19C05366"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54%</w:t>
            </w:r>
          </w:p>
        </w:tc>
        <w:tc>
          <w:tcPr>
            <w:tcW w:w="355" w:type="pct"/>
            <w:noWrap/>
            <w:hideMark/>
          </w:tcPr>
          <w:p w14:paraId="024C2B7A"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63%</w:t>
            </w:r>
          </w:p>
        </w:tc>
      </w:tr>
      <w:tr w:rsidR="000920C9" w:rsidRPr="00B710A9" w14:paraId="23DCE6B3" w14:textId="77777777" w:rsidTr="004D159E">
        <w:trPr>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2D77B312"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CAQUETÁ</w:t>
            </w:r>
          </w:p>
        </w:tc>
        <w:tc>
          <w:tcPr>
            <w:tcW w:w="421" w:type="pct"/>
            <w:noWrap/>
            <w:hideMark/>
          </w:tcPr>
          <w:p w14:paraId="641D79C0"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4.583</w:t>
            </w:r>
          </w:p>
        </w:tc>
        <w:tc>
          <w:tcPr>
            <w:tcW w:w="486" w:type="pct"/>
            <w:noWrap/>
            <w:hideMark/>
          </w:tcPr>
          <w:p w14:paraId="59D4AE23"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2.759</w:t>
            </w:r>
          </w:p>
        </w:tc>
        <w:tc>
          <w:tcPr>
            <w:tcW w:w="379" w:type="pct"/>
            <w:noWrap/>
            <w:hideMark/>
          </w:tcPr>
          <w:p w14:paraId="4F296A6D"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7.342</w:t>
            </w:r>
          </w:p>
        </w:tc>
        <w:tc>
          <w:tcPr>
            <w:tcW w:w="421" w:type="pct"/>
            <w:noWrap/>
            <w:hideMark/>
          </w:tcPr>
          <w:p w14:paraId="02E4BF27"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2.870</w:t>
            </w:r>
          </w:p>
        </w:tc>
        <w:tc>
          <w:tcPr>
            <w:tcW w:w="486" w:type="pct"/>
            <w:noWrap/>
            <w:hideMark/>
          </w:tcPr>
          <w:p w14:paraId="1C85EFB2"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873</w:t>
            </w:r>
          </w:p>
        </w:tc>
        <w:tc>
          <w:tcPr>
            <w:tcW w:w="355" w:type="pct"/>
            <w:noWrap/>
            <w:hideMark/>
          </w:tcPr>
          <w:p w14:paraId="59493FCE"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3.743</w:t>
            </w:r>
          </w:p>
        </w:tc>
        <w:tc>
          <w:tcPr>
            <w:tcW w:w="421" w:type="pct"/>
            <w:gridSpan w:val="2"/>
            <w:noWrap/>
            <w:hideMark/>
          </w:tcPr>
          <w:p w14:paraId="6A219EE5"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63%</w:t>
            </w:r>
          </w:p>
        </w:tc>
        <w:tc>
          <w:tcPr>
            <w:tcW w:w="487" w:type="pct"/>
            <w:noWrap/>
            <w:hideMark/>
          </w:tcPr>
          <w:p w14:paraId="26D9A7F6"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32%</w:t>
            </w:r>
          </w:p>
        </w:tc>
        <w:tc>
          <w:tcPr>
            <w:tcW w:w="355" w:type="pct"/>
            <w:noWrap/>
            <w:hideMark/>
          </w:tcPr>
          <w:p w14:paraId="070D4A02"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51%</w:t>
            </w:r>
          </w:p>
        </w:tc>
      </w:tr>
      <w:tr w:rsidR="004D159E" w:rsidRPr="00B710A9" w14:paraId="2685321E" w14:textId="77777777" w:rsidTr="004D15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6C8B2ECD"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CASANARE</w:t>
            </w:r>
          </w:p>
        </w:tc>
        <w:tc>
          <w:tcPr>
            <w:tcW w:w="421" w:type="pct"/>
            <w:noWrap/>
            <w:hideMark/>
          </w:tcPr>
          <w:p w14:paraId="328F5D25"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2.700</w:t>
            </w:r>
          </w:p>
        </w:tc>
        <w:tc>
          <w:tcPr>
            <w:tcW w:w="486" w:type="pct"/>
            <w:noWrap/>
            <w:hideMark/>
          </w:tcPr>
          <w:p w14:paraId="40F512DB"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4.560</w:t>
            </w:r>
          </w:p>
        </w:tc>
        <w:tc>
          <w:tcPr>
            <w:tcW w:w="379" w:type="pct"/>
            <w:noWrap/>
            <w:hideMark/>
          </w:tcPr>
          <w:p w14:paraId="14E1412A"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7.260</w:t>
            </w:r>
          </w:p>
        </w:tc>
        <w:tc>
          <w:tcPr>
            <w:tcW w:w="421" w:type="pct"/>
            <w:noWrap/>
            <w:hideMark/>
          </w:tcPr>
          <w:p w14:paraId="208DA76D"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1.953</w:t>
            </w:r>
          </w:p>
        </w:tc>
        <w:tc>
          <w:tcPr>
            <w:tcW w:w="486" w:type="pct"/>
            <w:noWrap/>
            <w:hideMark/>
          </w:tcPr>
          <w:p w14:paraId="755CB8CA"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209</w:t>
            </w:r>
          </w:p>
        </w:tc>
        <w:tc>
          <w:tcPr>
            <w:tcW w:w="355" w:type="pct"/>
            <w:noWrap/>
            <w:hideMark/>
          </w:tcPr>
          <w:p w14:paraId="012A266E"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2.162</w:t>
            </w:r>
          </w:p>
        </w:tc>
        <w:tc>
          <w:tcPr>
            <w:tcW w:w="421" w:type="pct"/>
            <w:gridSpan w:val="2"/>
            <w:noWrap/>
            <w:hideMark/>
          </w:tcPr>
          <w:p w14:paraId="491105FA"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72%</w:t>
            </w:r>
          </w:p>
        </w:tc>
        <w:tc>
          <w:tcPr>
            <w:tcW w:w="487" w:type="pct"/>
            <w:noWrap/>
            <w:hideMark/>
          </w:tcPr>
          <w:p w14:paraId="2D1F349E"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w:t>
            </w:r>
          </w:p>
        </w:tc>
        <w:tc>
          <w:tcPr>
            <w:tcW w:w="355" w:type="pct"/>
            <w:noWrap/>
            <w:hideMark/>
          </w:tcPr>
          <w:p w14:paraId="21326CD0"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30%</w:t>
            </w:r>
          </w:p>
        </w:tc>
      </w:tr>
      <w:tr w:rsidR="000920C9" w:rsidRPr="00B710A9" w14:paraId="345C3554" w14:textId="77777777" w:rsidTr="004D159E">
        <w:trPr>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5EE07879"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CAUCA</w:t>
            </w:r>
          </w:p>
        </w:tc>
        <w:tc>
          <w:tcPr>
            <w:tcW w:w="421" w:type="pct"/>
            <w:noWrap/>
            <w:hideMark/>
          </w:tcPr>
          <w:p w14:paraId="647A900C"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8.224</w:t>
            </w:r>
          </w:p>
        </w:tc>
        <w:tc>
          <w:tcPr>
            <w:tcW w:w="486" w:type="pct"/>
            <w:noWrap/>
            <w:hideMark/>
          </w:tcPr>
          <w:p w14:paraId="4CF5113F"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2.568</w:t>
            </w:r>
          </w:p>
        </w:tc>
        <w:tc>
          <w:tcPr>
            <w:tcW w:w="379" w:type="pct"/>
            <w:noWrap/>
            <w:hideMark/>
          </w:tcPr>
          <w:p w14:paraId="70A38583"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10.792</w:t>
            </w:r>
          </w:p>
        </w:tc>
        <w:tc>
          <w:tcPr>
            <w:tcW w:w="421" w:type="pct"/>
            <w:noWrap/>
            <w:hideMark/>
          </w:tcPr>
          <w:p w14:paraId="4C45D472"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2.883</w:t>
            </w:r>
          </w:p>
        </w:tc>
        <w:tc>
          <w:tcPr>
            <w:tcW w:w="486" w:type="pct"/>
            <w:noWrap/>
            <w:hideMark/>
          </w:tcPr>
          <w:p w14:paraId="2DF3FBF2"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346</w:t>
            </w:r>
          </w:p>
        </w:tc>
        <w:tc>
          <w:tcPr>
            <w:tcW w:w="355" w:type="pct"/>
            <w:noWrap/>
            <w:hideMark/>
          </w:tcPr>
          <w:p w14:paraId="0415474A"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3.229</w:t>
            </w:r>
          </w:p>
        </w:tc>
        <w:tc>
          <w:tcPr>
            <w:tcW w:w="421" w:type="pct"/>
            <w:gridSpan w:val="2"/>
            <w:noWrap/>
            <w:hideMark/>
          </w:tcPr>
          <w:p w14:paraId="3F5C833A"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35%</w:t>
            </w:r>
          </w:p>
        </w:tc>
        <w:tc>
          <w:tcPr>
            <w:tcW w:w="487" w:type="pct"/>
            <w:noWrap/>
            <w:hideMark/>
          </w:tcPr>
          <w:p w14:paraId="5B231B64"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13%</w:t>
            </w:r>
          </w:p>
        </w:tc>
        <w:tc>
          <w:tcPr>
            <w:tcW w:w="355" w:type="pct"/>
            <w:noWrap/>
            <w:hideMark/>
          </w:tcPr>
          <w:p w14:paraId="6CDEA491"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30%</w:t>
            </w:r>
          </w:p>
        </w:tc>
      </w:tr>
      <w:tr w:rsidR="004D159E" w:rsidRPr="00B710A9" w14:paraId="7DC70BCE" w14:textId="77777777" w:rsidTr="004D15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5076ABA9"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CESAR</w:t>
            </w:r>
          </w:p>
        </w:tc>
        <w:tc>
          <w:tcPr>
            <w:tcW w:w="421" w:type="pct"/>
            <w:noWrap/>
            <w:hideMark/>
          </w:tcPr>
          <w:p w14:paraId="73A44B8E"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5.500</w:t>
            </w:r>
          </w:p>
        </w:tc>
        <w:tc>
          <w:tcPr>
            <w:tcW w:w="486" w:type="pct"/>
            <w:noWrap/>
            <w:hideMark/>
          </w:tcPr>
          <w:p w14:paraId="00F38CA3"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4.400</w:t>
            </w:r>
          </w:p>
        </w:tc>
        <w:tc>
          <w:tcPr>
            <w:tcW w:w="379" w:type="pct"/>
            <w:noWrap/>
            <w:hideMark/>
          </w:tcPr>
          <w:p w14:paraId="1A66FB0B"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9.900</w:t>
            </w:r>
          </w:p>
        </w:tc>
        <w:tc>
          <w:tcPr>
            <w:tcW w:w="421" w:type="pct"/>
            <w:noWrap/>
            <w:hideMark/>
          </w:tcPr>
          <w:p w14:paraId="7BB9A6D1"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3.016</w:t>
            </w:r>
          </w:p>
        </w:tc>
        <w:tc>
          <w:tcPr>
            <w:tcW w:w="486" w:type="pct"/>
            <w:noWrap/>
            <w:hideMark/>
          </w:tcPr>
          <w:p w14:paraId="1C4192C2"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1.154</w:t>
            </w:r>
          </w:p>
        </w:tc>
        <w:tc>
          <w:tcPr>
            <w:tcW w:w="355" w:type="pct"/>
            <w:noWrap/>
            <w:hideMark/>
          </w:tcPr>
          <w:p w14:paraId="1AA7CADC"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4.170</w:t>
            </w:r>
          </w:p>
        </w:tc>
        <w:tc>
          <w:tcPr>
            <w:tcW w:w="421" w:type="pct"/>
            <w:gridSpan w:val="2"/>
            <w:noWrap/>
            <w:hideMark/>
          </w:tcPr>
          <w:p w14:paraId="321E1E1C"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55%</w:t>
            </w:r>
          </w:p>
        </w:tc>
        <w:tc>
          <w:tcPr>
            <w:tcW w:w="487" w:type="pct"/>
            <w:noWrap/>
            <w:hideMark/>
          </w:tcPr>
          <w:p w14:paraId="4875D6E3"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26%</w:t>
            </w:r>
          </w:p>
        </w:tc>
        <w:tc>
          <w:tcPr>
            <w:tcW w:w="355" w:type="pct"/>
            <w:noWrap/>
            <w:hideMark/>
          </w:tcPr>
          <w:p w14:paraId="6BC19D93"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42%</w:t>
            </w:r>
          </w:p>
        </w:tc>
      </w:tr>
      <w:tr w:rsidR="000920C9" w:rsidRPr="00B710A9" w14:paraId="63E2DBED" w14:textId="77777777" w:rsidTr="004D159E">
        <w:trPr>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581CE455"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CÓRDOBA</w:t>
            </w:r>
          </w:p>
        </w:tc>
        <w:tc>
          <w:tcPr>
            <w:tcW w:w="421" w:type="pct"/>
            <w:noWrap/>
            <w:hideMark/>
          </w:tcPr>
          <w:p w14:paraId="67706C84"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6.945</w:t>
            </w:r>
          </w:p>
        </w:tc>
        <w:tc>
          <w:tcPr>
            <w:tcW w:w="486" w:type="pct"/>
            <w:noWrap/>
            <w:hideMark/>
          </w:tcPr>
          <w:p w14:paraId="5EFFE369"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6.760</w:t>
            </w:r>
          </w:p>
        </w:tc>
        <w:tc>
          <w:tcPr>
            <w:tcW w:w="379" w:type="pct"/>
            <w:noWrap/>
            <w:hideMark/>
          </w:tcPr>
          <w:p w14:paraId="19C41CB9"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13.705</w:t>
            </w:r>
          </w:p>
        </w:tc>
        <w:tc>
          <w:tcPr>
            <w:tcW w:w="421" w:type="pct"/>
            <w:noWrap/>
            <w:hideMark/>
          </w:tcPr>
          <w:p w14:paraId="138E9610"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3.610</w:t>
            </w:r>
          </w:p>
        </w:tc>
        <w:tc>
          <w:tcPr>
            <w:tcW w:w="486" w:type="pct"/>
            <w:noWrap/>
            <w:hideMark/>
          </w:tcPr>
          <w:p w14:paraId="601FA7C5"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1.777</w:t>
            </w:r>
          </w:p>
        </w:tc>
        <w:tc>
          <w:tcPr>
            <w:tcW w:w="355" w:type="pct"/>
            <w:noWrap/>
            <w:hideMark/>
          </w:tcPr>
          <w:p w14:paraId="3974271B"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5.387</w:t>
            </w:r>
          </w:p>
        </w:tc>
        <w:tc>
          <w:tcPr>
            <w:tcW w:w="421" w:type="pct"/>
            <w:gridSpan w:val="2"/>
            <w:noWrap/>
            <w:hideMark/>
          </w:tcPr>
          <w:p w14:paraId="380CF7EC"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52%</w:t>
            </w:r>
          </w:p>
        </w:tc>
        <w:tc>
          <w:tcPr>
            <w:tcW w:w="487" w:type="pct"/>
            <w:noWrap/>
            <w:hideMark/>
          </w:tcPr>
          <w:p w14:paraId="648FECA7"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26%</w:t>
            </w:r>
          </w:p>
        </w:tc>
        <w:tc>
          <w:tcPr>
            <w:tcW w:w="355" w:type="pct"/>
            <w:noWrap/>
            <w:hideMark/>
          </w:tcPr>
          <w:p w14:paraId="0076AD4C"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39%</w:t>
            </w:r>
          </w:p>
        </w:tc>
      </w:tr>
      <w:tr w:rsidR="004D159E" w:rsidRPr="00B710A9" w14:paraId="24EF4AED" w14:textId="77777777" w:rsidTr="004D15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111C1075"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CUNDINAMARCA</w:t>
            </w:r>
          </w:p>
        </w:tc>
        <w:tc>
          <w:tcPr>
            <w:tcW w:w="421" w:type="pct"/>
            <w:noWrap/>
            <w:hideMark/>
          </w:tcPr>
          <w:p w14:paraId="7CB01305"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10.197</w:t>
            </w:r>
          </w:p>
        </w:tc>
        <w:tc>
          <w:tcPr>
            <w:tcW w:w="486" w:type="pct"/>
            <w:noWrap/>
            <w:hideMark/>
          </w:tcPr>
          <w:p w14:paraId="09D6A1B4"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14.632</w:t>
            </w:r>
          </w:p>
        </w:tc>
        <w:tc>
          <w:tcPr>
            <w:tcW w:w="379" w:type="pct"/>
            <w:noWrap/>
            <w:hideMark/>
          </w:tcPr>
          <w:p w14:paraId="0A0625AD"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24.829</w:t>
            </w:r>
          </w:p>
        </w:tc>
        <w:tc>
          <w:tcPr>
            <w:tcW w:w="421" w:type="pct"/>
            <w:noWrap/>
            <w:hideMark/>
          </w:tcPr>
          <w:p w14:paraId="28E00290"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3.376</w:t>
            </w:r>
          </w:p>
        </w:tc>
        <w:tc>
          <w:tcPr>
            <w:tcW w:w="486" w:type="pct"/>
            <w:noWrap/>
            <w:hideMark/>
          </w:tcPr>
          <w:p w14:paraId="34CF284D"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165</w:t>
            </w:r>
          </w:p>
        </w:tc>
        <w:tc>
          <w:tcPr>
            <w:tcW w:w="355" w:type="pct"/>
            <w:noWrap/>
            <w:hideMark/>
          </w:tcPr>
          <w:p w14:paraId="0A49F196"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3.541</w:t>
            </w:r>
          </w:p>
        </w:tc>
        <w:tc>
          <w:tcPr>
            <w:tcW w:w="421" w:type="pct"/>
            <w:gridSpan w:val="2"/>
            <w:noWrap/>
            <w:hideMark/>
          </w:tcPr>
          <w:p w14:paraId="51C5B247"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33%</w:t>
            </w:r>
          </w:p>
        </w:tc>
        <w:tc>
          <w:tcPr>
            <w:tcW w:w="487" w:type="pct"/>
            <w:noWrap/>
            <w:hideMark/>
          </w:tcPr>
          <w:p w14:paraId="28551CC5"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1,1%</w:t>
            </w:r>
          </w:p>
        </w:tc>
        <w:tc>
          <w:tcPr>
            <w:tcW w:w="355" w:type="pct"/>
            <w:noWrap/>
            <w:hideMark/>
          </w:tcPr>
          <w:p w14:paraId="643D7646"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14%</w:t>
            </w:r>
          </w:p>
        </w:tc>
      </w:tr>
      <w:tr w:rsidR="000920C9" w:rsidRPr="00B710A9" w14:paraId="01C86205" w14:textId="77777777" w:rsidTr="004D159E">
        <w:trPr>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0B1A245E"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GUAJIRA</w:t>
            </w:r>
          </w:p>
        </w:tc>
        <w:tc>
          <w:tcPr>
            <w:tcW w:w="421" w:type="pct"/>
            <w:noWrap/>
            <w:hideMark/>
          </w:tcPr>
          <w:p w14:paraId="04F1DB75"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3.380</w:t>
            </w:r>
          </w:p>
        </w:tc>
        <w:tc>
          <w:tcPr>
            <w:tcW w:w="486" w:type="pct"/>
            <w:noWrap/>
            <w:hideMark/>
          </w:tcPr>
          <w:p w14:paraId="4D7CB88C"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4.912</w:t>
            </w:r>
          </w:p>
        </w:tc>
        <w:tc>
          <w:tcPr>
            <w:tcW w:w="379" w:type="pct"/>
            <w:noWrap/>
            <w:hideMark/>
          </w:tcPr>
          <w:p w14:paraId="44C0B0AB"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8.292</w:t>
            </w:r>
          </w:p>
        </w:tc>
        <w:tc>
          <w:tcPr>
            <w:tcW w:w="421" w:type="pct"/>
            <w:noWrap/>
            <w:hideMark/>
          </w:tcPr>
          <w:p w14:paraId="2F4679D9"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1.537</w:t>
            </w:r>
          </w:p>
        </w:tc>
        <w:tc>
          <w:tcPr>
            <w:tcW w:w="486" w:type="pct"/>
            <w:noWrap/>
            <w:hideMark/>
          </w:tcPr>
          <w:p w14:paraId="3DBD389F"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1.083</w:t>
            </w:r>
          </w:p>
        </w:tc>
        <w:tc>
          <w:tcPr>
            <w:tcW w:w="355" w:type="pct"/>
            <w:noWrap/>
            <w:hideMark/>
          </w:tcPr>
          <w:p w14:paraId="1F320DD8"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2.620</w:t>
            </w:r>
          </w:p>
        </w:tc>
        <w:tc>
          <w:tcPr>
            <w:tcW w:w="421" w:type="pct"/>
            <w:gridSpan w:val="2"/>
            <w:noWrap/>
            <w:hideMark/>
          </w:tcPr>
          <w:p w14:paraId="5E49E864"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45%</w:t>
            </w:r>
          </w:p>
        </w:tc>
        <w:tc>
          <w:tcPr>
            <w:tcW w:w="487" w:type="pct"/>
            <w:noWrap/>
            <w:hideMark/>
          </w:tcPr>
          <w:p w14:paraId="546524C3"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22%</w:t>
            </w:r>
          </w:p>
        </w:tc>
        <w:tc>
          <w:tcPr>
            <w:tcW w:w="355" w:type="pct"/>
            <w:noWrap/>
            <w:hideMark/>
          </w:tcPr>
          <w:p w14:paraId="47401DEA"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32%</w:t>
            </w:r>
          </w:p>
        </w:tc>
      </w:tr>
      <w:tr w:rsidR="004D159E" w:rsidRPr="00B710A9" w14:paraId="0C5D45E1" w14:textId="77777777" w:rsidTr="004D15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7F64FC48"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HUILA</w:t>
            </w:r>
          </w:p>
        </w:tc>
        <w:tc>
          <w:tcPr>
            <w:tcW w:w="421" w:type="pct"/>
            <w:noWrap/>
            <w:hideMark/>
          </w:tcPr>
          <w:p w14:paraId="602F4547"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6.305</w:t>
            </w:r>
          </w:p>
        </w:tc>
        <w:tc>
          <w:tcPr>
            <w:tcW w:w="486" w:type="pct"/>
            <w:noWrap/>
            <w:hideMark/>
          </w:tcPr>
          <w:p w14:paraId="10818D96"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3.618</w:t>
            </w:r>
          </w:p>
        </w:tc>
        <w:tc>
          <w:tcPr>
            <w:tcW w:w="379" w:type="pct"/>
            <w:noWrap/>
            <w:hideMark/>
          </w:tcPr>
          <w:p w14:paraId="55217055"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9.923</w:t>
            </w:r>
          </w:p>
        </w:tc>
        <w:tc>
          <w:tcPr>
            <w:tcW w:w="421" w:type="pct"/>
            <w:noWrap/>
            <w:hideMark/>
          </w:tcPr>
          <w:p w14:paraId="7EDF5999"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5.559</w:t>
            </w:r>
          </w:p>
        </w:tc>
        <w:tc>
          <w:tcPr>
            <w:tcW w:w="486" w:type="pct"/>
            <w:noWrap/>
            <w:hideMark/>
          </w:tcPr>
          <w:p w14:paraId="597D31ED"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769</w:t>
            </w:r>
          </w:p>
        </w:tc>
        <w:tc>
          <w:tcPr>
            <w:tcW w:w="355" w:type="pct"/>
            <w:noWrap/>
            <w:hideMark/>
          </w:tcPr>
          <w:p w14:paraId="32F127F1"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6.328</w:t>
            </w:r>
          </w:p>
        </w:tc>
        <w:tc>
          <w:tcPr>
            <w:tcW w:w="421" w:type="pct"/>
            <w:gridSpan w:val="2"/>
            <w:noWrap/>
            <w:hideMark/>
          </w:tcPr>
          <w:p w14:paraId="68961008"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88%</w:t>
            </w:r>
          </w:p>
        </w:tc>
        <w:tc>
          <w:tcPr>
            <w:tcW w:w="487" w:type="pct"/>
            <w:noWrap/>
            <w:hideMark/>
          </w:tcPr>
          <w:p w14:paraId="5FF1E7AF"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21%</w:t>
            </w:r>
          </w:p>
        </w:tc>
        <w:tc>
          <w:tcPr>
            <w:tcW w:w="355" w:type="pct"/>
            <w:noWrap/>
            <w:hideMark/>
          </w:tcPr>
          <w:p w14:paraId="5E520A2D"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64%</w:t>
            </w:r>
          </w:p>
        </w:tc>
      </w:tr>
      <w:tr w:rsidR="000920C9" w:rsidRPr="00B710A9" w14:paraId="7073EC80" w14:textId="77777777" w:rsidTr="004D159E">
        <w:trPr>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714E80EF"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MAGDALENA</w:t>
            </w:r>
          </w:p>
        </w:tc>
        <w:tc>
          <w:tcPr>
            <w:tcW w:w="421" w:type="pct"/>
            <w:noWrap/>
            <w:hideMark/>
          </w:tcPr>
          <w:p w14:paraId="6BB53381"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5.613</w:t>
            </w:r>
          </w:p>
        </w:tc>
        <w:tc>
          <w:tcPr>
            <w:tcW w:w="486" w:type="pct"/>
            <w:noWrap/>
            <w:hideMark/>
          </w:tcPr>
          <w:p w14:paraId="2185BE3F"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5.431</w:t>
            </w:r>
          </w:p>
        </w:tc>
        <w:tc>
          <w:tcPr>
            <w:tcW w:w="379" w:type="pct"/>
            <w:noWrap/>
            <w:hideMark/>
          </w:tcPr>
          <w:p w14:paraId="22E03D65"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11.044</w:t>
            </w:r>
          </w:p>
        </w:tc>
        <w:tc>
          <w:tcPr>
            <w:tcW w:w="421" w:type="pct"/>
            <w:noWrap/>
            <w:hideMark/>
          </w:tcPr>
          <w:p w14:paraId="0FA0229D"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2.049</w:t>
            </w:r>
          </w:p>
        </w:tc>
        <w:tc>
          <w:tcPr>
            <w:tcW w:w="486" w:type="pct"/>
            <w:noWrap/>
            <w:hideMark/>
          </w:tcPr>
          <w:p w14:paraId="0D5C8920"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362</w:t>
            </w:r>
          </w:p>
        </w:tc>
        <w:tc>
          <w:tcPr>
            <w:tcW w:w="355" w:type="pct"/>
            <w:noWrap/>
            <w:hideMark/>
          </w:tcPr>
          <w:p w14:paraId="32054AEC"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2.411</w:t>
            </w:r>
          </w:p>
        </w:tc>
        <w:tc>
          <w:tcPr>
            <w:tcW w:w="421" w:type="pct"/>
            <w:gridSpan w:val="2"/>
            <w:noWrap/>
            <w:hideMark/>
          </w:tcPr>
          <w:p w14:paraId="1017FF5A"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37%</w:t>
            </w:r>
          </w:p>
        </w:tc>
        <w:tc>
          <w:tcPr>
            <w:tcW w:w="487" w:type="pct"/>
            <w:noWrap/>
            <w:hideMark/>
          </w:tcPr>
          <w:p w14:paraId="03ABDB58"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w:t>
            </w:r>
          </w:p>
        </w:tc>
        <w:tc>
          <w:tcPr>
            <w:tcW w:w="355" w:type="pct"/>
            <w:noWrap/>
            <w:hideMark/>
          </w:tcPr>
          <w:p w14:paraId="730A628F"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22%</w:t>
            </w:r>
          </w:p>
        </w:tc>
      </w:tr>
      <w:tr w:rsidR="004D159E" w:rsidRPr="00B710A9" w14:paraId="6EF31EE2" w14:textId="77777777" w:rsidTr="004D15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2A44E1B6"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META</w:t>
            </w:r>
          </w:p>
        </w:tc>
        <w:tc>
          <w:tcPr>
            <w:tcW w:w="421" w:type="pct"/>
            <w:noWrap/>
            <w:hideMark/>
          </w:tcPr>
          <w:p w14:paraId="2F93DCA8"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5.021</w:t>
            </w:r>
          </w:p>
        </w:tc>
        <w:tc>
          <w:tcPr>
            <w:tcW w:w="486" w:type="pct"/>
            <w:noWrap/>
            <w:hideMark/>
          </w:tcPr>
          <w:p w14:paraId="5684F531"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5.003</w:t>
            </w:r>
          </w:p>
        </w:tc>
        <w:tc>
          <w:tcPr>
            <w:tcW w:w="379" w:type="pct"/>
            <w:noWrap/>
            <w:hideMark/>
          </w:tcPr>
          <w:p w14:paraId="45BF42AD"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10.024</w:t>
            </w:r>
          </w:p>
        </w:tc>
        <w:tc>
          <w:tcPr>
            <w:tcW w:w="421" w:type="pct"/>
            <w:noWrap/>
            <w:hideMark/>
          </w:tcPr>
          <w:p w14:paraId="556DB393"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3.574</w:t>
            </w:r>
          </w:p>
        </w:tc>
        <w:tc>
          <w:tcPr>
            <w:tcW w:w="486" w:type="pct"/>
            <w:noWrap/>
            <w:hideMark/>
          </w:tcPr>
          <w:p w14:paraId="6C8EE83D"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439</w:t>
            </w:r>
          </w:p>
        </w:tc>
        <w:tc>
          <w:tcPr>
            <w:tcW w:w="355" w:type="pct"/>
            <w:noWrap/>
            <w:hideMark/>
          </w:tcPr>
          <w:p w14:paraId="41706432"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4.013</w:t>
            </w:r>
          </w:p>
        </w:tc>
        <w:tc>
          <w:tcPr>
            <w:tcW w:w="421" w:type="pct"/>
            <w:gridSpan w:val="2"/>
            <w:noWrap/>
            <w:hideMark/>
          </w:tcPr>
          <w:p w14:paraId="0FC0ABB5"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71%</w:t>
            </w:r>
          </w:p>
        </w:tc>
        <w:tc>
          <w:tcPr>
            <w:tcW w:w="487" w:type="pct"/>
            <w:noWrap/>
            <w:hideMark/>
          </w:tcPr>
          <w:p w14:paraId="6D87F48D"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9%</w:t>
            </w:r>
          </w:p>
        </w:tc>
        <w:tc>
          <w:tcPr>
            <w:tcW w:w="355" w:type="pct"/>
            <w:noWrap/>
            <w:hideMark/>
          </w:tcPr>
          <w:p w14:paraId="13BDAF19"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40%</w:t>
            </w:r>
          </w:p>
        </w:tc>
      </w:tr>
      <w:tr w:rsidR="000920C9" w:rsidRPr="00B710A9" w14:paraId="18F75772" w14:textId="77777777" w:rsidTr="004D159E">
        <w:trPr>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7FF4A4E8"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NARIÑO</w:t>
            </w:r>
          </w:p>
        </w:tc>
        <w:tc>
          <w:tcPr>
            <w:tcW w:w="421" w:type="pct"/>
            <w:noWrap/>
            <w:hideMark/>
          </w:tcPr>
          <w:p w14:paraId="67674C31"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20.000</w:t>
            </w:r>
          </w:p>
        </w:tc>
        <w:tc>
          <w:tcPr>
            <w:tcW w:w="486" w:type="pct"/>
            <w:noWrap/>
            <w:hideMark/>
          </w:tcPr>
          <w:p w14:paraId="00E2F402"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4.800</w:t>
            </w:r>
          </w:p>
        </w:tc>
        <w:tc>
          <w:tcPr>
            <w:tcW w:w="379" w:type="pct"/>
            <w:noWrap/>
            <w:hideMark/>
          </w:tcPr>
          <w:p w14:paraId="1DB79C0A"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24.800</w:t>
            </w:r>
          </w:p>
        </w:tc>
        <w:tc>
          <w:tcPr>
            <w:tcW w:w="421" w:type="pct"/>
            <w:noWrap/>
            <w:hideMark/>
          </w:tcPr>
          <w:p w14:paraId="27E9DEA9"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4.290</w:t>
            </w:r>
          </w:p>
        </w:tc>
        <w:tc>
          <w:tcPr>
            <w:tcW w:w="486" w:type="pct"/>
            <w:noWrap/>
            <w:hideMark/>
          </w:tcPr>
          <w:p w14:paraId="520FD31F"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898</w:t>
            </w:r>
          </w:p>
        </w:tc>
        <w:tc>
          <w:tcPr>
            <w:tcW w:w="355" w:type="pct"/>
            <w:noWrap/>
            <w:hideMark/>
          </w:tcPr>
          <w:p w14:paraId="442326AA"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5.188</w:t>
            </w:r>
          </w:p>
        </w:tc>
        <w:tc>
          <w:tcPr>
            <w:tcW w:w="421" w:type="pct"/>
            <w:gridSpan w:val="2"/>
            <w:noWrap/>
            <w:hideMark/>
          </w:tcPr>
          <w:p w14:paraId="138F1430"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21%</w:t>
            </w:r>
          </w:p>
        </w:tc>
        <w:tc>
          <w:tcPr>
            <w:tcW w:w="487" w:type="pct"/>
            <w:noWrap/>
            <w:hideMark/>
          </w:tcPr>
          <w:p w14:paraId="73063367"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19%</w:t>
            </w:r>
          </w:p>
        </w:tc>
        <w:tc>
          <w:tcPr>
            <w:tcW w:w="355" w:type="pct"/>
            <w:noWrap/>
            <w:hideMark/>
          </w:tcPr>
          <w:p w14:paraId="4FEED893"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21%</w:t>
            </w:r>
          </w:p>
        </w:tc>
      </w:tr>
      <w:tr w:rsidR="004D159E" w:rsidRPr="00B710A9" w14:paraId="6569EE4F" w14:textId="77777777" w:rsidTr="004D15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63E2744C"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NORTE DE SANTANDER</w:t>
            </w:r>
          </w:p>
        </w:tc>
        <w:tc>
          <w:tcPr>
            <w:tcW w:w="421" w:type="pct"/>
            <w:noWrap/>
            <w:hideMark/>
          </w:tcPr>
          <w:p w14:paraId="0194772F"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9.315</w:t>
            </w:r>
          </w:p>
        </w:tc>
        <w:tc>
          <w:tcPr>
            <w:tcW w:w="486" w:type="pct"/>
            <w:noWrap/>
            <w:hideMark/>
          </w:tcPr>
          <w:p w14:paraId="37ACE4F2"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4.819</w:t>
            </w:r>
          </w:p>
        </w:tc>
        <w:tc>
          <w:tcPr>
            <w:tcW w:w="379" w:type="pct"/>
            <w:noWrap/>
            <w:hideMark/>
          </w:tcPr>
          <w:p w14:paraId="7ED7EB75"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14.134</w:t>
            </w:r>
          </w:p>
        </w:tc>
        <w:tc>
          <w:tcPr>
            <w:tcW w:w="421" w:type="pct"/>
            <w:noWrap/>
            <w:hideMark/>
          </w:tcPr>
          <w:p w14:paraId="3C70E11D"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5.359</w:t>
            </w:r>
          </w:p>
        </w:tc>
        <w:tc>
          <w:tcPr>
            <w:tcW w:w="486" w:type="pct"/>
            <w:noWrap/>
            <w:hideMark/>
          </w:tcPr>
          <w:p w14:paraId="5178E7E1"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2.323</w:t>
            </w:r>
          </w:p>
        </w:tc>
        <w:tc>
          <w:tcPr>
            <w:tcW w:w="355" w:type="pct"/>
            <w:noWrap/>
            <w:hideMark/>
          </w:tcPr>
          <w:p w14:paraId="2664947B"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7.682</w:t>
            </w:r>
          </w:p>
        </w:tc>
        <w:tc>
          <w:tcPr>
            <w:tcW w:w="421" w:type="pct"/>
            <w:gridSpan w:val="2"/>
            <w:noWrap/>
            <w:hideMark/>
          </w:tcPr>
          <w:p w14:paraId="7BA1022E"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58%</w:t>
            </w:r>
          </w:p>
        </w:tc>
        <w:tc>
          <w:tcPr>
            <w:tcW w:w="487" w:type="pct"/>
            <w:noWrap/>
            <w:hideMark/>
          </w:tcPr>
          <w:p w14:paraId="6ADD9432"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48%</w:t>
            </w:r>
          </w:p>
        </w:tc>
        <w:tc>
          <w:tcPr>
            <w:tcW w:w="355" w:type="pct"/>
            <w:noWrap/>
            <w:hideMark/>
          </w:tcPr>
          <w:p w14:paraId="518B3B2C"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54%</w:t>
            </w:r>
          </w:p>
        </w:tc>
      </w:tr>
      <w:tr w:rsidR="000920C9" w:rsidRPr="00B710A9" w14:paraId="26B77DC5" w14:textId="77777777" w:rsidTr="004D159E">
        <w:trPr>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2BE8390C"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QUINDÍO</w:t>
            </w:r>
          </w:p>
        </w:tc>
        <w:tc>
          <w:tcPr>
            <w:tcW w:w="421" w:type="pct"/>
            <w:noWrap/>
            <w:hideMark/>
          </w:tcPr>
          <w:p w14:paraId="06E14DDD"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2.268</w:t>
            </w:r>
          </w:p>
        </w:tc>
        <w:tc>
          <w:tcPr>
            <w:tcW w:w="486" w:type="pct"/>
            <w:noWrap/>
            <w:hideMark/>
          </w:tcPr>
          <w:p w14:paraId="0C74DC39"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2.452</w:t>
            </w:r>
          </w:p>
        </w:tc>
        <w:tc>
          <w:tcPr>
            <w:tcW w:w="379" w:type="pct"/>
            <w:noWrap/>
            <w:hideMark/>
          </w:tcPr>
          <w:p w14:paraId="7A312E60"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4.720</w:t>
            </w:r>
          </w:p>
        </w:tc>
        <w:tc>
          <w:tcPr>
            <w:tcW w:w="421" w:type="pct"/>
            <w:noWrap/>
            <w:hideMark/>
          </w:tcPr>
          <w:p w14:paraId="4BCD1781"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1.890</w:t>
            </w:r>
          </w:p>
        </w:tc>
        <w:tc>
          <w:tcPr>
            <w:tcW w:w="486" w:type="pct"/>
            <w:noWrap/>
            <w:hideMark/>
          </w:tcPr>
          <w:p w14:paraId="160B88CE"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416</w:t>
            </w:r>
          </w:p>
        </w:tc>
        <w:tc>
          <w:tcPr>
            <w:tcW w:w="355" w:type="pct"/>
            <w:noWrap/>
            <w:hideMark/>
          </w:tcPr>
          <w:p w14:paraId="538C119D"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2.306</w:t>
            </w:r>
          </w:p>
        </w:tc>
        <w:tc>
          <w:tcPr>
            <w:tcW w:w="421" w:type="pct"/>
            <w:gridSpan w:val="2"/>
            <w:noWrap/>
            <w:hideMark/>
          </w:tcPr>
          <w:p w14:paraId="3F8C9884"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83%</w:t>
            </w:r>
          </w:p>
        </w:tc>
        <w:tc>
          <w:tcPr>
            <w:tcW w:w="487" w:type="pct"/>
            <w:noWrap/>
            <w:hideMark/>
          </w:tcPr>
          <w:p w14:paraId="0FC3C9B0"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17%</w:t>
            </w:r>
          </w:p>
        </w:tc>
        <w:tc>
          <w:tcPr>
            <w:tcW w:w="355" w:type="pct"/>
            <w:noWrap/>
            <w:hideMark/>
          </w:tcPr>
          <w:p w14:paraId="651D0E39"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49%</w:t>
            </w:r>
          </w:p>
        </w:tc>
      </w:tr>
      <w:tr w:rsidR="004D159E" w:rsidRPr="00B710A9" w14:paraId="46915052" w14:textId="77777777" w:rsidTr="004D15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6860B8F8"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RISARALDA</w:t>
            </w:r>
          </w:p>
        </w:tc>
        <w:tc>
          <w:tcPr>
            <w:tcW w:w="421" w:type="pct"/>
            <w:noWrap/>
            <w:hideMark/>
          </w:tcPr>
          <w:p w14:paraId="61A4EA18"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14.000</w:t>
            </w:r>
          </w:p>
        </w:tc>
        <w:tc>
          <w:tcPr>
            <w:tcW w:w="486" w:type="pct"/>
            <w:noWrap/>
            <w:hideMark/>
          </w:tcPr>
          <w:p w14:paraId="0EB5790F"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1.400</w:t>
            </w:r>
          </w:p>
        </w:tc>
        <w:tc>
          <w:tcPr>
            <w:tcW w:w="379" w:type="pct"/>
            <w:noWrap/>
            <w:hideMark/>
          </w:tcPr>
          <w:p w14:paraId="62F1DBDC"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15.400</w:t>
            </w:r>
          </w:p>
        </w:tc>
        <w:tc>
          <w:tcPr>
            <w:tcW w:w="421" w:type="pct"/>
            <w:noWrap/>
            <w:hideMark/>
          </w:tcPr>
          <w:p w14:paraId="738C7597"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7.612</w:t>
            </w:r>
          </w:p>
        </w:tc>
        <w:tc>
          <w:tcPr>
            <w:tcW w:w="486" w:type="pct"/>
            <w:noWrap/>
            <w:hideMark/>
          </w:tcPr>
          <w:p w14:paraId="6E88068E"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344</w:t>
            </w:r>
          </w:p>
        </w:tc>
        <w:tc>
          <w:tcPr>
            <w:tcW w:w="355" w:type="pct"/>
            <w:noWrap/>
            <w:hideMark/>
          </w:tcPr>
          <w:p w14:paraId="73707A95"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7.956</w:t>
            </w:r>
          </w:p>
        </w:tc>
        <w:tc>
          <w:tcPr>
            <w:tcW w:w="421" w:type="pct"/>
            <w:gridSpan w:val="2"/>
            <w:noWrap/>
            <w:hideMark/>
          </w:tcPr>
          <w:p w14:paraId="3D1B8FDA"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54%</w:t>
            </w:r>
          </w:p>
        </w:tc>
        <w:tc>
          <w:tcPr>
            <w:tcW w:w="487" w:type="pct"/>
            <w:noWrap/>
            <w:hideMark/>
          </w:tcPr>
          <w:p w14:paraId="656A836C"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25%</w:t>
            </w:r>
          </w:p>
        </w:tc>
        <w:tc>
          <w:tcPr>
            <w:tcW w:w="355" w:type="pct"/>
            <w:noWrap/>
            <w:hideMark/>
          </w:tcPr>
          <w:p w14:paraId="4240AF49"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52%</w:t>
            </w:r>
          </w:p>
        </w:tc>
      </w:tr>
      <w:tr w:rsidR="000920C9" w:rsidRPr="00B710A9" w14:paraId="59F4AE19" w14:textId="77777777" w:rsidTr="004D159E">
        <w:trPr>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4FC33A99"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SANTANDER</w:t>
            </w:r>
          </w:p>
        </w:tc>
        <w:tc>
          <w:tcPr>
            <w:tcW w:w="421" w:type="pct"/>
            <w:noWrap/>
            <w:hideMark/>
          </w:tcPr>
          <w:p w14:paraId="0FABCD23"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14.023</w:t>
            </w:r>
          </w:p>
        </w:tc>
        <w:tc>
          <w:tcPr>
            <w:tcW w:w="486" w:type="pct"/>
            <w:noWrap/>
            <w:hideMark/>
          </w:tcPr>
          <w:p w14:paraId="4CE96B1D"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1.521</w:t>
            </w:r>
          </w:p>
        </w:tc>
        <w:tc>
          <w:tcPr>
            <w:tcW w:w="379" w:type="pct"/>
            <w:noWrap/>
            <w:hideMark/>
          </w:tcPr>
          <w:p w14:paraId="31BF289A"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15.544</w:t>
            </w:r>
          </w:p>
        </w:tc>
        <w:tc>
          <w:tcPr>
            <w:tcW w:w="421" w:type="pct"/>
            <w:noWrap/>
            <w:hideMark/>
          </w:tcPr>
          <w:p w14:paraId="0D857976"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4.828</w:t>
            </w:r>
          </w:p>
        </w:tc>
        <w:tc>
          <w:tcPr>
            <w:tcW w:w="486" w:type="pct"/>
            <w:noWrap/>
            <w:hideMark/>
          </w:tcPr>
          <w:p w14:paraId="54914B5A"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399</w:t>
            </w:r>
          </w:p>
        </w:tc>
        <w:tc>
          <w:tcPr>
            <w:tcW w:w="355" w:type="pct"/>
            <w:noWrap/>
            <w:hideMark/>
          </w:tcPr>
          <w:p w14:paraId="6504B155"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5.227</w:t>
            </w:r>
          </w:p>
        </w:tc>
        <w:tc>
          <w:tcPr>
            <w:tcW w:w="421" w:type="pct"/>
            <w:gridSpan w:val="2"/>
            <w:noWrap/>
            <w:hideMark/>
          </w:tcPr>
          <w:p w14:paraId="0013EA77"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34%</w:t>
            </w:r>
          </w:p>
        </w:tc>
        <w:tc>
          <w:tcPr>
            <w:tcW w:w="487" w:type="pct"/>
            <w:noWrap/>
            <w:hideMark/>
          </w:tcPr>
          <w:p w14:paraId="17168FE1"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26%</w:t>
            </w:r>
          </w:p>
        </w:tc>
        <w:tc>
          <w:tcPr>
            <w:tcW w:w="355" w:type="pct"/>
            <w:noWrap/>
            <w:hideMark/>
          </w:tcPr>
          <w:p w14:paraId="579A6A81"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34%</w:t>
            </w:r>
          </w:p>
        </w:tc>
      </w:tr>
      <w:tr w:rsidR="004D159E" w:rsidRPr="00B710A9" w14:paraId="1C78933C" w14:textId="77777777" w:rsidTr="004D15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1AC7D78A"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SUCRE</w:t>
            </w:r>
          </w:p>
        </w:tc>
        <w:tc>
          <w:tcPr>
            <w:tcW w:w="421" w:type="pct"/>
            <w:noWrap/>
            <w:hideMark/>
          </w:tcPr>
          <w:p w14:paraId="7FA49688"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5.983</w:t>
            </w:r>
          </w:p>
        </w:tc>
        <w:tc>
          <w:tcPr>
            <w:tcW w:w="486" w:type="pct"/>
            <w:noWrap/>
            <w:hideMark/>
          </w:tcPr>
          <w:p w14:paraId="682FD198"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3.400</w:t>
            </w:r>
          </w:p>
        </w:tc>
        <w:tc>
          <w:tcPr>
            <w:tcW w:w="379" w:type="pct"/>
            <w:noWrap/>
            <w:hideMark/>
          </w:tcPr>
          <w:p w14:paraId="0D88AD88"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9.383</w:t>
            </w:r>
          </w:p>
        </w:tc>
        <w:tc>
          <w:tcPr>
            <w:tcW w:w="421" w:type="pct"/>
            <w:noWrap/>
            <w:hideMark/>
          </w:tcPr>
          <w:p w14:paraId="4F75F0CE"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2.879</w:t>
            </w:r>
          </w:p>
        </w:tc>
        <w:tc>
          <w:tcPr>
            <w:tcW w:w="486" w:type="pct"/>
            <w:noWrap/>
            <w:hideMark/>
          </w:tcPr>
          <w:p w14:paraId="7AA3E3BA"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838</w:t>
            </w:r>
          </w:p>
        </w:tc>
        <w:tc>
          <w:tcPr>
            <w:tcW w:w="355" w:type="pct"/>
            <w:noWrap/>
            <w:hideMark/>
          </w:tcPr>
          <w:p w14:paraId="7C644F0D"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3.717</w:t>
            </w:r>
          </w:p>
        </w:tc>
        <w:tc>
          <w:tcPr>
            <w:tcW w:w="421" w:type="pct"/>
            <w:gridSpan w:val="2"/>
            <w:noWrap/>
            <w:hideMark/>
          </w:tcPr>
          <w:p w14:paraId="2F39A8EC"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48%</w:t>
            </w:r>
          </w:p>
        </w:tc>
        <w:tc>
          <w:tcPr>
            <w:tcW w:w="487" w:type="pct"/>
            <w:noWrap/>
            <w:hideMark/>
          </w:tcPr>
          <w:p w14:paraId="521241AC"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25%</w:t>
            </w:r>
          </w:p>
        </w:tc>
        <w:tc>
          <w:tcPr>
            <w:tcW w:w="355" w:type="pct"/>
            <w:noWrap/>
            <w:hideMark/>
          </w:tcPr>
          <w:p w14:paraId="216E3875"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40%</w:t>
            </w:r>
          </w:p>
        </w:tc>
      </w:tr>
      <w:tr w:rsidR="000920C9" w:rsidRPr="00B710A9" w14:paraId="0AF656C4" w14:textId="77777777" w:rsidTr="004D159E">
        <w:trPr>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58B51726"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TOLIMA</w:t>
            </w:r>
          </w:p>
        </w:tc>
        <w:tc>
          <w:tcPr>
            <w:tcW w:w="421" w:type="pct"/>
            <w:noWrap/>
            <w:hideMark/>
          </w:tcPr>
          <w:p w14:paraId="3645E90B"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6.937</w:t>
            </w:r>
          </w:p>
        </w:tc>
        <w:tc>
          <w:tcPr>
            <w:tcW w:w="486" w:type="pct"/>
            <w:noWrap/>
            <w:hideMark/>
          </w:tcPr>
          <w:p w14:paraId="330A157A"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5.712</w:t>
            </w:r>
          </w:p>
        </w:tc>
        <w:tc>
          <w:tcPr>
            <w:tcW w:w="379" w:type="pct"/>
            <w:noWrap/>
            <w:hideMark/>
          </w:tcPr>
          <w:p w14:paraId="24E6B1EE"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12.649</w:t>
            </w:r>
          </w:p>
        </w:tc>
        <w:tc>
          <w:tcPr>
            <w:tcW w:w="421" w:type="pct"/>
            <w:noWrap/>
            <w:hideMark/>
          </w:tcPr>
          <w:p w14:paraId="4144AB50"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307</w:t>
            </w:r>
          </w:p>
        </w:tc>
        <w:tc>
          <w:tcPr>
            <w:tcW w:w="486" w:type="pct"/>
            <w:noWrap/>
            <w:hideMark/>
          </w:tcPr>
          <w:p w14:paraId="026CEA37"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114</w:t>
            </w:r>
          </w:p>
        </w:tc>
        <w:tc>
          <w:tcPr>
            <w:tcW w:w="355" w:type="pct"/>
            <w:noWrap/>
            <w:hideMark/>
          </w:tcPr>
          <w:p w14:paraId="276204C4"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421</w:t>
            </w:r>
          </w:p>
        </w:tc>
        <w:tc>
          <w:tcPr>
            <w:tcW w:w="421" w:type="pct"/>
            <w:gridSpan w:val="2"/>
            <w:noWrap/>
            <w:hideMark/>
          </w:tcPr>
          <w:p w14:paraId="765DA34D"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w:t>
            </w:r>
          </w:p>
        </w:tc>
        <w:tc>
          <w:tcPr>
            <w:tcW w:w="487" w:type="pct"/>
            <w:noWrap/>
            <w:hideMark/>
          </w:tcPr>
          <w:p w14:paraId="014EB87D"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w:t>
            </w:r>
          </w:p>
        </w:tc>
        <w:tc>
          <w:tcPr>
            <w:tcW w:w="355" w:type="pct"/>
            <w:noWrap/>
            <w:hideMark/>
          </w:tcPr>
          <w:p w14:paraId="44083C19"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w:t>
            </w:r>
          </w:p>
        </w:tc>
      </w:tr>
      <w:tr w:rsidR="004D159E" w:rsidRPr="00B710A9" w14:paraId="21E7739F" w14:textId="77777777" w:rsidTr="004D15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9" w:type="pct"/>
            <w:noWrap/>
            <w:hideMark/>
          </w:tcPr>
          <w:p w14:paraId="276B4751"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DT VALLE</w:t>
            </w:r>
          </w:p>
        </w:tc>
        <w:tc>
          <w:tcPr>
            <w:tcW w:w="421" w:type="pct"/>
            <w:noWrap/>
            <w:hideMark/>
          </w:tcPr>
          <w:p w14:paraId="599BA50C"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20.535</w:t>
            </w:r>
          </w:p>
        </w:tc>
        <w:tc>
          <w:tcPr>
            <w:tcW w:w="486" w:type="pct"/>
            <w:noWrap/>
            <w:hideMark/>
          </w:tcPr>
          <w:p w14:paraId="4317A729"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2.100</w:t>
            </w:r>
          </w:p>
        </w:tc>
        <w:tc>
          <w:tcPr>
            <w:tcW w:w="379" w:type="pct"/>
            <w:noWrap/>
            <w:hideMark/>
          </w:tcPr>
          <w:p w14:paraId="7D7495A6"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22.635</w:t>
            </w:r>
          </w:p>
        </w:tc>
        <w:tc>
          <w:tcPr>
            <w:tcW w:w="421" w:type="pct"/>
            <w:noWrap/>
            <w:hideMark/>
          </w:tcPr>
          <w:p w14:paraId="7C9E05A0"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4.078</w:t>
            </w:r>
          </w:p>
        </w:tc>
        <w:tc>
          <w:tcPr>
            <w:tcW w:w="486" w:type="pct"/>
            <w:noWrap/>
            <w:hideMark/>
          </w:tcPr>
          <w:p w14:paraId="554AC2EF"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275</w:t>
            </w:r>
          </w:p>
        </w:tc>
        <w:tc>
          <w:tcPr>
            <w:tcW w:w="355" w:type="pct"/>
            <w:noWrap/>
            <w:hideMark/>
          </w:tcPr>
          <w:p w14:paraId="302535C0"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4.353</w:t>
            </w:r>
          </w:p>
        </w:tc>
        <w:tc>
          <w:tcPr>
            <w:tcW w:w="421" w:type="pct"/>
            <w:gridSpan w:val="2"/>
            <w:noWrap/>
            <w:hideMark/>
          </w:tcPr>
          <w:p w14:paraId="1E8BC1F2"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20%</w:t>
            </w:r>
          </w:p>
        </w:tc>
        <w:tc>
          <w:tcPr>
            <w:tcW w:w="487" w:type="pct"/>
            <w:noWrap/>
            <w:hideMark/>
          </w:tcPr>
          <w:p w14:paraId="729C276B"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13%</w:t>
            </w:r>
          </w:p>
        </w:tc>
        <w:tc>
          <w:tcPr>
            <w:tcW w:w="355" w:type="pct"/>
            <w:noWrap/>
            <w:hideMark/>
          </w:tcPr>
          <w:p w14:paraId="6BA13126"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19%</w:t>
            </w:r>
          </w:p>
        </w:tc>
      </w:tr>
      <w:tr w:rsidR="000920C9" w:rsidRPr="00B710A9" w14:paraId="3B76456C" w14:textId="77777777" w:rsidTr="004D159E">
        <w:trPr>
          <w:trHeight w:val="300"/>
        </w:trPr>
        <w:tc>
          <w:tcPr>
            <w:cnfStyle w:val="001000000000" w:firstRow="0" w:lastRow="0" w:firstColumn="1" w:lastColumn="0" w:oddVBand="0" w:evenVBand="0" w:oddHBand="0" w:evenHBand="0" w:firstRowFirstColumn="0" w:firstRowLastColumn="0" w:lastRowFirstColumn="0" w:lastRowLastColumn="0"/>
            <w:tcW w:w="1189" w:type="pct"/>
            <w:noWrap/>
            <w:hideMark/>
          </w:tcPr>
          <w:p w14:paraId="474B5521" w14:textId="77777777" w:rsidR="000920C9" w:rsidRPr="00B710A9" w:rsidRDefault="000920C9" w:rsidP="00F90DF3">
            <w:pPr>
              <w:rPr>
                <w:rFonts w:ascii="Arial" w:hAnsi="Arial" w:cs="Arial"/>
                <w:b w:val="0"/>
                <w:bCs w:val="0"/>
                <w:color w:val="000000"/>
                <w:sz w:val="16"/>
                <w:szCs w:val="16"/>
              </w:rPr>
            </w:pPr>
            <w:r w:rsidRPr="00B710A9">
              <w:rPr>
                <w:rFonts w:ascii="Arial" w:hAnsi="Arial" w:cs="Arial"/>
                <w:color w:val="000000"/>
                <w:sz w:val="16"/>
                <w:szCs w:val="16"/>
              </w:rPr>
              <w:t>TOTAL</w:t>
            </w:r>
          </w:p>
        </w:tc>
        <w:tc>
          <w:tcPr>
            <w:tcW w:w="421" w:type="pct"/>
            <w:noWrap/>
            <w:hideMark/>
          </w:tcPr>
          <w:p w14:paraId="300DBFEF"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178.927</w:t>
            </w:r>
          </w:p>
        </w:tc>
        <w:tc>
          <w:tcPr>
            <w:tcW w:w="486" w:type="pct"/>
            <w:noWrap/>
            <w:hideMark/>
          </w:tcPr>
          <w:p w14:paraId="1A8911B6"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96.549</w:t>
            </w:r>
          </w:p>
        </w:tc>
        <w:tc>
          <w:tcPr>
            <w:tcW w:w="379" w:type="pct"/>
            <w:noWrap/>
            <w:hideMark/>
          </w:tcPr>
          <w:p w14:paraId="17793D73"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275.476</w:t>
            </w:r>
          </w:p>
        </w:tc>
        <w:tc>
          <w:tcPr>
            <w:tcW w:w="421" w:type="pct"/>
            <w:noWrap/>
            <w:hideMark/>
          </w:tcPr>
          <w:p w14:paraId="21371F73"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71.017</w:t>
            </w:r>
          </w:p>
        </w:tc>
        <w:tc>
          <w:tcPr>
            <w:tcW w:w="486" w:type="pct"/>
            <w:noWrap/>
            <w:hideMark/>
          </w:tcPr>
          <w:p w14:paraId="5ABE3ADE"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16.454</w:t>
            </w:r>
          </w:p>
        </w:tc>
        <w:tc>
          <w:tcPr>
            <w:tcW w:w="355" w:type="pct"/>
            <w:noWrap/>
            <w:hideMark/>
          </w:tcPr>
          <w:p w14:paraId="4EE54A69"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87.471</w:t>
            </w:r>
          </w:p>
        </w:tc>
        <w:tc>
          <w:tcPr>
            <w:tcW w:w="421" w:type="pct"/>
            <w:gridSpan w:val="2"/>
            <w:noWrap/>
            <w:hideMark/>
          </w:tcPr>
          <w:p w14:paraId="4D649056"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40%</w:t>
            </w:r>
          </w:p>
        </w:tc>
        <w:tc>
          <w:tcPr>
            <w:tcW w:w="487" w:type="pct"/>
            <w:noWrap/>
            <w:hideMark/>
          </w:tcPr>
          <w:p w14:paraId="26020631"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17%</w:t>
            </w:r>
          </w:p>
        </w:tc>
        <w:tc>
          <w:tcPr>
            <w:tcW w:w="355" w:type="pct"/>
            <w:noWrap/>
            <w:hideMark/>
          </w:tcPr>
          <w:p w14:paraId="36B43C33"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32%</w:t>
            </w:r>
          </w:p>
        </w:tc>
      </w:tr>
    </w:tbl>
    <w:p w14:paraId="3E9709E5" w14:textId="0A8C41C4" w:rsidR="000920C9" w:rsidRPr="00B710A9" w:rsidRDefault="000920C9" w:rsidP="000920C9">
      <w:pPr>
        <w:spacing w:line="276" w:lineRule="auto"/>
        <w:jc w:val="center"/>
        <w:rPr>
          <w:rFonts w:ascii="Arial" w:eastAsia="Arial" w:hAnsi="Arial" w:cs="Arial"/>
          <w:b/>
          <w:bCs/>
          <w:sz w:val="16"/>
          <w:szCs w:val="16"/>
        </w:rPr>
      </w:pPr>
      <w:r w:rsidRPr="00B710A9">
        <w:rPr>
          <w:rFonts w:ascii="Arial" w:eastAsia="Arial" w:hAnsi="Arial" w:cs="Arial"/>
          <w:b/>
          <w:bCs/>
          <w:sz w:val="16"/>
          <w:szCs w:val="16"/>
        </w:rPr>
        <w:t>Fuente: Dirección de Gestión Catastral</w:t>
      </w:r>
    </w:p>
    <w:p w14:paraId="4363720E" w14:textId="6E7E763E" w:rsidR="000920C9" w:rsidRPr="00B710A9" w:rsidRDefault="000920C9" w:rsidP="000920C9">
      <w:pPr>
        <w:jc w:val="both"/>
        <w:rPr>
          <w:rFonts w:cs="Arial"/>
          <w:sz w:val="22"/>
          <w:szCs w:val="22"/>
        </w:rPr>
      </w:pPr>
    </w:p>
    <w:p w14:paraId="2E679EB0" w14:textId="262C1008" w:rsidR="000920C9" w:rsidRPr="00B710A9" w:rsidRDefault="000920C9" w:rsidP="000920C9">
      <w:pPr>
        <w:jc w:val="both"/>
        <w:rPr>
          <w:rFonts w:ascii="Arial" w:hAnsi="Arial" w:cs="Arial"/>
          <w:sz w:val="22"/>
          <w:szCs w:val="22"/>
        </w:rPr>
      </w:pPr>
      <w:r w:rsidRPr="00B710A9">
        <w:rPr>
          <w:rFonts w:ascii="Arial" w:hAnsi="Arial" w:cs="Arial"/>
          <w:sz w:val="22"/>
          <w:szCs w:val="22"/>
        </w:rPr>
        <w:t>Durante la presente vigencia, se han radicado 93.428 peticiones, de las cuales se tiene un total de 27.328 tramites por atender, como se muestra a continuación:</w:t>
      </w:r>
    </w:p>
    <w:p w14:paraId="583F9463" w14:textId="262C1008" w:rsidR="000920C9" w:rsidRPr="00B710A9" w:rsidRDefault="000920C9" w:rsidP="000920C9">
      <w:pPr>
        <w:jc w:val="both"/>
        <w:rPr>
          <w:rFonts w:ascii="Arial" w:hAnsi="Arial" w:cs="Arial"/>
          <w:b/>
          <w:bCs/>
          <w:color w:val="000000" w:themeColor="text1"/>
          <w:sz w:val="20"/>
          <w:szCs w:val="20"/>
        </w:rPr>
      </w:pPr>
    </w:p>
    <w:p w14:paraId="038D4F86" w14:textId="2CF28CFA" w:rsidR="00DC577C" w:rsidRPr="00B710A9" w:rsidRDefault="00DC577C" w:rsidP="00DC577C">
      <w:pPr>
        <w:pStyle w:val="Descripcin"/>
        <w:keepNext/>
        <w:jc w:val="center"/>
        <w:rPr>
          <w:rFonts w:ascii="Arial" w:hAnsi="Arial" w:cs="Arial"/>
          <w:b/>
          <w:bCs/>
          <w:i w:val="0"/>
          <w:iCs w:val="0"/>
          <w:color w:val="000000" w:themeColor="text1"/>
          <w:sz w:val="16"/>
          <w:szCs w:val="16"/>
        </w:rPr>
      </w:pPr>
      <w:bookmarkStart w:id="35" w:name="_Toc109057745"/>
      <w:bookmarkStart w:id="36" w:name="_Toc107995418"/>
      <w:r w:rsidRPr="00B710A9">
        <w:rPr>
          <w:rFonts w:ascii="Arial" w:hAnsi="Arial" w:cs="Arial"/>
          <w:b/>
          <w:bCs/>
          <w:i w:val="0"/>
          <w:iCs w:val="0"/>
          <w:color w:val="000000" w:themeColor="text1"/>
          <w:sz w:val="16"/>
          <w:szCs w:val="16"/>
        </w:rPr>
        <w:lastRenderedPageBreak/>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15</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Saldos vigencia 2022</w:t>
      </w:r>
      <w:bookmarkEnd w:id="35"/>
    </w:p>
    <w:tbl>
      <w:tblPr>
        <w:tblStyle w:val="Tablaconcuadrcula4-nfasis1"/>
        <w:tblW w:w="5340" w:type="dxa"/>
        <w:jc w:val="center"/>
        <w:tblLook w:val="04A0" w:firstRow="1" w:lastRow="0" w:firstColumn="1" w:lastColumn="0" w:noHBand="0" w:noVBand="1"/>
      </w:tblPr>
      <w:tblGrid>
        <w:gridCol w:w="1740"/>
        <w:gridCol w:w="1200"/>
        <w:gridCol w:w="1200"/>
        <w:gridCol w:w="1200"/>
      </w:tblGrid>
      <w:tr w:rsidR="000920C9" w:rsidRPr="00B710A9" w14:paraId="6AA8057E" w14:textId="77777777" w:rsidTr="00E829D5">
        <w:trPr>
          <w:cnfStyle w:val="100000000000" w:firstRow="1" w:lastRow="0" w:firstColumn="0" w:lastColumn="0" w:oddVBand="0" w:evenVBand="0" w:oddHBand="0" w:evenHBand="0" w:firstRowFirstColumn="0" w:firstRowLastColumn="0" w:lastRowFirstColumn="0" w:lastRowLastColumn="0"/>
          <w:trHeight w:val="293"/>
          <w:tblHeader/>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bookmarkEnd w:id="36"/>
          <w:p w14:paraId="53F433AA" w14:textId="77777777" w:rsidR="000920C9" w:rsidRPr="00B710A9" w:rsidRDefault="000920C9" w:rsidP="00F90DF3">
            <w:pPr>
              <w:rPr>
                <w:rFonts w:ascii="Arial" w:hAnsi="Arial" w:cs="Arial"/>
                <w:b w:val="0"/>
                <w:bCs w:val="0"/>
                <w:color w:val="000000"/>
                <w:sz w:val="16"/>
                <w:szCs w:val="16"/>
              </w:rPr>
            </w:pPr>
            <w:r w:rsidRPr="00B710A9">
              <w:rPr>
                <w:rFonts w:ascii="Arial" w:hAnsi="Arial" w:cs="Arial"/>
                <w:color w:val="000000"/>
                <w:sz w:val="16"/>
                <w:szCs w:val="16"/>
              </w:rPr>
              <w:t>TERRITORIAL</w:t>
            </w:r>
          </w:p>
        </w:tc>
        <w:tc>
          <w:tcPr>
            <w:tcW w:w="1200" w:type="dxa"/>
            <w:noWrap/>
            <w:hideMark/>
          </w:tcPr>
          <w:p w14:paraId="5A6EF113" w14:textId="77777777" w:rsidR="000920C9" w:rsidRPr="00B710A9" w:rsidRDefault="000920C9" w:rsidP="00F90D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B710A9">
              <w:rPr>
                <w:rFonts w:ascii="Arial" w:hAnsi="Arial" w:cs="Arial"/>
                <w:color w:val="000000"/>
                <w:sz w:val="16"/>
                <w:szCs w:val="16"/>
              </w:rPr>
              <w:t>OFICINA</w:t>
            </w:r>
          </w:p>
        </w:tc>
        <w:tc>
          <w:tcPr>
            <w:tcW w:w="1200" w:type="dxa"/>
            <w:noWrap/>
            <w:hideMark/>
          </w:tcPr>
          <w:p w14:paraId="6D234A74" w14:textId="77777777" w:rsidR="000920C9" w:rsidRPr="00B710A9" w:rsidRDefault="000920C9" w:rsidP="00F90D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B710A9">
              <w:rPr>
                <w:rFonts w:ascii="Arial" w:hAnsi="Arial" w:cs="Arial"/>
                <w:color w:val="000000"/>
                <w:sz w:val="16"/>
                <w:szCs w:val="16"/>
              </w:rPr>
              <w:t>TERRENO</w:t>
            </w:r>
          </w:p>
        </w:tc>
        <w:tc>
          <w:tcPr>
            <w:tcW w:w="1200" w:type="dxa"/>
            <w:noWrap/>
            <w:hideMark/>
          </w:tcPr>
          <w:p w14:paraId="7DEC3B33" w14:textId="77777777" w:rsidR="000920C9" w:rsidRPr="00B710A9" w:rsidRDefault="000920C9" w:rsidP="00F90D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B710A9">
              <w:rPr>
                <w:rFonts w:ascii="Arial" w:hAnsi="Arial" w:cs="Arial"/>
                <w:color w:val="000000"/>
                <w:sz w:val="16"/>
                <w:szCs w:val="16"/>
              </w:rPr>
              <w:t>Total</w:t>
            </w:r>
          </w:p>
        </w:tc>
      </w:tr>
      <w:tr w:rsidR="000920C9" w:rsidRPr="00B710A9" w14:paraId="3848BC46" w14:textId="77777777" w:rsidTr="00DC577C">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4AE79740"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ATLÁNTICO</w:t>
            </w:r>
          </w:p>
        </w:tc>
        <w:tc>
          <w:tcPr>
            <w:tcW w:w="1200" w:type="dxa"/>
            <w:noWrap/>
            <w:hideMark/>
          </w:tcPr>
          <w:p w14:paraId="31A26258"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689</w:t>
            </w:r>
          </w:p>
        </w:tc>
        <w:tc>
          <w:tcPr>
            <w:tcW w:w="1200" w:type="dxa"/>
            <w:noWrap/>
            <w:hideMark/>
          </w:tcPr>
          <w:p w14:paraId="3DA3999E"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746</w:t>
            </w:r>
          </w:p>
        </w:tc>
        <w:tc>
          <w:tcPr>
            <w:tcW w:w="1200" w:type="dxa"/>
            <w:noWrap/>
            <w:hideMark/>
          </w:tcPr>
          <w:p w14:paraId="48491F76"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1.435</w:t>
            </w:r>
          </w:p>
        </w:tc>
      </w:tr>
      <w:tr w:rsidR="000920C9" w:rsidRPr="00B710A9" w14:paraId="1615A0D9" w14:textId="77777777" w:rsidTr="00DC577C">
        <w:trPr>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596B8B11"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BOLÍVAR</w:t>
            </w:r>
          </w:p>
        </w:tc>
        <w:tc>
          <w:tcPr>
            <w:tcW w:w="1200" w:type="dxa"/>
            <w:noWrap/>
            <w:hideMark/>
          </w:tcPr>
          <w:p w14:paraId="0DC2E984"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316</w:t>
            </w:r>
          </w:p>
        </w:tc>
        <w:tc>
          <w:tcPr>
            <w:tcW w:w="1200" w:type="dxa"/>
            <w:noWrap/>
            <w:hideMark/>
          </w:tcPr>
          <w:p w14:paraId="0985145E"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903</w:t>
            </w:r>
          </w:p>
        </w:tc>
        <w:tc>
          <w:tcPr>
            <w:tcW w:w="1200" w:type="dxa"/>
            <w:noWrap/>
            <w:hideMark/>
          </w:tcPr>
          <w:p w14:paraId="516B2274"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1.219</w:t>
            </w:r>
          </w:p>
        </w:tc>
      </w:tr>
      <w:tr w:rsidR="000920C9" w:rsidRPr="00B710A9" w14:paraId="570207CF" w14:textId="77777777" w:rsidTr="00DC577C">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56C85D1A"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BOYACÁ</w:t>
            </w:r>
          </w:p>
        </w:tc>
        <w:tc>
          <w:tcPr>
            <w:tcW w:w="1200" w:type="dxa"/>
            <w:noWrap/>
            <w:hideMark/>
          </w:tcPr>
          <w:p w14:paraId="5FA89818"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1.228</w:t>
            </w:r>
          </w:p>
        </w:tc>
        <w:tc>
          <w:tcPr>
            <w:tcW w:w="1200" w:type="dxa"/>
            <w:noWrap/>
            <w:hideMark/>
          </w:tcPr>
          <w:p w14:paraId="61DFAEE7"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1.740</w:t>
            </w:r>
          </w:p>
        </w:tc>
        <w:tc>
          <w:tcPr>
            <w:tcW w:w="1200" w:type="dxa"/>
            <w:noWrap/>
            <w:hideMark/>
          </w:tcPr>
          <w:p w14:paraId="5D45BA1E"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2.968</w:t>
            </w:r>
          </w:p>
        </w:tc>
      </w:tr>
      <w:tr w:rsidR="000920C9" w:rsidRPr="00B710A9" w14:paraId="16F879AE" w14:textId="77777777" w:rsidTr="00DC577C">
        <w:trPr>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03F27428"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CALDAS</w:t>
            </w:r>
          </w:p>
        </w:tc>
        <w:tc>
          <w:tcPr>
            <w:tcW w:w="1200" w:type="dxa"/>
            <w:noWrap/>
            <w:hideMark/>
          </w:tcPr>
          <w:p w14:paraId="075EE1D9"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420</w:t>
            </w:r>
          </w:p>
        </w:tc>
        <w:tc>
          <w:tcPr>
            <w:tcW w:w="1200" w:type="dxa"/>
            <w:noWrap/>
            <w:hideMark/>
          </w:tcPr>
          <w:p w14:paraId="5E0B07F7"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821</w:t>
            </w:r>
          </w:p>
        </w:tc>
        <w:tc>
          <w:tcPr>
            <w:tcW w:w="1200" w:type="dxa"/>
            <w:noWrap/>
            <w:hideMark/>
          </w:tcPr>
          <w:p w14:paraId="683D692B"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1.241</w:t>
            </w:r>
          </w:p>
        </w:tc>
      </w:tr>
      <w:tr w:rsidR="000920C9" w:rsidRPr="00B710A9" w14:paraId="434BBF9C" w14:textId="77777777" w:rsidTr="00DC577C">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5560C0A2"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CAQUETÁ</w:t>
            </w:r>
          </w:p>
        </w:tc>
        <w:tc>
          <w:tcPr>
            <w:tcW w:w="1200" w:type="dxa"/>
            <w:noWrap/>
            <w:hideMark/>
          </w:tcPr>
          <w:p w14:paraId="7BCAD812"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322</w:t>
            </w:r>
          </w:p>
        </w:tc>
        <w:tc>
          <w:tcPr>
            <w:tcW w:w="1200" w:type="dxa"/>
            <w:noWrap/>
            <w:hideMark/>
          </w:tcPr>
          <w:p w14:paraId="2FD026D9"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772</w:t>
            </w:r>
          </w:p>
        </w:tc>
        <w:tc>
          <w:tcPr>
            <w:tcW w:w="1200" w:type="dxa"/>
            <w:noWrap/>
            <w:hideMark/>
          </w:tcPr>
          <w:p w14:paraId="5F6F137E"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1.094</w:t>
            </w:r>
          </w:p>
        </w:tc>
      </w:tr>
      <w:tr w:rsidR="000920C9" w:rsidRPr="00B710A9" w14:paraId="0C19F126" w14:textId="77777777" w:rsidTr="00DC577C">
        <w:trPr>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4C02A0A8"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CASANARE</w:t>
            </w:r>
          </w:p>
        </w:tc>
        <w:tc>
          <w:tcPr>
            <w:tcW w:w="1200" w:type="dxa"/>
            <w:noWrap/>
            <w:hideMark/>
          </w:tcPr>
          <w:p w14:paraId="1BDA36D5"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1.294</w:t>
            </w:r>
          </w:p>
        </w:tc>
        <w:tc>
          <w:tcPr>
            <w:tcW w:w="1200" w:type="dxa"/>
            <w:noWrap/>
            <w:hideMark/>
          </w:tcPr>
          <w:p w14:paraId="1D764F24"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841</w:t>
            </w:r>
          </w:p>
        </w:tc>
        <w:tc>
          <w:tcPr>
            <w:tcW w:w="1200" w:type="dxa"/>
            <w:noWrap/>
            <w:hideMark/>
          </w:tcPr>
          <w:p w14:paraId="5EC6CFAC"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2.135</w:t>
            </w:r>
          </w:p>
        </w:tc>
      </w:tr>
      <w:tr w:rsidR="000920C9" w:rsidRPr="00B710A9" w14:paraId="4CDB91AF" w14:textId="77777777" w:rsidTr="00DC577C">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5A44F55A"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CAUCA</w:t>
            </w:r>
          </w:p>
        </w:tc>
        <w:tc>
          <w:tcPr>
            <w:tcW w:w="1200" w:type="dxa"/>
            <w:noWrap/>
            <w:hideMark/>
          </w:tcPr>
          <w:p w14:paraId="22856087"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598</w:t>
            </w:r>
          </w:p>
        </w:tc>
        <w:tc>
          <w:tcPr>
            <w:tcW w:w="1200" w:type="dxa"/>
            <w:noWrap/>
            <w:hideMark/>
          </w:tcPr>
          <w:p w14:paraId="71D4E4EB"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622</w:t>
            </w:r>
          </w:p>
        </w:tc>
        <w:tc>
          <w:tcPr>
            <w:tcW w:w="1200" w:type="dxa"/>
            <w:noWrap/>
            <w:hideMark/>
          </w:tcPr>
          <w:p w14:paraId="0F5F0F53"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1.220</w:t>
            </w:r>
          </w:p>
        </w:tc>
      </w:tr>
      <w:tr w:rsidR="000920C9" w:rsidRPr="00B710A9" w14:paraId="5F55643B" w14:textId="77777777" w:rsidTr="00DC577C">
        <w:trPr>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1E70B8B3"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CESAR</w:t>
            </w:r>
          </w:p>
        </w:tc>
        <w:tc>
          <w:tcPr>
            <w:tcW w:w="1200" w:type="dxa"/>
            <w:noWrap/>
            <w:hideMark/>
          </w:tcPr>
          <w:p w14:paraId="656A6180"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233</w:t>
            </w:r>
          </w:p>
        </w:tc>
        <w:tc>
          <w:tcPr>
            <w:tcW w:w="1200" w:type="dxa"/>
            <w:noWrap/>
            <w:hideMark/>
          </w:tcPr>
          <w:p w14:paraId="3D2B475D"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479</w:t>
            </w:r>
          </w:p>
        </w:tc>
        <w:tc>
          <w:tcPr>
            <w:tcW w:w="1200" w:type="dxa"/>
            <w:noWrap/>
            <w:hideMark/>
          </w:tcPr>
          <w:p w14:paraId="405D88C9"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712</w:t>
            </w:r>
          </w:p>
        </w:tc>
      </w:tr>
      <w:tr w:rsidR="000920C9" w:rsidRPr="00B710A9" w14:paraId="3E09F377" w14:textId="77777777" w:rsidTr="00DC577C">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69F303C6"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CÓRDOBA</w:t>
            </w:r>
          </w:p>
        </w:tc>
        <w:tc>
          <w:tcPr>
            <w:tcW w:w="1200" w:type="dxa"/>
            <w:noWrap/>
            <w:hideMark/>
          </w:tcPr>
          <w:p w14:paraId="2AE4A2B1"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1.126</w:t>
            </w:r>
          </w:p>
        </w:tc>
        <w:tc>
          <w:tcPr>
            <w:tcW w:w="1200" w:type="dxa"/>
            <w:noWrap/>
            <w:hideMark/>
          </w:tcPr>
          <w:p w14:paraId="20421906"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1.075</w:t>
            </w:r>
          </w:p>
        </w:tc>
        <w:tc>
          <w:tcPr>
            <w:tcW w:w="1200" w:type="dxa"/>
            <w:noWrap/>
            <w:hideMark/>
          </w:tcPr>
          <w:p w14:paraId="22C6C1EA"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2.201</w:t>
            </w:r>
          </w:p>
        </w:tc>
      </w:tr>
      <w:tr w:rsidR="000920C9" w:rsidRPr="00B710A9" w14:paraId="2C3F7E59" w14:textId="77777777" w:rsidTr="00DC577C">
        <w:trPr>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1ECE04AF"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CUNDINAMARCA</w:t>
            </w:r>
          </w:p>
        </w:tc>
        <w:tc>
          <w:tcPr>
            <w:tcW w:w="1200" w:type="dxa"/>
            <w:noWrap/>
            <w:hideMark/>
          </w:tcPr>
          <w:p w14:paraId="609668FE"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979</w:t>
            </w:r>
          </w:p>
        </w:tc>
        <w:tc>
          <w:tcPr>
            <w:tcW w:w="1200" w:type="dxa"/>
            <w:noWrap/>
            <w:hideMark/>
          </w:tcPr>
          <w:p w14:paraId="0546B3B1"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312</w:t>
            </w:r>
          </w:p>
        </w:tc>
        <w:tc>
          <w:tcPr>
            <w:tcW w:w="1200" w:type="dxa"/>
            <w:noWrap/>
            <w:hideMark/>
          </w:tcPr>
          <w:p w14:paraId="0468317F"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1.291</w:t>
            </w:r>
          </w:p>
        </w:tc>
      </w:tr>
      <w:tr w:rsidR="000920C9" w:rsidRPr="00B710A9" w14:paraId="757FCC0A" w14:textId="77777777" w:rsidTr="00DC577C">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1ADEF26D"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HUILA</w:t>
            </w:r>
          </w:p>
        </w:tc>
        <w:tc>
          <w:tcPr>
            <w:tcW w:w="1200" w:type="dxa"/>
            <w:noWrap/>
            <w:hideMark/>
          </w:tcPr>
          <w:p w14:paraId="76070E1F"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141</w:t>
            </w:r>
          </w:p>
        </w:tc>
        <w:tc>
          <w:tcPr>
            <w:tcW w:w="1200" w:type="dxa"/>
            <w:noWrap/>
            <w:hideMark/>
          </w:tcPr>
          <w:p w14:paraId="07B5A2E4"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855</w:t>
            </w:r>
          </w:p>
        </w:tc>
        <w:tc>
          <w:tcPr>
            <w:tcW w:w="1200" w:type="dxa"/>
            <w:noWrap/>
            <w:hideMark/>
          </w:tcPr>
          <w:p w14:paraId="5E36C065"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996</w:t>
            </w:r>
          </w:p>
        </w:tc>
      </w:tr>
      <w:tr w:rsidR="000920C9" w:rsidRPr="00B710A9" w14:paraId="2D7DC8C0" w14:textId="77777777" w:rsidTr="00DC577C">
        <w:trPr>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42C3844F"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LA GUAJIRA</w:t>
            </w:r>
          </w:p>
        </w:tc>
        <w:tc>
          <w:tcPr>
            <w:tcW w:w="1200" w:type="dxa"/>
            <w:noWrap/>
            <w:hideMark/>
          </w:tcPr>
          <w:p w14:paraId="61B79B18"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210</w:t>
            </w:r>
          </w:p>
        </w:tc>
        <w:tc>
          <w:tcPr>
            <w:tcW w:w="1200" w:type="dxa"/>
            <w:noWrap/>
            <w:hideMark/>
          </w:tcPr>
          <w:p w14:paraId="5BC5E419"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846</w:t>
            </w:r>
          </w:p>
        </w:tc>
        <w:tc>
          <w:tcPr>
            <w:tcW w:w="1200" w:type="dxa"/>
            <w:noWrap/>
            <w:hideMark/>
          </w:tcPr>
          <w:p w14:paraId="51CC8100"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1.056</w:t>
            </w:r>
          </w:p>
        </w:tc>
      </w:tr>
      <w:tr w:rsidR="000920C9" w:rsidRPr="00B710A9" w14:paraId="41A1748F" w14:textId="77777777" w:rsidTr="00DC577C">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4D8B28DE"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MAGDALENA</w:t>
            </w:r>
          </w:p>
        </w:tc>
        <w:tc>
          <w:tcPr>
            <w:tcW w:w="1200" w:type="dxa"/>
            <w:noWrap/>
            <w:hideMark/>
          </w:tcPr>
          <w:p w14:paraId="6EABB28C"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23</w:t>
            </w:r>
          </w:p>
        </w:tc>
        <w:tc>
          <w:tcPr>
            <w:tcW w:w="1200" w:type="dxa"/>
            <w:noWrap/>
            <w:hideMark/>
          </w:tcPr>
          <w:p w14:paraId="4BEDA643"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264</w:t>
            </w:r>
          </w:p>
        </w:tc>
        <w:tc>
          <w:tcPr>
            <w:tcW w:w="1200" w:type="dxa"/>
            <w:noWrap/>
            <w:hideMark/>
          </w:tcPr>
          <w:p w14:paraId="7710267D"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287</w:t>
            </w:r>
          </w:p>
        </w:tc>
      </w:tr>
      <w:tr w:rsidR="000920C9" w:rsidRPr="00B710A9" w14:paraId="3BAFE562" w14:textId="77777777" w:rsidTr="00DC577C">
        <w:trPr>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6A016232"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META</w:t>
            </w:r>
          </w:p>
        </w:tc>
        <w:tc>
          <w:tcPr>
            <w:tcW w:w="1200" w:type="dxa"/>
            <w:noWrap/>
            <w:hideMark/>
          </w:tcPr>
          <w:p w14:paraId="5221069C"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1.357</w:t>
            </w:r>
          </w:p>
        </w:tc>
        <w:tc>
          <w:tcPr>
            <w:tcW w:w="1200" w:type="dxa"/>
            <w:noWrap/>
            <w:hideMark/>
          </w:tcPr>
          <w:p w14:paraId="58075E78"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1.393</w:t>
            </w:r>
          </w:p>
        </w:tc>
        <w:tc>
          <w:tcPr>
            <w:tcW w:w="1200" w:type="dxa"/>
            <w:noWrap/>
            <w:hideMark/>
          </w:tcPr>
          <w:p w14:paraId="2DC00C98"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2.750</w:t>
            </w:r>
          </w:p>
        </w:tc>
      </w:tr>
      <w:tr w:rsidR="000920C9" w:rsidRPr="00B710A9" w14:paraId="4E17A975" w14:textId="77777777" w:rsidTr="00DC577C">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65FFA2FC"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QUINDÍO</w:t>
            </w:r>
          </w:p>
        </w:tc>
        <w:tc>
          <w:tcPr>
            <w:tcW w:w="1200" w:type="dxa"/>
            <w:noWrap/>
            <w:hideMark/>
          </w:tcPr>
          <w:p w14:paraId="1B1C9B34"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189</w:t>
            </w:r>
          </w:p>
        </w:tc>
        <w:tc>
          <w:tcPr>
            <w:tcW w:w="1200" w:type="dxa"/>
            <w:noWrap/>
            <w:hideMark/>
          </w:tcPr>
          <w:p w14:paraId="337AE4D2"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273</w:t>
            </w:r>
          </w:p>
        </w:tc>
        <w:tc>
          <w:tcPr>
            <w:tcW w:w="1200" w:type="dxa"/>
            <w:noWrap/>
            <w:hideMark/>
          </w:tcPr>
          <w:p w14:paraId="0CA91858"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462</w:t>
            </w:r>
          </w:p>
        </w:tc>
      </w:tr>
      <w:tr w:rsidR="000920C9" w:rsidRPr="00B710A9" w14:paraId="7B8D750B" w14:textId="77777777" w:rsidTr="00DC577C">
        <w:trPr>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7CCCBDE6"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RISARALDA</w:t>
            </w:r>
          </w:p>
        </w:tc>
        <w:tc>
          <w:tcPr>
            <w:tcW w:w="1200" w:type="dxa"/>
            <w:noWrap/>
            <w:hideMark/>
          </w:tcPr>
          <w:p w14:paraId="559E1CEF"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2.213</w:t>
            </w:r>
          </w:p>
        </w:tc>
        <w:tc>
          <w:tcPr>
            <w:tcW w:w="1200" w:type="dxa"/>
            <w:noWrap/>
            <w:hideMark/>
          </w:tcPr>
          <w:p w14:paraId="2DC8EABF"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240</w:t>
            </w:r>
          </w:p>
        </w:tc>
        <w:tc>
          <w:tcPr>
            <w:tcW w:w="1200" w:type="dxa"/>
            <w:noWrap/>
            <w:hideMark/>
          </w:tcPr>
          <w:p w14:paraId="0FE266C6"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2.453</w:t>
            </w:r>
          </w:p>
        </w:tc>
      </w:tr>
      <w:tr w:rsidR="000920C9" w:rsidRPr="00B710A9" w14:paraId="2757B0A3" w14:textId="77777777" w:rsidTr="00DC577C">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7CD03342"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SANTANDER</w:t>
            </w:r>
          </w:p>
        </w:tc>
        <w:tc>
          <w:tcPr>
            <w:tcW w:w="1200" w:type="dxa"/>
            <w:noWrap/>
            <w:hideMark/>
          </w:tcPr>
          <w:p w14:paraId="5A4B6C60"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152</w:t>
            </w:r>
          </w:p>
        </w:tc>
        <w:tc>
          <w:tcPr>
            <w:tcW w:w="1200" w:type="dxa"/>
            <w:noWrap/>
            <w:hideMark/>
          </w:tcPr>
          <w:p w14:paraId="1A899364"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165</w:t>
            </w:r>
          </w:p>
        </w:tc>
        <w:tc>
          <w:tcPr>
            <w:tcW w:w="1200" w:type="dxa"/>
            <w:noWrap/>
            <w:hideMark/>
          </w:tcPr>
          <w:p w14:paraId="2AE8281D"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317</w:t>
            </w:r>
          </w:p>
        </w:tc>
      </w:tr>
      <w:tr w:rsidR="000920C9" w:rsidRPr="00B710A9" w14:paraId="7FC9C5C8" w14:textId="77777777" w:rsidTr="00DC577C">
        <w:trPr>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6A20175B"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SUCRE</w:t>
            </w:r>
          </w:p>
        </w:tc>
        <w:tc>
          <w:tcPr>
            <w:tcW w:w="1200" w:type="dxa"/>
            <w:noWrap/>
            <w:hideMark/>
          </w:tcPr>
          <w:p w14:paraId="6C2CFC76"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276</w:t>
            </w:r>
          </w:p>
        </w:tc>
        <w:tc>
          <w:tcPr>
            <w:tcW w:w="1200" w:type="dxa"/>
            <w:noWrap/>
            <w:hideMark/>
          </w:tcPr>
          <w:p w14:paraId="14DE251E"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382</w:t>
            </w:r>
          </w:p>
        </w:tc>
        <w:tc>
          <w:tcPr>
            <w:tcW w:w="1200" w:type="dxa"/>
            <w:noWrap/>
            <w:hideMark/>
          </w:tcPr>
          <w:p w14:paraId="2942B941"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658</w:t>
            </w:r>
          </w:p>
        </w:tc>
      </w:tr>
      <w:tr w:rsidR="000920C9" w:rsidRPr="00B710A9" w14:paraId="0E30E3D2" w14:textId="77777777" w:rsidTr="00DC577C">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7AB57B52"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TOLIMA</w:t>
            </w:r>
          </w:p>
        </w:tc>
        <w:tc>
          <w:tcPr>
            <w:tcW w:w="1200" w:type="dxa"/>
            <w:noWrap/>
            <w:hideMark/>
          </w:tcPr>
          <w:p w14:paraId="1F48E7C3"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1.799</w:t>
            </w:r>
          </w:p>
        </w:tc>
        <w:tc>
          <w:tcPr>
            <w:tcW w:w="1200" w:type="dxa"/>
            <w:noWrap/>
            <w:hideMark/>
          </w:tcPr>
          <w:p w14:paraId="4AEFD7C4"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432</w:t>
            </w:r>
          </w:p>
        </w:tc>
        <w:tc>
          <w:tcPr>
            <w:tcW w:w="1200" w:type="dxa"/>
            <w:noWrap/>
            <w:hideMark/>
          </w:tcPr>
          <w:p w14:paraId="6E354F52"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2.231</w:t>
            </w:r>
          </w:p>
        </w:tc>
      </w:tr>
      <w:tr w:rsidR="000920C9" w:rsidRPr="00B710A9" w14:paraId="6D8DBAF5" w14:textId="77777777" w:rsidTr="00DC577C">
        <w:trPr>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04A0997A" w14:textId="77777777" w:rsidR="000920C9" w:rsidRPr="00B710A9" w:rsidRDefault="000920C9" w:rsidP="00F90DF3">
            <w:pPr>
              <w:rPr>
                <w:rFonts w:ascii="Arial" w:hAnsi="Arial" w:cs="Arial"/>
                <w:color w:val="000000"/>
                <w:sz w:val="16"/>
                <w:szCs w:val="16"/>
              </w:rPr>
            </w:pPr>
            <w:r w:rsidRPr="00B710A9">
              <w:rPr>
                <w:rFonts w:ascii="Arial" w:hAnsi="Arial" w:cs="Arial"/>
                <w:color w:val="000000"/>
                <w:sz w:val="16"/>
                <w:szCs w:val="16"/>
              </w:rPr>
              <w:t>VALLE</w:t>
            </w:r>
          </w:p>
        </w:tc>
        <w:tc>
          <w:tcPr>
            <w:tcW w:w="1200" w:type="dxa"/>
            <w:noWrap/>
            <w:hideMark/>
          </w:tcPr>
          <w:p w14:paraId="202C9AEA"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223</w:t>
            </w:r>
          </w:p>
        </w:tc>
        <w:tc>
          <w:tcPr>
            <w:tcW w:w="1200" w:type="dxa"/>
            <w:noWrap/>
            <w:hideMark/>
          </w:tcPr>
          <w:p w14:paraId="6A3FC252"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379</w:t>
            </w:r>
          </w:p>
        </w:tc>
        <w:tc>
          <w:tcPr>
            <w:tcW w:w="1200" w:type="dxa"/>
            <w:noWrap/>
            <w:hideMark/>
          </w:tcPr>
          <w:p w14:paraId="2B0EB049" w14:textId="77777777" w:rsidR="000920C9" w:rsidRPr="00B710A9" w:rsidRDefault="000920C9" w:rsidP="00F90D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602</w:t>
            </w:r>
          </w:p>
        </w:tc>
      </w:tr>
      <w:tr w:rsidR="000920C9" w:rsidRPr="00B710A9" w14:paraId="1D062DBA" w14:textId="77777777" w:rsidTr="00DC577C">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714A2C0E" w14:textId="77777777" w:rsidR="000920C9" w:rsidRPr="00B710A9" w:rsidRDefault="000920C9" w:rsidP="00F90DF3">
            <w:pPr>
              <w:rPr>
                <w:rFonts w:ascii="Arial" w:hAnsi="Arial" w:cs="Arial"/>
                <w:b w:val="0"/>
                <w:bCs w:val="0"/>
                <w:color w:val="000000"/>
                <w:sz w:val="16"/>
                <w:szCs w:val="16"/>
              </w:rPr>
            </w:pPr>
            <w:proofErr w:type="gramStart"/>
            <w:r w:rsidRPr="00B710A9">
              <w:rPr>
                <w:rFonts w:ascii="Arial" w:hAnsi="Arial" w:cs="Arial"/>
                <w:color w:val="000000"/>
                <w:sz w:val="16"/>
                <w:szCs w:val="16"/>
              </w:rPr>
              <w:t>Total</w:t>
            </w:r>
            <w:proofErr w:type="gramEnd"/>
            <w:r w:rsidRPr="00B710A9">
              <w:rPr>
                <w:rFonts w:ascii="Arial" w:hAnsi="Arial" w:cs="Arial"/>
                <w:color w:val="000000"/>
                <w:sz w:val="16"/>
                <w:szCs w:val="16"/>
              </w:rPr>
              <w:t xml:space="preserve"> general</w:t>
            </w:r>
          </w:p>
        </w:tc>
        <w:tc>
          <w:tcPr>
            <w:tcW w:w="1200" w:type="dxa"/>
            <w:noWrap/>
            <w:hideMark/>
          </w:tcPr>
          <w:p w14:paraId="45891A62"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13.788</w:t>
            </w:r>
          </w:p>
        </w:tc>
        <w:tc>
          <w:tcPr>
            <w:tcW w:w="1200" w:type="dxa"/>
            <w:noWrap/>
            <w:hideMark/>
          </w:tcPr>
          <w:p w14:paraId="37C600D6"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13.540</w:t>
            </w:r>
          </w:p>
        </w:tc>
        <w:tc>
          <w:tcPr>
            <w:tcW w:w="1200" w:type="dxa"/>
            <w:noWrap/>
            <w:hideMark/>
          </w:tcPr>
          <w:p w14:paraId="421AE669" w14:textId="77777777" w:rsidR="000920C9" w:rsidRPr="00B710A9" w:rsidRDefault="000920C9" w:rsidP="00F90DF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B710A9">
              <w:rPr>
                <w:rFonts w:ascii="Arial" w:hAnsi="Arial" w:cs="Arial"/>
                <w:b/>
                <w:bCs/>
                <w:color w:val="000000"/>
                <w:sz w:val="16"/>
                <w:szCs w:val="16"/>
              </w:rPr>
              <w:t>27.328</w:t>
            </w:r>
          </w:p>
        </w:tc>
      </w:tr>
    </w:tbl>
    <w:p w14:paraId="1114FB69" w14:textId="262C1008" w:rsidR="000920C9" w:rsidRPr="00B710A9" w:rsidRDefault="000920C9" w:rsidP="000920C9">
      <w:pPr>
        <w:jc w:val="center"/>
        <w:rPr>
          <w:rFonts w:ascii="Arial" w:hAnsi="Arial" w:cs="Arial"/>
          <w:b/>
          <w:bCs/>
          <w:color w:val="000000" w:themeColor="text1"/>
          <w:sz w:val="16"/>
          <w:szCs w:val="16"/>
        </w:rPr>
      </w:pPr>
      <w:r w:rsidRPr="00B710A9">
        <w:rPr>
          <w:rFonts w:ascii="Arial" w:hAnsi="Arial" w:cs="Arial"/>
          <w:b/>
          <w:bCs/>
          <w:color w:val="000000" w:themeColor="text1"/>
          <w:sz w:val="16"/>
          <w:szCs w:val="16"/>
        </w:rPr>
        <w:t>Fuente: Dirección de Gestión Catastral</w:t>
      </w:r>
    </w:p>
    <w:p w14:paraId="6CFD9F84" w14:textId="262C1008" w:rsidR="000920C9" w:rsidRPr="00B710A9" w:rsidRDefault="000920C9" w:rsidP="000920C9">
      <w:pPr>
        <w:jc w:val="both"/>
        <w:rPr>
          <w:rFonts w:cs="Arial"/>
          <w:sz w:val="22"/>
          <w:szCs w:val="22"/>
        </w:rPr>
      </w:pPr>
    </w:p>
    <w:p w14:paraId="73B40EE1" w14:textId="262C1008" w:rsidR="000920C9" w:rsidRPr="00B710A9" w:rsidRDefault="000920C9" w:rsidP="000920C9">
      <w:pPr>
        <w:jc w:val="both"/>
        <w:rPr>
          <w:rFonts w:ascii="Arial" w:hAnsi="Arial" w:cs="Arial"/>
          <w:sz w:val="22"/>
          <w:szCs w:val="22"/>
        </w:rPr>
      </w:pPr>
      <w:r w:rsidRPr="00B710A9">
        <w:rPr>
          <w:rFonts w:ascii="Arial" w:hAnsi="Arial" w:cs="Arial"/>
          <w:sz w:val="22"/>
          <w:szCs w:val="22"/>
        </w:rPr>
        <w:t xml:space="preserve">Complementario a las cifras obtenidas en la implementación de los procesos de formación, actualización y conservación relacionadas anteriormente, a continuación, se citan otros resultados relevantes. </w:t>
      </w:r>
    </w:p>
    <w:p w14:paraId="1F1A5590" w14:textId="262C1008" w:rsidR="000920C9" w:rsidRPr="00B710A9" w:rsidRDefault="000920C9" w:rsidP="00356A3E">
      <w:pPr>
        <w:pStyle w:val="Prrafodelista"/>
        <w:numPr>
          <w:ilvl w:val="0"/>
          <w:numId w:val="99"/>
        </w:numPr>
        <w:tabs>
          <w:tab w:val="left" w:pos="1134"/>
        </w:tabs>
        <w:suppressAutoHyphens/>
        <w:overflowPunct w:val="0"/>
        <w:autoSpaceDE w:val="0"/>
        <w:spacing w:after="0" w:line="240" w:lineRule="auto"/>
        <w:jc w:val="both"/>
        <w:rPr>
          <w:rFonts w:ascii="Arial" w:hAnsi="Arial" w:cs="Arial"/>
          <w:sz w:val="22"/>
          <w:szCs w:val="22"/>
        </w:rPr>
      </w:pPr>
      <w:r w:rsidRPr="00B710A9">
        <w:rPr>
          <w:rFonts w:ascii="Arial" w:hAnsi="Arial" w:cs="Arial"/>
          <w:sz w:val="22"/>
          <w:szCs w:val="22"/>
        </w:rPr>
        <w:t xml:space="preserve">Mayor aprovechamiento del uso de información tal como la cartografía social, registros de propietarios, ocupantes, información registral, levantamientos topográficos, inventario de procesos de formalización de predios, entre otros, entregados por Parques Nacionales, Agencia Nacional de Tierras -ANT, Unidad de Restitución de Tierras -ART, Superintendencia Nacional de Registro -SNR, DANE, entre otras entidades, información clave para el diseño de planes de trabajo, determinación de zonas de intervención, definición de métodos de recolección de información, minimizando el reconocimiento directo (visita a dichos predios) y optimizando así,  tiempos y recursos. </w:t>
      </w:r>
    </w:p>
    <w:p w14:paraId="5051463C" w14:textId="262C1008" w:rsidR="000920C9" w:rsidRPr="00B710A9" w:rsidRDefault="000920C9" w:rsidP="00356A3E">
      <w:pPr>
        <w:pStyle w:val="Prrafodelista"/>
        <w:numPr>
          <w:ilvl w:val="0"/>
          <w:numId w:val="99"/>
        </w:numPr>
        <w:tabs>
          <w:tab w:val="left" w:pos="1134"/>
        </w:tabs>
        <w:suppressAutoHyphens/>
        <w:overflowPunct w:val="0"/>
        <w:autoSpaceDE w:val="0"/>
        <w:spacing w:after="0" w:line="240" w:lineRule="auto"/>
        <w:jc w:val="both"/>
        <w:rPr>
          <w:rFonts w:ascii="Arial" w:hAnsi="Arial" w:cs="Arial"/>
          <w:sz w:val="22"/>
          <w:szCs w:val="22"/>
        </w:rPr>
      </w:pPr>
      <w:r w:rsidRPr="00B710A9">
        <w:rPr>
          <w:rFonts w:ascii="Arial" w:hAnsi="Arial" w:cs="Arial"/>
          <w:sz w:val="22"/>
          <w:szCs w:val="22"/>
        </w:rPr>
        <w:t xml:space="preserve">Aplicación de métodos indirectos para el levantamiento de la información catastral en zonas de interés ambiental tales como el parque del </w:t>
      </w:r>
      <w:proofErr w:type="spellStart"/>
      <w:r w:rsidRPr="00B710A9">
        <w:rPr>
          <w:rFonts w:ascii="Arial" w:hAnsi="Arial" w:cs="Arial"/>
          <w:sz w:val="22"/>
          <w:szCs w:val="22"/>
        </w:rPr>
        <w:t>Tuparro</w:t>
      </w:r>
      <w:proofErr w:type="spellEnd"/>
      <w:r w:rsidRPr="00B710A9">
        <w:rPr>
          <w:rFonts w:ascii="Arial" w:hAnsi="Arial" w:cs="Arial"/>
          <w:sz w:val="22"/>
          <w:szCs w:val="22"/>
        </w:rPr>
        <w:t xml:space="preserve"> y </w:t>
      </w:r>
      <w:proofErr w:type="spellStart"/>
      <w:r w:rsidRPr="00B710A9">
        <w:rPr>
          <w:rFonts w:ascii="Arial" w:hAnsi="Arial" w:cs="Arial"/>
          <w:sz w:val="22"/>
          <w:szCs w:val="22"/>
        </w:rPr>
        <w:t>Cinaruco</w:t>
      </w:r>
      <w:proofErr w:type="spellEnd"/>
      <w:r w:rsidRPr="00B710A9">
        <w:rPr>
          <w:rFonts w:ascii="Arial" w:hAnsi="Arial" w:cs="Arial"/>
          <w:sz w:val="22"/>
          <w:szCs w:val="22"/>
        </w:rPr>
        <w:t>, entre los cuales se encuentran los colaborativos y declarativos, mediante la realización de talleres con la comunidad. En dichos espacios se precisaron los linderos e identificaron construcciones con su tipificación y se aportaron documentos soporte para la inscripción de predios formales e informales, reduciendo los tiempos y evitando en gran parte, la labor de campo.</w:t>
      </w:r>
    </w:p>
    <w:p w14:paraId="59004C3A" w14:textId="262C1008" w:rsidR="000920C9" w:rsidRPr="00B710A9" w:rsidRDefault="000920C9" w:rsidP="00356A3E">
      <w:pPr>
        <w:pStyle w:val="Prrafodelista"/>
        <w:numPr>
          <w:ilvl w:val="0"/>
          <w:numId w:val="99"/>
        </w:numPr>
        <w:tabs>
          <w:tab w:val="left" w:pos="1134"/>
        </w:tabs>
        <w:suppressAutoHyphens/>
        <w:overflowPunct w:val="0"/>
        <w:autoSpaceDE w:val="0"/>
        <w:spacing w:after="0" w:line="240" w:lineRule="auto"/>
        <w:jc w:val="both"/>
        <w:rPr>
          <w:rFonts w:ascii="Arial" w:hAnsi="Arial" w:cs="Arial"/>
          <w:sz w:val="22"/>
          <w:szCs w:val="22"/>
        </w:rPr>
      </w:pPr>
      <w:r w:rsidRPr="00B710A9">
        <w:rPr>
          <w:rFonts w:ascii="Arial" w:hAnsi="Arial" w:cs="Arial"/>
          <w:sz w:val="22"/>
          <w:szCs w:val="22"/>
        </w:rPr>
        <w:lastRenderedPageBreak/>
        <w:t xml:space="preserve">Implementación de calificación de las construcciones por tipologías constructivas, lo cual permite la estandarización de la calificación de construcciones a nivel nacional de acuerdo con las condiciones constructivas y la posibilidad de hacer un reconocimiento predial </w:t>
      </w:r>
      <w:proofErr w:type="spellStart"/>
      <w:r w:rsidRPr="00B710A9">
        <w:rPr>
          <w:rFonts w:ascii="Arial" w:hAnsi="Arial" w:cs="Arial"/>
          <w:sz w:val="22"/>
          <w:szCs w:val="22"/>
        </w:rPr>
        <w:t>bioseguro</w:t>
      </w:r>
      <w:proofErr w:type="spellEnd"/>
      <w:r w:rsidRPr="00B710A9">
        <w:rPr>
          <w:rFonts w:ascii="Arial" w:hAnsi="Arial" w:cs="Arial"/>
          <w:sz w:val="22"/>
          <w:szCs w:val="22"/>
        </w:rPr>
        <w:t xml:space="preserve"> para reconocedor y propietario, pues no requiere el acceso al inmueble para su calificación. </w:t>
      </w:r>
    </w:p>
    <w:p w14:paraId="7B794481" w14:textId="262C1008" w:rsidR="000920C9" w:rsidRPr="00B710A9" w:rsidRDefault="000920C9" w:rsidP="00356A3E">
      <w:pPr>
        <w:pStyle w:val="Prrafodelista"/>
        <w:numPr>
          <w:ilvl w:val="0"/>
          <w:numId w:val="99"/>
        </w:numPr>
        <w:tabs>
          <w:tab w:val="left" w:pos="1134"/>
        </w:tabs>
        <w:suppressAutoHyphens/>
        <w:overflowPunct w:val="0"/>
        <w:autoSpaceDE w:val="0"/>
        <w:spacing w:after="0" w:line="240" w:lineRule="auto"/>
        <w:jc w:val="both"/>
        <w:rPr>
          <w:rFonts w:ascii="Arial" w:hAnsi="Arial" w:cs="Arial"/>
          <w:sz w:val="22"/>
          <w:szCs w:val="22"/>
        </w:rPr>
      </w:pPr>
      <w:r w:rsidRPr="00B710A9">
        <w:rPr>
          <w:rFonts w:ascii="Arial" w:hAnsi="Arial" w:cs="Arial"/>
          <w:sz w:val="22"/>
          <w:szCs w:val="22"/>
        </w:rPr>
        <w:t>Modelamientos econométricos para la valoración predial, estandarizando los criterios de valoración en un periodo de tiempo inferior al requerido para la valoración mediante el método tradicional de zonas homogéneas.</w:t>
      </w:r>
    </w:p>
    <w:p w14:paraId="7645F73B" w14:textId="262C1008" w:rsidR="000920C9" w:rsidRPr="00B710A9" w:rsidRDefault="000920C9" w:rsidP="00356A3E">
      <w:pPr>
        <w:pStyle w:val="Prrafodelista"/>
        <w:numPr>
          <w:ilvl w:val="0"/>
          <w:numId w:val="99"/>
        </w:numPr>
        <w:tabs>
          <w:tab w:val="left" w:pos="1134"/>
        </w:tabs>
        <w:suppressAutoHyphens/>
        <w:overflowPunct w:val="0"/>
        <w:autoSpaceDE w:val="0"/>
        <w:spacing w:after="0" w:line="240" w:lineRule="auto"/>
        <w:jc w:val="both"/>
        <w:rPr>
          <w:rFonts w:ascii="Arial" w:hAnsi="Arial" w:cs="Arial"/>
          <w:sz w:val="22"/>
          <w:szCs w:val="22"/>
        </w:rPr>
      </w:pPr>
      <w:r w:rsidRPr="00B710A9">
        <w:rPr>
          <w:rFonts w:ascii="Arial" w:hAnsi="Arial" w:cs="Arial"/>
          <w:sz w:val="22"/>
          <w:szCs w:val="22"/>
        </w:rPr>
        <w:t>Utilización de dispositivos GNSS para la recolección de información predial con la exactitud posicional requerida.</w:t>
      </w:r>
    </w:p>
    <w:p w14:paraId="752A81B3" w14:textId="262C1008" w:rsidR="000920C9" w:rsidRPr="00B710A9" w:rsidRDefault="000920C9" w:rsidP="00356A3E">
      <w:pPr>
        <w:pStyle w:val="Prrafodelista"/>
        <w:numPr>
          <w:ilvl w:val="0"/>
          <w:numId w:val="99"/>
        </w:numPr>
        <w:tabs>
          <w:tab w:val="left" w:pos="1134"/>
        </w:tabs>
        <w:suppressAutoHyphens/>
        <w:overflowPunct w:val="0"/>
        <w:autoSpaceDE w:val="0"/>
        <w:spacing w:after="0" w:line="240" w:lineRule="auto"/>
        <w:jc w:val="both"/>
        <w:rPr>
          <w:rFonts w:ascii="Arial" w:hAnsi="Arial" w:cs="Arial"/>
          <w:sz w:val="22"/>
          <w:szCs w:val="22"/>
        </w:rPr>
      </w:pPr>
      <w:r w:rsidRPr="00B710A9">
        <w:rPr>
          <w:rFonts w:ascii="Arial" w:hAnsi="Arial" w:cs="Arial"/>
          <w:sz w:val="22"/>
          <w:szCs w:val="22"/>
        </w:rPr>
        <w:t>Implementación de mejoras al aplicativo de captura CICA, incorporando las variables establecidas en el modelo de levantamiento catastral versión 1.0, integración con el Sistema Nacional Catastral e inclusión de las variables étnicas para la captura de información.</w:t>
      </w:r>
    </w:p>
    <w:p w14:paraId="7ABEA630" w14:textId="262C1008" w:rsidR="000920C9" w:rsidRPr="00B710A9" w:rsidRDefault="000920C9" w:rsidP="00356A3E">
      <w:pPr>
        <w:pStyle w:val="Prrafodelista"/>
        <w:numPr>
          <w:ilvl w:val="0"/>
          <w:numId w:val="99"/>
        </w:numPr>
        <w:tabs>
          <w:tab w:val="left" w:pos="1134"/>
        </w:tabs>
        <w:suppressAutoHyphens/>
        <w:overflowPunct w:val="0"/>
        <w:autoSpaceDE w:val="0"/>
        <w:spacing w:after="0" w:line="240" w:lineRule="auto"/>
        <w:jc w:val="both"/>
        <w:rPr>
          <w:rFonts w:ascii="Arial" w:hAnsi="Arial" w:cs="Arial"/>
          <w:b/>
          <w:i/>
          <w:sz w:val="22"/>
          <w:szCs w:val="22"/>
        </w:rPr>
      </w:pPr>
      <w:r w:rsidRPr="00B710A9">
        <w:rPr>
          <w:rFonts w:ascii="Arial" w:hAnsi="Arial" w:cs="Arial"/>
          <w:sz w:val="22"/>
          <w:szCs w:val="22"/>
        </w:rPr>
        <w:t>La información recolectada en el proceso de formación y/o actualización catastral se hace por medio de dispositivos móviles de captura.</w:t>
      </w:r>
    </w:p>
    <w:p w14:paraId="7EFA6A82" w14:textId="262C1008" w:rsidR="000920C9" w:rsidRPr="00B710A9" w:rsidRDefault="000920C9" w:rsidP="00356A3E">
      <w:pPr>
        <w:pStyle w:val="Prrafodelista"/>
        <w:numPr>
          <w:ilvl w:val="0"/>
          <w:numId w:val="99"/>
        </w:numPr>
        <w:tabs>
          <w:tab w:val="left" w:pos="1134"/>
        </w:tabs>
        <w:suppressAutoHyphens/>
        <w:overflowPunct w:val="0"/>
        <w:autoSpaceDE w:val="0"/>
        <w:spacing w:after="0" w:line="240" w:lineRule="auto"/>
        <w:jc w:val="both"/>
        <w:rPr>
          <w:rFonts w:ascii="Arial" w:hAnsi="Arial" w:cs="Arial"/>
          <w:sz w:val="22"/>
          <w:szCs w:val="22"/>
        </w:rPr>
      </w:pPr>
      <w:r w:rsidRPr="00B710A9">
        <w:rPr>
          <w:rFonts w:ascii="Arial" w:hAnsi="Arial" w:cs="Arial"/>
          <w:sz w:val="22"/>
          <w:szCs w:val="22"/>
        </w:rPr>
        <w:t>Creación del sistema de transición para las solicitudes de insumos catastrales y registrales, por parte de los gestores catastrales habilitados.</w:t>
      </w:r>
    </w:p>
    <w:p w14:paraId="67D4ECCB" w14:textId="262C1008" w:rsidR="000920C9" w:rsidRPr="00B710A9" w:rsidRDefault="000920C9" w:rsidP="00356A3E">
      <w:pPr>
        <w:pStyle w:val="Prrafodelista"/>
        <w:numPr>
          <w:ilvl w:val="0"/>
          <w:numId w:val="99"/>
        </w:numPr>
        <w:tabs>
          <w:tab w:val="left" w:pos="1134"/>
        </w:tabs>
        <w:suppressAutoHyphens/>
        <w:overflowPunct w:val="0"/>
        <w:autoSpaceDE w:val="0"/>
        <w:spacing w:after="0" w:line="240" w:lineRule="auto"/>
        <w:jc w:val="both"/>
        <w:rPr>
          <w:rFonts w:ascii="Arial" w:hAnsi="Arial" w:cs="Arial"/>
          <w:sz w:val="22"/>
          <w:szCs w:val="22"/>
        </w:rPr>
      </w:pPr>
      <w:r w:rsidRPr="00B710A9">
        <w:rPr>
          <w:rFonts w:ascii="Arial" w:hAnsi="Arial" w:cs="Arial"/>
          <w:sz w:val="22"/>
          <w:szCs w:val="22"/>
        </w:rPr>
        <w:t>Creación de herramientas para la generación de insumos catastrales, según las especificaciones técnicas establecidas en el modelo de aplicación de levantamiento catastral, de conformidad con el modelo LADM, a partir de la información generada por la base de datos de los sistemas catastrales y registrales.</w:t>
      </w:r>
    </w:p>
    <w:p w14:paraId="6E8D136A" w14:textId="262C1008" w:rsidR="000920C9" w:rsidRPr="00B710A9" w:rsidRDefault="000920C9" w:rsidP="00356A3E">
      <w:pPr>
        <w:pStyle w:val="Prrafodelista"/>
        <w:numPr>
          <w:ilvl w:val="0"/>
          <w:numId w:val="99"/>
        </w:numPr>
        <w:tabs>
          <w:tab w:val="left" w:pos="1134"/>
        </w:tabs>
        <w:suppressAutoHyphens/>
        <w:overflowPunct w:val="0"/>
        <w:autoSpaceDE w:val="0"/>
        <w:spacing w:after="0" w:line="240" w:lineRule="auto"/>
        <w:jc w:val="both"/>
        <w:rPr>
          <w:rFonts w:ascii="Arial" w:hAnsi="Arial" w:cs="Arial"/>
          <w:sz w:val="22"/>
          <w:szCs w:val="22"/>
        </w:rPr>
      </w:pPr>
      <w:r w:rsidRPr="00B710A9">
        <w:rPr>
          <w:rFonts w:ascii="Arial" w:hAnsi="Arial" w:cs="Arial"/>
          <w:sz w:val="22"/>
          <w:szCs w:val="22"/>
        </w:rPr>
        <w:t>Definición del protocolo de asignación del Número Predial –NUPRE, mediante el cual se definen los criterios para dicha asignación y entrega de los códigos homologados a los gestores catastrales, permitiendo con ello, la identificación única de los predios para efectos de lograr la interrelación de catastro y registro.</w:t>
      </w:r>
    </w:p>
    <w:p w14:paraId="352ECA63" w14:textId="262C1008" w:rsidR="000920C9" w:rsidRPr="00B710A9" w:rsidRDefault="000920C9" w:rsidP="000920C9">
      <w:pPr>
        <w:pStyle w:val="Lista"/>
        <w:rPr>
          <w:rFonts w:eastAsia="Arial" w:cs="Arial"/>
          <w:sz w:val="22"/>
          <w:szCs w:val="22"/>
        </w:rPr>
      </w:pPr>
    </w:p>
    <w:p w14:paraId="5F16FBA0" w14:textId="262C1008" w:rsidR="000920C9" w:rsidRPr="00B710A9" w:rsidRDefault="000920C9" w:rsidP="000A0142">
      <w:pPr>
        <w:tabs>
          <w:tab w:val="left" w:pos="1134"/>
        </w:tabs>
        <w:suppressAutoHyphens/>
        <w:overflowPunct w:val="0"/>
        <w:autoSpaceDE w:val="0"/>
        <w:spacing w:after="0" w:line="240" w:lineRule="auto"/>
        <w:jc w:val="both"/>
        <w:rPr>
          <w:rFonts w:cs="Arial"/>
          <w:sz w:val="22"/>
          <w:szCs w:val="22"/>
        </w:rPr>
      </w:pPr>
      <w:r w:rsidRPr="00B710A9">
        <w:rPr>
          <w:rFonts w:cs="Arial"/>
          <w:sz w:val="22"/>
          <w:szCs w:val="22"/>
        </w:rPr>
        <w:t>Modelo LADM_COL:</w:t>
      </w:r>
    </w:p>
    <w:p w14:paraId="0FC003CB" w14:textId="262C1008" w:rsidR="000920C9" w:rsidRPr="00B710A9" w:rsidRDefault="000920C9" w:rsidP="00356A3E">
      <w:pPr>
        <w:pStyle w:val="Prrafodelista"/>
        <w:numPr>
          <w:ilvl w:val="0"/>
          <w:numId w:val="98"/>
        </w:numPr>
        <w:tabs>
          <w:tab w:val="left" w:pos="1134"/>
        </w:tabs>
        <w:suppressAutoHyphens/>
        <w:overflowPunct w:val="0"/>
        <w:autoSpaceDE w:val="0"/>
        <w:spacing w:after="0" w:line="240" w:lineRule="auto"/>
        <w:jc w:val="both"/>
        <w:rPr>
          <w:rFonts w:ascii="Arial" w:hAnsi="Arial" w:cs="Arial"/>
          <w:sz w:val="22"/>
          <w:szCs w:val="22"/>
        </w:rPr>
      </w:pPr>
      <w:r w:rsidRPr="00B710A9">
        <w:rPr>
          <w:rFonts w:ascii="Arial" w:hAnsi="Arial" w:cs="Arial"/>
          <w:sz w:val="22"/>
          <w:szCs w:val="22"/>
        </w:rPr>
        <w:t>Creación de herramientas para la generación de insumos catastrales, según las especificaciones técnicas establecidas en el modelo de aplicación de levantamiento catastral, de conformidad con el modelo LADM, a partir de la información generada por la base de datos de los sistemas catastrales y registrales.</w:t>
      </w:r>
    </w:p>
    <w:p w14:paraId="545E2DFB" w14:textId="262C1008" w:rsidR="000A0142" w:rsidRPr="00B710A9" w:rsidRDefault="000920C9" w:rsidP="00356A3E">
      <w:pPr>
        <w:pStyle w:val="Prrafodelista"/>
        <w:numPr>
          <w:ilvl w:val="0"/>
          <w:numId w:val="98"/>
        </w:numPr>
        <w:tabs>
          <w:tab w:val="left" w:pos="1134"/>
        </w:tabs>
        <w:suppressAutoHyphens/>
        <w:overflowPunct w:val="0"/>
        <w:autoSpaceDE w:val="0"/>
        <w:spacing w:after="0" w:line="240" w:lineRule="auto"/>
        <w:jc w:val="both"/>
        <w:rPr>
          <w:rFonts w:ascii="Arial" w:hAnsi="Arial" w:cs="Arial"/>
          <w:sz w:val="22"/>
          <w:szCs w:val="22"/>
        </w:rPr>
      </w:pPr>
      <w:r w:rsidRPr="00B710A9">
        <w:rPr>
          <w:rFonts w:ascii="Arial" w:hAnsi="Arial" w:cs="Arial"/>
          <w:sz w:val="22"/>
          <w:szCs w:val="22"/>
        </w:rPr>
        <w:t xml:space="preserve">Se adaptó el modelo de datos de la </w:t>
      </w:r>
      <w:proofErr w:type="spellStart"/>
      <w:r w:rsidRPr="00B710A9">
        <w:rPr>
          <w:rFonts w:ascii="Arial" w:hAnsi="Arial" w:cs="Arial"/>
          <w:sz w:val="22"/>
          <w:szCs w:val="22"/>
        </w:rPr>
        <w:t>Geodatabase</w:t>
      </w:r>
      <w:proofErr w:type="spellEnd"/>
      <w:r w:rsidRPr="00B710A9">
        <w:rPr>
          <w:rFonts w:ascii="Arial" w:hAnsi="Arial" w:cs="Arial"/>
          <w:sz w:val="22"/>
          <w:szCs w:val="22"/>
        </w:rPr>
        <w:t xml:space="preserve"> catastral, al estándar LADM_COL para los procesos de actualización catastral. </w:t>
      </w:r>
    </w:p>
    <w:p w14:paraId="3C16C89B" w14:textId="262C1008" w:rsidR="000A0142" w:rsidRPr="00B710A9" w:rsidRDefault="000920C9" w:rsidP="00356A3E">
      <w:pPr>
        <w:pStyle w:val="Prrafodelista"/>
        <w:numPr>
          <w:ilvl w:val="0"/>
          <w:numId w:val="98"/>
        </w:numPr>
        <w:tabs>
          <w:tab w:val="left" w:pos="1134"/>
        </w:tabs>
        <w:suppressAutoHyphens/>
        <w:overflowPunct w:val="0"/>
        <w:autoSpaceDE w:val="0"/>
        <w:spacing w:after="0" w:line="240" w:lineRule="auto"/>
        <w:jc w:val="both"/>
        <w:rPr>
          <w:rFonts w:ascii="Arial" w:hAnsi="Arial" w:cs="Arial"/>
          <w:sz w:val="22"/>
          <w:szCs w:val="22"/>
        </w:rPr>
      </w:pPr>
      <w:r w:rsidRPr="00B710A9">
        <w:rPr>
          <w:rFonts w:ascii="Arial" w:hAnsi="Arial" w:cs="Arial"/>
          <w:color w:val="000000" w:themeColor="text1"/>
          <w:sz w:val="22"/>
          <w:szCs w:val="22"/>
        </w:rPr>
        <w:t>Trabajo mancomunado con los gestores catastrales para expedir nuevas versiones del modelo LADM COL</w:t>
      </w:r>
      <w:r w:rsidRPr="00B710A9">
        <w:rPr>
          <w:rFonts w:ascii="Arial" w:hAnsi="Arial" w:cs="Arial"/>
          <w:sz w:val="22"/>
          <w:szCs w:val="22"/>
        </w:rPr>
        <w:t xml:space="preserve"> que incluyen los atributos definidos en dicho modelo a la base de datos geográfica y del cual ya se han sacado varias versiones.</w:t>
      </w:r>
    </w:p>
    <w:p w14:paraId="511AB4A7" w14:textId="6E7E763E" w:rsidR="000920C9" w:rsidRPr="00B710A9" w:rsidRDefault="000920C9" w:rsidP="00356A3E">
      <w:pPr>
        <w:pStyle w:val="Prrafodelista"/>
        <w:numPr>
          <w:ilvl w:val="0"/>
          <w:numId w:val="98"/>
        </w:numPr>
        <w:tabs>
          <w:tab w:val="left" w:pos="1134"/>
        </w:tabs>
        <w:suppressAutoHyphens/>
        <w:overflowPunct w:val="0"/>
        <w:autoSpaceDE w:val="0"/>
        <w:spacing w:after="0" w:line="240" w:lineRule="auto"/>
        <w:jc w:val="both"/>
        <w:rPr>
          <w:rFonts w:ascii="Arial" w:hAnsi="Arial" w:cs="Arial"/>
          <w:sz w:val="22"/>
          <w:szCs w:val="22"/>
        </w:rPr>
      </w:pPr>
      <w:r w:rsidRPr="00B710A9">
        <w:rPr>
          <w:rFonts w:ascii="Arial" w:hAnsi="Arial" w:cs="Arial"/>
          <w:sz w:val="22"/>
          <w:szCs w:val="22"/>
        </w:rPr>
        <w:t>Se suministró de mapeo de información de variables del modelo de aplicación de levantamiento catastral versión 1.2 vs modelo CICA a la Dirección de Tecnología para realizar ajuste al CICA y SNC.</w:t>
      </w:r>
    </w:p>
    <w:p w14:paraId="4B92F7A5" w14:textId="6E7E763E" w:rsidR="000920C9" w:rsidRPr="00B710A9" w:rsidRDefault="000920C9" w:rsidP="00356A3E">
      <w:pPr>
        <w:pStyle w:val="Prrafodelista"/>
        <w:numPr>
          <w:ilvl w:val="0"/>
          <w:numId w:val="98"/>
        </w:numPr>
        <w:jc w:val="both"/>
        <w:rPr>
          <w:rFonts w:ascii="Arial" w:hAnsi="Arial" w:cs="Arial"/>
          <w:sz w:val="22"/>
          <w:szCs w:val="22"/>
        </w:rPr>
      </w:pPr>
      <w:r w:rsidRPr="00B710A9">
        <w:rPr>
          <w:rFonts w:ascii="Arial" w:hAnsi="Arial" w:cs="Arial"/>
          <w:sz w:val="22"/>
          <w:szCs w:val="22"/>
        </w:rPr>
        <w:t>Teniendo en cuenta las experiencias de implementación del modelo de aplicación de levantamiento por parte de los Gestores Catastrales y Catastros descentralizados, se han realizado varias mesas técnicas conjuntas con la participación del Departamento Nacional de Planeación DNP, Superintendencia de Notariado y Registro SNR, Agencia Nacional de Tierras ANT, Ministerio de Ambiente y Desarrollo Sostenible MADS, Parques Nacionales Naturales PNN y el Instituto Geográfico Agustín Codazzi IGAC en las cuales se han recopilado observaciones y opciones de mejora, para la siguiente versión del modelo.</w:t>
      </w:r>
    </w:p>
    <w:p w14:paraId="29C712D3" w14:textId="262C1008" w:rsidR="000920C9" w:rsidRPr="00B710A9" w:rsidRDefault="000920C9" w:rsidP="00356A3E">
      <w:pPr>
        <w:pStyle w:val="Prrafodelista"/>
        <w:numPr>
          <w:ilvl w:val="0"/>
          <w:numId w:val="98"/>
        </w:numPr>
        <w:tabs>
          <w:tab w:val="left" w:pos="1134"/>
        </w:tabs>
        <w:suppressAutoHyphens/>
        <w:overflowPunct w:val="0"/>
        <w:autoSpaceDE w:val="0"/>
        <w:spacing w:after="0" w:line="240" w:lineRule="auto"/>
        <w:jc w:val="both"/>
        <w:rPr>
          <w:rFonts w:ascii="Arial" w:hAnsi="Arial" w:cs="Arial"/>
          <w:sz w:val="22"/>
          <w:szCs w:val="22"/>
        </w:rPr>
      </w:pPr>
      <w:r w:rsidRPr="00B710A9">
        <w:rPr>
          <w:rFonts w:ascii="Arial" w:hAnsi="Arial" w:cs="Arial"/>
          <w:sz w:val="22"/>
          <w:szCs w:val="22"/>
        </w:rPr>
        <w:lastRenderedPageBreak/>
        <w:t>Se realizó la generación de la base de datos catastral nacional y departamental en el componente alfanumérico correspondiente a esta vigencia para ser dispuesto en el geo portal y datos abiertos de la entidad.</w:t>
      </w:r>
    </w:p>
    <w:p w14:paraId="5529E98A" w14:textId="262C1008" w:rsidR="000920C9" w:rsidRPr="00B710A9" w:rsidRDefault="000920C9" w:rsidP="00356A3E">
      <w:pPr>
        <w:pStyle w:val="Prrafodelista"/>
        <w:numPr>
          <w:ilvl w:val="0"/>
          <w:numId w:val="98"/>
        </w:numPr>
        <w:tabs>
          <w:tab w:val="left" w:pos="1134"/>
        </w:tabs>
        <w:overflowPunct w:val="0"/>
        <w:autoSpaceDE w:val="0"/>
        <w:spacing w:line="240" w:lineRule="auto"/>
        <w:jc w:val="both"/>
        <w:textAlignment w:val="baseline"/>
        <w:rPr>
          <w:rFonts w:ascii="Arial" w:hAnsi="Arial" w:cs="Arial"/>
          <w:color w:val="000000" w:themeColor="text1"/>
          <w:sz w:val="22"/>
          <w:szCs w:val="22"/>
        </w:rPr>
      </w:pPr>
      <w:r w:rsidRPr="00B710A9">
        <w:rPr>
          <w:rFonts w:ascii="Arial" w:hAnsi="Arial" w:cs="Arial"/>
          <w:color w:val="000000" w:themeColor="text1"/>
          <w:sz w:val="22"/>
          <w:szCs w:val="22"/>
        </w:rPr>
        <w:t>Realización de dos cruces masivos para la expedición de resoluciones masivas para el cambio de propietario, gracias a los acercamientos con la Superintendencia de Notariado y Registro en la cual se ha permitido el intercambio de información por medio de los canales establecidos por las entidades.</w:t>
      </w:r>
    </w:p>
    <w:p w14:paraId="43F13883" w14:textId="6E7E763E" w:rsidR="000920C9" w:rsidRPr="00B710A9" w:rsidRDefault="000920C9" w:rsidP="000920C9">
      <w:pPr>
        <w:pStyle w:val="Lista"/>
        <w:rPr>
          <w:rFonts w:eastAsia="Arial" w:cs="Arial"/>
          <w:sz w:val="22"/>
          <w:szCs w:val="22"/>
        </w:rPr>
      </w:pPr>
    </w:p>
    <w:p w14:paraId="1811CA37" w14:textId="20D074D8" w:rsidR="000920C9" w:rsidRPr="00B710A9" w:rsidRDefault="000920C9" w:rsidP="00356A3E">
      <w:pPr>
        <w:pStyle w:val="Prrafodelista"/>
        <w:numPr>
          <w:ilvl w:val="0"/>
          <w:numId w:val="97"/>
        </w:numPr>
        <w:rPr>
          <w:rFonts w:ascii="Arial" w:eastAsia="Arial" w:hAnsi="Arial" w:cs="Arial"/>
          <w:b/>
          <w:bCs/>
          <w:lang w:val="es"/>
        </w:rPr>
      </w:pPr>
      <w:r w:rsidRPr="00B710A9">
        <w:rPr>
          <w:rFonts w:ascii="Arial" w:eastAsia="Arial" w:hAnsi="Arial" w:cs="Arial"/>
          <w:b/>
          <w:bCs/>
          <w:sz w:val="22"/>
          <w:szCs w:val="22"/>
          <w:lang w:val="es"/>
        </w:rPr>
        <w:t xml:space="preserve">Fuentes de financiación </w:t>
      </w:r>
    </w:p>
    <w:p w14:paraId="7D876489" w14:textId="262C1008" w:rsidR="000920C9" w:rsidRPr="00B710A9" w:rsidRDefault="000920C9" w:rsidP="000920C9">
      <w:pPr>
        <w:contextualSpacing/>
        <w:jc w:val="both"/>
        <w:rPr>
          <w:rFonts w:ascii="Arial" w:hAnsi="Arial" w:cs="Arial"/>
        </w:rPr>
      </w:pPr>
    </w:p>
    <w:p w14:paraId="4E28E3B0" w14:textId="262C1008" w:rsidR="000920C9" w:rsidRPr="00B710A9" w:rsidRDefault="000920C9" w:rsidP="000920C9">
      <w:pPr>
        <w:jc w:val="both"/>
        <w:rPr>
          <w:rFonts w:ascii="Arial" w:eastAsia="Arial" w:hAnsi="Arial" w:cs="Arial"/>
          <w:b/>
          <w:i/>
          <w:sz w:val="22"/>
          <w:szCs w:val="22"/>
        </w:rPr>
      </w:pPr>
      <w:r w:rsidRPr="00B710A9">
        <w:rPr>
          <w:rFonts w:ascii="Arial" w:hAnsi="Arial" w:cs="Arial"/>
          <w:sz w:val="22"/>
          <w:szCs w:val="22"/>
        </w:rPr>
        <w:t>Para efectos de determinar el valor de los procesos de formación y actualización de la totalidad de los municipios del país, el IGAC realizó un ejercicio de costeo basado en la identificación de actividades, tiempos, productos, rendimientos, factores diferenciales del territorio, y componentes optimizables. Dicho ejercicio, fue socializado con el DNP y con el DANE, acogiendo las recomendaciones respectivas. Posteriormente, en conjunto con la Dirección de Tecnologías de la Información y Comunicaciones, se desarrolló la herramienta para el cálculo de los costos.  Este esquema de costeo sirvió de base entre otros, para la definición de los municipios a financiar por la banca multilateral y se constituyó en el 2020, en el insumo para la construcción de alrededor de 519 propuestas de actualización y formación catastral solicitadas por diferentes municipios del país.</w:t>
      </w:r>
    </w:p>
    <w:p w14:paraId="11B3C3F6" w14:textId="262C1008" w:rsidR="000920C9" w:rsidRPr="00B710A9" w:rsidRDefault="000920C9" w:rsidP="000920C9">
      <w:pPr>
        <w:jc w:val="both"/>
        <w:rPr>
          <w:rFonts w:ascii="Arial" w:eastAsia="Arial" w:hAnsi="Arial" w:cs="Arial"/>
          <w:sz w:val="22"/>
          <w:szCs w:val="22"/>
        </w:rPr>
      </w:pPr>
    </w:p>
    <w:p w14:paraId="387172DC" w14:textId="262C1008" w:rsidR="000920C9" w:rsidRPr="00B710A9" w:rsidRDefault="000920C9" w:rsidP="000920C9">
      <w:pPr>
        <w:jc w:val="both"/>
        <w:rPr>
          <w:rFonts w:ascii="Arial" w:hAnsi="Arial" w:cs="Arial"/>
          <w:sz w:val="22"/>
          <w:szCs w:val="22"/>
        </w:rPr>
      </w:pPr>
      <w:r w:rsidRPr="00B710A9">
        <w:rPr>
          <w:rFonts w:ascii="Arial" w:hAnsi="Arial" w:cs="Arial"/>
          <w:sz w:val="22"/>
          <w:szCs w:val="22"/>
        </w:rPr>
        <w:t>Con base en el costeo realizado, se garantizó la financiación de:</w:t>
      </w:r>
    </w:p>
    <w:p w14:paraId="65205B65" w14:textId="262C1008" w:rsidR="000920C9" w:rsidRPr="00B710A9" w:rsidRDefault="000920C9" w:rsidP="00356A3E">
      <w:pPr>
        <w:pStyle w:val="Prrafodelista"/>
        <w:numPr>
          <w:ilvl w:val="0"/>
          <w:numId w:val="81"/>
        </w:numPr>
        <w:spacing w:line="240" w:lineRule="auto"/>
        <w:jc w:val="both"/>
        <w:rPr>
          <w:rFonts w:ascii="Arial" w:hAnsi="Arial" w:cs="Arial"/>
          <w:sz w:val="22"/>
          <w:szCs w:val="22"/>
        </w:rPr>
      </w:pPr>
      <w:r w:rsidRPr="00B710A9">
        <w:rPr>
          <w:rFonts w:ascii="Arial" w:hAnsi="Arial" w:cs="Arial"/>
          <w:sz w:val="22"/>
          <w:szCs w:val="22"/>
        </w:rPr>
        <w:t>79 municipios con un área geográfica de 6.433.141,35 Has., a través de la banca multilateral.</w:t>
      </w:r>
    </w:p>
    <w:p w14:paraId="255F10A1" w14:textId="262C1008" w:rsidR="000920C9" w:rsidRPr="00B710A9" w:rsidRDefault="000920C9" w:rsidP="00356A3E">
      <w:pPr>
        <w:pStyle w:val="Prrafodelista"/>
        <w:numPr>
          <w:ilvl w:val="0"/>
          <w:numId w:val="81"/>
        </w:numPr>
        <w:spacing w:line="240" w:lineRule="auto"/>
        <w:jc w:val="both"/>
        <w:rPr>
          <w:rFonts w:ascii="Arial" w:hAnsi="Arial" w:cs="Arial"/>
          <w:sz w:val="22"/>
          <w:szCs w:val="22"/>
        </w:rPr>
      </w:pPr>
      <w:r w:rsidRPr="00B710A9">
        <w:rPr>
          <w:rFonts w:ascii="Arial" w:hAnsi="Arial" w:cs="Arial"/>
          <w:sz w:val="22"/>
          <w:szCs w:val="22"/>
        </w:rPr>
        <w:t xml:space="preserve">23 municipios con un área geográfica de 20.241.010 Has., con recursos de cooperación no reembolsable del Reino Unido. Se tiene previsto Iniciar los procesos de contratación en el segundo semestre de la vigencia 2022. </w:t>
      </w:r>
    </w:p>
    <w:p w14:paraId="4B0DA949" w14:textId="262C1008" w:rsidR="000920C9" w:rsidRPr="00B710A9" w:rsidRDefault="000920C9" w:rsidP="00356A3E">
      <w:pPr>
        <w:pStyle w:val="Prrafodelista"/>
        <w:numPr>
          <w:ilvl w:val="0"/>
          <w:numId w:val="81"/>
        </w:numPr>
        <w:spacing w:line="240" w:lineRule="auto"/>
        <w:jc w:val="both"/>
        <w:rPr>
          <w:rFonts w:ascii="Arial" w:hAnsi="Arial" w:cs="Arial"/>
          <w:sz w:val="22"/>
          <w:szCs w:val="22"/>
        </w:rPr>
      </w:pPr>
      <w:r w:rsidRPr="00B710A9">
        <w:rPr>
          <w:rFonts w:ascii="Arial" w:hAnsi="Arial" w:cs="Arial"/>
          <w:sz w:val="22"/>
          <w:szCs w:val="22"/>
        </w:rPr>
        <w:t>Para la puesta en marcha de la política de catastro multipropósito, el Gobierno Nacional generó como fuente de financiación recursos provenientes de la banca multilateral (Banco Iberoamericano de Desarrollo y Banco Mundial), los cuales para el caso del IGAC, se destinarán para la generación de insumos geodésicos, cartográficos y de levantamiento catastral, para llevar a cabo la formación y actualización catastral de los municipios priorizados con estos recursos.</w:t>
      </w:r>
    </w:p>
    <w:p w14:paraId="66242338" w14:textId="262C1008" w:rsidR="000920C9" w:rsidRPr="00B710A9" w:rsidRDefault="000920C9" w:rsidP="00356A3E">
      <w:pPr>
        <w:pStyle w:val="Prrafodelista"/>
        <w:numPr>
          <w:ilvl w:val="0"/>
          <w:numId w:val="81"/>
        </w:numPr>
        <w:spacing w:line="240" w:lineRule="auto"/>
        <w:jc w:val="both"/>
        <w:rPr>
          <w:rFonts w:ascii="Arial" w:hAnsi="Arial" w:cs="Arial"/>
          <w:sz w:val="22"/>
          <w:szCs w:val="22"/>
        </w:rPr>
      </w:pPr>
      <w:r w:rsidRPr="00B710A9">
        <w:rPr>
          <w:rFonts w:ascii="Arial" w:hAnsi="Arial" w:cs="Arial"/>
          <w:sz w:val="22"/>
          <w:szCs w:val="22"/>
        </w:rPr>
        <w:t>El IGAC presentó una propuesta para “Implementar la actualización catastral con enfoque multipropósito para el municipio de Arauquita, en el departamento de Arauca, en el marco del “</w:t>
      </w:r>
      <w:r w:rsidRPr="00B710A9">
        <w:rPr>
          <w:rFonts w:ascii="Arial" w:hAnsi="Arial" w:cs="Arial"/>
          <w:b/>
          <w:sz w:val="22"/>
          <w:szCs w:val="22"/>
        </w:rPr>
        <w:t xml:space="preserve">Proyecto Desarrollo Sostenible Bajo en Carbono para la Orinoquia”. </w:t>
      </w:r>
      <w:r w:rsidRPr="00B710A9">
        <w:rPr>
          <w:rFonts w:ascii="Arial" w:hAnsi="Arial" w:cs="Arial"/>
          <w:sz w:val="22"/>
          <w:szCs w:val="22"/>
        </w:rPr>
        <w:t>El contrato para llevar a cabo este proceso está siendo ejecutado en la actual vigencia.</w:t>
      </w:r>
    </w:p>
    <w:p w14:paraId="1368030C" w14:textId="262C1008" w:rsidR="000920C9" w:rsidRPr="00B710A9" w:rsidRDefault="000920C9" w:rsidP="00356A3E">
      <w:pPr>
        <w:pStyle w:val="Prrafodelista"/>
        <w:numPr>
          <w:ilvl w:val="0"/>
          <w:numId w:val="81"/>
        </w:numPr>
        <w:spacing w:line="240" w:lineRule="auto"/>
        <w:jc w:val="both"/>
        <w:rPr>
          <w:rFonts w:cs="Arial"/>
          <w:sz w:val="18"/>
          <w:szCs w:val="18"/>
        </w:rPr>
      </w:pPr>
      <w:r w:rsidRPr="00B710A9">
        <w:rPr>
          <w:rFonts w:ascii="Arial" w:hAnsi="Arial" w:cs="Arial"/>
          <w:sz w:val="22"/>
          <w:szCs w:val="22"/>
        </w:rPr>
        <w:t xml:space="preserve">A través de la financiación de la </w:t>
      </w:r>
      <w:r w:rsidRPr="00B710A9">
        <w:rPr>
          <w:rFonts w:ascii="Arial" w:hAnsi="Arial" w:cs="Arial"/>
          <w:b/>
          <w:sz w:val="22"/>
          <w:szCs w:val="22"/>
        </w:rPr>
        <w:t>Agencia Francesa de Desarrollo</w:t>
      </w:r>
      <w:r w:rsidRPr="00B710A9">
        <w:rPr>
          <w:rFonts w:ascii="Arial" w:hAnsi="Arial" w:cs="Arial"/>
          <w:sz w:val="22"/>
          <w:szCs w:val="22"/>
        </w:rPr>
        <w:t>, el IGAC en la presente vigencia se encuentra adelantando los requerimientos solicitados por dicha cooperación para la contratación de la actualización catastral del municipio de Santa Rosalía, Vichada</w:t>
      </w:r>
      <w:r w:rsidRPr="00B710A9">
        <w:rPr>
          <w:rFonts w:cs="Arial"/>
          <w:sz w:val="22"/>
          <w:szCs w:val="22"/>
        </w:rPr>
        <w:t>.</w:t>
      </w:r>
      <w:r w:rsidRPr="00B710A9">
        <w:br/>
      </w:r>
    </w:p>
    <w:p w14:paraId="55F250D1" w14:textId="54A1B062" w:rsidR="00E829D5" w:rsidRPr="00B710A9" w:rsidRDefault="00E829D5" w:rsidP="000920C9">
      <w:pPr>
        <w:pStyle w:val="Descripcin"/>
        <w:jc w:val="center"/>
        <w:rPr>
          <w:rFonts w:ascii="Arial" w:hAnsi="Arial" w:cs="Arial"/>
          <w:b/>
          <w:bCs/>
          <w:i w:val="0"/>
          <w:iCs w:val="0"/>
          <w:color w:val="000000" w:themeColor="text1"/>
          <w:sz w:val="16"/>
          <w:szCs w:val="16"/>
        </w:rPr>
      </w:pPr>
      <w:bookmarkStart w:id="37" w:name="_Toc107995419"/>
    </w:p>
    <w:p w14:paraId="4C13564A" w14:textId="4894224F" w:rsidR="00E829D5" w:rsidRPr="00B710A9" w:rsidRDefault="00E829D5" w:rsidP="00E829D5">
      <w:pPr>
        <w:pStyle w:val="Descripcin"/>
        <w:keepNext/>
        <w:jc w:val="center"/>
        <w:rPr>
          <w:rFonts w:ascii="Arial" w:hAnsi="Arial" w:cs="Arial"/>
          <w:b/>
          <w:bCs/>
          <w:i w:val="0"/>
          <w:iCs w:val="0"/>
          <w:color w:val="000000" w:themeColor="text1"/>
          <w:sz w:val="16"/>
          <w:szCs w:val="16"/>
        </w:rPr>
      </w:pPr>
      <w:bookmarkStart w:id="38" w:name="_Toc109057746"/>
      <w:r w:rsidRPr="00B710A9">
        <w:rPr>
          <w:rFonts w:ascii="Arial" w:hAnsi="Arial" w:cs="Arial"/>
          <w:b/>
          <w:bCs/>
          <w:i w:val="0"/>
          <w:iCs w:val="0"/>
          <w:color w:val="000000" w:themeColor="text1"/>
          <w:sz w:val="16"/>
          <w:szCs w:val="16"/>
        </w:rPr>
        <w:lastRenderedPageBreak/>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16</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Estado fuentes de financiación para la actualización catastral</w:t>
      </w:r>
      <w:bookmarkEnd w:id="38"/>
    </w:p>
    <w:tbl>
      <w:tblPr>
        <w:tblStyle w:val="Tablaconcuadrcula4-nfasis1"/>
        <w:tblW w:w="5377" w:type="pct"/>
        <w:tblLook w:val="04A0" w:firstRow="1" w:lastRow="0" w:firstColumn="1" w:lastColumn="0" w:noHBand="0" w:noVBand="1"/>
      </w:tblPr>
      <w:tblGrid>
        <w:gridCol w:w="1914"/>
        <w:gridCol w:w="4603"/>
        <w:gridCol w:w="2977"/>
      </w:tblGrid>
      <w:tr w:rsidR="000920C9" w:rsidRPr="00B710A9" w14:paraId="1380CF36" w14:textId="77777777" w:rsidTr="00B562F1">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008" w:type="pct"/>
            <w:vAlign w:val="center"/>
            <w:hideMark/>
          </w:tcPr>
          <w:bookmarkEnd w:id="37"/>
          <w:p w14:paraId="5C6B478C" w14:textId="77777777" w:rsidR="000920C9" w:rsidRPr="00B710A9" w:rsidRDefault="000920C9" w:rsidP="00F90DF3">
            <w:pPr>
              <w:spacing w:line="276" w:lineRule="auto"/>
              <w:jc w:val="center"/>
              <w:rPr>
                <w:rFonts w:ascii="Arial" w:hAnsi="Arial" w:cs="Arial"/>
                <w:sz w:val="16"/>
                <w:szCs w:val="16"/>
              </w:rPr>
            </w:pPr>
            <w:r w:rsidRPr="00B710A9">
              <w:rPr>
                <w:rFonts w:ascii="Arial" w:hAnsi="Arial" w:cs="Arial"/>
                <w:sz w:val="16"/>
                <w:szCs w:val="16"/>
              </w:rPr>
              <w:t>ESTRATEGIA</w:t>
            </w:r>
          </w:p>
        </w:tc>
        <w:tc>
          <w:tcPr>
            <w:tcW w:w="2424" w:type="pct"/>
            <w:vAlign w:val="center"/>
            <w:hideMark/>
          </w:tcPr>
          <w:p w14:paraId="1AA4B308" w14:textId="77777777" w:rsidR="000920C9" w:rsidRPr="00B710A9" w:rsidRDefault="000920C9" w:rsidP="00F90DF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ESTADO</w:t>
            </w:r>
          </w:p>
        </w:tc>
        <w:tc>
          <w:tcPr>
            <w:tcW w:w="1568" w:type="pct"/>
            <w:vAlign w:val="center"/>
            <w:hideMark/>
          </w:tcPr>
          <w:p w14:paraId="3B750655" w14:textId="77777777" w:rsidR="000920C9" w:rsidRPr="00B710A9" w:rsidRDefault="000920C9" w:rsidP="00F90DF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PENDIENTE</w:t>
            </w:r>
          </w:p>
        </w:tc>
      </w:tr>
      <w:tr w:rsidR="000920C9" w:rsidRPr="00B710A9" w14:paraId="248864E6" w14:textId="77777777" w:rsidTr="00B562F1">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4F9A0669" w14:textId="77777777" w:rsidR="000920C9" w:rsidRPr="00B710A9" w:rsidRDefault="000920C9" w:rsidP="00F90DF3">
            <w:pPr>
              <w:spacing w:line="276" w:lineRule="auto"/>
              <w:jc w:val="center"/>
              <w:rPr>
                <w:rFonts w:ascii="Arial" w:hAnsi="Arial" w:cs="Arial"/>
                <w:sz w:val="16"/>
                <w:szCs w:val="16"/>
              </w:rPr>
            </w:pPr>
            <w:r w:rsidRPr="00B710A9">
              <w:rPr>
                <w:rFonts w:ascii="Arial" w:hAnsi="Arial" w:cs="Arial"/>
                <w:sz w:val="16"/>
                <w:szCs w:val="16"/>
              </w:rPr>
              <w:t>Cooperación UK</w:t>
            </w:r>
          </w:p>
          <w:p w14:paraId="62F4C209" w14:textId="77777777" w:rsidR="000920C9" w:rsidRPr="00B710A9" w:rsidRDefault="000920C9" w:rsidP="00F90DF3">
            <w:pPr>
              <w:spacing w:line="276" w:lineRule="auto"/>
              <w:jc w:val="center"/>
              <w:rPr>
                <w:rFonts w:ascii="Arial" w:hAnsi="Arial" w:cs="Arial"/>
                <w:sz w:val="16"/>
                <w:szCs w:val="16"/>
              </w:rPr>
            </w:pPr>
          </w:p>
          <w:p w14:paraId="62C4AF94" w14:textId="77777777" w:rsidR="000920C9" w:rsidRPr="00B710A9" w:rsidRDefault="000920C9" w:rsidP="00F90DF3">
            <w:pPr>
              <w:spacing w:line="276" w:lineRule="auto"/>
              <w:jc w:val="center"/>
              <w:rPr>
                <w:rFonts w:ascii="Arial" w:hAnsi="Arial" w:cs="Arial"/>
                <w:b w:val="0"/>
                <w:sz w:val="16"/>
                <w:szCs w:val="16"/>
              </w:rPr>
            </w:pPr>
            <w:r w:rsidRPr="00B710A9">
              <w:rPr>
                <w:rFonts w:ascii="Arial" w:hAnsi="Arial" w:cs="Arial"/>
                <w:sz w:val="16"/>
                <w:szCs w:val="16"/>
              </w:rPr>
              <w:t>Municipios financiados:</w:t>
            </w:r>
            <w:r w:rsidRPr="00B710A9">
              <w:rPr>
                <w:rFonts w:ascii="Arial" w:hAnsi="Arial" w:cs="Arial"/>
                <w:b w:val="0"/>
                <w:sz w:val="16"/>
                <w:szCs w:val="16"/>
              </w:rPr>
              <w:t xml:space="preserve"> 20 municipios PDET y 2 Parques Nacionales, con 16.570.773 Has.</w:t>
            </w:r>
          </w:p>
          <w:p w14:paraId="2E90B894" w14:textId="77777777" w:rsidR="000920C9" w:rsidRPr="00B710A9" w:rsidRDefault="000920C9" w:rsidP="00F90DF3">
            <w:pPr>
              <w:spacing w:line="276" w:lineRule="auto"/>
              <w:jc w:val="center"/>
              <w:rPr>
                <w:rFonts w:ascii="Arial" w:hAnsi="Arial" w:cs="Arial"/>
                <w:b w:val="0"/>
                <w:sz w:val="16"/>
                <w:szCs w:val="16"/>
              </w:rPr>
            </w:pPr>
            <w:r w:rsidRPr="00B710A9">
              <w:rPr>
                <w:rFonts w:ascii="Arial" w:hAnsi="Arial" w:cs="Arial"/>
                <w:sz w:val="16"/>
                <w:szCs w:val="16"/>
              </w:rPr>
              <w:t>Acuerdo de donación suscrito:</w:t>
            </w:r>
            <w:r w:rsidRPr="00B710A9">
              <w:rPr>
                <w:rFonts w:ascii="Arial" w:hAnsi="Arial" w:cs="Arial"/>
                <w:b w:val="0"/>
                <w:sz w:val="16"/>
                <w:szCs w:val="16"/>
              </w:rPr>
              <w:t xml:space="preserve"> 8 de marzo de 2021</w:t>
            </w:r>
          </w:p>
          <w:p w14:paraId="0105CA41" w14:textId="77777777" w:rsidR="000920C9" w:rsidRPr="00B710A9" w:rsidRDefault="000920C9" w:rsidP="00F90DF3">
            <w:pPr>
              <w:spacing w:line="276" w:lineRule="auto"/>
              <w:jc w:val="center"/>
              <w:rPr>
                <w:rFonts w:ascii="Arial" w:hAnsi="Arial" w:cs="Arial"/>
                <w:b w:val="0"/>
                <w:sz w:val="16"/>
                <w:szCs w:val="16"/>
              </w:rPr>
            </w:pPr>
            <w:r w:rsidRPr="00B710A9">
              <w:rPr>
                <w:rFonts w:ascii="Arial" w:hAnsi="Arial" w:cs="Arial"/>
                <w:sz w:val="16"/>
                <w:szCs w:val="16"/>
              </w:rPr>
              <w:t>Aprobación Reglamento Operativo</w:t>
            </w:r>
            <w:r w:rsidRPr="00B710A9">
              <w:rPr>
                <w:rFonts w:ascii="Arial" w:hAnsi="Arial" w:cs="Arial"/>
                <w:b w:val="0"/>
                <w:sz w:val="16"/>
                <w:szCs w:val="16"/>
              </w:rPr>
              <w:t>: 29 de abril de 2021</w:t>
            </w:r>
          </w:p>
          <w:p w14:paraId="562CD3D6" w14:textId="77777777" w:rsidR="000920C9" w:rsidRPr="00B710A9" w:rsidRDefault="000920C9" w:rsidP="00F90DF3">
            <w:pPr>
              <w:spacing w:line="276" w:lineRule="auto"/>
              <w:jc w:val="center"/>
              <w:rPr>
                <w:rFonts w:ascii="Arial" w:hAnsi="Arial" w:cs="Arial"/>
                <w:sz w:val="16"/>
                <w:szCs w:val="16"/>
              </w:rPr>
            </w:pPr>
            <w:r w:rsidRPr="00B710A9">
              <w:rPr>
                <w:rFonts w:ascii="Arial" w:hAnsi="Arial" w:cs="Arial"/>
                <w:sz w:val="16"/>
                <w:szCs w:val="16"/>
              </w:rPr>
              <w:t>Aprobación áreas a intervenir:</w:t>
            </w:r>
            <w:r w:rsidRPr="00B710A9">
              <w:rPr>
                <w:rFonts w:ascii="Arial" w:hAnsi="Arial" w:cs="Arial"/>
                <w:b w:val="0"/>
                <w:sz w:val="16"/>
                <w:szCs w:val="16"/>
              </w:rPr>
              <w:t xml:space="preserve"> 7 de julio 2021</w:t>
            </w:r>
          </w:p>
        </w:tc>
        <w:tc>
          <w:tcPr>
            <w:tcW w:w="2424" w:type="pct"/>
            <w:vAlign w:val="center"/>
          </w:tcPr>
          <w:p w14:paraId="10C7A9BD" w14:textId="51DCE57A" w:rsidR="000920C9" w:rsidRPr="00B710A9" w:rsidRDefault="000920C9" w:rsidP="00356A3E">
            <w:pPr>
              <w:pStyle w:val="Prrafodelista"/>
              <w:numPr>
                <w:ilvl w:val="0"/>
                <w:numId w:val="88"/>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710A9">
              <w:rPr>
                <w:rFonts w:ascii="Arial" w:hAnsi="Arial" w:cs="Arial"/>
                <w:sz w:val="16"/>
                <w:szCs w:val="16"/>
              </w:rPr>
              <w:t xml:space="preserve">Inicialmente se definió </w:t>
            </w:r>
            <w:r w:rsidR="00127485" w:rsidRPr="00B710A9">
              <w:rPr>
                <w:rFonts w:ascii="Arial" w:hAnsi="Arial" w:cs="Arial"/>
                <w:sz w:val="16"/>
                <w:szCs w:val="16"/>
              </w:rPr>
              <w:t>que,</w:t>
            </w:r>
            <w:r w:rsidRPr="00B710A9">
              <w:rPr>
                <w:rFonts w:ascii="Arial" w:hAnsi="Arial" w:cs="Arial"/>
                <w:sz w:val="16"/>
                <w:szCs w:val="16"/>
              </w:rPr>
              <w:t xml:space="preserve"> de los 20 municipios financiados, se ejecutarían 3 por parte de Antioquia, por ser de su jurisdicción y 10 directamente por el IGAC (4 Caquetá, 4 Guaviare y 2 de Putumayo)</w:t>
            </w:r>
          </w:p>
          <w:p w14:paraId="56C7734D" w14:textId="4A4590A9" w:rsidR="000920C9" w:rsidRPr="00B710A9" w:rsidRDefault="000920C9" w:rsidP="00356A3E">
            <w:pPr>
              <w:pStyle w:val="Prrafodelista"/>
              <w:numPr>
                <w:ilvl w:val="0"/>
                <w:numId w:val="88"/>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710A9">
              <w:rPr>
                <w:rFonts w:ascii="Arial" w:hAnsi="Arial" w:cs="Arial"/>
                <w:sz w:val="16"/>
                <w:szCs w:val="16"/>
              </w:rPr>
              <w:t xml:space="preserve">Después de realizar las reuniones con los municipios involucrados en el proyecto, en la primera semana de noviembre se definió que el IGAC ejecutará la actualización catastral de 17 municipios, por medio de la contratación de operadores catastrales. Sin embargo, los municipios de los municipios de Cartagena del </w:t>
            </w:r>
            <w:proofErr w:type="spellStart"/>
            <w:r w:rsidRPr="00B710A9">
              <w:rPr>
                <w:rFonts w:ascii="Arial" w:hAnsi="Arial" w:cs="Arial"/>
                <w:sz w:val="16"/>
                <w:szCs w:val="16"/>
              </w:rPr>
              <w:t>Chairá</w:t>
            </w:r>
            <w:proofErr w:type="spellEnd"/>
            <w:r w:rsidRPr="00B710A9">
              <w:rPr>
                <w:rFonts w:ascii="Arial" w:hAnsi="Arial" w:cs="Arial"/>
                <w:sz w:val="16"/>
                <w:szCs w:val="16"/>
              </w:rPr>
              <w:t xml:space="preserve">, San Vicente del Caguán y Solano en Caquetá; </w:t>
            </w:r>
            <w:proofErr w:type="spellStart"/>
            <w:r w:rsidRPr="00B710A9">
              <w:rPr>
                <w:rFonts w:ascii="Arial" w:hAnsi="Arial" w:cs="Arial"/>
                <w:sz w:val="16"/>
                <w:szCs w:val="16"/>
              </w:rPr>
              <w:t>Leguízamo</w:t>
            </w:r>
            <w:proofErr w:type="spellEnd"/>
            <w:r w:rsidRPr="00B710A9">
              <w:rPr>
                <w:rFonts w:ascii="Arial" w:hAnsi="Arial" w:cs="Arial"/>
                <w:sz w:val="16"/>
                <w:szCs w:val="16"/>
              </w:rPr>
              <w:t xml:space="preserve"> y Puerto Guzmán en Putumayo, manifestaron su intención de cambiar de gestor catastral. A la fecha, San Vicente del Caguán y Solano en Caquetá; </w:t>
            </w:r>
            <w:proofErr w:type="spellStart"/>
            <w:r w:rsidRPr="00B710A9">
              <w:rPr>
                <w:rFonts w:ascii="Arial" w:hAnsi="Arial" w:cs="Arial"/>
                <w:sz w:val="16"/>
                <w:szCs w:val="16"/>
              </w:rPr>
              <w:t>Leguízamo</w:t>
            </w:r>
            <w:proofErr w:type="spellEnd"/>
            <w:r w:rsidRPr="00B710A9">
              <w:rPr>
                <w:rFonts w:ascii="Arial" w:hAnsi="Arial" w:cs="Arial"/>
                <w:sz w:val="16"/>
                <w:szCs w:val="16"/>
              </w:rPr>
              <w:t xml:space="preserve"> y Puerto Guzmán en Putumayo no han aportado el contrato de gestoría correspondiente, para realizar el cambio de gestor. Cartagena del </w:t>
            </w:r>
            <w:proofErr w:type="spellStart"/>
            <w:r w:rsidRPr="00B710A9">
              <w:rPr>
                <w:rFonts w:ascii="Arial" w:hAnsi="Arial" w:cs="Arial"/>
                <w:sz w:val="16"/>
                <w:szCs w:val="16"/>
              </w:rPr>
              <w:t>Chairá</w:t>
            </w:r>
            <w:proofErr w:type="spellEnd"/>
            <w:r w:rsidRPr="00B710A9">
              <w:rPr>
                <w:rFonts w:ascii="Arial" w:hAnsi="Arial" w:cs="Arial"/>
                <w:sz w:val="16"/>
                <w:szCs w:val="16"/>
              </w:rPr>
              <w:t xml:space="preserve">, remitió manifestación de interés solicitando que el IGAC continúe siendo su gestor catastral. En tal sentido, se definió que IGAC adelantara la actualización catastral de los 13 municipios que manifestaron su </w:t>
            </w:r>
            <w:r w:rsidR="00127485" w:rsidRPr="00B710A9">
              <w:rPr>
                <w:rFonts w:ascii="Arial" w:hAnsi="Arial" w:cs="Arial"/>
                <w:sz w:val="16"/>
                <w:szCs w:val="16"/>
              </w:rPr>
              <w:t>interés de</w:t>
            </w:r>
            <w:r w:rsidRPr="00B710A9">
              <w:rPr>
                <w:rFonts w:ascii="Arial" w:hAnsi="Arial" w:cs="Arial"/>
                <w:sz w:val="16"/>
                <w:szCs w:val="16"/>
              </w:rPr>
              <w:t xml:space="preserve"> continuar con el IGAC como gestor (Calamar, Miraflores, San José del Guaviare y El Retorno en Guaviare; Tame – Arauca; Cartagena del </w:t>
            </w:r>
            <w:proofErr w:type="spellStart"/>
            <w:r w:rsidRPr="00B710A9">
              <w:rPr>
                <w:rFonts w:ascii="Arial" w:hAnsi="Arial" w:cs="Arial"/>
                <w:sz w:val="16"/>
                <w:szCs w:val="16"/>
              </w:rPr>
              <w:t>Chairá</w:t>
            </w:r>
            <w:proofErr w:type="spellEnd"/>
            <w:r w:rsidRPr="00B710A9">
              <w:rPr>
                <w:rFonts w:ascii="Arial" w:hAnsi="Arial" w:cs="Arial"/>
                <w:sz w:val="16"/>
                <w:szCs w:val="16"/>
              </w:rPr>
              <w:t>, Puerto Rico – Caquetá; La Macarena, Mapiripán, Mesetas, Puerto Concordia, Uribe y Vistahermosa en Meta.</w:t>
            </w:r>
          </w:p>
          <w:p w14:paraId="3C9F414A" w14:textId="77777777" w:rsidR="000920C9" w:rsidRPr="00B710A9" w:rsidRDefault="000920C9" w:rsidP="00356A3E">
            <w:pPr>
              <w:pStyle w:val="Lista"/>
              <w:numPr>
                <w:ilvl w:val="0"/>
                <w:numId w:val="88"/>
              </w:numPr>
              <w:overflowPunct/>
              <w:autoSpaceDE/>
              <w:spacing w:line="276" w:lineRule="auto"/>
              <w:contextualSpacing/>
              <w:textAlignment w:val="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710A9">
              <w:rPr>
                <w:rFonts w:cs="Arial"/>
                <w:sz w:val="16"/>
                <w:szCs w:val="16"/>
              </w:rPr>
              <w:t>Articulación con Catastro Antioquia para la intervención de los 3 municipios y el área del parque de Paramillo, financiados por Reino Unido y que están bajo su jurisdicción.</w:t>
            </w:r>
          </w:p>
          <w:p w14:paraId="44989870" w14:textId="77777777" w:rsidR="000920C9" w:rsidRPr="00B710A9" w:rsidRDefault="000920C9" w:rsidP="00F90DF3">
            <w:pPr>
              <w:pStyle w:val="Lista"/>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568" w:type="pct"/>
            <w:vAlign w:val="center"/>
          </w:tcPr>
          <w:p w14:paraId="2D1CD163" w14:textId="0FE42E36" w:rsidR="000920C9" w:rsidRPr="00B710A9" w:rsidRDefault="000920C9" w:rsidP="00356A3E">
            <w:pPr>
              <w:pStyle w:val="Prrafodelista"/>
              <w:numPr>
                <w:ilvl w:val="0"/>
                <w:numId w:val="84"/>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710A9">
              <w:rPr>
                <w:rFonts w:ascii="Arial" w:hAnsi="Arial" w:cs="Arial"/>
                <w:sz w:val="16"/>
                <w:szCs w:val="16"/>
              </w:rPr>
              <w:t>Definición y aprobación de estrategia de intervención de los 13 municipios a cargo del IGAC. Por ahora se tiene prevista la intervención de 7 municipios sólo en zona rural, 4 municipios intervenidos en zona urbano</w:t>
            </w:r>
            <w:r w:rsidR="00B562F1" w:rsidRPr="00B710A9">
              <w:rPr>
                <w:rFonts w:ascii="Arial" w:hAnsi="Arial" w:cs="Arial"/>
                <w:sz w:val="16"/>
                <w:szCs w:val="16"/>
              </w:rPr>
              <w:t>-</w:t>
            </w:r>
            <w:r w:rsidRPr="00B710A9">
              <w:rPr>
                <w:rFonts w:ascii="Arial" w:hAnsi="Arial" w:cs="Arial"/>
                <w:sz w:val="16"/>
                <w:szCs w:val="16"/>
              </w:rPr>
              <w:t>rural por operador catastral y 2 municipios intervenidos en zona urbano rural por contratación de personal y operador logístico por parte del IGAC. Una vez finalice la consulta previa se procederá a programar las zonas restantes.</w:t>
            </w:r>
          </w:p>
          <w:p w14:paraId="45998E7E" w14:textId="77777777" w:rsidR="000920C9" w:rsidRPr="00B710A9" w:rsidRDefault="000920C9" w:rsidP="00356A3E">
            <w:pPr>
              <w:pStyle w:val="Prrafodelista"/>
              <w:numPr>
                <w:ilvl w:val="0"/>
                <w:numId w:val="84"/>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710A9">
              <w:rPr>
                <w:rFonts w:ascii="Arial" w:hAnsi="Arial" w:cs="Arial"/>
                <w:sz w:val="16"/>
                <w:szCs w:val="16"/>
              </w:rPr>
              <w:t>Firmar de acuerdo entre Catastro Antioquia y Fondo Acción para la incorporación como institución implementadora en el proyecto.</w:t>
            </w:r>
          </w:p>
          <w:p w14:paraId="2EFC5536" w14:textId="77777777" w:rsidR="000920C9" w:rsidRPr="00B710A9" w:rsidRDefault="000920C9" w:rsidP="00356A3E">
            <w:pPr>
              <w:pStyle w:val="Lista"/>
              <w:numPr>
                <w:ilvl w:val="0"/>
                <w:numId w:val="84"/>
              </w:numPr>
              <w:overflowPunct/>
              <w:autoSpaceDE/>
              <w:spacing w:line="276" w:lineRule="auto"/>
              <w:contextualSpacing/>
              <w:textAlignment w:val="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710A9">
              <w:rPr>
                <w:rFonts w:cs="Arial"/>
                <w:sz w:val="16"/>
                <w:szCs w:val="16"/>
              </w:rPr>
              <w:t xml:space="preserve">Definición del gestor catastral de los municipios de San Vicente del Caguán y Solano en Caquetá; </w:t>
            </w:r>
            <w:proofErr w:type="spellStart"/>
            <w:r w:rsidRPr="00B710A9">
              <w:rPr>
                <w:rFonts w:cs="Arial"/>
                <w:sz w:val="16"/>
                <w:szCs w:val="16"/>
              </w:rPr>
              <w:t>Leguízamo</w:t>
            </w:r>
            <w:proofErr w:type="spellEnd"/>
            <w:r w:rsidRPr="00B710A9">
              <w:rPr>
                <w:rFonts w:cs="Arial"/>
                <w:sz w:val="16"/>
                <w:szCs w:val="16"/>
              </w:rPr>
              <w:t xml:space="preserve"> y Puerto Guzmán en Putumayo. </w:t>
            </w:r>
          </w:p>
          <w:p w14:paraId="215DBF80" w14:textId="77777777" w:rsidR="000920C9" w:rsidRPr="00B710A9" w:rsidRDefault="000920C9" w:rsidP="00356A3E">
            <w:pPr>
              <w:pStyle w:val="Prrafodelista"/>
              <w:numPr>
                <w:ilvl w:val="0"/>
                <w:numId w:val="84"/>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710A9">
              <w:rPr>
                <w:rFonts w:ascii="Arial" w:hAnsi="Arial" w:cs="Arial"/>
                <w:sz w:val="16"/>
                <w:szCs w:val="16"/>
              </w:rPr>
              <w:t>Finalización de la consulta previa tanto para comunidades indígenas, como para comunidades NARP.</w:t>
            </w:r>
          </w:p>
        </w:tc>
      </w:tr>
      <w:tr w:rsidR="000920C9" w:rsidRPr="00B710A9" w14:paraId="7D50D67A" w14:textId="77777777" w:rsidTr="00E829D5">
        <w:trPr>
          <w:trHeight w:val="528"/>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1F938567" w14:textId="77777777" w:rsidR="000920C9" w:rsidRPr="00B710A9" w:rsidRDefault="000920C9" w:rsidP="00F90DF3">
            <w:pPr>
              <w:spacing w:line="276" w:lineRule="auto"/>
              <w:jc w:val="center"/>
              <w:rPr>
                <w:rFonts w:ascii="Arial" w:hAnsi="Arial" w:cs="Arial"/>
                <w:sz w:val="16"/>
                <w:szCs w:val="16"/>
              </w:rPr>
            </w:pPr>
            <w:r w:rsidRPr="00B710A9">
              <w:rPr>
                <w:rFonts w:ascii="Arial" w:hAnsi="Arial" w:cs="Arial"/>
                <w:sz w:val="16"/>
                <w:szCs w:val="16"/>
              </w:rPr>
              <w:t>Crédito de Catastro Multipropósito</w:t>
            </w:r>
          </w:p>
          <w:p w14:paraId="79717C95" w14:textId="77777777" w:rsidR="000920C9" w:rsidRPr="00B710A9" w:rsidRDefault="000920C9" w:rsidP="00F90DF3">
            <w:pPr>
              <w:spacing w:line="276" w:lineRule="auto"/>
              <w:jc w:val="center"/>
              <w:rPr>
                <w:rFonts w:ascii="Arial" w:hAnsi="Arial" w:cs="Arial"/>
                <w:sz w:val="16"/>
                <w:szCs w:val="16"/>
              </w:rPr>
            </w:pPr>
          </w:p>
          <w:p w14:paraId="11C55ADD" w14:textId="77777777" w:rsidR="000920C9" w:rsidRPr="00B710A9" w:rsidRDefault="000920C9" w:rsidP="00F90DF3">
            <w:pPr>
              <w:spacing w:line="276" w:lineRule="auto"/>
              <w:jc w:val="center"/>
              <w:rPr>
                <w:rFonts w:ascii="Arial" w:hAnsi="Arial" w:cs="Arial"/>
                <w:b w:val="0"/>
                <w:bCs w:val="0"/>
                <w:sz w:val="16"/>
                <w:szCs w:val="16"/>
              </w:rPr>
            </w:pPr>
            <w:r w:rsidRPr="00B710A9">
              <w:rPr>
                <w:rFonts w:ascii="Arial" w:hAnsi="Arial" w:cs="Arial"/>
                <w:sz w:val="16"/>
                <w:szCs w:val="16"/>
              </w:rPr>
              <w:t>Municipios financiados: 83 municipios (39 PDET)</w:t>
            </w:r>
          </w:p>
          <w:p w14:paraId="5B3B9824" w14:textId="77777777" w:rsidR="000920C9" w:rsidRPr="00B710A9" w:rsidRDefault="000920C9" w:rsidP="00F90DF3">
            <w:pPr>
              <w:spacing w:line="276" w:lineRule="auto"/>
              <w:jc w:val="center"/>
              <w:rPr>
                <w:rFonts w:ascii="Arial" w:hAnsi="Arial" w:cs="Arial"/>
                <w:b w:val="0"/>
                <w:bCs w:val="0"/>
                <w:sz w:val="16"/>
                <w:szCs w:val="16"/>
              </w:rPr>
            </w:pPr>
          </w:p>
          <w:p w14:paraId="18487E56" w14:textId="77777777" w:rsidR="000920C9" w:rsidRPr="00B710A9" w:rsidRDefault="000920C9" w:rsidP="00F90DF3">
            <w:pPr>
              <w:spacing w:line="276" w:lineRule="auto"/>
              <w:jc w:val="center"/>
              <w:rPr>
                <w:rFonts w:ascii="Arial" w:hAnsi="Arial" w:cs="Arial"/>
                <w:sz w:val="16"/>
                <w:szCs w:val="16"/>
              </w:rPr>
            </w:pPr>
            <w:r w:rsidRPr="00B710A9">
              <w:rPr>
                <w:rFonts w:ascii="Arial" w:hAnsi="Arial" w:cs="Arial"/>
                <w:sz w:val="16"/>
                <w:szCs w:val="16"/>
              </w:rPr>
              <w:t xml:space="preserve">6.833.111 </w:t>
            </w:r>
            <w:proofErr w:type="gramStart"/>
            <w:r w:rsidRPr="00B710A9">
              <w:rPr>
                <w:rFonts w:ascii="Arial" w:hAnsi="Arial" w:cs="Arial"/>
                <w:sz w:val="16"/>
                <w:szCs w:val="16"/>
              </w:rPr>
              <w:t>Has</w:t>
            </w:r>
            <w:proofErr w:type="gramEnd"/>
            <w:r w:rsidRPr="00B710A9">
              <w:rPr>
                <w:rFonts w:ascii="Arial" w:hAnsi="Arial" w:cs="Arial"/>
                <w:sz w:val="16"/>
                <w:szCs w:val="16"/>
              </w:rPr>
              <w:t>.</w:t>
            </w:r>
          </w:p>
          <w:p w14:paraId="30237A3E" w14:textId="77777777" w:rsidR="000920C9" w:rsidRPr="00B710A9" w:rsidRDefault="000920C9" w:rsidP="00F90DF3">
            <w:pPr>
              <w:spacing w:after="240" w:line="276" w:lineRule="auto"/>
              <w:jc w:val="center"/>
              <w:rPr>
                <w:rFonts w:ascii="Arial" w:hAnsi="Arial" w:cs="Arial"/>
                <w:color w:val="000000"/>
                <w:sz w:val="16"/>
                <w:szCs w:val="16"/>
              </w:rPr>
            </w:pPr>
          </w:p>
        </w:tc>
        <w:tc>
          <w:tcPr>
            <w:tcW w:w="2424" w:type="pct"/>
            <w:vAlign w:val="center"/>
          </w:tcPr>
          <w:p w14:paraId="5C155D8F" w14:textId="77777777" w:rsidR="000920C9" w:rsidRPr="00B710A9" w:rsidRDefault="000920C9" w:rsidP="00356A3E">
            <w:pPr>
              <w:pStyle w:val="Prrafodelista"/>
              <w:numPr>
                <w:ilvl w:val="0"/>
                <w:numId w:val="79"/>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Firma del Acuerdo interinstitucional 620 de 2019</w:t>
            </w:r>
          </w:p>
          <w:p w14:paraId="3AB32A44" w14:textId="77777777" w:rsidR="000920C9" w:rsidRPr="00B710A9" w:rsidRDefault="000920C9" w:rsidP="00356A3E">
            <w:pPr>
              <w:pStyle w:val="Prrafodelista"/>
              <w:numPr>
                <w:ilvl w:val="0"/>
                <w:numId w:val="79"/>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Selección inicial de 79 municipios, que por temas seguridad y buscando guardar la economía de escala fue modificada y aprobada en septiembre de 2020.</w:t>
            </w:r>
          </w:p>
          <w:p w14:paraId="06693B16" w14:textId="77777777" w:rsidR="000920C9" w:rsidRPr="00B710A9" w:rsidRDefault="000920C9" w:rsidP="00356A3E">
            <w:pPr>
              <w:pStyle w:val="Prrafodelista"/>
              <w:numPr>
                <w:ilvl w:val="0"/>
                <w:numId w:val="79"/>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En las salvaguardas y contratos de préstamo de catastro multipropósito con BM y BID (Crédito BIRF 8937-CO y Crédito BID 4856/OC-CO) se incluye la necesidad de concertar un documento metodológico para los levantamientos catastrales en territorios con presencia de grupos indígenas y NARP. La concertación de este documento se tenía prevista para 2020, por lo cual la ejecución de los municipios financiados por el Crédito se realizaría en 2021. Sin embargo, se presentan dificultades en la concertación de la guía.</w:t>
            </w:r>
          </w:p>
          <w:p w14:paraId="0E0C804E" w14:textId="77777777" w:rsidR="000920C9" w:rsidRPr="00B710A9" w:rsidRDefault="000920C9" w:rsidP="00356A3E">
            <w:pPr>
              <w:pStyle w:val="Prrafodelista"/>
              <w:numPr>
                <w:ilvl w:val="0"/>
                <w:numId w:val="79"/>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Debido a estas dificultades, en septiembre de 2020 se decide lanzar la licitación de los 8 municipios de Boyacá no PDET y que no tienen presencia étnica, con el fin de iniciar con parte de la ejecución, porque de otra forma el cronograma de la licitación no hubiera permitido una adjudicación durante el 2020.</w:t>
            </w:r>
          </w:p>
          <w:p w14:paraId="10A2E47D" w14:textId="77777777" w:rsidR="000920C9" w:rsidRPr="00B710A9" w:rsidRDefault="000920C9" w:rsidP="00356A3E">
            <w:pPr>
              <w:pStyle w:val="Prrafodelista"/>
              <w:numPr>
                <w:ilvl w:val="0"/>
                <w:numId w:val="79"/>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En diciembre de 2020 en el marco de la MPC se define que el proceso de gestión catastral debe surtir consulta previa, que en principio culminaría en marzo de 2021.</w:t>
            </w:r>
          </w:p>
          <w:p w14:paraId="54245312" w14:textId="77777777" w:rsidR="000920C9" w:rsidRPr="00B710A9" w:rsidRDefault="000920C9" w:rsidP="00356A3E">
            <w:pPr>
              <w:pStyle w:val="Prrafodelista"/>
              <w:numPr>
                <w:ilvl w:val="0"/>
                <w:numId w:val="79"/>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Los 71 municipios restantes, de los cuales 39 son PDET, se programaron en una licitación que se adjudicaría en el primer semestre de 2021.</w:t>
            </w:r>
          </w:p>
          <w:p w14:paraId="1093B435" w14:textId="77777777" w:rsidR="000920C9" w:rsidRPr="00B710A9" w:rsidRDefault="000920C9" w:rsidP="00356A3E">
            <w:pPr>
              <w:pStyle w:val="Prrafodelista"/>
              <w:numPr>
                <w:ilvl w:val="0"/>
                <w:numId w:val="79"/>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lastRenderedPageBreak/>
              <w:t>Cuando se ve que la consulta previa no se puede finalizar en el primer semestre de 2021, se define proyectar un proceso de licitación para los municipios que no tienen presencia étnica.</w:t>
            </w:r>
          </w:p>
          <w:p w14:paraId="0D75007E" w14:textId="77777777" w:rsidR="000920C9" w:rsidRPr="00B710A9" w:rsidRDefault="000920C9" w:rsidP="00356A3E">
            <w:pPr>
              <w:pStyle w:val="Prrafodelista"/>
              <w:numPr>
                <w:ilvl w:val="0"/>
                <w:numId w:val="79"/>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 xml:space="preserve">En mayo de 2021, con presupuesto liberado por otros componentes a cargo del IGAC, se propone la intervención de cuatro (4) municipios adicionales, propuesta que fue aprobada por el Comité del Crédito. </w:t>
            </w:r>
          </w:p>
          <w:p w14:paraId="5CA08DD4" w14:textId="77777777" w:rsidR="000920C9" w:rsidRPr="00B710A9" w:rsidRDefault="000920C9" w:rsidP="00356A3E">
            <w:pPr>
              <w:pStyle w:val="Prrafodelista"/>
              <w:numPr>
                <w:ilvl w:val="0"/>
                <w:numId w:val="79"/>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 xml:space="preserve">En noviembre de 2021 se adelanta la gestión precontractual para la actualización de 32 municipios (10 PDET) que no tienen presencia étnica y la intervención parcial de 2 municipios. </w:t>
            </w:r>
          </w:p>
          <w:p w14:paraId="166DF6BA" w14:textId="77777777" w:rsidR="000920C9" w:rsidRPr="00B710A9" w:rsidRDefault="000920C9" w:rsidP="00356A3E">
            <w:pPr>
              <w:pStyle w:val="Prrafodelista"/>
              <w:numPr>
                <w:ilvl w:val="0"/>
                <w:numId w:val="79"/>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La licitación de los 32 municipios se encuentra en proceso de evaluación.</w:t>
            </w:r>
          </w:p>
          <w:p w14:paraId="139F08F4" w14:textId="77777777" w:rsidR="000920C9" w:rsidRPr="00B710A9" w:rsidRDefault="000920C9" w:rsidP="00356A3E">
            <w:pPr>
              <w:pStyle w:val="Prrafodelista"/>
              <w:numPr>
                <w:ilvl w:val="0"/>
                <w:numId w:val="79"/>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El proceso de los 2 municipios parciales no fue viabilizado por parte del Banco Mundial</w:t>
            </w:r>
          </w:p>
          <w:p w14:paraId="572721C6" w14:textId="77777777" w:rsidR="000920C9" w:rsidRPr="00B710A9" w:rsidRDefault="000920C9" w:rsidP="00356A3E">
            <w:pPr>
              <w:pStyle w:val="Prrafodelista"/>
              <w:numPr>
                <w:ilvl w:val="0"/>
                <w:numId w:val="79"/>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La contratación de los 41 municipios restantes (29 PDET), se tiene prevista para 2023, una vez se finalice la consulta previa.</w:t>
            </w:r>
          </w:p>
          <w:p w14:paraId="13479E6C" w14:textId="77777777" w:rsidR="000920C9" w:rsidRPr="00B710A9" w:rsidRDefault="000920C9" w:rsidP="00356A3E">
            <w:pPr>
              <w:pStyle w:val="Prrafodelista"/>
              <w:numPr>
                <w:ilvl w:val="0"/>
                <w:numId w:val="79"/>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Se encuentra en proceso de modificación 3 municipios seleccionados:</w:t>
            </w:r>
          </w:p>
          <w:p w14:paraId="3D954184" w14:textId="77777777" w:rsidR="000920C9" w:rsidRPr="00B710A9" w:rsidRDefault="000920C9" w:rsidP="00356A3E">
            <w:pPr>
              <w:pStyle w:val="Prrafodelista"/>
              <w:numPr>
                <w:ilvl w:val="0"/>
                <w:numId w:val="93"/>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Puerto Gaitán, Meta: será intervenido con recursos PGN del IGAC.</w:t>
            </w:r>
          </w:p>
          <w:p w14:paraId="21FF4C35" w14:textId="77777777" w:rsidR="000920C9" w:rsidRPr="00B710A9" w:rsidRDefault="000920C9" w:rsidP="00356A3E">
            <w:pPr>
              <w:pStyle w:val="Prrafodelista"/>
              <w:numPr>
                <w:ilvl w:val="0"/>
                <w:numId w:val="93"/>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Aracataca, Magdalena: la ANT definió que interviene el área rural del municipio con recursos PGN de esa entidad.</w:t>
            </w:r>
          </w:p>
          <w:p w14:paraId="5A1B4C44" w14:textId="77777777" w:rsidR="000920C9" w:rsidRPr="00B710A9" w:rsidRDefault="000920C9" w:rsidP="00356A3E">
            <w:pPr>
              <w:pStyle w:val="Prrafodelista"/>
              <w:numPr>
                <w:ilvl w:val="0"/>
                <w:numId w:val="93"/>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Florencia, Caquetá: se habilitó como gestor catastral y en el marco del crédito los municipios que participan sólo pueden tener como gestor al IGAC.</w:t>
            </w:r>
          </w:p>
        </w:tc>
        <w:tc>
          <w:tcPr>
            <w:tcW w:w="1568" w:type="pct"/>
            <w:vAlign w:val="center"/>
          </w:tcPr>
          <w:p w14:paraId="6449C3B0" w14:textId="77777777" w:rsidR="000920C9" w:rsidRPr="00B710A9" w:rsidRDefault="000920C9" w:rsidP="00356A3E">
            <w:pPr>
              <w:pStyle w:val="Prrafodelista"/>
              <w:numPr>
                <w:ilvl w:val="0"/>
                <w:numId w:val="79"/>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lastRenderedPageBreak/>
              <w:t>Finalización de proceso de evaluación de la licitación de los 32 municipios. De acuerdo con el resultado definir la estrategia a seguir con los municipios que no sean adjudicados.</w:t>
            </w:r>
          </w:p>
          <w:p w14:paraId="7CE521DB" w14:textId="77777777" w:rsidR="000920C9" w:rsidRPr="00B710A9" w:rsidRDefault="000920C9" w:rsidP="00356A3E">
            <w:pPr>
              <w:pStyle w:val="Prrafodelista"/>
              <w:numPr>
                <w:ilvl w:val="0"/>
                <w:numId w:val="79"/>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Finalización de consulta previa tanto para comunidades indígenas, como para comunidades NARP.</w:t>
            </w:r>
          </w:p>
        </w:tc>
      </w:tr>
      <w:tr w:rsidR="000920C9" w:rsidRPr="00B710A9" w14:paraId="4A2B51D8" w14:textId="77777777" w:rsidTr="00B562F1">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2140F358" w14:textId="77777777" w:rsidR="000920C9" w:rsidRPr="00B710A9" w:rsidRDefault="000920C9" w:rsidP="00F90DF3">
            <w:pPr>
              <w:spacing w:line="276" w:lineRule="auto"/>
              <w:jc w:val="center"/>
              <w:rPr>
                <w:rFonts w:ascii="Arial" w:hAnsi="Arial" w:cs="Arial"/>
                <w:sz w:val="16"/>
                <w:szCs w:val="16"/>
              </w:rPr>
            </w:pPr>
          </w:p>
          <w:p w14:paraId="53C43588" w14:textId="77777777" w:rsidR="000920C9" w:rsidRPr="00B710A9" w:rsidRDefault="000920C9" w:rsidP="00F90DF3">
            <w:pPr>
              <w:spacing w:line="276" w:lineRule="auto"/>
              <w:jc w:val="center"/>
              <w:rPr>
                <w:rFonts w:ascii="Arial" w:hAnsi="Arial" w:cs="Arial"/>
                <w:sz w:val="16"/>
                <w:szCs w:val="16"/>
              </w:rPr>
            </w:pPr>
            <w:r w:rsidRPr="00B710A9">
              <w:rPr>
                <w:rFonts w:ascii="Arial" w:hAnsi="Arial" w:cs="Arial"/>
                <w:sz w:val="16"/>
                <w:szCs w:val="16"/>
              </w:rPr>
              <w:t>USAID</w:t>
            </w:r>
          </w:p>
          <w:p w14:paraId="294695F3" w14:textId="77777777" w:rsidR="000920C9" w:rsidRPr="00B710A9" w:rsidRDefault="000920C9" w:rsidP="00F90DF3">
            <w:pPr>
              <w:spacing w:line="276" w:lineRule="auto"/>
              <w:jc w:val="center"/>
              <w:rPr>
                <w:rFonts w:ascii="Arial" w:hAnsi="Arial" w:cs="Arial"/>
                <w:sz w:val="16"/>
                <w:szCs w:val="16"/>
              </w:rPr>
            </w:pPr>
          </w:p>
          <w:p w14:paraId="13F34234" w14:textId="77777777" w:rsidR="000920C9" w:rsidRPr="00B710A9" w:rsidRDefault="000920C9" w:rsidP="00F90DF3">
            <w:pPr>
              <w:spacing w:line="276" w:lineRule="auto"/>
              <w:jc w:val="center"/>
              <w:rPr>
                <w:rFonts w:ascii="Arial" w:hAnsi="Arial" w:cs="Arial"/>
                <w:b w:val="0"/>
                <w:bCs w:val="0"/>
                <w:sz w:val="16"/>
                <w:szCs w:val="16"/>
              </w:rPr>
            </w:pPr>
            <w:r w:rsidRPr="00B710A9">
              <w:rPr>
                <w:rFonts w:ascii="Arial" w:hAnsi="Arial" w:cs="Arial"/>
                <w:sz w:val="16"/>
                <w:szCs w:val="16"/>
              </w:rPr>
              <w:t>Municipios financiados: 1</w:t>
            </w:r>
            <w:r w:rsidRPr="00B710A9">
              <w:rPr>
                <w:rFonts w:ascii="Arial" w:hAnsi="Arial" w:cs="Arial"/>
                <w:sz w:val="16"/>
                <w:szCs w:val="16"/>
                <w:lang w:val="es-ES_tradnl"/>
              </w:rPr>
              <w:t>2</w:t>
            </w:r>
            <w:r w:rsidRPr="00B710A9">
              <w:rPr>
                <w:rFonts w:ascii="Arial" w:hAnsi="Arial" w:cs="Arial"/>
                <w:sz w:val="16"/>
                <w:szCs w:val="16"/>
              </w:rPr>
              <w:t xml:space="preserve"> municipios (11 PDET) </w:t>
            </w:r>
          </w:p>
          <w:p w14:paraId="763F7DD5" w14:textId="77777777" w:rsidR="000920C9" w:rsidRPr="00B710A9" w:rsidRDefault="000920C9" w:rsidP="00F90DF3">
            <w:pPr>
              <w:spacing w:line="276" w:lineRule="auto"/>
              <w:jc w:val="center"/>
              <w:rPr>
                <w:rFonts w:ascii="Arial" w:hAnsi="Arial" w:cs="Arial"/>
                <w:b w:val="0"/>
                <w:bCs w:val="0"/>
                <w:sz w:val="16"/>
                <w:szCs w:val="16"/>
              </w:rPr>
            </w:pPr>
            <w:r w:rsidRPr="00B710A9">
              <w:rPr>
                <w:rFonts w:ascii="Arial" w:hAnsi="Arial" w:cs="Arial"/>
                <w:sz w:val="16"/>
                <w:szCs w:val="16"/>
              </w:rPr>
              <w:t>Y PNN</w:t>
            </w:r>
            <w:r w:rsidRPr="00B710A9">
              <w:rPr>
                <w:rFonts w:ascii="Arial" w:hAnsi="Arial" w:cs="Arial"/>
                <w:sz w:val="16"/>
                <w:szCs w:val="16"/>
                <w:lang w:val="es-ES_tradnl"/>
              </w:rPr>
              <w:t xml:space="preserve"> </w:t>
            </w:r>
            <w:r w:rsidRPr="00B710A9">
              <w:rPr>
                <w:rFonts w:ascii="Arial" w:hAnsi="Arial" w:cs="Arial"/>
                <w:sz w:val="16"/>
                <w:szCs w:val="16"/>
              </w:rPr>
              <w:t xml:space="preserve">Serranía de Chiribiquete </w:t>
            </w:r>
          </w:p>
          <w:p w14:paraId="7CCB5660" w14:textId="77777777" w:rsidR="000920C9" w:rsidRPr="00B710A9" w:rsidRDefault="000920C9" w:rsidP="00F90DF3">
            <w:pPr>
              <w:spacing w:line="276" w:lineRule="auto"/>
              <w:jc w:val="center"/>
              <w:rPr>
                <w:rFonts w:ascii="Arial" w:hAnsi="Arial" w:cs="Arial"/>
                <w:b w:val="0"/>
                <w:bCs w:val="0"/>
                <w:sz w:val="16"/>
                <w:szCs w:val="16"/>
              </w:rPr>
            </w:pPr>
          </w:p>
          <w:p w14:paraId="1FBDA6C6" w14:textId="77777777" w:rsidR="000920C9" w:rsidRPr="00B710A9" w:rsidRDefault="000920C9" w:rsidP="00F90DF3">
            <w:pPr>
              <w:spacing w:line="276" w:lineRule="auto"/>
              <w:jc w:val="center"/>
              <w:rPr>
                <w:rFonts w:ascii="Arial" w:hAnsi="Arial" w:cs="Arial"/>
                <w:sz w:val="16"/>
                <w:szCs w:val="16"/>
              </w:rPr>
            </w:pPr>
            <w:r w:rsidRPr="00B710A9">
              <w:rPr>
                <w:rFonts w:ascii="Arial" w:hAnsi="Arial" w:cs="Arial"/>
                <w:sz w:val="16"/>
                <w:szCs w:val="16"/>
              </w:rPr>
              <w:t xml:space="preserve">6.151.089 </w:t>
            </w:r>
            <w:proofErr w:type="gramStart"/>
            <w:r w:rsidRPr="00B710A9">
              <w:rPr>
                <w:rFonts w:ascii="Arial" w:hAnsi="Arial" w:cs="Arial"/>
                <w:sz w:val="16"/>
                <w:szCs w:val="16"/>
              </w:rPr>
              <w:t>Has</w:t>
            </w:r>
            <w:proofErr w:type="gramEnd"/>
            <w:r w:rsidRPr="00B710A9">
              <w:rPr>
                <w:rFonts w:ascii="Arial" w:hAnsi="Arial" w:cs="Arial"/>
                <w:sz w:val="16"/>
                <w:szCs w:val="16"/>
              </w:rPr>
              <w:t>.</w:t>
            </w:r>
          </w:p>
          <w:p w14:paraId="49B3C42F" w14:textId="77777777" w:rsidR="000920C9" w:rsidRPr="00B710A9" w:rsidRDefault="000920C9" w:rsidP="00F90DF3">
            <w:pPr>
              <w:spacing w:line="276" w:lineRule="auto"/>
              <w:jc w:val="center"/>
              <w:rPr>
                <w:rFonts w:ascii="Arial" w:hAnsi="Arial" w:cs="Arial"/>
                <w:sz w:val="16"/>
                <w:szCs w:val="16"/>
              </w:rPr>
            </w:pPr>
          </w:p>
        </w:tc>
        <w:tc>
          <w:tcPr>
            <w:tcW w:w="2424" w:type="pct"/>
            <w:vAlign w:val="center"/>
          </w:tcPr>
          <w:p w14:paraId="107A1924" w14:textId="77777777" w:rsidR="000920C9" w:rsidRPr="00B710A9" w:rsidRDefault="000920C9" w:rsidP="00356A3E">
            <w:pPr>
              <w:pStyle w:val="Prrafodelista"/>
              <w:numPr>
                <w:ilvl w:val="0"/>
                <w:numId w:val="86"/>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710A9">
              <w:rPr>
                <w:rFonts w:ascii="Arial" w:hAnsi="Arial" w:cs="Arial"/>
                <w:sz w:val="16"/>
                <w:szCs w:val="16"/>
                <w:lang w:val="es-ES_tradnl"/>
              </w:rPr>
              <w:t xml:space="preserve">1 </w:t>
            </w:r>
            <w:r w:rsidRPr="00B710A9">
              <w:rPr>
                <w:rFonts w:ascii="Arial" w:hAnsi="Arial" w:cs="Arial"/>
                <w:sz w:val="16"/>
                <w:szCs w:val="16"/>
              </w:rPr>
              <w:t xml:space="preserve">municipio ejecutado en 2019 en conjunto con el IGAC, Ovejas – Sucre, y 1 municipio ejecutado por USAID. </w:t>
            </w:r>
          </w:p>
          <w:p w14:paraId="37233A4B" w14:textId="77777777" w:rsidR="000920C9" w:rsidRPr="00B710A9" w:rsidRDefault="000920C9" w:rsidP="00356A3E">
            <w:pPr>
              <w:pStyle w:val="Prrafodelista"/>
              <w:numPr>
                <w:ilvl w:val="0"/>
                <w:numId w:val="86"/>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710A9">
              <w:rPr>
                <w:rFonts w:ascii="Arial" w:hAnsi="Arial" w:cs="Arial"/>
                <w:sz w:val="16"/>
                <w:szCs w:val="16"/>
              </w:rPr>
              <w:t>Se tiene programada la intervención de 6 municipios en 2022 y 4 municipios en 2023.</w:t>
            </w:r>
          </w:p>
          <w:p w14:paraId="5D801C45" w14:textId="77777777" w:rsidR="000920C9" w:rsidRPr="00B710A9" w:rsidRDefault="000920C9" w:rsidP="00356A3E">
            <w:pPr>
              <w:pStyle w:val="Prrafodelista"/>
              <w:numPr>
                <w:ilvl w:val="0"/>
                <w:numId w:val="86"/>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710A9">
              <w:rPr>
                <w:rFonts w:ascii="Arial" w:hAnsi="Arial" w:cs="Arial"/>
                <w:sz w:val="16"/>
                <w:szCs w:val="16"/>
              </w:rPr>
              <w:t xml:space="preserve">Para el proceso de formación/actualización del Parque Nacional Natural Serranía de Chiribiquete, correspondiente a 4.268.000 Has., el IGAC entregó insumos cartográficos y catastrales (ortofoto, vectores y bases de datos gráficas y alfanuméricas de los registros 1 y 2) de los municipios de Cartagena del </w:t>
            </w:r>
            <w:proofErr w:type="spellStart"/>
            <w:r w:rsidRPr="00B710A9">
              <w:rPr>
                <w:rFonts w:ascii="Arial" w:hAnsi="Arial" w:cs="Arial"/>
                <w:sz w:val="16"/>
                <w:szCs w:val="16"/>
              </w:rPr>
              <w:t>Chairá</w:t>
            </w:r>
            <w:proofErr w:type="spellEnd"/>
            <w:r w:rsidRPr="00B710A9">
              <w:rPr>
                <w:rFonts w:ascii="Arial" w:hAnsi="Arial" w:cs="Arial"/>
                <w:sz w:val="16"/>
                <w:szCs w:val="16"/>
              </w:rPr>
              <w:t>, San Vicente del Caguán y Solano del departamento de Caquetá, y los municipios de San José del Guaviare, Calamar y Miraflores del departamento de Guaviare.</w:t>
            </w:r>
          </w:p>
        </w:tc>
        <w:tc>
          <w:tcPr>
            <w:tcW w:w="1568" w:type="pct"/>
            <w:vAlign w:val="center"/>
          </w:tcPr>
          <w:p w14:paraId="16C978C8" w14:textId="77777777" w:rsidR="000920C9" w:rsidRPr="00B710A9" w:rsidRDefault="000920C9" w:rsidP="00356A3E">
            <w:pPr>
              <w:pStyle w:val="Prrafodelista"/>
              <w:numPr>
                <w:ilvl w:val="0"/>
                <w:numId w:val="86"/>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Acompañamiento a los procesos de formación y actualización en curso</w:t>
            </w:r>
          </w:p>
        </w:tc>
      </w:tr>
      <w:tr w:rsidR="000920C9" w:rsidRPr="00B710A9" w14:paraId="2D494536" w14:textId="77777777" w:rsidTr="00B562F1">
        <w:trPr>
          <w:trHeight w:val="3969"/>
        </w:trPr>
        <w:tc>
          <w:tcPr>
            <w:cnfStyle w:val="001000000000" w:firstRow="0" w:lastRow="0" w:firstColumn="1" w:lastColumn="0" w:oddVBand="0" w:evenVBand="0" w:oddHBand="0" w:evenHBand="0" w:firstRowFirstColumn="0" w:firstRowLastColumn="0" w:lastRowFirstColumn="0" w:lastRowLastColumn="0"/>
            <w:tcW w:w="1008" w:type="pct"/>
            <w:vAlign w:val="center"/>
            <w:hideMark/>
          </w:tcPr>
          <w:p w14:paraId="7AEFA65A" w14:textId="77777777" w:rsidR="000920C9" w:rsidRPr="00B710A9" w:rsidRDefault="000920C9" w:rsidP="00F90DF3">
            <w:pPr>
              <w:pStyle w:val="Sinespaciado"/>
              <w:spacing w:line="276" w:lineRule="auto"/>
              <w:jc w:val="center"/>
              <w:rPr>
                <w:rFonts w:ascii="Arial" w:hAnsi="Arial" w:cs="Arial"/>
                <w:b w:val="0"/>
                <w:bCs w:val="0"/>
                <w:sz w:val="16"/>
                <w:szCs w:val="16"/>
              </w:rPr>
            </w:pPr>
            <w:r w:rsidRPr="00B710A9">
              <w:rPr>
                <w:rFonts w:ascii="Arial" w:hAnsi="Arial" w:cs="Arial"/>
                <w:sz w:val="16"/>
                <w:szCs w:val="16"/>
              </w:rPr>
              <w:lastRenderedPageBreak/>
              <w:t xml:space="preserve">SISTEMA GENERAL DE REGALIAS SGR. </w:t>
            </w:r>
          </w:p>
          <w:p w14:paraId="56CDD78F" w14:textId="77777777" w:rsidR="000920C9" w:rsidRPr="00B710A9" w:rsidRDefault="000920C9" w:rsidP="00F90DF3">
            <w:pPr>
              <w:pStyle w:val="Sinespaciado"/>
              <w:spacing w:line="276" w:lineRule="auto"/>
              <w:jc w:val="center"/>
              <w:rPr>
                <w:rFonts w:ascii="Arial" w:hAnsi="Arial" w:cs="Arial"/>
                <w:sz w:val="16"/>
                <w:szCs w:val="16"/>
              </w:rPr>
            </w:pPr>
          </w:p>
          <w:p w14:paraId="31D3755F" w14:textId="77777777" w:rsidR="000920C9" w:rsidRPr="00B710A9" w:rsidRDefault="000920C9" w:rsidP="00F90DF3">
            <w:pPr>
              <w:pStyle w:val="Sinespaciado"/>
              <w:spacing w:line="276" w:lineRule="auto"/>
              <w:jc w:val="center"/>
              <w:rPr>
                <w:rFonts w:ascii="Arial" w:hAnsi="Arial" w:cs="Arial"/>
                <w:sz w:val="16"/>
                <w:szCs w:val="16"/>
              </w:rPr>
            </w:pPr>
            <w:r w:rsidRPr="00B710A9">
              <w:rPr>
                <w:rFonts w:ascii="Arial" w:hAnsi="Arial" w:cs="Arial"/>
                <w:sz w:val="16"/>
                <w:szCs w:val="16"/>
              </w:rPr>
              <w:t xml:space="preserve">Asignación para la Paz /OCAD Paz. </w:t>
            </w:r>
          </w:p>
          <w:p w14:paraId="184A90FC" w14:textId="77777777" w:rsidR="000920C9" w:rsidRPr="00B710A9" w:rsidRDefault="000920C9" w:rsidP="00F90DF3">
            <w:pPr>
              <w:pStyle w:val="Sinespaciado"/>
              <w:spacing w:line="276" w:lineRule="auto"/>
              <w:jc w:val="center"/>
              <w:rPr>
                <w:rFonts w:ascii="Arial" w:hAnsi="Arial" w:cs="Arial"/>
                <w:color w:val="000000" w:themeColor="text1"/>
                <w:sz w:val="16"/>
                <w:szCs w:val="16"/>
              </w:rPr>
            </w:pPr>
          </w:p>
          <w:p w14:paraId="7FA8D45B" w14:textId="77777777" w:rsidR="000920C9" w:rsidRPr="00B710A9" w:rsidRDefault="000920C9" w:rsidP="00F90DF3">
            <w:pPr>
              <w:pStyle w:val="Sinespaciado"/>
              <w:spacing w:line="276" w:lineRule="auto"/>
              <w:jc w:val="center"/>
              <w:rPr>
                <w:rFonts w:ascii="Arial" w:hAnsi="Arial" w:cs="Arial"/>
                <w:color w:val="000000" w:themeColor="text1"/>
                <w:sz w:val="16"/>
                <w:szCs w:val="16"/>
              </w:rPr>
            </w:pPr>
            <w:r w:rsidRPr="00B710A9">
              <w:rPr>
                <w:rFonts w:ascii="Arial" w:eastAsia="Times New Roman" w:hAnsi="Arial" w:cs="Arial"/>
                <w:color w:val="000000" w:themeColor="text1"/>
                <w:sz w:val="16"/>
                <w:szCs w:val="16"/>
              </w:rPr>
              <w:t xml:space="preserve">Municipios asignados al IGAC: </w:t>
            </w:r>
          </w:p>
          <w:p w14:paraId="0AE7ABD6" w14:textId="77777777" w:rsidR="000920C9" w:rsidRPr="00B710A9" w:rsidRDefault="000920C9" w:rsidP="00F90DF3">
            <w:pPr>
              <w:pStyle w:val="Sinespaciado"/>
              <w:spacing w:line="276" w:lineRule="auto"/>
              <w:jc w:val="center"/>
              <w:rPr>
                <w:rFonts w:ascii="Arial" w:hAnsi="Arial" w:cs="Arial"/>
                <w:color w:val="000000" w:themeColor="text1"/>
                <w:sz w:val="16"/>
                <w:szCs w:val="16"/>
              </w:rPr>
            </w:pPr>
          </w:p>
          <w:p w14:paraId="74B7DF1F" w14:textId="77777777" w:rsidR="000920C9" w:rsidRPr="00B710A9" w:rsidRDefault="000920C9" w:rsidP="00F90DF3">
            <w:pPr>
              <w:pStyle w:val="Sinespaciado"/>
              <w:spacing w:line="276" w:lineRule="auto"/>
              <w:jc w:val="center"/>
              <w:rPr>
                <w:rFonts w:ascii="Arial" w:hAnsi="Arial" w:cs="Arial"/>
                <w:sz w:val="16"/>
                <w:szCs w:val="16"/>
              </w:rPr>
            </w:pPr>
            <w:r w:rsidRPr="00B710A9">
              <w:rPr>
                <w:rFonts w:ascii="Arial" w:eastAsia="Times New Roman" w:hAnsi="Arial" w:cs="Arial"/>
                <w:color w:val="000000" w:themeColor="text1"/>
                <w:sz w:val="16"/>
                <w:szCs w:val="16"/>
              </w:rPr>
              <w:t xml:space="preserve">Balboa - Cauca </w:t>
            </w:r>
            <w:r w:rsidRPr="00B710A9">
              <w:rPr>
                <w:rFonts w:ascii="Arial" w:hAnsi="Arial" w:cs="Arial"/>
                <w:b w:val="0"/>
                <w:bCs w:val="0"/>
                <w:sz w:val="16"/>
                <w:szCs w:val="16"/>
              </w:rPr>
              <w:t xml:space="preserve">(41.321,12, Has). </w:t>
            </w:r>
          </w:p>
          <w:p w14:paraId="4CF792CF" w14:textId="77777777" w:rsidR="000920C9" w:rsidRPr="00B710A9" w:rsidRDefault="000920C9" w:rsidP="00F90DF3">
            <w:pPr>
              <w:pStyle w:val="Sinespaciado"/>
              <w:spacing w:line="276" w:lineRule="auto"/>
              <w:jc w:val="center"/>
              <w:rPr>
                <w:rFonts w:ascii="Arial" w:hAnsi="Arial" w:cs="Arial"/>
                <w:sz w:val="16"/>
                <w:szCs w:val="16"/>
              </w:rPr>
            </w:pPr>
          </w:p>
          <w:p w14:paraId="50C7F46D" w14:textId="77777777" w:rsidR="000920C9" w:rsidRPr="00B710A9" w:rsidRDefault="000920C9" w:rsidP="00F90DF3">
            <w:pPr>
              <w:pStyle w:val="Sinespaciado"/>
              <w:spacing w:line="276" w:lineRule="auto"/>
              <w:jc w:val="center"/>
              <w:rPr>
                <w:rFonts w:ascii="Arial" w:hAnsi="Arial" w:cs="Arial"/>
                <w:sz w:val="16"/>
                <w:szCs w:val="16"/>
              </w:rPr>
            </w:pPr>
            <w:r w:rsidRPr="00B710A9">
              <w:rPr>
                <w:rFonts w:ascii="Arial" w:hAnsi="Arial" w:cs="Arial"/>
                <w:sz w:val="16"/>
                <w:szCs w:val="16"/>
              </w:rPr>
              <w:t>Orito - Putumayo</w:t>
            </w:r>
          </w:p>
          <w:p w14:paraId="21F8E2A6" w14:textId="77777777" w:rsidR="000920C9" w:rsidRPr="00B710A9" w:rsidRDefault="000920C9" w:rsidP="00F90DF3">
            <w:pPr>
              <w:pStyle w:val="Sinespaciado"/>
              <w:spacing w:line="276" w:lineRule="auto"/>
              <w:jc w:val="center"/>
              <w:rPr>
                <w:rFonts w:ascii="Arial" w:hAnsi="Arial" w:cs="Arial"/>
                <w:sz w:val="16"/>
                <w:szCs w:val="16"/>
              </w:rPr>
            </w:pPr>
            <w:r w:rsidRPr="00B710A9">
              <w:rPr>
                <w:rFonts w:ascii="Arial" w:hAnsi="Arial" w:cs="Arial"/>
                <w:b w:val="0"/>
                <w:bCs w:val="0"/>
                <w:sz w:val="16"/>
                <w:szCs w:val="16"/>
              </w:rPr>
              <w:t>(193.939,055 Has)</w:t>
            </w:r>
          </w:p>
        </w:tc>
        <w:tc>
          <w:tcPr>
            <w:tcW w:w="2424" w:type="pct"/>
            <w:vAlign w:val="center"/>
            <w:hideMark/>
          </w:tcPr>
          <w:p w14:paraId="641BC71B" w14:textId="77777777" w:rsidR="000920C9" w:rsidRPr="00B710A9" w:rsidRDefault="000920C9" w:rsidP="00356A3E">
            <w:pPr>
              <w:pStyle w:val="Prrafodelista"/>
              <w:numPr>
                <w:ilvl w:val="0"/>
                <w:numId w:val="85"/>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 xml:space="preserve">Designación y aceptación del IGAC como entidad pública ejecutora de recursos del Sistema General de Regalías a través de la </w:t>
            </w:r>
            <w:bookmarkStart w:id="39" w:name="_Int_eUxxDQTc"/>
            <w:r w:rsidRPr="00B710A9">
              <w:rPr>
                <w:rFonts w:ascii="Arial" w:hAnsi="Arial" w:cs="Arial"/>
                <w:sz w:val="16"/>
                <w:szCs w:val="16"/>
              </w:rPr>
              <w:t>Secretaría Técnica</w:t>
            </w:r>
            <w:bookmarkEnd w:id="39"/>
            <w:r w:rsidRPr="00B710A9">
              <w:rPr>
                <w:rFonts w:ascii="Arial" w:hAnsi="Arial" w:cs="Arial"/>
                <w:sz w:val="16"/>
                <w:szCs w:val="16"/>
              </w:rPr>
              <w:t xml:space="preserve"> del OCAD Paz para dos (2) Municipios PDET, como son Balboa (Cauca) y Orito Putumayo, durante la vigencia 2021, por valor de </w:t>
            </w:r>
            <w:r w:rsidRPr="00B710A9">
              <w:rPr>
                <w:rFonts w:ascii="Arial" w:eastAsia="Arial" w:hAnsi="Arial" w:cs="Arial"/>
                <w:color w:val="000000" w:themeColor="text1"/>
                <w:sz w:val="16"/>
                <w:szCs w:val="16"/>
              </w:rPr>
              <w:t xml:space="preserve">$6.652.904.737,73. </w:t>
            </w:r>
          </w:p>
          <w:p w14:paraId="18B2379E" w14:textId="77777777" w:rsidR="000920C9" w:rsidRPr="00B710A9" w:rsidRDefault="000920C9" w:rsidP="00356A3E">
            <w:pPr>
              <w:pStyle w:val="Prrafodelista"/>
              <w:numPr>
                <w:ilvl w:val="0"/>
                <w:numId w:val="85"/>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r w:rsidRPr="00B710A9">
              <w:rPr>
                <w:rFonts w:ascii="Arial" w:eastAsia="Arial" w:hAnsi="Arial" w:cs="Arial"/>
                <w:color w:val="000000" w:themeColor="text1"/>
                <w:sz w:val="16"/>
                <w:szCs w:val="16"/>
              </w:rPr>
              <w:t>Ap</w:t>
            </w:r>
            <w:r w:rsidRPr="00B710A9">
              <w:rPr>
                <w:rFonts w:ascii="Arial" w:hAnsi="Arial" w:cs="Arial"/>
                <w:sz w:val="16"/>
                <w:szCs w:val="16"/>
              </w:rPr>
              <w:t xml:space="preserve">ertura de los procesos de selección para los productos de cartografía básica de ambos Municipios y adjudicación de la Licitación Pública </w:t>
            </w:r>
            <w:proofErr w:type="spellStart"/>
            <w:r w:rsidRPr="00B710A9">
              <w:rPr>
                <w:rFonts w:ascii="Arial" w:hAnsi="Arial" w:cs="Arial"/>
                <w:sz w:val="16"/>
                <w:szCs w:val="16"/>
              </w:rPr>
              <w:t>N°</w:t>
            </w:r>
            <w:proofErr w:type="spellEnd"/>
            <w:r w:rsidRPr="00B710A9">
              <w:rPr>
                <w:rFonts w:ascii="Arial" w:hAnsi="Arial" w:cs="Arial"/>
                <w:sz w:val="16"/>
                <w:szCs w:val="16"/>
              </w:rPr>
              <w:t xml:space="preserve"> LP-001-2022-SC de Orito y Balboa, a la empresa UNIÓN TEMPORAL ISATECH - AEC; a través de Resolución 656 de 2022, por valor de 1.399.055.830,60.M/cte.</w:t>
            </w:r>
          </w:p>
          <w:p w14:paraId="080C75F4" w14:textId="77777777" w:rsidR="000920C9" w:rsidRPr="00B710A9" w:rsidRDefault="000920C9" w:rsidP="00356A3E">
            <w:pPr>
              <w:pStyle w:val="Prrafodelista"/>
              <w:numPr>
                <w:ilvl w:val="0"/>
                <w:numId w:val="85"/>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710A9">
              <w:rPr>
                <w:rFonts w:ascii="Arial" w:hAnsi="Arial" w:cs="Arial"/>
                <w:color w:val="000000" w:themeColor="text1"/>
                <w:sz w:val="16"/>
                <w:szCs w:val="16"/>
              </w:rPr>
              <w:t xml:space="preserve">Se adelantó el proceso precontractual de la licitación pública </w:t>
            </w:r>
            <w:r w:rsidRPr="00B710A9">
              <w:rPr>
                <w:rFonts w:ascii="Arial" w:hAnsi="Arial" w:cs="Arial"/>
                <w:sz w:val="16"/>
                <w:szCs w:val="16"/>
              </w:rPr>
              <w:t>LP-002-2022-SC</w:t>
            </w:r>
            <w:r w:rsidRPr="00B710A9">
              <w:rPr>
                <w:rFonts w:ascii="Arial" w:hAnsi="Arial" w:cs="Arial"/>
                <w:color w:val="000000" w:themeColor="text1"/>
                <w:sz w:val="16"/>
                <w:szCs w:val="16"/>
              </w:rPr>
              <w:t xml:space="preserve"> para adelantar los procesos de actualización catastral en los Municipios de Balboa (Cauca) y Orito (Putumayo), publicada el 6 abril de 2022, se recibió una oferta la cual fue objeto de evaluación, dando como resultado el no cumplimiento de los requisitos habilitantes por parte del proponente, lo que conllevo a la declaratoria de desierto del proceso.  </w:t>
            </w:r>
          </w:p>
          <w:p w14:paraId="6115C50A" w14:textId="77777777" w:rsidR="000920C9" w:rsidRPr="00B710A9" w:rsidRDefault="000920C9" w:rsidP="00356A3E">
            <w:pPr>
              <w:pStyle w:val="Prrafodelista"/>
              <w:numPr>
                <w:ilvl w:val="0"/>
                <w:numId w:val="85"/>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710A9">
              <w:rPr>
                <w:rFonts w:ascii="Arial" w:hAnsi="Arial" w:cs="Arial"/>
                <w:color w:val="000000" w:themeColor="text1"/>
                <w:sz w:val="16"/>
                <w:szCs w:val="16"/>
              </w:rPr>
              <w:t xml:space="preserve">Alistamiento de información técnica con entidades como SNR, ANT, ANLA; ICAHN, MINAMBIENTE; MINCULTURA, HUMBOLT, DANE, ANH, PNN entre otros. </w:t>
            </w:r>
          </w:p>
          <w:p w14:paraId="1B3501B4" w14:textId="77777777" w:rsidR="000920C9" w:rsidRPr="00B710A9" w:rsidRDefault="000920C9" w:rsidP="00356A3E">
            <w:pPr>
              <w:pStyle w:val="Prrafodelista"/>
              <w:numPr>
                <w:ilvl w:val="0"/>
                <w:numId w:val="85"/>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themeColor="text1"/>
                <w:sz w:val="16"/>
                <w:szCs w:val="16"/>
              </w:rPr>
              <w:t xml:space="preserve">Revisión de la nueva línea de tiempo del proyecto y reprogramación de las actividades en cumplimiento del cronograma. </w:t>
            </w:r>
          </w:p>
        </w:tc>
        <w:tc>
          <w:tcPr>
            <w:tcW w:w="1568" w:type="pct"/>
            <w:vAlign w:val="center"/>
            <w:hideMark/>
          </w:tcPr>
          <w:p w14:paraId="5B8F0D89" w14:textId="77777777" w:rsidR="000920C9" w:rsidRPr="00B710A9" w:rsidRDefault="000920C9" w:rsidP="00356A3E">
            <w:pPr>
              <w:pStyle w:val="Prrafodelista"/>
              <w:numPr>
                <w:ilvl w:val="0"/>
                <w:numId w:val="85"/>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B710A9">
              <w:rPr>
                <w:rFonts w:ascii="Arial" w:hAnsi="Arial" w:cs="Arial"/>
                <w:color w:val="000000" w:themeColor="text1"/>
                <w:sz w:val="16"/>
                <w:szCs w:val="16"/>
              </w:rPr>
              <w:t>Continuar y finalizar los procesos contractuales para la actualización de los municipios de Balboa y Orito.</w:t>
            </w:r>
          </w:p>
          <w:p w14:paraId="1A0734FC" w14:textId="77777777" w:rsidR="000920C9" w:rsidRPr="00B710A9" w:rsidRDefault="000920C9" w:rsidP="00F90DF3">
            <w:pPr>
              <w:pStyle w:val="Lista"/>
              <w:cnfStyle w:val="000000000000" w:firstRow="0" w:lastRow="0" w:firstColumn="0" w:lastColumn="0" w:oddVBand="0" w:evenVBand="0" w:oddHBand="0" w:evenHBand="0" w:firstRowFirstColumn="0" w:firstRowLastColumn="0" w:lastRowFirstColumn="0" w:lastRowLastColumn="0"/>
              <w:rPr>
                <w:rFonts w:cs="Arial"/>
                <w:sz w:val="16"/>
                <w:szCs w:val="16"/>
              </w:rPr>
            </w:pPr>
          </w:p>
          <w:p w14:paraId="218876D3" w14:textId="77777777" w:rsidR="000920C9" w:rsidRPr="00B710A9" w:rsidRDefault="000920C9" w:rsidP="00356A3E">
            <w:pPr>
              <w:pStyle w:val="Lista"/>
              <w:numPr>
                <w:ilvl w:val="0"/>
                <w:numId w:val="85"/>
              </w:numP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lang w:eastAsia="es-CO"/>
              </w:rPr>
            </w:pPr>
            <w:r w:rsidRPr="00B710A9">
              <w:rPr>
                <w:rFonts w:cs="Arial"/>
                <w:color w:val="000000" w:themeColor="text1"/>
                <w:sz w:val="16"/>
                <w:szCs w:val="16"/>
                <w:lang w:eastAsia="es-CO"/>
              </w:rPr>
              <w:t>Continuar con la gestión social y de seguimiento de los proyectos de inversión en conjunto con los involucrados. (Municipios, DNP, ART).</w:t>
            </w:r>
          </w:p>
          <w:p w14:paraId="0B4336E0" w14:textId="77777777" w:rsidR="000920C9" w:rsidRPr="00B710A9" w:rsidRDefault="000920C9" w:rsidP="00F90DF3">
            <w:pPr>
              <w:pStyle w:val="Lista"/>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lang w:eastAsia="es-CO"/>
              </w:rPr>
            </w:pPr>
          </w:p>
          <w:p w14:paraId="2C9CE806" w14:textId="77777777" w:rsidR="000920C9" w:rsidRPr="00B710A9" w:rsidRDefault="000920C9" w:rsidP="00356A3E">
            <w:pPr>
              <w:pStyle w:val="Lista"/>
              <w:numPr>
                <w:ilvl w:val="0"/>
                <w:numId w:val="85"/>
              </w:numP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lang w:eastAsia="es-CO"/>
              </w:rPr>
            </w:pPr>
            <w:r w:rsidRPr="00B710A9">
              <w:rPr>
                <w:rFonts w:cs="Arial"/>
                <w:color w:val="000000" w:themeColor="text1"/>
                <w:sz w:val="16"/>
                <w:szCs w:val="16"/>
                <w:lang w:eastAsia="es-CO"/>
              </w:rPr>
              <w:t xml:space="preserve">Gestión de pagos para los insumos que adelantará la entidad como destinatario final. (Decreto 625 de 2022). </w:t>
            </w:r>
          </w:p>
          <w:p w14:paraId="1A7DEDF2" w14:textId="77777777" w:rsidR="000920C9" w:rsidRPr="00B710A9" w:rsidRDefault="000920C9" w:rsidP="00F90DF3">
            <w:pPr>
              <w:pStyle w:val="Lista"/>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lang w:eastAsia="es-CO"/>
              </w:rPr>
            </w:pPr>
          </w:p>
          <w:p w14:paraId="6C1E267E" w14:textId="77777777" w:rsidR="000920C9" w:rsidRPr="00B710A9" w:rsidRDefault="000920C9" w:rsidP="00356A3E">
            <w:pPr>
              <w:pStyle w:val="Prrafodelista"/>
              <w:numPr>
                <w:ilvl w:val="0"/>
                <w:numId w:val="85"/>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themeColor="text1"/>
                <w:sz w:val="16"/>
                <w:szCs w:val="16"/>
              </w:rPr>
              <w:t>Seguimiento a la ejecución física y financiera de los proyectos de inversión para avanzar en la meta de actualización catastral.</w:t>
            </w:r>
          </w:p>
          <w:p w14:paraId="5BB797D9" w14:textId="77777777" w:rsidR="000920C9" w:rsidRPr="00B710A9" w:rsidRDefault="000920C9" w:rsidP="00356A3E">
            <w:pPr>
              <w:pStyle w:val="Prrafodelista"/>
              <w:numPr>
                <w:ilvl w:val="0"/>
                <w:numId w:val="85"/>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themeColor="text1"/>
                <w:sz w:val="16"/>
                <w:szCs w:val="16"/>
              </w:rPr>
              <w:t>Solicitud de ajuste del proyecto para ampliar el tiempo de ejecución en el periodo bienal 2023-2024.</w:t>
            </w:r>
          </w:p>
        </w:tc>
      </w:tr>
      <w:tr w:rsidR="000920C9" w:rsidRPr="00B710A9" w14:paraId="6C707F70" w14:textId="77777777" w:rsidTr="00B562F1">
        <w:trPr>
          <w:cnfStyle w:val="000000100000" w:firstRow="0" w:lastRow="0" w:firstColumn="0" w:lastColumn="0" w:oddVBand="0" w:evenVBand="0" w:oddHBand="1" w:evenHBand="0" w:firstRowFirstColumn="0" w:firstRowLastColumn="0" w:lastRowFirstColumn="0" w:lastRowLastColumn="0"/>
          <w:trHeight w:val="4091"/>
        </w:trPr>
        <w:tc>
          <w:tcPr>
            <w:cnfStyle w:val="001000000000" w:firstRow="0" w:lastRow="0" w:firstColumn="1" w:lastColumn="0" w:oddVBand="0" w:evenVBand="0" w:oddHBand="0" w:evenHBand="0" w:firstRowFirstColumn="0" w:firstRowLastColumn="0" w:lastRowFirstColumn="0" w:lastRowLastColumn="0"/>
            <w:tcW w:w="1008" w:type="pct"/>
            <w:vAlign w:val="center"/>
            <w:hideMark/>
          </w:tcPr>
          <w:p w14:paraId="6EF0F93D" w14:textId="77777777" w:rsidR="000920C9" w:rsidRPr="00B710A9" w:rsidRDefault="000920C9" w:rsidP="00F90DF3">
            <w:pPr>
              <w:spacing w:line="276" w:lineRule="auto"/>
              <w:jc w:val="center"/>
              <w:rPr>
                <w:rFonts w:ascii="Arial" w:hAnsi="Arial" w:cs="Arial"/>
                <w:color w:val="000000"/>
                <w:sz w:val="16"/>
                <w:szCs w:val="16"/>
              </w:rPr>
            </w:pPr>
            <w:r w:rsidRPr="00B710A9">
              <w:rPr>
                <w:rFonts w:ascii="Arial" w:hAnsi="Arial" w:cs="Arial"/>
                <w:color w:val="000000"/>
                <w:sz w:val="16"/>
                <w:szCs w:val="16"/>
              </w:rPr>
              <w:t>Fondo Colombia en Paz</w:t>
            </w:r>
          </w:p>
          <w:p w14:paraId="2D968416" w14:textId="77777777" w:rsidR="000920C9" w:rsidRPr="00B710A9" w:rsidRDefault="000920C9" w:rsidP="00F90DF3">
            <w:pPr>
              <w:spacing w:line="276" w:lineRule="auto"/>
              <w:jc w:val="center"/>
              <w:rPr>
                <w:rFonts w:ascii="Arial" w:hAnsi="Arial" w:cs="Arial"/>
                <w:sz w:val="16"/>
                <w:szCs w:val="16"/>
              </w:rPr>
            </w:pPr>
            <w:r w:rsidRPr="00B710A9">
              <w:rPr>
                <w:rFonts w:ascii="Arial" w:hAnsi="Arial" w:cs="Arial"/>
                <w:color w:val="000000"/>
                <w:sz w:val="16"/>
                <w:szCs w:val="16"/>
              </w:rPr>
              <w:br/>
            </w:r>
            <w:r w:rsidRPr="00B710A9">
              <w:rPr>
                <w:rFonts w:ascii="Arial" w:hAnsi="Arial" w:cs="Arial"/>
                <w:sz w:val="16"/>
                <w:szCs w:val="16"/>
              </w:rPr>
              <w:t xml:space="preserve">Municipios financiados: </w:t>
            </w:r>
          </w:p>
          <w:p w14:paraId="0255FB44" w14:textId="77777777" w:rsidR="000920C9" w:rsidRPr="00B710A9" w:rsidRDefault="000920C9" w:rsidP="00F90DF3">
            <w:pPr>
              <w:spacing w:line="276" w:lineRule="auto"/>
              <w:jc w:val="center"/>
              <w:rPr>
                <w:rFonts w:ascii="Arial" w:hAnsi="Arial" w:cs="Arial"/>
                <w:sz w:val="16"/>
                <w:szCs w:val="16"/>
              </w:rPr>
            </w:pPr>
            <w:r w:rsidRPr="00B710A9">
              <w:rPr>
                <w:rFonts w:ascii="Arial" w:hAnsi="Arial" w:cs="Arial"/>
                <w:sz w:val="16"/>
                <w:szCs w:val="16"/>
              </w:rPr>
              <w:t>20 municipios PDET con insumos agrológicos, geodésicos, geográficos y cartográficos</w:t>
            </w:r>
          </w:p>
          <w:p w14:paraId="379506D1" w14:textId="77777777" w:rsidR="000920C9" w:rsidRPr="00B710A9" w:rsidRDefault="000920C9" w:rsidP="00F90DF3">
            <w:pPr>
              <w:spacing w:line="276" w:lineRule="auto"/>
              <w:jc w:val="center"/>
              <w:rPr>
                <w:rFonts w:ascii="Arial" w:hAnsi="Arial" w:cs="Arial"/>
                <w:sz w:val="16"/>
                <w:szCs w:val="16"/>
              </w:rPr>
            </w:pPr>
            <w:r w:rsidRPr="00B710A9">
              <w:rPr>
                <w:rFonts w:ascii="Arial" w:hAnsi="Arial" w:cs="Arial"/>
                <w:sz w:val="16"/>
                <w:szCs w:val="16"/>
              </w:rPr>
              <w:t>y 12 con actualización catastral.</w:t>
            </w:r>
          </w:p>
          <w:p w14:paraId="6B3352B9" w14:textId="77777777" w:rsidR="000920C9" w:rsidRPr="00B710A9" w:rsidRDefault="000920C9" w:rsidP="00F90DF3">
            <w:pPr>
              <w:spacing w:line="276" w:lineRule="auto"/>
              <w:jc w:val="center"/>
              <w:rPr>
                <w:rFonts w:ascii="Arial" w:hAnsi="Arial" w:cs="Arial"/>
                <w:color w:val="000000"/>
                <w:sz w:val="16"/>
                <w:szCs w:val="16"/>
              </w:rPr>
            </w:pPr>
          </w:p>
        </w:tc>
        <w:tc>
          <w:tcPr>
            <w:tcW w:w="2424" w:type="pct"/>
            <w:vAlign w:val="center"/>
            <w:hideMark/>
          </w:tcPr>
          <w:p w14:paraId="2AF96909" w14:textId="77777777" w:rsidR="000920C9" w:rsidRPr="00B710A9" w:rsidRDefault="000920C9" w:rsidP="00356A3E">
            <w:pPr>
              <w:pStyle w:val="Prrafodelista"/>
              <w:numPr>
                <w:ilvl w:val="0"/>
                <w:numId w:val="89"/>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En diciembre de 2021 se crea la subcuenta de catastro multipropósito en Fondo Colombia en Paz, siendo el líder de la subcuenta el IGAC, los recursos se ejecutan por medio de FIDUPREVISORA, que es el consorcio del fondo para dicho proceso.</w:t>
            </w:r>
          </w:p>
          <w:p w14:paraId="3D3F526A" w14:textId="77777777" w:rsidR="000920C9" w:rsidRPr="00B710A9" w:rsidRDefault="000920C9" w:rsidP="00356A3E">
            <w:pPr>
              <w:pStyle w:val="Prrafodelista"/>
              <w:numPr>
                <w:ilvl w:val="0"/>
                <w:numId w:val="89"/>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 xml:space="preserve">Se gestionaron en 2021 los recursos para la generación de los insumos de agrológicos, geodésicos, geográficos y cartográficos de los municipios priorizados, por valor de $22 mil millones. </w:t>
            </w:r>
          </w:p>
          <w:p w14:paraId="414985AC" w14:textId="77777777" w:rsidR="000920C9" w:rsidRPr="00B710A9" w:rsidRDefault="000920C9" w:rsidP="00356A3E">
            <w:pPr>
              <w:pStyle w:val="Prrafodelista"/>
              <w:numPr>
                <w:ilvl w:val="0"/>
                <w:numId w:val="89"/>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Con dichos recursos se gestionaron 13 OPS para la generación de productos agrológicos y se programaron las siguientes convocatorias abiertas:</w:t>
            </w:r>
          </w:p>
          <w:p w14:paraId="3C99F72B" w14:textId="77777777" w:rsidR="000920C9" w:rsidRPr="00B710A9" w:rsidRDefault="000920C9" w:rsidP="00356A3E">
            <w:pPr>
              <w:pStyle w:val="Prrafodelista"/>
              <w:numPr>
                <w:ilvl w:val="1"/>
                <w:numId w:val="78"/>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b/>
                <w:color w:val="000000"/>
                <w:sz w:val="16"/>
                <w:szCs w:val="16"/>
              </w:rPr>
              <w:t xml:space="preserve">Red Geodésica: </w:t>
            </w:r>
            <w:r w:rsidRPr="00B710A9">
              <w:rPr>
                <w:rFonts w:ascii="Arial" w:hAnsi="Arial" w:cs="Arial"/>
                <w:color w:val="000000"/>
                <w:sz w:val="16"/>
                <w:szCs w:val="16"/>
              </w:rPr>
              <w:t>proceso declarado fallido en dos oportunidades.</w:t>
            </w:r>
          </w:p>
          <w:p w14:paraId="79AC04BC" w14:textId="77777777" w:rsidR="000920C9" w:rsidRPr="00B710A9" w:rsidRDefault="000920C9" w:rsidP="00356A3E">
            <w:pPr>
              <w:pStyle w:val="Lista"/>
              <w:numPr>
                <w:ilvl w:val="1"/>
                <w:numId w:val="78"/>
              </w:numPr>
              <w:cnfStyle w:val="000000100000" w:firstRow="0" w:lastRow="0" w:firstColumn="0" w:lastColumn="0" w:oddVBand="0" w:evenVBand="0" w:oddHBand="1" w:evenHBand="0" w:firstRowFirstColumn="0" w:firstRowLastColumn="0" w:lastRowFirstColumn="0" w:lastRowLastColumn="0"/>
              <w:rPr>
                <w:rFonts w:cs="Arial"/>
                <w:sz w:val="16"/>
                <w:szCs w:val="16"/>
                <w:lang w:eastAsia="es-CO"/>
              </w:rPr>
            </w:pPr>
            <w:r w:rsidRPr="00B710A9">
              <w:rPr>
                <w:rFonts w:cs="Arial"/>
                <w:b/>
                <w:sz w:val="16"/>
                <w:szCs w:val="16"/>
                <w:lang w:eastAsia="es-CO"/>
              </w:rPr>
              <w:t xml:space="preserve">Modelos Digitales de Terreno: </w:t>
            </w:r>
            <w:r w:rsidRPr="00B710A9">
              <w:rPr>
                <w:rFonts w:cs="Arial"/>
                <w:sz w:val="16"/>
                <w:szCs w:val="16"/>
                <w:lang w:eastAsia="es-CO"/>
              </w:rPr>
              <w:t>adjudicado</w:t>
            </w:r>
          </w:p>
          <w:p w14:paraId="573E9183" w14:textId="77777777" w:rsidR="000920C9" w:rsidRPr="00B710A9" w:rsidRDefault="000920C9" w:rsidP="00356A3E">
            <w:pPr>
              <w:pStyle w:val="Lista"/>
              <w:numPr>
                <w:ilvl w:val="1"/>
                <w:numId w:val="78"/>
              </w:numPr>
              <w:cnfStyle w:val="000000100000" w:firstRow="0" w:lastRow="0" w:firstColumn="0" w:lastColumn="0" w:oddVBand="0" w:evenVBand="0" w:oddHBand="1" w:evenHBand="0" w:firstRowFirstColumn="0" w:firstRowLastColumn="0" w:lastRowFirstColumn="0" w:lastRowLastColumn="0"/>
              <w:rPr>
                <w:rFonts w:cs="Arial"/>
                <w:sz w:val="16"/>
                <w:szCs w:val="16"/>
                <w:lang w:eastAsia="es-CO"/>
              </w:rPr>
            </w:pPr>
            <w:proofErr w:type="spellStart"/>
            <w:r w:rsidRPr="00B710A9">
              <w:rPr>
                <w:rFonts w:cs="Arial"/>
                <w:b/>
                <w:sz w:val="16"/>
                <w:szCs w:val="16"/>
                <w:lang w:eastAsia="es-CO"/>
              </w:rPr>
              <w:t>Ortoimágenes</w:t>
            </w:r>
            <w:proofErr w:type="spellEnd"/>
            <w:r w:rsidRPr="00B710A9">
              <w:rPr>
                <w:rFonts w:cs="Arial"/>
                <w:b/>
                <w:sz w:val="16"/>
                <w:szCs w:val="16"/>
                <w:lang w:eastAsia="es-CO"/>
              </w:rPr>
              <w:t>:</w:t>
            </w:r>
            <w:r w:rsidRPr="00B710A9">
              <w:rPr>
                <w:rFonts w:cs="Arial"/>
                <w:sz w:val="16"/>
                <w:szCs w:val="16"/>
                <w:lang w:eastAsia="es-CO"/>
              </w:rPr>
              <w:t xml:space="preserve"> adjudicado</w:t>
            </w:r>
          </w:p>
          <w:p w14:paraId="16613A1D" w14:textId="77777777" w:rsidR="000920C9" w:rsidRPr="00B710A9" w:rsidRDefault="000920C9" w:rsidP="00356A3E">
            <w:pPr>
              <w:pStyle w:val="Lista"/>
              <w:numPr>
                <w:ilvl w:val="1"/>
                <w:numId w:val="78"/>
              </w:numPr>
              <w:cnfStyle w:val="000000100000" w:firstRow="0" w:lastRow="0" w:firstColumn="0" w:lastColumn="0" w:oddVBand="0" w:evenVBand="0" w:oddHBand="1" w:evenHBand="0" w:firstRowFirstColumn="0" w:firstRowLastColumn="0" w:lastRowFirstColumn="0" w:lastRowLastColumn="0"/>
              <w:rPr>
                <w:rFonts w:cs="Arial"/>
                <w:sz w:val="16"/>
                <w:szCs w:val="16"/>
                <w:lang w:eastAsia="es-CO"/>
              </w:rPr>
            </w:pPr>
            <w:r w:rsidRPr="00B710A9">
              <w:rPr>
                <w:rFonts w:cs="Arial"/>
                <w:b/>
                <w:sz w:val="16"/>
                <w:szCs w:val="16"/>
                <w:lang w:eastAsia="es-CO"/>
              </w:rPr>
              <w:t>Cartografía:</w:t>
            </w:r>
            <w:r w:rsidRPr="00B710A9">
              <w:rPr>
                <w:rFonts w:cs="Arial"/>
                <w:sz w:val="16"/>
                <w:szCs w:val="16"/>
                <w:lang w:eastAsia="es-CO"/>
              </w:rPr>
              <w:t xml:space="preserve"> convocatoria en proceso</w:t>
            </w:r>
          </w:p>
          <w:p w14:paraId="2AFF371D" w14:textId="77777777" w:rsidR="000920C9" w:rsidRPr="00B710A9" w:rsidRDefault="000920C9" w:rsidP="00356A3E">
            <w:pPr>
              <w:pStyle w:val="Lista"/>
              <w:numPr>
                <w:ilvl w:val="1"/>
                <w:numId w:val="78"/>
              </w:numPr>
              <w:cnfStyle w:val="000000100000" w:firstRow="0" w:lastRow="0" w:firstColumn="0" w:lastColumn="0" w:oddVBand="0" w:evenVBand="0" w:oddHBand="1" w:evenHBand="0" w:firstRowFirstColumn="0" w:firstRowLastColumn="0" w:lastRowFirstColumn="0" w:lastRowLastColumn="0"/>
              <w:rPr>
                <w:rFonts w:cs="Arial"/>
                <w:sz w:val="16"/>
                <w:szCs w:val="16"/>
                <w:lang w:eastAsia="es-CO"/>
              </w:rPr>
            </w:pPr>
            <w:r w:rsidRPr="00B710A9">
              <w:rPr>
                <w:rFonts w:cs="Arial"/>
                <w:b/>
                <w:sz w:val="16"/>
                <w:szCs w:val="16"/>
                <w:lang w:eastAsia="es-CO"/>
              </w:rPr>
              <w:t>Coordenadas:</w:t>
            </w:r>
            <w:r w:rsidRPr="00B710A9">
              <w:rPr>
                <w:rFonts w:cs="Arial"/>
                <w:sz w:val="16"/>
                <w:szCs w:val="16"/>
                <w:lang w:eastAsia="es-CO"/>
              </w:rPr>
              <w:t xml:space="preserve"> convocatoria en proceso</w:t>
            </w:r>
          </w:p>
          <w:p w14:paraId="32ACE59A" w14:textId="2C9C76B1" w:rsidR="000920C9" w:rsidRPr="00B710A9" w:rsidRDefault="000920C9" w:rsidP="00356A3E">
            <w:pPr>
              <w:pStyle w:val="Prrafodelista"/>
              <w:numPr>
                <w:ilvl w:val="0"/>
                <w:numId w:val="95"/>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Para la vigencia 2022 se aprobaron $30.000 millones para la actualización catastral de 12 municipios priorizados, los cuales ya fueron incorporados en la subcuenta y cuentan con plan de contratación presentado por el IGAC a la dirección ejecutiva del Fondo.</w:t>
            </w:r>
          </w:p>
        </w:tc>
        <w:tc>
          <w:tcPr>
            <w:tcW w:w="1568" w:type="pct"/>
            <w:vAlign w:val="center"/>
            <w:hideMark/>
          </w:tcPr>
          <w:p w14:paraId="2DF11D96" w14:textId="77777777" w:rsidR="000920C9" w:rsidRPr="00B710A9" w:rsidRDefault="000920C9" w:rsidP="00356A3E">
            <w:pPr>
              <w:pStyle w:val="Prrafodelista"/>
              <w:numPr>
                <w:ilvl w:val="0"/>
                <w:numId w:val="87"/>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Adjudicación de los procesos que se encuentran en fase se convocatoria.</w:t>
            </w:r>
          </w:p>
          <w:p w14:paraId="1608D8C3" w14:textId="77777777" w:rsidR="000920C9" w:rsidRPr="00B710A9" w:rsidRDefault="000920C9" w:rsidP="00356A3E">
            <w:pPr>
              <w:pStyle w:val="Lista"/>
              <w:numPr>
                <w:ilvl w:val="0"/>
                <w:numId w:val="87"/>
              </w:numPr>
              <w:cnfStyle w:val="000000100000" w:firstRow="0" w:lastRow="0" w:firstColumn="0" w:lastColumn="0" w:oddVBand="0" w:evenVBand="0" w:oddHBand="1" w:evenHBand="0" w:firstRowFirstColumn="0" w:firstRowLastColumn="0" w:lastRowFirstColumn="0" w:lastRowLastColumn="0"/>
              <w:rPr>
                <w:rFonts w:cs="Arial"/>
                <w:sz w:val="16"/>
                <w:szCs w:val="16"/>
                <w:lang w:eastAsia="es-CO"/>
              </w:rPr>
            </w:pPr>
            <w:r w:rsidRPr="00B710A9">
              <w:rPr>
                <w:rFonts w:cs="Arial"/>
                <w:sz w:val="16"/>
                <w:szCs w:val="16"/>
                <w:lang w:eastAsia="es-CO"/>
              </w:rPr>
              <w:t>Iniciar el proceso de levantamiento de análisis preliminares para iniciar las convocatorias de las actualizaciones catastrales.</w:t>
            </w:r>
          </w:p>
        </w:tc>
      </w:tr>
      <w:tr w:rsidR="000920C9" w:rsidRPr="00B710A9" w14:paraId="26454278" w14:textId="77777777" w:rsidTr="00B562F1">
        <w:trPr>
          <w:trHeight w:val="4780"/>
        </w:trPr>
        <w:tc>
          <w:tcPr>
            <w:cnfStyle w:val="001000000000" w:firstRow="0" w:lastRow="0" w:firstColumn="1" w:lastColumn="0" w:oddVBand="0" w:evenVBand="0" w:oddHBand="0" w:evenHBand="0" w:firstRowFirstColumn="0" w:firstRowLastColumn="0" w:lastRowFirstColumn="0" w:lastRowLastColumn="0"/>
            <w:tcW w:w="1008" w:type="pct"/>
            <w:vAlign w:val="center"/>
            <w:hideMark/>
          </w:tcPr>
          <w:p w14:paraId="32D5DA48" w14:textId="77777777" w:rsidR="000920C9" w:rsidRPr="00B710A9" w:rsidRDefault="000920C9" w:rsidP="00F90DF3">
            <w:pPr>
              <w:spacing w:line="276" w:lineRule="auto"/>
              <w:jc w:val="center"/>
              <w:rPr>
                <w:rFonts w:ascii="Arial" w:hAnsi="Arial" w:cs="Arial"/>
                <w:color w:val="000000"/>
                <w:sz w:val="16"/>
                <w:szCs w:val="16"/>
              </w:rPr>
            </w:pPr>
            <w:r w:rsidRPr="00B710A9">
              <w:rPr>
                <w:rFonts w:ascii="Arial" w:hAnsi="Arial" w:cs="Arial"/>
                <w:color w:val="000000"/>
                <w:sz w:val="16"/>
                <w:szCs w:val="16"/>
              </w:rPr>
              <w:lastRenderedPageBreak/>
              <w:t>Zonas Futuro</w:t>
            </w:r>
          </w:p>
          <w:p w14:paraId="5123D9E4" w14:textId="77777777" w:rsidR="000920C9" w:rsidRPr="00B710A9" w:rsidRDefault="000920C9" w:rsidP="00F90DF3">
            <w:pPr>
              <w:spacing w:line="276" w:lineRule="auto"/>
              <w:jc w:val="center"/>
              <w:rPr>
                <w:rFonts w:ascii="Arial" w:hAnsi="Arial" w:cs="Arial"/>
                <w:color w:val="000000"/>
                <w:sz w:val="16"/>
                <w:szCs w:val="16"/>
              </w:rPr>
            </w:pPr>
            <w:r w:rsidRPr="00B710A9">
              <w:rPr>
                <w:rFonts w:ascii="Arial" w:hAnsi="Arial" w:cs="Arial"/>
                <w:color w:val="000000"/>
                <w:sz w:val="16"/>
                <w:szCs w:val="16"/>
              </w:rPr>
              <w:br/>
            </w:r>
            <w:r w:rsidRPr="00B710A9">
              <w:rPr>
                <w:rFonts w:ascii="Arial" w:hAnsi="Arial" w:cs="Arial"/>
                <w:color w:val="000000"/>
                <w:sz w:val="16"/>
                <w:szCs w:val="16"/>
              </w:rPr>
              <w:br/>
              <w:t>Municipios financiados:</w:t>
            </w:r>
            <w:r w:rsidRPr="00B710A9">
              <w:rPr>
                <w:rFonts w:ascii="Arial" w:hAnsi="Arial" w:cs="Arial"/>
                <w:b w:val="0"/>
                <w:color w:val="000000"/>
                <w:sz w:val="16"/>
                <w:szCs w:val="16"/>
              </w:rPr>
              <w:t xml:space="preserve"> 3 municipios PDET para insumos y actualización catastral (San Calixto – Norte de Santander, Puerto Libertador - Córdoba y Fortul - Arauca), 2 municipios para insumos parciales (Bojayá – Chocó y El Charco - Nariño)</w:t>
            </w:r>
            <w:r w:rsidRPr="00B710A9">
              <w:rPr>
                <w:rFonts w:ascii="Arial" w:hAnsi="Arial" w:cs="Arial"/>
                <w:color w:val="000000"/>
                <w:sz w:val="16"/>
                <w:szCs w:val="16"/>
              </w:rPr>
              <w:br/>
            </w:r>
          </w:p>
          <w:p w14:paraId="676AE295" w14:textId="77777777" w:rsidR="000920C9" w:rsidRPr="00B710A9" w:rsidRDefault="000920C9" w:rsidP="00F90DF3">
            <w:pPr>
              <w:spacing w:line="276" w:lineRule="auto"/>
              <w:jc w:val="center"/>
              <w:rPr>
                <w:rFonts w:ascii="Arial" w:hAnsi="Arial" w:cs="Arial"/>
                <w:color w:val="000000"/>
                <w:sz w:val="16"/>
                <w:szCs w:val="16"/>
              </w:rPr>
            </w:pPr>
            <w:r w:rsidRPr="00B710A9">
              <w:rPr>
                <w:rFonts w:ascii="Arial" w:hAnsi="Arial" w:cs="Arial"/>
                <w:color w:val="000000"/>
                <w:sz w:val="16"/>
                <w:szCs w:val="16"/>
              </w:rPr>
              <w:t>Recursos asignados a la subcuenta de catastro multipropósito FCP</w:t>
            </w:r>
            <w:r w:rsidRPr="00B710A9">
              <w:rPr>
                <w:rFonts w:ascii="Arial" w:hAnsi="Arial" w:cs="Arial"/>
                <w:color w:val="000000"/>
                <w:sz w:val="16"/>
                <w:szCs w:val="16"/>
              </w:rPr>
              <w:br/>
              <w:t>IGAC líder de la subcuenta</w:t>
            </w:r>
          </w:p>
        </w:tc>
        <w:tc>
          <w:tcPr>
            <w:tcW w:w="2424" w:type="pct"/>
            <w:vAlign w:val="center"/>
            <w:hideMark/>
          </w:tcPr>
          <w:p w14:paraId="0A835768" w14:textId="77777777" w:rsidR="000920C9" w:rsidRPr="00B710A9" w:rsidRDefault="000920C9" w:rsidP="00F90D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Actividades desarrolladas</w:t>
            </w:r>
          </w:p>
          <w:p w14:paraId="6BBCEC1F" w14:textId="77777777" w:rsidR="000920C9" w:rsidRPr="00B710A9" w:rsidRDefault="000920C9" w:rsidP="00356A3E">
            <w:pPr>
              <w:pStyle w:val="Prrafodelista"/>
              <w:numPr>
                <w:ilvl w:val="0"/>
                <w:numId w:val="87"/>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En junio se informa desde Presidencia que a través de recursos de Zonas Futuro se direccionan recursos para la generación de insumos y actualización catastral de 5 municipios; San Calixto, Puerto Libertador, Fortul, Bojayá y El Charco, estos dos últimos con un presupuesto parcial.</w:t>
            </w:r>
          </w:p>
          <w:p w14:paraId="49BB5C12" w14:textId="77777777" w:rsidR="000920C9" w:rsidRPr="00B710A9" w:rsidRDefault="000920C9" w:rsidP="00356A3E">
            <w:pPr>
              <w:pStyle w:val="Prrafodelista"/>
              <w:numPr>
                <w:ilvl w:val="0"/>
                <w:numId w:val="87"/>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En junio se presenta la cotización por parte del IGAC y el 18 de junio, el IGAC remite propuesta de minuta del contrato. La proyección para finalización en diciembre de los proyectos tiene la condición que los contratos se suscriban a más tardar en julio</w:t>
            </w:r>
          </w:p>
          <w:p w14:paraId="33C7ED4A" w14:textId="77777777" w:rsidR="000920C9" w:rsidRPr="00B710A9" w:rsidRDefault="000920C9" w:rsidP="00356A3E">
            <w:pPr>
              <w:pStyle w:val="Prrafodelista"/>
              <w:numPr>
                <w:ilvl w:val="0"/>
                <w:numId w:val="87"/>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En julio, desde Fondo Paz informan que sólo suscriben el contrato por la totalidad del municipio de acuerdo con las directrices recibidas por parte del director El IGAC responde que se puede firmar por la totalidad del municipio, pero es posible hacer el levantamiento de las zonas con presencia étnica en 2021, debido a que se tiene que surtir el trámite de la consulta previa y hay municipios como Bojayá y El Charco que tienen más del 90% de su territorio con presencia étnica</w:t>
            </w:r>
          </w:p>
          <w:p w14:paraId="17E7060E" w14:textId="77777777" w:rsidR="000920C9" w:rsidRPr="00B710A9" w:rsidRDefault="000920C9" w:rsidP="00356A3E">
            <w:pPr>
              <w:pStyle w:val="Prrafodelista"/>
              <w:numPr>
                <w:ilvl w:val="0"/>
                <w:numId w:val="87"/>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 xml:space="preserve">A finales de julio la Consejería para el Cumplimiento informa que va a mediar ante el </w:t>
            </w:r>
            <w:proofErr w:type="gramStart"/>
            <w:r w:rsidRPr="00B710A9">
              <w:rPr>
                <w:rFonts w:ascii="Arial" w:hAnsi="Arial" w:cs="Arial"/>
                <w:color w:val="000000"/>
                <w:sz w:val="16"/>
                <w:szCs w:val="16"/>
              </w:rPr>
              <w:t>Director</w:t>
            </w:r>
            <w:proofErr w:type="gramEnd"/>
            <w:r w:rsidRPr="00B710A9">
              <w:rPr>
                <w:rFonts w:ascii="Arial" w:hAnsi="Arial" w:cs="Arial"/>
                <w:color w:val="000000"/>
                <w:sz w:val="16"/>
                <w:szCs w:val="16"/>
              </w:rPr>
              <w:t xml:space="preserve"> de Fondo Acción para avanzar en el proceso.</w:t>
            </w:r>
          </w:p>
          <w:p w14:paraId="14DFF638" w14:textId="77777777" w:rsidR="000920C9" w:rsidRPr="00B710A9" w:rsidRDefault="000920C9" w:rsidP="00356A3E">
            <w:pPr>
              <w:pStyle w:val="Prrafodelista"/>
              <w:numPr>
                <w:ilvl w:val="0"/>
                <w:numId w:val="87"/>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En agosto toda vez que no se habían suscrito los contratos, el IGAC propone suscribir estos contratos con la posibilidad de contar con vigencias futuras a lo que Fondo Acción responde diciendo que no es posible.</w:t>
            </w:r>
          </w:p>
          <w:p w14:paraId="6EF57F7C" w14:textId="77777777" w:rsidR="000920C9" w:rsidRPr="00B710A9" w:rsidRDefault="000920C9" w:rsidP="00356A3E">
            <w:pPr>
              <w:pStyle w:val="Prrafodelista"/>
              <w:numPr>
                <w:ilvl w:val="0"/>
                <w:numId w:val="87"/>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En septiembre le solicitan al IGAC las propuestas de ejecución a 3 meses. El 8 de septiembre el IGAC remite las propuestas con los productos que serían entregados y el presupuesto ejecutado en ese plazo.</w:t>
            </w:r>
          </w:p>
          <w:p w14:paraId="5B289A47" w14:textId="77777777" w:rsidR="000920C9" w:rsidRPr="00B710A9" w:rsidRDefault="000920C9" w:rsidP="00356A3E">
            <w:pPr>
              <w:pStyle w:val="Prrafodelista"/>
              <w:numPr>
                <w:ilvl w:val="0"/>
                <w:numId w:val="87"/>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 xml:space="preserve">En octubre se define que el proyecto se ejecuta a través de Fondo Colombia en Paz. El IGAC remite el 6 de octubre la memoria justificativa para el aumento de techo de la Subcuenta de Catastro Multipropósito en FCP y las propuestas con ejecución total del presupuesto asignado por municipio. </w:t>
            </w:r>
          </w:p>
          <w:p w14:paraId="3FB374BA" w14:textId="77777777" w:rsidR="000920C9" w:rsidRPr="00B710A9" w:rsidRDefault="000920C9" w:rsidP="00356A3E">
            <w:pPr>
              <w:pStyle w:val="Prrafodelista"/>
              <w:numPr>
                <w:ilvl w:val="0"/>
                <w:numId w:val="87"/>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El 20 de octubre Fondo Paz informó que el presupuesto de los municipios de Bojayá y El Charco sería de 500 millones de pesos, por lo cual se tuvo que remitir nuevamente la propuesta incluyendo los productos que se pueden generar con este presupuesto. La nueva propuesta fue remitida el 21 de octubre.</w:t>
            </w:r>
          </w:p>
          <w:p w14:paraId="6291E2BA" w14:textId="77777777" w:rsidR="000920C9" w:rsidRPr="00B710A9" w:rsidRDefault="000920C9" w:rsidP="00356A3E">
            <w:pPr>
              <w:pStyle w:val="Prrafodelista"/>
              <w:numPr>
                <w:ilvl w:val="0"/>
                <w:numId w:val="87"/>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El 5 de noviembre el IGAC presentó ante el Consejo Directivo de Fondo Colombia en Paz, la solicitud de aumento de tope de la Subcuenta de Catastro Multipropósito, con el fin de que puedan ingresar los recursos de los 5 municipios de Zonas Futuro.</w:t>
            </w:r>
          </w:p>
          <w:p w14:paraId="11B3EDA3" w14:textId="77777777" w:rsidR="000920C9" w:rsidRPr="00B710A9" w:rsidRDefault="000920C9" w:rsidP="00356A3E">
            <w:pPr>
              <w:pStyle w:val="Lista"/>
              <w:numPr>
                <w:ilvl w:val="0"/>
                <w:numId w:val="87"/>
              </w:numPr>
              <w:overflowPunct/>
              <w:autoSpaceDE/>
              <w:spacing w:line="276" w:lineRule="auto"/>
              <w:contextualSpacing/>
              <w:textAlignment w:val="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O"/>
              </w:rPr>
            </w:pPr>
            <w:r w:rsidRPr="00B710A9">
              <w:rPr>
                <w:rFonts w:cs="Arial"/>
                <w:color w:val="000000"/>
                <w:sz w:val="16"/>
                <w:szCs w:val="16"/>
                <w:lang w:eastAsia="es-CO"/>
              </w:rPr>
              <w:t xml:space="preserve">Se define que el IGAC liderará los procesos de los municipios de Puerto Libertador - Córdoba y Fortul – Arauca por ser su gestor catastral, mientras que </w:t>
            </w:r>
            <w:proofErr w:type="spellStart"/>
            <w:r w:rsidRPr="00B710A9">
              <w:rPr>
                <w:rFonts w:cs="Arial"/>
                <w:color w:val="000000"/>
                <w:sz w:val="16"/>
                <w:szCs w:val="16"/>
                <w:lang w:eastAsia="es-CO"/>
              </w:rPr>
              <w:t>Asomunicipios</w:t>
            </w:r>
            <w:proofErr w:type="spellEnd"/>
            <w:r w:rsidRPr="00B710A9">
              <w:rPr>
                <w:rFonts w:cs="Arial"/>
                <w:color w:val="000000"/>
                <w:sz w:val="16"/>
                <w:szCs w:val="16"/>
                <w:lang w:eastAsia="es-CO"/>
              </w:rPr>
              <w:t xml:space="preserve"> del Catatumbo por ser gestor catastral de San Calixto, liderará ese proceso.</w:t>
            </w:r>
          </w:p>
          <w:p w14:paraId="3EB0478D" w14:textId="77777777" w:rsidR="000920C9" w:rsidRPr="00B710A9" w:rsidRDefault="000920C9" w:rsidP="00356A3E">
            <w:pPr>
              <w:pStyle w:val="Lista"/>
              <w:numPr>
                <w:ilvl w:val="0"/>
                <w:numId w:val="87"/>
              </w:numPr>
              <w:overflowPunct/>
              <w:autoSpaceDE/>
              <w:spacing w:line="276" w:lineRule="auto"/>
              <w:contextualSpacing/>
              <w:textAlignment w:val="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O"/>
              </w:rPr>
            </w:pPr>
            <w:r w:rsidRPr="00B710A9">
              <w:rPr>
                <w:rFonts w:cs="Arial"/>
                <w:color w:val="000000"/>
                <w:sz w:val="16"/>
                <w:szCs w:val="16"/>
                <w:lang w:eastAsia="es-CO"/>
              </w:rPr>
              <w:t xml:space="preserve">Suscripción del Convenio 1046 de 2021 celebrado entre el fondo de programas especiales para la paz y el consorcio fondo Colombia en paz 2019, en su calidad de vocero y administrador del patrimonio autónomo fondo Colombia en paz, con el fin de" Aunar esfuerzos técnicos, </w:t>
            </w:r>
            <w:r w:rsidRPr="00B710A9">
              <w:rPr>
                <w:rFonts w:cs="Arial"/>
                <w:color w:val="000000"/>
                <w:sz w:val="16"/>
                <w:szCs w:val="16"/>
                <w:lang w:eastAsia="es-CO"/>
              </w:rPr>
              <w:lastRenderedPageBreak/>
              <w:t>administrativos y financieros entre el Fondo de Programas Especiales para la Paz (en adelante "Fondo Paz") y el Patrimonio Autónomo Fondo Colombia en Paz para la implementación de acciones orientadas a adelantar las actividades de la Actualización Catastral con enfoque Multipropósito en los municipios priorizados de las Zonas Futuro”.</w:t>
            </w:r>
          </w:p>
          <w:p w14:paraId="0BB5D50D" w14:textId="77777777" w:rsidR="000920C9" w:rsidRPr="00B710A9" w:rsidRDefault="000920C9" w:rsidP="00356A3E">
            <w:pPr>
              <w:pStyle w:val="Lista"/>
              <w:numPr>
                <w:ilvl w:val="0"/>
                <w:numId w:val="87"/>
              </w:numPr>
              <w:overflowPunct/>
              <w:autoSpaceDE/>
              <w:spacing w:line="276" w:lineRule="auto"/>
              <w:contextualSpacing/>
              <w:textAlignment w:val="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O"/>
              </w:rPr>
            </w:pPr>
            <w:r w:rsidRPr="00B710A9">
              <w:rPr>
                <w:rFonts w:cs="Arial"/>
                <w:color w:val="000000"/>
                <w:sz w:val="16"/>
                <w:szCs w:val="16"/>
                <w:lang w:eastAsia="es-CO"/>
              </w:rPr>
              <w:t>El 16 de abril de 2022, fue publicado el proceso de contratación de los dos municipios a cargo del IGAC: Fortul (Arauca) y Puerto Libertador (Córdoba), para el proceso de Fortul no se recibieron propuestas por lo que el proceso se fue desierto, respecto del proceso de Puerto Libertador se recibió una oferta la cual fue objeto de evaluación evidenciándose preliminarmente que el proponente no cumple con los requisitos técnicos habilitantes del proceso, por lo tanto se espera finalizar el proceso que de acuerdo a lo evidenciado a la fecha se declararía desierto. Teniendo en cuenta esta situación el IGAC está revisando las alternativas de contratación actuales y elaborando una nueva propuesta técnica para la contratación del operador catastral para estos municipios.</w:t>
            </w:r>
          </w:p>
        </w:tc>
        <w:tc>
          <w:tcPr>
            <w:tcW w:w="1568" w:type="pct"/>
            <w:vAlign w:val="center"/>
            <w:hideMark/>
          </w:tcPr>
          <w:p w14:paraId="59BB0B9E" w14:textId="77777777" w:rsidR="000920C9" w:rsidRPr="00B710A9" w:rsidRDefault="000920C9" w:rsidP="00356A3E">
            <w:pPr>
              <w:pStyle w:val="Prrafodelista"/>
              <w:numPr>
                <w:ilvl w:val="0"/>
                <w:numId w:val="85"/>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lastRenderedPageBreak/>
              <w:t>Finalización del proceso contractual del municipio de Puerto Libertador para la actualización de los municipios, definición de declaratoria de desierta e inicio de un nuevo proceso de contratación para los municipios de Fortul y Puerto Libertador.</w:t>
            </w:r>
          </w:p>
          <w:p w14:paraId="77B99991" w14:textId="77777777" w:rsidR="000920C9" w:rsidRPr="00B710A9" w:rsidRDefault="000920C9" w:rsidP="00F90D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0920C9" w:rsidRPr="00B710A9" w14:paraId="6427B376" w14:textId="77777777" w:rsidTr="00B562F1">
        <w:trPr>
          <w:cnfStyle w:val="000000100000" w:firstRow="0" w:lastRow="0" w:firstColumn="0" w:lastColumn="0" w:oddVBand="0" w:evenVBand="0" w:oddHBand="1" w:evenHBand="0" w:firstRowFirstColumn="0" w:firstRowLastColumn="0" w:lastRowFirstColumn="0" w:lastRowLastColumn="0"/>
          <w:trHeight w:val="3098"/>
        </w:trPr>
        <w:tc>
          <w:tcPr>
            <w:cnfStyle w:val="001000000000" w:firstRow="0" w:lastRow="0" w:firstColumn="1" w:lastColumn="0" w:oddVBand="0" w:evenVBand="0" w:oddHBand="0" w:evenHBand="0" w:firstRowFirstColumn="0" w:firstRowLastColumn="0" w:lastRowFirstColumn="0" w:lastRowLastColumn="0"/>
            <w:tcW w:w="1008" w:type="pct"/>
            <w:vAlign w:val="center"/>
            <w:hideMark/>
          </w:tcPr>
          <w:p w14:paraId="4A13B38F" w14:textId="77777777" w:rsidR="000920C9" w:rsidRPr="00B710A9" w:rsidRDefault="000920C9" w:rsidP="00F90DF3">
            <w:pPr>
              <w:spacing w:after="240" w:line="276" w:lineRule="auto"/>
              <w:jc w:val="center"/>
              <w:rPr>
                <w:rFonts w:ascii="Arial" w:hAnsi="Arial" w:cs="Arial"/>
                <w:color w:val="000000"/>
                <w:sz w:val="16"/>
                <w:szCs w:val="16"/>
              </w:rPr>
            </w:pPr>
            <w:r w:rsidRPr="00B710A9">
              <w:rPr>
                <w:rFonts w:ascii="Arial" w:hAnsi="Arial" w:cs="Arial"/>
                <w:color w:val="000000"/>
                <w:sz w:val="16"/>
                <w:szCs w:val="16"/>
              </w:rPr>
              <w:t>Findeter</w:t>
            </w:r>
          </w:p>
          <w:p w14:paraId="70DC571A" w14:textId="77777777" w:rsidR="000920C9" w:rsidRPr="00B710A9" w:rsidRDefault="000920C9" w:rsidP="00F90DF3">
            <w:pPr>
              <w:spacing w:after="240" w:line="276" w:lineRule="auto"/>
              <w:jc w:val="center"/>
              <w:rPr>
                <w:rFonts w:ascii="Arial" w:hAnsi="Arial" w:cs="Arial"/>
                <w:color w:val="000000"/>
                <w:sz w:val="16"/>
                <w:szCs w:val="16"/>
              </w:rPr>
            </w:pPr>
            <w:r w:rsidRPr="00B710A9">
              <w:rPr>
                <w:rFonts w:ascii="Arial" w:hAnsi="Arial" w:cs="Arial"/>
                <w:color w:val="000000"/>
                <w:sz w:val="16"/>
                <w:szCs w:val="16"/>
              </w:rPr>
              <w:t>Recursos asignados al presupuesto del IGAC 2022 fuente nación</w:t>
            </w:r>
          </w:p>
        </w:tc>
        <w:tc>
          <w:tcPr>
            <w:tcW w:w="2424" w:type="pct"/>
            <w:vAlign w:val="center"/>
            <w:hideMark/>
          </w:tcPr>
          <w:p w14:paraId="50067EB3" w14:textId="77777777" w:rsidR="000920C9" w:rsidRPr="00B710A9" w:rsidRDefault="000920C9" w:rsidP="00356A3E">
            <w:pPr>
              <w:pStyle w:val="Prrafodelista"/>
              <w:numPr>
                <w:ilvl w:val="0"/>
                <w:numId w:val="83"/>
              </w:numPr>
              <w:suppressAutoHyphens/>
              <w:overflowPunct w:val="0"/>
              <w:autoSpaceDE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Se expidió el Decreto 140 de 2022 “Por el cual se reglamenta el Artículo 107 de la Ley 2159 de 2021, en relación con la financiación o cofinanciación de procesos catastrales a través de un Patrimonio Autónomo, su administración, funcionamiento y determinación de La entidad financiera del Estado del orden nacional que administrará los recursos y se adiciona al Capítulo 6 del Título 2 de la Parte 2 del Libro 2 del Decreto número 1170 de 2015, por medio del cual se expide el Decreto Reglamentario Único del Sector Administrativo de Información Estadística”.</w:t>
            </w:r>
          </w:p>
          <w:p w14:paraId="2437756A" w14:textId="77777777" w:rsidR="000920C9" w:rsidRPr="00B710A9" w:rsidRDefault="000920C9" w:rsidP="00356A3E">
            <w:pPr>
              <w:pStyle w:val="Prrafodelista"/>
              <w:numPr>
                <w:ilvl w:val="0"/>
                <w:numId w:val="83"/>
              </w:numPr>
              <w:suppressAutoHyphen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Actualmente se encuentran asignados $10.000.000.000 para 2022.</w:t>
            </w:r>
          </w:p>
        </w:tc>
        <w:tc>
          <w:tcPr>
            <w:tcW w:w="1568" w:type="pct"/>
            <w:vAlign w:val="center"/>
            <w:hideMark/>
          </w:tcPr>
          <w:p w14:paraId="7EA03BEB" w14:textId="77777777" w:rsidR="000920C9" w:rsidRPr="00B710A9" w:rsidRDefault="000920C9" w:rsidP="00356A3E">
            <w:pPr>
              <w:pStyle w:val="Prrafodelista"/>
              <w:numPr>
                <w:ilvl w:val="0"/>
                <w:numId w:val="83"/>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Se requiere la suscripción del convenio entre Findeter y el IGAC para iniciar la ejecución de los procesos a través del patrimonio autónomo.</w:t>
            </w:r>
          </w:p>
        </w:tc>
      </w:tr>
      <w:tr w:rsidR="000920C9" w:rsidRPr="00B710A9" w14:paraId="6AA7CA3D" w14:textId="77777777" w:rsidTr="00B562F1">
        <w:trPr>
          <w:trHeight w:val="1349"/>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621C90E7" w14:textId="77777777" w:rsidR="000920C9" w:rsidRPr="00B710A9" w:rsidRDefault="000920C9" w:rsidP="00F90DF3">
            <w:pPr>
              <w:spacing w:line="276" w:lineRule="auto"/>
              <w:jc w:val="center"/>
              <w:rPr>
                <w:rFonts w:ascii="Arial" w:hAnsi="Arial" w:cs="Arial"/>
                <w:sz w:val="16"/>
                <w:szCs w:val="16"/>
              </w:rPr>
            </w:pPr>
            <w:r w:rsidRPr="00B710A9">
              <w:rPr>
                <w:rFonts w:ascii="Arial" w:hAnsi="Arial" w:cs="Arial"/>
                <w:sz w:val="16"/>
                <w:szCs w:val="16"/>
              </w:rPr>
              <w:t>ANT</w:t>
            </w:r>
          </w:p>
          <w:p w14:paraId="7CEFE25A" w14:textId="77777777" w:rsidR="000920C9" w:rsidRPr="00B710A9" w:rsidRDefault="000920C9" w:rsidP="00F90DF3">
            <w:pPr>
              <w:spacing w:line="276" w:lineRule="auto"/>
              <w:jc w:val="center"/>
              <w:rPr>
                <w:rFonts w:ascii="Arial" w:hAnsi="Arial" w:cs="Arial"/>
                <w:b w:val="0"/>
                <w:sz w:val="16"/>
                <w:szCs w:val="16"/>
              </w:rPr>
            </w:pPr>
            <w:r w:rsidRPr="00B710A9">
              <w:rPr>
                <w:rFonts w:ascii="Arial" w:hAnsi="Arial" w:cs="Arial"/>
                <w:sz w:val="16"/>
                <w:szCs w:val="16"/>
              </w:rPr>
              <w:t xml:space="preserve">Municipios financiados: 6 </w:t>
            </w:r>
            <w:r w:rsidRPr="00B710A9">
              <w:rPr>
                <w:rFonts w:ascii="Arial" w:hAnsi="Arial" w:cs="Arial"/>
                <w:b w:val="0"/>
                <w:sz w:val="16"/>
                <w:szCs w:val="16"/>
              </w:rPr>
              <w:t>municipios zona rural (5 PDET) con 471.624 Has.</w:t>
            </w:r>
          </w:p>
        </w:tc>
        <w:tc>
          <w:tcPr>
            <w:tcW w:w="2424" w:type="pct"/>
            <w:vAlign w:val="center"/>
          </w:tcPr>
          <w:p w14:paraId="19CBA13E" w14:textId="77777777" w:rsidR="000920C9" w:rsidRPr="00B710A9" w:rsidRDefault="000920C9" w:rsidP="00F90DF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En ejecución</w:t>
            </w:r>
          </w:p>
        </w:tc>
        <w:tc>
          <w:tcPr>
            <w:tcW w:w="1568" w:type="pct"/>
            <w:vAlign w:val="center"/>
          </w:tcPr>
          <w:p w14:paraId="33F57575" w14:textId="77777777" w:rsidR="000920C9" w:rsidRPr="00B710A9" w:rsidRDefault="000920C9" w:rsidP="00356A3E">
            <w:pPr>
              <w:pStyle w:val="Prrafodelista"/>
              <w:numPr>
                <w:ilvl w:val="0"/>
                <w:numId w:val="94"/>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Finalizar procesos de actualización catastral por parte de ANT. Validación por parte del IGAC.</w:t>
            </w:r>
          </w:p>
        </w:tc>
      </w:tr>
      <w:tr w:rsidR="000920C9" w:rsidRPr="00B710A9" w14:paraId="735AB262" w14:textId="77777777" w:rsidTr="00B562F1">
        <w:trPr>
          <w:cnfStyle w:val="000000100000" w:firstRow="0" w:lastRow="0" w:firstColumn="0" w:lastColumn="0" w:oddVBand="0" w:evenVBand="0" w:oddHBand="1" w:evenHBand="0" w:firstRowFirstColumn="0" w:firstRowLastColumn="0" w:lastRowFirstColumn="0" w:lastRowLastColumn="0"/>
          <w:trHeight w:val="1303"/>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420683F7" w14:textId="77777777" w:rsidR="000920C9" w:rsidRPr="00B710A9" w:rsidRDefault="000920C9" w:rsidP="00F90DF3">
            <w:pPr>
              <w:spacing w:line="276" w:lineRule="auto"/>
              <w:jc w:val="center"/>
              <w:rPr>
                <w:rFonts w:ascii="Arial" w:hAnsi="Arial" w:cs="Arial"/>
                <w:b w:val="0"/>
                <w:sz w:val="16"/>
                <w:szCs w:val="16"/>
              </w:rPr>
            </w:pPr>
            <w:r w:rsidRPr="00B710A9">
              <w:rPr>
                <w:rFonts w:ascii="Arial" w:hAnsi="Arial" w:cs="Arial"/>
                <w:sz w:val="16"/>
                <w:szCs w:val="16"/>
              </w:rPr>
              <w:t>ANT-IGAC</w:t>
            </w:r>
          </w:p>
          <w:p w14:paraId="0F017399" w14:textId="77777777" w:rsidR="000920C9" w:rsidRPr="00B710A9" w:rsidRDefault="000920C9" w:rsidP="00F90DF3">
            <w:pPr>
              <w:spacing w:line="276" w:lineRule="auto"/>
              <w:jc w:val="center"/>
              <w:rPr>
                <w:rFonts w:ascii="Arial" w:hAnsi="Arial" w:cs="Arial"/>
                <w:sz w:val="16"/>
                <w:szCs w:val="16"/>
              </w:rPr>
            </w:pPr>
            <w:r w:rsidRPr="00B710A9">
              <w:rPr>
                <w:rFonts w:ascii="Arial" w:hAnsi="Arial" w:cs="Arial"/>
                <w:sz w:val="16"/>
                <w:szCs w:val="16"/>
              </w:rPr>
              <w:t xml:space="preserve">Municipios financiados: </w:t>
            </w:r>
            <w:r w:rsidRPr="00B710A9">
              <w:rPr>
                <w:rFonts w:ascii="Arial" w:hAnsi="Arial" w:cs="Arial"/>
                <w:b w:val="0"/>
                <w:sz w:val="16"/>
                <w:szCs w:val="16"/>
              </w:rPr>
              <w:t>3 municipios PDET urbano – rural con 302.673 Has.</w:t>
            </w:r>
          </w:p>
        </w:tc>
        <w:tc>
          <w:tcPr>
            <w:tcW w:w="2424" w:type="pct"/>
            <w:vAlign w:val="center"/>
          </w:tcPr>
          <w:p w14:paraId="45BC7864" w14:textId="77777777" w:rsidR="000920C9" w:rsidRPr="00B710A9" w:rsidRDefault="000920C9" w:rsidP="00356A3E">
            <w:pPr>
              <w:pStyle w:val="Prrafodelista"/>
              <w:numPr>
                <w:ilvl w:val="0"/>
                <w:numId w:val="90"/>
              </w:numPr>
              <w:suppressAutoHyphens/>
              <w:overflowPunct w:val="0"/>
              <w:autoSpaceDE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Ejecutados por parte del IGAC, los procesos de actualización de la zona urbana de los 3 municipios.</w:t>
            </w:r>
          </w:p>
          <w:p w14:paraId="6A637CED" w14:textId="77777777" w:rsidR="000920C9" w:rsidRPr="00B710A9" w:rsidRDefault="000920C9" w:rsidP="00356A3E">
            <w:pPr>
              <w:pStyle w:val="Prrafodelista"/>
              <w:numPr>
                <w:ilvl w:val="0"/>
                <w:numId w:val="90"/>
              </w:numPr>
              <w:suppressAutoHyphens/>
              <w:overflowPunct w:val="0"/>
              <w:autoSpaceDE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En revisión por parte de IGAC 2 municipios la información del levantamiento realizado por ANT en los municipios de Córdoba y El Guamo en el Departamento de Bolívar.</w:t>
            </w:r>
          </w:p>
        </w:tc>
        <w:tc>
          <w:tcPr>
            <w:tcW w:w="1568" w:type="pct"/>
            <w:vAlign w:val="center"/>
          </w:tcPr>
          <w:p w14:paraId="05BC7FD2" w14:textId="1653FE6D" w:rsidR="000920C9" w:rsidRPr="00B710A9" w:rsidRDefault="000920C9" w:rsidP="00356A3E">
            <w:pPr>
              <w:pStyle w:val="Prrafodelista"/>
              <w:numPr>
                <w:ilvl w:val="0"/>
                <w:numId w:val="90"/>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 xml:space="preserve">Finalizar revisión de la información de los municipios de Córdoba y El Guamo – </w:t>
            </w:r>
            <w:r w:rsidR="00127485" w:rsidRPr="00B710A9">
              <w:rPr>
                <w:rFonts w:ascii="Arial" w:hAnsi="Arial" w:cs="Arial"/>
                <w:color w:val="000000"/>
                <w:sz w:val="16"/>
                <w:szCs w:val="16"/>
              </w:rPr>
              <w:t>Bolívar, por</w:t>
            </w:r>
            <w:r w:rsidRPr="00B710A9">
              <w:rPr>
                <w:rFonts w:ascii="Arial" w:hAnsi="Arial" w:cs="Arial"/>
                <w:color w:val="000000"/>
                <w:sz w:val="16"/>
                <w:szCs w:val="16"/>
              </w:rPr>
              <w:t xml:space="preserve"> parte del IGAC.</w:t>
            </w:r>
          </w:p>
          <w:p w14:paraId="2B804819" w14:textId="77777777" w:rsidR="000920C9" w:rsidRPr="00B710A9" w:rsidRDefault="000920C9" w:rsidP="00356A3E">
            <w:pPr>
              <w:pStyle w:val="Prrafodelista"/>
              <w:numPr>
                <w:ilvl w:val="0"/>
                <w:numId w:val="90"/>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 xml:space="preserve">Finalizar por parte de la ANT la intervención en la zona rural del municipio de </w:t>
            </w:r>
            <w:proofErr w:type="spellStart"/>
            <w:r w:rsidRPr="00B710A9">
              <w:rPr>
                <w:rFonts w:ascii="Arial" w:hAnsi="Arial" w:cs="Arial"/>
                <w:color w:val="000000"/>
                <w:sz w:val="16"/>
                <w:szCs w:val="16"/>
              </w:rPr>
              <w:t>Ríoblanco</w:t>
            </w:r>
            <w:proofErr w:type="spellEnd"/>
            <w:r w:rsidRPr="00B710A9">
              <w:rPr>
                <w:rFonts w:ascii="Arial" w:hAnsi="Arial" w:cs="Arial"/>
                <w:color w:val="000000"/>
                <w:sz w:val="16"/>
                <w:szCs w:val="16"/>
              </w:rPr>
              <w:t>, Tolima.</w:t>
            </w:r>
          </w:p>
        </w:tc>
      </w:tr>
      <w:tr w:rsidR="000920C9" w:rsidRPr="00B710A9" w14:paraId="322FD103" w14:textId="77777777" w:rsidTr="00B562F1">
        <w:trPr>
          <w:trHeight w:val="2129"/>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797A487E" w14:textId="77777777" w:rsidR="000920C9" w:rsidRPr="00B710A9" w:rsidRDefault="000920C9" w:rsidP="00F90DF3">
            <w:pPr>
              <w:spacing w:line="276" w:lineRule="auto"/>
              <w:jc w:val="center"/>
              <w:rPr>
                <w:rFonts w:ascii="Arial" w:hAnsi="Arial" w:cs="Arial"/>
                <w:sz w:val="16"/>
                <w:szCs w:val="16"/>
              </w:rPr>
            </w:pPr>
          </w:p>
          <w:p w14:paraId="633C0361" w14:textId="77777777" w:rsidR="000920C9" w:rsidRPr="00B710A9" w:rsidRDefault="000920C9" w:rsidP="00F90DF3">
            <w:pPr>
              <w:spacing w:line="276" w:lineRule="auto"/>
              <w:jc w:val="center"/>
              <w:rPr>
                <w:rFonts w:ascii="Arial" w:hAnsi="Arial" w:cs="Arial"/>
                <w:sz w:val="16"/>
                <w:szCs w:val="16"/>
              </w:rPr>
            </w:pPr>
            <w:proofErr w:type="spellStart"/>
            <w:r w:rsidRPr="00B710A9">
              <w:rPr>
                <w:rFonts w:ascii="Arial" w:hAnsi="Arial" w:cs="Arial"/>
                <w:sz w:val="16"/>
                <w:szCs w:val="16"/>
              </w:rPr>
              <w:t>Biocarbono</w:t>
            </w:r>
            <w:proofErr w:type="spellEnd"/>
          </w:p>
          <w:p w14:paraId="105A98F3" w14:textId="77777777" w:rsidR="000920C9" w:rsidRPr="00B710A9" w:rsidRDefault="000920C9" w:rsidP="00F90DF3">
            <w:pPr>
              <w:spacing w:line="276" w:lineRule="auto"/>
              <w:jc w:val="center"/>
              <w:rPr>
                <w:rFonts w:ascii="Arial" w:hAnsi="Arial" w:cs="Arial"/>
                <w:b w:val="0"/>
                <w:sz w:val="16"/>
                <w:szCs w:val="16"/>
              </w:rPr>
            </w:pPr>
          </w:p>
          <w:p w14:paraId="7EAA6DA7" w14:textId="77777777" w:rsidR="000920C9" w:rsidRPr="00B710A9" w:rsidRDefault="000920C9" w:rsidP="00F90DF3">
            <w:pPr>
              <w:spacing w:line="276" w:lineRule="auto"/>
              <w:jc w:val="center"/>
              <w:rPr>
                <w:rFonts w:ascii="Arial" w:hAnsi="Arial" w:cs="Arial"/>
                <w:b w:val="0"/>
                <w:sz w:val="16"/>
                <w:szCs w:val="16"/>
              </w:rPr>
            </w:pPr>
            <w:r w:rsidRPr="00B710A9">
              <w:rPr>
                <w:rFonts w:ascii="Arial" w:hAnsi="Arial" w:cs="Arial"/>
                <w:sz w:val="16"/>
                <w:szCs w:val="16"/>
              </w:rPr>
              <w:t xml:space="preserve">Municipios PDET financiados: </w:t>
            </w:r>
            <w:r w:rsidRPr="00B710A9">
              <w:rPr>
                <w:rFonts w:ascii="Arial" w:hAnsi="Arial" w:cs="Arial"/>
                <w:b w:val="0"/>
                <w:sz w:val="16"/>
                <w:szCs w:val="16"/>
              </w:rPr>
              <w:t>1 Arauquita, Arauca</w:t>
            </w:r>
          </w:p>
          <w:p w14:paraId="6B3D9587" w14:textId="77777777" w:rsidR="000920C9" w:rsidRPr="00B710A9" w:rsidRDefault="000920C9" w:rsidP="00F90DF3">
            <w:pPr>
              <w:spacing w:line="276" w:lineRule="auto"/>
              <w:jc w:val="center"/>
              <w:rPr>
                <w:rFonts w:ascii="Arial" w:hAnsi="Arial" w:cs="Arial"/>
                <w:b w:val="0"/>
                <w:sz w:val="16"/>
                <w:szCs w:val="16"/>
              </w:rPr>
            </w:pPr>
            <w:r w:rsidRPr="00B710A9">
              <w:rPr>
                <w:rFonts w:ascii="Arial" w:hAnsi="Arial" w:cs="Arial"/>
                <w:sz w:val="16"/>
                <w:szCs w:val="16"/>
              </w:rPr>
              <w:t xml:space="preserve">Contrato suscrito: </w:t>
            </w:r>
            <w:r w:rsidRPr="00B710A9">
              <w:rPr>
                <w:rFonts w:ascii="Arial" w:hAnsi="Arial" w:cs="Arial"/>
                <w:b w:val="0"/>
                <w:sz w:val="16"/>
                <w:szCs w:val="16"/>
              </w:rPr>
              <w:t>28 de enero de 2021</w:t>
            </w:r>
          </w:p>
          <w:p w14:paraId="349E519B" w14:textId="77777777" w:rsidR="000920C9" w:rsidRPr="00B710A9" w:rsidRDefault="000920C9" w:rsidP="00F90DF3">
            <w:pPr>
              <w:spacing w:line="276" w:lineRule="auto"/>
              <w:jc w:val="center"/>
              <w:rPr>
                <w:rFonts w:ascii="Arial" w:hAnsi="Arial" w:cs="Arial"/>
                <w:b w:val="0"/>
                <w:sz w:val="16"/>
                <w:szCs w:val="16"/>
              </w:rPr>
            </w:pPr>
            <w:r w:rsidRPr="00B710A9">
              <w:rPr>
                <w:rFonts w:ascii="Arial" w:hAnsi="Arial" w:cs="Arial"/>
                <w:sz w:val="16"/>
                <w:szCs w:val="16"/>
              </w:rPr>
              <w:t xml:space="preserve">Acta de inicio: </w:t>
            </w:r>
            <w:r w:rsidRPr="00B710A9">
              <w:rPr>
                <w:rFonts w:ascii="Arial" w:hAnsi="Arial" w:cs="Arial"/>
                <w:b w:val="0"/>
                <w:sz w:val="16"/>
                <w:szCs w:val="16"/>
              </w:rPr>
              <w:t>18 de febrero de 2021</w:t>
            </w:r>
          </w:p>
          <w:p w14:paraId="38AD8100" w14:textId="77777777" w:rsidR="000920C9" w:rsidRPr="00B710A9" w:rsidRDefault="000920C9" w:rsidP="00F90DF3">
            <w:pPr>
              <w:spacing w:line="276" w:lineRule="auto"/>
              <w:jc w:val="center"/>
              <w:rPr>
                <w:rFonts w:ascii="Arial" w:hAnsi="Arial" w:cs="Arial"/>
                <w:b w:val="0"/>
                <w:sz w:val="16"/>
                <w:szCs w:val="16"/>
              </w:rPr>
            </w:pPr>
          </w:p>
        </w:tc>
        <w:tc>
          <w:tcPr>
            <w:tcW w:w="2424" w:type="pct"/>
            <w:vAlign w:val="center"/>
          </w:tcPr>
          <w:p w14:paraId="733AA0BB" w14:textId="77777777" w:rsidR="000920C9" w:rsidRPr="00B710A9" w:rsidRDefault="000920C9" w:rsidP="00356A3E">
            <w:pPr>
              <w:pStyle w:val="Prrafodelista"/>
              <w:numPr>
                <w:ilvl w:val="0"/>
                <w:numId w:val="92"/>
              </w:numPr>
              <w:suppressAutoHyphens/>
              <w:overflowPunct w:val="0"/>
              <w:autoSpaceDE w:val="0"/>
              <w:spacing w:line="276" w:lineRule="auto"/>
              <w:ind w:left="319"/>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sz w:val="16"/>
                <w:szCs w:val="16"/>
              </w:rPr>
              <w:t>El proceso inició en marzo de 2021 y finalizará en 2022, por dificultades con el orden público que se presentan en la zona.</w:t>
            </w:r>
          </w:p>
        </w:tc>
        <w:tc>
          <w:tcPr>
            <w:tcW w:w="1568" w:type="pct"/>
            <w:vAlign w:val="center"/>
          </w:tcPr>
          <w:p w14:paraId="2B352DEE" w14:textId="77777777" w:rsidR="000920C9" w:rsidRPr="00B710A9" w:rsidRDefault="000920C9" w:rsidP="00356A3E">
            <w:pPr>
              <w:pStyle w:val="Prrafodelista"/>
              <w:numPr>
                <w:ilvl w:val="0"/>
                <w:numId w:val="91"/>
              </w:numPr>
              <w:suppressAutoHyphens/>
              <w:overflowPunct w:val="0"/>
              <w:autoSpaceDE w:val="0"/>
              <w:spacing w:line="276" w:lineRule="auto"/>
              <w:contextualSpacing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Finalizar proceso de actualización De Arauquita.</w:t>
            </w:r>
          </w:p>
        </w:tc>
      </w:tr>
      <w:tr w:rsidR="000920C9" w:rsidRPr="00B710A9" w14:paraId="08818331" w14:textId="77777777" w:rsidTr="00B562F1">
        <w:trPr>
          <w:cnfStyle w:val="000000100000" w:firstRow="0" w:lastRow="0" w:firstColumn="0" w:lastColumn="0" w:oddVBand="0" w:evenVBand="0" w:oddHBand="1" w:evenHBand="0" w:firstRowFirstColumn="0" w:firstRowLastColumn="0" w:lastRowFirstColumn="0" w:lastRowLastColumn="0"/>
          <w:trHeight w:val="1482"/>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6F7239DA" w14:textId="77777777" w:rsidR="000920C9" w:rsidRPr="00B710A9" w:rsidRDefault="000920C9" w:rsidP="00F90DF3">
            <w:pPr>
              <w:spacing w:line="276" w:lineRule="auto"/>
              <w:jc w:val="center"/>
              <w:rPr>
                <w:rFonts w:ascii="Arial" w:hAnsi="Arial" w:cs="Arial"/>
                <w:b w:val="0"/>
                <w:sz w:val="16"/>
                <w:szCs w:val="16"/>
              </w:rPr>
            </w:pPr>
            <w:r w:rsidRPr="00B710A9">
              <w:rPr>
                <w:rFonts w:ascii="Arial" w:hAnsi="Arial" w:cs="Arial"/>
                <w:sz w:val="16"/>
                <w:szCs w:val="16"/>
              </w:rPr>
              <w:t>Agencia Francesa de Desarrollo</w:t>
            </w:r>
          </w:p>
          <w:p w14:paraId="0C225144" w14:textId="77777777" w:rsidR="000920C9" w:rsidRPr="00B710A9" w:rsidRDefault="000920C9" w:rsidP="00F90DF3">
            <w:pPr>
              <w:spacing w:line="276" w:lineRule="auto"/>
              <w:jc w:val="center"/>
              <w:rPr>
                <w:rFonts w:ascii="Arial" w:hAnsi="Arial" w:cs="Arial"/>
                <w:b w:val="0"/>
                <w:sz w:val="16"/>
                <w:szCs w:val="16"/>
              </w:rPr>
            </w:pPr>
          </w:p>
          <w:p w14:paraId="1B9454EE" w14:textId="77777777" w:rsidR="000920C9" w:rsidRPr="00B710A9" w:rsidRDefault="000920C9" w:rsidP="00F90DF3">
            <w:pPr>
              <w:spacing w:line="276" w:lineRule="auto"/>
              <w:jc w:val="center"/>
              <w:rPr>
                <w:rFonts w:ascii="Arial" w:hAnsi="Arial" w:cs="Arial"/>
                <w:sz w:val="16"/>
                <w:szCs w:val="16"/>
              </w:rPr>
            </w:pPr>
            <w:r w:rsidRPr="00B710A9">
              <w:rPr>
                <w:rFonts w:ascii="Arial" w:hAnsi="Arial" w:cs="Arial"/>
                <w:sz w:val="16"/>
                <w:szCs w:val="16"/>
              </w:rPr>
              <w:t xml:space="preserve">2 </w:t>
            </w:r>
            <w:proofErr w:type="gramStart"/>
            <w:r w:rsidRPr="00B710A9">
              <w:rPr>
                <w:rFonts w:ascii="Arial" w:hAnsi="Arial" w:cs="Arial"/>
                <w:sz w:val="16"/>
                <w:szCs w:val="16"/>
              </w:rPr>
              <w:t>Municipios</w:t>
            </w:r>
            <w:proofErr w:type="gramEnd"/>
            <w:r w:rsidRPr="00B710A9">
              <w:rPr>
                <w:rFonts w:ascii="Arial" w:hAnsi="Arial" w:cs="Arial"/>
                <w:sz w:val="16"/>
                <w:szCs w:val="16"/>
              </w:rPr>
              <w:t>:</w:t>
            </w:r>
            <w:r w:rsidRPr="00B710A9">
              <w:rPr>
                <w:rFonts w:ascii="Arial" w:hAnsi="Arial" w:cs="Arial"/>
                <w:b w:val="0"/>
                <w:sz w:val="16"/>
                <w:szCs w:val="16"/>
              </w:rPr>
              <w:t xml:space="preserve"> </w:t>
            </w:r>
          </w:p>
          <w:p w14:paraId="248ADCEB" w14:textId="77777777" w:rsidR="000920C9" w:rsidRPr="00B710A9" w:rsidRDefault="000920C9" w:rsidP="00F90DF3">
            <w:pPr>
              <w:spacing w:line="276" w:lineRule="auto"/>
              <w:jc w:val="center"/>
              <w:rPr>
                <w:rFonts w:ascii="Arial" w:hAnsi="Arial" w:cs="Arial"/>
                <w:sz w:val="16"/>
                <w:szCs w:val="16"/>
              </w:rPr>
            </w:pPr>
            <w:r w:rsidRPr="00B710A9">
              <w:rPr>
                <w:rFonts w:ascii="Arial" w:hAnsi="Arial" w:cs="Arial"/>
                <w:b w:val="0"/>
                <w:sz w:val="16"/>
                <w:szCs w:val="16"/>
              </w:rPr>
              <w:t xml:space="preserve">506.742 </w:t>
            </w:r>
            <w:proofErr w:type="gramStart"/>
            <w:r w:rsidRPr="00B710A9">
              <w:rPr>
                <w:rFonts w:ascii="Arial" w:hAnsi="Arial" w:cs="Arial"/>
                <w:b w:val="0"/>
                <w:sz w:val="16"/>
                <w:szCs w:val="16"/>
              </w:rPr>
              <w:t>Has</w:t>
            </w:r>
            <w:proofErr w:type="gramEnd"/>
            <w:r w:rsidRPr="00B710A9">
              <w:rPr>
                <w:rFonts w:ascii="Arial" w:hAnsi="Arial" w:cs="Arial"/>
                <w:b w:val="0"/>
                <w:sz w:val="16"/>
                <w:szCs w:val="16"/>
              </w:rPr>
              <w:t>.</w:t>
            </w:r>
          </w:p>
        </w:tc>
        <w:tc>
          <w:tcPr>
            <w:tcW w:w="2424" w:type="pct"/>
            <w:vAlign w:val="center"/>
          </w:tcPr>
          <w:p w14:paraId="7E49EE85" w14:textId="520B2AD2" w:rsidR="000920C9" w:rsidRPr="00B710A9" w:rsidRDefault="000920C9" w:rsidP="00356A3E">
            <w:pPr>
              <w:pStyle w:val="Prrafodelista"/>
              <w:numPr>
                <w:ilvl w:val="0"/>
                <w:numId w:val="92"/>
              </w:numPr>
              <w:suppressAutoHyphens/>
              <w:overflowPunct w:val="0"/>
              <w:autoSpaceDE w:val="0"/>
              <w:spacing w:line="276" w:lineRule="auto"/>
              <w:ind w:left="319"/>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710A9">
              <w:rPr>
                <w:rFonts w:ascii="Arial" w:hAnsi="Arial" w:cs="Arial"/>
                <w:sz w:val="16"/>
                <w:szCs w:val="16"/>
              </w:rPr>
              <w:t xml:space="preserve">En diciembre se presentaron ante Fondo Acción las propuestas para la actualización catastral de los municipios de San Juan de </w:t>
            </w:r>
            <w:r w:rsidR="00127485" w:rsidRPr="00B710A9">
              <w:rPr>
                <w:rFonts w:ascii="Arial" w:hAnsi="Arial" w:cs="Arial"/>
                <w:sz w:val="16"/>
                <w:szCs w:val="16"/>
              </w:rPr>
              <w:t>Arama -</w:t>
            </w:r>
            <w:r w:rsidRPr="00B710A9">
              <w:rPr>
                <w:rFonts w:ascii="Arial" w:hAnsi="Arial" w:cs="Arial"/>
                <w:sz w:val="16"/>
                <w:szCs w:val="16"/>
              </w:rPr>
              <w:t xml:space="preserve"> Meta y Santa Rosalía – Vichada.</w:t>
            </w:r>
          </w:p>
          <w:p w14:paraId="75506BA2" w14:textId="77777777" w:rsidR="000920C9" w:rsidRPr="00B710A9" w:rsidRDefault="000920C9" w:rsidP="00356A3E">
            <w:pPr>
              <w:pStyle w:val="Lista"/>
              <w:numPr>
                <w:ilvl w:val="0"/>
                <w:numId w:val="92"/>
              </w:numPr>
              <w:overflowPunct/>
              <w:autoSpaceDE/>
              <w:spacing w:line="276" w:lineRule="auto"/>
              <w:ind w:left="319"/>
              <w:contextualSpacing/>
              <w:textAlignment w:val="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710A9">
              <w:rPr>
                <w:rFonts w:cs="Arial"/>
                <w:sz w:val="16"/>
                <w:szCs w:val="16"/>
              </w:rPr>
              <w:t>Las propuestas recibieron no objeción por parte de la Agencia Francesa de Desarrollo en marzo.</w:t>
            </w:r>
          </w:p>
          <w:p w14:paraId="293E27DB" w14:textId="77777777" w:rsidR="000920C9" w:rsidRPr="00B710A9" w:rsidRDefault="000920C9" w:rsidP="00356A3E">
            <w:pPr>
              <w:pStyle w:val="Lista"/>
              <w:numPr>
                <w:ilvl w:val="0"/>
                <w:numId w:val="92"/>
              </w:numPr>
              <w:overflowPunct/>
              <w:autoSpaceDE/>
              <w:spacing w:line="276" w:lineRule="auto"/>
              <w:ind w:left="319"/>
              <w:contextualSpacing/>
              <w:textAlignment w:val="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710A9">
              <w:rPr>
                <w:rFonts w:cs="Arial"/>
                <w:sz w:val="16"/>
                <w:szCs w:val="16"/>
              </w:rPr>
              <w:t>El 12 de mayo fueron suscritos los contratos 126 y 127 entre Fondo Acción y el IGAC, para la generación de insumos y la actualización catastral de Santa Rosalía – Vichada y San Juan de Arama – Meta.</w:t>
            </w:r>
          </w:p>
          <w:p w14:paraId="508BB5BA" w14:textId="77777777" w:rsidR="000920C9" w:rsidRPr="00B710A9" w:rsidRDefault="000920C9" w:rsidP="00356A3E">
            <w:pPr>
              <w:pStyle w:val="Lista"/>
              <w:numPr>
                <w:ilvl w:val="0"/>
                <w:numId w:val="92"/>
              </w:numPr>
              <w:overflowPunct/>
              <w:autoSpaceDE/>
              <w:spacing w:line="276" w:lineRule="auto"/>
              <w:ind w:left="319"/>
              <w:contextualSpacing/>
              <w:textAlignment w:val="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710A9">
              <w:rPr>
                <w:rFonts w:cs="Arial"/>
                <w:sz w:val="16"/>
                <w:szCs w:val="16"/>
              </w:rPr>
              <w:t xml:space="preserve">El 21 de junio fueron aprobadas por parte de Fondo Acción, las pólizas que amparan los contratos. </w:t>
            </w:r>
          </w:p>
        </w:tc>
        <w:tc>
          <w:tcPr>
            <w:tcW w:w="1568" w:type="pct"/>
            <w:vAlign w:val="center"/>
          </w:tcPr>
          <w:p w14:paraId="1AC7911D" w14:textId="77777777" w:rsidR="000920C9" w:rsidRPr="00B710A9" w:rsidRDefault="000920C9" w:rsidP="00356A3E">
            <w:pPr>
              <w:pStyle w:val="Prrafodelista"/>
              <w:numPr>
                <w:ilvl w:val="0"/>
                <w:numId w:val="91"/>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Generar acta de inicio.</w:t>
            </w:r>
          </w:p>
          <w:p w14:paraId="7516D8A1" w14:textId="77777777" w:rsidR="000920C9" w:rsidRPr="00B710A9" w:rsidRDefault="000920C9" w:rsidP="00356A3E">
            <w:pPr>
              <w:pStyle w:val="Prrafodelista"/>
              <w:numPr>
                <w:ilvl w:val="0"/>
                <w:numId w:val="91"/>
              </w:numPr>
              <w:suppressAutoHyphens/>
              <w:overflowPunct w:val="0"/>
              <w:autoSpaceDE w:val="0"/>
              <w:spacing w:line="276"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B710A9">
              <w:rPr>
                <w:rFonts w:ascii="Arial" w:hAnsi="Arial" w:cs="Arial"/>
                <w:color w:val="000000"/>
                <w:sz w:val="16"/>
                <w:szCs w:val="16"/>
              </w:rPr>
              <w:t>Proceso contractual para la generación de insumos y actualización catastral.</w:t>
            </w:r>
          </w:p>
        </w:tc>
      </w:tr>
    </w:tbl>
    <w:p w14:paraId="33549504" w14:textId="598CF3CB" w:rsidR="000920C9" w:rsidRPr="00B710A9" w:rsidRDefault="000920C9" w:rsidP="000920C9">
      <w:pPr>
        <w:jc w:val="center"/>
        <w:rPr>
          <w:rFonts w:ascii="Arial" w:hAnsi="Arial" w:cs="Arial"/>
          <w:b/>
          <w:bCs/>
          <w:color w:val="000000" w:themeColor="text1"/>
          <w:sz w:val="16"/>
          <w:szCs w:val="16"/>
        </w:rPr>
      </w:pPr>
      <w:r w:rsidRPr="00B710A9">
        <w:rPr>
          <w:rFonts w:ascii="Arial" w:hAnsi="Arial" w:cs="Arial"/>
          <w:b/>
          <w:bCs/>
          <w:color w:val="000000" w:themeColor="text1"/>
          <w:sz w:val="16"/>
          <w:szCs w:val="16"/>
        </w:rPr>
        <w:t>Fuente: Dirección de Gestión Catastral</w:t>
      </w:r>
    </w:p>
    <w:p w14:paraId="54B0FE5F" w14:textId="262C1008" w:rsidR="000920C9" w:rsidRPr="00B710A9" w:rsidRDefault="000920C9" w:rsidP="000920C9">
      <w:pPr>
        <w:jc w:val="center"/>
        <w:rPr>
          <w:rFonts w:cs="Arial"/>
          <w:b/>
          <w:bCs/>
          <w:color w:val="000000" w:themeColor="text1"/>
          <w:sz w:val="16"/>
          <w:szCs w:val="16"/>
        </w:rPr>
      </w:pPr>
    </w:p>
    <w:p w14:paraId="773C15D8" w14:textId="77777777" w:rsidR="00E829D5" w:rsidRPr="00B710A9" w:rsidRDefault="00E829D5" w:rsidP="000920C9">
      <w:pPr>
        <w:jc w:val="center"/>
        <w:rPr>
          <w:rFonts w:cs="Arial"/>
          <w:b/>
          <w:bCs/>
          <w:color w:val="000000" w:themeColor="text1"/>
          <w:sz w:val="16"/>
          <w:szCs w:val="16"/>
        </w:rPr>
      </w:pPr>
    </w:p>
    <w:p w14:paraId="5CCFE962" w14:textId="77777777" w:rsidR="00E829D5" w:rsidRPr="00B710A9" w:rsidRDefault="00E829D5" w:rsidP="000920C9">
      <w:pPr>
        <w:jc w:val="center"/>
        <w:rPr>
          <w:rFonts w:cs="Arial"/>
          <w:b/>
          <w:bCs/>
          <w:color w:val="000000" w:themeColor="text1"/>
          <w:sz w:val="16"/>
          <w:szCs w:val="16"/>
        </w:rPr>
      </w:pPr>
    </w:p>
    <w:p w14:paraId="41B43FD5" w14:textId="77777777" w:rsidR="00E829D5" w:rsidRPr="00B710A9" w:rsidRDefault="00E829D5" w:rsidP="000920C9">
      <w:pPr>
        <w:jc w:val="center"/>
        <w:rPr>
          <w:rFonts w:cs="Arial"/>
          <w:b/>
          <w:bCs/>
          <w:color w:val="000000" w:themeColor="text1"/>
          <w:sz w:val="16"/>
          <w:szCs w:val="16"/>
        </w:rPr>
      </w:pPr>
    </w:p>
    <w:p w14:paraId="508F81E0" w14:textId="262C1008" w:rsidR="000920C9" w:rsidRPr="00B710A9" w:rsidRDefault="000920C9" w:rsidP="00356A3E">
      <w:pPr>
        <w:pStyle w:val="Prrafodelista"/>
        <w:numPr>
          <w:ilvl w:val="0"/>
          <w:numId w:val="77"/>
        </w:numPr>
        <w:suppressAutoHyphens/>
        <w:overflowPunct w:val="0"/>
        <w:autoSpaceDE w:val="0"/>
        <w:spacing w:after="0" w:line="240" w:lineRule="auto"/>
        <w:jc w:val="both"/>
        <w:textAlignment w:val="baseline"/>
        <w:rPr>
          <w:rFonts w:ascii="Arial" w:eastAsia="Arial" w:hAnsi="Arial" w:cs="Arial"/>
          <w:b/>
          <w:bCs/>
          <w:sz w:val="22"/>
          <w:szCs w:val="22"/>
          <w:lang w:val="es"/>
        </w:rPr>
      </w:pPr>
      <w:r w:rsidRPr="00B710A9">
        <w:rPr>
          <w:rFonts w:ascii="Arial" w:eastAsia="Arial" w:hAnsi="Arial" w:cs="Arial"/>
          <w:b/>
          <w:bCs/>
          <w:sz w:val="22"/>
          <w:szCs w:val="22"/>
          <w:lang w:val="es"/>
        </w:rPr>
        <w:t xml:space="preserve"> Herramientas de seguimiento </w:t>
      </w:r>
    </w:p>
    <w:p w14:paraId="2C763FD3" w14:textId="262C1008" w:rsidR="000920C9" w:rsidRPr="00B710A9" w:rsidRDefault="000920C9" w:rsidP="000920C9">
      <w:pPr>
        <w:contextualSpacing/>
        <w:jc w:val="both"/>
        <w:rPr>
          <w:rFonts w:ascii="Arial" w:eastAsia="Arial" w:hAnsi="Arial" w:cs="Arial"/>
          <w:sz w:val="22"/>
          <w:szCs w:val="22"/>
          <w:lang w:val="es"/>
        </w:rPr>
      </w:pPr>
    </w:p>
    <w:p w14:paraId="4F7B4623" w14:textId="262C1008" w:rsidR="000920C9" w:rsidRPr="00B710A9" w:rsidRDefault="000920C9" w:rsidP="000920C9">
      <w:pPr>
        <w:jc w:val="both"/>
        <w:rPr>
          <w:rFonts w:ascii="Arial" w:eastAsia="Arial" w:hAnsi="Arial" w:cs="Arial"/>
          <w:sz w:val="22"/>
          <w:szCs w:val="22"/>
        </w:rPr>
      </w:pPr>
      <w:r w:rsidRPr="00B710A9">
        <w:rPr>
          <w:rFonts w:ascii="Arial" w:eastAsia="Arial" w:hAnsi="Arial" w:cs="Arial"/>
          <w:sz w:val="22"/>
          <w:szCs w:val="22"/>
        </w:rPr>
        <w:t xml:space="preserve">Para cumplir con las metas establecidas en cada uno de los proyectos de actualización y conservación, se diseñaron dos esquemas de seguimiento y control; uno en el área administrativa y financiera y otro en el área operativa. Para el área administrativa y financiera de desarrollaron tableros de control donde se establecen los avances en los insumos inherentes a la ejecución del proyecto, el estado de la contratación de personal y el monitoreo del funcionamiento de la sede junto con el seguimiento del funcionamiento de los soportes tecnológicos y software desarrollados por el Instituto para la nueva metodología del catastro multipropósito. </w:t>
      </w:r>
    </w:p>
    <w:p w14:paraId="44D985F7" w14:textId="598CF3CB" w:rsidR="000920C9" w:rsidRPr="00B710A9" w:rsidRDefault="000920C9" w:rsidP="000920C9">
      <w:pPr>
        <w:jc w:val="both"/>
        <w:rPr>
          <w:rFonts w:ascii="Arial" w:eastAsia="Arial" w:hAnsi="Arial" w:cs="Arial"/>
          <w:sz w:val="22"/>
          <w:szCs w:val="22"/>
        </w:rPr>
      </w:pPr>
      <w:r w:rsidRPr="00B710A9">
        <w:rPr>
          <w:rFonts w:ascii="Arial" w:eastAsia="Arial" w:hAnsi="Arial" w:cs="Arial"/>
          <w:sz w:val="22"/>
          <w:szCs w:val="22"/>
        </w:rPr>
        <w:t xml:space="preserve">Estos tableros de control se implementaron y se sincronizaron en un Project, con el cual se establece de forma lineal el avance de cada uno de los ítems de la etapa </w:t>
      </w:r>
      <w:proofErr w:type="spellStart"/>
      <w:r w:rsidRPr="00B710A9">
        <w:rPr>
          <w:rFonts w:ascii="Arial" w:eastAsia="Arial" w:hAnsi="Arial" w:cs="Arial"/>
          <w:sz w:val="22"/>
          <w:szCs w:val="22"/>
        </w:rPr>
        <w:t>pre-operativa</w:t>
      </w:r>
      <w:proofErr w:type="spellEnd"/>
      <w:r w:rsidRPr="00B710A9">
        <w:rPr>
          <w:rFonts w:ascii="Arial" w:eastAsia="Arial" w:hAnsi="Arial" w:cs="Arial"/>
          <w:sz w:val="22"/>
          <w:szCs w:val="22"/>
        </w:rPr>
        <w:t>. De igual forma se diseñaron dos tableros de control para el seguimiento de la etapa operativa, los cuales miden ponderadamente (de acuerdo al peso de cada actividad) el avance de cada actividad, uno denominado calculadora operativa y el otro denominado semáforo de control; ambos desarrollos miden en tiempo real el avance del proyecto y establecen las alarmas en caso de retraso en el cronograma, así como determina en que parte del proceso se encuentra el problema. De igual forma estos tableros se entrelazan con el Project para que de una forma muy gerencial, basada en cálculos cuantitativos, se pueda mostrar el avance de los proyectos.</w:t>
      </w:r>
    </w:p>
    <w:p w14:paraId="4389EE67" w14:textId="262C1008" w:rsidR="000920C9" w:rsidRPr="00B710A9" w:rsidRDefault="000920C9" w:rsidP="000920C9">
      <w:pPr>
        <w:jc w:val="both"/>
        <w:rPr>
          <w:rFonts w:ascii="Arial" w:eastAsia="Arial" w:hAnsi="Arial" w:cs="Arial"/>
          <w:sz w:val="22"/>
          <w:szCs w:val="22"/>
        </w:rPr>
      </w:pPr>
      <w:r w:rsidRPr="00B710A9">
        <w:rPr>
          <w:rFonts w:ascii="Arial" w:eastAsia="Arial" w:hAnsi="Arial" w:cs="Arial"/>
          <w:sz w:val="22"/>
          <w:szCs w:val="22"/>
        </w:rPr>
        <w:lastRenderedPageBreak/>
        <w:t xml:space="preserve">Esta metodología desarrollada por el IGAC, permitió llevar un control eficiente de los proyectos, garantizado que el 60% de los mismos se pudieran entregar dentro de los plazos establecidos; el otro 40% de los proyectos que no han cumplido su meta, se debe a circunstancias externas, que han generado retrasos en el comienzo de los proyectos y/o en el desarrollo de los mismos, como son el orden público, el rechazo de las  Juntas de Acción Comunal al proyecto de actualización, dificultando el acceso y la falta de colaboración de algunas entidades que no han facilitado la información secundaria para el correcto desarrollo de cronograma, como son las curadurías urbanas, entre otros.  </w:t>
      </w:r>
    </w:p>
    <w:p w14:paraId="1D8BB452" w14:textId="598CF3CB" w:rsidR="000920C9" w:rsidRPr="00B710A9" w:rsidRDefault="000920C9" w:rsidP="000920C9">
      <w:pPr>
        <w:jc w:val="both"/>
        <w:rPr>
          <w:rFonts w:ascii="Arial" w:eastAsia="Arial" w:hAnsi="Arial" w:cs="Arial"/>
          <w:sz w:val="22"/>
          <w:szCs w:val="22"/>
        </w:rPr>
      </w:pPr>
    </w:p>
    <w:p w14:paraId="06A80584" w14:textId="598CF3CB" w:rsidR="008C4A23" w:rsidRPr="00B710A9" w:rsidRDefault="00526830" w:rsidP="00356A3E">
      <w:pPr>
        <w:numPr>
          <w:ilvl w:val="0"/>
          <w:numId w:val="40"/>
        </w:numPr>
        <w:pBdr>
          <w:top w:val="nil"/>
          <w:left w:val="nil"/>
          <w:bottom w:val="nil"/>
          <w:right w:val="nil"/>
          <w:between w:val="nil"/>
        </w:pBdr>
        <w:spacing w:after="0" w:line="240" w:lineRule="auto"/>
        <w:jc w:val="both"/>
        <w:rPr>
          <w:rFonts w:ascii="Arial" w:eastAsia="Arial" w:hAnsi="Arial" w:cs="Arial"/>
          <w:b/>
          <w:color w:val="000000" w:themeColor="text1"/>
          <w:sz w:val="22"/>
          <w:szCs w:val="22"/>
        </w:rPr>
      </w:pPr>
      <w:r w:rsidRPr="00B710A9">
        <w:rPr>
          <w:rFonts w:ascii="Arial" w:eastAsia="Arial" w:hAnsi="Arial" w:cs="Arial"/>
          <w:b/>
          <w:color w:val="000000" w:themeColor="text1"/>
          <w:sz w:val="22"/>
          <w:szCs w:val="22"/>
        </w:rPr>
        <w:t xml:space="preserve">Servicios de Información Implementados - Difusión de productos y servicios, comunicación en medios digitales: </w:t>
      </w:r>
      <w:r w:rsidRPr="00B710A9">
        <w:rPr>
          <w:rFonts w:ascii="Arial" w:eastAsia="Arial" w:hAnsi="Arial" w:cs="Arial"/>
          <w:color w:val="000000" w:themeColor="text1"/>
          <w:sz w:val="22"/>
          <w:szCs w:val="22"/>
        </w:rPr>
        <w:t xml:space="preserve">Incluye los contenidos y medios de difusión por los cuales se entrega a la ciudadanía los productos y servicios de la entidad. </w:t>
      </w:r>
    </w:p>
    <w:p w14:paraId="64508428" w14:textId="598CF3CB" w:rsidR="00652039" w:rsidRPr="00B710A9" w:rsidRDefault="00652039" w:rsidP="009D279A">
      <w:pPr>
        <w:pBdr>
          <w:top w:val="nil"/>
          <w:left w:val="nil"/>
          <w:bottom w:val="nil"/>
          <w:right w:val="nil"/>
          <w:between w:val="nil"/>
        </w:pBdr>
        <w:spacing w:after="0" w:line="240" w:lineRule="auto"/>
        <w:jc w:val="both"/>
        <w:rPr>
          <w:rFonts w:ascii="Arial" w:eastAsia="Arial" w:hAnsi="Arial" w:cs="Arial"/>
          <w:color w:val="000000" w:themeColor="text1"/>
          <w:sz w:val="22"/>
          <w:szCs w:val="22"/>
        </w:rPr>
      </w:pPr>
    </w:p>
    <w:p w14:paraId="1DC8FAB0" w14:textId="2DFC85E1" w:rsidR="008C4A23" w:rsidRPr="00B710A9" w:rsidRDefault="53D244E8" w:rsidP="009D279A">
      <w:pPr>
        <w:pBdr>
          <w:top w:val="nil"/>
          <w:left w:val="nil"/>
          <w:bottom w:val="nil"/>
          <w:right w:val="nil"/>
          <w:between w:val="nil"/>
        </w:pBd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 </w:t>
      </w:r>
    </w:p>
    <w:p w14:paraId="2C00F718" w14:textId="01A91DD3" w:rsidR="00006132" w:rsidRPr="00B710A9" w:rsidRDefault="739407E1" w:rsidP="00006132">
      <w:pPr>
        <w:spacing w:after="0" w:line="240" w:lineRule="auto"/>
        <w:jc w:val="both"/>
        <w:textAlignment w:val="baseline"/>
        <w:rPr>
          <w:rFonts w:ascii="Arial" w:hAnsi="Arial" w:cs="Arial"/>
          <w:b/>
          <w:bCs/>
          <w:sz w:val="22"/>
          <w:szCs w:val="22"/>
        </w:rPr>
      </w:pPr>
      <w:r w:rsidRPr="00B710A9">
        <w:rPr>
          <w:rFonts w:ascii="Arial" w:eastAsia="Arial" w:hAnsi="Arial" w:cs="Arial"/>
          <w:sz w:val="22"/>
          <w:szCs w:val="22"/>
        </w:rPr>
        <w:t>Como parte del proceso de difusión y relacionamiento permanente con los diferentes grupos de interés, la entidad</w:t>
      </w:r>
      <w:r w:rsidR="00006132" w:rsidRPr="00B710A9">
        <w:rPr>
          <w:rFonts w:ascii="Arial" w:eastAsia="Arial" w:hAnsi="Arial" w:cs="Arial"/>
          <w:sz w:val="22"/>
          <w:szCs w:val="22"/>
        </w:rPr>
        <w:t>, se realizaron</w:t>
      </w:r>
      <w:r w:rsidR="00006132" w:rsidRPr="00B710A9">
        <w:rPr>
          <w:rFonts w:ascii="Arial" w:hAnsi="Arial" w:cs="Arial"/>
          <w:sz w:val="22"/>
          <w:szCs w:val="22"/>
        </w:rPr>
        <w:t xml:space="preserve"> 531 alianzas estratégicas en medios de comunicación tanto nacionales, como regionales, lo que representa un ahorro para la entidad por valor de $862.000.000 millones de pesos.</w:t>
      </w:r>
      <w:r w:rsidR="00006132" w:rsidRPr="00B710A9">
        <w:rPr>
          <w:rFonts w:ascii="Arial" w:hAnsi="Arial" w:cs="Arial"/>
          <w:b/>
          <w:bCs/>
          <w:sz w:val="22"/>
          <w:szCs w:val="22"/>
        </w:rPr>
        <w:t> </w:t>
      </w:r>
    </w:p>
    <w:p w14:paraId="5CB445EF" w14:textId="77777777" w:rsidR="00673315" w:rsidRPr="00B710A9" w:rsidRDefault="00673315" w:rsidP="00006132">
      <w:pPr>
        <w:spacing w:after="0" w:line="240" w:lineRule="auto"/>
        <w:jc w:val="both"/>
        <w:textAlignment w:val="baseline"/>
        <w:rPr>
          <w:rFonts w:ascii="Arial" w:hAnsi="Arial" w:cs="Arial"/>
          <w:b/>
          <w:bCs/>
          <w:sz w:val="22"/>
          <w:szCs w:val="22"/>
        </w:rPr>
      </w:pPr>
    </w:p>
    <w:p w14:paraId="75E7ED90" w14:textId="48E19365" w:rsidR="00673315" w:rsidRPr="00B710A9" w:rsidRDefault="00673315" w:rsidP="00673315">
      <w:pPr>
        <w:spacing w:after="0" w:line="240" w:lineRule="auto"/>
        <w:jc w:val="both"/>
        <w:textAlignment w:val="baseline"/>
        <w:rPr>
          <w:rFonts w:ascii="Arial" w:hAnsi="Arial" w:cs="Arial"/>
          <w:sz w:val="22"/>
          <w:szCs w:val="22"/>
        </w:rPr>
      </w:pPr>
      <w:r w:rsidRPr="00B710A9">
        <w:rPr>
          <w:rFonts w:ascii="Arial" w:hAnsi="Arial" w:cs="Arial"/>
          <w:color w:val="000000"/>
          <w:sz w:val="22"/>
          <w:szCs w:val="22"/>
        </w:rPr>
        <w:t>Durante la vigencia 2021, se realizaron 51 campañas para fortalecer la difusión de los productos y servicios institucionales como: Cuales son los pasos para que los ciudadanos puedan adquirir los certificados catastrales en línea, la cual incluye un tutorial, se lanzó la campaña sobre VIVI, la nueva plataforma en la que los ciudadanos pueden radicar trámites catastrales totalmente en línea, se realizó campaña de los trámites que se pueden radicar en la nueva Ventanilla Integrada Virtual del IGAC - VIVI. Adicionalmente cada 8 días se publicó #ElMapaDeLaSemana con información de Colombia en Mapas, se realizaron publicaciones con información de la ICDE y el Marco de Referencia Geoespacial, para dárselo a conocer a los ciudadanos. </w:t>
      </w:r>
    </w:p>
    <w:p w14:paraId="0CF374FD" w14:textId="5D91AFE9" w:rsidR="00673315" w:rsidRPr="00B710A9" w:rsidRDefault="00673315" w:rsidP="00673315">
      <w:pPr>
        <w:spacing w:after="0" w:line="240" w:lineRule="auto"/>
        <w:jc w:val="both"/>
        <w:textAlignment w:val="baseline"/>
        <w:rPr>
          <w:rFonts w:ascii="Arial" w:hAnsi="Arial" w:cs="Arial"/>
          <w:b/>
          <w:bCs/>
          <w:sz w:val="22"/>
          <w:szCs w:val="22"/>
        </w:rPr>
      </w:pPr>
      <w:r w:rsidRPr="00B710A9">
        <w:rPr>
          <w:rFonts w:cs="Arial"/>
          <w:color w:val="000000"/>
          <w:sz w:val="20"/>
          <w:szCs w:val="20"/>
        </w:rPr>
        <w:t> </w:t>
      </w:r>
    </w:p>
    <w:p w14:paraId="47150E10" w14:textId="4DCAC4B4" w:rsidR="00673315" w:rsidRPr="00B710A9" w:rsidRDefault="00673315" w:rsidP="00673315">
      <w:pPr>
        <w:jc w:val="both"/>
        <w:textAlignment w:val="baseline"/>
        <w:rPr>
          <w:rStyle w:val="eop"/>
          <w:rFonts w:ascii="Arial" w:hAnsi="Arial" w:cs="Arial"/>
          <w:color w:val="000000"/>
          <w:sz w:val="22"/>
          <w:szCs w:val="22"/>
          <w:shd w:val="clear" w:color="auto" w:fill="FFFFFF"/>
        </w:rPr>
      </w:pPr>
      <w:r w:rsidRPr="00B710A9">
        <w:rPr>
          <w:rFonts w:ascii="Arial" w:hAnsi="Arial" w:cs="Arial"/>
          <w:sz w:val="22"/>
          <w:szCs w:val="22"/>
        </w:rPr>
        <w:t xml:space="preserve">Durante el primer semestre de la vigencia 2022, se realizaron 23 campañas para fortalecer la difusión de los productos y servicios de la entidad como: 1.) Museo nacional de geografía y cartografía, 2.) queremos facilitar la solicitud de tus trámites ante el IGAC. (englobe o </w:t>
      </w:r>
      <w:proofErr w:type="spellStart"/>
      <w:r w:rsidRPr="00B710A9">
        <w:rPr>
          <w:rFonts w:ascii="Arial" w:hAnsi="Arial" w:cs="Arial"/>
          <w:sz w:val="22"/>
          <w:szCs w:val="22"/>
        </w:rPr>
        <w:t>desenglobe</w:t>
      </w:r>
      <w:proofErr w:type="spellEnd"/>
      <w:r w:rsidRPr="00B710A9">
        <w:rPr>
          <w:rFonts w:ascii="Arial" w:hAnsi="Arial" w:cs="Arial"/>
          <w:sz w:val="22"/>
          <w:szCs w:val="22"/>
        </w:rPr>
        <w:t xml:space="preserve">),3.) El Certificado Catastral Nacional, que expide el IGAC, de manera virtual, sencilla y rápida, 4.) ¿ya conoces todos los productos y servicios que tenemos disponibles?, 5.) ¿Ya conoces los museos que están en nuestra sede central?, 6.) 7.) ¿Ya conoces todos los productos y servicios que tenemos disponibles? ,8.) ven a nuestro museo y descubre cómo se ha construido la geografía y la cartografía de Colombia y nuestro móvil inicia recorrido por la Jagua de Ibirico, Cesar, en donde llevaremos conocimiento, trámites y productos del IGAC, 9) día internacional de los museos, 10) servicio móvil IGAC, 11) publicaciones más vendidas en el IGAC. 12.) ICDE revista </w:t>
      </w:r>
      <w:proofErr w:type="spellStart"/>
      <w:r w:rsidRPr="00B710A9">
        <w:rPr>
          <w:rFonts w:ascii="Arial" w:hAnsi="Arial" w:cs="Arial"/>
          <w:sz w:val="22"/>
          <w:szCs w:val="22"/>
        </w:rPr>
        <w:t>geodata</w:t>
      </w:r>
      <w:proofErr w:type="spellEnd"/>
      <w:r w:rsidRPr="00B710A9">
        <w:rPr>
          <w:rFonts w:ascii="Arial" w:hAnsi="Arial" w:cs="Arial"/>
          <w:sz w:val="22"/>
          <w:szCs w:val="22"/>
        </w:rPr>
        <w:t>.</w:t>
      </w:r>
      <w:r w:rsidRPr="00B710A9">
        <w:rPr>
          <w:rStyle w:val="eop"/>
          <w:rFonts w:ascii="Arial" w:hAnsi="Arial" w:cs="Arial"/>
          <w:color w:val="000000"/>
          <w:sz w:val="22"/>
          <w:szCs w:val="22"/>
          <w:shd w:val="clear" w:color="auto" w:fill="FFFFFF"/>
        </w:rPr>
        <w:t> </w:t>
      </w:r>
    </w:p>
    <w:p w14:paraId="68BBCB8C" w14:textId="21E4444A" w:rsidR="00673315" w:rsidRPr="00B710A9" w:rsidRDefault="00673315" w:rsidP="00006132">
      <w:pPr>
        <w:spacing w:after="0" w:line="240" w:lineRule="auto"/>
        <w:jc w:val="both"/>
        <w:textAlignment w:val="baseline"/>
        <w:rPr>
          <w:rFonts w:cs="Arial"/>
          <w:b/>
          <w:bCs/>
          <w:sz w:val="22"/>
          <w:szCs w:val="22"/>
        </w:rPr>
      </w:pPr>
    </w:p>
    <w:p w14:paraId="73BE7ADE" w14:textId="7621D5AA" w:rsidR="008C4A23" w:rsidRPr="00B710A9" w:rsidRDefault="00526830" w:rsidP="00356A3E">
      <w:pPr>
        <w:numPr>
          <w:ilvl w:val="0"/>
          <w:numId w:val="40"/>
        </w:numPr>
        <w:pBdr>
          <w:top w:val="nil"/>
          <w:left w:val="nil"/>
          <w:bottom w:val="nil"/>
          <w:right w:val="nil"/>
          <w:between w:val="nil"/>
        </w:pBdr>
        <w:spacing w:after="0" w:line="240" w:lineRule="auto"/>
        <w:jc w:val="both"/>
        <w:rPr>
          <w:rFonts w:ascii="Arial" w:eastAsia="Arial" w:hAnsi="Arial" w:cs="Arial"/>
          <w:color w:val="000000" w:themeColor="text1"/>
          <w:sz w:val="22"/>
          <w:szCs w:val="22"/>
        </w:rPr>
      </w:pPr>
      <w:r w:rsidRPr="00B710A9">
        <w:rPr>
          <w:rFonts w:ascii="Arial" w:eastAsia="Arial" w:hAnsi="Arial" w:cs="Arial"/>
          <w:b/>
          <w:color w:val="000000" w:themeColor="text1"/>
          <w:sz w:val="22"/>
          <w:szCs w:val="22"/>
        </w:rPr>
        <w:t>Documentos de lineamientos técnicos:</w:t>
      </w:r>
      <w:r w:rsidRPr="00B710A9">
        <w:rPr>
          <w:rFonts w:ascii="Arial" w:eastAsia="Arial" w:hAnsi="Arial" w:cs="Arial"/>
          <w:color w:val="000000" w:themeColor="text1"/>
          <w:sz w:val="22"/>
          <w:szCs w:val="22"/>
        </w:rPr>
        <w:t xml:space="preserve"> Publicaciones</w:t>
      </w:r>
      <w:r w:rsidR="357F96B4" w:rsidRPr="00B710A9">
        <w:rPr>
          <w:rFonts w:ascii="Arial" w:eastAsia="Arial" w:hAnsi="Arial" w:cs="Arial"/>
          <w:color w:val="000000" w:themeColor="text1"/>
          <w:sz w:val="22"/>
          <w:szCs w:val="22"/>
        </w:rPr>
        <w:t xml:space="preserve">: Documentos que fortalecen la planeación e implementación de las estrategias de comunicaciones y mercadeo: </w:t>
      </w:r>
    </w:p>
    <w:p w14:paraId="077CA53C" w14:textId="548E3A81" w:rsidR="008C4A23" w:rsidRPr="00B710A9" w:rsidRDefault="008C4A23" w:rsidP="009D279A">
      <w:pPr>
        <w:pBdr>
          <w:top w:val="nil"/>
          <w:left w:val="nil"/>
          <w:bottom w:val="nil"/>
          <w:right w:val="nil"/>
          <w:between w:val="nil"/>
        </w:pBdr>
        <w:spacing w:after="0" w:line="240" w:lineRule="auto"/>
        <w:jc w:val="both"/>
        <w:rPr>
          <w:rFonts w:ascii="Arial" w:eastAsia="Arial" w:hAnsi="Arial" w:cs="Arial"/>
          <w:color w:val="000000" w:themeColor="text1"/>
          <w:sz w:val="22"/>
          <w:szCs w:val="22"/>
        </w:rPr>
      </w:pPr>
    </w:p>
    <w:p w14:paraId="426CAA32" w14:textId="3F3570AD" w:rsidR="008C4A23" w:rsidRPr="00B710A9" w:rsidRDefault="357F96B4" w:rsidP="009D279A">
      <w:pPr>
        <w:pBdr>
          <w:top w:val="nil"/>
          <w:left w:val="nil"/>
          <w:bottom w:val="nil"/>
          <w:right w:val="nil"/>
          <w:between w:val="nil"/>
        </w:pBdr>
        <w:spacing w:after="0" w:line="240" w:lineRule="auto"/>
        <w:jc w:val="both"/>
        <w:rPr>
          <w:rFonts w:ascii="Arial" w:eastAsia="Arial" w:hAnsi="Arial" w:cs="Arial"/>
          <w:b/>
          <w:color w:val="000000" w:themeColor="text1"/>
          <w:sz w:val="22"/>
          <w:szCs w:val="22"/>
          <w:u w:val="single"/>
        </w:rPr>
      </w:pPr>
      <w:r w:rsidRPr="00B710A9">
        <w:rPr>
          <w:rFonts w:ascii="Arial" w:eastAsia="Arial" w:hAnsi="Arial" w:cs="Arial"/>
          <w:b/>
          <w:color w:val="000000" w:themeColor="text1"/>
          <w:sz w:val="22"/>
          <w:szCs w:val="22"/>
          <w:u w:val="single"/>
        </w:rPr>
        <w:t xml:space="preserve">Plan estratégico de comunicaciones del IGAC (Estrategia de comunicaciones de habilitación catastral):  </w:t>
      </w:r>
    </w:p>
    <w:p w14:paraId="50010771" w14:textId="77777777" w:rsidR="00673315" w:rsidRPr="00B710A9" w:rsidRDefault="00673315" w:rsidP="009D279A">
      <w:pPr>
        <w:pBdr>
          <w:top w:val="nil"/>
          <w:left w:val="nil"/>
          <w:bottom w:val="nil"/>
          <w:right w:val="nil"/>
          <w:between w:val="nil"/>
        </w:pBdr>
        <w:spacing w:after="0" w:line="240" w:lineRule="auto"/>
        <w:jc w:val="both"/>
        <w:rPr>
          <w:rFonts w:ascii="Arial" w:eastAsia="Arial" w:hAnsi="Arial" w:cs="Arial"/>
          <w:color w:val="000000" w:themeColor="text1"/>
          <w:sz w:val="22"/>
          <w:szCs w:val="22"/>
        </w:rPr>
      </w:pPr>
    </w:p>
    <w:p w14:paraId="57EF0486" w14:textId="4E2CB431" w:rsidR="008C4A23" w:rsidRPr="00B710A9" w:rsidRDefault="357F96B4" w:rsidP="009D279A">
      <w:pPr>
        <w:pBdr>
          <w:top w:val="nil"/>
          <w:left w:val="nil"/>
          <w:bottom w:val="nil"/>
          <w:right w:val="nil"/>
          <w:between w:val="nil"/>
        </w:pBd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La estrategia de comunicaciones, durante el actual periodo de Gobierno, tiene como propósito principal la difusión, socialización y acceso a la información que genera la entidad en el marco de la política de Catastro Multipropósito contemplada en el Plan Nacional de Desarrollo 2018-2022, dirigida principalmente a mandatarios locales y gubernamentales, así como en medios de comunicación y demás grupos de interés. </w:t>
      </w:r>
    </w:p>
    <w:p w14:paraId="240992B8" w14:textId="77777777" w:rsidR="005E0BEB" w:rsidRPr="00B710A9" w:rsidRDefault="005E0BEB" w:rsidP="009D279A">
      <w:pPr>
        <w:pBdr>
          <w:top w:val="nil"/>
          <w:left w:val="nil"/>
          <w:bottom w:val="nil"/>
          <w:right w:val="nil"/>
          <w:between w:val="nil"/>
        </w:pBdr>
        <w:spacing w:after="0" w:line="240" w:lineRule="auto"/>
        <w:jc w:val="both"/>
        <w:rPr>
          <w:rFonts w:ascii="Arial" w:eastAsia="Arial" w:hAnsi="Arial" w:cs="Arial"/>
          <w:color w:val="000000" w:themeColor="text1"/>
          <w:sz w:val="22"/>
          <w:szCs w:val="22"/>
        </w:rPr>
      </w:pPr>
    </w:p>
    <w:p w14:paraId="619A1FCC" w14:textId="761E27D7" w:rsidR="00D03FCC" w:rsidRPr="00B710A9" w:rsidRDefault="357F96B4" w:rsidP="00D03FCC">
      <w:pPr>
        <w:spacing w:after="0" w:line="240" w:lineRule="auto"/>
        <w:jc w:val="both"/>
        <w:textAlignment w:val="baseline"/>
        <w:rPr>
          <w:rFonts w:ascii="Arial" w:hAnsi="Arial" w:cs="Arial"/>
          <w:b/>
          <w:bCs/>
          <w:sz w:val="22"/>
          <w:szCs w:val="22"/>
        </w:rPr>
      </w:pPr>
      <w:r w:rsidRPr="00B710A9">
        <w:rPr>
          <w:rFonts w:ascii="Arial" w:eastAsia="Arial" w:hAnsi="Arial" w:cs="Arial"/>
          <w:color w:val="000000" w:themeColor="text1"/>
          <w:sz w:val="22"/>
          <w:szCs w:val="22"/>
        </w:rPr>
        <w:t>Como parte del posicionamiento de los temas y contenidos de la gestión del In</w:t>
      </w:r>
      <w:r w:rsidR="00673315" w:rsidRPr="00B710A9">
        <w:rPr>
          <w:rFonts w:ascii="Arial" w:eastAsia="Arial" w:hAnsi="Arial" w:cs="Arial"/>
          <w:color w:val="000000" w:themeColor="text1"/>
          <w:sz w:val="22"/>
          <w:szCs w:val="22"/>
        </w:rPr>
        <w:t>stituto, durante el periodo 2021</w:t>
      </w:r>
      <w:r w:rsidRPr="00B710A9">
        <w:rPr>
          <w:rFonts w:ascii="Arial" w:eastAsia="Arial" w:hAnsi="Arial" w:cs="Arial"/>
          <w:color w:val="000000" w:themeColor="text1"/>
          <w:sz w:val="22"/>
          <w:szCs w:val="22"/>
        </w:rPr>
        <w:t xml:space="preserve"> y 202</w:t>
      </w:r>
      <w:r w:rsidR="00673315" w:rsidRPr="00B710A9">
        <w:rPr>
          <w:rFonts w:ascii="Arial" w:eastAsia="Arial" w:hAnsi="Arial" w:cs="Arial"/>
          <w:color w:val="000000" w:themeColor="text1"/>
          <w:sz w:val="22"/>
          <w:szCs w:val="22"/>
        </w:rPr>
        <w:t>2</w:t>
      </w:r>
      <w:r w:rsidRPr="00B710A9">
        <w:rPr>
          <w:rFonts w:ascii="Arial" w:eastAsia="Arial" w:hAnsi="Arial" w:cs="Arial"/>
          <w:color w:val="000000" w:themeColor="text1"/>
          <w:sz w:val="22"/>
          <w:szCs w:val="22"/>
        </w:rPr>
        <w:t xml:space="preserve">, se </w:t>
      </w:r>
      <w:r w:rsidR="00D03FCC" w:rsidRPr="00B710A9">
        <w:rPr>
          <w:rFonts w:ascii="Arial" w:eastAsia="Arial" w:hAnsi="Arial" w:cs="Arial"/>
          <w:color w:val="000000" w:themeColor="text1"/>
          <w:sz w:val="22"/>
          <w:szCs w:val="22"/>
        </w:rPr>
        <w:t>179</w:t>
      </w:r>
      <w:r w:rsidR="00D03FCC" w:rsidRPr="00B710A9">
        <w:rPr>
          <w:rFonts w:ascii="Arial" w:hAnsi="Arial" w:cs="Arial"/>
          <w:color w:val="000000"/>
          <w:sz w:val="22"/>
          <w:szCs w:val="22"/>
        </w:rPr>
        <w:t xml:space="preserve"> publicaciones en la página web con comunicados sobre información estratégica de la entidad y 3.638 publicaciones a través de las redes sociales.</w:t>
      </w:r>
      <w:r w:rsidR="00D03FCC" w:rsidRPr="00B710A9">
        <w:rPr>
          <w:rFonts w:ascii="Arial" w:hAnsi="Arial" w:cs="Arial"/>
          <w:b/>
          <w:bCs/>
          <w:color w:val="000000"/>
          <w:sz w:val="22"/>
          <w:szCs w:val="22"/>
        </w:rPr>
        <w:t> </w:t>
      </w:r>
    </w:p>
    <w:p w14:paraId="28629F3D" w14:textId="77777777" w:rsidR="005E0BEB" w:rsidRPr="00B710A9" w:rsidRDefault="005E0BEB" w:rsidP="009D279A">
      <w:pPr>
        <w:pBdr>
          <w:top w:val="nil"/>
          <w:left w:val="nil"/>
          <w:bottom w:val="nil"/>
          <w:right w:val="nil"/>
          <w:between w:val="nil"/>
        </w:pBdr>
        <w:spacing w:after="0" w:line="240" w:lineRule="auto"/>
        <w:jc w:val="both"/>
        <w:rPr>
          <w:rFonts w:ascii="Arial" w:eastAsia="Arial" w:hAnsi="Arial" w:cs="Arial"/>
          <w:color w:val="000000" w:themeColor="text1"/>
          <w:sz w:val="22"/>
          <w:szCs w:val="22"/>
        </w:rPr>
      </w:pPr>
    </w:p>
    <w:p w14:paraId="3C59D249" w14:textId="2A0A1B8B" w:rsidR="00D03FCC" w:rsidRPr="007907B6" w:rsidRDefault="357F96B4" w:rsidP="00D03FCC">
      <w:pPr>
        <w:spacing w:after="0" w:line="240" w:lineRule="auto"/>
        <w:jc w:val="both"/>
        <w:textAlignment w:val="baseline"/>
        <w:rPr>
          <w:rStyle w:val="normaltextrun"/>
          <w:rFonts w:cs="Arial"/>
          <w:sz w:val="22"/>
          <w:szCs w:val="22"/>
        </w:rPr>
      </w:pPr>
      <w:r w:rsidRPr="00B710A9">
        <w:rPr>
          <w:rFonts w:ascii="Arial" w:eastAsia="Arial" w:hAnsi="Arial" w:cs="Arial"/>
          <w:color w:val="000000" w:themeColor="text1"/>
          <w:sz w:val="22"/>
          <w:szCs w:val="22"/>
        </w:rPr>
        <w:t>En cuanto a la participación de la entidad en diferentes eventos para la difusión de la información misional y estratégica, como lo es la política de Catastro Multipropósito, la entidad</w:t>
      </w:r>
      <w:r w:rsidR="75863F5B" w:rsidRPr="00B710A9">
        <w:rPr>
          <w:rFonts w:ascii="Arial" w:eastAsia="Arial" w:hAnsi="Arial" w:cs="Arial"/>
          <w:color w:val="000000" w:themeColor="text1"/>
          <w:sz w:val="22"/>
          <w:szCs w:val="22"/>
        </w:rPr>
        <w:t xml:space="preserve"> </w:t>
      </w:r>
      <w:r w:rsidR="00D03FCC" w:rsidRPr="00B710A9">
        <w:rPr>
          <w:rFonts w:ascii="Arial" w:eastAsia="Arial" w:hAnsi="Arial" w:cs="Arial"/>
          <w:color w:val="000000" w:themeColor="text1"/>
          <w:sz w:val="22"/>
          <w:szCs w:val="22"/>
        </w:rPr>
        <w:t>participó en 48 eventos</w:t>
      </w:r>
      <w:r w:rsidR="00D03FCC" w:rsidRPr="00B710A9">
        <w:rPr>
          <w:rFonts w:ascii="Arial" w:hAnsi="Arial" w:cs="Arial"/>
          <w:color w:val="000000"/>
          <w:sz w:val="22"/>
          <w:szCs w:val="22"/>
        </w:rPr>
        <w:t xml:space="preserve"> tanto virtuales como presenciales, con una asistencia aproximada de más de 5.000 personas. Dentro de estos eventos se encuentran: Expedición Codazzi (Tunja – Boyacá, Riohacha – Guajira, Santa Marta – Magdalena, Atlántico – Barranquilla, Cundinamarca, Tolima – Ibagué, Cali – Valle del Cauca y San Andrés y Providencia), firma convenio SENA – IGAC y Colombia en mapas una nueva función </w:t>
      </w:r>
      <w:r w:rsidR="00D03FCC" w:rsidRPr="00B710A9">
        <w:rPr>
          <w:rStyle w:val="normaltextrun"/>
          <w:rFonts w:ascii="Arial" w:hAnsi="Arial" w:cs="Arial"/>
          <w:color w:val="000000"/>
          <w:sz w:val="22"/>
          <w:szCs w:val="22"/>
          <w:shd w:val="clear" w:color="auto" w:fill="FFFFFF"/>
        </w:rPr>
        <w:t xml:space="preserve">y  </w:t>
      </w:r>
      <w:r w:rsidR="00D03FCC" w:rsidRPr="00B710A9">
        <w:rPr>
          <w:rFonts w:ascii="Arial" w:hAnsi="Arial" w:cs="Arial"/>
          <w:sz w:val="22"/>
          <w:szCs w:val="22"/>
        </w:rPr>
        <w:t xml:space="preserve">reuniones con embajadas de: Países Bajos, Brasil, Israel, España y Guatemala; </w:t>
      </w:r>
      <w:r w:rsidR="00D03FCC" w:rsidRPr="00B710A9">
        <w:rPr>
          <w:rStyle w:val="normaltextrun"/>
          <w:rFonts w:ascii="Arial" w:hAnsi="Arial" w:cs="Arial"/>
          <w:color w:val="000000"/>
          <w:sz w:val="22"/>
          <w:szCs w:val="22"/>
          <w:bdr w:val="none" w:sz="0" w:space="0" w:color="auto" w:frame="1"/>
        </w:rPr>
        <w:t>Expedición Codazzi Eje Cafetero (Manizales, Risaralda, Quindío), Expedición Codazzi Valledupar - César y 9° edición semana geomática.</w:t>
      </w:r>
    </w:p>
    <w:p w14:paraId="21CEF059" w14:textId="02A53C68" w:rsidR="008C4A23" w:rsidRPr="0027519B" w:rsidRDefault="008C4A23" w:rsidP="00784F95">
      <w:pPr>
        <w:pBdr>
          <w:top w:val="nil"/>
          <w:left w:val="nil"/>
          <w:bottom w:val="nil"/>
          <w:right w:val="nil"/>
          <w:between w:val="nil"/>
        </w:pBdr>
        <w:spacing w:after="0" w:line="240" w:lineRule="auto"/>
        <w:jc w:val="both"/>
        <w:rPr>
          <w:rFonts w:ascii="Arial" w:eastAsia="Arial" w:hAnsi="Arial" w:cs="Arial"/>
          <w:color w:val="000000" w:themeColor="text1"/>
          <w:sz w:val="22"/>
          <w:szCs w:val="22"/>
        </w:rPr>
      </w:pPr>
    </w:p>
    <w:p w14:paraId="24106FD5" w14:textId="2628958F" w:rsidR="008C4A23" w:rsidRDefault="008C4A23" w:rsidP="009D279A">
      <w:pPr>
        <w:pBdr>
          <w:top w:val="nil"/>
          <w:left w:val="nil"/>
          <w:bottom w:val="nil"/>
          <w:right w:val="nil"/>
          <w:between w:val="nil"/>
        </w:pBdr>
        <w:spacing w:after="0" w:line="240" w:lineRule="auto"/>
        <w:jc w:val="both"/>
        <w:rPr>
          <w:rFonts w:ascii="Arial" w:eastAsia="Arial" w:hAnsi="Arial" w:cs="Arial"/>
          <w:color w:val="000000" w:themeColor="text1"/>
          <w:sz w:val="22"/>
          <w:szCs w:val="22"/>
        </w:rPr>
      </w:pPr>
    </w:p>
    <w:p w14:paraId="4979DFB2" w14:textId="77777777" w:rsidR="00E829D5" w:rsidRDefault="00E829D5" w:rsidP="009D279A">
      <w:pPr>
        <w:pBdr>
          <w:top w:val="nil"/>
          <w:left w:val="nil"/>
          <w:bottom w:val="nil"/>
          <w:right w:val="nil"/>
          <w:between w:val="nil"/>
        </w:pBdr>
        <w:spacing w:after="0" w:line="240" w:lineRule="auto"/>
        <w:jc w:val="both"/>
        <w:rPr>
          <w:rFonts w:ascii="Arial" w:eastAsia="Arial" w:hAnsi="Arial" w:cs="Arial"/>
          <w:color w:val="000000" w:themeColor="text1"/>
          <w:sz w:val="22"/>
          <w:szCs w:val="22"/>
        </w:rPr>
      </w:pPr>
    </w:p>
    <w:p w14:paraId="63E9320E" w14:textId="77777777" w:rsidR="00E829D5" w:rsidRDefault="00E829D5" w:rsidP="009D279A">
      <w:pPr>
        <w:pBdr>
          <w:top w:val="nil"/>
          <w:left w:val="nil"/>
          <w:bottom w:val="nil"/>
          <w:right w:val="nil"/>
          <w:between w:val="nil"/>
        </w:pBdr>
        <w:spacing w:after="0" w:line="240" w:lineRule="auto"/>
        <w:jc w:val="both"/>
        <w:rPr>
          <w:rFonts w:ascii="Arial" w:eastAsia="Arial" w:hAnsi="Arial" w:cs="Arial"/>
          <w:color w:val="000000" w:themeColor="text1"/>
          <w:sz w:val="22"/>
          <w:szCs w:val="22"/>
        </w:rPr>
      </w:pPr>
    </w:p>
    <w:p w14:paraId="164C6B11" w14:textId="77777777" w:rsidR="00E829D5" w:rsidRPr="0027519B" w:rsidRDefault="00E829D5" w:rsidP="009D279A">
      <w:pPr>
        <w:pBdr>
          <w:top w:val="nil"/>
          <w:left w:val="nil"/>
          <w:bottom w:val="nil"/>
          <w:right w:val="nil"/>
          <w:between w:val="nil"/>
        </w:pBdr>
        <w:spacing w:after="0" w:line="240" w:lineRule="auto"/>
        <w:jc w:val="both"/>
        <w:rPr>
          <w:rFonts w:ascii="Arial" w:eastAsia="Arial" w:hAnsi="Arial" w:cs="Arial"/>
          <w:color w:val="000000" w:themeColor="text1"/>
          <w:sz w:val="22"/>
          <w:szCs w:val="22"/>
        </w:rPr>
      </w:pPr>
    </w:p>
    <w:p w14:paraId="73AE7ACF" w14:textId="77777777" w:rsidR="00227C15" w:rsidRPr="0027519B" w:rsidRDefault="00227C15" w:rsidP="009D279A">
      <w:pPr>
        <w:pBdr>
          <w:top w:val="nil"/>
          <w:left w:val="nil"/>
          <w:bottom w:val="nil"/>
          <w:right w:val="nil"/>
          <w:between w:val="nil"/>
        </w:pBdr>
        <w:spacing w:after="0" w:line="240" w:lineRule="auto"/>
        <w:jc w:val="both"/>
        <w:rPr>
          <w:rFonts w:ascii="Arial" w:eastAsia="Arial" w:hAnsi="Arial" w:cs="Arial"/>
          <w:color w:val="000000" w:themeColor="text1"/>
          <w:sz w:val="22"/>
          <w:szCs w:val="22"/>
        </w:rPr>
      </w:pPr>
    </w:p>
    <w:p w14:paraId="44AB2B5C" w14:textId="6979159C" w:rsidR="008C4A23" w:rsidRPr="00B710A9" w:rsidRDefault="00526830" w:rsidP="009D279A">
      <w:pPr>
        <w:pBdr>
          <w:top w:val="nil"/>
          <w:left w:val="nil"/>
          <w:bottom w:val="nil"/>
          <w:right w:val="nil"/>
          <w:between w:val="nil"/>
        </w:pBdr>
        <w:spacing w:after="0" w:line="240" w:lineRule="auto"/>
        <w:jc w:val="both"/>
        <w:rPr>
          <w:rFonts w:ascii="Arial" w:eastAsia="Arial" w:hAnsi="Arial" w:cs="Arial"/>
          <w:b/>
          <w:color w:val="000000" w:themeColor="text1"/>
          <w:sz w:val="22"/>
          <w:szCs w:val="22"/>
        </w:rPr>
      </w:pPr>
      <w:r w:rsidRPr="00B710A9">
        <w:rPr>
          <w:rFonts w:ascii="Arial" w:eastAsia="Arial" w:hAnsi="Arial" w:cs="Arial"/>
          <w:b/>
          <w:color w:val="000000" w:themeColor="text1"/>
          <w:sz w:val="22"/>
          <w:szCs w:val="22"/>
        </w:rPr>
        <w:t>Retos del mandado - Información para todos</w:t>
      </w:r>
    </w:p>
    <w:p w14:paraId="653EDFB4" w14:textId="77777777" w:rsidR="00463C28" w:rsidRPr="00B710A9" w:rsidRDefault="00463C28" w:rsidP="009D279A">
      <w:pPr>
        <w:pBdr>
          <w:top w:val="nil"/>
          <w:left w:val="nil"/>
          <w:bottom w:val="nil"/>
          <w:right w:val="nil"/>
          <w:between w:val="nil"/>
        </w:pBdr>
        <w:spacing w:after="0" w:line="240" w:lineRule="auto"/>
        <w:jc w:val="both"/>
        <w:rPr>
          <w:rFonts w:ascii="Arial" w:eastAsia="Arial" w:hAnsi="Arial" w:cs="Arial"/>
          <w:b/>
          <w:color w:val="000000" w:themeColor="text1"/>
          <w:sz w:val="22"/>
          <w:szCs w:val="22"/>
        </w:rPr>
      </w:pPr>
    </w:p>
    <w:p w14:paraId="2B0BD296" w14:textId="7120DC64" w:rsidR="31E23F24" w:rsidRPr="00B710A9" w:rsidRDefault="31E23F24" w:rsidP="00356A3E">
      <w:pPr>
        <w:pStyle w:val="Prrafodelista"/>
        <w:numPr>
          <w:ilvl w:val="0"/>
          <w:numId w:val="45"/>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Establecer alianzas que permitan la creación de un centro investigación científica, y el uso y aprovechamiento de los datos que se generan</w:t>
      </w:r>
    </w:p>
    <w:p w14:paraId="478FC340" w14:textId="7EB2902A" w:rsidR="31E23F24" w:rsidRPr="00B710A9" w:rsidRDefault="31E23F24" w:rsidP="00356A3E">
      <w:pPr>
        <w:pStyle w:val="Prrafodelista"/>
        <w:numPr>
          <w:ilvl w:val="0"/>
          <w:numId w:val="45"/>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Definir e implementar estrategias para fortalecer la producción agrológica del país, así como promover el uso y potencial de esta información para los diferentes sectores</w:t>
      </w:r>
    </w:p>
    <w:p w14:paraId="26CB1026" w14:textId="24D2B794" w:rsidR="31E23F24" w:rsidRPr="00B710A9" w:rsidRDefault="31E23F24" w:rsidP="00356A3E">
      <w:pPr>
        <w:pStyle w:val="Prrafodelista"/>
        <w:numPr>
          <w:ilvl w:val="0"/>
          <w:numId w:val="45"/>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 xml:space="preserve">Automatizar el proceso de producción cartográfica (Línea de producción) y agrológica (monitoreo de cambios).  </w:t>
      </w:r>
    </w:p>
    <w:p w14:paraId="3B6B12E2" w14:textId="741F6FF6" w:rsidR="31E23F24" w:rsidRPr="00B710A9" w:rsidRDefault="31E23F24" w:rsidP="00356A3E">
      <w:pPr>
        <w:pStyle w:val="Prrafodelista"/>
        <w:numPr>
          <w:ilvl w:val="0"/>
          <w:numId w:val="45"/>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 xml:space="preserve">Avanzar con el cumplimiento de los compromisos establecidos por el Gobierno Nacional, asociados con cartografía a escalas y temporalidades adecuadas, así como con caracterizaciones territoriales, a partir del trabajo articulado y coordinado con diferentes entidades y organismos. </w:t>
      </w:r>
    </w:p>
    <w:p w14:paraId="222BD02B" w14:textId="415DB9CB" w:rsidR="31E23F24" w:rsidRPr="00B710A9" w:rsidRDefault="31E23F24" w:rsidP="00356A3E">
      <w:pPr>
        <w:pStyle w:val="Prrafodelista"/>
        <w:numPr>
          <w:ilvl w:val="0"/>
          <w:numId w:val="45"/>
        </w:numPr>
        <w:rPr>
          <w:rFonts w:ascii="Arial" w:eastAsia="Arial" w:hAnsi="Arial" w:cs="Arial"/>
          <w:sz w:val="22"/>
          <w:szCs w:val="22"/>
        </w:rPr>
      </w:pPr>
      <w:r w:rsidRPr="00B710A9">
        <w:rPr>
          <w:rFonts w:ascii="Arial" w:eastAsia="Arial" w:hAnsi="Arial" w:cs="Arial"/>
          <w:sz w:val="22"/>
          <w:szCs w:val="22"/>
          <w:lang w:val="es"/>
        </w:rPr>
        <w:t>Definir un modelo de negocio entorno a los servicios geodésicos que se proveerán a través del Centro de Control de la Red Geodésica, que permita la autosostenibilidad y mantenimiento de la red.</w:t>
      </w:r>
      <w:r w:rsidRPr="00B710A9">
        <w:rPr>
          <w:rFonts w:ascii="Arial" w:eastAsia="Arial" w:hAnsi="Arial" w:cs="Arial"/>
          <w:sz w:val="22"/>
          <w:szCs w:val="22"/>
        </w:rPr>
        <w:t xml:space="preserve"> </w:t>
      </w:r>
    </w:p>
    <w:p w14:paraId="60B14558" w14:textId="305CE246" w:rsidR="31E23F24" w:rsidRPr="00B710A9" w:rsidRDefault="31E23F24" w:rsidP="00356A3E">
      <w:pPr>
        <w:pStyle w:val="Prrafodelista"/>
        <w:numPr>
          <w:ilvl w:val="0"/>
          <w:numId w:val="45"/>
        </w:numPr>
        <w:rPr>
          <w:rFonts w:ascii="Arial" w:eastAsia="Arial" w:hAnsi="Arial" w:cs="Arial"/>
          <w:sz w:val="22"/>
          <w:szCs w:val="22"/>
        </w:rPr>
      </w:pPr>
      <w:r w:rsidRPr="00B710A9">
        <w:rPr>
          <w:rFonts w:ascii="Arial" w:eastAsia="Arial" w:hAnsi="Arial" w:cs="Arial"/>
          <w:sz w:val="22"/>
          <w:szCs w:val="22"/>
          <w:lang w:val="es"/>
        </w:rPr>
        <w:t>Liderar la creación de un laboratorio de Geodesia Espacial con el objetivo de promover el uso innovador de los datos y recursos geodésicos, a partir de nuevas tecnologías, y en conjunto con la academia desarrollar productos y servicios de valor agregado para el país.</w:t>
      </w:r>
      <w:r w:rsidRPr="00B710A9">
        <w:rPr>
          <w:rFonts w:ascii="Arial" w:eastAsia="Arial" w:hAnsi="Arial" w:cs="Arial"/>
          <w:sz w:val="22"/>
          <w:szCs w:val="22"/>
        </w:rPr>
        <w:t xml:space="preserve"> </w:t>
      </w:r>
    </w:p>
    <w:p w14:paraId="17A3819C" w14:textId="3489C089" w:rsidR="31E23F24" w:rsidRPr="00B710A9" w:rsidRDefault="31E23F24" w:rsidP="00356A3E">
      <w:pPr>
        <w:pStyle w:val="Prrafodelista"/>
        <w:numPr>
          <w:ilvl w:val="0"/>
          <w:numId w:val="45"/>
        </w:numPr>
        <w:rPr>
          <w:rFonts w:ascii="Arial" w:eastAsia="Arial" w:hAnsi="Arial" w:cs="Arial"/>
          <w:sz w:val="22"/>
          <w:szCs w:val="22"/>
        </w:rPr>
      </w:pPr>
      <w:r w:rsidRPr="00B710A9">
        <w:rPr>
          <w:rFonts w:ascii="Arial" w:eastAsia="Arial" w:hAnsi="Arial" w:cs="Arial"/>
          <w:sz w:val="22"/>
          <w:szCs w:val="22"/>
          <w:lang w:val="es"/>
        </w:rPr>
        <w:t xml:space="preserve">Priorizar la actualización del Modelo </w:t>
      </w:r>
      <w:proofErr w:type="spellStart"/>
      <w:r w:rsidRPr="00B710A9">
        <w:rPr>
          <w:rFonts w:ascii="Arial" w:eastAsia="Arial" w:hAnsi="Arial" w:cs="Arial"/>
          <w:sz w:val="22"/>
          <w:szCs w:val="22"/>
          <w:lang w:val="es"/>
        </w:rPr>
        <w:t>Geoidal</w:t>
      </w:r>
      <w:proofErr w:type="spellEnd"/>
      <w:r w:rsidRPr="00B710A9">
        <w:rPr>
          <w:rFonts w:ascii="Arial" w:eastAsia="Arial" w:hAnsi="Arial" w:cs="Arial"/>
          <w:sz w:val="22"/>
          <w:szCs w:val="22"/>
          <w:lang w:val="es"/>
        </w:rPr>
        <w:t xml:space="preserve"> para Colombia, el cual permitirá reducir costos significativos relacionados con el levantamiento de información y </w:t>
      </w:r>
      <w:r w:rsidRPr="00B710A9">
        <w:rPr>
          <w:rFonts w:ascii="Arial" w:eastAsia="Arial" w:hAnsi="Arial" w:cs="Arial"/>
          <w:sz w:val="22"/>
          <w:szCs w:val="22"/>
          <w:lang w:val="es"/>
        </w:rPr>
        <w:lastRenderedPageBreak/>
        <w:t xml:space="preserve">densificación de redes de medición. Un modelo </w:t>
      </w:r>
      <w:proofErr w:type="spellStart"/>
      <w:r w:rsidRPr="00B710A9">
        <w:rPr>
          <w:rFonts w:ascii="Arial" w:eastAsia="Arial" w:hAnsi="Arial" w:cs="Arial"/>
          <w:sz w:val="22"/>
          <w:szCs w:val="22"/>
          <w:lang w:val="es"/>
        </w:rPr>
        <w:t>geoidal</w:t>
      </w:r>
      <w:proofErr w:type="spellEnd"/>
      <w:r w:rsidRPr="00B710A9">
        <w:rPr>
          <w:rFonts w:ascii="Arial" w:eastAsia="Arial" w:hAnsi="Arial" w:cs="Arial"/>
          <w:sz w:val="22"/>
          <w:szCs w:val="22"/>
          <w:lang w:val="es"/>
        </w:rPr>
        <w:t xml:space="preserve"> actualizado con la suficiente resolución permite realizar transformaciones de alturas, predicciones de valores de gravedad, definición de sistemas de referencia verticales y estudios de movimientos verticales, por mencionar algunas de sus aplicaciones. </w:t>
      </w:r>
      <w:r w:rsidRPr="00B710A9">
        <w:rPr>
          <w:rFonts w:ascii="Arial" w:eastAsia="Arial" w:hAnsi="Arial" w:cs="Arial"/>
          <w:sz w:val="22"/>
          <w:szCs w:val="22"/>
        </w:rPr>
        <w:t xml:space="preserve"> </w:t>
      </w:r>
    </w:p>
    <w:p w14:paraId="0FD77C50" w14:textId="1314C641" w:rsidR="008C4A23" w:rsidRPr="00B710A9" w:rsidRDefault="00526830" w:rsidP="00356A3E">
      <w:pPr>
        <w:pStyle w:val="Prrafodelista"/>
        <w:numPr>
          <w:ilvl w:val="0"/>
          <w:numId w:val="45"/>
        </w:numPr>
        <w:spacing w:after="0" w:line="240" w:lineRule="auto"/>
        <w:jc w:val="both"/>
        <w:rPr>
          <w:rFonts w:ascii="Arial" w:eastAsia="Arial" w:hAnsi="Arial" w:cs="Arial"/>
          <w:color w:val="000000" w:themeColor="text1"/>
          <w:sz w:val="22"/>
          <w:szCs w:val="22"/>
        </w:rPr>
      </w:pPr>
      <w:bookmarkStart w:id="40" w:name="_heading=h.vqomo8btzsci"/>
      <w:bookmarkStart w:id="41" w:name="_heading=h.ox3uyvtf93d8"/>
      <w:bookmarkEnd w:id="40"/>
      <w:bookmarkEnd w:id="41"/>
      <w:r w:rsidRPr="00B710A9">
        <w:rPr>
          <w:rFonts w:ascii="Arial" w:eastAsia="Arial" w:hAnsi="Arial" w:cs="Arial"/>
          <w:color w:val="000000" w:themeColor="text1"/>
          <w:sz w:val="22"/>
          <w:szCs w:val="22"/>
        </w:rPr>
        <w:t xml:space="preserve">Potencializar el diseño de nuevas aplicaciones, herramientas y canales digitales para dar a conocer los productos y/o servicios que maneja la entidad a nivel nacional, especialmente los que soportan toda la estrategia de difusión de la nueva política de catastro multipropósito. </w:t>
      </w:r>
    </w:p>
    <w:p w14:paraId="58C8B724" w14:textId="77777777" w:rsidR="008C4A23" w:rsidRPr="00B710A9" w:rsidRDefault="00526830" w:rsidP="00356A3E">
      <w:pPr>
        <w:numPr>
          <w:ilvl w:val="0"/>
          <w:numId w:val="45"/>
        </w:numPr>
        <w:spacing w:after="0" w:line="240" w:lineRule="auto"/>
        <w:jc w:val="both"/>
        <w:rPr>
          <w:rFonts w:ascii="Arial" w:eastAsia="Arial" w:hAnsi="Arial" w:cs="Arial"/>
          <w:color w:val="000000" w:themeColor="text1"/>
          <w:sz w:val="22"/>
          <w:szCs w:val="22"/>
        </w:rPr>
      </w:pPr>
      <w:bookmarkStart w:id="42" w:name="_heading=h.41jdn29m0kff"/>
      <w:bookmarkEnd w:id="42"/>
      <w:r w:rsidRPr="00B710A9">
        <w:rPr>
          <w:rFonts w:ascii="Arial" w:eastAsia="Arial" w:hAnsi="Arial" w:cs="Arial"/>
          <w:color w:val="000000" w:themeColor="text1"/>
          <w:sz w:val="22"/>
          <w:szCs w:val="22"/>
        </w:rPr>
        <w:t xml:space="preserve">Acompañar a las direcciones territoriales en el diseño e implementación de estrategias para aumentar el acceso y difusión de la información geográfica en tiempos de pandemia. </w:t>
      </w:r>
    </w:p>
    <w:p w14:paraId="2726D51E" w14:textId="609E7D4F" w:rsidR="00784F95" w:rsidRPr="00B710A9" w:rsidRDefault="00526830" w:rsidP="00356A3E">
      <w:pPr>
        <w:numPr>
          <w:ilvl w:val="0"/>
          <w:numId w:val="45"/>
        </w:num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Organizar y </w:t>
      </w:r>
      <w:r w:rsidR="00F65B96" w:rsidRPr="00B710A9">
        <w:rPr>
          <w:rFonts w:ascii="Arial" w:eastAsia="Arial" w:hAnsi="Arial" w:cs="Arial"/>
          <w:color w:val="000000" w:themeColor="text1"/>
          <w:sz w:val="22"/>
          <w:szCs w:val="22"/>
        </w:rPr>
        <w:t>consolidar los</w:t>
      </w:r>
      <w:r w:rsidRPr="00B710A9">
        <w:rPr>
          <w:rFonts w:ascii="Arial" w:eastAsia="Arial" w:hAnsi="Arial" w:cs="Arial"/>
          <w:color w:val="000000" w:themeColor="text1"/>
          <w:sz w:val="22"/>
          <w:szCs w:val="22"/>
        </w:rPr>
        <w:t xml:space="preserve"> procesos de innovación al interior de la entidad y en alianza con otras instituciones, que permitan la integración de las tecnologías Geoespaciales y emergentes (Big Data, Analítica de datos, entre otros) de rápidos resultados, que apoyen la optimización de los procesos misionales del IGAC y la identificación de oportunidades para hacer más eficiente la actualización catastral en el país.  </w:t>
      </w:r>
    </w:p>
    <w:p w14:paraId="2F5D2E16" w14:textId="6635FBB5" w:rsidR="00784F95" w:rsidRPr="00B710A9" w:rsidRDefault="00784F95" w:rsidP="00356A3E">
      <w:pPr>
        <w:numPr>
          <w:ilvl w:val="0"/>
          <w:numId w:val="45"/>
        </w:numPr>
        <w:spacing w:after="0" w:line="240" w:lineRule="auto"/>
        <w:jc w:val="both"/>
        <w:rPr>
          <w:rFonts w:ascii="Arial" w:eastAsia="Arial" w:hAnsi="Arial" w:cs="Arial"/>
          <w:color w:val="000000" w:themeColor="text1"/>
          <w:sz w:val="22"/>
          <w:szCs w:val="22"/>
        </w:rPr>
      </w:pPr>
      <w:r w:rsidRPr="00B710A9">
        <w:rPr>
          <w:rFonts w:ascii="Arial" w:hAnsi="Arial" w:cs="Arial"/>
          <w:sz w:val="22"/>
          <w:szCs w:val="22"/>
        </w:rPr>
        <w:t xml:space="preserve">Redefinir el procedimiento para la realización de los avalúos comerciales de tal manera que se pueda dar cumplimiento a los términos establecidos para su realización. </w:t>
      </w:r>
    </w:p>
    <w:p w14:paraId="11E5DB2C" w14:textId="77777777" w:rsidR="00784F95" w:rsidRPr="00B710A9" w:rsidRDefault="00784F95" w:rsidP="00356A3E">
      <w:pPr>
        <w:pStyle w:val="Prrafodelista"/>
        <w:numPr>
          <w:ilvl w:val="0"/>
          <w:numId w:val="100"/>
        </w:numPr>
        <w:spacing w:after="0" w:line="240" w:lineRule="auto"/>
        <w:ind w:left="567" w:hanging="207"/>
        <w:jc w:val="both"/>
        <w:rPr>
          <w:rFonts w:ascii="Arial" w:hAnsi="Arial" w:cs="Arial"/>
          <w:sz w:val="22"/>
          <w:szCs w:val="22"/>
        </w:rPr>
      </w:pPr>
      <w:r w:rsidRPr="00B710A9">
        <w:rPr>
          <w:rFonts w:ascii="Arial" w:hAnsi="Arial" w:cs="Arial"/>
          <w:sz w:val="22"/>
          <w:szCs w:val="22"/>
        </w:rPr>
        <w:t xml:space="preserve">Establecer un </w:t>
      </w:r>
      <w:proofErr w:type="spellStart"/>
      <w:r w:rsidRPr="00B710A9">
        <w:rPr>
          <w:rFonts w:ascii="Arial" w:hAnsi="Arial" w:cs="Arial"/>
          <w:sz w:val="22"/>
          <w:szCs w:val="22"/>
        </w:rPr>
        <w:t>check</w:t>
      </w:r>
      <w:proofErr w:type="spellEnd"/>
      <w:r w:rsidRPr="00B710A9">
        <w:rPr>
          <w:rFonts w:ascii="Arial" w:hAnsi="Arial" w:cs="Arial"/>
          <w:sz w:val="22"/>
          <w:szCs w:val="22"/>
        </w:rPr>
        <w:t xml:space="preserve"> </w:t>
      </w:r>
      <w:proofErr w:type="spellStart"/>
      <w:r w:rsidRPr="00B710A9">
        <w:rPr>
          <w:rFonts w:ascii="Arial" w:hAnsi="Arial" w:cs="Arial"/>
          <w:sz w:val="22"/>
          <w:szCs w:val="22"/>
        </w:rPr>
        <w:t>list</w:t>
      </w:r>
      <w:proofErr w:type="spellEnd"/>
      <w:r w:rsidRPr="00B710A9">
        <w:rPr>
          <w:rFonts w:ascii="Arial" w:hAnsi="Arial" w:cs="Arial"/>
          <w:sz w:val="22"/>
          <w:szCs w:val="22"/>
        </w:rPr>
        <w:t xml:space="preserve"> para los solicitantes de los avalúos comerciales de tal forma que conozcan los documentos requeridos para adelantar los mismos, dentro de los términos establecidos por la norma.  </w:t>
      </w:r>
    </w:p>
    <w:p w14:paraId="6D75FFB6" w14:textId="5EA70FB6" w:rsidR="00784F95" w:rsidRPr="00B710A9" w:rsidRDefault="00784F95" w:rsidP="00356A3E">
      <w:pPr>
        <w:pStyle w:val="Prrafodelista"/>
        <w:numPr>
          <w:ilvl w:val="0"/>
          <w:numId w:val="100"/>
        </w:numPr>
        <w:spacing w:after="0" w:line="240" w:lineRule="auto"/>
        <w:ind w:left="567" w:hanging="207"/>
        <w:jc w:val="both"/>
        <w:rPr>
          <w:rFonts w:cs="Arial"/>
          <w:sz w:val="22"/>
          <w:szCs w:val="22"/>
        </w:rPr>
      </w:pPr>
      <w:r w:rsidRPr="00B710A9">
        <w:rPr>
          <w:rFonts w:ascii="Arial" w:hAnsi="Arial" w:cs="Arial"/>
          <w:sz w:val="22"/>
          <w:szCs w:val="22"/>
        </w:rPr>
        <w:t>Continuar con las actividades de consulta previa para las comunidades indígenas y los NARP ya que con esto se dará un gran paso para el cumplimiento de la meta de actualización catastral al 2025 en un 100 %.</w:t>
      </w:r>
    </w:p>
    <w:p w14:paraId="62DFD17E" w14:textId="77777777" w:rsidR="00784F95" w:rsidRPr="00B710A9" w:rsidRDefault="00784F95" w:rsidP="00356A3E">
      <w:pPr>
        <w:pStyle w:val="Prrafodelista"/>
        <w:numPr>
          <w:ilvl w:val="0"/>
          <w:numId w:val="100"/>
        </w:numPr>
        <w:spacing w:after="0" w:line="240" w:lineRule="auto"/>
        <w:ind w:left="567" w:hanging="207"/>
        <w:jc w:val="both"/>
        <w:rPr>
          <w:rFonts w:ascii="Arial" w:hAnsi="Arial" w:cs="Arial"/>
          <w:sz w:val="22"/>
          <w:szCs w:val="22"/>
        </w:rPr>
      </w:pPr>
      <w:r w:rsidRPr="00B710A9">
        <w:rPr>
          <w:rFonts w:ascii="Arial" w:hAnsi="Arial" w:cs="Arial"/>
          <w:sz w:val="22"/>
          <w:szCs w:val="22"/>
        </w:rPr>
        <w:t>Continuar con la colaboración armónica entre el IGAC y otras entidades del orden nacional DNP, ANT, SNR para contribuir al cumplimento de las metas definidas en el Plan Nacional de Desarrollo y en la política de catastro multipropósito.</w:t>
      </w:r>
    </w:p>
    <w:p w14:paraId="799D9EE5" w14:textId="77777777" w:rsidR="00784F95" w:rsidRPr="00B710A9" w:rsidRDefault="00784F95" w:rsidP="00356A3E">
      <w:pPr>
        <w:pStyle w:val="Prrafodelista"/>
        <w:numPr>
          <w:ilvl w:val="0"/>
          <w:numId w:val="100"/>
        </w:numPr>
        <w:spacing w:after="0" w:line="240" w:lineRule="auto"/>
        <w:ind w:left="567" w:hanging="207"/>
        <w:jc w:val="both"/>
        <w:rPr>
          <w:rFonts w:ascii="Arial" w:hAnsi="Arial" w:cs="Arial"/>
          <w:sz w:val="22"/>
          <w:szCs w:val="22"/>
        </w:rPr>
      </w:pPr>
      <w:r w:rsidRPr="00B710A9">
        <w:rPr>
          <w:rFonts w:ascii="Arial" w:hAnsi="Arial" w:cs="Arial"/>
          <w:sz w:val="22"/>
          <w:szCs w:val="22"/>
        </w:rPr>
        <w:t xml:space="preserve">Reforzar los lazos con los gestores catastrales habilitados, con el ánimo de ofrecer asesoría y líneas claras sobre la gestión catastral y su rol frente a políticas y programas de otras entidades a nivel nacional y regional que el IGAC viene atendiendo. </w:t>
      </w:r>
    </w:p>
    <w:p w14:paraId="23C36CEF" w14:textId="77777777" w:rsidR="00784F95" w:rsidRPr="00B710A9" w:rsidRDefault="00784F95" w:rsidP="00356A3E">
      <w:pPr>
        <w:pStyle w:val="Prrafodelista"/>
        <w:numPr>
          <w:ilvl w:val="0"/>
          <w:numId w:val="100"/>
        </w:numPr>
        <w:spacing w:after="0" w:line="240" w:lineRule="auto"/>
        <w:ind w:left="567" w:hanging="207"/>
        <w:jc w:val="both"/>
        <w:rPr>
          <w:rFonts w:ascii="Arial" w:hAnsi="Arial" w:cs="Arial"/>
          <w:sz w:val="22"/>
          <w:szCs w:val="22"/>
        </w:rPr>
      </w:pPr>
      <w:r w:rsidRPr="00B710A9">
        <w:rPr>
          <w:rFonts w:ascii="Arial" w:hAnsi="Arial" w:cs="Arial"/>
          <w:sz w:val="22"/>
          <w:szCs w:val="22"/>
        </w:rPr>
        <w:t xml:space="preserve">Finalizar las actividades de actualización, formación, conservación catastral y avalúos comerciales en los municipios que han suscrito contratos con IGAC en la vigencia 2020 y 2021, para realizar las gestiones de cobro pertinentes y posterior liquidación de los contratos. </w:t>
      </w:r>
    </w:p>
    <w:p w14:paraId="67A0053D" w14:textId="77777777" w:rsidR="00784F95" w:rsidRPr="00B710A9" w:rsidRDefault="00784F95" w:rsidP="00356A3E">
      <w:pPr>
        <w:pStyle w:val="Prrafodelista"/>
        <w:numPr>
          <w:ilvl w:val="0"/>
          <w:numId w:val="100"/>
        </w:numPr>
        <w:spacing w:line="240" w:lineRule="auto"/>
        <w:ind w:left="567" w:hanging="207"/>
        <w:jc w:val="both"/>
        <w:rPr>
          <w:rFonts w:ascii="Arial" w:hAnsi="Arial" w:cs="Arial"/>
          <w:sz w:val="22"/>
          <w:szCs w:val="22"/>
        </w:rPr>
      </w:pPr>
      <w:r w:rsidRPr="00B710A9">
        <w:rPr>
          <w:rFonts w:ascii="Arial" w:hAnsi="Arial" w:cs="Arial"/>
          <w:sz w:val="22"/>
          <w:szCs w:val="22"/>
        </w:rPr>
        <w:t>Continuar con las actividades del programa de racionalización de trámites que se viene trabajando en articulación con el Departamento Administrativo de la Función Pública.</w:t>
      </w:r>
    </w:p>
    <w:p w14:paraId="02AF6211" w14:textId="77777777" w:rsidR="005110C7" w:rsidRPr="00B710A9" w:rsidRDefault="00784F95" w:rsidP="00356A3E">
      <w:pPr>
        <w:pStyle w:val="Prrafodelista"/>
        <w:numPr>
          <w:ilvl w:val="0"/>
          <w:numId w:val="100"/>
        </w:numPr>
        <w:spacing w:line="240" w:lineRule="auto"/>
        <w:ind w:left="567" w:hanging="207"/>
        <w:jc w:val="both"/>
        <w:rPr>
          <w:rFonts w:ascii="Arial" w:hAnsi="Arial" w:cs="Arial"/>
          <w:sz w:val="22"/>
          <w:szCs w:val="22"/>
        </w:rPr>
      </w:pPr>
      <w:r w:rsidRPr="00B710A9">
        <w:rPr>
          <w:rFonts w:ascii="Arial" w:hAnsi="Arial" w:cs="Arial"/>
          <w:sz w:val="22"/>
          <w:szCs w:val="22"/>
        </w:rPr>
        <w:t>Mejorar la plataforma VIVI en lo relacionado con la radicación y agregar la mutación de quinta.</w:t>
      </w:r>
    </w:p>
    <w:p w14:paraId="574E76D7" w14:textId="1D51D7C8" w:rsidR="00784F95" w:rsidRPr="00B710A9" w:rsidRDefault="00784F95" w:rsidP="00356A3E">
      <w:pPr>
        <w:pStyle w:val="Prrafodelista"/>
        <w:numPr>
          <w:ilvl w:val="0"/>
          <w:numId w:val="100"/>
        </w:numPr>
        <w:spacing w:line="240" w:lineRule="auto"/>
        <w:ind w:left="567" w:hanging="207"/>
        <w:jc w:val="both"/>
        <w:rPr>
          <w:rFonts w:ascii="Arial" w:hAnsi="Arial" w:cs="Arial"/>
          <w:sz w:val="22"/>
          <w:szCs w:val="22"/>
        </w:rPr>
      </w:pPr>
      <w:r w:rsidRPr="00B710A9">
        <w:rPr>
          <w:rFonts w:ascii="Arial" w:hAnsi="Arial" w:cs="Arial"/>
          <w:sz w:val="22"/>
          <w:szCs w:val="22"/>
        </w:rPr>
        <w:t xml:space="preserve">Fortalecer la estrategia de diálogo y participación comunitaria como una gran apuesta para implementar los métodos declarativos y colaborativos, brindar mayor legitimidad al proceso del catastro y apostar por la sostenibilidad de la política en los territorios </w:t>
      </w:r>
    </w:p>
    <w:p w14:paraId="7831F4E3" w14:textId="77777777" w:rsidR="00784F95" w:rsidRPr="00B710A9" w:rsidRDefault="00784F95" w:rsidP="00784F95">
      <w:pPr>
        <w:pStyle w:val="Lista"/>
        <w:rPr>
          <w:rFonts w:cs="Arial"/>
        </w:rPr>
      </w:pPr>
    </w:p>
    <w:p w14:paraId="2F8CA00D" w14:textId="77777777" w:rsidR="00784F95" w:rsidRPr="00B710A9" w:rsidRDefault="00784F95" w:rsidP="00784F95">
      <w:pPr>
        <w:jc w:val="both"/>
        <w:rPr>
          <w:rFonts w:ascii="Arial" w:hAnsi="Arial" w:cs="Arial"/>
          <w:sz w:val="22"/>
          <w:szCs w:val="22"/>
        </w:rPr>
      </w:pPr>
      <w:r w:rsidRPr="00B710A9">
        <w:rPr>
          <w:rFonts w:ascii="Arial" w:hAnsi="Arial" w:cs="Arial"/>
          <w:sz w:val="22"/>
          <w:szCs w:val="22"/>
        </w:rPr>
        <w:t>Para el logro de la meta de actualización catastral se recomienda:</w:t>
      </w:r>
    </w:p>
    <w:p w14:paraId="28BEA8B6" w14:textId="77777777" w:rsidR="00784F95" w:rsidRPr="00B710A9" w:rsidRDefault="00784F95" w:rsidP="00356A3E">
      <w:pPr>
        <w:pStyle w:val="Prrafodelista"/>
        <w:numPr>
          <w:ilvl w:val="0"/>
          <w:numId w:val="101"/>
        </w:numPr>
        <w:spacing w:line="240" w:lineRule="auto"/>
        <w:jc w:val="both"/>
        <w:rPr>
          <w:rFonts w:ascii="Arial" w:hAnsi="Arial" w:cs="Arial"/>
          <w:sz w:val="22"/>
          <w:szCs w:val="22"/>
        </w:rPr>
      </w:pPr>
      <w:r w:rsidRPr="00B710A9">
        <w:rPr>
          <w:rFonts w:ascii="Arial" w:hAnsi="Arial" w:cs="Arial"/>
          <w:sz w:val="22"/>
          <w:szCs w:val="22"/>
        </w:rPr>
        <w:t xml:space="preserve">Garantizar la articulación de todos los actores involucrados en los procesos de financiación de los municipios a intervenir, definiéndose el rol que cumple cada actor </w:t>
      </w:r>
      <w:r w:rsidRPr="00B710A9">
        <w:rPr>
          <w:rFonts w:ascii="Arial" w:hAnsi="Arial" w:cs="Arial"/>
          <w:sz w:val="22"/>
          <w:szCs w:val="22"/>
        </w:rPr>
        <w:lastRenderedPageBreak/>
        <w:t xml:space="preserve">y un plan de trabajo que permita que se dispongan de los discursos en los tiempos establecidos. </w:t>
      </w:r>
    </w:p>
    <w:p w14:paraId="520C03D6" w14:textId="77777777" w:rsidR="00E26764" w:rsidRPr="00B710A9" w:rsidRDefault="00784F95" w:rsidP="00356A3E">
      <w:pPr>
        <w:pStyle w:val="Prrafodelista"/>
        <w:numPr>
          <w:ilvl w:val="0"/>
          <w:numId w:val="101"/>
        </w:numPr>
        <w:spacing w:line="240" w:lineRule="auto"/>
        <w:jc w:val="both"/>
        <w:rPr>
          <w:rFonts w:ascii="Arial" w:hAnsi="Arial" w:cs="Arial"/>
          <w:sz w:val="22"/>
          <w:szCs w:val="22"/>
        </w:rPr>
      </w:pPr>
      <w:r w:rsidRPr="00B710A9">
        <w:rPr>
          <w:rFonts w:ascii="Arial" w:hAnsi="Arial" w:cs="Arial"/>
          <w:sz w:val="22"/>
          <w:szCs w:val="22"/>
        </w:rPr>
        <w:t xml:space="preserve">Definir con el Banco Mundial y el Banco Interamericano de Desarrollo las intervenciones parciales en municipios con territorios étnicos constituidos, de tal manera que se puedan adelantar los mismos mientras se adelanta la consulta previa. Es necesario tener en cuenta los sobrecostos que podría generar esta estrategia. </w:t>
      </w:r>
    </w:p>
    <w:p w14:paraId="341F1F30" w14:textId="31FC1BE8" w:rsidR="00784F95" w:rsidRPr="00B710A9" w:rsidRDefault="00784F95" w:rsidP="00356A3E">
      <w:pPr>
        <w:pStyle w:val="Prrafodelista"/>
        <w:numPr>
          <w:ilvl w:val="0"/>
          <w:numId w:val="101"/>
        </w:numPr>
        <w:spacing w:line="240" w:lineRule="auto"/>
        <w:jc w:val="both"/>
        <w:rPr>
          <w:rFonts w:ascii="Arial" w:hAnsi="Arial" w:cs="Arial"/>
          <w:sz w:val="22"/>
          <w:szCs w:val="22"/>
        </w:rPr>
      </w:pPr>
      <w:r w:rsidRPr="00B710A9">
        <w:rPr>
          <w:rFonts w:ascii="Arial" w:hAnsi="Arial" w:cs="Arial"/>
          <w:sz w:val="22"/>
          <w:szCs w:val="22"/>
        </w:rPr>
        <w:t xml:space="preserve">Establecer la estrategia para la financiación de los municipios que no cuentan con ella. </w:t>
      </w:r>
    </w:p>
    <w:p w14:paraId="47146E6C" w14:textId="603A3064" w:rsidR="31E23F24" w:rsidRPr="00B710A9" w:rsidRDefault="31E23F24" w:rsidP="00356A3E">
      <w:pPr>
        <w:numPr>
          <w:ilvl w:val="0"/>
          <w:numId w:val="45"/>
        </w:num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Desarrollar iniciativas innovadoras que permitan que la ICDE pueda apoyar de manera más efectiva y focalizada la gestión catastral, la planeación municipal urbana y rural y la gestión de procesos educativos en los territorios colombianos.</w:t>
      </w:r>
    </w:p>
    <w:p w14:paraId="76B22B75" w14:textId="30CC2497" w:rsidR="31E23F24" w:rsidRPr="00B710A9" w:rsidRDefault="31E23F24" w:rsidP="00356A3E">
      <w:pPr>
        <w:pStyle w:val="Prrafodelista"/>
        <w:numPr>
          <w:ilvl w:val="0"/>
          <w:numId w:val="45"/>
        </w:numPr>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Desarrollar indicadores que permitan evaluar la efectividad de la ICDE en el apoyo a las Entidades territoriales colombianas.</w:t>
      </w:r>
    </w:p>
    <w:p w14:paraId="28334094" w14:textId="08BCF4F8" w:rsidR="31E23F24" w:rsidRPr="00B710A9" w:rsidRDefault="31E23F24" w:rsidP="00356A3E">
      <w:pPr>
        <w:numPr>
          <w:ilvl w:val="0"/>
          <w:numId w:val="45"/>
        </w:numPr>
        <w:spacing w:after="0" w:line="240"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Llevar a cabo el proceso de adquisición de datos de observación de la tierra que permitan el fortalecimiento de la ICDE a través de la obtención de datos por métodos indirectos. Dichos datos apoyarán de manera importante la toma de decisiones en el ámbito catastral y en los diferentes grupos de interés tanto internos como externos; y al uso y aprovechamiento de la información geográfica.</w:t>
      </w:r>
    </w:p>
    <w:p w14:paraId="365112D1" w14:textId="7CA466E0" w:rsidR="31E23F24" w:rsidRPr="00B710A9" w:rsidRDefault="31E23F24" w:rsidP="00356A3E">
      <w:pPr>
        <w:pStyle w:val="Prrafodelista"/>
        <w:numPr>
          <w:ilvl w:val="0"/>
          <w:numId w:val="45"/>
        </w:numPr>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Continuar con el fortalecimiento a nivel territorial de las capacidades en el acceso, uso y aprovechamiento de la información dispuesta en la ICDE.</w:t>
      </w:r>
    </w:p>
    <w:p w14:paraId="356496C0" w14:textId="02496C26" w:rsidR="31E23F24" w:rsidRPr="00B710A9" w:rsidRDefault="31E23F24" w:rsidP="31E23F24">
      <w:pPr>
        <w:spacing w:after="0" w:line="240" w:lineRule="auto"/>
        <w:jc w:val="both"/>
        <w:rPr>
          <w:rFonts w:ascii="Arial" w:eastAsia="Arial" w:hAnsi="Arial" w:cs="Arial"/>
          <w:color w:val="000000" w:themeColor="text1"/>
          <w:sz w:val="22"/>
          <w:szCs w:val="22"/>
        </w:rPr>
      </w:pPr>
    </w:p>
    <w:p w14:paraId="1E7B18F4" w14:textId="0FFD9FE4" w:rsidR="19B98323" w:rsidRPr="00B710A9" w:rsidRDefault="19B98323" w:rsidP="009D279A">
      <w:pPr>
        <w:spacing w:after="0" w:line="240" w:lineRule="auto"/>
        <w:jc w:val="both"/>
        <w:rPr>
          <w:rFonts w:ascii="Arial" w:eastAsia="Arial" w:hAnsi="Arial" w:cs="Arial"/>
          <w:color w:val="000000" w:themeColor="text1"/>
          <w:sz w:val="22"/>
          <w:szCs w:val="22"/>
        </w:rPr>
      </w:pPr>
    </w:p>
    <w:p w14:paraId="3D443C00" w14:textId="54CE0E86" w:rsidR="00522D8A" w:rsidRPr="00B710A9" w:rsidRDefault="0079034A" w:rsidP="00D71A3E">
      <w:pPr>
        <w:pStyle w:val="Ttulo2"/>
        <w:spacing w:before="0" w:after="0" w:line="240" w:lineRule="auto"/>
        <w:ind w:left="765"/>
        <w:jc w:val="both"/>
        <w:rPr>
          <w:rFonts w:ascii="Arial" w:eastAsia="Arial" w:hAnsi="Arial" w:cs="Arial"/>
          <w:color w:val="000000" w:themeColor="text1"/>
          <w:sz w:val="22"/>
          <w:szCs w:val="22"/>
        </w:rPr>
      </w:pPr>
      <w:bookmarkStart w:id="43" w:name="_Toc111485512"/>
      <w:r w:rsidRPr="00B710A9">
        <w:rPr>
          <w:rFonts w:ascii="Arial" w:eastAsia="Arial" w:hAnsi="Arial" w:cs="Arial"/>
          <w:color w:val="000000" w:themeColor="text1"/>
          <w:sz w:val="22"/>
          <w:szCs w:val="22"/>
        </w:rPr>
        <w:t>2.</w:t>
      </w:r>
      <w:r w:rsidR="00A74169" w:rsidRPr="00B710A9">
        <w:rPr>
          <w:rFonts w:ascii="Arial" w:eastAsia="Arial" w:hAnsi="Arial" w:cs="Arial"/>
          <w:color w:val="000000" w:themeColor="text1"/>
          <w:sz w:val="22"/>
          <w:szCs w:val="22"/>
        </w:rPr>
        <w:t>2</w:t>
      </w:r>
      <w:r w:rsidRPr="00B710A9">
        <w:rPr>
          <w:rFonts w:ascii="Arial" w:eastAsia="Arial" w:hAnsi="Arial" w:cs="Arial"/>
          <w:color w:val="000000" w:themeColor="text1"/>
          <w:sz w:val="22"/>
          <w:szCs w:val="22"/>
        </w:rPr>
        <w:t xml:space="preserve"> </w:t>
      </w:r>
      <w:r w:rsidR="00522D8A" w:rsidRPr="00B710A9">
        <w:rPr>
          <w:rFonts w:ascii="Arial" w:eastAsia="Arial" w:hAnsi="Arial" w:cs="Arial"/>
          <w:color w:val="000000" w:themeColor="text1"/>
          <w:sz w:val="22"/>
          <w:szCs w:val="22"/>
        </w:rPr>
        <w:t>Información desde y para los territorios</w:t>
      </w:r>
      <w:bookmarkEnd w:id="43"/>
      <w:r w:rsidR="00522D8A" w:rsidRPr="00B710A9">
        <w:rPr>
          <w:rFonts w:ascii="Arial" w:eastAsia="Arial" w:hAnsi="Arial" w:cs="Arial"/>
          <w:color w:val="000000" w:themeColor="text1"/>
          <w:sz w:val="22"/>
          <w:szCs w:val="22"/>
        </w:rPr>
        <w:t xml:space="preserve"> </w:t>
      </w:r>
    </w:p>
    <w:p w14:paraId="7DBEA7A2" w14:textId="77777777" w:rsidR="00522D8A" w:rsidRPr="00B710A9" w:rsidRDefault="00522D8A" w:rsidP="00522D8A">
      <w:pPr>
        <w:spacing w:after="0" w:line="240" w:lineRule="auto"/>
        <w:rPr>
          <w:rFonts w:ascii="Arial" w:hAnsi="Arial" w:cs="Arial"/>
          <w:color w:val="000000" w:themeColor="text1"/>
          <w:sz w:val="22"/>
          <w:szCs w:val="22"/>
        </w:rPr>
      </w:pPr>
    </w:p>
    <w:p w14:paraId="1631F7AD" w14:textId="77777777" w:rsidR="00522D8A" w:rsidRPr="00B710A9" w:rsidRDefault="00522D8A" w:rsidP="00522D8A">
      <w:pPr>
        <w:pStyle w:val="Prrafodelista"/>
        <w:spacing w:after="0" w:line="240" w:lineRule="auto"/>
        <w:ind w:left="765"/>
        <w:jc w:val="right"/>
        <w:rPr>
          <w:rFonts w:ascii="Arial" w:hAnsi="Arial" w:cs="Arial"/>
          <w:i/>
          <w:iCs/>
          <w:color w:val="000000" w:themeColor="text1"/>
          <w:sz w:val="22"/>
          <w:szCs w:val="22"/>
        </w:rPr>
      </w:pPr>
      <w:r w:rsidRPr="00B710A9">
        <w:rPr>
          <w:rFonts w:ascii="Arial" w:hAnsi="Arial" w:cs="Arial"/>
          <w:i/>
          <w:iCs/>
          <w:color w:val="000000" w:themeColor="text1"/>
          <w:sz w:val="22"/>
          <w:szCs w:val="22"/>
        </w:rPr>
        <w:t>Acciones que se implementaron para la producción de información catastral, cartográfica, geográfica, geodésica y agrológica que dé cuenta de las particularidades de la realidad social, económica y ambiental de los municipios del país. Garantizar que otros, entre ellos las entidades territoriales, los departamentos y municipios, estén en capacidad de producir información con la calidad que se requiere</w:t>
      </w:r>
    </w:p>
    <w:p w14:paraId="15F76B36" w14:textId="77777777" w:rsidR="00522D8A" w:rsidRPr="00B710A9" w:rsidRDefault="00522D8A" w:rsidP="00522D8A">
      <w:pPr>
        <w:pBdr>
          <w:top w:val="nil"/>
          <w:left w:val="nil"/>
          <w:bottom w:val="nil"/>
          <w:right w:val="nil"/>
          <w:between w:val="nil"/>
        </w:pBdr>
        <w:spacing w:after="0" w:line="240" w:lineRule="auto"/>
        <w:jc w:val="both"/>
        <w:rPr>
          <w:rFonts w:ascii="Arial" w:hAnsi="Arial" w:cs="Arial"/>
          <w:b/>
          <w:bCs/>
          <w:color w:val="000000" w:themeColor="text1"/>
          <w:sz w:val="22"/>
          <w:szCs w:val="22"/>
        </w:rPr>
      </w:pPr>
    </w:p>
    <w:p w14:paraId="4FD8B568" w14:textId="77777777" w:rsidR="00522D8A" w:rsidRPr="00B710A9" w:rsidRDefault="00522D8A" w:rsidP="00522D8A">
      <w:pPr>
        <w:pBdr>
          <w:top w:val="nil"/>
          <w:left w:val="nil"/>
          <w:bottom w:val="nil"/>
          <w:right w:val="nil"/>
          <w:between w:val="nil"/>
        </w:pBd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 xml:space="preserve">El IGAC, como entidad encargada de producir y suministrar información oficial en materia de regulación catastral, geográfica, geodésica, cartográfica y agrológica, contribuye al fortalecimiento del conocimiento de las particularidades de la realidad social, económica y ambiental del país. </w:t>
      </w:r>
    </w:p>
    <w:p w14:paraId="47B438DD" w14:textId="77777777" w:rsidR="00522D8A" w:rsidRPr="00B710A9" w:rsidRDefault="00522D8A" w:rsidP="00522D8A">
      <w:pPr>
        <w:spacing w:after="0" w:line="240" w:lineRule="auto"/>
        <w:jc w:val="both"/>
        <w:rPr>
          <w:rFonts w:ascii="Arial" w:hAnsi="Arial" w:cs="Arial"/>
          <w:color w:val="000000" w:themeColor="text1"/>
          <w:sz w:val="22"/>
          <w:szCs w:val="22"/>
        </w:rPr>
      </w:pPr>
    </w:p>
    <w:p w14:paraId="67F64735" w14:textId="77777777" w:rsidR="00522D8A" w:rsidRPr="00B710A9" w:rsidRDefault="00522D8A" w:rsidP="00522D8A">
      <w:pP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Así mismo, busca que las entidades territoriales fortalezcan su capacidad de producir información en el marco de la estrategia de implementación de la política de catastro multipropósito en los territorios.</w:t>
      </w:r>
    </w:p>
    <w:p w14:paraId="1B5E538D" w14:textId="0CB80AEA" w:rsidR="00CA5DF4" w:rsidRPr="00B710A9" w:rsidRDefault="00CA5DF4" w:rsidP="00522D8A">
      <w:pPr>
        <w:spacing w:after="0" w:line="240" w:lineRule="auto"/>
        <w:jc w:val="both"/>
        <w:rPr>
          <w:rFonts w:asciiTheme="minorHAnsi" w:hAnsiTheme="minorHAnsi" w:cstheme="minorHAnsi"/>
          <w:color w:val="000000" w:themeColor="text1"/>
        </w:rPr>
      </w:pPr>
    </w:p>
    <w:p w14:paraId="48C1DE19" w14:textId="77777777" w:rsidR="00522D8A" w:rsidRPr="00B710A9" w:rsidRDefault="00522D8A" w:rsidP="00522D8A">
      <w:pPr>
        <w:spacing w:after="0" w:line="240" w:lineRule="auto"/>
        <w:jc w:val="both"/>
        <w:rPr>
          <w:rFonts w:ascii="Arial" w:hAnsi="Arial" w:cs="Arial"/>
          <w:b/>
          <w:bCs/>
          <w:color w:val="000000" w:themeColor="text1"/>
          <w:sz w:val="22"/>
          <w:szCs w:val="22"/>
        </w:rPr>
      </w:pPr>
      <w:r w:rsidRPr="00B710A9">
        <w:rPr>
          <w:rFonts w:ascii="Arial" w:hAnsi="Arial" w:cs="Arial"/>
          <w:b/>
          <w:bCs/>
          <w:color w:val="000000" w:themeColor="text1"/>
          <w:sz w:val="22"/>
          <w:szCs w:val="22"/>
        </w:rPr>
        <w:t>Logros del mandado:</w:t>
      </w:r>
    </w:p>
    <w:p w14:paraId="50724909" w14:textId="77777777" w:rsidR="00522D8A" w:rsidRPr="00B710A9" w:rsidRDefault="00522D8A" w:rsidP="00522D8A">
      <w:pPr>
        <w:spacing w:after="0" w:line="240" w:lineRule="auto"/>
        <w:ind w:left="720"/>
        <w:jc w:val="both"/>
        <w:rPr>
          <w:rFonts w:ascii="Arial" w:hAnsi="Arial" w:cs="Arial"/>
          <w:b/>
          <w:bCs/>
          <w:color w:val="000000" w:themeColor="text1"/>
          <w:sz w:val="22"/>
          <w:szCs w:val="22"/>
        </w:rPr>
      </w:pPr>
    </w:p>
    <w:p w14:paraId="4B68C3F2" w14:textId="77777777" w:rsidR="00522D8A" w:rsidRPr="00B710A9" w:rsidRDefault="00522D8A" w:rsidP="00522D8A">
      <w:pPr>
        <w:spacing w:after="0" w:line="240" w:lineRule="auto"/>
        <w:jc w:val="both"/>
        <w:rPr>
          <w:rFonts w:ascii="Arial" w:hAnsi="Arial" w:cs="Arial"/>
          <w:b/>
          <w:bCs/>
          <w:color w:val="000000" w:themeColor="text1"/>
          <w:sz w:val="22"/>
          <w:szCs w:val="22"/>
        </w:rPr>
      </w:pPr>
      <w:r w:rsidRPr="00B710A9">
        <w:rPr>
          <w:rFonts w:ascii="Arial" w:hAnsi="Arial" w:cs="Arial"/>
          <w:b/>
          <w:bCs/>
          <w:color w:val="000000" w:themeColor="text1"/>
          <w:sz w:val="22"/>
          <w:szCs w:val="22"/>
        </w:rPr>
        <w:t>2.2.1 Atención de solicitudes y participación en escenarios de asuntos étnicos y diálogo social</w:t>
      </w:r>
    </w:p>
    <w:p w14:paraId="0D32076A" w14:textId="77777777" w:rsidR="00522D8A" w:rsidRPr="00B710A9" w:rsidRDefault="00522D8A" w:rsidP="00522D8A">
      <w:pPr>
        <w:spacing w:after="0" w:line="240" w:lineRule="auto"/>
        <w:jc w:val="both"/>
        <w:rPr>
          <w:rFonts w:ascii="Arial" w:hAnsi="Arial" w:cs="Arial"/>
          <w:color w:val="000000" w:themeColor="text1"/>
          <w:sz w:val="22"/>
          <w:szCs w:val="22"/>
        </w:rPr>
      </w:pPr>
    </w:p>
    <w:p w14:paraId="53532195" w14:textId="436E44FE" w:rsidR="00522D8A" w:rsidRPr="00B710A9" w:rsidRDefault="00522D8A" w:rsidP="00522D8A">
      <w:pP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 xml:space="preserve">El IGAC participó en reuniones institucionales y con autoridades indígenas en el marco de la Mesa Permanente de Concertación con el fin de revisar los avances en algunos </w:t>
      </w:r>
      <w:r w:rsidRPr="00B710A9">
        <w:rPr>
          <w:rFonts w:ascii="Arial" w:hAnsi="Arial" w:cs="Arial"/>
          <w:color w:val="000000" w:themeColor="text1"/>
          <w:sz w:val="22"/>
          <w:szCs w:val="22"/>
        </w:rPr>
        <w:lastRenderedPageBreak/>
        <w:t>indicadores de asuntos étnicos. Asimismo, atendió las solicitudes de información y requerimientos relacionados con el quehacer misional del Instituto en cuanto a grupos étnicos, tanto por parte del Congreso de la República como de otras entidades del Gobierno Nacional.</w:t>
      </w:r>
      <w:r w:rsidR="00293149" w:rsidRPr="00B710A9">
        <w:rPr>
          <w:rFonts w:ascii="Arial" w:hAnsi="Arial" w:cs="Arial"/>
          <w:color w:val="000000" w:themeColor="text1"/>
          <w:sz w:val="22"/>
          <w:szCs w:val="22"/>
        </w:rPr>
        <w:t xml:space="preserve"> Es de señalar que durante el periodo 2021-2022 se llevaron a cabo actividades relacionadas </w:t>
      </w:r>
      <w:r w:rsidR="008D093F" w:rsidRPr="00B710A9">
        <w:rPr>
          <w:rFonts w:ascii="Arial" w:hAnsi="Arial" w:cs="Arial"/>
          <w:color w:val="000000" w:themeColor="text1"/>
          <w:sz w:val="22"/>
          <w:szCs w:val="22"/>
        </w:rPr>
        <w:t xml:space="preserve">con </w:t>
      </w:r>
      <w:r w:rsidR="00590E99" w:rsidRPr="00B710A9">
        <w:rPr>
          <w:rFonts w:ascii="Arial" w:hAnsi="Arial" w:cs="Arial"/>
          <w:color w:val="000000" w:themeColor="text1"/>
          <w:sz w:val="22"/>
          <w:szCs w:val="22"/>
        </w:rPr>
        <w:t>la implementación de los procesos de consulta previa para la gestión del catastro multipropósito en territorios con presencia de comunidades étnicas. A continuación, se detallan l</w:t>
      </w:r>
      <w:r w:rsidR="008D093F" w:rsidRPr="00B710A9">
        <w:rPr>
          <w:rFonts w:ascii="Arial" w:hAnsi="Arial" w:cs="Arial"/>
          <w:color w:val="000000" w:themeColor="text1"/>
          <w:sz w:val="22"/>
          <w:szCs w:val="22"/>
        </w:rPr>
        <w:t>as acciones realizadas:</w:t>
      </w:r>
    </w:p>
    <w:p w14:paraId="44807654" w14:textId="77777777" w:rsidR="00466A48" w:rsidRPr="00B710A9" w:rsidRDefault="00466A48" w:rsidP="00522D8A">
      <w:pPr>
        <w:spacing w:after="0" w:line="240" w:lineRule="auto"/>
        <w:jc w:val="both"/>
        <w:rPr>
          <w:rFonts w:asciiTheme="minorHAnsi" w:hAnsiTheme="minorHAnsi" w:cstheme="minorBidi"/>
          <w:color w:val="000000" w:themeColor="text1"/>
        </w:rPr>
      </w:pPr>
    </w:p>
    <w:p w14:paraId="74D4B5BF" w14:textId="77777777" w:rsidR="00466A48" w:rsidRPr="00B710A9" w:rsidRDefault="00466A48" w:rsidP="00356A3E">
      <w:pPr>
        <w:pStyle w:val="Prrafodelista"/>
        <w:numPr>
          <w:ilvl w:val="0"/>
          <w:numId w:val="105"/>
        </w:numPr>
        <w:suppressAutoHyphens/>
        <w:overflowPunct w:val="0"/>
        <w:autoSpaceDE w:val="0"/>
        <w:spacing w:after="0" w:line="240" w:lineRule="auto"/>
        <w:ind w:left="567" w:hanging="283"/>
        <w:jc w:val="both"/>
        <w:textAlignment w:val="baseline"/>
        <w:rPr>
          <w:rFonts w:ascii="Arial" w:eastAsia="Arial" w:hAnsi="Arial" w:cs="Arial"/>
          <w:b/>
          <w:bCs/>
          <w:color w:val="000000" w:themeColor="text1"/>
          <w:sz w:val="22"/>
          <w:szCs w:val="22"/>
        </w:rPr>
      </w:pPr>
      <w:r w:rsidRPr="00B710A9">
        <w:rPr>
          <w:rFonts w:ascii="Arial" w:eastAsia="Arial" w:hAnsi="Arial" w:cs="Arial"/>
          <w:b/>
          <w:bCs/>
          <w:color w:val="000000" w:themeColor="text1"/>
          <w:sz w:val="22"/>
          <w:szCs w:val="22"/>
        </w:rPr>
        <w:t>Consulta previa</w:t>
      </w:r>
    </w:p>
    <w:p w14:paraId="1F4D66A9" w14:textId="77777777" w:rsidR="00466A48" w:rsidRPr="00B710A9" w:rsidRDefault="00466A48" w:rsidP="00466A48">
      <w:pPr>
        <w:ind w:left="284"/>
        <w:contextualSpacing/>
        <w:rPr>
          <w:rFonts w:ascii="Arial" w:eastAsia="Arial" w:hAnsi="Arial" w:cs="Arial"/>
          <w:b/>
          <w:bCs/>
          <w:color w:val="000000" w:themeColor="text1"/>
          <w:sz w:val="22"/>
          <w:szCs w:val="22"/>
        </w:rPr>
      </w:pPr>
      <w:r w:rsidRPr="00B710A9">
        <w:rPr>
          <w:rFonts w:ascii="Arial" w:eastAsia="Arial" w:hAnsi="Arial" w:cs="Arial"/>
          <w:b/>
          <w:bCs/>
          <w:color w:val="000000" w:themeColor="text1"/>
          <w:sz w:val="22"/>
          <w:szCs w:val="22"/>
        </w:rPr>
        <w:t xml:space="preserve"> </w:t>
      </w:r>
    </w:p>
    <w:p w14:paraId="7768280D" w14:textId="77777777" w:rsidR="00466A48" w:rsidRPr="00B710A9" w:rsidRDefault="00466A48" w:rsidP="00466A48">
      <w:pPr>
        <w:jc w:val="both"/>
        <w:textAlignment w:val="baseline"/>
        <w:rPr>
          <w:rFonts w:ascii="Arial" w:hAnsi="Arial" w:cs="Arial"/>
          <w:bCs/>
          <w:color w:val="000000"/>
          <w:sz w:val="22"/>
          <w:szCs w:val="22"/>
          <w:lang w:eastAsia="es-MX"/>
        </w:rPr>
      </w:pPr>
      <w:r w:rsidRPr="00B710A9">
        <w:rPr>
          <w:rFonts w:ascii="Arial" w:hAnsi="Arial" w:cs="Arial"/>
          <w:bCs/>
          <w:color w:val="000000"/>
          <w:sz w:val="22"/>
          <w:szCs w:val="22"/>
          <w:lang w:eastAsia="es-MX"/>
        </w:rPr>
        <w:t xml:space="preserve">Los procesos de formación y actualización y conservación catastral con enfoque multipropósito adelantados por el IGAC como gestor catastral por excepción, están sujetos a los procesos de consulta previa que se debe realizar con las comunidades étnicas del territorio nacional; con el objetivo, entre otros, de consultar la guía metodológica para la implementación del Catastro Multipropósito en territorios con presencia de pueblos indígenas y Comunidades Negras, Afrocolombianas, Raizales y Palenqueras (NARP).  </w:t>
      </w:r>
    </w:p>
    <w:p w14:paraId="21C07720" w14:textId="3F02DFB4" w:rsidR="00466A48" w:rsidRPr="00B710A9" w:rsidRDefault="00C4771E" w:rsidP="00466A48">
      <w:pPr>
        <w:jc w:val="both"/>
        <w:textAlignment w:val="baseline"/>
        <w:rPr>
          <w:rFonts w:ascii="Arial" w:hAnsi="Arial" w:cs="Arial"/>
          <w:color w:val="000000"/>
          <w:sz w:val="22"/>
          <w:szCs w:val="22"/>
          <w:lang w:eastAsia="es-MX"/>
        </w:rPr>
      </w:pPr>
      <w:r w:rsidRPr="00B710A9">
        <w:rPr>
          <w:rFonts w:ascii="Arial" w:hAnsi="Arial" w:cs="Arial"/>
          <w:bCs/>
          <w:sz w:val="22"/>
          <w:szCs w:val="22"/>
        </w:rPr>
        <w:t>Durante la vigencia</w:t>
      </w:r>
      <w:r w:rsidR="00466A48" w:rsidRPr="00B710A9">
        <w:rPr>
          <w:rFonts w:ascii="Arial" w:hAnsi="Arial" w:cs="Arial"/>
          <w:color w:val="000000"/>
          <w:sz w:val="22"/>
          <w:szCs w:val="22"/>
          <w:lang w:eastAsia="es-MX"/>
        </w:rPr>
        <w:t xml:space="preserve"> 2020, el Gobierno a través del Departamento Nacional de Planeación (DNP) planteó en la agenda la socialización de la guía metodológica para la implementación del Catastro Multipropósito en territorios indígenas, frente a esto la C</w:t>
      </w:r>
      <w:r w:rsidR="00F76CDF" w:rsidRPr="00B710A9">
        <w:rPr>
          <w:rFonts w:ascii="Arial" w:hAnsi="Arial" w:cs="Arial"/>
          <w:color w:val="000000"/>
          <w:sz w:val="22"/>
          <w:szCs w:val="22"/>
          <w:lang w:eastAsia="es-MX"/>
        </w:rPr>
        <w:t xml:space="preserve">omisión </w:t>
      </w:r>
      <w:r w:rsidR="00466A48" w:rsidRPr="00B710A9">
        <w:rPr>
          <w:rFonts w:ascii="Arial" w:hAnsi="Arial" w:cs="Arial"/>
          <w:color w:val="000000"/>
          <w:sz w:val="22"/>
          <w:szCs w:val="22"/>
          <w:lang w:eastAsia="es-MX"/>
        </w:rPr>
        <w:t>N</w:t>
      </w:r>
      <w:r w:rsidR="00F76CDF" w:rsidRPr="00B710A9">
        <w:rPr>
          <w:rFonts w:ascii="Arial" w:hAnsi="Arial" w:cs="Arial"/>
          <w:color w:val="000000"/>
          <w:sz w:val="22"/>
          <w:szCs w:val="22"/>
          <w:lang w:eastAsia="es-MX"/>
        </w:rPr>
        <w:t xml:space="preserve">acional de </w:t>
      </w:r>
      <w:r w:rsidR="00466A48" w:rsidRPr="00B710A9">
        <w:rPr>
          <w:rFonts w:ascii="Arial" w:hAnsi="Arial" w:cs="Arial"/>
          <w:color w:val="000000"/>
          <w:sz w:val="22"/>
          <w:szCs w:val="22"/>
          <w:lang w:eastAsia="es-MX"/>
        </w:rPr>
        <w:t>T</w:t>
      </w:r>
      <w:r w:rsidR="00F76CDF" w:rsidRPr="00B710A9">
        <w:rPr>
          <w:rFonts w:ascii="Arial" w:hAnsi="Arial" w:cs="Arial"/>
          <w:color w:val="000000"/>
          <w:sz w:val="22"/>
          <w:szCs w:val="22"/>
          <w:lang w:eastAsia="es-MX"/>
        </w:rPr>
        <w:t xml:space="preserve">erritorios </w:t>
      </w:r>
      <w:r w:rsidR="00466A48" w:rsidRPr="00B710A9">
        <w:rPr>
          <w:rFonts w:ascii="Arial" w:hAnsi="Arial" w:cs="Arial"/>
          <w:color w:val="000000"/>
          <w:sz w:val="22"/>
          <w:szCs w:val="22"/>
          <w:lang w:eastAsia="es-MX"/>
        </w:rPr>
        <w:t>I</w:t>
      </w:r>
      <w:r w:rsidR="00F76CDF" w:rsidRPr="00B710A9">
        <w:rPr>
          <w:rFonts w:ascii="Arial" w:hAnsi="Arial" w:cs="Arial"/>
          <w:color w:val="000000"/>
          <w:sz w:val="22"/>
          <w:szCs w:val="22"/>
          <w:lang w:eastAsia="es-MX"/>
        </w:rPr>
        <w:t>ndígenas (CNTI)</w:t>
      </w:r>
      <w:r w:rsidR="00466A48" w:rsidRPr="00B710A9">
        <w:rPr>
          <w:rFonts w:ascii="Arial" w:hAnsi="Arial" w:cs="Arial"/>
          <w:color w:val="000000"/>
          <w:sz w:val="22"/>
          <w:szCs w:val="22"/>
          <w:lang w:eastAsia="es-MX"/>
        </w:rPr>
        <w:t xml:space="preserve"> expuso que debía consultarse a la Mesa Permanente de Concertación y que el Gobierno debía adelantar la consulta previa, toda vez que “El Departamento Nacional de Planeación – DNP elaboró unilateralmente una Guía Metodológica de implementación del Catastro Multipropósito y Barrido Predial, sin la participación de Pueblos Indígenas […].</w:t>
      </w:r>
    </w:p>
    <w:p w14:paraId="478C362A" w14:textId="4A38D4B5" w:rsidR="00466A48" w:rsidRPr="00B710A9" w:rsidRDefault="00466A48" w:rsidP="00466A48">
      <w:pPr>
        <w:jc w:val="both"/>
        <w:rPr>
          <w:rFonts w:ascii="Arial" w:hAnsi="Arial" w:cs="Arial"/>
          <w:color w:val="000000"/>
          <w:sz w:val="22"/>
          <w:szCs w:val="22"/>
          <w:lang w:eastAsia="es-MX"/>
        </w:rPr>
      </w:pPr>
      <w:r w:rsidRPr="00B710A9">
        <w:rPr>
          <w:rFonts w:ascii="Arial" w:hAnsi="Arial" w:cs="Arial"/>
          <w:color w:val="000000"/>
          <w:sz w:val="22"/>
          <w:szCs w:val="22"/>
          <w:lang w:eastAsia="es-MX"/>
        </w:rPr>
        <w:t xml:space="preserve">Es así como en enero de 2022 el IGAC, toma la decisión de financiar con recursos propios </w:t>
      </w:r>
      <w:r w:rsidR="006C5B91" w:rsidRPr="00B710A9">
        <w:rPr>
          <w:rFonts w:ascii="Arial" w:hAnsi="Arial" w:cs="Arial"/>
          <w:color w:val="000000"/>
          <w:sz w:val="22"/>
          <w:szCs w:val="22"/>
          <w:lang w:eastAsia="es-MX"/>
        </w:rPr>
        <w:t>la realización de la consulta previa</w:t>
      </w:r>
      <w:r w:rsidR="00756C6F" w:rsidRPr="00B710A9">
        <w:rPr>
          <w:rFonts w:ascii="Arial" w:hAnsi="Arial" w:cs="Arial"/>
          <w:color w:val="000000"/>
          <w:sz w:val="22"/>
          <w:szCs w:val="22"/>
          <w:lang w:eastAsia="es-MX"/>
        </w:rPr>
        <w:t>, en este sentido,</w:t>
      </w:r>
      <w:r w:rsidRPr="00B710A9">
        <w:rPr>
          <w:rFonts w:ascii="Arial" w:hAnsi="Arial" w:cs="Arial"/>
          <w:color w:val="000000"/>
          <w:sz w:val="22"/>
          <w:szCs w:val="22"/>
          <w:lang w:eastAsia="es-MX"/>
        </w:rPr>
        <w:t xml:space="preserve"> se adelantaron cuatro convenios con las siguientes organizaciones indígenas: Organización de Pueblos Indígenas de la Amazonía Colombiana (OPIAC), Organización Nacional Indígena de Colombia (ONIC), Gobierno Mayor y la Confederación Indígena Tayrona (CIT). Por su lado, a través de los recursos de donación se financiaron el pueblo Yukpa, Wayuu, el Consejo Regional Indígena del Cauca y Autoridades Indígenas de Colombia (AICO)</w:t>
      </w:r>
      <w:r w:rsidRPr="00B710A9">
        <w:rPr>
          <w:rStyle w:val="Refdenotaalpie"/>
          <w:rFonts w:ascii="Arial" w:hAnsi="Arial" w:cs="Arial"/>
          <w:color w:val="000000"/>
          <w:sz w:val="22"/>
          <w:szCs w:val="22"/>
          <w:lang w:eastAsia="es-MX"/>
        </w:rPr>
        <w:footnoteReference w:id="4"/>
      </w:r>
      <w:r w:rsidRPr="00B710A9">
        <w:rPr>
          <w:rFonts w:ascii="Arial" w:hAnsi="Arial" w:cs="Arial"/>
          <w:color w:val="000000"/>
          <w:sz w:val="22"/>
          <w:szCs w:val="22"/>
          <w:lang w:eastAsia="es-MX"/>
        </w:rPr>
        <w:t xml:space="preserve">. </w:t>
      </w:r>
      <w:r w:rsidR="00756C6F" w:rsidRPr="00B710A9">
        <w:rPr>
          <w:rFonts w:ascii="Arial" w:hAnsi="Arial" w:cs="Arial"/>
          <w:color w:val="000000"/>
          <w:sz w:val="22"/>
          <w:szCs w:val="22"/>
          <w:lang w:eastAsia="es-MX"/>
        </w:rPr>
        <w:t>De esta forma, en el mes de febrero de la actual vigencia, se dio</w:t>
      </w:r>
      <w:r w:rsidRPr="00B710A9">
        <w:rPr>
          <w:rFonts w:ascii="Arial" w:hAnsi="Arial" w:cs="Arial"/>
          <w:color w:val="000000"/>
          <w:sz w:val="22"/>
          <w:szCs w:val="22"/>
          <w:lang w:eastAsia="es-MX"/>
        </w:rPr>
        <w:t xml:space="preserve"> inici</w:t>
      </w:r>
      <w:r w:rsidR="00756C6F" w:rsidRPr="00B710A9">
        <w:rPr>
          <w:rFonts w:ascii="Arial" w:hAnsi="Arial" w:cs="Arial"/>
          <w:color w:val="000000"/>
          <w:sz w:val="22"/>
          <w:szCs w:val="22"/>
          <w:lang w:eastAsia="es-MX"/>
        </w:rPr>
        <w:t>o a</w:t>
      </w:r>
      <w:r w:rsidRPr="00B710A9">
        <w:rPr>
          <w:rFonts w:ascii="Arial" w:hAnsi="Arial" w:cs="Arial"/>
          <w:color w:val="000000"/>
          <w:sz w:val="22"/>
          <w:szCs w:val="22"/>
          <w:lang w:eastAsia="es-MX"/>
        </w:rPr>
        <w:t xml:space="preserve"> la consulta. </w:t>
      </w:r>
      <w:r w:rsidR="0090171D" w:rsidRPr="00B710A9">
        <w:rPr>
          <w:rFonts w:ascii="Arial" w:hAnsi="Arial" w:cs="Arial"/>
          <w:color w:val="000000"/>
          <w:sz w:val="22"/>
          <w:szCs w:val="22"/>
          <w:lang w:eastAsia="es-MX"/>
        </w:rPr>
        <w:t>Se acordó que la</w:t>
      </w:r>
      <w:r w:rsidRPr="00B710A9">
        <w:rPr>
          <w:rFonts w:ascii="Arial" w:hAnsi="Arial" w:cs="Arial"/>
          <w:color w:val="000000"/>
          <w:sz w:val="22"/>
          <w:szCs w:val="22"/>
          <w:lang w:eastAsia="es-MX"/>
        </w:rPr>
        <w:t xml:space="preserve"> consulta comenzaría una vez firmadas las actas de inicio, lo cual sucedió el 16 de febrero</w:t>
      </w:r>
      <w:r w:rsidRPr="00B710A9">
        <w:rPr>
          <w:rStyle w:val="Refdenotaalpie"/>
          <w:rFonts w:ascii="Arial" w:hAnsi="Arial" w:cs="Arial"/>
          <w:color w:val="000000"/>
          <w:sz w:val="22"/>
          <w:szCs w:val="22"/>
          <w:lang w:eastAsia="es-MX"/>
        </w:rPr>
        <w:footnoteReference w:id="5"/>
      </w:r>
      <w:r w:rsidRPr="00B710A9">
        <w:rPr>
          <w:rFonts w:ascii="Arial" w:hAnsi="Arial" w:cs="Arial"/>
          <w:color w:val="000000"/>
          <w:sz w:val="22"/>
          <w:szCs w:val="22"/>
          <w:lang w:eastAsia="es-MX"/>
        </w:rPr>
        <w:t xml:space="preserve">. </w:t>
      </w:r>
    </w:p>
    <w:p w14:paraId="44DBD7B8" w14:textId="5C8C555F" w:rsidR="00466A48" w:rsidRPr="00B710A9" w:rsidRDefault="00466A48" w:rsidP="00466A48">
      <w:pPr>
        <w:jc w:val="both"/>
        <w:rPr>
          <w:rFonts w:ascii="Arial" w:hAnsi="Arial" w:cs="Arial"/>
          <w:color w:val="000000"/>
          <w:sz w:val="22"/>
          <w:szCs w:val="22"/>
          <w:lang w:eastAsia="es-MX"/>
        </w:rPr>
      </w:pPr>
      <w:r w:rsidRPr="00B710A9">
        <w:rPr>
          <w:rFonts w:ascii="Arial" w:hAnsi="Arial" w:cs="Arial"/>
          <w:color w:val="000000"/>
          <w:sz w:val="22"/>
          <w:szCs w:val="22"/>
          <w:lang w:eastAsia="es-MX"/>
        </w:rPr>
        <w:t xml:space="preserve">A partir de esta fecha inició la fase denominada </w:t>
      </w:r>
      <w:r w:rsidRPr="00B710A9">
        <w:rPr>
          <w:rFonts w:ascii="Arial" w:hAnsi="Arial" w:cs="Arial"/>
          <w:i/>
          <w:iCs/>
          <w:color w:val="000000"/>
          <w:sz w:val="22"/>
          <w:szCs w:val="22"/>
          <w:lang w:eastAsia="es-MX"/>
        </w:rPr>
        <w:t>Alistamiento de insumos técnicos, estudio y formulación de documentos base</w:t>
      </w:r>
      <w:r w:rsidRPr="00B710A9">
        <w:rPr>
          <w:rFonts w:ascii="Arial" w:hAnsi="Arial" w:cs="Arial"/>
          <w:color w:val="000000"/>
          <w:sz w:val="22"/>
          <w:szCs w:val="22"/>
          <w:lang w:eastAsia="es-MX"/>
        </w:rPr>
        <w:t xml:space="preserve">. En esta, el IGAC y las demás entidades involucradas tales como el DANE y la Superintendencia de Notariado y Registro - SNR han sostenido espacios de diálogo con las diferentes organizaciones sobre temas como: generalidades del catastro multipropósito, normatividad, gestión y operación catastral, </w:t>
      </w:r>
      <w:proofErr w:type="spellStart"/>
      <w:r w:rsidRPr="00B710A9">
        <w:rPr>
          <w:rFonts w:ascii="Arial" w:hAnsi="Arial" w:cs="Arial"/>
          <w:color w:val="000000"/>
          <w:sz w:val="22"/>
          <w:szCs w:val="22"/>
          <w:lang w:eastAsia="es-MX"/>
        </w:rPr>
        <w:t>LADMCol</w:t>
      </w:r>
      <w:proofErr w:type="spellEnd"/>
      <w:r w:rsidRPr="00B710A9">
        <w:rPr>
          <w:rFonts w:ascii="Arial" w:hAnsi="Arial" w:cs="Arial"/>
          <w:color w:val="000000"/>
          <w:sz w:val="22"/>
          <w:szCs w:val="22"/>
          <w:lang w:eastAsia="es-MX"/>
        </w:rPr>
        <w:t xml:space="preserve">, actas de colindancias, cabida y linderos, acceso y uso de la información, entre otros. Se han tratado de espacios en los que cada organización y su equipo técnico han tenido la posibilidad de </w:t>
      </w:r>
      <w:r w:rsidRPr="00B710A9">
        <w:rPr>
          <w:rFonts w:ascii="Arial" w:hAnsi="Arial" w:cs="Arial"/>
          <w:color w:val="000000"/>
          <w:sz w:val="22"/>
          <w:szCs w:val="22"/>
          <w:lang w:eastAsia="es-MX"/>
        </w:rPr>
        <w:lastRenderedPageBreak/>
        <w:t>resolver las inquietudes con respecto al funcionamiento y alcance del catastro multipropósito, los roles de cada una de las entidades y las diferencias con otras políticas que tienen que ver con el territorio. La segunda fase comenzó e</w:t>
      </w:r>
      <w:r w:rsidR="00950ABA" w:rsidRPr="00B710A9">
        <w:rPr>
          <w:rFonts w:ascii="Arial" w:hAnsi="Arial" w:cs="Arial"/>
          <w:color w:val="000000"/>
          <w:sz w:val="22"/>
          <w:szCs w:val="22"/>
          <w:lang w:eastAsia="es-MX"/>
        </w:rPr>
        <w:t>n el mes</w:t>
      </w:r>
      <w:r w:rsidRPr="00B710A9">
        <w:rPr>
          <w:rFonts w:ascii="Arial" w:hAnsi="Arial" w:cs="Arial"/>
          <w:color w:val="000000"/>
          <w:sz w:val="22"/>
          <w:szCs w:val="22"/>
          <w:lang w:eastAsia="es-MX"/>
        </w:rPr>
        <w:t xml:space="preserve"> de abril, </w:t>
      </w:r>
      <w:r w:rsidR="00950ABA" w:rsidRPr="00B710A9">
        <w:rPr>
          <w:rFonts w:ascii="Arial" w:hAnsi="Arial" w:cs="Arial"/>
          <w:color w:val="000000"/>
          <w:sz w:val="22"/>
          <w:szCs w:val="22"/>
          <w:lang w:eastAsia="es-MX"/>
        </w:rPr>
        <w:t xml:space="preserve">esta se </w:t>
      </w:r>
      <w:r w:rsidRPr="00B710A9">
        <w:rPr>
          <w:rFonts w:ascii="Arial" w:hAnsi="Arial" w:cs="Arial"/>
          <w:color w:val="000000"/>
          <w:sz w:val="22"/>
          <w:szCs w:val="22"/>
          <w:lang w:eastAsia="es-MX"/>
        </w:rPr>
        <w:t xml:space="preserve">denomina </w:t>
      </w:r>
      <w:r w:rsidRPr="00B710A9">
        <w:rPr>
          <w:rFonts w:ascii="Arial" w:hAnsi="Arial" w:cs="Arial"/>
          <w:i/>
          <w:iCs/>
          <w:color w:val="000000"/>
          <w:sz w:val="22"/>
          <w:szCs w:val="22"/>
          <w:lang w:eastAsia="es-MX"/>
        </w:rPr>
        <w:t xml:space="preserve">Socialización, trabajo de campo y unificación autónoma indígena de las propuestas de instrumentos normativos.  </w:t>
      </w:r>
      <w:r w:rsidRPr="00B710A9">
        <w:rPr>
          <w:rFonts w:ascii="Arial" w:hAnsi="Arial" w:cs="Arial"/>
          <w:color w:val="000000"/>
          <w:sz w:val="22"/>
          <w:szCs w:val="22"/>
          <w:lang w:eastAsia="es-MX"/>
        </w:rPr>
        <w:t xml:space="preserve">A continuación, se presenta la ruta con las fechas estimadas para cada una de las etapas: </w:t>
      </w:r>
    </w:p>
    <w:p w14:paraId="2AE56082" w14:textId="77777777" w:rsidR="00D02921" w:rsidRPr="00B710A9" w:rsidRDefault="00D02921" w:rsidP="00466A48">
      <w:pPr>
        <w:jc w:val="both"/>
        <w:rPr>
          <w:rFonts w:ascii="Arial" w:hAnsi="Arial" w:cs="Arial"/>
          <w:color w:val="000000"/>
          <w:sz w:val="22"/>
          <w:szCs w:val="22"/>
          <w:lang w:eastAsia="es-MX"/>
        </w:rPr>
      </w:pPr>
    </w:p>
    <w:p w14:paraId="3E4C6C3B" w14:textId="3ED2BBC8" w:rsidR="00466A48" w:rsidRPr="00B710A9" w:rsidRDefault="00E829D5" w:rsidP="00E829D5">
      <w:pPr>
        <w:pStyle w:val="Descripcin"/>
        <w:jc w:val="center"/>
        <w:rPr>
          <w:rFonts w:ascii="Arial" w:hAnsi="Arial" w:cs="Arial"/>
          <w:b/>
          <w:bCs/>
          <w:i w:val="0"/>
          <w:iCs w:val="0"/>
          <w:color w:val="000000" w:themeColor="text1"/>
          <w:sz w:val="20"/>
          <w:szCs w:val="20"/>
          <w:lang w:eastAsia="es-MX"/>
        </w:rPr>
      </w:pPr>
      <w:bookmarkStart w:id="44" w:name="_Toc109057779"/>
      <w:r w:rsidRPr="00B710A9">
        <w:rPr>
          <w:rFonts w:ascii="Arial" w:hAnsi="Arial" w:cs="Arial"/>
          <w:b/>
          <w:bCs/>
          <w:color w:val="000000" w:themeColor="text1"/>
          <w:sz w:val="16"/>
          <w:szCs w:val="16"/>
        </w:rPr>
        <w:t xml:space="preserve">Ilustración </w:t>
      </w:r>
      <w:r w:rsidRPr="00B710A9">
        <w:rPr>
          <w:rFonts w:ascii="Arial" w:hAnsi="Arial" w:cs="Arial"/>
          <w:b/>
          <w:bCs/>
          <w:color w:val="000000" w:themeColor="text1"/>
          <w:sz w:val="16"/>
          <w:szCs w:val="16"/>
        </w:rPr>
        <w:fldChar w:fldCharType="begin"/>
      </w:r>
      <w:r w:rsidRPr="00B710A9">
        <w:rPr>
          <w:rFonts w:ascii="Arial" w:hAnsi="Arial" w:cs="Arial"/>
          <w:b/>
          <w:bCs/>
          <w:color w:val="000000" w:themeColor="text1"/>
          <w:sz w:val="16"/>
          <w:szCs w:val="16"/>
        </w:rPr>
        <w:instrText xml:space="preserve"> SEQ Ilustración \* ARABIC </w:instrText>
      </w:r>
      <w:r w:rsidRPr="00B710A9">
        <w:rPr>
          <w:rFonts w:ascii="Arial" w:hAnsi="Arial" w:cs="Arial"/>
          <w:b/>
          <w:bCs/>
          <w:color w:val="000000" w:themeColor="text1"/>
          <w:sz w:val="16"/>
          <w:szCs w:val="16"/>
        </w:rPr>
        <w:fldChar w:fldCharType="separate"/>
      </w:r>
      <w:r w:rsidR="00735F5D" w:rsidRPr="00B710A9">
        <w:rPr>
          <w:rFonts w:ascii="Arial" w:hAnsi="Arial" w:cs="Arial"/>
          <w:b/>
          <w:bCs/>
          <w:noProof/>
          <w:color w:val="000000" w:themeColor="text1"/>
          <w:sz w:val="16"/>
          <w:szCs w:val="16"/>
        </w:rPr>
        <w:t>9</w:t>
      </w:r>
      <w:r w:rsidRPr="00B710A9">
        <w:rPr>
          <w:rFonts w:ascii="Arial" w:hAnsi="Arial" w:cs="Arial"/>
          <w:b/>
          <w:bCs/>
          <w:color w:val="000000" w:themeColor="text1"/>
          <w:sz w:val="16"/>
          <w:szCs w:val="16"/>
        </w:rPr>
        <w:fldChar w:fldCharType="end"/>
      </w:r>
      <w:r w:rsidRPr="00B710A9">
        <w:rPr>
          <w:rFonts w:ascii="Arial" w:hAnsi="Arial" w:cs="Arial"/>
          <w:b/>
          <w:bCs/>
          <w:color w:val="000000" w:themeColor="text1"/>
          <w:sz w:val="16"/>
          <w:szCs w:val="16"/>
        </w:rPr>
        <w:t>. Ruta Metodológica Consulta Previa</w:t>
      </w:r>
      <w:bookmarkEnd w:id="44"/>
    </w:p>
    <w:p w14:paraId="156B578D" w14:textId="77777777" w:rsidR="00466A48" w:rsidRPr="00B710A9" w:rsidRDefault="00466A48" w:rsidP="00466A48">
      <w:pPr>
        <w:jc w:val="center"/>
        <w:rPr>
          <w:rFonts w:cs="Arial"/>
          <w:b/>
          <w:bCs/>
          <w:color w:val="000000"/>
          <w:sz w:val="22"/>
          <w:szCs w:val="22"/>
          <w:lang w:eastAsia="es-MX"/>
        </w:rPr>
      </w:pPr>
      <w:r w:rsidRPr="00B710A9">
        <w:rPr>
          <w:rFonts w:cs="Arial"/>
          <w:noProof/>
        </w:rPr>
        <w:drawing>
          <wp:inline distT="0" distB="0" distL="0" distR="0" wp14:anchorId="148F7A7A" wp14:editId="5F5A6579">
            <wp:extent cx="5612130" cy="2079625"/>
            <wp:effectExtent l="0" t="0" r="7620" b="0"/>
            <wp:docPr id="53" name="Imagen 53"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baja"/>
                    <pic:cNvPicPr/>
                  </pic:nvPicPr>
                  <pic:blipFill>
                    <a:blip r:embed="rId29" cstate="email">
                      <a:extLst>
                        <a:ext uri="{28A0092B-C50C-407E-A947-70E740481C1C}">
                          <a14:useLocalDpi xmlns:a14="http://schemas.microsoft.com/office/drawing/2010/main"/>
                        </a:ext>
                      </a:extLst>
                    </a:blip>
                    <a:stretch>
                      <a:fillRect/>
                    </a:stretch>
                  </pic:blipFill>
                  <pic:spPr>
                    <a:xfrm>
                      <a:off x="0" y="0"/>
                      <a:ext cx="5612130" cy="2079625"/>
                    </a:xfrm>
                    <a:prstGeom prst="rect">
                      <a:avLst/>
                    </a:prstGeom>
                  </pic:spPr>
                </pic:pic>
              </a:graphicData>
            </a:graphic>
          </wp:inline>
        </w:drawing>
      </w:r>
    </w:p>
    <w:p w14:paraId="520A78D7" w14:textId="77777777" w:rsidR="00466A48" w:rsidRPr="00B710A9" w:rsidRDefault="00466A48" w:rsidP="00466A48">
      <w:pPr>
        <w:ind w:left="360"/>
        <w:contextualSpacing/>
        <w:jc w:val="center"/>
        <w:rPr>
          <w:rFonts w:ascii="Arial" w:eastAsia="Arial" w:hAnsi="Arial" w:cs="Arial"/>
          <w:b/>
          <w:bCs/>
          <w:color w:val="000000" w:themeColor="text1"/>
          <w:sz w:val="16"/>
          <w:szCs w:val="16"/>
        </w:rPr>
      </w:pPr>
      <w:r w:rsidRPr="00B710A9">
        <w:rPr>
          <w:rFonts w:ascii="Arial" w:eastAsia="Arial" w:hAnsi="Arial" w:cs="Arial"/>
          <w:b/>
          <w:bCs/>
          <w:color w:val="000000" w:themeColor="text1"/>
          <w:sz w:val="16"/>
          <w:szCs w:val="16"/>
        </w:rPr>
        <w:t xml:space="preserve">Fuente: Dirección de Gestión Catastral </w:t>
      </w:r>
    </w:p>
    <w:p w14:paraId="76CAA7EB" w14:textId="77777777" w:rsidR="00466A48" w:rsidRPr="00B710A9" w:rsidRDefault="00466A48" w:rsidP="00466A48">
      <w:pPr>
        <w:ind w:left="360"/>
        <w:contextualSpacing/>
        <w:jc w:val="center"/>
        <w:rPr>
          <w:rFonts w:ascii="Arial" w:eastAsia="Arial" w:hAnsi="Arial" w:cs="Arial"/>
          <w:color w:val="000000" w:themeColor="text1"/>
          <w:sz w:val="16"/>
          <w:szCs w:val="16"/>
        </w:rPr>
      </w:pPr>
    </w:p>
    <w:p w14:paraId="48B91E32" w14:textId="3B6C51F4" w:rsidR="00466A48" w:rsidRPr="00B710A9" w:rsidRDefault="00272FE4" w:rsidP="00466A48">
      <w:pPr>
        <w:jc w:val="both"/>
        <w:rPr>
          <w:rFonts w:ascii="Arial" w:hAnsi="Arial" w:cs="Arial"/>
          <w:sz w:val="22"/>
          <w:szCs w:val="22"/>
        </w:rPr>
      </w:pPr>
      <w:r w:rsidRPr="00B710A9">
        <w:rPr>
          <w:rFonts w:ascii="Arial" w:hAnsi="Arial" w:cs="Arial"/>
          <w:sz w:val="22"/>
          <w:szCs w:val="22"/>
        </w:rPr>
        <w:t>L</w:t>
      </w:r>
      <w:r w:rsidR="00466A48" w:rsidRPr="00B710A9">
        <w:rPr>
          <w:rFonts w:ascii="Arial" w:hAnsi="Arial" w:cs="Arial"/>
          <w:sz w:val="22"/>
          <w:szCs w:val="22"/>
        </w:rPr>
        <w:t>as organizaciones</w:t>
      </w:r>
      <w:r w:rsidRPr="00B710A9">
        <w:rPr>
          <w:rFonts w:ascii="Arial" w:hAnsi="Arial" w:cs="Arial"/>
          <w:sz w:val="22"/>
          <w:szCs w:val="22"/>
        </w:rPr>
        <w:t xml:space="preserve"> indígenas</w:t>
      </w:r>
      <w:r w:rsidR="00466A48" w:rsidRPr="00B710A9">
        <w:rPr>
          <w:rFonts w:ascii="Arial" w:hAnsi="Arial" w:cs="Arial"/>
          <w:sz w:val="22"/>
          <w:szCs w:val="22"/>
        </w:rPr>
        <w:t xml:space="preserve"> han manifestado la necesidad de modificar el alcance de la circular de levantamientos parciales expedida</w:t>
      </w:r>
      <w:r w:rsidR="00466A48" w:rsidRPr="00B710A9">
        <w:rPr>
          <w:rFonts w:ascii="Arial" w:hAnsi="Arial" w:cs="Arial"/>
          <w:strike/>
          <w:sz w:val="22"/>
          <w:szCs w:val="22"/>
        </w:rPr>
        <w:t>s</w:t>
      </w:r>
      <w:r w:rsidR="00466A48" w:rsidRPr="00B710A9">
        <w:rPr>
          <w:rFonts w:ascii="Arial" w:hAnsi="Arial" w:cs="Arial"/>
          <w:sz w:val="22"/>
          <w:szCs w:val="22"/>
        </w:rPr>
        <w:t xml:space="preserve"> por el IGAC, para que pueda incluirse la suspensión de los procesos catastrales no solo en territorios resguardados, sino también en todos los territorios indígenas incluyendo territorios formalizados, no formalizados, ancestrales, tradicionales y/o comunales (territorialidad indígena). En </w:t>
      </w:r>
      <w:r w:rsidR="00FF6E04" w:rsidRPr="00B710A9">
        <w:rPr>
          <w:rFonts w:ascii="Arial" w:hAnsi="Arial" w:cs="Arial"/>
          <w:sz w:val="22"/>
          <w:szCs w:val="22"/>
        </w:rPr>
        <w:t>virtud de lo anterior,</w:t>
      </w:r>
      <w:r w:rsidR="00466A48" w:rsidRPr="00B710A9">
        <w:rPr>
          <w:rFonts w:ascii="Arial" w:hAnsi="Arial" w:cs="Arial"/>
          <w:sz w:val="22"/>
          <w:szCs w:val="22"/>
        </w:rPr>
        <w:t xml:space="preserve"> se construyó una propuesta de ruta para la derogación de la circular y construcción conjunta de la modificación, la cual está siendo analizada por el gobierno, dadas las posibles implicaciones que tendría en el avance del catastro en los municipios programados. </w:t>
      </w:r>
    </w:p>
    <w:p w14:paraId="1DDCD414" w14:textId="77777777" w:rsidR="00466A48" w:rsidRPr="00B710A9" w:rsidRDefault="00466A48" w:rsidP="00466A48">
      <w:pPr>
        <w:jc w:val="both"/>
        <w:rPr>
          <w:rFonts w:ascii="Arial" w:hAnsi="Arial" w:cs="Arial"/>
          <w:sz w:val="22"/>
          <w:szCs w:val="22"/>
        </w:rPr>
      </w:pPr>
      <w:r w:rsidRPr="00B710A9">
        <w:rPr>
          <w:rFonts w:ascii="Arial" w:hAnsi="Arial" w:cs="Arial"/>
          <w:sz w:val="22"/>
          <w:szCs w:val="22"/>
        </w:rPr>
        <w:t xml:space="preserve">Con respecto a las comunidades afrocolombianas, raizales y palanqueras, el Gobierno Nacional, de cara a lo sucedido con la CNTI y la MPC identificó la necesidad de adelantar una consulta previa con estas comunidades sobre la metodología para la implementación del catastro multipropósito en los territorios donde tienen presencia. De acuerdo con esto y siguiendo las indicaciones del Min Interior, el IGAC asistió a la Comisión Consultiva de Alto Nivel para socializar el documento que se consultaría en la instancia del Espacio Nacional de Consulta Previa. </w:t>
      </w:r>
    </w:p>
    <w:p w14:paraId="6F4E64BB" w14:textId="7D38E46D" w:rsidR="00466A48" w:rsidRPr="00B710A9" w:rsidRDefault="00466A48" w:rsidP="00466A48">
      <w:pPr>
        <w:jc w:val="both"/>
        <w:rPr>
          <w:rFonts w:ascii="Arial" w:hAnsi="Arial" w:cs="Arial"/>
          <w:sz w:val="22"/>
          <w:szCs w:val="22"/>
        </w:rPr>
      </w:pPr>
      <w:r w:rsidRPr="00B710A9">
        <w:rPr>
          <w:rFonts w:ascii="Arial" w:hAnsi="Arial" w:cs="Arial"/>
          <w:sz w:val="22"/>
          <w:szCs w:val="22"/>
        </w:rPr>
        <w:t xml:space="preserve">Es así como, en </w:t>
      </w:r>
      <w:r w:rsidR="00272FE4" w:rsidRPr="00B710A9">
        <w:rPr>
          <w:rFonts w:ascii="Arial" w:hAnsi="Arial" w:cs="Arial"/>
          <w:sz w:val="22"/>
          <w:szCs w:val="22"/>
        </w:rPr>
        <w:t>el mes de</w:t>
      </w:r>
      <w:r w:rsidRPr="00B710A9">
        <w:rPr>
          <w:rFonts w:ascii="Arial" w:hAnsi="Arial" w:cs="Arial"/>
          <w:sz w:val="22"/>
          <w:szCs w:val="22"/>
        </w:rPr>
        <w:t xml:space="preserve"> febrero de 2021, se acordó entre el IGAC y la Comisión Consultiva de Alto Nivel (CCAN) de NARP -tanto en el espacio en pleno como a través de la Subcomisión V de Territorialidad, Vivienda, Saneamiento Básico, Actividad Agropecuaria, Ambiente y Minería (en adelante Subcomisión V) - que la consulta previa se dividirá en dos fases: una primera, que le permitirá a la CCAN analizar de manera integral y a profundidad el documento que se consultará, principalmente teniendo en cuenta las funciones que le fueron asignadas mediante el Decreto 1640 de 2020, que en su numeral 7 del artículo </w:t>
      </w:r>
      <w:r w:rsidRPr="00B710A9">
        <w:rPr>
          <w:rFonts w:ascii="Arial" w:hAnsi="Arial" w:cs="Arial"/>
          <w:sz w:val="22"/>
          <w:szCs w:val="22"/>
        </w:rPr>
        <w:lastRenderedPageBreak/>
        <w:t xml:space="preserve">2.5.1.3, se establecen la labor de “efectuar las recomendaciones a los proyectos de reglamentación o modificación de la Ley 70 de 1993, que serán consultados a través del Espacio Nacional de Consulta Previa de medidas administrativas y legislativas de amplio alcance”. La segunda fase será el desarrollo propio de la consulta previa. </w:t>
      </w:r>
    </w:p>
    <w:p w14:paraId="6FF025E0" w14:textId="77777777" w:rsidR="00466A48" w:rsidRPr="00B710A9" w:rsidRDefault="00466A48" w:rsidP="00466A48">
      <w:pPr>
        <w:jc w:val="both"/>
        <w:rPr>
          <w:rFonts w:ascii="Arial" w:hAnsi="Arial" w:cs="Arial"/>
          <w:sz w:val="22"/>
          <w:szCs w:val="22"/>
        </w:rPr>
      </w:pPr>
      <w:r w:rsidRPr="00B710A9">
        <w:rPr>
          <w:rFonts w:ascii="Arial" w:hAnsi="Arial" w:cs="Arial"/>
          <w:sz w:val="22"/>
          <w:szCs w:val="22"/>
        </w:rPr>
        <w:t xml:space="preserve">A la fecha se ha finalizado esta primera fase (de alistamiento) la cual era la concertación de la guía metodológica para la gestión catastral en territorios de comunidades NARP, recogiendo las recomendaciones de la CCAN luego de aproximadamente seis meses de trabajo con la Comisión Consultiva de Alto Nivel, en los que se tiene como resultado un documento que espera radicarse en el Espacio Nacional de Consulta Previa (ENCP).  Aunque se contaba con un operador logístico para soportar la ejecución de los diferentes espacios, el contrato finalizó en el mes de mayo. Por esta razón, se comienza un nuevo proceso de licitación y adjudicación a través de los recursos del Banco Mundial, el cual, una vez finalice, permitirá avanzar con la respectiva convocatoria al ENCP. La ruta, de acuerdo con lo indicado por el Ministerio del Interior y el Decreto 1372 de 2018, es la siguiente: </w:t>
      </w:r>
    </w:p>
    <w:p w14:paraId="79608B09" w14:textId="77777777" w:rsidR="001951C7" w:rsidRDefault="001951C7" w:rsidP="00D02921">
      <w:pPr>
        <w:pStyle w:val="Descripcin"/>
        <w:jc w:val="center"/>
        <w:rPr>
          <w:rFonts w:ascii="Arial" w:hAnsi="Arial" w:cs="Arial"/>
          <w:b/>
          <w:bCs/>
          <w:i w:val="0"/>
          <w:iCs w:val="0"/>
          <w:color w:val="000000" w:themeColor="text1"/>
          <w:sz w:val="16"/>
          <w:szCs w:val="16"/>
        </w:rPr>
      </w:pPr>
    </w:p>
    <w:p w14:paraId="4E4CCC52" w14:textId="77777777" w:rsidR="001C3803" w:rsidRPr="001C3803" w:rsidRDefault="001C3803" w:rsidP="001C3803"/>
    <w:p w14:paraId="4F2FFE86" w14:textId="77777777" w:rsidR="001C3803" w:rsidRDefault="001C3803" w:rsidP="001C3803"/>
    <w:p w14:paraId="75E4CC64" w14:textId="77777777" w:rsidR="001C3803" w:rsidRDefault="001C3803" w:rsidP="001C3803"/>
    <w:p w14:paraId="4D13FD4F" w14:textId="77777777" w:rsidR="001C3803" w:rsidRPr="001C3803" w:rsidRDefault="001C3803" w:rsidP="001C3803"/>
    <w:p w14:paraId="7846215E" w14:textId="5D7E1DE1" w:rsidR="00466A48" w:rsidRPr="00B710A9" w:rsidRDefault="00D02921" w:rsidP="00D02921">
      <w:pPr>
        <w:pStyle w:val="Descripcin"/>
        <w:jc w:val="center"/>
        <w:rPr>
          <w:rFonts w:ascii="Arial" w:hAnsi="Arial" w:cs="Arial"/>
          <w:b/>
          <w:bCs/>
          <w:i w:val="0"/>
          <w:iCs w:val="0"/>
          <w:color w:val="000000" w:themeColor="text1"/>
        </w:rPr>
      </w:pPr>
      <w:bookmarkStart w:id="45" w:name="_Toc109057780"/>
      <w:r w:rsidRPr="00B710A9">
        <w:rPr>
          <w:rFonts w:ascii="Arial" w:hAnsi="Arial" w:cs="Arial"/>
          <w:b/>
          <w:bCs/>
          <w:i w:val="0"/>
          <w:iCs w:val="0"/>
          <w:color w:val="000000" w:themeColor="text1"/>
          <w:sz w:val="16"/>
          <w:szCs w:val="16"/>
        </w:rPr>
        <w:t xml:space="preserve">Ilustración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Ilustración \* ARABIC </w:instrText>
      </w:r>
      <w:r w:rsidRPr="00B710A9">
        <w:rPr>
          <w:rFonts w:ascii="Arial" w:hAnsi="Arial" w:cs="Arial"/>
          <w:b/>
          <w:bCs/>
          <w:i w:val="0"/>
          <w:iCs w:val="0"/>
          <w:color w:val="000000" w:themeColor="text1"/>
          <w:sz w:val="16"/>
          <w:szCs w:val="16"/>
        </w:rPr>
        <w:fldChar w:fldCharType="separate"/>
      </w:r>
      <w:r w:rsidR="00735F5D" w:rsidRPr="00B710A9">
        <w:rPr>
          <w:rFonts w:ascii="Arial" w:hAnsi="Arial" w:cs="Arial"/>
          <w:b/>
          <w:bCs/>
          <w:i w:val="0"/>
          <w:iCs w:val="0"/>
          <w:noProof/>
          <w:color w:val="000000" w:themeColor="text1"/>
          <w:sz w:val="16"/>
          <w:szCs w:val="16"/>
        </w:rPr>
        <w:t>10</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Fases de la consulta previa - comunidades NARP</w:t>
      </w:r>
      <w:bookmarkEnd w:id="45"/>
    </w:p>
    <w:p w14:paraId="4A46BC09" w14:textId="77777777" w:rsidR="00466A48" w:rsidRPr="00B710A9" w:rsidRDefault="00466A48" w:rsidP="00466A48">
      <w:pPr>
        <w:rPr>
          <w:rFonts w:cs="Arial"/>
          <w:noProof/>
          <w:sz w:val="22"/>
          <w:szCs w:val="22"/>
        </w:rPr>
      </w:pPr>
      <w:r w:rsidRPr="00B710A9">
        <w:rPr>
          <w:rFonts w:cs="Arial"/>
          <w:noProof/>
          <w:sz w:val="22"/>
          <w:szCs w:val="22"/>
        </w:rPr>
        <w:drawing>
          <wp:inline distT="0" distB="0" distL="0" distR="0" wp14:anchorId="29F3B3EA" wp14:editId="0549F380">
            <wp:extent cx="5611838" cy="1690777"/>
            <wp:effectExtent l="0" t="0" r="8255" b="5080"/>
            <wp:docPr id="56" name="Imagen 5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rotWithShape="1">
                    <a:blip r:embed="rId30" cstate="email">
                      <a:extLst>
                        <a:ext uri="{28A0092B-C50C-407E-A947-70E740481C1C}">
                          <a14:useLocalDpi xmlns:a14="http://schemas.microsoft.com/office/drawing/2010/main"/>
                        </a:ext>
                      </a:extLst>
                    </a:blip>
                    <a:srcRect t="4463" b="8060"/>
                    <a:stretch/>
                  </pic:blipFill>
                  <pic:spPr bwMode="auto">
                    <a:xfrm>
                      <a:off x="0" y="0"/>
                      <a:ext cx="5612130" cy="1690865"/>
                    </a:xfrm>
                    <a:prstGeom prst="rect">
                      <a:avLst/>
                    </a:prstGeom>
                    <a:ln>
                      <a:noFill/>
                    </a:ln>
                    <a:extLst>
                      <a:ext uri="{53640926-AAD7-44D8-BBD7-CCE9431645EC}">
                        <a14:shadowObscured xmlns:a14="http://schemas.microsoft.com/office/drawing/2010/main"/>
                      </a:ext>
                    </a:extLst>
                  </pic:spPr>
                </pic:pic>
              </a:graphicData>
            </a:graphic>
          </wp:inline>
        </w:drawing>
      </w:r>
    </w:p>
    <w:p w14:paraId="18FCC5D9" w14:textId="77777777" w:rsidR="00466A48" w:rsidRPr="00B710A9" w:rsidRDefault="00466A48" w:rsidP="00466A48">
      <w:pPr>
        <w:ind w:left="360"/>
        <w:contextualSpacing/>
        <w:jc w:val="center"/>
        <w:rPr>
          <w:rFonts w:ascii="Arial" w:eastAsia="Arial" w:hAnsi="Arial" w:cs="Arial"/>
          <w:b/>
          <w:bCs/>
          <w:color w:val="000000" w:themeColor="text1"/>
          <w:sz w:val="16"/>
          <w:szCs w:val="16"/>
        </w:rPr>
      </w:pPr>
      <w:r w:rsidRPr="00B710A9">
        <w:rPr>
          <w:rFonts w:ascii="Arial" w:eastAsia="Arial" w:hAnsi="Arial" w:cs="Arial"/>
          <w:b/>
          <w:bCs/>
          <w:color w:val="000000" w:themeColor="text1"/>
          <w:sz w:val="16"/>
          <w:szCs w:val="16"/>
        </w:rPr>
        <w:t xml:space="preserve">Fuente: Dirección de Gestión Catastral </w:t>
      </w:r>
    </w:p>
    <w:p w14:paraId="343ED24D" w14:textId="77777777" w:rsidR="00466A48" w:rsidRPr="00B710A9" w:rsidRDefault="00466A48" w:rsidP="00466A48">
      <w:pPr>
        <w:ind w:left="360"/>
        <w:contextualSpacing/>
        <w:jc w:val="center"/>
        <w:rPr>
          <w:rFonts w:eastAsia="Arial" w:cs="Arial"/>
          <w:color w:val="000000" w:themeColor="text1"/>
          <w:sz w:val="16"/>
          <w:szCs w:val="16"/>
        </w:rPr>
      </w:pPr>
    </w:p>
    <w:p w14:paraId="373C342F" w14:textId="77777777" w:rsidR="00522D8A" w:rsidRPr="00B710A9" w:rsidRDefault="00522D8A" w:rsidP="00522D8A">
      <w:pPr>
        <w:pBdr>
          <w:top w:val="nil"/>
          <w:left w:val="nil"/>
          <w:bottom w:val="nil"/>
          <w:right w:val="nil"/>
          <w:between w:val="nil"/>
        </w:pBdr>
        <w:spacing w:after="0" w:line="240" w:lineRule="auto"/>
        <w:jc w:val="both"/>
        <w:rPr>
          <w:rFonts w:asciiTheme="minorHAnsi" w:hAnsiTheme="minorHAnsi" w:cstheme="minorBidi"/>
          <w:b/>
          <w:bCs/>
          <w:color w:val="000000" w:themeColor="text1"/>
        </w:rPr>
      </w:pPr>
    </w:p>
    <w:p w14:paraId="1BAACDDC" w14:textId="77777777" w:rsidR="00522D8A" w:rsidRPr="00B710A9" w:rsidRDefault="00522D8A" w:rsidP="00522D8A">
      <w:pPr>
        <w:pBdr>
          <w:top w:val="nil"/>
          <w:left w:val="nil"/>
          <w:bottom w:val="nil"/>
          <w:right w:val="nil"/>
          <w:between w:val="nil"/>
        </w:pBdr>
        <w:spacing w:after="0" w:line="240" w:lineRule="auto"/>
        <w:jc w:val="both"/>
        <w:rPr>
          <w:rFonts w:ascii="Arial" w:hAnsi="Arial" w:cs="Arial"/>
          <w:b/>
          <w:bCs/>
          <w:color w:val="000000" w:themeColor="text1"/>
          <w:sz w:val="22"/>
          <w:szCs w:val="22"/>
        </w:rPr>
      </w:pPr>
      <w:r w:rsidRPr="00B710A9">
        <w:rPr>
          <w:rFonts w:ascii="Arial" w:hAnsi="Arial" w:cs="Arial"/>
          <w:b/>
          <w:bCs/>
          <w:color w:val="000000" w:themeColor="text1"/>
          <w:sz w:val="22"/>
          <w:szCs w:val="22"/>
        </w:rPr>
        <w:t xml:space="preserve">2.2.2 Política de Reparación a Víctimas y restitución de tierras </w:t>
      </w:r>
    </w:p>
    <w:p w14:paraId="02A84226" w14:textId="77777777" w:rsidR="00522D8A" w:rsidRPr="00B710A9" w:rsidRDefault="00522D8A" w:rsidP="00522D8A">
      <w:pPr>
        <w:pBdr>
          <w:top w:val="nil"/>
          <w:left w:val="nil"/>
          <w:bottom w:val="nil"/>
          <w:right w:val="nil"/>
          <w:between w:val="nil"/>
        </w:pBdr>
        <w:spacing w:after="0" w:line="240" w:lineRule="auto"/>
        <w:jc w:val="both"/>
        <w:rPr>
          <w:rFonts w:ascii="Arial" w:hAnsi="Arial" w:cs="Arial"/>
          <w:b/>
          <w:bCs/>
          <w:color w:val="000000" w:themeColor="text1"/>
          <w:sz w:val="22"/>
          <w:szCs w:val="22"/>
        </w:rPr>
      </w:pPr>
    </w:p>
    <w:p w14:paraId="0BFE5B63" w14:textId="77777777" w:rsidR="00522D8A" w:rsidRPr="00B710A9" w:rsidRDefault="00522D8A" w:rsidP="00522D8A">
      <w:pPr>
        <w:pBdr>
          <w:top w:val="nil"/>
          <w:left w:val="nil"/>
          <w:bottom w:val="nil"/>
          <w:right w:val="nil"/>
          <w:between w:val="nil"/>
        </w:pBdr>
        <w:spacing w:after="0" w:line="240" w:lineRule="auto"/>
        <w:jc w:val="both"/>
        <w:rPr>
          <w:rFonts w:ascii="Arial" w:hAnsi="Arial" w:cs="Arial"/>
          <w:b/>
          <w:bCs/>
          <w:color w:val="000000" w:themeColor="text1"/>
          <w:sz w:val="22"/>
          <w:szCs w:val="22"/>
        </w:rPr>
      </w:pPr>
      <w:r w:rsidRPr="00B710A9">
        <w:rPr>
          <w:rFonts w:ascii="Arial" w:hAnsi="Arial" w:cs="Arial"/>
          <w:color w:val="000000" w:themeColor="text1"/>
          <w:sz w:val="22"/>
          <w:szCs w:val="22"/>
        </w:rPr>
        <w:t>A partir de la expedición de la Ley 1448 de 2011 para la asistencia y reparación integral a las víctimas del conflicto armado interno, el IGAC ha asumido una serie de compromisos institucionales en el marco de la Política Integral de Reparación de Víctimas y a los escenarios de paz.</w:t>
      </w:r>
    </w:p>
    <w:p w14:paraId="3804A58E" w14:textId="77777777" w:rsidR="00522D8A" w:rsidRPr="00B710A9" w:rsidRDefault="00522D8A" w:rsidP="00522D8A">
      <w:pPr>
        <w:pBdr>
          <w:top w:val="nil"/>
          <w:left w:val="nil"/>
          <w:bottom w:val="nil"/>
          <w:right w:val="nil"/>
          <w:between w:val="nil"/>
        </w:pBdr>
        <w:spacing w:after="0" w:line="240" w:lineRule="auto"/>
        <w:jc w:val="both"/>
        <w:rPr>
          <w:rFonts w:asciiTheme="minorHAnsi" w:hAnsiTheme="minorHAnsi" w:cstheme="minorHAnsi"/>
          <w:color w:val="000000" w:themeColor="text1"/>
        </w:rPr>
      </w:pPr>
    </w:p>
    <w:p w14:paraId="25501916" w14:textId="1618A251" w:rsidR="00522D8A" w:rsidRPr="00B710A9" w:rsidRDefault="00522D8A" w:rsidP="00522D8A">
      <w:pPr>
        <w:spacing w:after="0" w:line="240" w:lineRule="auto"/>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rPr>
        <w:t>En este contexto, durante el periodo 202</w:t>
      </w:r>
      <w:r w:rsidR="004E3153" w:rsidRPr="00B710A9">
        <w:rPr>
          <w:rFonts w:ascii="Arial" w:eastAsia="Calibri" w:hAnsi="Arial" w:cs="Arial"/>
          <w:color w:val="000000" w:themeColor="text1"/>
          <w:sz w:val="22"/>
          <w:szCs w:val="22"/>
        </w:rPr>
        <w:t>1</w:t>
      </w:r>
      <w:r w:rsidRPr="00B710A9">
        <w:rPr>
          <w:rFonts w:ascii="Arial" w:eastAsia="Calibri" w:hAnsi="Arial" w:cs="Arial"/>
          <w:color w:val="000000" w:themeColor="text1"/>
          <w:sz w:val="22"/>
          <w:szCs w:val="22"/>
        </w:rPr>
        <w:t>-202</w:t>
      </w:r>
      <w:r w:rsidR="004E3153" w:rsidRPr="00B710A9">
        <w:rPr>
          <w:rFonts w:ascii="Arial" w:eastAsia="Calibri" w:hAnsi="Arial" w:cs="Arial"/>
          <w:color w:val="000000" w:themeColor="text1"/>
          <w:sz w:val="22"/>
          <w:szCs w:val="22"/>
        </w:rPr>
        <w:t>2</w:t>
      </w:r>
      <w:r w:rsidRPr="00B710A9">
        <w:rPr>
          <w:rFonts w:ascii="Arial" w:eastAsia="Calibri" w:hAnsi="Arial" w:cs="Arial"/>
          <w:color w:val="000000" w:themeColor="text1"/>
          <w:sz w:val="22"/>
          <w:szCs w:val="22"/>
        </w:rPr>
        <w:t>, se llevaron a cabo las siguientes actividades:</w:t>
      </w:r>
    </w:p>
    <w:p w14:paraId="1CF13F00" w14:textId="77777777" w:rsidR="00541F18" w:rsidRPr="00B710A9" w:rsidRDefault="00541F18" w:rsidP="00522D8A">
      <w:pPr>
        <w:spacing w:after="0" w:line="240" w:lineRule="auto"/>
        <w:jc w:val="both"/>
        <w:rPr>
          <w:rFonts w:ascii="Arial" w:eastAsia="Calibri" w:hAnsi="Arial" w:cs="Arial"/>
          <w:color w:val="000000" w:themeColor="text1"/>
          <w:sz w:val="22"/>
          <w:szCs w:val="22"/>
        </w:rPr>
      </w:pPr>
    </w:p>
    <w:p w14:paraId="12364BA5" w14:textId="77777777" w:rsidR="00BE2869" w:rsidRPr="00B710A9" w:rsidRDefault="00BE2869" w:rsidP="00356A3E">
      <w:pPr>
        <w:pStyle w:val="Prrafodelista"/>
        <w:numPr>
          <w:ilvl w:val="0"/>
          <w:numId w:val="108"/>
        </w:numPr>
        <w:jc w:val="both"/>
        <w:rPr>
          <w:rFonts w:ascii="Arial" w:hAnsi="Arial" w:cs="Arial"/>
          <w:sz w:val="22"/>
          <w:szCs w:val="22"/>
        </w:rPr>
      </w:pPr>
      <w:r w:rsidRPr="00B710A9">
        <w:rPr>
          <w:rFonts w:ascii="Arial" w:hAnsi="Arial" w:cs="Arial"/>
          <w:sz w:val="22"/>
          <w:szCs w:val="22"/>
        </w:rPr>
        <w:t>Se actualizaron los procedimientos de atención de solicitudes y requerimientos por parte de la Unidad Administrativa Especial de Gestión de Restitución de Tierras Despojadas (UAEGRTD) en el marco de la Ley 1448 de 2011 y atención de requerimientos judiciales de jueces y/o magistrados civiles especializados en restitución de tierras, en el marco de la Ley 1448 de 2011, se presentaron los siguientes avances:</w:t>
      </w:r>
    </w:p>
    <w:p w14:paraId="64D6A6FC" w14:textId="77777777" w:rsidR="00541F18" w:rsidRPr="00B710A9" w:rsidRDefault="00541F18" w:rsidP="00541F18">
      <w:pPr>
        <w:pStyle w:val="Prrafodelista"/>
        <w:jc w:val="both"/>
        <w:rPr>
          <w:rFonts w:ascii="Arial" w:hAnsi="Arial" w:cs="Arial"/>
          <w:sz w:val="22"/>
          <w:szCs w:val="22"/>
        </w:rPr>
      </w:pPr>
    </w:p>
    <w:p w14:paraId="78F619D3" w14:textId="77777777" w:rsidR="00820205" w:rsidRPr="00B710A9" w:rsidRDefault="00820205" w:rsidP="00541F18">
      <w:pPr>
        <w:pStyle w:val="Prrafodelista"/>
        <w:jc w:val="both"/>
        <w:rPr>
          <w:rFonts w:ascii="Arial" w:hAnsi="Arial" w:cs="Arial"/>
          <w:sz w:val="22"/>
          <w:szCs w:val="22"/>
        </w:rPr>
      </w:pPr>
    </w:p>
    <w:p w14:paraId="5DFA29FF" w14:textId="77777777" w:rsidR="00BE2869" w:rsidRPr="00B710A9" w:rsidRDefault="00BE2869" w:rsidP="00356A3E">
      <w:pPr>
        <w:pStyle w:val="Prrafodelista"/>
        <w:numPr>
          <w:ilvl w:val="0"/>
          <w:numId w:val="106"/>
        </w:numPr>
        <w:suppressAutoHyphens/>
        <w:overflowPunct w:val="0"/>
        <w:autoSpaceDE w:val="0"/>
        <w:spacing w:after="0" w:line="240" w:lineRule="auto"/>
        <w:contextualSpacing w:val="0"/>
        <w:jc w:val="both"/>
        <w:rPr>
          <w:rFonts w:ascii="Arial" w:hAnsi="Arial" w:cs="Arial"/>
          <w:sz w:val="22"/>
          <w:szCs w:val="22"/>
        </w:rPr>
      </w:pPr>
      <w:r w:rsidRPr="00B710A9">
        <w:rPr>
          <w:rFonts w:ascii="Arial" w:hAnsi="Arial" w:cs="Arial"/>
          <w:sz w:val="22"/>
          <w:szCs w:val="22"/>
        </w:rPr>
        <w:t xml:space="preserve">Para el 2021, se atendieron 1666 solicitudes hechas por juzgados civiles en materia de regularización de la propiedad en sede central. Un 67% más respecto al periodo 2020, en donde fueron atendidas 994. </w:t>
      </w:r>
    </w:p>
    <w:p w14:paraId="612A0B47" w14:textId="77777777" w:rsidR="00BE2869" w:rsidRPr="00B710A9" w:rsidRDefault="00BE2869" w:rsidP="00356A3E">
      <w:pPr>
        <w:pStyle w:val="Lista"/>
        <w:numPr>
          <w:ilvl w:val="0"/>
          <w:numId w:val="106"/>
        </w:numPr>
        <w:textAlignment w:val="auto"/>
        <w:rPr>
          <w:rFonts w:cs="Arial"/>
          <w:sz w:val="22"/>
          <w:szCs w:val="22"/>
        </w:rPr>
      </w:pPr>
      <w:r w:rsidRPr="00B710A9">
        <w:rPr>
          <w:rFonts w:cs="Arial"/>
          <w:sz w:val="22"/>
          <w:szCs w:val="22"/>
        </w:rPr>
        <w:t>Para el año 2022 se cuenta con un total de 531 solicitudes atendidas a corte del mes de junio.</w:t>
      </w:r>
    </w:p>
    <w:p w14:paraId="24FF955C" w14:textId="77777777" w:rsidR="00BE2869" w:rsidRDefault="00BE2869" w:rsidP="00BE2869">
      <w:pPr>
        <w:pStyle w:val="Lista"/>
        <w:rPr>
          <w:rFonts w:cs="Arial"/>
        </w:rPr>
      </w:pPr>
    </w:p>
    <w:p w14:paraId="11FBB729" w14:textId="77777777" w:rsidR="001C3803" w:rsidRDefault="001C3803" w:rsidP="00BE2869">
      <w:pPr>
        <w:pStyle w:val="Lista"/>
        <w:rPr>
          <w:rFonts w:cs="Arial"/>
        </w:rPr>
      </w:pPr>
    </w:p>
    <w:p w14:paraId="3B28B087" w14:textId="77777777" w:rsidR="001C3803" w:rsidRDefault="001C3803" w:rsidP="00BE2869">
      <w:pPr>
        <w:pStyle w:val="Lista"/>
        <w:rPr>
          <w:rFonts w:cs="Arial"/>
        </w:rPr>
      </w:pPr>
    </w:p>
    <w:p w14:paraId="640199DB" w14:textId="77777777" w:rsidR="001C3803" w:rsidRDefault="001C3803" w:rsidP="00BE2869">
      <w:pPr>
        <w:pStyle w:val="Lista"/>
        <w:rPr>
          <w:rFonts w:cs="Arial"/>
        </w:rPr>
      </w:pPr>
    </w:p>
    <w:p w14:paraId="62620ACF" w14:textId="77777777" w:rsidR="001C3803" w:rsidRDefault="001C3803" w:rsidP="00BE2869">
      <w:pPr>
        <w:pStyle w:val="Lista"/>
        <w:rPr>
          <w:rFonts w:cs="Arial"/>
        </w:rPr>
      </w:pPr>
    </w:p>
    <w:p w14:paraId="248357E8" w14:textId="77777777" w:rsidR="001C3803" w:rsidRDefault="001C3803" w:rsidP="00BE2869">
      <w:pPr>
        <w:pStyle w:val="Lista"/>
        <w:rPr>
          <w:rFonts w:cs="Arial"/>
        </w:rPr>
      </w:pPr>
    </w:p>
    <w:p w14:paraId="3F26A899" w14:textId="77777777" w:rsidR="001C3803" w:rsidRDefault="001C3803" w:rsidP="00BE2869">
      <w:pPr>
        <w:pStyle w:val="Lista"/>
        <w:rPr>
          <w:rFonts w:cs="Arial"/>
        </w:rPr>
      </w:pPr>
    </w:p>
    <w:p w14:paraId="075491A1" w14:textId="77777777" w:rsidR="001C3803" w:rsidRDefault="001C3803" w:rsidP="00BE2869">
      <w:pPr>
        <w:pStyle w:val="Lista"/>
        <w:rPr>
          <w:rFonts w:cs="Arial"/>
        </w:rPr>
      </w:pPr>
    </w:p>
    <w:p w14:paraId="258AE9D8" w14:textId="77777777" w:rsidR="001C3803" w:rsidRDefault="001C3803" w:rsidP="00BE2869">
      <w:pPr>
        <w:pStyle w:val="Lista"/>
        <w:rPr>
          <w:rFonts w:cs="Arial"/>
        </w:rPr>
      </w:pPr>
    </w:p>
    <w:p w14:paraId="68D3B521" w14:textId="77777777" w:rsidR="001C3803" w:rsidRDefault="001C3803" w:rsidP="00BE2869">
      <w:pPr>
        <w:pStyle w:val="Lista"/>
        <w:rPr>
          <w:rFonts w:cs="Arial"/>
        </w:rPr>
      </w:pPr>
    </w:p>
    <w:p w14:paraId="322C5546" w14:textId="77777777" w:rsidR="001C3803" w:rsidRDefault="001C3803" w:rsidP="00BE2869">
      <w:pPr>
        <w:pStyle w:val="Lista"/>
        <w:rPr>
          <w:rFonts w:cs="Arial"/>
        </w:rPr>
      </w:pPr>
    </w:p>
    <w:p w14:paraId="3C956497" w14:textId="77777777" w:rsidR="001C3803" w:rsidRDefault="001C3803" w:rsidP="00BE2869">
      <w:pPr>
        <w:pStyle w:val="Lista"/>
        <w:rPr>
          <w:rFonts w:cs="Arial"/>
        </w:rPr>
      </w:pPr>
    </w:p>
    <w:p w14:paraId="3109E62F" w14:textId="77777777" w:rsidR="001C3803" w:rsidRPr="00B710A9" w:rsidRDefault="001C3803" w:rsidP="00BE2869">
      <w:pPr>
        <w:pStyle w:val="Lista"/>
        <w:rPr>
          <w:rFonts w:cs="Arial"/>
        </w:rPr>
      </w:pPr>
    </w:p>
    <w:p w14:paraId="4F1381FD" w14:textId="7C66F8E5" w:rsidR="00BE2869" w:rsidRPr="00B710A9" w:rsidRDefault="001951C7" w:rsidP="001951C7">
      <w:pPr>
        <w:pStyle w:val="Descripcin"/>
        <w:jc w:val="center"/>
        <w:rPr>
          <w:rFonts w:ascii="Arial" w:hAnsi="Arial" w:cs="Arial"/>
          <w:b/>
          <w:bCs/>
          <w:i w:val="0"/>
          <w:iCs w:val="0"/>
          <w:color w:val="000000" w:themeColor="text1"/>
          <w:sz w:val="14"/>
          <w:szCs w:val="14"/>
        </w:rPr>
      </w:pPr>
      <w:bookmarkStart w:id="46" w:name="_Toc109057781"/>
      <w:r w:rsidRPr="00B710A9">
        <w:rPr>
          <w:rFonts w:ascii="Arial" w:hAnsi="Arial" w:cs="Arial"/>
          <w:b/>
          <w:bCs/>
          <w:i w:val="0"/>
          <w:iCs w:val="0"/>
          <w:color w:val="000000" w:themeColor="text1"/>
          <w:sz w:val="16"/>
          <w:szCs w:val="16"/>
        </w:rPr>
        <w:t xml:space="preserve">Ilustración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Ilustración \* ARABIC </w:instrText>
      </w:r>
      <w:r w:rsidRPr="00B710A9">
        <w:rPr>
          <w:rFonts w:ascii="Arial" w:hAnsi="Arial" w:cs="Arial"/>
          <w:b/>
          <w:bCs/>
          <w:i w:val="0"/>
          <w:iCs w:val="0"/>
          <w:color w:val="000000" w:themeColor="text1"/>
          <w:sz w:val="16"/>
          <w:szCs w:val="16"/>
        </w:rPr>
        <w:fldChar w:fldCharType="separate"/>
      </w:r>
      <w:r w:rsidR="00735F5D" w:rsidRPr="00B710A9">
        <w:rPr>
          <w:rFonts w:ascii="Arial" w:hAnsi="Arial" w:cs="Arial"/>
          <w:b/>
          <w:bCs/>
          <w:i w:val="0"/>
          <w:iCs w:val="0"/>
          <w:noProof/>
          <w:color w:val="000000" w:themeColor="text1"/>
          <w:sz w:val="16"/>
          <w:szCs w:val="16"/>
        </w:rPr>
        <w:t>11</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Solicitudes en materia de regularización</w:t>
      </w:r>
      <w:bookmarkEnd w:id="46"/>
    </w:p>
    <w:p w14:paraId="40A6BC98" w14:textId="77777777" w:rsidR="00BE2869" w:rsidRPr="00B710A9" w:rsidRDefault="00BE2869" w:rsidP="00BE2869">
      <w:pPr>
        <w:jc w:val="center"/>
        <w:rPr>
          <w:lang w:eastAsia="es-ES_tradnl"/>
        </w:rPr>
      </w:pPr>
      <w:r w:rsidRPr="00B710A9">
        <w:rPr>
          <w:noProof/>
        </w:rPr>
        <w:drawing>
          <wp:inline distT="0" distB="0" distL="0" distR="0" wp14:anchorId="615968E4" wp14:editId="3BE8D541">
            <wp:extent cx="4229100" cy="1819275"/>
            <wp:effectExtent l="0" t="0" r="0" b="9525"/>
            <wp:docPr id="29" name="Gráfico 29">
              <a:extLst xmlns:a="http://schemas.openxmlformats.org/drawingml/2006/main">
                <a:ext uri="{FF2B5EF4-FFF2-40B4-BE49-F238E27FC236}">
                  <a16:creationId xmlns:a16="http://schemas.microsoft.com/office/drawing/2014/main" id="{30E35B77-4B8E-4DBC-B377-B762992F6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3FD73D" w14:textId="77777777" w:rsidR="00BE2869" w:rsidRPr="00B710A9" w:rsidRDefault="00BE2869" w:rsidP="00BE2869">
      <w:pPr>
        <w:jc w:val="center"/>
        <w:rPr>
          <w:rFonts w:ascii="Arial" w:hAnsi="Arial" w:cs="Arial"/>
          <w:b/>
          <w:bCs/>
          <w:sz w:val="16"/>
          <w:szCs w:val="16"/>
        </w:rPr>
      </w:pPr>
      <w:r w:rsidRPr="00B710A9">
        <w:rPr>
          <w:rFonts w:ascii="Arial" w:eastAsia="Arial" w:hAnsi="Arial" w:cs="Arial"/>
          <w:b/>
          <w:bCs/>
          <w:sz w:val="16"/>
          <w:szCs w:val="16"/>
        </w:rPr>
        <w:t>Fuente:  Dirección de Gestión Catastral</w:t>
      </w:r>
    </w:p>
    <w:p w14:paraId="463124B0" w14:textId="77777777" w:rsidR="00BE2869" w:rsidRPr="00B710A9" w:rsidRDefault="00BE2869" w:rsidP="00BE2869">
      <w:pPr>
        <w:jc w:val="both"/>
        <w:rPr>
          <w:rFonts w:cs="Arial"/>
        </w:rPr>
      </w:pPr>
    </w:p>
    <w:p w14:paraId="6659527F" w14:textId="77777777" w:rsidR="00BE2869" w:rsidRPr="00B710A9" w:rsidRDefault="00BE2869" w:rsidP="00356A3E">
      <w:pPr>
        <w:pStyle w:val="Prrafodelista"/>
        <w:numPr>
          <w:ilvl w:val="1"/>
          <w:numId w:val="107"/>
        </w:numPr>
        <w:suppressAutoHyphens/>
        <w:overflowPunct w:val="0"/>
        <w:autoSpaceDE w:val="0"/>
        <w:spacing w:after="0" w:line="240" w:lineRule="auto"/>
        <w:ind w:left="709" w:hanging="425"/>
        <w:contextualSpacing w:val="0"/>
        <w:jc w:val="both"/>
        <w:rPr>
          <w:rFonts w:ascii="Arial" w:hAnsi="Arial" w:cs="Arial"/>
          <w:sz w:val="22"/>
          <w:szCs w:val="22"/>
        </w:rPr>
      </w:pPr>
      <w:r w:rsidRPr="00B710A9">
        <w:rPr>
          <w:rFonts w:ascii="Arial" w:hAnsi="Arial" w:cs="Arial"/>
          <w:sz w:val="22"/>
          <w:szCs w:val="22"/>
        </w:rPr>
        <w:t xml:space="preserve">Para el 2021, se atendieron a nivel nacional de 4.974 solicitudes en materia de restitución de tierras de las 5.566 recibidas durante el año, un 34% más, que las atendidas en el 2020. </w:t>
      </w:r>
    </w:p>
    <w:p w14:paraId="0BBEB4D2" w14:textId="77777777" w:rsidR="00BE2869" w:rsidRPr="00B710A9" w:rsidRDefault="00BE2869" w:rsidP="00356A3E">
      <w:pPr>
        <w:pStyle w:val="Prrafodelista"/>
        <w:numPr>
          <w:ilvl w:val="1"/>
          <w:numId w:val="107"/>
        </w:numPr>
        <w:suppressAutoHyphens/>
        <w:overflowPunct w:val="0"/>
        <w:autoSpaceDE w:val="0"/>
        <w:spacing w:after="0" w:line="240" w:lineRule="auto"/>
        <w:ind w:left="709" w:hanging="425"/>
        <w:contextualSpacing w:val="0"/>
        <w:jc w:val="both"/>
        <w:rPr>
          <w:rFonts w:ascii="Arial" w:hAnsi="Arial" w:cs="Arial"/>
          <w:sz w:val="22"/>
          <w:szCs w:val="22"/>
        </w:rPr>
      </w:pPr>
      <w:r w:rsidRPr="00B710A9">
        <w:rPr>
          <w:rFonts w:ascii="Arial" w:hAnsi="Arial" w:cs="Arial"/>
          <w:sz w:val="22"/>
          <w:szCs w:val="22"/>
        </w:rPr>
        <w:t>Con respecto al año 2022, han sido atendidas 1.789 solicitudes en materia de restitución de tierras de las 2.488 recibidas.</w:t>
      </w:r>
    </w:p>
    <w:p w14:paraId="2E2B983C" w14:textId="77777777" w:rsidR="00BE2869" w:rsidRPr="00B710A9" w:rsidRDefault="00BE2869" w:rsidP="00BE2869">
      <w:pPr>
        <w:pStyle w:val="Lista"/>
        <w:rPr>
          <w:rFonts w:cs="Arial"/>
        </w:rPr>
      </w:pPr>
    </w:p>
    <w:p w14:paraId="0F206162" w14:textId="77777777" w:rsidR="001951C7" w:rsidRPr="00B710A9" w:rsidRDefault="001951C7" w:rsidP="001951C7">
      <w:pPr>
        <w:pStyle w:val="Descripcin"/>
        <w:jc w:val="center"/>
      </w:pPr>
    </w:p>
    <w:p w14:paraId="70DDA0B7" w14:textId="006FF3EA" w:rsidR="001951C7" w:rsidRPr="00B710A9" w:rsidRDefault="001951C7" w:rsidP="001951C7">
      <w:pPr>
        <w:pStyle w:val="Descripcin"/>
        <w:jc w:val="center"/>
        <w:rPr>
          <w:rFonts w:ascii="Arial" w:hAnsi="Arial" w:cs="Arial"/>
          <w:b/>
          <w:bCs/>
          <w:i w:val="0"/>
          <w:iCs w:val="0"/>
          <w:color w:val="000000" w:themeColor="text1"/>
          <w:sz w:val="16"/>
          <w:szCs w:val="16"/>
        </w:rPr>
      </w:pPr>
      <w:bookmarkStart w:id="47" w:name="_Toc109057782"/>
      <w:r w:rsidRPr="00B710A9">
        <w:rPr>
          <w:rFonts w:ascii="Arial" w:hAnsi="Arial" w:cs="Arial"/>
          <w:b/>
          <w:bCs/>
          <w:i w:val="0"/>
          <w:iCs w:val="0"/>
          <w:color w:val="000000" w:themeColor="text1"/>
          <w:sz w:val="16"/>
          <w:szCs w:val="16"/>
        </w:rPr>
        <w:lastRenderedPageBreak/>
        <w:t xml:space="preserve">Ilustración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Ilustración \* ARABIC </w:instrText>
      </w:r>
      <w:r w:rsidRPr="00B710A9">
        <w:rPr>
          <w:rFonts w:ascii="Arial" w:hAnsi="Arial" w:cs="Arial"/>
          <w:b/>
          <w:bCs/>
          <w:i w:val="0"/>
          <w:iCs w:val="0"/>
          <w:color w:val="000000" w:themeColor="text1"/>
          <w:sz w:val="16"/>
          <w:szCs w:val="16"/>
        </w:rPr>
        <w:fldChar w:fldCharType="separate"/>
      </w:r>
      <w:r w:rsidR="00735F5D" w:rsidRPr="00B710A9">
        <w:rPr>
          <w:rFonts w:ascii="Arial" w:hAnsi="Arial" w:cs="Arial"/>
          <w:b/>
          <w:bCs/>
          <w:i w:val="0"/>
          <w:iCs w:val="0"/>
          <w:noProof/>
          <w:color w:val="000000" w:themeColor="text1"/>
          <w:sz w:val="16"/>
          <w:szCs w:val="16"/>
        </w:rPr>
        <w:t>12</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Solicitudes Unidad de Restitución de Tierras y requerimientos Rama Judicial</w:t>
      </w:r>
      <w:bookmarkEnd w:id="47"/>
    </w:p>
    <w:p w14:paraId="099F85E4" w14:textId="77777777" w:rsidR="00BE2869" w:rsidRPr="00B710A9" w:rsidRDefault="00BE2869" w:rsidP="00BE2869">
      <w:pPr>
        <w:jc w:val="center"/>
        <w:rPr>
          <w:noProof/>
        </w:rPr>
      </w:pPr>
      <w:r w:rsidRPr="00B710A9">
        <w:rPr>
          <w:noProof/>
        </w:rPr>
        <w:drawing>
          <wp:inline distT="0" distB="0" distL="0" distR="0" wp14:anchorId="0276A3A3" wp14:editId="51476B36">
            <wp:extent cx="4933950" cy="2219325"/>
            <wp:effectExtent l="0" t="0" r="0" b="9525"/>
            <wp:docPr id="34" name="Gráfico 34">
              <a:extLst xmlns:a="http://schemas.openxmlformats.org/drawingml/2006/main">
                <a:ext uri="{FF2B5EF4-FFF2-40B4-BE49-F238E27FC236}">
                  <a16:creationId xmlns:a16="http://schemas.microsoft.com/office/drawing/2014/main" id="{606206A6-CD65-46F1-98F2-C08B68AAE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CBD72B" w14:textId="77777777" w:rsidR="00BE2869" w:rsidRPr="00B710A9" w:rsidRDefault="00BE2869" w:rsidP="00BE2869">
      <w:pPr>
        <w:jc w:val="center"/>
        <w:rPr>
          <w:rFonts w:ascii="Arial" w:hAnsi="Arial" w:cs="Arial"/>
          <w:b/>
          <w:bCs/>
          <w:sz w:val="16"/>
          <w:szCs w:val="16"/>
        </w:rPr>
      </w:pPr>
      <w:r w:rsidRPr="00B710A9">
        <w:rPr>
          <w:rFonts w:ascii="Arial" w:eastAsia="Arial" w:hAnsi="Arial" w:cs="Arial"/>
          <w:b/>
          <w:bCs/>
          <w:sz w:val="16"/>
          <w:szCs w:val="16"/>
        </w:rPr>
        <w:t>Fuente:  Dirección de Gestión Catastral</w:t>
      </w:r>
    </w:p>
    <w:p w14:paraId="330A8901" w14:textId="77777777" w:rsidR="00BE2869" w:rsidRPr="00B710A9" w:rsidRDefault="00BE2869" w:rsidP="00BE2869">
      <w:pPr>
        <w:rPr>
          <w:rFonts w:cs="Arial"/>
          <w:lang w:eastAsia="es-ES_tradnl"/>
        </w:rPr>
      </w:pPr>
    </w:p>
    <w:p w14:paraId="6B7ACD1E" w14:textId="77777777" w:rsidR="00BE2869" w:rsidRPr="00B710A9" w:rsidRDefault="00BE2869" w:rsidP="00356A3E">
      <w:pPr>
        <w:pStyle w:val="Prrafodelista"/>
        <w:numPr>
          <w:ilvl w:val="1"/>
          <w:numId w:val="107"/>
        </w:numPr>
        <w:suppressAutoHyphens/>
        <w:overflowPunct w:val="0"/>
        <w:autoSpaceDE w:val="0"/>
        <w:spacing w:after="0" w:line="240" w:lineRule="auto"/>
        <w:ind w:left="709" w:hanging="425"/>
        <w:contextualSpacing w:val="0"/>
        <w:jc w:val="both"/>
        <w:rPr>
          <w:rFonts w:ascii="Arial" w:hAnsi="Arial" w:cs="Arial"/>
          <w:sz w:val="22"/>
          <w:szCs w:val="22"/>
        </w:rPr>
      </w:pPr>
      <w:r w:rsidRPr="00B710A9">
        <w:rPr>
          <w:rFonts w:ascii="Arial" w:hAnsi="Arial" w:cs="Arial"/>
          <w:sz w:val="22"/>
          <w:szCs w:val="22"/>
        </w:rPr>
        <w:t>Cumplimiento de sentencias a diciembre de 2021 66.85 %, un 1.38 % más con respecto al 2020.</w:t>
      </w:r>
    </w:p>
    <w:p w14:paraId="611BD961" w14:textId="77777777" w:rsidR="00BE2869" w:rsidRPr="00B710A9" w:rsidRDefault="00BE2869" w:rsidP="00BE2869">
      <w:pPr>
        <w:pStyle w:val="Lista"/>
        <w:rPr>
          <w:rFonts w:cs="Arial"/>
        </w:rPr>
      </w:pPr>
    </w:p>
    <w:p w14:paraId="046F4438" w14:textId="77777777" w:rsidR="00BE2869" w:rsidRPr="00B710A9" w:rsidRDefault="00BE2869" w:rsidP="00356A3E">
      <w:pPr>
        <w:pStyle w:val="Prrafodelista"/>
        <w:numPr>
          <w:ilvl w:val="1"/>
          <w:numId w:val="107"/>
        </w:numPr>
        <w:suppressAutoHyphens/>
        <w:overflowPunct w:val="0"/>
        <w:autoSpaceDE w:val="0"/>
        <w:spacing w:after="0" w:line="240" w:lineRule="auto"/>
        <w:ind w:left="709" w:hanging="425"/>
        <w:contextualSpacing w:val="0"/>
        <w:jc w:val="both"/>
        <w:rPr>
          <w:rFonts w:ascii="Arial" w:hAnsi="Arial" w:cs="Arial"/>
          <w:sz w:val="22"/>
          <w:szCs w:val="22"/>
        </w:rPr>
      </w:pPr>
      <w:r w:rsidRPr="00B710A9">
        <w:rPr>
          <w:rFonts w:ascii="Arial" w:hAnsi="Arial" w:cs="Arial"/>
          <w:sz w:val="22"/>
          <w:szCs w:val="22"/>
        </w:rPr>
        <w:t>Con respecto al año 2022, se obtuvo un avance de cumplimiento de sentencias, del 68,46%.</w:t>
      </w:r>
    </w:p>
    <w:p w14:paraId="3B98D3FD" w14:textId="77777777" w:rsidR="00BE2869" w:rsidRPr="00B710A9" w:rsidRDefault="00BE2869" w:rsidP="00BE2869">
      <w:pPr>
        <w:pStyle w:val="Lista"/>
        <w:rPr>
          <w:rFonts w:cs="Arial"/>
        </w:rPr>
      </w:pPr>
    </w:p>
    <w:p w14:paraId="71095ADD" w14:textId="77777777" w:rsidR="00BE2869" w:rsidRPr="00B710A9" w:rsidRDefault="00BE2869" w:rsidP="00BE2869">
      <w:pPr>
        <w:pStyle w:val="Lista"/>
        <w:jc w:val="center"/>
        <w:rPr>
          <w:rFonts w:cs="Arial"/>
          <w:b/>
          <w:bCs/>
          <w:sz w:val="18"/>
          <w:szCs w:val="18"/>
        </w:rPr>
      </w:pPr>
    </w:p>
    <w:p w14:paraId="6FF2A006" w14:textId="404BC1A4" w:rsidR="00BE2869" w:rsidRPr="00B710A9" w:rsidRDefault="006E3CDF" w:rsidP="006E3CDF">
      <w:pPr>
        <w:pStyle w:val="Descripcin"/>
        <w:jc w:val="center"/>
        <w:rPr>
          <w:rFonts w:ascii="Arial" w:hAnsi="Arial" w:cs="Arial"/>
          <w:b/>
          <w:bCs/>
          <w:i w:val="0"/>
          <w:iCs w:val="0"/>
          <w:color w:val="000000" w:themeColor="text1"/>
          <w:sz w:val="12"/>
          <w:szCs w:val="12"/>
        </w:rPr>
      </w:pPr>
      <w:bookmarkStart w:id="48" w:name="_Toc109057783"/>
      <w:r w:rsidRPr="00B710A9">
        <w:rPr>
          <w:rFonts w:ascii="Arial" w:hAnsi="Arial" w:cs="Arial"/>
          <w:b/>
          <w:bCs/>
          <w:i w:val="0"/>
          <w:iCs w:val="0"/>
          <w:color w:val="000000" w:themeColor="text1"/>
          <w:sz w:val="16"/>
          <w:szCs w:val="16"/>
        </w:rPr>
        <w:t xml:space="preserve">Ilustración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Ilustración \* ARABIC </w:instrText>
      </w:r>
      <w:r w:rsidRPr="00B710A9">
        <w:rPr>
          <w:rFonts w:ascii="Arial" w:hAnsi="Arial" w:cs="Arial"/>
          <w:b/>
          <w:bCs/>
          <w:i w:val="0"/>
          <w:iCs w:val="0"/>
          <w:color w:val="000000" w:themeColor="text1"/>
          <w:sz w:val="16"/>
          <w:szCs w:val="16"/>
        </w:rPr>
        <w:fldChar w:fldCharType="separate"/>
      </w:r>
      <w:r w:rsidR="00735F5D" w:rsidRPr="00B710A9">
        <w:rPr>
          <w:rFonts w:ascii="Arial" w:hAnsi="Arial" w:cs="Arial"/>
          <w:b/>
          <w:bCs/>
          <w:i w:val="0"/>
          <w:iCs w:val="0"/>
          <w:noProof/>
          <w:color w:val="000000" w:themeColor="text1"/>
          <w:sz w:val="16"/>
          <w:szCs w:val="16"/>
        </w:rPr>
        <w:t>13</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Cumplimiento de órdenes judiciales</w:t>
      </w:r>
      <w:bookmarkEnd w:id="48"/>
    </w:p>
    <w:p w14:paraId="49F1EB42" w14:textId="77777777" w:rsidR="00BE2869" w:rsidRPr="00B710A9" w:rsidRDefault="00BE2869" w:rsidP="00BE2869">
      <w:pPr>
        <w:jc w:val="center"/>
        <w:rPr>
          <w:noProof/>
        </w:rPr>
      </w:pPr>
      <w:r w:rsidRPr="00B710A9">
        <w:rPr>
          <w:rFonts w:ascii="Arial" w:hAnsi="Arial" w:cs="Arial"/>
          <w:b/>
          <w:bCs/>
          <w:noProof/>
          <w:sz w:val="22"/>
          <w:szCs w:val="22"/>
        </w:rPr>
        <w:drawing>
          <wp:inline distT="0" distB="0" distL="0" distR="0" wp14:anchorId="1CB2F50C" wp14:editId="208D92B0">
            <wp:extent cx="5105400" cy="2095500"/>
            <wp:effectExtent l="0" t="0" r="0" b="0"/>
            <wp:docPr id="35" name="Gráfico 35">
              <a:extLst xmlns:a="http://schemas.openxmlformats.org/drawingml/2006/main">
                <a:ext uri="{FF2B5EF4-FFF2-40B4-BE49-F238E27FC236}">
                  <a16:creationId xmlns:a16="http://schemas.microsoft.com/office/drawing/2014/main" id="{5E84D1F2-C8EA-4211-B16D-1025F7F0ED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0DB1E2A" w14:textId="77777777" w:rsidR="00BE2869" w:rsidRPr="00B710A9" w:rsidRDefault="00BE2869" w:rsidP="00BE2869">
      <w:pPr>
        <w:spacing w:line="276" w:lineRule="auto"/>
        <w:jc w:val="center"/>
        <w:rPr>
          <w:rFonts w:ascii="Arial" w:eastAsia="Arial" w:hAnsi="Arial" w:cs="Arial"/>
          <w:b/>
          <w:bCs/>
          <w:sz w:val="16"/>
          <w:szCs w:val="16"/>
        </w:rPr>
      </w:pPr>
      <w:r w:rsidRPr="00B710A9">
        <w:rPr>
          <w:rFonts w:ascii="Arial" w:eastAsia="Arial" w:hAnsi="Arial" w:cs="Arial"/>
          <w:b/>
          <w:bCs/>
          <w:sz w:val="16"/>
          <w:szCs w:val="16"/>
        </w:rPr>
        <w:t>Fuente: Dirección de Gestión Catastral</w:t>
      </w:r>
    </w:p>
    <w:p w14:paraId="51210D45" w14:textId="77777777" w:rsidR="00BE2869" w:rsidRPr="00B710A9" w:rsidRDefault="00BE2869" w:rsidP="00BE2869">
      <w:pPr>
        <w:jc w:val="both"/>
        <w:rPr>
          <w:rFonts w:eastAsia="Arial" w:cs="Arial"/>
          <w:sz w:val="22"/>
          <w:szCs w:val="22"/>
        </w:rPr>
      </w:pPr>
    </w:p>
    <w:p w14:paraId="7C06EC00" w14:textId="77777777" w:rsidR="00BE2869" w:rsidRPr="00B710A9" w:rsidRDefault="00BE2869" w:rsidP="00BE2869">
      <w:pPr>
        <w:jc w:val="both"/>
        <w:rPr>
          <w:rFonts w:ascii="Arial" w:eastAsia="Arial" w:hAnsi="Arial" w:cs="Arial"/>
          <w:sz w:val="22"/>
          <w:szCs w:val="22"/>
        </w:rPr>
      </w:pPr>
      <w:r w:rsidRPr="00B710A9">
        <w:rPr>
          <w:rFonts w:ascii="Arial" w:eastAsia="Arial" w:hAnsi="Arial" w:cs="Arial"/>
          <w:sz w:val="22"/>
          <w:szCs w:val="22"/>
        </w:rPr>
        <w:t>A diciembre de 2021 en materia de restitución de tierras, se recibieron 4.974 requerimientos y se atendieron 5.566, incluyendo solicitudes de información etapa administrativa y judicial, suspensión de predios y solicitud de peritajes en etapa judicial.</w:t>
      </w:r>
    </w:p>
    <w:p w14:paraId="6DBE111E" w14:textId="77777777" w:rsidR="00BE2869" w:rsidRPr="00B710A9" w:rsidRDefault="00BE2869" w:rsidP="00BE2869">
      <w:pPr>
        <w:jc w:val="both"/>
        <w:rPr>
          <w:rFonts w:ascii="Arial" w:eastAsia="Arial" w:hAnsi="Arial" w:cs="Arial"/>
          <w:sz w:val="22"/>
          <w:szCs w:val="22"/>
        </w:rPr>
      </w:pPr>
      <w:r w:rsidRPr="00B710A9">
        <w:rPr>
          <w:rFonts w:ascii="Arial" w:eastAsia="Arial" w:hAnsi="Arial" w:cs="Arial"/>
          <w:sz w:val="22"/>
          <w:szCs w:val="22"/>
        </w:rPr>
        <w:t>Por su parte al mes de junio de 2022, se obtuvieron los siguientes avances:</w:t>
      </w:r>
    </w:p>
    <w:p w14:paraId="363A1093" w14:textId="77777777" w:rsidR="00D30F63" w:rsidRPr="00B710A9" w:rsidRDefault="00D30F63" w:rsidP="00D30F63">
      <w:pPr>
        <w:pStyle w:val="Descripcin"/>
        <w:keepNext/>
        <w:jc w:val="center"/>
      </w:pPr>
      <w:bookmarkStart w:id="49" w:name="_Toc88677093"/>
      <w:bookmarkStart w:id="50" w:name="_Toc107995413"/>
    </w:p>
    <w:p w14:paraId="4BE40341" w14:textId="4CE2D08E" w:rsidR="00D30F63" w:rsidRPr="00B710A9" w:rsidRDefault="00D30F63" w:rsidP="00D30F63">
      <w:pPr>
        <w:pStyle w:val="Descripcin"/>
        <w:keepNext/>
        <w:jc w:val="center"/>
        <w:rPr>
          <w:rFonts w:ascii="Arial" w:hAnsi="Arial" w:cs="Arial"/>
          <w:b/>
          <w:bCs/>
          <w:i w:val="0"/>
          <w:iCs w:val="0"/>
          <w:color w:val="000000" w:themeColor="text1"/>
          <w:sz w:val="16"/>
          <w:szCs w:val="16"/>
        </w:rPr>
      </w:pPr>
      <w:bookmarkStart w:id="51" w:name="_Toc109057747"/>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17</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Avance solicitudes de restitución de tierras a junio de 2022</w:t>
      </w:r>
      <w:bookmarkEnd w:id="51"/>
    </w:p>
    <w:tbl>
      <w:tblPr>
        <w:tblStyle w:val="Tablaconcuadrcula4-nfasis1"/>
        <w:tblW w:w="9202" w:type="dxa"/>
        <w:tblLook w:val="04A0" w:firstRow="1" w:lastRow="0" w:firstColumn="1" w:lastColumn="0" w:noHBand="0" w:noVBand="1"/>
      </w:tblPr>
      <w:tblGrid>
        <w:gridCol w:w="1838"/>
        <w:gridCol w:w="633"/>
        <w:gridCol w:w="1029"/>
        <w:gridCol w:w="499"/>
        <w:gridCol w:w="1213"/>
        <w:gridCol w:w="861"/>
        <w:gridCol w:w="1213"/>
        <w:gridCol w:w="728"/>
        <w:gridCol w:w="1188"/>
      </w:tblGrid>
      <w:tr w:rsidR="00BE2869" w:rsidRPr="00B710A9" w14:paraId="11CC0581" w14:textId="77777777" w:rsidTr="005D574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gridSpan w:val="9"/>
            <w:hideMark/>
          </w:tcPr>
          <w:bookmarkEnd w:id="49"/>
          <w:bookmarkEnd w:id="50"/>
          <w:p w14:paraId="2C27E6BF" w14:textId="77777777" w:rsidR="00BE2869" w:rsidRPr="00B710A9" w:rsidRDefault="00BE2869" w:rsidP="005D574B">
            <w:pPr>
              <w:jc w:val="center"/>
              <w:rPr>
                <w:rFonts w:ascii="Arial" w:hAnsi="Arial" w:cs="Arial"/>
                <w:b w:val="0"/>
                <w:bCs w:val="0"/>
                <w:color w:val="auto"/>
                <w:sz w:val="16"/>
                <w:szCs w:val="16"/>
                <w:vertAlign w:val="subscript"/>
              </w:rPr>
            </w:pPr>
            <w:r w:rsidRPr="00B710A9">
              <w:rPr>
                <w:rFonts w:ascii="Arial" w:hAnsi="Arial" w:cs="Arial"/>
                <w:color w:val="auto"/>
                <w:sz w:val="16"/>
                <w:szCs w:val="16"/>
                <w:vertAlign w:val="subscript"/>
              </w:rPr>
              <w:t>CONSOLIDADO POLÍTICA ACUMULADO CON CORTE A 30 DE JUNIO DE 2022</w:t>
            </w:r>
          </w:p>
        </w:tc>
      </w:tr>
      <w:tr w:rsidR="00BE2869" w:rsidRPr="00B710A9" w14:paraId="0E4E87EE" w14:textId="77777777" w:rsidTr="005D574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gridSpan w:val="9"/>
            <w:hideMark/>
          </w:tcPr>
          <w:p w14:paraId="5AFBF0B7" w14:textId="77777777" w:rsidR="00BE2869" w:rsidRPr="00B710A9" w:rsidRDefault="00BE2869" w:rsidP="005D574B">
            <w:pPr>
              <w:jc w:val="center"/>
              <w:rPr>
                <w:rFonts w:ascii="Arial" w:hAnsi="Arial" w:cs="Arial"/>
                <w:b w:val="0"/>
                <w:bCs w:val="0"/>
                <w:sz w:val="16"/>
                <w:szCs w:val="16"/>
                <w:vertAlign w:val="subscript"/>
              </w:rPr>
            </w:pPr>
            <w:r w:rsidRPr="00B710A9">
              <w:rPr>
                <w:rFonts w:ascii="Arial" w:hAnsi="Arial" w:cs="Arial"/>
                <w:sz w:val="16"/>
                <w:szCs w:val="16"/>
                <w:vertAlign w:val="subscript"/>
              </w:rPr>
              <w:t>SOLICITUDES Y REQUERIMIENTOS</w:t>
            </w:r>
          </w:p>
        </w:tc>
      </w:tr>
      <w:tr w:rsidR="00BE2869" w:rsidRPr="00B710A9" w14:paraId="18E3995C" w14:textId="77777777" w:rsidTr="00D30F63">
        <w:trPr>
          <w:trHeight w:val="317"/>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14:paraId="75C17B11" w14:textId="77777777" w:rsidR="00BE2869" w:rsidRPr="00B710A9" w:rsidRDefault="00BE2869" w:rsidP="005D574B">
            <w:pPr>
              <w:jc w:val="center"/>
              <w:rPr>
                <w:rFonts w:ascii="Arial" w:hAnsi="Arial" w:cs="Arial"/>
                <w:b w:val="0"/>
                <w:bCs w:val="0"/>
                <w:color w:val="000000"/>
                <w:sz w:val="16"/>
                <w:szCs w:val="16"/>
                <w:vertAlign w:val="subscript"/>
              </w:rPr>
            </w:pPr>
            <w:r w:rsidRPr="00B710A9">
              <w:rPr>
                <w:rFonts w:ascii="Arial" w:hAnsi="Arial" w:cs="Arial"/>
                <w:color w:val="000000"/>
                <w:sz w:val="16"/>
                <w:szCs w:val="16"/>
                <w:vertAlign w:val="subscript"/>
              </w:rPr>
              <w:t>ENTIDAD</w:t>
            </w:r>
          </w:p>
        </w:tc>
        <w:tc>
          <w:tcPr>
            <w:tcW w:w="1662" w:type="dxa"/>
            <w:gridSpan w:val="2"/>
            <w:vMerge w:val="restart"/>
            <w:hideMark/>
          </w:tcPr>
          <w:p w14:paraId="1A9B3191"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vertAlign w:val="subscript"/>
              </w:rPr>
            </w:pPr>
            <w:r w:rsidRPr="00B710A9">
              <w:rPr>
                <w:rFonts w:ascii="Arial" w:hAnsi="Arial" w:cs="Arial"/>
                <w:b/>
                <w:bCs/>
                <w:color w:val="000000"/>
                <w:sz w:val="16"/>
                <w:szCs w:val="16"/>
                <w:vertAlign w:val="subscript"/>
              </w:rPr>
              <w:t>COMPROMISO</w:t>
            </w:r>
          </w:p>
        </w:tc>
        <w:tc>
          <w:tcPr>
            <w:tcW w:w="5702" w:type="dxa"/>
            <w:gridSpan w:val="6"/>
            <w:hideMark/>
          </w:tcPr>
          <w:p w14:paraId="4EC93ADA"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vertAlign w:val="subscript"/>
              </w:rPr>
            </w:pPr>
            <w:r w:rsidRPr="00B710A9">
              <w:rPr>
                <w:rFonts w:ascii="Arial" w:hAnsi="Arial" w:cs="Arial"/>
                <w:b/>
                <w:bCs/>
                <w:color w:val="000000"/>
                <w:sz w:val="16"/>
                <w:szCs w:val="16"/>
                <w:vertAlign w:val="subscript"/>
              </w:rPr>
              <w:t>ESTADO</w:t>
            </w:r>
          </w:p>
        </w:tc>
      </w:tr>
      <w:tr w:rsidR="00BE2869" w:rsidRPr="00B710A9" w14:paraId="20EEDD8C" w14:textId="77777777" w:rsidTr="00D30F63">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838" w:type="dxa"/>
            <w:vMerge/>
            <w:hideMark/>
          </w:tcPr>
          <w:p w14:paraId="6E7F21EE" w14:textId="77777777" w:rsidR="00BE2869" w:rsidRPr="00B710A9" w:rsidRDefault="00BE2869" w:rsidP="005D574B">
            <w:pPr>
              <w:rPr>
                <w:rFonts w:ascii="Arial" w:hAnsi="Arial" w:cs="Arial"/>
                <w:b w:val="0"/>
                <w:bCs w:val="0"/>
                <w:color w:val="000000"/>
                <w:sz w:val="16"/>
                <w:szCs w:val="16"/>
                <w:vertAlign w:val="subscript"/>
              </w:rPr>
            </w:pPr>
          </w:p>
        </w:tc>
        <w:tc>
          <w:tcPr>
            <w:tcW w:w="1662" w:type="dxa"/>
            <w:gridSpan w:val="2"/>
            <w:vMerge/>
            <w:hideMark/>
          </w:tcPr>
          <w:p w14:paraId="1E459A8E" w14:textId="77777777" w:rsidR="00BE2869" w:rsidRPr="00B710A9" w:rsidRDefault="00BE2869" w:rsidP="005D574B">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vertAlign w:val="subscript"/>
              </w:rPr>
            </w:pPr>
          </w:p>
        </w:tc>
        <w:tc>
          <w:tcPr>
            <w:tcW w:w="499" w:type="dxa"/>
            <w:hideMark/>
          </w:tcPr>
          <w:p w14:paraId="6F46ED0F"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vertAlign w:val="subscript"/>
              </w:rPr>
            </w:pPr>
            <w:r w:rsidRPr="00B710A9">
              <w:rPr>
                <w:rFonts w:ascii="Arial" w:hAnsi="Arial" w:cs="Arial"/>
                <w:b/>
                <w:bCs/>
                <w:color w:val="000000"/>
                <w:sz w:val="16"/>
                <w:szCs w:val="16"/>
                <w:vertAlign w:val="subscript"/>
              </w:rPr>
              <w:t>Año</w:t>
            </w:r>
          </w:p>
        </w:tc>
        <w:tc>
          <w:tcPr>
            <w:tcW w:w="1213" w:type="dxa"/>
            <w:hideMark/>
          </w:tcPr>
          <w:p w14:paraId="0F01507D"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vertAlign w:val="subscript"/>
              </w:rPr>
            </w:pPr>
            <w:r w:rsidRPr="00B710A9">
              <w:rPr>
                <w:rFonts w:ascii="Arial" w:hAnsi="Arial" w:cs="Arial"/>
                <w:b/>
                <w:bCs/>
                <w:color w:val="000000"/>
                <w:sz w:val="16"/>
                <w:szCs w:val="16"/>
                <w:vertAlign w:val="subscript"/>
              </w:rPr>
              <w:t>SOLICITUDES</w:t>
            </w:r>
          </w:p>
        </w:tc>
        <w:tc>
          <w:tcPr>
            <w:tcW w:w="861" w:type="dxa"/>
            <w:hideMark/>
          </w:tcPr>
          <w:p w14:paraId="40797E96"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vertAlign w:val="subscript"/>
              </w:rPr>
            </w:pPr>
            <w:proofErr w:type="spellStart"/>
            <w:r w:rsidRPr="00B710A9">
              <w:rPr>
                <w:rFonts w:ascii="Arial" w:hAnsi="Arial" w:cs="Arial"/>
                <w:b/>
                <w:bCs/>
                <w:color w:val="000000"/>
                <w:sz w:val="16"/>
                <w:szCs w:val="16"/>
                <w:vertAlign w:val="subscript"/>
              </w:rPr>
              <w:t>Nº</w:t>
            </w:r>
            <w:proofErr w:type="spellEnd"/>
            <w:r w:rsidRPr="00B710A9">
              <w:rPr>
                <w:rFonts w:ascii="Arial" w:hAnsi="Arial" w:cs="Arial"/>
                <w:b/>
                <w:bCs/>
                <w:color w:val="000000"/>
                <w:sz w:val="16"/>
                <w:szCs w:val="16"/>
                <w:vertAlign w:val="subscript"/>
              </w:rPr>
              <w:t xml:space="preserve"> PREDIOS</w:t>
            </w:r>
          </w:p>
        </w:tc>
        <w:tc>
          <w:tcPr>
            <w:tcW w:w="1213" w:type="dxa"/>
            <w:hideMark/>
          </w:tcPr>
          <w:p w14:paraId="0FFA1CA8"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vertAlign w:val="subscript"/>
              </w:rPr>
            </w:pPr>
            <w:r w:rsidRPr="00B710A9">
              <w:rPr>
                <w:rFonts w:ascii="Arial" w:hAnsi="Arial" w:cs="Arial"/>
                <w:b/>
                <w:bCs/>
                <w:color w:val="000000"/>
                <w:sz w:val="16"/>
                <w:szCs w:val="16"/>
                <w:vertAlign w:val="subscript"/>
              </w:rPr>
              <w:t>SOLICITUDES ATENDIDAS</w:t>
            </w:r>
          </w:p>
        </w:tc>
        <w:tc>
          <w:tcPr>
            <w:tcW w:w="0" w:type="auto"/>
            <w:hideMark/>
          </w:tcPr>
          <w:p w14:paraId="092A1C8C"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vertAlign w:val="subscript"/>
              </w:rPr>
            </w:pPr>
            <w:proofErr w:type="spellStart"/>
            <w:r w:rsidRPr="00B710A9">
              <w:rPr>
                <w:rFonts w:ascii="Arial" w:hAnsi="Arial" w:cs="Arial"/>
                <w:b/>
                <w:bCs/>
                <w:color w:val="000000"/>
                <w:sz w:val="16"/>
                <w:szCs w:val="16"/>
                <w:vertAlign w:val="subscript"/>
              </w:rPr>
              <w:t>Nº</w:t>
            </w:r>
            <w:proofErr w:type="spellEnd"/>
            <w:r w:rsidRPr="00B710A9">
              <w:rPr>
                <w:rFonts w:ascii="Arial" w:hAnsi="Arial" w:cs="Arial"/>
                <w:b/>
                <w:bCs/>
                <w:color w:val="000000"/>
                <w:sz w:val="16"/>
                <w:szCs w:val="16"/>
                <w:vertAlign w:val="subscript"/>
              </w:rPr>
              <w:t xml:space="preserve"> PREDIOS</w:t>
            </w:r>
          </w:p>
        </w:tc>
        <w:tc>
          <w:tcPr>
            <w:tcW w:w="0" w:type="auto"/>
            <w:hideMark/>
          </w:tcPr>
          <w:p w14:paraId="2F95CD39"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vertAlign w:val="subscript"/>
              </w:rPr>
            </w:pPr>
            <w:r w:rsidRPr="00B710A9">
              <w:rPr>
                <w:rFonts w:ascii="Arial" w:hAnsi="Arial" w:cs="Arial"/>
                <w:b/>
                <w:bCs/>
                <w:color w:val="000000"/>
                <w:sz w:val="16"/>
                <w:szCs w:val="16"/>
                <w:vertAlign w:val="subscript"/>
              </w:rPr>
              <w:t>SOLICITUDES PENDIENTES</w:t>
            </w:r>
          </w:p>
        </w:tc>
      </w:tr>
      <w:tr w:rsidR="00BE2869" w:rsidRPr="00B710A9" w14:paraId="704FA21C" w14:textId="77777777" w:rsidTr="00D30F63">
        <w:trPr>
          <w:trHeight w:val="580"/>
        </w:trPr>
        <w:tc>
          <w:tcPr>
            <w:cnfStyle w:val="001000000000" w:firstRow="0" w:lastRow="0" w:firstColumn="1" w:lastColumn="0" w:oddVBand="0" w:evenVBand="0" w:oddHBand="0" w:evenHBand="0" w:firstRowFirstColumn="0" w:firstRowLastColumn="0" w:lastRowFirstColumn="0" w:lastRowLastColumn="0"/>
            <w:tcW w:w="1838" w:type="dxa"/>
            <w:hideMark/>
          </w:tcPr>
          <w:p w14:paraId="06B61589" w14:textId="77777777" w:rsidR="00BE2869" w:rsidRPr="00B710A9" w:rsidRDefault="00BE2869" w:rsidP="005D574B">
            <w:pPr>
              <w:rPr>
                <w:rFonts w:ascii="Arial" w:hAnsi="Arial" w:cs="Arial"/>
                <w:b w:val="0"/>
                <w:bCs w:val="0"/>
                <w:color w:val="000000"/>
                <w:sz w:val="16"/>
                <w:szCs w:val="16"/>
                <w:vertAlign w:val="subscript"/>
              </w:rPr>
            </w:pPr>
            <w:r w:rsidRPr="00B710A9">
              <w:rPr>
                <w:rFonts w:ascii="Arial" w:hAnsi="Arial" w:cs="Arial"/>
                <w:color w:val="000000"/>
                <w:sz w:val="16"/>
                <w:szCs w:val="16"/>
                <w:vertAlign w:val="subscript"/>
              </w:rPr>
              <w:t>UNIDAD ADMINISTRATIVA ESPECIAL DE GESTIÓN DE RESTITUCIÓN DE TIERRAS</w:t>
            </w:r>
          </w:p>
        </w:tc>
        <w:tc>
          <w:tcPr>
            <w:tcW w:w="1662" w:type="dxa"/>
            <w:gridSpan w:val="2"/>
            <w:hideMark/>
          </w:tcPr>
          <w:p w14:paraId="1264DBCC"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vertAlign w:val="subscript"/>
              </w:rPr>
            </w:pPr>
            <w:r w:rsidRPr="00B710A9">
              <w:rPr>
                <w:rFonts w:ascii="Arial" w:hAnsi="Arial" w:cs="Arial"/>
                <w:b/>
                <w:bCs/>
                <w:color w:val="000000"/>
                <w:sz w:val="16"/>
                <w:szCs w:val="16"/>
                <w:vertAlign w:val="subscript"/>
              </w:rPr>
              <w:t>Suministro de información catastral y cartográfica</w:t>
            </w:r>
          </w:p>
        </w:tc>
        <w:tc>
          <w:tcPr>
            <w:tcW w:w="499" w:type="dxa"/>
            <w:hideMark/>
          </w:tcPr>
          <w:p w14:paraId="4250EF56"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vertAlign w:val="subscript"/>
              </w:rPr>
            </w:pPr>
            <w:r w:rsidRPr="00B710A9">
              <w:rPr>
                <w:rFonts w:ascii="Arial" w:hAnsi="Arial" w:cs="Arial"/>
                <w:color w:val="000000"/>
                <w:sz w:val="16"/>
                <w:szCs w:val="16"/>
                <w:vertAlign w:val="subscript"/>
              </w:rPr>
              <w:t>2022</w:t>
            </w:r>
          </w:p>
        </w:tc>
        <w:tc>
          <w:tcPr>
            <w:tcW w:w="1213" w:type="dxa"/>
            <w:hideMark/>
          </w:tcPr>
          <w:p w14:paraId="35FA81FF"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vertAlign w:val="subscript"/>
              </w:rPr>
            </w:pPr>
            <w:r w:rsidRPr="00B710A9">
              <w:rPr>
                <w:rFonts w:ascii="Arial" w:hAnsi="Arial" w:cs="Arial"/>
                <w:sz w:val="16"/>
                <w:szCs w:val="16"/>
                <w:vertAlign w:val="subscript"/>
              </w:rPr>
              <w:t>943</w:t>
            </w:r>
          </w:p>
        </w:tc>
        <w:tc>
          <w:tcPr>
            <w:tcW w:w="861" w:type="dxa"/>
            <w:hideMark/>
          </w:tcPr>
          <w:p w14:paraId="6659DF9D"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vertAlign w:val="subscript"/>
              </w:rPr>
            </w:pPr>
            <w:r w:rsidRPr="00B710A9">
              <w:rPr>
                <w:rFonts w:ascii="Arial" w:hAnsi="Arial" w:cs="Arial"/>
                <w:sz w:val="16"/>
                <w:szCs w:val="16"/>
                <w:vertAlign w:val="subscript"/>
              </w:rPr>
              <w:t>2.477</w:t>
            </w:r>
          </w:p>
        </w:tc>
        <w:tc>
          <w:tcPr>
            <w:tcW w:w="1213" w:type="dxa"/>
            <w:hideMark/>
          </w:tcPr>
          <w:p w14:paraId="20E46AEB"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vertAlign w:val="subscript"/>
              </w:rPr>
            </w:pPr>
            <w:r w:rsidRPr="00B710A9">
              <w:rPr>
                <w:rFonts w:ascii="Arial" w:hAnsi="Arial" w:cs="Arial"/>
                <w:sz w:val="16"/>
                <w:szCs w:val="16"/>
                <w:vertAlign w:val="subscript"/>
              </w:rPr>
              <w:t>653</w:t>
            </w:r>
          </w:p>
        </w:tc>
        <w:tc>
          <w:tcPr>
            <w:tcW w:w="0" w:type="auto"/>
            <w:hideMark/>
          </w:tcPr>
          <w:p w14:paraId="75E68DE3"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vertAlign w:val="subscript"/>
              </w:rPr>
            </w:pPr>
            <w:r w:rsidRPr="00B710A9">
              <w:rPr>
                <w:rFonts w:ascii="Arial" w:hAnsi="Arial" w:cs="Arial"/>
                <w:sz w:val="16"/>
                <w:szCs w:val="16"/>
                <w:vertAlign w:val="subscript"/>
              </w:rPr>
              <w:t>1.478</w:t>
            </w:r>
          </w:p>
        </w:tc>
        <w:tc>
          <w:tcPr>
            <w:tcW w:w="0" w:type="auto"/>
            <w:hideMark/>
          </w:tcPr>
          <w:p w14:paraId="28DE3979"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vertAlign w:val="subscript"/>
              </w:rPr>
            </w:pPr>
            <w:r w:rsidRPr="00B710A9">
              <w:rPr>
                <w:rFonts w:ascii="Arial" w:hAnsi="Arial" w:cs="Arial"/>
                <w:sz w:val="16"/>
                <w:szCs w:val="16"/>
                <w:vertAlign w:val="subscript"/>
              </w:rPr>
              <w:t>290</w:t>
            </w:r>
          </w:p>
        </w:tc>
      </w:tr>
      <w:tr w:rsidR="00BE2869" w:rsidRPr="00B710A9" w14:paraId="03E1FED8" w14:textId="77777777" w:rsidTr="00D30F6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14:paraId="3A0AED21" w14:textId="77777777" w:rsidR="00BE2869" w:rsidRPr="00B710A9" w:rsidRDefault="00BE2869" w:rsidP="005D574B">
            <w:pPr>
              <w:jc w:val="center"/>
              <w:rPr>
                <w:rFonts w:ascii="Arial" w:hAnsi="Arial" w:cs="Arial"/>
                <w:b w:val="0"/>
                <w:bCs w:val="0"/>
                <w:color w:val="000000"/>
                <w:sz w:val="16"/>
                <w:szCs w:val="16"/>
                <w:vertAlign w:val="subscript"/>
              </w:rPr>
            </w:pPr>
            <w:r w:rsidRPr="00B710A9">
              <w:rPr>
                <w:rFonts w:ascii="Arial" w:hAnsi="Arial" w:cs="Arial"/>
                <w:color w:val="000000"/>
                <w:sz w:val="16"/>
                <w:szCs w:val="16"/>
                <w:vertAlign w:val="subscript"/>
              </w:rPr>
              <w:t>RAMA JUDICIAL</w:t>
            </w:r>
          </w:p>
        </w:tc>
        <w:tc>
          <w:tcPr>
            <w:tcW w:w="1662" w:type="dxa"/>
            <w:gridSpan w:val="2"/>
            <w:hideMark/>
          </w:tcPr>
          <w:p w14:paraId="5037E6A0"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vertAlign w:val="subscript"/>
              </w:rPr>
            </w:pPr>
            <w:r w:rsidRPr="00B710A9">
              <w:rPr>
                <w:rFonts w:ascii="Arial" w:hAnsi="Arial" w:cs="Arial"/>
                <w:b/>
                <w:bCs/>
                <w:color w:val="000000"/>
                <w:sz w:val="16"/>
                <w:szCs w:val="16"/>
                <w:vertAlign w:val="subscript"/>
              </w:rPr>
              <w:t>Suministro de Información</w:t>
            </w:r>
          </w:p>
        </w:tc>
        <w:tc>
          <w:tcPr>
            <w:tcW w:w="499" w:type="dxa"/>
            <w:hideMark/>
          </w:tcPr>
          <w:p w14:paraId="0B976796"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vertAlign w:val="subscript"/>
              </w:rPr>
            </w:pPr>
            <w:r w:rsidRPr="00B710A9">
              <w:rPr>
                <w:rFonts w:ascii="Arial" w:hAnsi="Arial" w:cs="Arial"/>
                <w:color w:val="000000"/>
                <w:sz w:val="16"/>
                <w:szCs w:val="16"/>
                <w:vertAlign w:val="subscript"/>
              </w:rPr>
              <w:t>2022</w:t>
            </w:r>
          </w:p>
        </w:tc>
        <w:tc>
          <w:tcPr>
            <w:tcW w:w="1213" w:type="dxa"/>
            <w:hideMark/>
          </w:tcPr>
          <w:p w14:paraId="4A6DA8B4"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vertAlign w:val="subscript"/>
              </w:rPr>
            </w:pPr>
            <w:r w:rsidRPr="00B710A9">
              <w:rPr>
                <w:rFonts w:ascii="Arial" w:hAnsi="Arial" w:cs="Arial"/>
                <w:color w:val="000000"/>
                <w:sz w:val="16"/>
                <w:szCs w:val="16"/>
                <w:vertAlign w:val="subscript"/>
              </w:rPr>
              <w:t>270</w:t>
            </w:r>
          </w:p>
        </w:tc>
        <w:tc>
          <w:tcPr>
            <w:tcW w:w="861" w:type="dxa"/>
            <w:hideMark/>
          </w:tcPr>
          <w:p w14:paraId="6BEDD89B"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vertAlign w:val="subscript"/>
              </w:rPr>
            </w:pPr>
            <w:r w:rsidRPr="00B710A9">
              <w:rPr>
                <w:rFonts w:ascii="Arial" w:hAnsi="Arial" w:cs="Arial"/>
                <w:color w:val="000000"/>
                <w:sz w:val="16"/>
                <w:szCs w:val="16"/>
                <w:vertAlign w:val="subscript"/>
              </w:rPr>
              <w:t>345</w:t>
            </w:r>
          </w:p>
        </w:tc>
        <w:tc>
          <w:tcPr>
            <w:tcW w:w="1213" w:type="dxa"/>
            <w:hideMark/>
          </w:tcPr>
          <w:p w14:paraId="1E9B9CA2"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vertAlign w:val="subscript"/>
              </w:rPr>
            </w:pPr>
            <w:r w:rsidRPr="00B710A9">
              <w:rPr>
                <w:rFonts w:ascii="Arial" w:hAnsi="Arial" w:cs="Arial"/>
                <w:color w:val="000000"/>
                <w:sz w:val="16"/>
                <w:szCs w:val="16"/>
                <w:vertAlign w:val="subscript"/>
              </w:rPr>
              <w:t>237</w:t>
            </w:r>
          </w:p>
        </w:tc>
        <w:tc>
          <w:tcPr>
            <w:tcW w:w="0" w:type="auto"/>
            <w:hideMark/>
          </w:tcPr>
          <w:p w14:paraId="52D4C319"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vertAlign w:val="subscript"/>
              </w:rPr>
            </w:pPr>
            <w:r w:rsidRPr="00B710A9">
              <w:rPr>
                <w:rFonts w:ascii="Arial" w:hAnsi="Arial" w:cs="Arial"/>
                <w:color w:val="000000"/>
                <w:sz w:val="16"/>
                <w:szCs w:val="16"/>
                <w:vertAlign w:val="subscript"/>
              </w:rPr>
              <w:t>308</w:t>
            </w:r>
          </w:p>
        </w:tc>
        <w:tc>
          <w:tcPr>
            <w:tcW w:w="0" w:type="auto"/>
            <w:hideMark/>
          </w:tcPr>
          <w:p w14:paraId="474D8487"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vertAlign w:val="subscript"/>
              </w:rPr>
            </w:pPr>
            <w:r w:rsidRPr="00B710A9">
              <w:rPr>
                <w:rFonts w:ascii="Arial" w:hAnsi="Arial" w:cs="Arial"/>
                <w:sz w:val="16"/>
                <w:szCs w:val="16"/>
                <w:vertAlign w:val="subscript"/>
              </w:rPr>
              <w:t>33</w:t>
            </w:r>
          </w:p>
        </w:tc>
      </w:tr>
      <w:tr w:rsidR="00BE2869" w:rsidRPr="00B710A9" w14:paraId="34E176DA" w14:textId="77777777" w:rsidTr="00D30F63">
        <w:trPr>
          <w:trHeight w:val="604"/>
        </w:trPr>
        <w:tc>
          <w:tcPr>
            <w:cnfStyle w:val="001000000000" w:firstRow="0" w:lastRow="0" w:firstColumn="1" w:lastColumn="0" w:oddVBand="0" w:evenVBand="0" w:oddHBand="0" w:evenHBand="0" w:firstRowFirstColumn="0" w:firstRowLastColumn="0" w:lastRowFirstColumn="0" w:lastRowLastColumn="0"/>
            <w:tcW w:w="1838" w:type="dxa"/>
            <w:vMerge/>
            <w:hideMark/>
          </w:tcPr>
          <w:p w14:paraId="0FFA691B" w14:textId="77777777" w:rsidR="00BE2869" w:rsidRPr="00B710A9" w:rsidRDefault="00BE2869" w:rsidP="005D574B">
            <w:pPr>
              <w:rPr>
                <w:rFonts w:ascii="Arial" w:hAnsi="Arial" w:cs="Arial"/>
                <w:b w:val="0"/>
                <w:bCs w:val="0"/>
                <w:color w:val="000000"/>
                <w:sz w:val="16"/>
                <w:szCs w:val="16"/>
                <w:vertAlign w:val="subscript"/>
              </w:rPr>
            </w:pPr>
          </w:p>
        </w:tc>
        <w:tc>
          <w:tcPr>
            <w:tcW w:w="633" w:type="dxa"/>
            <w:hideMark/>
          </w:tcPr>
          <w:p w14:paraId="149EF2F9"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vertAlign w:val="subscript"/>
              </w:rPr>
            </w:pPr>
            <w:r w:rsidRPr="00B710A9">
              <w:rPr>
                <w:rFonts w:ascii="Arial" w:hAnsi="Arial" w:cs="Arial"/>
                <w:b/>
                <w:bCs/>
                <w:color w:val="000000"/>
                <w:sz w:val="16"/>
                <w:szCs w:val="16"/>
                <w:vertAlign w:val="subscript"/>
              </w:rPr>
              <w:t>Peritajes</w:t>
            </w:r>
          </w:p>
        </w:tc>
        <w:tc>
          <w:tcPr>
            <w:tcW w:w="1029" w:type="dxa"/>
            <w:hideMark/>
          </w:tcPr>
          <w:p w14:paraId="30DBFCD8"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vertAlign w:val="subscript"/>
              </w:rPr>
            </w:pPr>
            <w:r w:rsidRPr="00B710A9">
              <w:rPr>
                <w:rFonts w:ascii="Arial" w:hAnsi="Arial" w:cs="Arial"/>
                <w:b/>
                <w:bCs/>
                <w:color w:val="000000"/>
                <w:sz w:val="16"/>
                <w:szCs w:val="16"/>
                <w:vertAlign w:val="subscript"/>
              </w:rPr>
              <w:t>verificación topográfica</w:t>
            </w:r>
          </w:p>
        </w:tc>
        <w:tc>
          <w:tcPr>
            <w:tcW w:w="499" w:type="dxa"/>
            <w:hideMark/>
          </w:tcPr>
          <w:p w14:paraId="027FC1C4"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vertAlign w:val="subscript"/>
              </w:rPr>
            </w:pPr>
            <w:r w:rsidRPr="00B710A9">
              <w:rPr>
                <w:rFonts w:ascii="Arial" w:hAnsi="Arial" w:cs="Arial"/>
                <w:color w:val="000000"/>
                <w:sz w:val="16"/>
                <w:szCs w:val="16"/>
                <w:vertAlign w:val="subscript"/>
              </w:rPr>
              <w:t>2022</w:t>
            </w:r>
          </w:p>
        </w:tc>
        <w:tc>
          <w:tcPr>
            <w:tcW w:w="1213" w:type="dxa"/>
            <w:hideMark/>
          </w:tcPr>
          <w:p w14:paraId="7A3920C4"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vertAlign w:val="subscript"/>
              </w:rPr>
            </w:pPr>
            <w:r w:rsidRPr="00B710A9">
              <w:rPr>
                <w:rFonts w:ascii="Arial" w:hAnsi="Arial" w:cs="Arial"/>
                <w:sz w:val="16"/>
                <w:szCs w:val="16"/>
                <w:vertAlign w:val="subscript"/>
              </w:rPr>
              <w:t>528</w:t>
            </w:r>
          </w:p>
        </w:tc>
        <w:tc>
          <w:tcPr>
            <w:tcW w:w="861" w:type="dxa"/>
            <w:hideMark/>
          </w:tcPr>
          <w:p w14:paraId="7CAAF19E"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vertAlign w:val="subscript"/>
              </w:rPr>
            </w:pPr>
            <w:r w:rsidRPr="00B710A9">
              <w:rPr>
                <w:rFonts w:ascii="Arial" w:hAnsi="Arial" w:cs="Arial"/>
                <w:sz w:val="16"/>
                <w:szCs w:val="16"/>
                <w:vertAlign w:val="subscript"/>
              </w:rPr>
              <w:t>654</w:t>
            </w:r>
          </w:p>
        </w:tc>
        <w:tc>
          <w:tcPr>
            <w:tcW w:w="1213" w:type="dxa"/>
            <w:hideMark/>
          </w:tcPr>
          <w:p w14:paraId="45043941"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vertAlign w:val="subscript"/>
              </w:rPr>
            </w:pPr>
            <w:r w:rsidRPr="00B710A9">
              <w:rPr>
                <w:rFonts w:ascii="Arial" w:hAnsi="Arial" w:cs="Arial"/>
                <w:sz w:val="16"/>
                <w:szCs w:val="16"/>
                <w:vertAlign w:val="subscript"/>
              </w:rPr>
              <w:t>152</w:t>
            </w:r>
          </w:p>
        </w:tc>
        <w:tc>
          <w:tcPr>
            <w:tcW w:w="0" w:type="auto"/>
            <w:hideMark/>
          </w:tcPr>
          <w:p w14:paraId="4E153A05"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vertAlign w:val="subscript"/>
              </w:rPr>
            </w:pPr>
            <w:r w:rsidRPr="00B710A9">
              <w:rPr>
                <w:rFonts w:ascii="Arial" w:hAnsi="Arial" w:cs="Arial"/>
                <w:sz w:val="16"/>
                <w:szCs w:val="16"/>
                <w:vertAlign w:val="subscript"/>
              </w:rPr>
              <w:t>174</w:t>
            </w:r>
          </w:p>
        </w:tc>
        <w:tc>
          <w:tcPr>
            <w:tcW w:w="0" w:type="auto"/>
            <w:hideMark/>
          </w:tcPr>
          <w:p w14:paraId="1F5FAFA1"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vertAlign w:val="subscript"/>
              </w:rPr>
            </w:pPr>
            <w:r w:rsidRPr="00B710A9">
              <w:rPr>
                <w:rFonts w:ascii="Arial" w:hAnsi="Arial" w:cs="Arial"/>
                <w:sz w:val="16"/>
                <w:szCs w:val="16"/>
                <w:vertAlign w:val="subscript"/>
              </w:rPr>
              <w:t>376</w:t>
            </w:r>
          </w:p>
        </w:tc>
      </w:tr>
      <w:tr w:rsidR="00BE2869" w:rsidRPr="00B710A9" w14:paraId="348304D6" w14:textId="77777777" w:rsidTr="00D30F6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38" w:type="dxa"/>
            <w:vMerge/>
            <w:hideMark/>
          </w:tcPr>
          <w:p w14:paraId="489947FC" w14:textId="77777777" w:rsidR="00BE2869" w:rsidRPr="00B710A9" w:rsidRDefault="00BE2869" w:rsidP="005D574B">
            <w:pPr>
              <w:rPr>
                <w:rFonts w:ascii="Arial" w:hAnsi="Arial" w:cs="Arial"/>
                <w:b w:val="0"/>
                <w:bCs w:val="0"/>
                <w:color w:val="000000"/>
                <w:sz w:val="16"/>
                <w:szCs w:val="16"/>
                <w:vertAlign w:val="subscript"/>
              </w:rPr>
            </w:pPr>
          </w:p>
        </w:tc>
        <w:tc>
          <w:tcPr>
            <w:tcW w:w="1662" w:type="dxa"/>
            <w:gridSpan w:val="2"/>
            <w:hideMark/>
          </w:tcPr>
          <w:p w14:paraId="3B6B70A1"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vertAlign w:val="subscript"/>
              </w:rPr>
            </w:pPr>
            <w:r w:rsidRPr="00B710A9">
              <w:rPr>
                <w:rFonts w:ascii="Arial" w:hAnsi="Arial" w:cs="Arial"/>
                <w:b/>
                <w:bCs/>
                <w:color w:val="000000"/>
                <w:sz w:val="16"/>
                <w:szCs w:val="16"/>
                <w:vertAlign w:val="subscript"/>
              </w:rPr>
              <w:t>Suspensión de Trámites</w:t>
            </w:r>
          </w:p>
        </w:tc>
        <w:tc>
          <w:tcPr>
            <w:tcW w:w="499" w:type="dxa"/>
            <w:hideMark/>
          </w:tcPr>
          <w:p w14:paraId="23CCA16A"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vertAlign w:val="subscript"/>
              </w:rPr>
            </w:pPr>
            <w:r w:rsidRPr="00B710A9">
              <w:rPr>
                <w:rFonts w:ascii="Arial" w:hAnsi="Arial" w:cs="Arial"/>
                <w:color w:val="000000"/>
                <w:sz w:val="16"/>
                <w:szCs w:val="16"/>
                <w:vertAlign w:val="subscript"/>
              </w:rPr>
              <w:t>2022</w:t>
            </w:r>
          </w:p>
        </w:tc>
        <w:tc>
          <w:tcPr>
            <w:tcW w:w="1213" w:type="dxa"/>
            <w:hideMark/>
          </w:tcPr>
          <w:p w14:paraId="7C591993"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vertAlign w:val="subscript"/>
              </w:rPr>
            </w:pPr>
            <w:r w:rsidRPr="00B710A9">
              <w:rPr>
                <w:rFonts w:ascii="Arial" w:hAnsi="Arial" w:cs="Arial"/>
                <w:sz w:val="16"/>
                <w:szCs w:val="16"/>
                <w:vertAlign w:val="subscript"/>
              </w:rPr>
              <w:t>747</w:t>
            </w:r>
          </w:p>
        </w:tc>
        <w:tc>
          <w:tcPr>
            <w:tcW w:w="861" w:type="dxa"/>
            <w:hideMark/>
          </w:tcPr>
          <w:p w14:paraId="013713D8"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vertAlign w:val="subscript"/>
              </w:rPr>
            </w:pPr>
            <w:r w:rsidRPr="00B710A9">
              <w:rPr>
                <w:rFonts w:ascii="Arial" w:hAnsi="Arial" w:cs="Arial"/>
                <w:sz w:val="16"/>
                <w:szCs w:val="16"/>
                <w:vertAlign w:val="subscript"/>
              </w:rPr>
              <w:t>917</w:t>
            </w:r>
          </w:p>
        </w:tc>
        <w:tc>
          <w:tcPr>
            <w:tcW w:w="1213" w:type="dxa"/>
            <w:hideMark/>
          </w:tcPr>
          <w:p w14:paraId="3900E743"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vertAlign w:val="subscript"/>
              </w:rPr>
            </w:pPr>
            <w:r w:rsidRPr="00B710A9">
              <w:rPr>
                <w:rFonts w:ascii="Arial" w:hAnsi="Arial" w:cs="Arial"/>
                <w:sz w:val="16"/>
                <w:szCs w:val="16"/>
                <w:vertAlign w:val="subscript"/>
              </w:rPr>
              <w:t>747</w:t>
            </w:r>
          </w:p>
        </w:tc>
        <w:tc>
          <w:tcPr>
            <w:tcW w:w="0" w:type="auto"/>
            <w:hideMark/>
          </w:tcPr>
          <w:p w14:paraId="72B4CC1B"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vertAlign w:val="subscript"/>
              </w:rPr>
            </w:pPr>
            <w:r w:rsidRPr="00B710A9">
              <w:rPr>
                <w:rFonts w:ascii="Arial" w:hAnsi="Arial" w:cs="Arial"/>
                <w:sz w:val="16"/>
                <w:szCs w:val="16"/>
                <w:vertAlign w:val="subscript"/>
              </w:rPr>
              <w:t>917</w:t>
            </w:r>
          </w:p>
        </w:tc>
        <w:tc>
          <w:tcPr>
            <w:tcW w:w="0" w:type="auto"/>
            <w:hideMark/>
          </w:tcPr>
          <w:p w14:paraId="1D071A27" w14:textId="77777777" w:rsidR="00BE2869" w:rsidRPr="00B710A9" w:rsidRDefault="00BE2869" w:rsidP="005D574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vertAlign w:val="subscript"/>
              </w:rPr>
            </w:pPr>
            <w:r w:rsidRPr="00B710A9">
              <w:rPr>
                <w:rFonts w:ascii="Arial" w:hAnsi="Arial" w:cs="Arial"/>
                <w:sz w:val="16"/>
                <w:szCs w:val="16"/>
                <w:vertAlign w:val="subscript"/>
              </w:rPr>
              <w:t>0</w:t>
            </w:r>
          </w:p>
        </w:tc>
      </w:tr>
      <w:tr w:rsidR="00BE2869" w:rsidRPr="00B710A9" w14:paraId="46A2ADC9" w14:textId="77777777" w:rsidTr="00D30F63">
        <w:trPr>
          <w:trHeight w:val="321"/>
        </w:trPr>
        <w:tc>
          <w:tcPr>
            <w:cnfStyle w:val="001000000000" w:firstRow="0" w:lastRow="0" w:firstColumn="1" w:lastColumn="0" w:oddVBand="0" w:evenVBand="0" w:oddHBand="0" w:evenHBand="0" w:firstRowFirstColumn="0" w:firstRowLastColumn="0" w:lastRowFirstColumn="0" w:lastRowLastColumn="0"/>
            <w:tcW w:w="3999" w:type="dxa"/>
            <w:gridSpan w:val="4"/>
            <w:noWrap/>
            <w:hideMark/>
          </w:tcPr>
          <w:p w14:paraId="215D6833" w14:textId="77777777" w:rsidR="00BE2869" w:rsidRPr="00B710A9" w:rsidRDefault="00BE2869" w:rsidP="005D574B">
            <w:pPr>
              <w:rPr>
                <w:rFonts w:ascii="Arial" w:hAnsi="Arial" w:cs="Arial"/>
                <w:b w:val="0"/>
                <w:bCs w:val="0"/>
                <w:color w:val="000000"/>
                <w:sz w:val="16"/>
                <w:szCs w:val="16"/>
                <w:vertAlign w:val="subscript"/>
              </w:rPr>
            </w:pPr>
            <w:r w:rsidRPr="00B710A9">
              <w:rPr>
                <w:rFonts w:ascii="Arial" w:hAnsi="Arial" w:cs="Arial"/>
                <w:color w:val="000000"/>
                <w:sz w:val="16"/>
                <w:szCs w:val="16"/>
                <w:vertAlign w:val="subscript"/>
              </w:rPr>
              <w:t>TOTALES (solicitudes) </w:t>
            </w:r>
          </w:p>
          <w:p w14:paraId="177339EE" w14:textId="77777777" w:rsidR="00BE2869" w:rsidRPr="00B710A9" w:rsidRDefault="00BE2869" w:rsidP="005D574B">
            <w:pPr>
              <w:rPr>
                <w:rFonts w:ascii="Arial" w:hAnsi="Arial" w:cs="Arial"/>
                <w:color w:val="000000"/>
                <w:sz w:val="16"/>
                <w:szCs w:val="16"/>
                <w:vertAlign w:val="subscript"/>
              </w:rPr>
            </w:pPr>
            <w:r w:rsidRPr="00B710A9">
              <w:rPr>
                <w:rFonts w:ascii="Arial" w:hAnsi="Arial" w:cs="Arial"/>
                <w:color w:val="000000"/>
                <w:sz w:val="16"/>
                <w:szCs w:val="16"/>
                <w:vertAlign w:val="subscript"/>
              </w:rPr>
              <w:t> </w:t>
            </w:r>
          </w:p>
        </w:tc>
        <w:tc>
          <w:tcPr>
            <w:tcW w:w="1213" w:type="dxa"/>
            <w:noWrap/>
            <w:hideMark/>
          </w:tcPr>
          <w:p w14:paraId="3A822B4A"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vertAlign w:val="subscript"/>
              </w:rPr>
            </w:pPr>
            <w:r w:rsidRPr="00B710A9">
              <w:rPr>
                <w:rFonts w:ascii="Arial" w:hAnsi="Arial" w:cs="Arial"/>
                <w:b/>
                <w:bCs/>
                <w:color w:val="000000"/>
                <w:sz w:val="16"/>
                <w:szCs w:val="16"/>
                <w:vertAlign w:val="subscript"/>
              </w:rPr>
              <w:t>2.488</w:t>
            </w:r>
          </w:p>
        </w:tc>
        <w:tc>
          <w:tcPr>
            <w:tcW w:w="861" w:type="dxa"/>
            <w:noWrap/>
            <w:hideMark/>
          </w:tcPr>
          <w:p w14:paraId="2EC388D4"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vertAlign w:val="subscript"/>
              </w:rPr>
            </w:pPr>
            <w:r w:rsidRPr="00B710A9">
              <w:rPr>
                <w:rFonts w:ascii="Arial" w:hAnsi="Arial" w:cs="Arial"/>
                <w:b/>
                <w:bCs/>
                <w:color w:val="000000"/>
                <w:sz w:val="16"/>
                <w:szCs w:val="16"/>
                <w:vertAlign w:val="subscript"/>
              </w:rPr>
              <w:t>4.393</w:t>
            </w:r>
          </w:p>
        </w:tc>
        <w:tc>
          <w:tcPr>
            <w:tcW w:w="1213" w:type="dxa"/>
            <w:noWrap/>
            <w:hideMark/>
          </w:tcPr>
          <w:p w14:paraId="1E6509C7"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vertAlign w:val="subscript"/>
              </w:rPr>
            </w:pPr>
            <w:r w:rsidRPr="00B710A9">
              <w:rPr>
                <w:rFonts w:ascii="Arial" w:hAnsi="Arial" w:cs="Arial"/>
                <w:b/>
                <w:bCs/>
                <w:color w:val="000000"/>
                <w:sz w:val="16"/>
                <w:szCs w:val="16"/>
                <w:vertAlign w:val="subscript"/>
              </w:rPr>
              <w:t>1.789</w:t>
            </w:r>
          </w:p>
        </w:tc>
        <w:tc>
          <w:tcPr>
            <w:tcW w:w="0" w:type="auto"/>
            <w:noWrap/>
            <w:hideMark/>
          </w:tcPr>
          <w:p w14:paraId="2534EC30"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vertAlign w:val="subscript"/>
              </w:rPr>
            </w:pPr>
            <w:r w:rsidRPr="00B710A9">
              <w:rPr>
                <w:rFonts w:ascii="Arial" w:hAnsi="Arial" w:cs="Arial"/>
                <w:b/>
                <w:bCs/>
                <w:color w:val="000000"/>
                <w:sz w:val="16"/>
                <w:szCs w:val="16"/>
                <w:vertAlign w:val="subscript"/>
              </w:rPr>
              <w:t>2.877</w:t>
            </w:r>
          </w:p>
        </w:tc>
        <w:tc>
          <w:tcPr>
            <w:tcW w:w="0" w:type="auto"/>
            <w:noWrap/>
            <w:hideMark/>
          </w:tcPr>
          <w:p w14:paraId="7A55BF8E" w14:textId="77777777" w:rsidR="00BE2869" w:rsidRPr="00B710A9" w:rsidRDefault="00BE2869" w:rsidP="005D574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vertAlign w:val="subscript"/>
              </w:rPr>
            </w:pPr>
            <w:r w:rsidRPr="00B710A9">
              <w:rPr>
                <w:rFonts w:ascii="Arial" w:hAnsi="Arial" w:cs="Arial"/>
                <w:b/>
                <w:bCs/>
                <w:color w:val="000000"/>
                <w:sz w:val="16"/>
                <w:szCs w:val="16"/>
                <w:vertAlign w:val="subscript"/>
              </w:rPr>
              <w:t>699</w:t>
            </w:r>
          </w:p>
        </w:tc>
      </w:tr>
    </w:tbl>
    <w:p w14:paraId="7D5D32F8" w14:textId="409F54F2" w:rsidR="00BE2869" w:rsidRPr="00B710A9" w:rsidRDefault="00BE2869" w:rsidP="00BE2869">
      <w:pPr>
        <w:jc w:val="center"/>
        <w:rPr>
          <w:rFonts w:ascii="Arial" w:hAnsi="Arial" w:cs="Arial"/>
          <w:b/>
          <w:bCs/>
          <w:color w:val="000000" w:themeColor="text1"/>
          <w:sz w:val="16"/>
          <w:szCs w:val="16"/>
        </w:rPr>
      </w:pPr>
      <w:r w:rsidRPr="00B710A9">
        <w:rPr>
          <w:rFonts w:ascii="Arial" w:hAnsi="Arial" w:cs="Arial"/>
          <w:b/>
          <w:bCs/>
          <w:color w:val="000000" w:themeColor="text1"/>
          <w:sz w:val="16"/>
          <w:szCs w:val="16"/>
        </w:rPr>
        <w:t>Fuente: Dirección de Gestión Catastral</w:t>
      </w:r>
    </w:p>
    <w:p w14:paraId="6D4A9595" w14:textId="77777777" w:rsidR="00BE2869" w:rsidRPr="00B710A9" w:rsidRDefault="00BE2869" w:rsidP="00BE2869">
      <w:pPr>
        <w:jc w:val="both"/>
        <w:rPr>
          <w:rFonts w:ascii="Arial" w:hAnsi="Arial" w:cs="Arial"/>
          <w:sz w:val="22"/>
          <w:szCs w:val="22"/>
        </w:rPr>
      </w:pPr>
      <w:r w:rsidRPr="00B710A9">
        <w:rPr>
          <w:rFonts w:ascii="Arial" w:hAnsi="Arial" w:cs="Arial"/>
          <w:sz w:val="22"/>
          <w:szCs w:val="22"/>
        </w:rPr>
        <w:t>En materia de sentencias a junio de 2022 se han proferido un total de 4.055 órdenes al IGAC, de las cuales se han cumplido 2.611.</w:t>
      </w:r>
    </w:p>
    <w:p w14:paraId="56C78DF9" w14:textId="7E654169" w:rsidR="00522D8A" w:rsidRPr="00B710A9" w:rsidRDefault="00522D8A" w:rsidP="00522D8A">
      <w:pPr>
        <w:spacing w:after="0" w:line="240" w:lineRule="auto"/>
        <w:jc w:val="both"/>
        <w:rPr>
          <w:rFonts w:ascii="Arial" w:eastAsia="Calibri" w:hAnsi="Arial" w:cs="Arial"/>
          <w:color w:val="000000" w:themeColor="text1"/>
          <w:sz w:val="22"/>
          <w:szCs w:val="22"/>
        </w:rPr>
      </w:pPr>
      <w:r w:rsidRPr="00B710A9">
        <w:rPr>
          <w:rFonts w:ascii="Arial" w:hAnsi="Arial" w:cs="Arial"/>
          <w:color w:val="000000" w:themeColor="text1"/>
          <w:sz w:val="22"/>
          <w:szCs w:val="22"/>
        </w:rPr>
        <w:t xml:space="preserve">Respecto al </w:t>
      </w:r>
      <w:r w:rsidRPr="00B710A9">
        <w:rPr>
          <w:rFonts w:ascii="Arial" w:hAnsi="Arial" w:cs="Arial"/>
          <w:i/>
          <w:iCs/>
          <w:color w:val="000000" w:themeColor="text1"/>
          <w:sz w:val="22"/>
          <w:szCs w:val="22"/>
        </w:rPr>
        <w:t>Sistema de información geográfica para apoyo a la política integral de tierras,</w:t>
      </w:r>
      <w:r w:rsidRPr="00B710A9">
        <w:rPr>
          <w:rStyle w:val="normaltextrun"/>
          <w:rFonts w:ascii="Arial" w:eastAsia="Calibri" w:hAnsi="Arial" w:cs="Arial"/>
          <w:color w:val="000000" w:themeColor="text1"/>
          <w:sz w:val="22"/>
          <w:szCs w:val="22"/>
        </w:rPr>
        <w:t xml:space="preserve"> se realizó la verificación del correcto funcionamiento del sistema de información geográfica en la URL definida para el mismo - </w:t>
      </w:r>
      <w:hyperlink r:id="rId34">
        <w:r w:rsidRPr="00B710A9">
          <w:rPr>
            <w:rStyle w:val="Hipervnculo"/>
            <w:rFonts w:ascii="Arial" w:eastAsia="Calibri" w:hAnsi="Arial" w:cs="Arial"/>
            <w:sz w:val="22"/>
            <w:szCs w:val="22"/>
          </w:rPr>
          <w:t>http://190.85.164.9:8080/SIGTIERRAS/visor/visor.jsp</w:t>
        </w:r>
      </w:hyperlink>
      <w:r w:rsidRPr="00B710A9">
        <w:rPr>
          <w:rStyle w:val="normaltextrun"/>
          <w:rFonts w:ascii="Arial" w:eastAsia="Calibri" w:hAnsi="Arial" w:cs="Arial"/>
          <w:color w:val="000000" w:themeColor="text1"/>
          <w:sz w:val="22"/>
          <w:szCs w:val="22"/>
        </w:rPr>
        <w:t xml:space="preserve">. Así mismo, se realizó la verificación de los servicios WEB geográficos que alimentan al sistema tomando como base el inventario de información geográfica, con el propósito de determinar los servicios que deben ser reemplazados. </w:t>
      </w:r>
    </w:p>
    <w:p w14:paraId="409E5B5B" w14:textId="77777777" w:rsidR="00522D8A" w:rsidRPr="00B710A9" w:rsidRDefault="00522D8A" w:rsidP="00522D8A">
      <w:pPr>
        <w:spacing w:after="0" w:line="240" w:lineRule="auto"/>
        <w:jc w:val="both"/>
        <w:rPr>
          <w:rStyle w:val="normaltextrun"/>
          <w:rFonts w:ascii="Arial" w:eastAsia="Calibri" w:hAnsi="Arial" w:cs="Arial"/>
          <w:color w:val="000000" w:themeColor="text1"/>
          <w:sz w:val="22"/>
          <w:szCs w:val="22"/>
        </w:rPr>
      </w:pPr>
    </w:p>
    <w:p w14:paraId="162379FE" w14:textId="77777777" w:rsidR="00522D8A" w:rsidRPr="00B710A9" w:rsidRDefault="00522D8A" w:rsidP="00522D8A">
      <w:pPr>
        <w:spacing w:after="0" w:line="240" w:lineRule="auto"/>
        <w:jc w:val="both"/>
        <w:rPr>
          <w:rStyle w:val="normaltextrun"/>
          <w:rFonts w:ascii="Arial" w:eastAsia="Calibri" w:hAnsi="Arial" w:cs="Arial"/>
          <w:color w:val="000000" w:themeColor="text1"/>
          <w:sz w:val="22"/>
          <w:szCs w:val="22"/>
        </w:rPr>
      </w:pPr>
      <w:r w:rsidRPr="00B710A9">
        <w:rPr>
          <w:rStyle w:val="normaltextrun"/>
          <w:rFonts w:ascii="Arial" w:eastAsia="Calibri" w:hAnsi="Arial" w:cs="Arial"/>
          <w:color w:val="000000" w:themeColor="text1"/>
          <w:sz w:val="22"/>
          <w:szCs w:val="22"/>
        </w:rPr>
        <w:t>Por otra parte, se realizó la actualización de capas geográficas a partir de servicios web geográficos de otras entidades cuya temática puede ser importante para la ley de víctimas en el momento de ubicar un predio; producto de esta actividad se cargaron 31 capas nuevas generadas por el Servicio Geológico Colombiano - SGC, la Oficina de Naciones Unidas contra la Droga y el Delito - UNODC, la Autoridad Nacional de Licencias Ambientales - ANLA y el Instituto Amazónico de Investigaciones Científicas -SINCHI. De igual forma, se realizó la depuración y organización de la documentación técnica dispuesta en el repositorio documental del SIG, las temáticas definidas son:</w:t>
      </w:r>
    </w:p>
    <w:p w14:paraId="6A0BC722" w14:textId="77777777" w:rsidR="00522D8A" w:rsidRPr="00B710A9" w:rsidRDefault="00522D8A" w:rsidP="00522D8A">
      <w:pPr>
        <w:spacing w:after="0" w:line="240" w:lineRule="auto"/>
        <w:jc w:val="both"/>
        <w:rPr>
          <w:rFonts w:ascii="Arial" w:eastAsia="Calibri" w:hAnsi="Arial" w:cs="Arial"/>
          <w:color w:val="000000" w:themeColor="text1"/>
          <w:sz w:val="22"/>
          <w:szCs w:val="22"/>
        </w:rPr>
      </w:pPr>
      <w:r w:rsidRPr="00B710A9">
        <w:rPr>
          <w:rStyle w:val="normaltextrun"/>
          <w:rFonts w:ascii="Arial" w:eastAsia="Calibri" w:hAnsi="Arial" w:cs="Arial"/>
          <w:color w:val="000000" w:themeColor="text1"/>
          <w:sz w:val="22"/>
          <w:szCs w:val="22"/>
        </w:rPr>
        <w:t xml:space="preserve"> </w:t>
      </w:r>
    </w:p>
    <w:p w14:paraId="60E35697" w14:textId="77777777" w:rsidR="00522D8A" w:rsidRPr="00B710A9" w:rsidRDefault="00522D8A" w:rsidP="00356A3E">
      <w:pPr>
        <w:pStyle w:val="Prrafodelista"/>
        <w:numPr>
          <w:ilvl w:val="0"/>
          <w:numId w:val="104"/>
        </w:numPr>
        <w:spacing w:after="0" w:line="240" w:lineRule="auto"/>
        <w:jc w:val="both"/>
        <w:rPr>
          <w:rFonts w:ascii="Arial" w:eastAsia="Calibri" w:hAnsi="Arial" w:cs="Arial"/>
          <w:color w:val="000000" w:themeColor="text1"/>
          <w:sz w:val="22"/>
          <w:szCs w:val="22"/>
        </w:rPr>
      </w:pPr>
      <w:r w:rsidRPr="00B710A9">
        <w:rPr>
          <w:rStyle w:val="normaltextrun"/>
          <w:rFonts w:ascii="Arial" w:eastAsia="Calibri" w:hAnsi="Arial" w:cs="Arial"/>
          <w:color w:val="000000" w:themeColor="text1"/>
          <w:sz w:val="22"/>
          <w:szCs w:val="22"/>
        </w:rPr>
        <w:t xml:space="preserve">Normatividad: Decretos </w:t>
      </w:r>
    </w:p>
    <w:p w14:paraId="0C7DC6A2" w14:textId="77777777" w:rsidR="00522D8A" w:rsidRPr="00B710A9" w:rsidRDefault="00522D8A" w:rsidP="00356A3E">
      <w:pPr>
        <w:pStyle w:val="Prrafodelista"/>
        <w:numPr>
          <w:ilvl w:val="0"/>
          <w:numId w:val="104"/>
        </w:numPr>
        <w:spacing w:after="0" w:line="240" w:lineRule="auto"/>
        <w:jc w:val="both"/>
        <w:rPr>
          <w:rFonts w:ascii="Arial" w:eastAsia="Calibri" w:hAnsi="Arial" w:cs="Arial"/>
          <w:color w:val="000000" w:themeColor="text1"/>
          <w:sz w:val="22"/>
          <w:szCs w:val="22"/>
        </w:rPr>
      </w:pPr>
      <w:r w:rsidRPr="00B710A9">
        <w:rPr>
          <w:rStyle w:val="normaltextrun"/>
          <w:rFonts w:ascii="Arial" w:eastAsia="Calibri" w:hAnsi="Arial" w:cs="Arial"/>
          <w:color w:val="000000" w:themeColor="text1"/>
          <w:sz w:val="22"/>
          <w:szCs w:val="22"/>
        </w:rPr>
        <w:t xml:space="preserve">Normatividad: Leyes </w:t>
      </w:r>
    </w:p>
    <w:p w14:paraId="5039FE48" w14:textId="77777777" w:rsidR="00522D8A" w:rsidRPr="00B710A9" w:rsidRDefault="00522D8A" w:rsidP="00356A3E">
      <w:pPr>
        <w:pStyle w:val="Prrafodelista"/>
        <w:numPr>
          <w:ilvl w:val="0"/>
          <w:numId w:val="104"/>
        </w:numPr>
        <w:spacing w:after="0" w:line="240" w:lineRule="auto"/>
        <w:jc w:val="both"/>
        <w:rPr>
          <w:rFonts w:ascii="Arial" w:eastAsia="Calibri" w:hAnsi="Arial" w:cs="Arial"/>
          <w:color w:val="000000" w:themeColor="text1"/>
          <w:sz w:val="22"/>
          <w:szCs w:val="22"/>
        </w:rPr>
      </w:pPr>
      <w:r w:rsidRPr="00B710A9">
        <w:rPr>
          <w:rStyle w:val="normaltextrun"/>
          <w:rFonts w:ascii="Arial" w:eastAsia="Calibri" w:hAnsi="Arial" w:cs="Arial"/>
          <w:color w:val="000000" w:themeColor="text1"/>
          <w:sz w:val="22"/>
          <w:szCs w:val="22"/>
        </w:rPr>
        <w:t>Normatividad: Resoluciones</w:t>
      </w:r>
    </w:p>
    <w:p w14:paraId="5BDCEA4B" w14:textId="77777777" w:rsidR="00522D8A" w:rsidRPr="00B710A9" w:rsidRDefault="00522D8A" w:rsidP="00356A3E">
      <w:pPr>
        <w:pStyle w:val="Prrafodelista"/>
        <w:numPr>
          <w:ilvl w:val="0"/>
          <w:numId w:val="104"/>
        </w:numPr>
        <w:spacing w:after="0" w:line="240" w:lineRule="auto"/>
        <w:jc w:val="both"/>
        <w:rPr>
          <w:rFonts w:ascii="Arial" w:eastAsia="Calibri" w:hAnsi="Arial" w:cs="Arial"/>
          <w:color w:val="000000" w:themeColor="text1"/>
          <w:sz w:val="22"/>
          <w:szCs w:val="22"/>
        </w:rPr>
      </w:pPr>
      <w:r w:rsidRPr="00B710A9">
        <w:rPr>
          <w:rStyle w:val="normaltextrun"/>
          <w:rFonts w:ascii="Arial" w:eastAsia="Calibri" w:hAnsi="Arial" w:cs="Arial"/>
          <w:color w:val="000000" w:themeColor="text1"/>
          <w:sz w:val="22"/>
          <w:szCs w:val="22"/>
        </w:rPr>
        <w:t xml:space="preserve">Normatividad: Decreto-Ley </w:t>
      </w:r>
    </w:p>
    <w:p w14:paraId="45152CCB" w14:textId="77777777" w:rsidR="00522D8A" w:rsidRPr="00B710A9" w:rsidRDefault="00522D8A" w:rsidP="00356A3E">
      <w:pPr>
        <w:pStyle w:val="Prrafodelista"/>
        <w:numPr>
          <w:ilvl w:val="0"/>
          <w:numId w:val="104"/>
        </w:numPr>
        <w:spacing w:after="0" w:line="240" w:lineRule="auto"/>
        <w:jc w:val="both"/>
        <w:rPr>
          <w:rFonts w:ascii="Arial" w:eastAsia="Calibri" w:hAnsi="Arial" w:cs="Arial"/>
          <w:color w:val="000000" w:themeColor="text1"/>
          <w:sz w:val="22"/>
          <w:szCs w:val="22"/>
        </w:rPr>
      </w:pPr>
      <w:r w:rsidRPr="00B710A9">
        <w:rPr>
          <w:rStyle w:val="normaltextrun"/>
          <w:rFonts w:ascii="Arial" w:eastAsia="Calibri" w:hAnsi="Arial" w:cs="Arial"/>
          <w:color w:val="000000" w:themeColor="text1"/>
          <w:sz w:val="22"/>
          <w:szCs w:val="22"/>
        </w:rPr>
        <w:t>Documentos de investigación</w:t>
      </w:r>
    </w:p>
    <w:p w14:paraId="586430A6" w14:textId="77777777" w:rsidR="00522D8A" w:rsidRPr="00B710A9" w:rsidRDefault="00522D8A" w:rsidP="00356A3E">
      <w:pPr>
        <w:pStyle w:val="Prrafodelista"/>
        <w:numPr>
          <w:ilvl w:val="0"/>
          <w:numId w:val="104"/>
        </w:numPr>
        <w:spacing w:after="0" w:line="240" w:lineRule="auto"/>
        <w:jc w:val="both"/>
        <w:rPr>
          <w:rFonts w:ascii="Arial" w:eastAsia="Calibri" w:hAnsi="Arial" w:cs="Arial"/>
          <w:color w:val="000000" w:themeColor="text1"/>
          <w:sz w:val="22"/>
          <w:szCs w:val="22"/>
        </w:rPr>
      </w:pPr>
      <w:r w:rsidRPr="00B710A9">
        <w:rPr>
          <w:rStyle w:val="normaltextrun"/>
          <w:rFonts w:ascii="Arial" w:eastAsia="Calibri" w:hAnsi="Arial" w:cs="Arial"/>
          <w:color w:val="000000" w:themeColor="text1"/>
          <w:sz w:val="22"/>
          <w:szCs w:val="22"/>
        </w:rPr>
        <w:t>Cartillas y otros</w:t>
      </w:r>
    </w:p>
    <w:p w14:paraId="16AB4665" w14:textId="77777777" w:rsidR="00522D8A" w:rsidRPr="00B710A9" w:rsidRDefault="00522D8A" w:rsidP="00522D8A">
      <w:pPr>
        <w:spacing w:after="0" w:line="240" w:lineRule="auto"/>
        <w:jc w:val="both"/>
        <w:rPr>
          <w:rStyle w:val="normaltextrun"/>
          <w:rFonts w:ascii="Arial" w:eastAsia="Calibri" w:hAnsi="Arial" w:cs="Arial"/>
          <w:color w:val="000000" w:themeColor="text1"/>
          <w:sz w:val="22"/>
          <w:szCs w:val="22"/>
        </w:rPr>
      </w:pPr>
    </w:p>
    <w:p w14:paraId="43B84E5C" w14:textId="77777777" w:rsidR="00522D8A" w:rsidRPr="00B710A9" w:rsidRDefault="00522D8A" w:rsidP="00522D8A">
      <w:pPr>
        <w:spacing w:after="0" w:line="240" w:lineRule="auto"/>
        <w:jc w:val="both"/>
        <w:rPr>
          <w:rFonts w:ascii="Arial" w:eastAsia="Calibri" w:hAnsi="Arial" w:cs="Arial"/>
          <w:color w:val="000000" w:themeColor="text1"/>
          <w:sz w:val="22"/>
          <w:szCs w:val="22"/>
        </w:rPr>
      </w:pPr>
      <w:r w:rsidRPr="00B710A9">
        <w:rPr>
          <w:rStyle w:val="normaltextrun"/>
          <w:rFonts w:ascii="Arial" w:eastAsia="Calibri" w:hAnsi="Arial" w:cs="Arial"/>
          <w:color w:val="000000" w:themeColor="text1"/>
          <w:sz w:val="22"/>
          <w:szCs w:val="22"/>
        </w:rPr>
        <w:t>Finalmente, se realizó el ajuste de los descriptores de la documentación cargada en el repositorio documental del sistema desde la base de datos alfanumérica, se realizó el despliegue de la herramienta debido a que se encontraba caída por cambios en el servidor de aplicación y se realizó la verificación en el funcionamiento de la herramienta.</w:t>
      </w:r>
    </w:p>
    <w:p w14:paraId="10A2E5B5" w14:textId="77777777" w:rsidR="00522D8A" w:rsidRPr="00B710A9" w:rsidRDefault="00522D8A" w:rsidP="00522D8A">
      <w:pPr>
        <w:spacing w:after="0" w:line="240" w:lineRule="auto"/>
        <w:jc w:val="both"/>
        <w:rPr>
          <w:color w:val="000000" w:themeColor="text1"/>
        </w:rPr>
      </w:pPr>
    </w:p>
    <w:p w14:paraId="545312C4" w14:textId="77777777" w:rsidR="00522D8A" w:rsidRPr="00B710A9" w:rsidRDefault="00522D8A" w:rsidP="00522D8A">
      <w:pPr>
        <w:pBdr>
          <w:top w:val="nil"/>
          <w:left w:val="nil"/>
          <w:bottom w:val="nil"/>
          <w:right w:val="nil"/>
          <w:between w:val="nil"/>
        </w:pBdr>
        <w:spacing w:after="0" w:line="240" w:lineRule="auto"/>
        <w:jc w:val="both"/>
        <w:rPr>
          <w:rFonts w:ascii="Arial" w:hAnsi="Arial" w:cs="Arial"/>
          <w:b/>
          <w:bCs/>
          <w:color w:val="000000" w:themeColor="text1"/>
          <w:sz w:val="22"/>
          <w:szCs w:val="22"/>
        </w:rPr>
      </w:pPr>
      <w:bookmarkStart w:id="52" w:name="_heading=h.8it1zvk41lk2"/>
      <w:bookmarkEnd w:id="52"/>
      <w:r w:rsidRPr="00B710A9">
        <w:rPr>
          <w:rFonts w:ascii="Arial" w:hAnsi="Arial" w:cs="Arial"/>
          <w:b/>
          <w:bCs/>
          <w:color w:val="000000" w:themeColor="text1"/>
          <w:sz w:val="22"/>
          <w:szCs w:val="22"/>
        </w:rPr>
        <w:lastRenderedPageBreak/>
        <w:t xml:space="preserve">2.2.3 Descentralización de la gestión catastral – Política Catastro Multipropósito </w:t>
      </w:r>
    </w:p>
    <w:p w14:paraId="1203C405" w14:textId="77777777" w:rsidR="00522D8A" w:rsidRPr="00B710A9" w:rsidRDefault="00522D8A" w:rsidP="00522D8A">
      <w:pPr>
        <w:spacing w:after="0" w:line="240" w:lineRule="auto"/>
        <w:jc w:val="both"/>
        <w:rPr>
          <w:rFonts w:ascii="Arial" w:hAnsi="Arial" w:cs="Arial"/>
          <w:color w:val="000000" w:themeColor="text1"/>
          <w:sz w:val="22"/>
          <w:szCs w:val="22"/>
        </w:rPr>
      </w:pPr>
    </w:p>
    <w:p w14:paraId="3583ACFD" w14:textId="77777777" w:rsidR="00522D8A" w:rsidRPr="00B710A9" w:rsidRDefault="00522D8A" w:rsidP="00522D8A">
      <w:pP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La política de Catastro Multipropósito es una de las mayores prioridades para el Gobierno Nacional, por medio del cual se busca garantizar un catastro integral, completo, actualizado, confiable, consistente con el sistema de registro de la propiedad inmueble, digital e interoperable con otros sistemas de información. Así mismo, constituye la base fundamental para implementar un Sistema de Administración del Territorio (SAT), contribuyendo a la toma de decisiones de ordenamiento territorial, de planeación económica, social y ambiental, mediante la integración de información sobre derechos, restricciones y responsabilidades.</w:t>
      </w:r>
    </w:p>
    <w:p w14:paraId="17903018" w14:textId="77777777" w:rsidR="00522D8A" w:rsidRPr="00B710A9" w:rsidRDefault="00522D8A" w:rsidP="00522D8A">
      <w:pPr>
        <w:spacing w:after="0" w:line="240" w:lineRule="auto"/>
        <w:jc w:val="both"/>
        <w:rPr>
          <w:rFonts w:ascii="Arial" w:hAnsi="Arial" w:cs="Arial"/>
          <w:color w:val="000000" w:themeColor="text1"/>
          <w:sz w:val="22"/>
          <w:szCs w:val="22"/>
        </w:rPr>
      </w:pPr>
    </w:p>
    <w:p w14:paraId="1191B574" w14:textId="04E3869C" w:rsidR="00522D8A" w:rsidRPr="00B710A9" w:rsidRDefault="00522D8A" w:rsidP="00522D8A">
      <w:pP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 xml:space="preserve">Para contribuir al cumplimiento de estos elementos, y según lo estipulado en los lineamientos de política descritos anteriormente, se requiere del trabajo interinstitucional articulado entre varios entes gubernamentales con responsabilidades directas en la  implementación de la Política, entre los cuales se encuentran la Consejería para la Gestión del Cumplimento de la Presidencia de la </w:t>
      </w:r>
      <w:r w:rsidR="00A83CAC" w:rsidRPr="00B710A9">
        <w:rPr>
          <w:rFonts w:ascii="Arial" w:hAnsi="Arial" w:cs="Arial"/>
          <w:color w:val="000000" w:themeColor="text1"/>
          <w:sz w:val="22"/>
          <w:szCs w:val="22"/>
        </w:rPr>
        <w:t>República</w:t>
      </w:r>
      <w:r w:rsidRPr="00B710A9">
        <w:rPr>
          <w:rFonts w:ascii="Arial" w:hAnsi="Arial" w:cs="Arial"/>
          <w:color w:val="000000" w:themeColor="text1"/>
          <w:sz w:val="22"/>
          <w:szCs w:val="22"/>
        </w:rPr>
        <w:t>, el Departamento Nacional de Estadística (DANE), el Departamento Nacional de Planeación (DNP), el Ministerio de Agricultura, el Ministerio de Justicia y del Derecho, el Instituto Geográfico Agustín Codazzi (IGAC), la Superintendencia de Notariado y Registro (SNR) y la Agencia Nacional de Tierras (ANT).</w:t>
      </w:r>
    </w:p>
    <w:p w14:paraId="1DEAE77A" w14:textId="77777777" w:rsidR="00522D8A" w:rsidRPr="00B710A9" w:rsidRDefault="00522D8A" w:rsidP="00522D8A">
      <w:pPr>
        <w:pBdr>
          <w:top w:val="nil"/>
          <w:left w:val="nil"/>
          <w:bottom w:val="nil"/>
          <w:right w:val="nil"/>
          <w:between w:val="nil"/>
        </w:pBdr>
        <w:spacing w:after="0" w:line="240" w:lineRule="auto"/>
        <w:jc w:val="both"/>
        <w:rPr>
          <w:rFonts w:ascii="Arial" w:hAnsi="Arial" w:cs="Arial"/>
          <w:color w:val="000000" w:themeColor="text1"/>
          <w:sz w:val="22"/>
          <w:szCs w:val="22"/>
        </w:rPr>
      </w:pPr>
      <w:bookmarkStart w:id="53" w:name="_heading=h.30j0zll"/>
      <w:bookmarkEnd w:id="53"/>
    </w:p>
    <w:p w14:paraId="57BEFFF9" w14:textId="77777777" w:rsidR="00522D8A" w:rsidRPr="00B710A9" w:rsidRDefault="00522D8A" w:rsidP="00522D8A">
      <w:pPr>
        <w:pBdr>
          <w:top w:val="nil"/>
          <w:left w:val="nil"/>
          <w:bottom w:val="nil"/>
          <w:right w:val="nil"/>
          <w:between w:val="nil"/>
        </w:pBd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 xml:space="preserve">El marco de política pública del sector estadístico está dado por los CONPES 3951, “Concepto favorable a la Nación para contratar operaciones de crédito externo con la banca multilateral hasta por USD 150 millones, o su equivalente en otras monedas, destinados a financiar parcialmente el programa para la adopción e implementación de un catastro multipropósito rural – urbano” (diciembre de 2018), y 3958 “Estrategia para la implementación de la política pública de catastro multipropósito” (marzo de 2019). </w:t>
      </w:r>
    </w:p>
    <w:p w14:paraId="556EC654" w14:textId="77777777" w:rsidR="00522D8A" w:rsidRPr="00B710A9" w:rsidRDefault="00522D8A" w:rsidP="00522D8A">
      <w:pPr>
        <w:pBdr>
          <w:top w:val="nil"/>
          <w:left w:val="nil"/>
          <w:bottom w:val="nil"/>
          <w:right w:val="nil"/>
          <w:between w:val="nil"/>
        </w:pBdr>
        <w:spacing w:after="0" w:line="240" w:lineRule="auto"/>
        <w:jc w:val="both"/>
        <w:rPr>
          <w:rFonts w:ascii="Arial" w:hAnsi="Arial" w:cs="Arial"/>
          <w:color w:val="000000" w:themeColor="text1"/>
          <w:sz w:val="22"/>
          <w:szCs w:val="22"/>
        </w:rPr>
      </w:pPr>
    </w:p>
    <w:p w14:paraId="15BB5A50" w14:textId="77777777" w:rsidR="00522D8A" w:rsidRPr="00B710A9" w:rsidRDefault="00522D8A" w:rsidP="00522D8A">
      <w:pPr>
        <w:pBdr>
          <w:top w:val="nil"/>
          <w:left w:val="nil"/>
          <w:bottom w:val="nil"/>
          <w:right w:val="nil"/>
          <w:between w:val="nil"/>
        </w:pBdr>
        <w:spacing w:after="0" w:line="240" w:lineRule="auto"/>
        <w:jc w:val="both"/>
        <w:rPr>
          <w:rFonts w:ascii="Arial" w:hAnsi="Arial" w:cs="Arial"/>
          <w:color w:val="000000" w:themeColor="text1"/>
          <w:sz w:val="22"/>
          <w:szCs w:val="22"/>
        </w:rPr>
      </w:pPr>
      <w:bookmarkStart w:id="54" w:name="_heading=h.x60krnrhqwsl"/>
      <w:bookmarkEnd w:id="54"/>
      <w:r w:rsidRPr="00B710A9">
        <w:rPr>
          <w:rFonts w:ascii="Arial" w:hAnsi="Arial" w:cs="Arial"/>
          <w:color w:val="000000" w:themeColor="text1"/>
          <w:sz w:val="22"/>
          <w:szCs w:val="22"/>
        </w:rPr>
        <w:t xml:space="preserve">Dichas Políticas se complementan con lo estipulado en la Ley 1955 de 2019 por la cual se adopta el Plan Nacional de Desarrollo 2019-2022, en los artículos 79 y 81, a partir de los cuales se establece la organización y naturaleza de la gestión catastral, la cual se define como un servicio público que comprende operaciones técnicas y administrativas orientadas a la formación, actualización, conservación y difusión de la información catastral, así como los procedimientos del enfoque catastral multipropósito.  </w:t>
      </w:r>
    </w:p>
    <w:p w14:paraId="4F8461B7" w14:textId="77777777" w:rsidR="00522D8A" w:rsidRPr="00B710A9" w:rsidRDefault="00522D8A" w:rsidP="00522D8A">
      <w:pPr>
        <w:pBdr>
          <w:top w:val="nil"/>
          <w:left w:val="nil"/>
          <w:bottom w:val="nil"/>
          <w:right w:val="nil"/>
          <w:between w:val="nil"/>
        </w:pBdr>
        <w:spacing w:after="0" w:line="240" w:lineRule="auto"/>
        <w:jc w:val="both"/>
        <w:rPr>
          <w:rFonts w:ascii="Arial" w:hAnsi="Arial" w:cs="Arial"/>
          <w:color w:val="000000" w:themeColor="text1"/>
          <w:sz w:val="22"/>
          <w:szCs w:val="22"/>
        </w:rPr>
      </w:pPr>
    </w:p>
    <w:p w14:paraId="24A57B3B" w14:textId="77777777" w:rsidR="00522D8A" w:rsidRPr="00B710A9" w:rsidRDefault="00522D8A" w:rsidP="00522D8A">
      <w:pPr>
        <w:pBdr>
          <w:top w:val="nil"/>
          <w:left w:val="nil"/>
          <w:bottom w:val="nil"/>
          <w:right w:val="nil"/>
          <w:between w:val="nil"/>
        </w:pBd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 xml:space="preserve">Adicionalmente, se establecen los mecanismos para la prestación del servicio público de la gestión catastral, y se define el rol del IGAC como máxima autoridad catastral nacional y prestador por excepción de este servicio público, y conserva su función reguladora y ejecutora en esta materia; así como en la gestión agrológica, cartográfica, geográfica y geodésica del país. </w:t>
      </w:r>
    </w:p>
    <w:p w14:paraId="7B75406D" w14:textId="77777777" w:rsidR="00522D8A" w:rsidRPr="00B710A9" w:rsidRDefault="00522D8A" w:rsidP="00522D8A">
      <w:pPr>
        <w:spacing w:after="0" w:line="240" w:lineRule="auto"/>
        <w:jc w:val="both"/>
        <w:rPr>
          <w:rFonts w:ascii="Arial" w:hAnsi="Arial" w:cs="Arial"/>
          <w:color w:val="000000" w:themeColor="text1"/>
          <w:sz w:val="22"/>
          <w:szCs w:val="22"/>
        </w:rPr>
      </w:pPr>
    </w:p>
    <w:p w14:paraId="5C358610" w14:textId="77777777" w:rsidR="00522D8A" w:rsidRPr="00B710A9" w:rsidRDefault="00522D8A" w:rsidP="00522D8A">
      <w:pP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Finalmente, se definen las infracciones al régimen de prestación del servicio público de gestión catastral, en el cual el IGAC juega un rol fundamental en ejercicio de su función reguladora.</w:t>
      </w:r>
    </w:p>
    <w:p w14:paraId="0C650662" w14:textId="77777777" w:rsidR="00522D8A" w:rsidRPr="00B710A9" w:rsidRDefault="00522D8A" w:rsidP="00522D8A">
      <w:pPr>
        <w:spacing w:after="0" w:line="240" w:lineRule="auto"/>
        <w:jc w:val="both"/>
        <w:rPr>
          <w:rFonts w:ascii="Arial" w:hAnsi="Arial" w:cs="Arial"/>
          <w:color w:val="000000" w:themeColor="text1"/>
          <w:sz w:val="22"/>
          <w:szCs w:val="22"/>
        </w:rPr>
      </w:pPr>
    </w:p>
    <w:p w14:paraId="1AB286AA" w14:textId="7A711FC3" w:rsidR="00522D8A" w:rsidRPr="00B710A9" w:rsidRDefault="00522D8A" w:rsidP="00522D8A">
      <w:pP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En virtud de lo anterior se obtuvieron los siguientes logros durante el periodo 202</w:t>
      </w:r>
      <w:r w:rsidR="00C3549A" w:rsidRPr="00B710A9">
        <w:rPr>
          <w:rFonts w:ascii="Arial" w:hAnsi="Arial" w:cs="Arial"/>
          <w:color w:val="000000" w:themeColor="text1"/>
          <w:sz w:val="22"/>
          <w:szCs w:val="22"/>
        </w:rPr>
        <w:t>1</w:t>
      </w:r>
      <w:r w:rsidRPr="00B710A9">
        <w:rPr>
          <w:rFonts w:ascii="Arial" w:hAnsi="Arial" w:cs="Arial"/>
          <w:color w:val="000000" w:themeColor="text1"/>
          <w:sz w:val="22"/>
          <w:szCs w:val="22"/>
        </w:rPr>
        <w:t>-202</w:t>
      </w:r>
      <w:r w:rsidR="00C3549A" w:rsidRPr="00B710A9">
        <w:rPr>
          <w:rFonts w:ascii="Arial" w:hAnsi="Arial" w:cs="Arial"/>
          <w:color w:val="000000" w:themeColor="text1"/>
          <w:sz w:val="22"/>
          <w:szCs w:val="22"/>
        </w:rPr>
        <w:t>2</w:t>
      </w:r>
      <w:r w:rsidRPr="00B710A9">
        <w:rPr>
          <w:rFonts w:ascii="Arial" w:hAnsi="Arial" w:cs="Arial"/>
          <w:color w:val="000000" w:themeColor="text1"/>
          <w:sz w:val="22"/>
          <w:szCs w:val="22"/>
        </w:rPr>
        <w:t>:</w:t>
      </w:r>
    </w:p>
    <w:p w14:paraId="4DE4EFEA" w14:textId="77777777" w:rsidR="00522D8A" w:rsidRPr="00B710A9" w:rsidRDefault="00522D8A" w:rsidP="00522D8A">
      <w:pPr>
        <w:spacing w:after="0" w:line="240" w:lineRule="auto"/>
        <w:jc w:val="both"/>
        <w:rPr>
          <w:rFonts w:asciiTheme="minorHAnsi" w:hAnsiTheme="minorHAnsi" w:cstheme="minorHAnsi"/>
          <w:color w:val="000000" w:themeColor="text1"/>
        </w:rPr>
      </w:pPr>
    </w:p>
    <w:p w14:paraId="62D4BAC6" w14:textId="77777777" w:rsidR="00522D8A" w:rsidRPr="00B710A9" w:rsidRDefault="00522D8A" w:rsidP="00522D8A">
      <w:pPr>
        <w:spacing w:after="0" w:line="240" w:lineRule="auto"/>
        <w:jc w:val="both"/>
        <w:rPr>
          <w:rFonts w:ascii="Arial" w:hAnsi="Arial" w:cs="Arial"/>
          <w:b/>
          <w:bCs/>
          <w:color w:val="000000" w:themeColor="text1"/>
          <w:sz w:val="22"/>
          <w:szCs w:val="22"/>
          <w:u w:val="single"/>
        </w:rPr>
      </w:pPr>
      <w:r w:rsidRPr="00B710A9">
        <w:rPr>
          <w:rFonts w:ascii="Arial" w:hAnsi="Arial" w:cs="Arial"/>
          <w:b/>
          <w:bCs/>
          <w:color w:val="000000" w:themeColor="text1"/>
          <w:sz w:val="22"/>
          <w:szCs w:val="22"/>
          <w:u w:val="single"/>
        </w:rPr>
        <w:t>Normas e instrumentos de política pública</w:t>
      </w:r>
    </w:p>
    <w:p w14:paraId="160E24CF" w14:textId="77777777" w:rsidR="00522D8A" w:rsidRPr="00B710A9" w:rsidRDefault="00522D8A" w:rsidP="00522D8A">
      <w:pPr>
        <w:spacing w:after="0" w:line="240" w:lineRule="auto"/>
        <w:jc w:val="both"/>
        <w:rPr>
          <w:rFonts w:ascii="Arial" w:hAnsi="Arial" w:cs="Arial"/>
          <w:b/>
          <w:bCs/>
          <w:color w:val="000000" w:themeColor="text1"/>
          <w:sz w:val="22"/>
          <w:szCs w:val="22"/>
          <w:u w:val="single"/>
        </w:rPr>
      </w:pPr>
    </w:p>
    <w:p w14:paraId="37A6DBBD" w14:textId="77777777" w:rsidR="00522D8A" w:rsidRPr="00B710A9" w:rsidRDefault="00522D8A" w:rsidP="00522D8A">
      <w:pPr>
        <w:spacing w:after="0" w:line="240" w:lineRule="auto"/>
        <w:jc w:val="both"/>
        <w:rPr>
          <w:rFonts w:ascii="Arial" w:eastAsia="Arial" w:hAnsi="Arial" w:cs="Arial"/>
          <w:b/>
          <w:bCs/>
          <w:color w:val="000000" w:themeColor="text1"/>
          <w:sz w:val="22"/>
          <w:szCs w:val="22"/>
        </w:rPr>
      </w:pPr>
      <w:r w:rsidRPr="00B710A9">
        <w:rPr>
          <w:rFonts w:ascii="Arial" w:hAnsi="Arial" w:cs="Arial"/>
          <w:color w:val="000000" w:themeColor="text1"/>
          <w:sz w:val="22"/>
          <w:szCs w:val="22"/>
        </w:rPr>
        <w:t>A continuación, se resaltan las siguientes modificaciones normativas para poner en marcha de manera satisfactoria la política pública, con participación del IGAC:</w:t>
      </w:r>
    </w:p>
    <w:p w14:paraId="1748A087" w14:textId="77777777" w:rsidR="00522D8A" w:rsidRPr="00B710A9" w:rsidRDefault="00522D8A" w:rsidP="00522D8A">
      <w:pPr>
        <w:spacing w:after="0" w:line="240" w:lineRule="auto"/>
        <w:jc w:val="both"/>
        <w:rPr>
          <w:rFonts w:ascii="Arial" w:hAnsi="Arial" w:cs="Arial"/>
          <w:color w:val="000000" w:themeColor="text1"/>
          <w:sz w:val="22"/>
          <w:szCs w:val="22"/>
          <w:u w:val="single"/>
        </w:rPr>
      </w:pPr>
    </w:p>
    <w:p w14:paraId="32BE38CE" w14:textId="77777777" w:rsidR="00522D8A" w:rsidRPr="00B710A9" w:rsidRDefault="00522D8A" w:rsidP="00522D8A">
      <w:pPr>
        <w:spacing w:after="0" w:line="240" w:lineRule="auto"/>
        <w:jc w:val="both"/>
        <w:rPr>
          <w:rStyle w:val="eop"/>
          <w:rFonts w:ascii="Arial" w:eastAsia="Calibri" w:hAnsi="Arial" w:cs="Arial"/>
          <w:color w:val="000000" w:themeColor="text1"/>
          <w:sz w:val="22"/>
          <w:szCs w:val="22"/>
        </w:rPr>
      </w:pPr>
      <w:r w:rsidRPr="00B710A9">
        <w:rPr>
          <w:rStyle w:val="normaltextrun"/>
          <w:rFonts w:ascii="Arial" w:eastAsia="Calibri" w:hAnsi="Arial" w:cs="Arial"/>
          <w:i/>
          <w:iCs/>
          <w:color w:val="000000" w:themeColor="text1"/>
          <w:sz w:val="22"/>
          <w:szCs w:val="22"/>
          <w:u w:val="single"/>
        </w:rPr>
        <w:t>Expedición de la Resolución 333 de junio 8 de 2021.</w:t>
      </w:r>
      <w:r w:rsidRPr="00B710A9">
        <w:rPr>
          <w:rStyle w:val="eop"/>
          <w:rFonts w:ascii="Arial" w:eastAsia="Calibri" w:hAnsi="Arial" w:cs="Arial"/>
          <w:color w:val="000000" w:themeColor="text1"/>
          <w:sz w:val="22"/>
          <w:szCs w:val="22"/>
        </w:rPr>
        <w:t xml:space="preserve"> Define las actividades asociadas a la implementación de los proyectos de catastro multipropósito que se articulan con las iniciativas consignadas en los Planes de Acción para la Transformación Regional – PATR, como insumo para viabilizar las iniciativas o proyectos priorizados identificadas en municipios incluidos en los Programas de Desarrollo con Enfoque Territorial – PDET.</w:t>
      </w:r>
    </w:p>
    <w:p w14:paraId="3CEA900A" w14:textId="77777777" w:rsidR="001E7059" w:rsidRPr="00B710A9" w:rsidRDefault="001E7059" w:rsidP="00522D8A">
      <w:pPr>
        <w:spacing w:after="0" w:line="240" w:lineRule="auto"/>
        <w:jc w:val="both"/>
        <w:rPr>
          <w:rStyle w:val="eop"/>
          <w:rFonts w:ascii="Arial" w:eastAsia="Calibri" w:hAnsi="Arial" w:cs="Arial"/>
          <w:color w:val="000000" w:themeColor="text1"/>
          <w:sz w:val="22"/>
          <w:szCs w:val="22"/>
        </w:rPr>
      </w:pPr>
    </w:p>
    <w:p w14:paraId="1D20264B" w14:textId="72EB7E08" w:rsidR="001E7059" w:rsidRPr="00B710A9" w:rsidRDefault="000E6F0D" w:rsidP="001E7059">
      <w:pPr>
        <w:overflowPunct w:val="0"/>
        <w:autoSpaceDE w:val="0"/>
        <w:spacing w:line="240" w:lineRule="auto"/>
        <w:jc w:val="both"/>
        <w:textAlignment w:val="baseline"/>
        <w:rPr>
          <w:rFonts w:ascii="Arial" w:hAnsi="Arial" w:cs="Arial"/>
          <w:sz w:val="22"/>
          <w:szCs w:val="22"/>
          <w:lang w:val="es-MX"/>
        </w:rPr>
      </w:pPr>
      <w:r w:rsidRPr="00B710A9">
        <w:rPr>
          <w:rFonts w:ascii="Arial" w:hAnsi="Arial" w:cs="Arial"/>
          <w:i/>
          <w:iCs/>
          <w:sz w:val="22"/>
          <w:szCs w:val="22"/>
          <w:u w:val="single"/>
          <w:lang w:val="es-MX"/>
        </w:rPr>
        <w:t>Expedición de la</w:t>
      </w:r>
      <w:r w:rsidR="001E7059" w:rsidRPr="00B710A9">
        <w:rPr>
          <w:rFonts w:ascii="Arial" w:hAnsi="Arial" w:cs="Arial"/>
          <w:i/>
          <w:iCs/>
          <w:sz w:val="22"/>
          <w:szCs w:val="22"/>
          <w:u w:val="single"/>
          <w:lang w:val="es-MX"/>
        </w:rPr>
        <w:t xml:space="preserve"> </w:t>
      </w:r>
      <w:r w:rsidRPr="00B710A9">
        <w:rPr>
          <w:rFonts w:ascii="Arial" w:hAnsi="Arial" w:cs="Arial"/>
          <w:i/>
          <w:iCs/>
          <w:sz w:val="22"/>
          <w:szCs w:val="22"/>
          <w:u w:val="single"/>
          <w:lang w:val="es-MX"/>
        </w:rPr>
        <w:t>R</w:t>
      </w:r>
      <w:r w:rsidR="001E7059" w:rsidRPr="00B710A9">
        <w:rPr>
          <w:rFonts w:ascii="Arial" w:hAnsi="Arial" w:cs="Arial"/>
          <w:i/>
          <w:iCs/>
          <w:sz w:val="22"/>
          <w:szCs w:val="22"/>
          <w:u w:val="single"/>
          <w:lang w:val="es-MX"/>
        </w:rPr>
        <w:t>esolución 315 del año 2022</w:t>
      </w:r>
      <w:r w:rsidR="00DB2D15" w:rsidRPr="00B710A9">
        <w:rPr>
          <w:rFonts w:ascii="Arial" w:hAnsi="Arial" w:cs="Arial"/>
          <w:i/>
          <w:iCs/>
          <w:sz w:val="22"/>
          <w:szCs w:val="22"/>
          <w:u w:val="single"/>
          <w:lang w:val="es-MX"/>
        </w:rPr>
        <w:t>,</w:t>
      </w:r>
      <w:r w:rsidR="001E7059" w:rsidRPr="00B710A9">
        <w:rPr>
          <w:rFonts w:ascii="Arial" w:hAnsi="Arial" w:cs="Arial"/>
          <w:sz w:val="22"/>
          <w:szCs w:val="22"/>
          <w:lang w:val="es-MX"/>
        </w:rPr>
        <w:t xml:space="preserve"> “</w:t>
      </w:r>
      <w:r w:rsidR="00DB2D15" w:rsidRPr="00B710A9">
        <w:rPr>
          <w:rFonts w:ascii="Arial" w:hAnsi="Arial" w:cs="Arial"/>
          <w:sz w:val="22"/>
          <w:szCs w:val="22"/>
          <w:lang w:val="es-MX"/>
        </w:rPr>
        <w:t>P</w:t>
      </w:r>
      <w:r w:rsidR="001E7059" w:rsidRPr="00B710A9">
        <w:rPr>
          <w:rFonts w:ascii="Arial" w:hAnsi="Arial" w:cs="Arial"/>
          <w:sz w:val="22"/>
          <w:szCs w:val="22"/>
          <w:lang w:val="es-MX"/>
        </w:rPr>
        <w:t>or medio de la cual se establece una herramienta transitoria para el reporte y entrega periódica de información catastral por parte de los gestores catastrales”. En esta resolución se explica el marco normativo y características técnicas para que los Gestores Catastrales y Catastros Descentralizados efectúen el reporte de información, también se adjunta un anexo técnico modelo de reportes de información catastral, se explica cuándo y cómo se debe hacer el reporte, del acceso y parametrización de la herramienta transitoria dispuesta por el IGAC para tal fin. Esta herramienta fue desarrollada con el apoyo de recursos de cooperación internacional, hasta la implementación de la fase operativa del Sistema de Información Nacional de Catastro Multipropósito - SINIC.</w:t>
      </w:r>
    </w:p>
    <w:p w14:paraId="5A9C225A" w14:textId="77777777" w:rsidR="001E7059" w:rsidRPr="00B710A9" w:rsidRDefault="001E7059" w:rsidP="001E7059">
      <w:pPr>
        <w:overflowPunct w:val="0"/>
        <w:autoSpaceDE w:val="0"/>
        <w:spacing w:line="240" w:lineRule="auto"/>
        <w:jc w:val="both"/>
        <w:textAlignment w:val="baseline"/>
        <w:rPr>
          <w:rFonts w:ascii="Arial" w:hAnsi="Arial" w:cs="Arial"/>
          <w:color w:val="000000" w:themeColor="text1"/>
          <w:sz w:val="22"/>
          <w:szCs w:val="22"/>
        </w:rPr>
      </w:pPr>
      <w:r w:rsidRPr="00B710A9">
        <w:rPr>
          <w:rFonts w:ascii="Arial" w:hAnsi="Arial" w:cs="Arial"/>
          <w:i/>
          <w:iCs/>
          <w:color w:val="000000" w:themeColor="text1"/>
          <w:sz w:val="22"/>
          <w:szCs w:val="22"/>
          <w:u w:val="single"/>
        </w:rPr>
        <w:t>Expedición de la segunda actualización de la circular interinstitucional IGAC Unidad de Restitución de Tierras</w:t>
      </w:r>
      <w:r w:rsidRPr="00B710A9">
        <w:rPr>
          <w:rFonts w:ascii="Arial" w:hAnsi="Arial" w:cs="Arial"/>
          <w:color w:val="000000" w:themeColor="text1"/>
          <w:sz w:val="22"/>
          <w:szCs w:val="22"/>
        </w:rPr>
        <w:t xml:space="preserve"> en relación con las actuaciones de los Gestores catastrales en las distintas etapas del Proceso de Restitución de Tierras reglamentado en la Ley 1448 de 2011, la cual fue expedida en 2013 y había tenido una primera actualización en 2015.</w:t>
      </w:r>
    </w:p>
    <w:p w14:paraId="49A32E3D" w14:textId="74A7F0AE" w:rsidR="001E7059" w:rsidRPr="00B710A9" w:rsidRDefault="001E7059" w:rsidP="001E7059">
      <w:pPr>
        <w:overflowPunct w:val="0"/>
        <w:autoSpaceDE w:val="0"/>
        <w:spacing w:line="240" w:lineRule="auto"/>
        <w:jc w:val="both"/>
        <w:textAlignment w:val="baseline"/>
        <w:rPr>
          <w:rFonts w:ascii="Arial" w:hAnsi="Arial" w:cs="Arial"/>
          <w:color w:val="000000" w:themeColor="text1"/>
          <w:sz w:val="22"/>
          <w:szCs w:val="22"/>
        </w:rPr>
      </w:pPr>
      <w:r w:rsidRPr="00B710A9">
        <w:rPr>
          <w:rFonts w:ascii="Arial" w:hAnsi="Arial" w:cs="Arial"/>
          <w:i/>
          <w:iCs/>
          <w:color w:val="000000" w:themeColor="text1"/>
          <w:sz w:val="22"/>
          <w:szCs w:val="22"/>
          <w:u w:val="single"/>
        </w:rPr>
        <w:t>Expedición de la Resolución 1149 de 2021</w:t>
      </w:r>
      <w:r w:rsidRPr="00B710A9">
        <w:rPr>
          <w:rFonts w:ascii="Arial" w:hAnsi="Arial" w:cs="Arial"/>
          <w:color w:val="000000" w:themeColor="text1"/>
          <w:sz w:val="22"/>
          <w:szCs w:val="22"/>
        </w:rPr>
        <w:t>, “Por la cual se actualiza la reglamentación técnica de la formación, actualización, conservación y difusión catastral con enfoque multipropósito”, esta resolución derogó la Resolución 70 de 2011 y se ajusta a lo reglamentado en materia de catastro por la Ley 1955 de 2019 y el Decreto 1170 de 2015 y 148 de 2020, antes de su publicación tuvo el aval del Comité Técnico Asesor para la Gestión Catastral reglamentado por el Decreto 148 de 2020 en julio de 2021 y adicionalmente fue publicada para comentarios por parte de la ciudadanía entre el 9 al 30 de julio.</w:t>
      </w:r>
    </w:p>
    <w:p w14:paraId="3F20C436" w14:textId="4047D181" w:rsidR="00F928E0" w:rsidRPr="00B710A9" w:rsidRDefault="00F928E0" w:rsidP="001E7059">
      <w:pPr>
        <w:overflowPunct w:val="0"/>
        <w:autoSpaceDE w:val="0"/>
        <w:spacing w:line="240" w:lineRule="auto"/>
        <w:jc w:val="both"/>
        <w:textAlignment w:val="baseline"/>
        <w:rPr>
          <w:rFonts w:ascii="Arial" w:hAnsi="Arial" w:cs="Arial"/>
          <w:color w:val="000000" w:themeColor="text1"/>
          <w:sz w:val="22"/>
          <w:szCs w:val="22"/>
        </w:rPr>
      </w:pPr>
      <w:r w:rsidRPr="00B710A9">
        <w:rPr>
          <w:rFonts w:ascii="Arial" w:hAnsi="Arial" w:cs="Arial"/>
          <w:i/>
          <w:iCs/>
          <w:color w:val="000000" w:themeColor="text1"/>
          <w:sz w:val="22"/>
          <w:szCs w:val="22"/>
          <w:u w:val="single"/>
        </w:rPr>
        <w:t>Expedición de la Resolución 1100 de 2021,</w:t>
      </w:r>
      <w:r w:rsidRPr="00B710A9">
        <w:t xml:space="preserve"> </w:t>
      </w:r>
      <w:r w:rsidR="00DB2D15" w:rsidRPr="00B710A9">
        <w:rPr>
          <w:rFonts w:ascii="Arial" w:hAnsi="Arial" w:cs="Arial"/>
          <w:color w:val="000000" w:themeColor="text1"/>
          <w:sz w:val="22"/>
          <w:szCs w:val="22"/>
        </w:rPr>
        <w:t>p</w:t>
      </w:r>
      <w:r w:rsidRPr="00B710A9">
        <w:rPr>
          <w:rFonts w:ascii="Arial" w:hAnsi="Arial" w:cs="Arial"/>
          <w:color w:val="000000" w:themeColor="text1"/>
          <w:sz w:val="22"/>
          <w:szCs w:val="22"/>
        </w:rPr>
        <w:t>or medio de la cual se asigna el prefijo del Código Homologado de Identificación Predial (CH) por municipio y se realiza la entrega de las series del Código Homologado de Identificación Predial (CH) a los Gestores Catastrales.</w:t>
      </w:r>
      <w:r w:rsidRPr="00B710A9">
        <w:rPr>
          <w:rFonts w:ascii="Arial" w:hAnsi="Arial" w:cs="Arial"/>
          <w:i/>
          <w:iCs/>
          <w:color w:val="000000" w:themeColor="text1"/>
          <w:sz w:val="22"/>
          <w:szCs w:val="22"/>
          <w:u w:val="single"/>
        </w:rPr>
        <w:t xml:space="preserve"> </w:t>
      </w:r>
    </w:p>
    <w:p w14:paraId="6D3C4CB0" w14:textId="2BAF9F4B" w:rsidR="00DA1CDA" w:rsidRPr="00B710A9" w:rsidRDefault="00F37E2F" w:rsidP="001E7059">
      <w:pPr>
        <w:overflowPunct w:val="0"/>
        <w:autoSpaceDE w:val="0"/>
        <w:spacing w:line="240" w:lineRule="auto"/>
        <w:jc w:val="both"/>
        <w:textAlignment w:val="baseline"/>
        <w:rPr>
          <w:rFonts w:ascii="Arial" w:hAnsi="Arial" w:cs="Arial"/>
          <w:color w:val="000000" w:themeColor="text1"/>
          <w:sz w:val="22"/>
          <w:szCs w:val="22"/>
        </w:rPr>
      </w:pPr>
      <w:r w:rsidRPr="00B710A9">
        <w:rPr>
          <w:rFonts w:ascii="Arial" w:hAnsi="Arial" w:cs="Arial"/>
          <w:i/>
          <w:iCs/>
          <w:color w:val="000000" w:themeColor="text1"/>
          <w:sz w:val="22"/>
          <w:szCs w:val="22"/>
          <w:u w:val="single"/>
        </w:rPr>
        <w:t xml:space="preserve">Expedición de la Resolución 1421 de 2021, </w:t>
      </w:r>
      <w:r w:rsidR="00DB2D15" w:rsidRPr="00B710A9">
        <w:rPr>
          <w:rFonts w:ascii="Arial" w:hAnsi="Arial" w:cs="Arial"/>
          <w:color w:val="000000" w:themeColor="text1"/>
          <w:sz w:val="22"/>
          <w:szCs w:val="22"/>
        </w:rPr>
        <w:t>p</w:t>
      </w:r>
      <w:r w:rsidRPr="00B710A9">
        <w:rPr>
          <w:rFonts w:ascii="Arial" w:hAnsi="Arial" w:cs="Arial"/>
          <w:color w:val="000000" w:themeColor="text1"/>
          <w:sz w:val="22"/>
          <w:szCs w:val="22"/>
        </w:rPr>
        <w:t>or la cual se establecen las condiciones de validación técnica y oficialización de productos cartográficos básicos y se dictan otras disposiciones.</w:t>
      </w:r>
    </w:p>
    <w:p w14:paraId="2D2CE3E3" w14:textId="2FDFE54B" w:rsidR="006776EA" w:rsidRPr="00B710A9" w:rsidRDefault="006776EA" w:rsidP="001E7059">
      <w:pPr>
        <w:overflowPunct w:val="0"/>
        <w:autoSpaceDE w:val="0"/>
        <w:spacing w:line="240" w:lineRule="auto"/>
        <w:jc w:val="both"/>
        <w:textAlignment w:val="baseline"/>
        <w:rPr>
          <w:rFonts w:ascii="Arial" w:hAnsi="Arial" w:cs="Arial"/>
          <w:color w:val="000000" w:themeColor="text1"/>
          <w:sz w:val="32"/>
          <w:szCs w:val="32"/>
        </w:rPr>
      </w:pPr>
      <w:r w:rsidRPr="00B710A9">
        <w:rPr>
          <w:rFonts w:ascii="Arial" w:eastAsia="Arial" w:hAnsi="Arial" w:cs="Arial"/>
          <w:i/>
          <w:iCs/>
          <w:color w:val="000000" w:themeColor="text1"/>
          <w:sz w:val="22"/>
          <w:szCs w:val="22"/>
          <w:u w:val="single"/>
        </w:rPr>
        <w:t>Expedición de la Resolución 1620 de 2021,</w:t>
      </w:r>
      <w:r w:rsidRPr="00B710A9">
        <w:rPr>
          <w:rFonts w:ascii="Arial" w:eastAsia="Arial" w:hAnsi="Arial" w:cs="Arial"/>
          <w:color w:val="000000" w:themeColor="text1"/>
          <w:sz w:val="22"/>
          <w:szCs w:val="22"/>
        </w:rPr>
        <w:t xml:space="preserve"> </w:t>
      </w:r>
      <w:r w:rsidR="00DB2D15" w:rsidRPr="00B710A9">
        <w:rPr>
          <w:rFonts w:ascii="Arial" w:eastAsia="Arial" w:hAnsi="Arial" w:cs="Arial"/>
          <w:color w:val="000000" w:themeColor="text1"/>
          <w:sz w:val="22"/>
          <w:szCs w:val="22"/>
        </w:rPr>
        <w:t>p</w:t>
      </w:r>
      <w:r w:rsidRPr="00B710A9">
        <w:rPr>
          <w:rFonts w:ascii="Arial" w:eastAsia="Arial" w:hAnsi="Arial" w:cs="Arial"/>
          <w:color w:val="000000" w:themeColor="text1"/>
          <w:sz w:val="22"/>
          <w:szCs w:val="22"/>
        </w:rPr>
        <w:t>or la cual se modifica el Anexo 1 de la Resolución No. 1100 del 10 de agosto de 2021 “Por medio de la cual se asigna el prefijo del Código Homologado de Identificación Predial (CH) por municipio y se realiza la entrega de las series del Código Homologado de Identificación Predial (CH) a los Gestores Catastrales</w:t>
      </w:r>
      <w:r w:rsidR="00DB2D15" w:rsidRPr="00B710A9">
        <w:rPr>
          <w:rFonts w:ascii="Arial" w:eastAsia="Arial" w:hAnsi="Arial" w:cs="Arial"/>
          <w:color w:val="000000" w:themeColor="text1"/>
          <w:sz w:val="22"/>
          <w:szCs w:val="22"/>
        </w:rPr>
        <w:t>”</w:t>
      </w:r>
      <w:r w:rsidRPr="00B710A9">
        <w:rPr>
          <w:rFonts w:ascii="Arial" w:eastAsia="Arial" w:hAnsi="Arial" w:cs="Arial"/>
          <w:color w:val="000000" w:themeColor="text1"/>
          <w:sz w:val="22"/>
          <w:szCs w:val="22"/>
        </w:rPr>
        <w:t>.</w:t>
      </w:r>
    </w:p>
    <w:p w14:paraId="54A86B3D" w14:textId="5EE60EF0" w:rsidR="00E71E37" w:rsidRPr="00B710A9" w:rsidRDefault="00E71E37" w:rsidP="001E7059">
      <w:pPr>
        <w:overflowPunct w:val="0"/>
        <w:autoSpaceDE w:val="0"/>
        <w:spacing w:line="240" w:lineRule="auto"/>
        <w:jc w:val="both"/>
        <w:textAlignment w:val="baseline"/>
        <w:rPr>
          <w:rFonts w:ascii="Arial" w:eastAsia="Arial" w:hAnsi="Arial" w:cs="Arial"/>
          <w:color w:val="000000" w:themeColor="text1"/>
          <w:sz w:val="22"/>
          <w:szCs w:val="22"/>
        </w:rPr>
      </w:pPr>
      <w:r w:rsidRPr="00B710A9">
        <w:rPr>
          <w:rFonts w:ascii="Arial" w:hAnsi="Arial" w:cs="Arial"/>
          <w:i/>
          <w:iCs/>
          <w:color w:val="000000" w:themeColor="text1"/>
          <w:sz w:val="22"/>
          <w:szCs w:val="22"/>
          <w:u w:val="single"/>
        </w:rPr>
        <w:t xml:space="preserve">Expedición de la Resolución 1468 de 2021, </w:t>
      </w:r>
      <w:r w:rsidR="00DB2D15" w:rsidRPr="00B710A9">
        <w:rPr>
          <w:rFonts w:ascii="Arial" w:eastAsia="Arial" w:hAnsi="Arial" w:cs="Arial"/>
          <w:color w:val="000000" w:themeColor="text1"/>
          <w:sz w:val="22"/>
          <w:szCs w:val="22"/>
        </w:rPr>
        <w:t>p</w:t>
      </w:r>
      <w:r w:rsidRPr="00B710A9">
        <w:rPr>
          <w:rFonts w:ascii="Arial" w:eastAsia="Arial" w:hAnsi="Arial" w:cs="Arial"/>
          <w:color w:val="000000" w:themeColor="text1"/>
          <w:sz w:val="22"/>
          <w:szCs w:val="22"/>
        </w:rPr>
        <w:t>or medio de la cual se establecen los lineamientos técnicos mínimos requeridos en la materialización, medición y administración de vértices geodésicos para su integración a la Red Geodésica Nacional de la República de Colombia.</w:t>
      </w:r>
    </w:p>
    <w:p w14:paraId="28039560" w14:textId="407BA860" w:rsidR="00BB3169" w:rsidRPr="00B710A9" w:rsidRDefault="00BB3169" w:rsidP="001E7059">
      <w:pPr>
        <w:overflowPunct w:val="0"/>
        <w:autoSpaceDE w:val="0"/>
        <w:spacing w:line="240" w:lineRule="auto"/>
        <w:jc w:val="both"/>
        <w:textAlignment w:val="baseline"/>
        <w:rPr>
          <w:rFonts w:ascii="Arial" w:hAnsi="Arial" w:cs="Arial"/>
          <w:color w:val="000000" w:themeColor="text1"/>
          <w:sz w:val="22"/>
          <w:szCs w:val="22"/>
        </w:rPr>
      </w:pPr>
      <w:r w:rsidRPr="00B710A9">
        <w:rPr>
          <w:rFonts w:ascii="Arial" w:hAnsi="Arial" w:cs="Arial"/>
          <w:i/>
          <w:iCs/>
          <w:color w:val="000000" w:themeColor="text1"/>
          <w:sz w:val="22"/>
          <w:szCs w:val="22"/>
          <w:u w:val="single"/>
        </w:rPr>
        <w:t xml:space="preserve">Expedición de la Resolución 197 de 2022, </w:t>
      </w:r>
      <w:r w:rsidR="00DB2D15" w:rsidRPr="00B710A9">
        <w:rPr>
          <w:rFonts w:ascii="Arial" w:hAnsi="Arial" w:cs="Arial"/>
          <w:color w:val="000000" w:themeColor="text1"/>
          <w:sz w:val="22"/>
          <w:szCs w:val="22"/>
        </w:rPr>
        <w:t>p</w:t>
      </w:r>
      <w:r w:rsidRPr="00B710A9">
        <w:rPr>
          <w:rFonts w:ascii="Arial" w:hAnsi="Arial" w:cs="Arial"/>
          <w:color w:val="000000" w:themeColor="text1"/>
          <w:sz w:val="22"/>
          <w:szCs w:val="22"/>
        </w:rPr>
        <w:t>or medio de la cual se modifica la Resolución 471 y 529 de 2020</w:t>
      </w:r>
      <w:r w:rsidR="000F7B3A" w:rsidRPr="00B710A9">
        <w:rPr>
          <w:rFonts w:ascii="Arial" w:hAnsi="Arial" w:cs="Arial"/>
          <w:color w:val="000000" w:themeColor="text1"/>
          <w:sz w:val="22"/>
          <w:szCs w:val="22"/>
        </w:rPr>
        <w:t>,</w:t>
      </w:r>
      <w:r w:rsidRPr="00B710A9">
        <w:rPr>
          <w:rFonts w:ascii="Arial" w:hAnsi="Arial" w:cs="Arial"/>
          <w:color w:val="000000" w:themeColor="text1"/>
          <w:sz w:val="22"/>
          <w:szCs w:val="22"/>
        </w:rPr>
        <w:t xml:space="preserve"> la cual establece las especificaciones técnicas mínimas que deben tener los productos de la cartografía básica oficial de Colombia.</w:t>
      </w:r>
    </w:p>
    <w:p w14:paraId="6FA8412C" w14:textId="407BA860" w:rsidR="00E91AE2" w:rsidRPr="00B710A9" w:rsidRDefault="00E91AE2" w:rsidP="001E7059">
      <w:pPr>
        <w:overflowPunct w:val="0"/>
        <w:autoSpaceDE w:val="0"/>
        <w:spacing w:line="240" w:lineRule="auto"/>
        <w:jc w:val="both"/>
        <w:textAlignment w:val="baseline"/>
        <w:rPr>
          <w:rFonts w:ascii="Arial" w:eastAsia="Arial" w:hAnsi="Arial" w:cs="Arial"/>
          <w:color w:val="000000" w:themeColor="text1"/>
          <w:sz w:val="22"/>
          <w:szCs w:val="22"/>
        </w:rPr>
      </w:pPr>
      <w:r w:rsidRPr="00B710A9">
        <w:rPr>
          <w:rFonts w:ascii="Arial" w:eastAsia="Arial" w:hAnsi="Arial" w:cs="Arial"/>
          <w:i/>
          <w:iCs/>
          <w:color w:val="000000" w:themeColor="text1"/>
          <w:sz w:val="22"/>
          <w:szCs w:val="22"/>
          <w:u w:val="single"/>
        </w:rPr>
        <w:lastRenderedPageBreak/>
        <w:t>Expedición de la Resolución 343 de 2022</w:t>
      </w:r>
      <w:r w:rsidR="00231E62" w:rsidRPr="00B710A9">
        <w:rPr>
          <w:rFonts w:ascii="Arial" w:eastAsia="Arial" w:hAnsi="Arial" w:cs="Arial"/>
          <w:i/>
          <w:iCs/>
          <w:color w:val="000000" w:themeColor="text1"/>
          <w:sz w:val="22"/>
          <w:szCs w:val="22"/>
          <w:u w:val="single"/>
        </w:rPr>
        <w:t>,</w:t>
      </w:r>
      <w:r w:rsidR="00231E62" w:rsidRPr="00B710A9">
        <w:rPr>
          <w:rFonts w:ascii="Arial" w:eastAsia="Arial" w:hAnsi="Arial" w:cs="Arial"/>
          <w:color w:val="000000" w:themeColor="text1"/>
          <w:sz w:val="22"/>
          <w:szCs w:val="22"/>
        </w:rPr>
        <w:t xml:space="preserve"> </w:t>
      </w:r>
      <w:r w:rsidR="00DB2D15" w:rsidRPr="00B710A9">
        <w:rPr>
          <w:rFonts w:ascii="Arial" w:eastAsia="Arial" w:hAnsi="Arial" w:cs="Arial"/>
          <w:color w:val="000000" w:themeColor="text1"/>
          <w:sz w:val="22"/>
          <w:szCs w:val="22"/>
        </w:rPr>
        <w:t>m</w:t>
      </w:r>
      <w:r w:rsidR="00231E62" w:rsidRPr="00B710A9">
        <w:rPr>
          <w:rFonts w:ascii="Arial" w:eastAsia="Arial" w:hAnsi="Arial" w:cs="Arial"/>
          <w:color w:val="000000" w:themeColor="text1"/>
          <w:sz w:val="22"/>
          <w:szCs w:val="22"/>
        </w:rPr>
        <w:t xml:space="preserve">odifica el artículo 4° de </w:t>
      </w:r>
      <w:proofErr w:type="spellStart"/>
      <w:r w:rsidR="00231E62" w:rsidRPr="00B710A9">
        <w:rPr>
          <w:rFonts w:ascii="Arial" w:eastAsia="Arial" w:hAnsi="Arial" w:cs="Arial"/>
          <w:color w:val="000000" w:themeColor="text1"/>
          <w:sz w:val="22"/>
          <w:szCs w:val="22"/>
        </w:rPr>
        <w:t>Ia</w:t>
      </w:r>
      <w:proofErr w:type="spellEnd"/>
      <w:r w:rsidR="00231E62" w:rsidRPr="00B710A9">
        <w:rPr>
          <w:rFonts w:ascii="Arial" w:eastAsia="Arial" w:hAnsi="Arial" w:cs="Arial"/>
          <w:color w:val="000000" w:themeColor="text1"/>
          <w:sz w:val="22"/>
          <w:szCs w:val="22"/>
        </w:rPr>
        <w:t xml:space="preserve"> Resolución 1100 de 2021, </w:t>
      </w:r>
      <w:proofErr w:type="spellStart"/>
      <w:r w:rsidR="00231E62" w:rsidRPr="00B710A9">
        <w:rPr>
          <w:rFonts w:ascii="Arial" w:eastAsia="Arial" w:hAnsi="Arial" w:cs="Arial"/>
          <w:color w:val="000000" w:themeColor="text1"/>
          <w:sz w:val="22"/>
          <w:szCs w:val="22"/>
        </w:rPr>
        <w:t>Ia</w:t>
      </w:r>
      <w:proofErr w:type="spellEnd"/>
      <w:r w:rsidR="00231E62" w:rsidRPr="00B710A9">
        <w:rPr>
          <w:rFonts w:ascii="Arial" w:eastAsia="Arial" w:hAnsi="Arial" w:cs="Arial"/>
          <w:color w:val="000000" w:themeColor="text1"/>
          <w:sz w:val="22"/>
          <w:szCs w:val="22"/>
        </w:rPr>
        <w:t xml:space="preserve"> cual asigna el prefijo del Código Homologado de Identificación Predial (OH) por municipio y se realiza </w:t>
      </w:r>
      <w:proofErr w:type="spellStart"/>
      <w:r w:rsidR="00231E62" w:rsidRPr="00B710A9">
        <w:rPr>
          <w:rFonts w:ascii="Arial" w:eastAsia="Arial" w:hAnsi="Arial" w:cs="Arial"/>
          <w:color w:val="000000" w:themeColor="text1"/>
          <w:sz w:val="22"/>
          <w:szCs w:val="22"/>
        </w:rPr>
        <w:t>Ia</w:t>
      </w:r>
      <w:proofErr w:type="spellEnd"/>
      <w:r w:rsidR="00231E62" w:rsidRPr="00B710A9">
        <w:rPr>
          <w:rFonts w:ascii="Arial" w:eastAsia="Arial" w:hAnsi="Arial" w:cs="Arial"/>
          <w:color w:val="000000" w:themeColor="text1"/>
          <w:sz w:val="22"/>
          <w:szCs w:val="22"/>
        </w:rPr>
        <w:t xml:space="preserve"> entrega de las series del Código Homologado de Identificación Predial (OH) a los Gestores Catastrales.</w:t>
      </w:r>
    </w:p>
    <w:p w14:paraId="387A50DA" w14:textId="570AFDA2" w:rsidR="00DB2D15" w:rsidRPr="00B710A9" w:rsidRDefault="00DB2D15" w:rsidP="00AF1C93">
      <w:pPr>
        <w:jc w:val="both"/>
        <w:rPr>
          <w:rFonts w:ascii="Arial" w:eastAsia="Arial" w:hAnsi="Arial" w:cs="Arial"/>
          <w:color w:val="000000" w:themeColor="text1"/>
          <w:sz w:val="22"/>
          <w:szCs w:val="22"/>
        </w:rPr>
      </w:pPr>
      <w:r w:rsidRPr="00B710A9">
        <w:rPr>
          <w:rFonts w:ascii="Arial" w:eastAsia="Arial" w:hAnsi="Arial" w:cs="Arial"/>
          <w:i/>
          <w:iCs/>
          <w:color w:val="000000" w:themeColor="text1"/>
          <w:sz w:val="22"/>
          <w:szCs w:val="22"/>
          <w:u w:val="single"/>
        </w:rPr>
        <w:t>Expedición de la Resolución 679 de 2022</w:t>
      </w:r>
      <w:r w:rsidR="00AF1C93" w:rsidRPr="00B710A9">
        <w:rPr>
          <w:rFonts w:ascii="Arial" w:eastAsia="Arial" w:hAnsi="Arial" w:cs="Arial"/>
          <w:i/>
          <w:iCs/>
          <w:color w:val="000000" w:themeColor="text1"/>
          <w:sz w:val="22"/>
          <w:szCs w:val="22"/>
          <w:u w:val="single"/>
        </w:rPr>
        <w:t xml:space="preserve">, </w:t>
      </w:r>
      <w:r w:rsidR="00AF1C93" w:rsidRPr="00B710A9">
        <w:rPr>
          <w:rFonts w:ascii="Arial" w:eastAsia="Arial" w:hAnsi="Arial" w:cs="Arial"/>
          <w:color w:val="000000" w:themeColor="text1"/>
          <w:sz w:val="22"/>
          <w:szCs w:val="22"/>
        </w:rPr>
        <w:t xml:space="preserve">por </w:t>
      </w:r>
      <w:proofErr w:type="spellStart"/>
      <w:r w:rsidR="00AF1C93" w:rsidRPr="00B710A9">
        <w:rPr>
          <w:rFonts w:ascii="Arial" w:eastAsia="Arial" w:hAnsi="Arial" w:cs="Arial"/>
          <w:color w:val="000000" w:themeColor="text1"/>
          <w:sz w:val="22"/>
          <w:szCs w:val="22"/>
        </w:rPr>
        <w:t>Ia</w:t>
      </w:r>
      <w:proofErr w:type="spellEnd"/>
      <w:r w:rsidR="00AF1C93" w:rsidRPr="00B710A9">
        <w:rPr>
          <w:rFonts w:ascii="Arial" w:eastAsia="Arial" w:hAnsi="Arial" w:cs="Arial"/>
          <w:color w:val="000000" w:themeColor="text1"/>
          <w:sz w:val="22"/>
          <w:szCs w:val="22"/>
        </w:rPr>
        <w:t xml:space="preserve"> cual se modifican los numerales 7.1 y 7.5, del articulo 7 y se adiciona un inciso en el </w:t>
      </w:r>
      <w:r w:rsidR="00C407D1" w:rsidRPr="00B710A9">
        <w:rPr>
          <w:rFonts w:ascii="Arial" w:eastAsia="Arial" w:hAnsi="Arial" w:cs="Arial"/>
          <w:color w:val="000000" w:themeColor="text1"/>
          <w:sz w:val="22"/>
          <w:szCs w:val="22"/>
        </w:rPr>
        <w:t>artículo</w:t>
      </w:r>
      <w:r w:rsidR="00AF1C93" w:rsidRPr="00B710A9">
        <w:rPr>
          <w:rFonts w:ascii="Arial" w:eastAsia="Arial" w:hAnsi="Arial" w:cs="Arial"/>
          <w:color w:val="000000" w:themeColor="text1"/>
          <w:sz w:val="22"/>
          <w:szCs w:val="22"/>
        </w:rPr>
        <w:t xml:space="preserve"> 8 de </w:t>
      </w:r>
      <w:proofErr w:type="spellStart"/>
      <w:r w:rsidR="00AF1C93" w:rsidRPr="00B710A9">
        <w:rPr>
          <w:rFonts w:ascii="Arial" w:eastAsia="Arial" w:hAnsi="Arial" w:cs="Arial"/>
          <w:color w:val="000000" w:themeColor="text1"/>
          <w:sz w:val="22"/>
          <w:szCs w:val="22"/>
        </w:rPr>
        <w:t>Ia</w:t>
      </w:r>
      <w:proofErr w:type="spellEnd"/>
      <w:r w:rsidR="00AF1C93" w:rsidRPr="00B710A9">
        <w:rPr>
          <w:rFonts w:ascii="Arial" w:eastAsia="Arial" w:hAnsi="Arial" w:cs="Arial"/>
          <w:color w:val="000000" w:themeColor="text1"/>
          <w:sz w:val="22"/>
          <w:szCs w:val="22"/>
        </w:rPr>
        <w:t xml:space="preserve"> Resolución 388 del 13 de abril de 2020, modificado por </w:t>
      </w:r>
      <w:proofErr w:type="spellStart"/>
      <w:r w:rsidR="00AF1C93" w:rsidRPr="00B710A9">
        <w:rPr>
          <w:rFonts w:ascii="Arial" w:eastAsia="Arial" w:hAnsi="Arial" w:cs="Arial"/>
          <w:color w:val="000000" w:themeColor="text1"/>
          <w:sz w:val="22"/>
          <w:szCs w:val="22"/>
        </w:rPr>
        <w:t>Ia</w:t>
      </w:r>
      <w:proofErr w:type="spellEnd"/>
      <w:r w:rsidR="00AF1C93" w:rsidRPr="00B710A9">
        <w:rPr>
          <w:rFonts w:ascii="Arial" w:eastAsia="Arial" w:hAnsi="Arial" w:cs="Arial"/>
          <w:color w:val="000000" w:themeColor="text1"/>
          <w:sz w:val="22"/>
          <w:szCs w:val="22"/>
        </w:rPr>
        <w:t xml:space="preserve"> Resolución 509 de 2020 "Por la cual se establecen las especificaciones técnicas para los productos do información generados por los procesos do formación y actualización catastral con enfoque multipropósito</w:t>
      </w:r>
      <w:r w:rsidR="00C407D1" w:rsidRPr="00B710A9">
        <w:rPr>
          <w:rFonts w:ascii="Arial" w:eastAsia="Arial" w:hAnsi="Arial" w:cs="Arial"/>
          <w:color w:val="000000" w:themeColor="text1"/>
          <w:sz w:val="22"/>
          <w:szCs w:val="22"/>
        </w:rPr>
        <w:t>”.</w:t>
      </w:r>
    </w:p>
    <w:p w14:paraId="1431BF64" w14:textId="77777777" w:rsidR="001E7059" w:rsidRPr="00B710A9" w:rsidRDefault="001E7059" w:rsidP="001E7059">
      <w:pPr>
        <w:pStyle w:val="Lista"/>
      </w:pPr>
    </w:p>
    <w:p w14:paraId="03055150" w14:textId="77777777" w:rsidR="00522D8A" w:rsidRPr="00B710A9" w:rsidRDefault="00522D8A" w:rsidP="00522D8A">
      <w:pPr>
        <w:spacing w:after="0" w:line="240" w:lineRule="auto"/>
        <w:jc w:val="both"/>
        <w:textAlignment w:val="baseline"/>
        <w:rPr>
          <w:rStyle w:val="normaltextrun"/>
          <w:rFonts w:ascii="Arial" w:eastAsia="Calibri" w:hAnsi="Arial" w:cs="Arial"/>
          <w:b/>
          <w:bCs/>
          <w:i/>
          <w:iCs/>
          <w:color w:val="000000" w:themeColor="text1"/>
          <w:sz w:val="22"/>
          <w:szCs w:val="22"/>
          <w:u w:val="single"/>
        </w:rPr>
      </w:pPr>
      <w:r w:rsidRPr="00B710A9">
        <w:rPr>
          <w:rStyle w:val="normaltextrun"/>
          <w:rFonts w:ascii="Arial" w:eastAsia="Calibri" w:hAnsi="Arial" w:cs="Arial"/>
          <w:b/>
          <w:bCs/>
          <w:i/>
          <w:iCs/>
          <w:color w:val="000000" w:themeColor="text1"/>
          <w:sz w:val="22"/>
          <w:szCs w:val="22"/>
          <w:u w:val="single"/>
        </w:rPr>
        <w:t>Otras estrategias</w:t>
      </w:r>
    </w:p>
    <w:p w14:paraId="7E0D191D" w14:textId="77777777" w:rsidR="00522D8A" w:rsidRPr="00B710A9" w:rsidRDefault="00522D8A" w:rsidP="00522D8A">
      <w:pPr>
        <w:spacing w:after="0" w:line="240" w:lineRule="auto"/>
        <w:jc w:val="both"/>
        <w:textAlignment w:val="baseline"/>
        <w:rPr>
          <w:rFonts w:asciiTheme="minorHAnsi" w:eastAsia="Times New Roman" w:hAnsiTheme="minorHAnsi" w:cstheme="minorBidi"/>
          <w:b/>
          <w:bCs/>
          <w:i/>
          <w:iCs/>
          <w:u w:val="single"/>
        </w:rPr>
      </w:pPr>
    </w:p>
    <w:p w14:paraId="1D0E484D" w14:textId="77777777" w:rsidR="00BC3CFF"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t xml:space="preserve">Mayor aprovechamiento del uso de información tal como la cartografía social, registros de propietarios, ocupantes, información registral, levantamientos topográficos, inventario de procesos de formalización de predios, entre otros, entregados por Parques Nacionales, Agencia Nacional de Tierras -ANT, Unidad de Restitución de Tierras -ART, Superintendencia Nacional de Registro -SNR, DANE, entre otras entidades, información clave para el diseño de planes de trabajo, determinación de zonas de intervención, definición de métodos de recolección de información, minimizando el reconocimiento directo (visita a dichos predios) y optimizando así,  tiempos y recursos. </w:t>
      </w:r>
    </w:p>
    <w:p w14:paraId="12FE557F" w14:textId="77777777" w:rsidR="00BC3CFF" w:rsidRPr="00B710A9" w:rsidRDefault="00BC3CFF" w:rsidP="00BC3CFF">
      <w:pPr>
        <w:pStyle w:val="Prrafodelista"/>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p>
    <w:p w14:paraId="47F873C2" w14:textId="77777777" w:rsidR="00BC3CFF"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t xml:space="preserve">Aplicación de métodos indirectos para el levantamiento de la información catastral en zonas de interés ambiental tales como el parque del </w:t>
      </w:r>
      <w:proofErr w:type="spellStart"/>
      <w:r w:rsidRPr="00B710A9">
        <w:rPr>
          <w:rStyle w:val="eop"/>
          <w:rFonts w:ascii="Arial" w:eastAsia="Calibri" w:hAnsi="Arial" w:cs="Arial"/>
          <w:color w:val="000000" w:themeColor="text1"/>
          <w:sz w:val="22"/>
          <w:szCs w:val="22"/>
        </w:rPr>
        <w:t>Tuparro</w:t>
      </w:r>
      <w:proofErr w:type="spellEnd"/>
      <w:r w:rsidRPr="00B710A9">
        <w:rPr>
          <w:rStyle w:val="eop"/>
          <w:rFonts w:ascii="Arial" w:eastAsia="Calibri" w:hAnsi="Arial" w:cs="Arial"/>
          <w:color w:val="000000" w:themeColor="text1"/>
          <w:sz w:val="22"/>
          <w:szCs w:val="22"/>
        </w:rPr>
        <w:t xml:space="preserve"> y </w:t>
      </w:r>
      <w:proofErr w:type="spellStart"/>
      <w:r w:rsidRPr="00B710A9">
        <w:rPr>
          <w:rStyle w:val="eop"/>
          <w:rFonts w:ascii="Arial" w:eastAsia="Calibri" w:hAnsi="Arial" w:cs="Arial"/>
          <w:color w:val="000000" w:themeColor="text1"/>
          <w:sz w:val="22"/>
          <w:szCs w:val="22"/>
        </w:rPr>
        <w:t>Cinaruco</w:t>
      </w:r>
      <w:proofErr w:type="spellEnd"/>
      <w:r w:rsidRPr="00B710A9">
        <w:rPr>
          <w:rStyle w:val="eop"/>
          <w:rFonts w:ascii="Arial" w:eastAsia="Calibri" w:hAnsi="Arial" w:cs="Arial"/>
          <w:color w:val="000000" w:themeColor="text1"/>
          <w:sz w:val="22"/>
          <w:szCs w:val="22"/>
        </w:rPr>
        <w:t>, entre los cuales se encuentran los colaborativos y declarativos, mediante la realización de talleres con la comunidad. En dichos espacios se precisaron los linderos e identificaron construcciones con su tipificación y se aportaron documentos soporte para la inscripción de predios formales e informales, reduciendo los tiempos y evitando en gran parte, la labor de campo.</w:t>
      </w:r>
    </w:p>
    <w:p w14:paraId="6593241C" w14:textId="77777777" w:rsidR="00BC3CFF" w:rsidRPr="00B710A9" w:rsidRDefault="00BC3CFF" w:rsidP="00BC3CFF">
      <w:pPr>
        <w:pStyle w:val="Prrafodelista"/>
        <w:rPr>
          <w:rStyle w:val="eop"/>
          <w:rFonts w:ascii="Arial" w:eastAsia="Calibri" w:hAnsi="Arial" w:cs="Arial"/>
          <w:color w:val="000000" w:themeColor="text1"/>
          <w:sz w:val="22"/>
          <w:szCs w:val="22"/>
        </w:rPr>
      </w:pPr>
    </w:p>
    <w:p w14:paraId="217DC5C0" w14:textId="77777777" w:rsidR="00BC3CFF"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t xml:space="preserve">Implementación de calificación de las construcciones por tipologías constructivas, lo cual permite la estandarización de la calificación de construcciones a nivel nacional de acuerdo con las condiciones constructivas y la posibilidad de hacer un reconocimiento predial </w:t>
      </w:r>
      <w:proofErr w:type="spellStart"/>
      <w:r w:rsidRPr="00B710A9">
        <w:rPr>
          <w:rStyle w:val="eop"/>
          <w:rFonts w:ascii="Arial" w:eastAsia="Calibri" w:hAnsi="Arial" w:cs="Arial"/>
          <w:color w:val="000000" w:themeColor="text1"/>
          <w:sz w:val="22"/>
          <w:szCs w:val="22"/>
        </w:rPr>
        <w:t>bioseguro</w:t>
      </w:r>
      <w:proofErr w:type="spellEnd"/>
      <w:r w:rsidRPr="00B710A9">
        <w:rPr>
          <w:rStyle w:val="eop"/>
          <w:rFonts w:ascii="Arial" w:eastAsia="Calibri" w:hAnsi="Arial" w:cs="Arial"/>
          <w:color w:val="000000" w:themeColor="text1"/>
          <w:sz w:val="22"/>
          <w:szCs w:val="22"/>
        </w:rPr>
        <w:t xml:space="preserve"> para reconocedor y propietario, pues no requiere el acceso al inmueble para su calificación. </w:t>
      </w:r>
    </w:p>
    <w:p w14:paraId="12841A25" w14:textId="77777777" w:rsidR="00BC3CFF" w:rsidRPr="00B710A9" w:rsidRDefault="00BC3CFF" w:rsidP="00BC3CFF">
      <w:pPr>
        <w:pStyle w:val="Prrafodelista"/>
        <w:rPr>
          <w:rStyle w:val="eop"/>
          <w:rFonts w:ascii="Arial" w:eastAsia="Calibri" w:hAnsi="Arial" w:cs="Arial"/>
          <w:color w:val="000000" w:themeColor="text1"/>
          <w:sz w:val="22"/>
          <w:szCs w:val="22"/>
        </w:rPr>
      </w:pPr>
    </w:p>
    <w:p w14:paraId="71181C48" w14:textId="77777777" w:rsidR="00BC3CFF"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t>Modelamientos econométricos para la valoración predial, estandarizando los criterios de valoración en un periodo de tiempo inferior al requerido para la valoración mediante el método tradicional de zonas homogéneas.</w:t>
      </w:r>
    </w:p>
    <w:p w14:paraId="19A32FEE" w14:textId="77777777" w:rsidR="00BC3CFF" w:rsidRPr="00B710A9" w:rsidRDefault="00BC3CFF" w:rsidP="00BC3CFF">
      <w:pPr>
        <w:pStyle w:val="Prrafodelista"/>
        <w:rPr>
          <w:rStyle w:val="eop"/>
          <w:rFonts w:ascii="Arial" w:eastAsia="Calibri" w:hAnsi="Arial" w:cs="Arial"/>
          <w:color w:val="000000" w:themeColor="text1"/>
          <w:sz w:val="22"/>
          <w:szCs w:val="22"/>
        </w:rPr>
      </w:pPr>
    </w:p>
    <w:p w14:paraId="4501E593" w14:textId="77777777" w:rsidR="00BC3CFF"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t>Utilización de dispositivos GNSS para la recolección de información predial con la exactitud posicional requerida.</w:t>
      </w:r>
    </w:p>
    <w:p w14:paraId="02F8CE0E" w14:textId="77777777" w:rsidR="00BC3CFF" w:rsidRPr="00B710A9" w:rsidRDefault="00BC3CFF" w:rsidP="00BC3CFF">
      <w:pPr>
        <w:pStyle w:val="Prrafodelista"/>
        <w:rPr>
          <w:rStyle w:val="eop"/>
          <w:rFonts w:ascii="Arial" w:eastAsia="Calibri" w:hAnsi="Arial" w:cs="Arial"/>
          <w:color w:val="000000" w:themeColor="text1"/>
          <w:sz w:val="22"/>
          <w:szCs w:val="22"/>
        </w:rPr>
      </w:pPr>
    </w:p>
    <w:p w14:paraId="74D11622" w14:textId="77777777" w:rsidR="00BC3CFF"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t>Implementación de mejoras al aplicativo de captura CICA, incorporando las variables establecidas en el modelo de levantamiento catastral versión 1.0, integración con el Sistema Nacional Catastral e inclusión de las variables étnicas para la captura de información.</w:t>
      </w:r>
    </w:p>
    <w:p w14:paraId="46BEA85E" w14:textId="77777777" w:rsidR="00BC3CFF" w:rsidRPr="00B710A9" w:rsidRDefault="00BC3CFF" w:rsidP="00BC3CFF">
      <w:pPr>
        <w:pStyle w:val="Prrafodelista"/>
        <w:rPr>
          <w:rStyle w:val="eop"/>
          <w:rFonts w:ascii="Arial" w:eastAsia="Calibri" w:hAnsi="Arial" w:cs="Arial"/>
          <w:color w:val="000000" w:themeColor="text1"/>
          <w:sz w:val="22"/>
          <w:szCs w:val="22"/>
        </w:rPr>
      </w:pPr>
    </w:p>
    <w:p w14:paraId="144B1F79" w14:textId="77777777" w:rsidR="00BC3CFF"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lastRenderedPageBreak/>
        <w:t>La información recolectada en el proceso de formación y/o actualización catastral se hace por medio de dispositivos móviles de captura.</w:t>
      </w:r>
    </w:p>
    <w:p w14:paraId="6F17FB2E" w14:textId="77777777" w:rsidR="00BC3CFF" w:rsidRPr="00B710A9" w:rsidRDefault="00BC3CFF" w:rsidP="00BC3CFF">
      <w:pPr>
        <w:pStyle w:val="Prrafodelista"/>
        <w:rPr>
          <w:rStyle w:val="eop"/>
          <w:rFonts w:ascii="Arial" w:eastAsia="Calibri" w:hAnsi="Arial" w:cs="Arial"/>
          <w:color w:val="000000" w:themeColor="text1"/>
          <w:sz w:val="22"/>
          <w:szCs w:val="22"/>
        </w:rPr>
      </w:pPr>
    </w:p>
    <w:p w14:paraId="21032805" w14:textId="77777777" w:rsidR="00BC3CFF"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t>Creación del sistema de transición para las solicitudes de insumos catastrales y registrales, por parte de los gestores catastrales habilitados.</w:t>
      </w:r>
    </w:p>
    <w:p w14:paraId="558BF235" w14:textId="77777777" w:rsidR="00BC3CFF" w:rsidRPr="00B710A9" w:rsidRDefault="00BC3CFF" w:rsidP="00BC3CFF">
      <w:pPr>
        <w:pStyle w:val="Prrafodelista"/>
        <w:rPr>
          <w:rStyle w:val="eop"/>
          <w:rFonts w:ascii="Arial" w:eastAsia="Calibri" w:hAnsi="Arial" w:cs="Arial"/>
          <w:color w:val="000000" w:themeColor="text1"/>
          <w:sz w:val="22"/>
          <w:szCs w:val="22"/>
        </w:rPr>
      </w:pPr>
    </w:p>
    <w:p w14:paraId="11231119" w14:textId="77777777" w:rsidR="00BC3CFF"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t>Creación de herramientas para la generación de insumos catastrales, según las especificaciones técnicas establecidas en el modelo de aplicación de levantamiento catastral, de conformidad con el modelo LADM, a partir de la información generada por la base de datos de los sistemas catastrales y registrales.</w:t>
      </w:r>
    </w:p>
    <w:p w14:paraId="6F64AE2A" w14:textId="77777777" w:rsidR="00BC3CFF" w:rsidRPr="00B710A9" w:rsidRDefault="00BC3CFF" w:rsidP="00BC3CFF">
      <w:pPr>
        <w:pStyle w:val="Prrafodelista"/>
        <w:rPr>
          <w:rStyle w:val="eop"/>
          <w:rFonts w:ascii="Arial" w:eastAsia="Calibri" w:hAnsi="Arial" w:cs="Arial"/>
          <w:color w:val="000000" w:themeColor="text1"/>
          <w:sz w:val="22"/>
          <w:szCs w:val="22"/>
        </w:rPr>
      </w:pPr>
    </w:p>
    <w:p w14:paraId="0953B84A" w14:textId="77777777" w:rsidR="00BC3CFF"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t>Definición del protocolo de asignación del Número Predial –NUPRE, mediante el cual se definen los criterios para dicha asignación y entrega de los códigos homologados a los gestores catastrales, permitiendo con ello, la identificación única de los predios para efectos de lograr la interrelación de catastro y registro.</w:t>
      </w:r>
    </w:p>
    <w:p w14:paraId="6BD197F1" w14:textId="77777777" w:rsidR="00BC3CFF" w:rsidRPr="00B710A9" w:rsidRDefault="00BC3CFF" w:rsidP="00BC3CFF">
      <w:pPr>
        <w:pStyle w:val="Prrafodelista"/>
        <w:rPr>
          <w:rStyle w:val="eop"/>
          <w:rFonts w:ascii="Arial" w:eastAsia="Calibri" w:hAnsi="Arial" w:cs="Arial"/>
          <w:color w:val="000000" w:themeColor="text1"/>
          <w:sz w:val="22"/>
          <w:szCs w:val="22"/>
        </w:rPr>
      </w:pPr>
    </w:p>
    <w:p w14:paraId="50B37461" w14:textId="77777777" w:rsidR="00BC3CFF"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t>Creación de herramientas para la generación de insumos catastrales, según las especificaciones técnicas establecidas en el modelo de aplicación de levantamiento catastral, de conformidad con el modelo LADM, a partir de la información generada por la base de datos de los sistemas catastrales y registrales.</w:t>
      </w:r>
    </w:p>
    <w:p w14:paraId="522584C0" w14:textId="77777777" w:rsidR="00BC3CFF" w:rsidRPr="00B710A9" w:rsidRDefault="00BC3CFF" w:rsidP="00BC3CFF">
      <w:pPr>
        <w:pStyle w:val="Prrafodelista"/>
        <w:rPr>
          <w:rStyle w:val="eop"/>
          <w:rFonts w:ascii="Arial" w:eastAsia="Calibri" w:hAnsi="Arial" w:cs="Arial"/>
          <w:color w:val="000000" w:themeColor="text1"/>
          <w:sz w:val="22"/>
          <w:szCs w:val="22"/>
        </w:rPr>
      </w:pPr>
    </w:p>
    <w:p w14:paraId="0F849B16" w14:textId="77777777" w:rsidR="00BC3CFF"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t xml:space="preserve">Se adaptó el modelo de datos de la </w:t>
      </w:r>
      <w:proofErr w:type="spellStart"/>
      <w:r w:rsidRPr="00B710A9">
        <w:rPr>
          <w:rStyle w:val="eop"/>
          <w:rFonts w:ascii="Arial" w:eastAsia="Calibri" w:hAnsi="Arial" w:cs="Arial"/>
          <w:color w:val="000000" w:themeColor="text1"/>
          <w:sz w:val="22"/>
          <w:szCs w:val="22"/>
        </w:rPr>
        <w:t>Geodatabase</w:t>
      </w:r>
      <w:proofErr w:type="spellEnd"/>
      <w:r w:rsidRPr="00B710A9">
        <w:rPr>
          <w:rStyle w:val="eop"/>
          <w:rFonts w:ascii="Arial" w:eastAsia="Calibri" w:hAnsi="Arial" w:cs="Arial"/>
          <w:color w:val="000000" w:themeColor="text1"/>
          <w:sz w:val="22"/>
          <w:szCs w:val="22"/>
        </w:rPr>
        <w:t xml:space="preserve"> catastral, al estándar LADM_COL para los procesos de actualización catastral. </w:t>
      </w:r>
    </w:p>
    <w:p w14:paraId="7453F0CF" w14:textId="77777777" w:rsidR="00BC3CFF" w:rsidRPr="00B710A9" w:rsidRDefault="00BC3CFF" w:rsidP="00BC3CFF">
      <w:pPr>
        <w:pStyle w:val="Prrafodelista"/>
        <w:rPr>
          <w:rStyle w:val="eop"/>
          <w:rFonts w:ascii="Arial" w:eastAsia="Calibri" w:hAnsi="Arial" w:cs="Arial"/>
          <w:color w:val="000000" w:themeColor="text1"/>
          <w:sz w:val="22"/>
          <w:szCs w:val="22"/>
        </w:rPr>
      </w:pPr>
    </w:p>
    <w:p w14:paraId="6D3E5968" w14:textId="77777777" w:rsidR="00BC3CFF"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t>Trabajo mancomunado con los gestores catastrales para expedir nuevas versiones del modelo LADM COL que incluyen los atributos definidos en dicho modelo a la base de datos geográfica y del cual ya se han sacado varias versiones.</w:t>
      </w:r>
    </w:p>
    <w:p w14:paraId="373222CD" w14:textId="77777777" w:rsidR="00BC3CFF" w:rsidRPr="00B710A9" w:rsidRDefault="00BC3CFF" w:rsidP="00BC3CFF">
      <w:pPr>
        <w:pStyle w:val="Prrafodelista"/>
        <w:rPr>
          <w:rStyle w:val="eop"/>
          <w:rFonts w:ascii="Arial" w:eastAsia="Calibri" w:hAnsi="Arial" w:cs="Arial"/>
          <w:color w:val="000000" w:themeColor="text1"/>
          <w:sz w:val="22"/>
          <w:szCs w:val="22"/>
        </w:rPr>
      </w:pPr>
    </w:p>
    <w:p w14:paraId="0BF8D063" w14:textId="77777777" w:rsidR="00BC3CFF"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t>Se suministró de mapeo de información de variables del modelo de aplicación de levantamiento catastral versión 1.2 vs modelo CICA a la Dirección de Tecnología para realizar ajuste al CICA y SNC.</w:t>
      </w:r>
    </w:p>
    <w:p w14:paraId="635F2521" w14:textId="77777777" w:rsidR="00BC3CFF" w:rsidRPr="00B710A9" w:rsidRDefault="00BC3CFF" w:rsidP="00BC3CFF">
      <w:pPr>
        <w:pStyle w:val="Prrafodelista"/>
        <w:rPr>
          <w:rStyle w:val="eop"/>
          <w:rFonts w:ascii="Arial" w:eastAsia="Calibri" w:hAnsi="Arial" w:cs="Arial"/>
          <w:color w:val="000000" w:themeColor="text1"/>
          <w:sz w:val="22"/>
          <w:szCs w:val="22"/>
        </w:rPr>
      </w:pPr>
    </w:p>
    <w:p w14:paraId="5420418C" w14:textId="77777777" w:rsidR="00BC3CFF"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t>Teniendo en cuenta las experiencias de implementación del modelo de aplicación de levantamiento por parte de los Gestores Catastrales y Catastros descentralizados, se han realizado varias mesas técnicas conjuntas con la participación del Departamento Nacional de Planeación DNP, Superintendencia de Notariado y Registro SNR, Agencia Nacional de Tierras ANT, Ministerio de Ambiente y Desarrollo Sostenible MADS, Parques Nacionales Naturales PNN y el Instituto Geográfico Agustín Codazzi IGAC en las cuales se han recopilado observaciones y opciones de mejora, para la siguiente versión del modelo.</w:t>
      </w:r>
    </w:p>
    <w:p w14:paraId="747F7A89" w14:textId="77777777" w:rsidR="00BC3CFF" w:rsidRPr="00B710A9" w:rsidRDefault="00BC3CFF" w:rsidP="00BC3CFF">
      <w:pPr>
        <w:pStyle w:val="Prrafodelista"/>
        <w:rPr>
          <w:rStyle w:val="eop"/>
          <w:rFonts w:ascii="Arial" w:eastAsia="Calibri" w:hAnsi="Arial" w:cs="Arial"/>
          <w:color w:val="000000" w:themeColor="text1"/>
          <w:sz w:val="22"/>
          <w:szCs w:val="22"/>
        </w:rPr>
      </w:pPr>
    </w:p>
    <w:p w14:paraId="598CE270" w14:textId="77777777" w:rsidR="00BC3CFF"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t>Se realizó la generación de la base de datos catastral nacional y departamental en el componente alfanumérico correspondiente a esta vigencia para ser dispuesto en el geo portal y datos abiertos de la entidad.</w:t>
      </w:r>
    </w:p>
    <w:p w14:paraId="1CDB4F08" w14:textId="77777777" w:rsidR="00BC3CFF" w:rsidRPr="00B710A9" w:rsidRDefault="00BC3CFF" w:rsidP="00BC3CFF">
      <w:pPr>
        <w:pStyle w:val="Prrafodelista"/>
        <w:rPr>
          <w:rStyle w:val="eop"/>
          <w:rFonts w:ascii="Arial" w:eastAsia="Calibri" w:hAnsi="Arial" w:cs="Arial"/>
          <w:color w:val="000000" w:themeColor="text1"/>
          <w:sz w:val="22"/>
          <w:szCs w:val="22"/>
        </w:rPr>
      </w:pPr>
    </w:p>
    <w:p w14:paraId="0CD7C885" w14:textId="77777777" w:rsidR="003A3A8A" w:rsidRPr="00B710A9" w:rsidRDefault="003A3A8A" w:rsidP="00356A3E">
      <w:pPr>
        <w:pStyle w:val="Prrafodelista"/>
        <w:numPr>
          <w:ilvl w:val="0"/>
          <w:numId w:val="109"/>
        </w:numPr>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r w:rsidRPr="00B710A9">
        <w:rPr>
          <w:rStyle w:val="eop"/>
          <w:rFonts w:ascii="Arial" w:eastAsia="Calibri" w:hAnsi="Arial" w:cs="Arial"/>
          <w:color w:val="000000" w:themeColor="text1"/>
          <w:sz w:val="22"/>
          <w:szCs w:val="22"/>
        </w:rPr>
        <w:t>Realización de dos cruces masivos para la expedición de resoluciones masivas para el cambio de propietario, gracias a los acercamientos con la Superintendencia de Notariado y Registro en la cual se ha permitido el intercambio de información por medio de los canales establecidos por las entidades.</w:t>
      </w:r>
    </w:p>
    <w:p w14:paraId="3F31BBCA" w14:textId="77777777" w:rsidR="00D14B25" w:rsidRPr="00B710A9" w:rsidRDefault="00D14B25" w:rsidP="00D14B25">
      <w:pPr>
        <w:pStyle w:val="Prrafodelista"/>
        <w:rPr>
          <w:rStyle w:val="eop"/>
          <w:rFonts w:ascii="Arial" w:eastAsia="Calibri" w:hAnsi="Arial" w:cs="Arial"/>
          <w:color w:val="000000" w:themeColor="text1"/>
          <w:sz w:val="22"/>
          <w:szCs w:val="22"/>
        </w:rPr>
      </w:pPr>
    </w:p>
    <w:p w14:paraId="44AA362B" w14:textId="77777777" w:rsidR="00D14B25" w:rsidRPr="00B710A9" w:rsidRDefault="00D14B25" w:rsidP="00356A3E">
      <w:pPr>
        <w:pStyle w:val="Prrafodelista"/>
        <w:numPr>
          <w:ilvl w:val="0"/>
          <w:numId w:val="109"/>
        </w:numPr>
        <w:suppressAutoHyphens/>
        <w:overflowPunct w:val="0"/>
        <w:autoSpaceDE w:val="0"/>
        <w:spacing w:after="0" w:line="240" w:lineRule="auto"/>
        <w:contextualSpacing w:val="0"/>
        <w:jc w:val="both"/>
        <w:rPr>
          <w:rFonts w:ascii="Arial" w:hAnsi="Arial" w:cs="Arial"/>
          <w:sz w:val="22"/>
        </w:rPr>
      </w:pPr>
      <w:r w:rsidRPr="00B710A9">
        <w:rPr>
          <w:rFonts w:ascii="Arial" w:hAnsi="Arial" w:cs="Arial"/>
          <w:sz w:val="22"/>
        </w:rPr>
        <w:t>Se generaron 59 caracterizaciones catastrales</w:t>
      </w:r>
      <w:r w:rsidRPr="00B710A9">
        <w:rPr>
          <w:rStyle w:val="Refdenotaalpie"/>
          <w:rFonts w:ascii="Arial" w:hAnsi="Arial" w:cs="Arial"/>
          <w:sz w:val="22"/>
        </w:rPr>
        <w:footnoteReference w:id="6"/>
      </w:r>
      <w:r w:rsidRPr="00B710A9">
        <w:rPr>
          <w:rFonts w:ascii="Arial" w:hAnsi="Arial" w:cs="Arial"/>
          <w:sz w:val="22"/>
        </w:rPr>
        <w:t xml:space="preserve"> en el marco de solicitudes de los municipios con intención de habilitarse como gestores catastrales.</w:t>
      </w:r>
    </w:p>
    <w:p w14:paraId="095BFA03" w14:textId="77777777" w:rsidR="00D14B25" w:rsidRPr="00B710A9" w:rsidRDefault="00D14B25" w:rsidP="00D14B25">
      <w:pPr>
        <w:pStyle w:val="Prrafodelista"/>
        <w:rPr>
          <w:rFonts w:ascii="Arial" w:hAnsi="Arial" w:cs="Arial"/>
          <w:sz w:val="22"/>
        </w:rPr>
      </w:pPr>
    </w:p>
    <w:p w14:paraId="50ECF419" w14:textId="77777777" w:rsidR="00D14B25" w:rsidRPr="00B710A9" w:rsidRDefault="00D14B25" w:rsidP="00356A3E">
      <w:pPr>
        <w:pStyle w:val="Prrafodelista"/>
        <w:numPr>
          <w:ilvl w:val="0"/>
          <w:numId w:val="109"/>
        </w:numPr>
        <w:suppressAutoHyphens/>
        <w:overflowPunct w:val="0"/>
        <w:autoSpaceDE w:val="0"/>
        <w:spacing w:after="0" w:line="240" w:lineRule="auto"/>
        <w:contextualSpacing w:val="0"/>
        <w:jc w:val="both"/>
        <w:rPr>
          <w:rFonts w:ascii="Arial" w:hAnsi="Arial" w:cs="Arial"/>
          <w:sz w:val="22"/>
        </w:rPr>
      </w:pPr>
      <w:r w:rsidRPr="00B710A9">
        <w:rPr>
          <w:rFonts w:ascii="Arial" w:hAnsi="Arial" w:cs="Arial"/>
          <w:sz w:val="22"/>
        </w:rPr>
        <w:t>Se especificó la inclusión del trámite en el Sistema Nacional Catastral - SNC. (sistemas de información que se vienen manejando actualmente en el IGAC).</w:t>
      </w:r>
    </w:p>
    <w:p w14:paraId="21BB0C66" w14:textId="77777777" w:rsidR="00D14B25" w:rsidRPr="00B710A9" w:rsidRDefault="00D14B25" w:rsidP="00D14B25">
      <w:pPr>
        <w:pStyle w:val="Prrafodelista"/>
        <w:rPr>
          <w:rFonts w:ascii="Arial" w:hAnsi="Arial" w:cs="Arial"/>
          <w:sz w:val="22"/>
        </w:rPr>
      </w:pPr>
    </w:p>
    <w:p w14:paraId="2D5D532D" w14:textId="77777777" w:rsidR="00D14B25" w:rsidRPr="00B710A9" w:rsidRDefault="00D14B25" w:rsidP="00356A3E">
      <w:pPr>
        <w:pStyle w:val="Prrafodelista"/>
        <w:numPr>
          <w:ilvl w:val="0"/>
          <w:numId w:val="109"/>
        </w:numPr>
        <w:suppressAutoHyphens/>
        <w:overflowPunct w:val="0"/>
        <w:autoSpaceDE w:val="0"/>
        <w:spacing w:after="0" w:line="240" w:lineRule="auto"/>
        <w:contextualSpacing w:val="0"/>
        <w:jc w:val="both"/>
        <w:rPr>
          <w:rFonts w:ascii="Arial" w:hAnsi="Arial" w:cs="Arial"/>
          <w:sz w:val="22"/>
          <w:szCs w:val="22"/>
        </w:rPr>
      </w:pPr>
      <w:r w:rsidRPr="00B710A9">
        <w:rPr>
          <w:rFonts w:ascii="Arial" w:hAnsi="Arial" w:cs="Arial"/>
          <w:sz w:val="22"/>
          <w:lang w:val="es-MX"/>
        </w:rPr>
        <w:t xml:space="preserve">Se llevó a cabo la transición de la información catastral que venía siendo publicada en el </w:t>
      </w:r>
      <w:proofErr w:type="spellStart"/>
      <w:r w:rsidRPr="00B710A9">
        <w:rPr>
          <w:rFonts w:ascii="Arial" w:hAnsi="Arial" w:cs="Arial"/>
          <w:sz w:val="22"/>
          <w:szCs w:val="22"/>
          <w:lang w:val="es-MX"/>
        </w:rPr>
        <w:t>Geoportal</w:t>
      </w:r>
      <w:proofErr w:type="spellEnd"/>
      <w:r w:rsidRPr="00B710A9">
        <w:rPr>
          <w:rFonts w:ascii="Arial" w:hAnsi="Arial" w:cs="Arial"/>
          <w:sz w:val="22"/>
          <w:szCs w:val="22"/>
          <w:lang w:val="es-MX"/>
        </w:rPr>
        <w:t xml:space="preserve"> del IGAC a la Plataforma Colombia en mapas.</w:t>
      </w:r>
    </w:p>
    <w:p w14:paraId="2F80B532" w14:textId="77777777" w:rsidR="00D14B25" w:rsidRPr="00B710A9" w:rsidRDefault="00D14B25" w:rsidP="00D14B25">
      <w:pPr>
        <w:pStyle w:val="Prrafodelista"/>
        <w:rPr>
          <w:rFonts w:ascii="Arial" w:hAnsi="Arial" w:cs="Arial"/>
          <w:sz w:val="22"/>
          <w:szCs w:val="22"/>
        </w:rPr>
      </w:pPr>
    </w:p>
    <w:p w14:paraId="704CB4FE" w14:textId="22C19E5D" w:rsidR="00D14B25" w:rsidRPr="00B710A9" w:rsidRDefault="00D14B25" w:rsidP="00356A3E">
      <w:pPr>
        <w:pStyle w:val="Prrafodelista"/>
        <w:numPr>
          <w:ilvl w:val="0"/>
          <w:numId w:val="109"/>
        </w:numPr>
        <w:spacing w:line="240" w:lineRule="auto"/>
        <w:jc w:val="both"/>
        <w:rPr>
          <w:rFonts w:ascii="Arial" w:hAnsi="Arial" w:cs="Arial"/>
          <w:sz w:val="22"/>
          <w:szCs w:val="22"/>
        </w:rPr>
      </w:pPr>
      <w:r w:rsidRPr="00B710A9">
        <w:rPr>
          <w:rFonts w:ascii="Arial" w:hAnsi="Arial" w:cs="Arial"/>
          <w:sz w:val="22"/>
          <w:szCs w:val="22"/>
        </w:rPr>
        <w:t>Se finalizó la migración de la información catastral que estaba manejándose bajo la plataforma COBOL al Sistema Nacional Catastral, por parte de las Direcciones Territoriales, con fecha de inicio de operación 30</w:t>
      </w:r>
      <w:r w:rsidR="00291970" w:rsidRPr="00B710A9">
        <w:rPr>
          <w:rFonts w:ascii="Arial" w:hAnsi="Arial" w:cs="Arial"/>
          <w:sz w:val="22"/>
          <w:szCs w:val="22"/>
        </w:rPr>
        <w:t xml:space="preserve"> de mayo de </w:t>
      </w:r>
      <w:r w:rsidRPr="00B710A9">
        <w:rPr>
          <w:rFonts w:ascii="Arial" w:hAnsi="Arial" w:cs="Arial"/>
          <w:sz w:val="22"/>
          <w:szCs w:val="22"/>
        </w:rPr>
        <w:t>2022.</w:t>
      </w:r>
    </w:p>
    <w:p w14:paraId="49C877B3" w14:textId="77777777" w:rsidR="00D14B25" w:rsidRPr="00B710A9" w:rsidRDefault="00D14B25" w:rsidP="00356A3E">
      <w:pPr>
        <w:pStyle w:val="Prrafodelista"/>
        <w:numPr>
          <w:ilvl w:val="0"/>
          <w:numId w:val="109"/>
        </w:numPr>
        <w:spacing w:line="240" w:lineRule="auto"/>
        <w:jc w:val="both"/>
        <w:rPr>
          <w:rFonts w:ascii="Arial" w:hAnsi="Arial" w:cs="Arial"/>
          <w:sz w:val="22"/>
          <w:szCs w:val="22"/>
        </w:rPr>
      </w:pPr>
      <w:r w:rsidRPr="00B710A9">
        <w:rPr>
          <w:rFonts w:ascii="Arial" w:hAnsi="Arial" w:cs="Arial"/>
          <w:sz w:val="22"/>
          <w:szCs w:val="22"/>
        </w:rPr>
        <w:t>Entró en operación el sistema VIVI por la cual los usuarios pueden de manera virtual radicar los tramites catastrales de predios de jurisdicción del IGAC.</w:t>
      </w:r>
    </w:p>
    <w:p w14:paraId="2AA4D895" w14:textId="77777777" w:rsidR="00D14B25" w:rsidRPr="00B710A9" w:rsidRDefault="00D14B25" w:rsidP="00356A3E">
      <w:pPr>
        <w:pStyle w:val="Prrafodelista"/>
        <w:numPr>
          <w:ilvl w:val="0"/>
          <w:numId w:val="109"/>
        </w:numPr>
        <w:spacing w:line="240" w:lineRule="auto"/>
        <w:jc w:val="both"/>
        <w:rPr>
          <w:rFonts w:ascii="Arial" w:hAnsi="Arial" w:cs="Arial"/>
          <w:sz w:val="22"/>
          <w:szCs w:val="22"/>
        </w:rPr>
      </w:pPr>
      <w:r w:rsidRPr="00B710A9">
        <w:rPr>
          <w:rFonts w:ascii="Arial" w:hAnsi="Arial" w:cs="Arial"/>
          <w:sz w:val="22"/>
          <w:szCs w:val="22"/>
        </w:rPr>
        <w:t>Dentro del sistema VIVI se encuentra en desarrollo la incorporación la mutación de quinta y la inclusión de legitimidad del solicitante de tal forma que usuarios diferentes al propietario puedan hacer uso de la ventanilla virtual; adicionalmente desde la Dirección de Gestión Catastral se está trabajando el documento que contiene los requerimientos funcionales necesarios para agregar la solicitud de avalúos comerciales.</w:t>
      </w:r>
    </w:p>
    <w:p w14:paraId="53A01425" w14:textId="77777777" w:rsidR="00D14B25" w:rsidRPr="00B710A9" w:rsidRDefault="00D14B25" w:rsidP="00291970">
      <w:pPr>
        <w:pStyle w:val="Prrafodelista"/>
        <w:pBdr>
          <w:top w:val="nil"/>
          <w:left w:val="nil"/>
          <w:bottom w:val="nil"/>
          <w:right w:val="nil"/>
          <w:between w:val="nil"/>
        </w:pBdr>
        <w:spacing w:after="0" w:line="240" w:lineRule="auto"/>
        <w:jc w:val="both"/>
        <w:rPr>
          <w:rStyle w:val="eop"/>
          <w:rFonts w:ascii="Arial" w:eastAsia="Calibri" w:hAnsi="Arial" w:cs="Arial"/>
          <w:color w:val="000000" w:themeColor="text1"/>
          <w:sz w:val="22"/>
          <w:szCs w:val="22"/>
        </w:rPr>
      </w:pPr>
    </w:p>
    <w:p w14:paraId="6ED225BF" w14:textId="77777777" w:rsidR="00522D8A" w:rsidRPr="00B710A9" w:rsidRDefault="00522D8A" w:rsidP="00522D8A">
      <w:pPr>
        <w:pBdr>
          <w:top w:val="nil"/>
          <w:left w:val="nil"/>
          <w:bottom w:val="nil"/>
          <w:right w:val="nil"/>
          <w:between w:val="nil"/>
        </w:pBdr>
        <w:spacing w:after="0" w:line="240" w:lineRule="auto"/>
        <w:jc w:val="both"/>
        <w:rPr>
          <w:rStyle w:val="eop"/>
          <w:rFonts w:asciiTheme="minorHAnsi" w:hAnsiTheme="minorHAnsi" w:cstheme="minorHAnsi"/>
          <w:shd w:val="clear" w:color="auto" w:fill="FFFFFF"/>
        </w:rPr>
      </w:pPr>
    </w:p>
    <w:p w14:paraId="0EFEF46B" w14:textId="77777777" w:rsidR="00522D8A" w:rsidRPr="00B710A9" w:rsidRDefault="00522D8A" w:rsidP="00522D8A">
      <w:pPr>
        <w:pBdr>
          <w:top w:val="nil"/>
          <w:left w:val="nil"/>
          <w:bottom w:val="nil"/>
          <w:right w:val="nil"/>
          <w:between w:val="nil"/>
        </w:pBdr>
        <w:spacing w:after="0" w:line="240" w:lineRule="auto"/>
        <w:jc w:val="both"/>
        <w:rPr>
          <w:rFonts w:ascii="Arial" w:hAnsi="Arial" w:cs="Arial"/>
          <w:b/>
          <w:bCs/>
          <w:color w:val="000000" w:themeColor="text1"/>
          <w:sz w:val="22"/>
          <w:szCs w:val="22"/>
          <w:u w:val="single"/>
        </w:rPr>
      </w:pPr>
      <w:r w:rsidRPr="00B710A9">
        <w:rPr>
          <w:rFonts w:ascii="Arial" w:hAnsi="Arial" w:cs="Arial"/>
          <w:b/>
          <w:bCs/>
          <w:color w:val="000000" w:themeColor="text1"/>
          <w:sz w:val="22"/>
          <w:szCs w:val="22"/>
          <w:u w:val="single"/>
        </w:rPr>
        <w:t>Habilitación de gestores catastrales</w:t>
      </w:r>
    </w:p>
    <w:p w14:paraId="65F3733A" w14:textId="77777777" w:rsidR="00522D8A" w:rsidRPr="00B710A9" w:rsidRDefault="00522D8A" w:rsidP="00522D8A">
      <w:pPr>
        <w:pBdr>
          <w:top w:val="nil"/>
          <w:left w:val="nil"/>
          <w:bottom w:val="nil"/>
          <w:right w:val="nil"/>
          <w:between w:val="nil"/>
        </w:pBdr>
        <w:spacing w:after="0" w:line="240" w:lineRule="auto"/>
        <w:jc w:val="both"/>
        <w:rPr>
          <w:rFonts w:asciiTheme="minorHAnsi" w:hAnsiTheme="minorHAnsi" w:cstheme="minorBidi"/>
          <w:color w:val="000000" w:themeColor="text1"/>
        </w:rPr>
      </w:pPr>
    </w:p>
    <w:p w14:paraId="4798676A" w14:textId="77777777" w:rsidR="00522D8A" w:rsidRPr="00B710A9" w:rsidRDefault="00522D8A" w:rsidP="00522D8A">
      <w:pP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 xml:space="preserve">De acuerdo con la Ley 1955 de 2019 del Plan Nacional de Desarrollo, la gestión catastral será prestada por: i) Una autoridad catastral nacional que regulará la gestión catastral, y estará a cargo del Instituto Geográfico Agustín Codazzi (IGAC); </w:t>
      </w:r>
      <w:proofErr w:type="spellStart"/>
      <w:r w:rsidRPr="00B710A9">
        <w:rPr>
          <w:rFonts w:ascii="Arial" w:hAnsi="Arial" w:cs="Arial"/>
          <w:color w:val="000000" w:themeColor="text1"/>
          <w:sz w:val="22"/>
          <w:szCs w:val="22"/>
        </w:rPr>
        <w:t>ii</w:t>
      </w:r>
      <w:proofErr w:type="spellEnd"/>
      <w:r w:rsidRPr="00B710A9">
        <w:rPr>
          <w:rFonts w:ascii="Arial" w:hAnsi="Arial" w:cs="Arial"/>
          <w:color w:val="000000" w:themeColor="text1"/>
          <w:sz w:val="22"/>
          <w:szCs w:val="22"/>
        </w:rPr>
        <w:t xml:space="preserve">) Por gestores catastrales, encargados de adelantar la formación, actualización, conservación y difusión catastral, así como los procedimientos del enfoque catastral multipropósito adoptados para el efecto; y </w:t>
      </w:r>
      <w:proofErr w:type="spellStart"/>
      <w:r w:rsidRPr="00B710A9">
        <w:rPr>
          <w:rFonts w:ascii="Arial" w:hAnsi="Arial" w:cs="Arial"/>
          <w:color w:val="000000" w:themeColor="text1"/>
          <w:sz w:val="22"/>
          <w:szCs w:val="22"/>
        </w:rPr>
        <w:t>iii</w:t>
      </w:r>
      <w:proofErr w:type="spellEnd"/>
      <w:r w:rsidRPr="00B710A9">
        <w:rPr>
          <w:rFonts w:ascii="Arial" w:hAnsi="Arial" w:cs="Arial"/>
          <w:color w:val="000000" w:themeColor="text1"/>
          <w:sz w:val="22"/>
          <w:szCs w:val="22"/>
        </w:rPr>
        <w:t>) Por operadores catastrales, quienes desarrollarán labores operativas relativas a la gestión catastral.</w:t>
      </w:r>
    </w:p>
    <w:p w14:paraId="3CC42433" w14:textId="77777777" w:rsidR="00522D8A" w:rsidRPr="00B710A9" w:rsidRDefault="00522D8A" w:rsidP="00522D8A">
      <w:pPr>
        <w:spacing w:after="0" w:line="240" w:lineRule="auto"/>
        <w:jc w:val="both"/>
        <w:rPr>
          <w:rFonts w:ascii="Arial" w:hAnsi="Arial" w:cs="Arial"/>
          <w:color w:val="000000" w:themeColor="text1"/>
          <w:sz w:val="22"/>
          <w:szCs w:val="22"/>
        </w:rPr>
      </w:pPr>
    </w:p>
    <w:p w14:paraId="4BAD986F" w14:textId="77777777" w:rsidR="00522D8A" w:rsidRPr="00B710A9" w:rsidRDefault="00522D8A" w:rsidP="00522D8A">
      <w:pP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El IGAC será la máxima autoridad catastral nacional y prestador por excepción del servicio público de catastro, en ausencia de gestores catastrales habilitados. En su rol de autoridad catastral, el IGAC mantendrá la función reguladora y ejecutora en materia de gestión catastral, agrología, cartografía, geografía y geodesia.</w:t>
      </w:r>
    </w:p>
    <w:p w14:paraId="5DBDC758" w14:textId="77777777" w:rsidR="00522D8A" w:rsidRPr="00B710A9" w:rsidRDefault="00522D8A" w:rsidP="00522D8A">
      <w:pPr>
        <w:spacing w:after="0" w:line="240" w:lineRule="auto"/>
        <w:jc w:val="both"/>
        <w:rPr>
          <w:rFonts w:ascii="Arial" w:hAnsi="Arial" w:cs="Arial"/>
          <w:color w:val="000000" w:themeColor="text1"/>
          <w:sz w:val="22"/>
          <w:szCs w:val="22"/>
        </w:rPr>
      </w:pPr>
    </w:p>
    <w:p w14:paraId="54955FD2" w14:textId="77777777" w:rsidR="00522D8A" w:rsidRPr="00B710A9" w:rsidRDefault="00522D8A" w:rsidP="00522D8A">
      <w:pP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El IGAC, previo cumplimiento de las condiciones jurídicas, técnicas, económicas y financieras, definidas en el respectivo marco regulatorio, habilitará como gestores catastrales para la prestación del servicio catastral a las entidades públicas nacionales o territoriales, incluyendo, entre otros, esquemas asociativos de entidades territoriales.</w:t>
      </w:r>
    </w:p>
    <w:p w14:paraId="0189E7DD" w14:textId="77777777" w:rsidR="00522D8A" w:rsidRPr="00B710A9" w:rsidRDefault="00522D8A" w:rsidP="00522D8A">
      <w:pPr>
        <w:spacing w:after="0" w:line="240" w:lineRule="auto"/>
        <w:jc w:val="both"/>
        <w:rPr>
          <w:rFonts w:ascii="Arial" w:hAnsi="Arial" w:cs="Arial"/>
          <w:color w:val="000000" w:themeColor="text1"/>
          <w:sz w:val="22"/>
          <w:szCs w:val="22"/>
        </w:rPr>
      </w:pPr>
    </w:p>
    <w:p w14:paraId="2290C455" w14:textId="77777777" w:rsidR="00522D8A" w:rsidRPr="00B710A9" w:rsidRDefault="00522D8A" w:rsidP="00522D8A">
      <w:pP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 xml:space="preserve">Los gestores catastrales podrán adelantar la gestión catastral para la formación, actualización y conservación catastral, así como los procedimientos del enfoque catastral multipropósito que sean adoptados, directamente o mediante la contratación de operadores </w:t>
      </w:r>
      <w:r w:rsidRPr="00B710A9">
        <w:rPr>
          <w:rFonts w:ascii="Arial" w:hAnsi="Arial" w:cs="Arial"/>
          <w:color w:val="000000" w:themeColor="text1"/>
          <w:sz w:val="22"/>
          <w:szCs w:val="22"/>
        </w:rPr>
        <w:lastRenderedPageBreak/>
        <w:t>catastrales. En este contexto, de acuerdo con el Plan en mención, la meta de habilitación de gestores catastrales corresponde a la habilitación de 20 gestores para el cuatrienio 2018-2022, frente a lo cual IGAC obtuvo los siguientes logros:</w:t>
      </w:r>
    </w:p>
    <w:p w14:paraId="26C8A974" w14:textId="77777777" w:rsidR="00522D8A" w:rsidRPr="00B710A9" w:rsidRDefault="00522D8A" w:rsidP="00522D8A">
      <w:pPr>
        <w:spacing w:after="0" w:line="240" w:lineRule="auto"/>
        <w:jc w:val="both"/>
        <w:rPr>
          <w:rFonts w:ascii="Arial" w:hAnsi="Arial" w:cs="Arial"/>
          <w:color w:val="000000" w:themeColor="text1"/>
          <w:sz w:val="22"/>
          <w:szCs w:val="22"/>
        </w:rPr>
      </w:pPr>
    </w:p>
    <w:p w14:paraId="7B198B6F" w14:textId="7FF4E766" w:rsidR="00522D8A" w:rsidRPr="00B710A9" w:rsidRDefault="00522D8A" w:rsidP="00947846">
      <w:pPr>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rPr>
        <w:t>A 30 de junio de 202</w:t>
      </w:r>
      <w:r w:rsidR="005E0571" w:rsidRPr="00B710A9">
        <w:rPr>
          <w:rFonts w:ascii="Arial" w:eastAsia="Calibri" w:hAnsi="Arial" w:cs="Arial"/>
          <w:color w:val="000000" w:themeColor="text1"/>
          <w:sz w:val="22"/>
          <w:szCs w:val="22"/>
        </w:rPr>
        <w:t>2</w:t>
      </w:r>
      <w:r w:rsidRPr="00B710A9">
        <w:rPr>
          <w:rFonts w:ascii="Arial" w:eastAsia="Calibri" w:hAnsi="Arial" w:cs="Arial"/>
          <w:color w:val="000000" w:themeColor="text1"/>
          <w:sz w:val="22"/>
          <w:szCs w:val="22"/>
        </w:rPr>
        <w:t xml:space="preserve"> se logró la habilitación de</w:t>
      </w:r>
      <w:r w:rsidR="00947846" w:rsidRPr="00B710A9">
        <w:rPr>
          <w:rFonts w:ascii="Arial" w:eastAsia="Arial" w:hAnsi="Arial" w:cs="Arial"/>
          <w:color w:val="000000" w:themeColor="text1"/>
          <w:sz w:val="22"/>
          <w:szCs w:val="22"/>
        </w:rPr>
        <w:t xml:space="preserve"> 42 gestores catastrales a los cuales les corresponde una jurisdicción de 264 municipios,</w:t>
      </w:r>
      <w:r w:rsidRPr="00B710A9">
        <w:rPr>
          <w:rFonts w:ascii="Arial" w:eastAsia="Calibri" w:hAnsi="Arial" w:cs="Arial"/>
          <w:color w:val="000000" w:themeColor="text1"/>
          <w:sz w:val="22"/>
          <w:szCs w:val="22"/>
        </w:rPr>
        <w:t xml:space="preserve"> obteniendo un avance del </w:t>
      </w:r>
      <w:r w:rsidR="00006C26" w:rsidRPr="00B710A9">
        <w:rPr>
          <w:rFonts w:ascii="Arial" w:eastAsia="Calibri" w:hAnsi="Arial" w:cs="Arial"/>
          <w:color w:val="000000" w:themeColor="text1"/>
          <w:sz w:val="22"/>
          <w:szCs w:val="22"/>
        </w:rPr>
        <w:t>210</w:t>
      </w:r>
      <w:r w:rsidRPr="00B710A9">
        <w:rPr>
          <w:rFonts w:ascii="Arial" w:eastAsia="Calibri" w:hAnsi="Arial" w:cs="Arial"/>
          <w:color w:val="000000" w:themeColor="text1"/>
          <w:sz w:val="22"/>
          <w:szCs w:val="22"/>
        </w:rPr>
        <w:t>% de la meta del Plan Nacional de Desarrollo 2018-2022, definida en 20 gestores. A continuación, se presentan los gestores catastrales habilitados:</w:t>
      </w:r>
    </w:p>
    <w:p w14:paraId="1E07240A" w14:textId="77777777" w:rsidR="00522D8A" w:rsidRPr="00B710A9" w:rsidRDefault="00522D8A" w:rsidP="00522D8A">
      <w:pPr>
        <w:spacing w:after="0" w:line="240" w:lineRule="auto"/>
        <w:jc w:val="both"/>
        <w:rPr>
          <w:color w:val="000000" w:themeColor="text1"/>
        </w:rPr>
      </w:pPr>
    </w:p>
    <w:p w14:paraId="048BC26B" w14:textId="537604D4" w:rsidR="009A4BC8" w:rsidRPr="00B710A9" w:rsidRDefault="009A4BC8" w:rsidP="009A4BC8">
      <w:pPr>
        <w:pStyle w:val="Descripcin"/>
        <w:keepNext/>
        <w:jc w:val="center"/>
        <w:rPr>
          <w:rFonts w:ascii="Arial" w:hAnsi="Arial" w:cs="Arial"/>
          <w:b/>
          <w:bCs/>
          <w:i w:val="0"/>
          <w:iCs w:val="0"/>
          <w:color w:val="000000" w:themeColor="text1"/>
          <w:sz w:val="16"/>
          <w:szCs w:val="16"/>
        </w:rPr>
      </w:pPr>
      <w:bookmarkStart w:id="55" w:name="_Toc109057748"/>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18</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Gestores catastrales habilitados corte a 2022</w:t>
      </w:r>
      <w:bookmarkEnd w:id="55"/>
    </w:p>
    <w:tbl>
      <w:tblPr>
        <w:tblStyle w:val="Tablaconcuadrcula4-nfasis1"/>
        <w:tblW w:w="0" w:type="auto"/>
        <w:tblLook w:val="04A0" w:firstRow="1" w:lastRow="0" w:firstColumn="1" w:lastColumn="0" w:noHBand="0" w:noVBand="1"/>
      </w:tblPr>
      <w:tblGrid>
        <w:gridCol w:w="483"/>
        <w:gridCol w:w="3290"/>
        <w:gridCol w:w="3170"/>
        <w:gridCol w:w="1885"/>
      </w:tblGrid>
      <w:tr w:rsidR="00947846" w:rsidRPr="00B710A9" w14:paraId="253FC9E3" w14:textId="77777777" w:rsidTr="005D574B">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3773" w:type="dxa"/>
            <w:gridSpan w:val="2"/>
            <w:hideMark/>
          </w:tcPr>
          <w:p w14:paraId="5E8903E3" w14:textId="77777777" w:rsidR="00947846" w:rsidRPr="00B710A9" w:rsidRDefault="00947846" w:rsidP="005D574B">
            <w:pPr>
              <w:jc w:val="center"/>
              <w:rPr>
                <w:rFonts w:ascii="Arial" w:eastAsia="Arial" w:hAnsi="Arial" w:cs="Arial"/>
                <w:b w:val="0"/>
                <w:bCs w:val="0"/>
                <w:sz w:val="18"/>
                <w:szCs w:val="18"/>
                <w:lang w:eastAsia="es-ES_tradnl"/>
              </w:rPr>
            </w:pPr>
            <w:r w:rsidRPr="00B710A9">
              <w:rPr>
                <w:rFonts w:ascii="Arial" w:eastAsia="Arial" w:hAnsi="Arial" w:cs="Arial"/>
                <w:sz w:val="18"/>
                <w:szCs w:val="18"/>
                <w:lang w:eastAsia="es-ES_tradnl"/>
              </w:rPr>
              <w:t>Gestor Catastral</w:t>
            </w:r>
          </w:p>
        </w:tc>
        <w:tc>
          <w:tcPr>
            <w:tcW w:w="3170" w:type="dxa"/>
            <w:hideMark/>
          </w:tcPr>
          <w:p w14:paraId="4966FE5F" w14:textId="77777777" w:rsidR="00947846" w:rsidRPr="00B710A9" w:rsidRDefault="00947846" w:rsidP="005D574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lang w:eastAsia="es-ES_tradnl"/>
              </w:rPr>
            </w:pPr>
            <w:r w:rsidRPr="00B710A9">
              <w:rPr>
                <w:rFonts w:ascii="Arial" w:eastAsia="Arial" w:hAnsi="Arial" w:cs="Arial"/>
                <w:sz w:val="18"/>
                <w:szCs w:val="18"/>
                <w:lang w:eastAsia="es-ES_tradnl"/>
              </w:rPr>
              <w:t>Acto administrativo de habilitación</w:t>
            </w:r>
          </w:p>
        </w:tc>
        <w:tc>
          <w:tcPr>
            <w:tcW w:w="1885" w:type="dxa"/>
            <w:hideMark/>
          </w:tcPr>
          <w:p w14:paraId="0F39535D" w14:textId="77777777" w:rsidR="00947846" w:rsidRPr="00B710A9" w:rsidRDefault="00947846" w:rsidP="005D574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lang w:eastAsia="es-ES_tradnl"/>
              </w:rPr>
            </w:pPr>
            <w:r w:rsidRPr="00B710A9">
              <w:rPr>
                <w:rFonts w:ascii="Arial" w:eastAsia="Arial" w:hAnsi="Arial" w:cs="Arial"/>
                <w:sz w:val="18"/>
                <w:szCs w:val="18"/>
                <w:lang w:eastAsia="es-ES_tradnl"/>
              </w:rPr>
              <w:t>No. Municipios</w:t>
            </w:r>
          </w:p>
        </w:tc>
      </w:tr>
      <w:tr w:rsidR="00947846" w:rsidRPr="00B710A9" w14:paraId="447E1A80" w14:textId="77777777" w:rsidTr="005D574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83" w:type="dxa"/>
            <w:noWrap/>
            <w:hideMark/>
          </w:tcPr>
          <w:p w14:paraId="1B30DEA9"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1</w:t>
            </w:r>
          </w:p>
        </w:tc>
        <w:tc>
          <w:tcPr>
            <w:tcW w:w="3290" w:type="dxa"/>
            <w:hideMark/>
          </w:tcPr>
          <w:p w14:paraId="3CDAC107"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Dirección de Sistemas de Información y Catastro Antioquia</w:t>
            </w:r>
          </w:p>
        </w:tc>
        <w:tc>
          <w:tcPr>
            <w:tcW w:w="3170" w:type="dxa"/>
            <w:hideMark/>
          </w:tcPr>
          <w:p w14:paraId="2F2BF5E5"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Ley 1955 de 2019</w:t>
            </w:r>
          </w:p>
        </w:tc>
        <w:tc>
          <w:tcPr>
            <w:tcW w:w="1885" w:type="dxa"/>
            <w:noWrap/>
            <w:hideMark/>
          </w:tcPr>
          <w:p w14:paraId="44852F8D"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114</w:t>
            </w:r>
          </w:p>
        </w:tc>
      </w:tr>
      <w:tr w:rsidR="00947846" w:rsidRPr="00B710A9" w14:paraId="6997DC07" w14:textId="77777777" w:rsidTr="005D574B">
        <w:trPr>
          <w:trHeight w:val="255"/>
        </w:trPr>
        <w:tc>
          <w:tcPr>
            <w:cnfStyle w:val="001000000000" w:firstRow="0" w:lastRow="0" w:firstColumn="1" w:lastColumn="0" w:oddVBand="0" w:evenVBand="0" w:oddHBand="0" w:evenHBand="0" w:firstRowFirstColumn="0" w:firstRowLastColumn="0" w:lastRowFirstColumn="0" w:lastRowLastColumn="0"/>
            <w:tcW w:w="483" w:type="dxa"/>
            <w:noWrap/>
            <w:hideMark/>
          </w:tcPr>
          <w:p w14:paraId="34CB7804"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2</w:t>
            </w:r>
          </w:p>
        </w:tc>
        <w:tc>
          <w:tcPr>
            <w:tcW w:w="3290" w:type="dxa"/>
            <w:hideMark/>
          </w:tcPr>
          <w:p w14:paraId="7CC81148"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Barranquilla</w:t>
            </w:r>
          </w:p>
        </w:tc>
        <w:tc>
          <w:tcPr>
            <w:tcW w:w="3170" w:type="dxa"/>
            <w:hideMark/>
          </w:tcPr>
          <w:p w14:paraId="224C0393"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Ley 1955 de 2019</w:t>
            </w:r>
          </w:p>
        </w:tc>
        <w:tc>
          <w:tcPr>
            <w:tcW w:w="1885" w:type="dxa"/>
            <w:noWrap/>
            <w:hideMark/>
          </w:tcPr>
          <w:p w14:paraId="5931E12A"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4A17EF06" w14:textId="77777777" w:rsidTr="005D57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3" w:type="dxa"/>
            <w:noWrap/>
            <w:hideMark/>
          </w:tcPr>
          <w:p w14:paraId="01E0D53C"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3</w:t>
            </w:r>
          </w:p>
        </w:tc>
        <w:tc>
          <w:tcPr>
            <w:tcW w:w="3290" w:type="dxa"/>
            <w:hideMark/>
          </w:tcPr>
          <w:p w14:paraId="2961065C"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Subdirección de Catastro Municipal de Cali</w:t>
            </w:r>
          </w:p>
        </w:tc>
        <w:tc>
          <w:tcPr>
            <w:tcW w:w="3170" w:type="dxa"/>
            <w:hideMark/>
          </w:tcPr>
          <w:p w14:paraId="0A3DCDAC"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Ley 1955 de 2019</w:t>
            </w:r>
          </w:p>
        </w:tc>
        <w:tc>
          <w:tcPr>
            <w:tcW w:w="1885" w:type="dxa"/>
            <w:noWrap/>
            <w:hideMark/>
          </w:tcPr>
          <w:p w14:paraId="0007E63A"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00490CEB" w14:textId="77777777" w:rsidTr="005D574B">
        <w:trPr>
          <w:trHeight w:val="255"/>
        </w:trPr>
        <w:tc>
          <w:tcPr>
            <w:cnfStyle w:val="001000000000" w:firstRow="0" w:lastRow="0" w:firstColumn="1" w:lastColumn="0" w:oddVBand="0" w:evenVBand="0" w:oddHBand="0" w:evenHBand="0" w:firstRowFirstColumn="0" w:firstRowLastColumn="0" w:lastRowFirstColumn="0" w:lastRowLastColumn="0"/>
            <w:tcW w:w="483" w:type="dxa"/>
            <w:noWrap/>
            <w:hideMark/>
          </w:tcPr>
          <w:p w14:paraId="13399C9D"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4</w:t>
            </w:r>
          </w:p>
        </w:tc>
        <w:tc>
          <w:tcPr>
            <w:tcW w:w="3290" w:type="dxa"/>
            <w:hideMark/>
          </w:tcPr>
          <w:p w14:paraId="2439F593"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Subsecretaría de Catastro de Medellín</w:t>
            </w:r>
          </w:p>
        </w:tc>
        <w:tc>
          <w:tcPr>
            <w:tcW w:w="3170" w:type="dxa"/>
            <w:hideMark/>
          </w:tcPr>
          <w:p w14:paraId="5E8EC744"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Ley 1955 de 2019</w:t>
            </w:r>
          </w:p>
        </w:tc>
        <w:tc>
          <w:tcPr>
            <w:tcW w:w="1885" w:type="dxa"/>
            <w:noWrap/>
            <w:hideMark/>
          </w:tcPr>
          <w:p w14:paraId="267F64C1"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4BAD3AAD" w14:textId="77777777" w:rsidTr="005D57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3" w:type="dxa"/>
            <w:noWrap/>
            <w:hideMark/>
          </w:tcPr>
          <w:p w14:paraId="0D814DD2"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5</w:t>
            </w:r>
          </w:p>
        </w:tc>
        <w:tc>
          <w:tcPr>
            <w:tcW w:w="3290" w:type="dxa"/>
            <w:hideMark/>
          </w:tcPr>
          <w:p w14:paraId="3493187B"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Unidad Administrativa Especial de Catastro Distrital Bogotá</w:t>
            </w:r>
          </w:p>
        </w:tc>
        <w:tc>
          <w:tcPr>
            <w:tcW w:w="3170" w:type="dxa"/>
            <w:hideMark/>
          </w:tcPr>
          <w:p w14:paraId="0A1EE875"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Ley 1955 de 2019</w:t>
            </w:r>
          </w:p>
        </w:tc>
        <w:tc>
          <w:tcPr>
            <w:tcW w:w="1885" w:type="dxa"/>
            <w:noWrap/>
            <w:hideMark/>
          </w:tcPr>
          <w:p w14:paraId="5EC877EA"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7CC1B55F" w14:textId="77777777" w:rsidTr="005D574B">
        <w:trPr>
          <w:trHeight w:val="255"/>
        </w:trPr>
        <w:tc>
          <w:tcPr>
            <w:cnfStyle w:val="001000000000" w:firstRow="0" w:lastRow="0" w:firstColumn="1" w:lastColumn="0" w:oddVBand="0" w:evenVBand="0" w:oddHBand="0" w:evenHBand="0" w:firstRowFirstColumn="0" w:firstRowLastColumn="0" w:lastRowFirstColumn="0" w:lastRowLastColumn="0"/>
            <w:tcW w:w="483" w:type="dxa"/>
            <w:noWrap/>
          </w:tcPr>
          <w:p w14:paraId="4FB0E38D"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6</w:t>
            </w:r>
          </w:p>
          <w:p w14:paraId="501676DB" w14:textId="77777777" w:rsidR="00947846" w:rsidRPr="00B710A9" w:rsidRDefault="00947846" w:rsidP="005D574B">
            <w:pPr>
              <w:rPr>
                <w:rFonts w:ascii="Arial" w:eastAsia="Arial" w:hAnsi="Arial" w:cs="Arial"/>
                <w:sz w:val="18"/>
                <w:szCs w:val="18"/>
                <w:lang w:eastAsia="es-ES_tradnl"/>
              </w:rPr>
            </w:pPr>
          </w:p>
        </w:tc>
        <w:tc>
          <w:tcPr>
            <w:tcW w:w="3290" w:type="dxa"/>
            <w:hideMark/>
          </w:tcPr>
          <w:p w14:paraId="08DA9936"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Agencia Nacional de Tierras</w:t>
            </w:r>
          </w:p>
        </w:tc>
        <w:tc>
          <w:tcPr>
            <w:tcW w:w="3170" w:type="dxa"/>
            <w:hideMark/>
          </w:tcPr>
          <w:p w14:paraId="45346470"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Ley 1955 de 2019</w:t>
            </w:r>
          </w:p>
        </w:tc>
        <w:tc>
          <w:tcPr>
            <w:tcW w:w="1885" w:type="dxa"/>
            <w:noWrap/>
            <w:hideMark/>
          </w:tcPr>
          <w:p w14:paraId="05FE02E5"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 xml:space="preserve">Nacional </w:t>
            </w:r>
          </w:p>
        </w:tc>
      </w:tr>
      <w:tr w:rsidR="00947846" w:rsidRPr="00B710A9" w14:paraId="1D095C53" w14:textId="77777777" w:rsidTr="005D574B">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483" w:type="dxa"/>
            <w:noWrap/>
            <w:hideMark/>
          </w:tcPr>
          <w:p w14:paraId="2E5807D5"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7</w:t>
            </w:r>
          </w:p>
        </w:tc>
        <w:tc>
          <w:tcPr>
            <w:tcW w:w="3290" w:type="dxa"/>
            <w:hideMark/>
          </w:tcPr>
          <w:p w14:paraId="023135D9"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Área Metropolitana de Bucaramanga AMB</w:t>
            </w:r>
          </w:p>
        </w:tc>
        <w:tc>
          <w:tcPr>
            <w:tcW w:w="3170" w:type="dxa"/>
            <w:hideMark/>
          </w:tcPr>
          <w:p w14:paraId="34EB738A"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1267 de 2019</w:t>
            </w:r>
          </w:p>
        </w:tc>
        <w:tc>
          <w:tcPr>
            <w:tcW w:w="1885" w:type="dxa"/>
            <w:noWrap/>
            <w:hideMark/>
          </w:tcPr>
          <w:p w14:paraId="47BC4755"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4</w:t>
            </w:r>
          </w:p>
        </w:tc>
      </w:tr>
      <w:tr w:rsidR="00947846" w:rsidRPr="00B710A9" w14:paraId="691BBB28" w14:textId="77777777" w:rsidTr="005D574B">
        <w:trPr>
          <w:trHeight w:val="525"/>
        </w:trPr>
        <w:tc>
          <w:tcPr>
            <w:cnfStyle w:val="001000000000" w:firstRow="0" w:lastRow="0" w:firstColumn="1" w:lastColumn="0" w:oddVBand="0" w:evenVBand="0" w:oddHBand="0" w:evenHBand="0" w:firstRowFirstColumn="0" w:firstRowLastColumn="0" w:lastRowFirstColumn="0" w:lastRowLastColumn="0"/>
            <w:tcW w:w="483" w:type="dxa"/>
            <w:noWrap/>
            <w:hideMark/>
          </w:tcPr>
          <w:p w14:paraId="0B27AAD5"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8</w:t>
            </w:r>
          </w:p>
        </w:tc>
        <w:tc>
          <w:tcPr>
            <w:tcW w:w="3290" w:type="dxa"/>
            <w:hideMark/>
          </w:tcPr>
          <w:p w14:paraId="0BD15638"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Área Metropolitana de Centro Occidente AMCO</w:t>
            </w:r>
          </w:p>
        </w:tc>
        <w:tc>
          <w:tcPr>
            <w:tcW w:w="3170" w:type="dxa"/>
            <w:hideMark/>
          </w:tcPr>
          <w:p w14:paraId="78E55597"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937 de 2019</w:t>
            </w:r>
          </w:p>
        </w:tc>
        <w:tc>
          <w:tcPr>
            <w:tcW w:w="1885" w:type="dxa"/>
            <w:noWrap/>
            <w:hideMark/>
          </w:tcPr>
          <w:p w14:paraId="11118B5A"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3</w:t>
            </w:r>
          </w:p>
        </w:tc>
      </w:tr>
      <w:tr w:rsidR="00947846" w:rsidRPr="00B710A9" w14:paraId="7C7341C4" w14:textId="77777777" w:rsidTr="005D57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3" w:type="dxa"/>
            <w:noWrap/>
            <w:hideMark/>
          </w:tcPr>
          <w:p w14:paraId="67E7E7F6"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9</w:t>
            </w:r>
          </w:p>
        </w:tc>
        <w:tc>
          <w:tcPr>
            <w:tcW w:w="3290" w:type="dxa"/>
            <w:hideMark/>
          </w:tcPr>
          <w:p w14:paraId="46BAC0ED"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Soacha</w:t>
            </w:r>
          </w:p>
        </w:tc>
        <w:tc>
          <w:tcPr>
            <w:tcW w:w="3170" w:type="dxa"/>
            <w:hideMark/>
          </w:tcPr>
          <w:p w14:paraId="058827E8"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377 de 2020</w:t>
            </w:r>
          </w:p>
        </w:tc>
        <w:tc>
          <w:tcPr>
            <w:tcW w:w="1885" w:type="dxa"/>
            <w:noWrap/>
            <w:hideMark/>
          </w:tcPr>
          <w:p w14:paraId="536FA0A8"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280F42F6" w14:textId="77777777" w:rsidTr="005D574B">
        <w:trPr>
          <w:trHeight w:val="630"/>
        </w:trPr>
        <w:tc>
          <w:tcPr>
            <w:cnfStyle w:val="001000000000" w:firstRow="0" w:lastRow="0" w:firstColumn="1" w:lastColumn="0" w:oddVBand="0" w:evenVBand="0" w:oddHBand="0" w:evenHBand="0" w:firstRowFirstColumn="0" w:firstRowLastColumn="0" w:lastRowFirstColumn="0" w:lastRowLastColumn="0"/>
            <w:tcW w:w="483" w:type="dxa"/>
            <w:noWrap/>
            <w:hideMark/>
          </w:tcPr>
          <w:p w14:paraId="6CAEFC41"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10</w:t>
            </w:r>
          </w:p>
        </w:tc>
        <w:tc>
          <w:tcPr>
            <w:tcW w:w="3290" w:type="dxa"/>
            <w:hideMark/>
          </w:tcPr>
          <w:p w14:paraId="101033CA"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Municipios Asociados del Altiplano del Oriente Antioqueño MASORA</w:t>
            </w:r>
          </w:p>
        </w:tc>
        <w:tc>
          <w:tcPr>
            <w:tcW w:w="3170" w:type="dxa"/>
            <w:hideMark/>
          </w:tcPr>
          <w:p w14:paraId="589F8EB1"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307 de 2020</w:t>
            </w:r>
            <w:r w:rsidRPr="00B710A9">
              <w:rPr>
                <w:rFonts w:ascii="Arial" w:eastAsia="Arial" w:hAnsi="Arial" w:cs="Arial"/>
                <w:sz w:val="18"/>
                <w:szCs w:val="18"/>
                <w:lang w:eastAsia="es-ES_tradnl"/>
              </w:rPr>
              <w:br/>
              <w:t>Mod. Res. 456 de 2020</w:t>
            </w:r>
          </w:p>
        </w:tc>
        <w:tc>
          <w:tcPr>
            <w:tcW w:w="1885" w:type="dxa"/>
            <w:noWrap/>
            <w:hideMark/>
          </w:tcPr>
          <w:p w14:paraId="7C3212FC"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3</w:t>
            </w:r>
          </w:p>
        </w:tc>
      </w:tr>
      <w:tr w:rsidR="00947846" w:rsidRPr="00B710A9" w14:paraId="72C7F860" w14:textId="77777777" w:rsidTr="005D574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83" w:type="dxa"/>
            <w:noWrap/>
            <w:hideMark/>
          </w:tcPr>
          <w:p w14:paraId="6C88A31E"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11</w:t>
            </w:r>
          </w:p>
        </w:tc>
        <w:tc>
          <w:tcPr>
            <w:tcW w:w="3290" w:type="dxa"/>
            <w:hideMark/>
          </w:tcPr>
          <w:p w14:paraId="50E6A83D"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Área Metropolitana de Barranquilla AMB</w:t>
            </w:r>
          </w:p>
        </w:tc>
        <w:tc>
          <w:tcPr>
            <w:tcW w:w="3170" w:type="dxa"/>
            <w:hideMark/>
          </w:tcPr>
          <w:p w14:paraId="3BD10D31"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602 de 2020</w:t>
            </w:r>
          </w:p>
        </w:tc>
        <w:tc>
          <w:tcPr>
            <w:tcW w:w="1885" w:type="dxa"/>
            <w:noWrap/>
            <w:hideMark/>
          </w:tcPr>
          <w:p w14:paraId="5DF3F341"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3</w:t>
            </w:r>
          </w:p>
        </w:tc>
      </w:tr>
      <w:tr w:rsidR="00947846" w:rsidRPr="00B710A9" w14:paraId="5716EE10" w14:textId="77777777" w:rsidTr="005D574B">
        <w:trPr>
          <w:trHeight w:val="720"/>
        </w:trPr>
        <w:tc>
          <w:tcPr>
            <w:cnfStyle w:val="001000000000" w:firstRow="0" w:lastRow="0" w:firstColumn="1" w:lastColumn="0" w:oddVBand="0" w:evenVBand="0" w:oddHBand="0" w:evenHBand="0" w:firstRowFirstColumn="0" w:firstRowLastColumn="0" w:lastRowFirstColumn="0" w:lastRowLastColumn="0"/>
            <w:tcW w:w="483" w:type="dxa"/>
            <w:noWrap/>
            <w:hideMark/>
          </w:tcPr>
          <w:p w14:paraId="7C906D10"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12</w:t>
            </w:r>
          </w:p>
        </w:tc>
        <w:tc>
          <w:tcPr>
            <w:tcW w:w="3290" w:type="dxa"/>
            <w:hideMark/>
          </w:tcPr>
          <w:p w14:paraId="4BB4F81F"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Departamento del Valle del Cauca</w:t>
            </w:r>
          </w:p>
        </w:tc>
        <w:tc>
          <w:tcPr>
            <w:tcW w:w="3170" w:type="dxa"/>
            <w:hideMark/>
          </w:tcPr>
          <w:p w14:paraId="789F9A18"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1546 de 2019</w:t>
            </w:r>
            <w:r w:rsidRPr="00B710A9">
              <w:rPr>
                <w:rFonts w:ascii="Arial" w:eastAsia="Arial" w:hAnsi="Arial" w:cs="Arial"/>
                <w:sz w:val="18"/>
                <w:szCs w:val="18"/>
                <w:lang w:eastAsia="es-ES_tradnl"/>
              </w:rPr>
              <w:br/>
              <w:t>Mod. Res. 444 de 2020</w:t>
            </w:r>
            <w:r w:rsidRPr="00B710A9">
              <w:rPr>
                <w:rFonts w:ascii="Arial" w:eastAsia="Arial" w:hAnsi="Arial" w:cs="Arial"/>
                <w:sz w:val="18"/>
                <w:szCs w:val="18"/>
                <w:lang w:eastAsia="es-ES_tradnl"/>
              </w:rPr>
              <w:br/>
              <w:t>Mod. Res 609 de 2020</w:t>
            </w:r>
          </w:p>
        </w:tc>
        <w:tc>
          <w:tcPr>
            <w:tcW w:w="1885" w:type="dxa"/>
            <w:noWrap/>
            <w:hideMark/>
          </w:tcPr>
          <w:p w14:paraId="1DE78CF2"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21</w:t>
            </w:r>
          </w:p>
        </w:tc>
      </w:tr>
      <w:tr w:rsidR="00947846" w:rsidRPr="00B710A9" w14:paraId="00E82348" w14:textId="77777777" w:rsidTr="005D574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83" w:type="dxa"/>
            <w:noWrap/>
            <w:hideMark/>
          </w:tcPr>
          <w:p w14:paraId="25B7C6F6"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13</w:t>
            </w:r>
          </w:p>
        </w:tc>
        <w:tc>
          <w:tcPr>
            <w:tcW w:w="3290" w:type="dxa"/>
            <w:hideMark/>
          </w:tcPr>
          <w:p w14:paraId="16589B78"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Departamento de Cundinamarca</w:t>
            </w:r>
          </w:p>
        </w:tc>
        <w:tc>
          <w:tcPr>
            <w:tcW w:w="3170" w:type="dxa"/>
            <w:hideMark/>
          </w:tcPr>
          <w:p w14:paraId="605104BD"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727 de 2020</w:t>
            </w:r>
          </w:p>
        </w:tc>
        <w:tc>
          <w:tcPr>
            <w:tcW w:w="1885" w:type="dxa"/>
            <w:noWrap/>
            <w:hideMark/>
          </w:tcPr>
          <w:p w14:paraId="1F2F9EB4"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71</w:t>
            </w:r>
          </w:p>
        </w:tc>
      </w:tr>
      <w:tr w:rsidR="00947846" w:rsidRPr="00B710A9" w14:paraId="2A84FA63" w14:textId="77777777" w:rsidTr="005D574B">
        <w:trPr>
          <w:trHeight w:val="350"/>
        </w:trPr>
        <w:tc>
          <w:tcPr>
            <w:cnfStyle w:val="001000000000" w:firstRow="0" w:lastRow="0" w:firstColumn="1" w:lastColumn="0" w:oddVBand="0" w:evenVBand="0" w:oddHBand="0" w:evenHBand="0" w:firstRowFirstColumn="0" w:firstRowLastColumn="0" w:lastRowFirstColumn="0" w:lastRowLastColumn="0"/>
            <w:tcW w:w="483" w:type="dxa"/>
            <w:noWrap/>
            <w:hideMark/>
          </w:tcPr>
          <w:p w14:paraId="649E23FF"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14</w:t>
            </w:r>
          </w:p>
        </w:tc>
        <w:tc>
          <w:tcPr>
            <w:tcW w:w="3290" w:type="dxa"/>
            <w:hideMark/>
          </w:tcPr>
          <w:p w14:paraId="21D7D93D"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Fusagasugá</w:t>
            </w:r>
          </w:p>
        </w:tc>
        <w:tc>
          <w:tcPr>
            <w:tcW w:w="3170" w:type="dxa"/>
            <w:hideMark/>
          </w:tcPr>
          <w:p w14:paraId="70B5B1CE"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765 de 2020</w:t>
            </w:r>
          </w:p>
        </w:tc>
        <w:tc>
          <w:tcPr>
            <w:tcW w:w="1885" w:type="dxa"/>
            <w:noWrap/>
            <w:hideMark/>
          </w:tcPr>
          <w:p w14:paraId="057311F8"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193D8261" w14:textId="77777777" w:rsidTr="005D574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3" w:type="dxa"/>
            <w:noWrap/>
            <w:hideMark/>
          </w:tcPr>
          <w:p w14:paraId="4A8670A5"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15</w:t>
            </w:r>
          </w:p>
        </w:tc>
        <w:tc>
          <w:tcPr>
            <w:tcW w:w="3290" w:type="dxa"/>
            <w:hideMark/>
          </w:tcPr>
          <w:p w14:paraId="229C4B20"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Distrito Turístico, Cultural e Histórico de Santa Marta</w:t>
            </w:r>
          </w:p>
        </w:tc>
        <w:tc>
          <w:tcPr>
            <w:tcW w:w="3170" w:type="dxa"/>
            <w:hideMark/>
          </w:tcPr>
          <w:p w14:paraId="60FAD4A7"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Res.766 de 2020</w:t>
            </w:r>
          </w:p>
        </w:tc>
        <w:tc>
          <w:tcPr>
            <w:tcW w:w="1885" w:type="dxa"/>
            <w:noWrap/>
            <w:hideMark/>
          </w:tcPr>
          <w:p w14:paraId="11BCF631"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279A1D65" w14:textId="77777777" w:rsidTr="005D574B">
        <w:trPr>
          <w:trHeight w:val="397"/>
        </w:trPr>
        <w:tc>
          <w:tcPr>
            <w:cnfStyle w:val="001000000000" w:firstRow="0" w:lastRow="0" w:firstColumn="1" w:lastColumn="0" w:oddVBand="0" w:evenVBand="0" w:oddHBand="0" w:evenHBand="0" w:firstRowFirstColumn="0" w:firstRowLastColumn="0" w:lastRowFirstColumn="0" w:lastRowLastColumn="0"/>
            <w:tcW w:w="483" w:type="dxa"/>
            <w:noWrap/>
            <w:hideMark/>
          </w:tcPr>
          <w:p w14:paraId="67BF8F23"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16</w:t>
            </w:r>
          </w:p>
        </w:tc>
        <w:tc>
          <w:tcPr>
            <w:tcW w:w="3290" w:type="dxa"/>
            <w:hideMark/>
          </w:tcPr>
          <w:p w14:paraId="3AE331FE"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San José de Cúcuta</w:t>
            </w:r>
          </w:p>
        </w:tc>
        <w:tc>
          <w:tcPr>
            <w:tcW w:w="3170" w:type="dxa"/>
            <w:hideMark/>
          </w:tcPr>
          <w:p w14:paraId="3901B5EA"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787 de 2020</w:t>
            </w:r>
          </w:p>
        </w:tc>
        <w:tc>
          <w:tcPr>
            <w:tcW w:w="1885" w:type="dxa"/>
            <w:noWrap/>
            <w:hideMark/>
          </w:tcPr>
          <w:p w14:paraId="11ACA748"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111B5705" w14:textId="77777777" w:rsidTr="005D574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3" w:type="dxa"/>
            <w:noWrap/>
            <w:hideMark/>
          </w:tcPr>
          <w:p w14:paraId="5E6673EC"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17</w:t>
            </w:r>
          </w:p>
        </w:tc>
        <w:tc>
          <w:tcPr>
            <w:tcW w:w="3290" w:type="dxa"/>
            <w:hideMark/>
          </w:tcPr>
          <w:p w14:paraId="1B7A0279"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Área Metropolitana de Valle de Aburrá – AMV</w:t>
            </w:r>
          </w:p>
        </w:tc>
        <w:tc>
          <w:tcPr>
            <w:tcW w:w="3170" w:type="dxa"/>
            <w:hideMark/>
          </w:tcPr>
          <w:p w14:paraId="32BD985A"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800 de 2020</w:t>
            </w:r>
          </w:p>
        </w:tc>
        <w:tc>
          <w:tcPr>
            <w:tcW w:w="1885" w:type="dxa"/>
            <w:noWrap/>
            <w:hideMark/>
          </w:tcPr>
          <w:p w14:paraId="2E8A779C"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4</w:t>
            </w:r>
          </w:p>
        </w:tc>
      </w:tr>
      <w:tr w:rsidR="00947846" w:rsidRPr="00B710A9" w14:paraId="658C743B" w14:textId="77777777" w:rsidTr="005D574B">
        <w:trPr>
          <w:trHeight w:val="510"/>
        </w:trPr>
        <w:tc>
          <w:tcPr>
            <w:cnfStyle w:val="001000000000" w:firstRow="0" w:lastRow="0" w:firstColumn="1" w:lastColumn="0" w:oddVBand="0" w:evenVBand="0" w:oddHBand="0" w:evenHBand="0" w:firstRowFirstColumn="0" w:firstRowLastColumn="0" w:lastRowFirstColumn="0" w:lastRowLastColumn="0"/>
            <w:tcW w:w="483" w:type="dxa"/>
            <w:noWrap/>
            <w:hideMark/>
          </w:tcPr>
          <w:p w14:paraId="60E608E5"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18</w:t>
            </w:r>
          </w:p>
        </w:tc>
        <w:tc>
          <w:tcPr>
            <w:tcW w:w="3290" w:type="dxa"/>
            <w:hideMark/>
          </w:tcPr>
          <w:p w14:paraId="73F02E3A"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Rionegro</w:t>
            </w:r>
          </w:p>
        </w:tc>
        <w:tc>
          <w:tcPr>
            <w:tcW w:w="3170" w:type="dxa"/>
            <w:hideMark/>
          </w:tcPr>
          <w:p w14:paraId="602A5CA2"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937 de 2020</w:t>
            </w:r>
          </w:p>
        </w:tc>
        <w:tc>
          <w:tcPr>
            <w:tcW w:w="1885" w:type="dxa"/>
            <w:noWrap/>
            <w:hideMark/>
          </w:tcPr>
          <w:p w14:paraId="54308C8A"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04AC153A" w14:textId="77777777" w:rsidTr="005D574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3" w:type="dxa"/>
            <w:noWrap/>
            <w:hideMark/>
          </w:tcPr>
          <w:p w14:paraId="5853DD10"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19</w:t>
            </w:r>
          </w:p>
        </w:tc>
        <w:tc>
          <w:tcPr>
            <w:tcW w:w="3290" w:type="dxa"/>
            <w:hideMark/>
          </w:tcPr>
          <w:p w14:paraId="2454A2A7"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
              </w:rPr>
            </w:pPr>
            <w:r w:rsidRPr="00B710A9">
              <w:rPr>
                <w:rFonts w:ascii="Arial" w:eastAsia="Arial" w:hAnsi="Arial" w:cs="Arial"/>
                <w:sz w:val="18"/>
                <w:szCs w:val="18"/>
                <w:lang w:eastAsia="es-ES"/>
              </w:rPr>
              <w:t>Municipio de Sesquilé</w:t>
            </w:r>
          </w:p>
        </w:tc>
        <w:tc>
          <w:tcPr>
            <w:tcW w:w="3170" w:type="dxa"/>
            <w:hideMark/>
          </w:tcPr>
          <w:p w14:paraId="5DF0B376"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1057 de 2020</w:t>
            </w:r>
          </w:p>
        </w:tc>
        <w:tc>
          <w:tcPr>
            <w:tcW w:w="1885" w:type="dxa"/>
            <w:noWrap/>
            <w:hideMark/>
          </w:tcPr>
          <w:p w14:paraId="7621AB0D"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621FD089" w14:textId="77777777" w:rsidTr="005D574B">
        <w:trPr>
          <w:trHeight w:val="510"/>
        </w:trPr>
        <w:tc>
          <w:tcPr>
            <w:cnfStyle w:val="001000000000" w:firstRow="0" w:lastRow="0" w:firstColumn="1" w:lastColumn="0" w:oddVBand="0" w:evenVBand="0" w:oddHBand="0" w:evenHBand="0" w:firstRowFirstColumn="0" w:firstRowLastColumn="0" w:lastRowFirstColumn="0" w:lastRowLastColumn="0"/>
            <w:tcW w:w="483" w:type="dxa"/>
            <w:noWrap/>
            <w:hideMark/>
          </w:tcPr>
          <w:p w14:paraId="58B6FD27"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lastRenderedPageBreak/>
              <w:t>20</w:t>
            </w:r>
          </w:p>
        </w:tc>
        <w:tc>
          <w:tcPr>
            <w:tcW w:w="3290" w:type="dxa"/>
            <w:hideMark/>
          </w:tcPr>
          <w:p w14:paraId="7F1AAC03"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Sincelejo</w:t>
            </w:r>
          </w:p>
        </w:tc>
        <w:tc>
          <w:tcPr>
            <w:tcW w:w="3170" w:type="dxa"/>
            <w:hideMark/>
          </w:tcPr>
          <w:p w14:paraId="3D45F00B"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1030 de 2020</w:t>
            </w:r>
          </w:p>
        </w:tc>
        <w:tc>
          <w:tcPr>
            <w:tcW w:w="1885" w:type="dxa"/>
            <w:noWrap/>
            <w:hideMark/>
          </w:tcPr>
          <w:p w14:paraId="3F16A0B3"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644348DF" w14:textId="77777777" w:rsidTr="005D574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3" w:type="dxa"/>
            <w:noWrap/>
            <w:hideMark/>
          </w:tcPr>
          <w:p w14:paraId="79900BFB"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21</w:t>
            </w:r>
          </w:p>
        </w:tc>
        <w:tc>
          <w:tcPr>
            <w:tcW w:w="3290" w:type="dxa"/>
            <w:hideMark/>
          </w:tcPr>
          <w:p w14:paraId="262891D3"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Zipaquirá</w:t>
            </w:r>
          </w:p>
        </w:tc>
        <w:tc>
          <w:tcPr>
            <w:tcW w:w="3170" w:type="dxa"/>
            <w:hideMark/>
          </w:tcPr>
          <w:p w14:paraId="7D6F0605"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96 de 2021</w:t>
            </w:r>
          </w:p>
        </w:tc>
        <w:tc>
          <w:tcPr>
            <w:tcW w:w="1885" w:type="dxa"/>
            <w:noWrap/>
            <w:hideMark/>
          </w:tcPr>
          <w:p w14:paraId="2746DAC4"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48B4F4DA" w14:textId="77777777" w:rsidTr="005D574B">
        <w:trPr>
          <w:trHeight w:val="510"/>
        </w:trPr>
        <w:tc>
          <w:tcPr>
            <w:cnfStyle w:val="001000000000" w:firstRow="0" w:lastRow="0" w:firstColumn="1" w:lastColumn="0" w:oddVBand="0" w:evenVBand="0" w:oddHBand="0" w:evenHBand="0" w:firstRowFirstColumn="0" w:firstRowLastColumn="0" w:lastRowFirstColumn="0" w:lastRowLastColumn="0"/>
            <w:tcW w:w="483" w:type="dxa"/>
            <w:noWrap/>
            <w:hideMark/>
          </w:tcPr>
          <w:p w14:paraId="044F91A5"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22</w:t>
            </w:r>
          </w:p>
        </w:tc>
        <w:tc>
          <w:tcPr>
            <w:tcW w:w="3290" w:type="dxa"/>
            <w:hideMark/>
          </w:tcPr>
          <w:p w14:paraId="7B93195D"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Envigado</w:t>
            </w:r>
          </w:p>
        </w:tc>
        <w:tc>
          <w:tcPr>
            <w:tcW w:w="3170" w:type="dxa"/>
            <w:hideMark/>
          </w:tcPr>
          <w:p w14:paraId="55410E5A"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95 de 2021</w:t>
            </w:r>
          </w:p>
        </w:tc>
        <w:tc>
          <w:tcPr>
            <w:tcW w:w="1885" w:type="dxa"/>
            <w:noWrap/>
            <w:hideMark/>
          </w:tcPr>
          <w:p w14:paraId="3BD07F6B"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12F9F86C" w14:textId="77777777" w:rsidTr="005D574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3" w:type="dxa"/>
            <w:noWrap/>
            <w:hideMark/>
          </w:tcPr>
          <w:p w14:paraId="612225E3"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23</w:t>
            </w:r>
          </w:p>
        </w:tc>
        <w:tc>
          <w:tcPr>
            <w:tcW w:w="3290" w:type="dxa"/>
            <w:hideMark/>
          </w:tcPr>
          <w:p w14:paraId="7614555F"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Armenia</w:t>
            </w:r>
          </w:p>
        </w:tc>
        <w:tc>
          <w:tcPr>
            <w:tcW w:w="3170" w:type="dxa"/>
            <w:hideMark/>
          </w:tcPr>
          <w:p w14:paraId="051C0A89"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201 de 2021</w:t>
            </w:r>
          </w:p>
        </w:tc>
        <w:tc>
          <w:tcPr>
            <w:tcW w:w="1885" w:type="dxa"/>
            <w:noWrap/>
            <w:hideMark/>
          </w:tcPr>
          <w:p w14:paraId="1FCCE856"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0851EA43" w14:textId="77777777" w:rsidTr="005D574B">
        <w:trPr>
          <w:trHeight w:val="510"/>
        </w:trPr>
        <w:tc>
          <w:tcPr>
            <w:cnfStyle w:val="001000000000" w:firstRow="0" w:lastRow="0" w:firstColumn="1" w:lastColumn="0" w:oddVBand="0" w:evenVBand="0" w:oddHBand="0" w:evenHBand="0" w:firstRowFirstColumn="0" w:firstRowLastColumn="0" w:lastRowFirstColumn="0" w:lastRowLastColumn="0"/>
            <w:tcW w:w="483" w:type="dxa"/>
            <w:noWrap/>
            <w:hideMark/>
          </w:tcPr>
          <w:p w14:paraId="1ABBFE29"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24</w:t>
            </w:r>
          </w:p>
        </w:tc>
        <w:tc>
          <w:tcPr>
            <w:tcW w:w="3290" w:type="dxa"/>
            <w:hideMark/>
          </w:tcPr>
          <w:p w14:paraId="391223D7"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Jamundí</w:t>
            </w:r>
          </w:p>
        </w:tc>
        <w:tc>
          <w:tcPr>
            <w:tcW w:w="3170" w:type="dxa"/>
            <w:hideMark/>
          </w:tcPr>
          <w:p w14:paraId="07F5CABF"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202 de 2021</w:t>
            </w:r>
          </w:p>
        </w:tc>
        <w:tc>
          <w:tcPr>
            <w:tcW w:w="1885" w:type="dxa"/>
            <w:noWrap/>
            <w:hideMark/>
          </w:tcPr>
          <w:p w14:paraId="7B6FBA7B"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253564EF" w14:textId="77777777" w:rsidTr="005D574B">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83" w:type="dxa"/>
            <w:noWrap/>
            <w:hideMark/>
          </w:tcPr>
          <w:p w14:paraId="4994BD45"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25</w:t>
            </w:r>
          </w:p>
        </w:tc>
        <w:tc>
          <w:tcPr>
            <w:tcW w:w="3290" w:type="dxa"/>
            <w:hideMark/>
          </w:tcPr>
          <w:p w14:paraId="6A2DCAFE"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Sabaneta</w:t>
            </w:r>
          </w:p>
        </w:tc>
        <w:tc>
          <w:tcPr>
            <w:tcW w:w="3170" w:type="dxa"/>
            <w:hideMark/>
          </w:tcPr>
          <w:p w14:paraId="79D164B0"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214 de 2021</w:t>
            </w:r>
          </w:p>
        </w:tc>
        <w:tc>
          <w:tcPr>
            <w:tcW w:w="1885" w:type="dxa"/>
            <w:noWrap/>
            <w:hideMark/>
          </w:tcPr>
          <w:p w14:paraId="71109BC9"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659E2A9D" w14:textId="77777777" w:rsidTr="005D574B">
        <w:trPr>
          <w:trHeight w:val="407"/>
        </w:trPr>
        <w:tc>
          <w:tcPr>
            <w:cnfStyle w:val="001000000000" w:firstRow="0" w:lastRow="0" w:firstColumn="1" w:lastColumn="0" w:oddVBand="0" w:evenVBand="0" w:oddHBand="0" w:evenHBand="0" w:firstRowFirstColumn="0" w:firstRowLastColumn="0" w:lastRowFirstColumn="0" w:lastRowLastColumn="0"/>
            <w:tcW w:w="483" w:type="dxa"/>
            <w:noWrap/>
            <w:hideMark/>
          </w:tcPr>
          <w:p w14:paraId="0C6DE27E"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26</w:t>
            </w:r>
          </w:p>
        </w:tc>
        <w:tc>
          <w:tcPr>
            <w:tcW w:w="3290" w:type="dxa"/>
            <w:hideMark/>
          </w:tcPr>
          <w:p w14:paraId="6E96C20E"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Neiva</w:t>
            </w:r>
          </w:p>
        </w:tc>
        <w:tc>
          <w:tcPr>
            <w:tcW w:w="3170" w:type="dxa"/>
            <w:hideMark/>
          </w:tcPr>
          <w:p w14:paraId="289F7B76"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 249 de 2021</w:t>
            </w:r>
          </w:p>
        </w:tc>
        <w:tc>
          <w:tcPr>
            <w:tcW w:w="1885" w:type="dxa"/>
            <w:noWrap/>
            <w:hideMark/>
          </w:tcPr>
          <w:p w14:paraId="095038C2"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06A3DEDE" w14:textId="77777777" w:rsidTr="005D574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83" w:type="dxa"/>
            <w:noWrap/>
            <w:hideMark/>
          </w:tcPr>
          <w:p w14:paraId="7FD5B574"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27</w:t>
            </w:r>
          </w:p>
        </w:tc>
        <w:tc>
          <w:tcPr>
            <w:tcW w:w="3290" w:type="dxa"/>
            <w:hideMark/>
          </w:tcPr>
          <w:p w14:paraId="449F1CF9"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Valledupar</w:t>
            </w:r>
          </w:p>
        </w:tc>
        <w:tc>
          <w:tcPr>
            <w:tcW w:w="3170" w:type="dxa"/>
            <w:hideMark/>
          </w:tcPr>
          <w:p w14:paraId="272763C9"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Resolución 486 de 2021</w:t>
            </w:r>
          </w:p>
        </w:tc>
        <w:tc>
          <w:tcPr>
            <w:tcW w:w="1885" w:type="dxa"/>
            <w:noWrap/>
            <w:hideMark/>
          </w:tcPr>
          <w:p w14:paraId="2D2BDC01"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4CD14BCC" w14:textId="77777777" w:rsidTr="005D574B">
        <w:trPr>
          <w:trHeight w:val="419"/>
        </w:trPr>
        <w:tc>
          <w:tcPr>
            <w:cnfStyle w:val="001000000000" w:firstRow="0" w:lastRow="0" w:firstColumn="1" w:lastColumn="0" w:oddVBand="0" w:evenVBand="0" w:oddHBand="0" w:evenHBand="0" w:firstRowFirstColumn="0" w:firstRowLastColumn="0" w:lastRowFirstColumn="0" w:lastRowLastColumn="0"/>
            <w:tcW w:w="483" w:type="dxa"/>
            <w:noWrap/>
            <w:hideMark/>
          </w:tcPr>
          <w:p w14:paraId="57A9AF95"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28</w:t>
            </w:r>
          </w:p>
        </w:tc>
        <w:tc>
          <w:tcPr>
            <w:tcW w:w="3290" w:type="dxa"/>
            <w:hideMark/>
          </w:tcPr>
          <w:p w14:paraId="23C1C52A"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Ibagué</w:t>
            </w:r>
          </w:p>
        </w:tc>
        <w:tc>
          <w:tcPr>
            <w:tcW w:w="3170" w:type="dxa"/>
            <w:hideMark/>
          </w:tcPr>
          <w:p w14:paraId="5BB5B486"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Resolución 494 de 2021</w:t>
            </w:r>
          </w:p>
        </w:tc>
        <w:tc>
          <w:tcPr>
            <w:tcW w:w="1885" w:type="dxa"/>
            <w:noWrap/>
            <w:hideMark/>
          </w:tcPr>
          <w:p w14:paraId="64DB5178"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5840A512" w14:textId="77777777" w:rsidTr="005D574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83" w:type="dxa"/>
            <w:noWrap/>
            <w:hideMark/>
          </w:tcPr>
          <w:p w14:paraId="1455BDD5"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29</w:t>
            </w:r>
          </w:p>
        </w:tc>
        <w:tc>
          <w:tcPr>
            <w:tcW w:w="3290" w:type="dxa"/>
            <w:hideMark/>
          </w:tcPr>
          <w:p w14:paraId="38605D5C"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ASOMUNICIPIOS</w:t>
            </w:r>
          </w:p>
        </w:tc>
        <w:tc>
          <w:tcPr>
            <w:tcW w:w="3170" w:type="dxa"/>
            <w:hideMark/>
          </w:tcPr>
          <w:p w14:paraId="63EA691D"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Resolución 1204 de 2021</w:t>
            </w:r>
          </w:p>
        </w:tc>
        <w:tc>
          <w:tcPr>
            <w:tcW w:w="1885" w:type="dxa"/>
            <w:noWrap/>
            <w:hideMark/>
          </w:tcPr>
          <w:p w14:paraId="32CF5D72"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12</w:t>
            </w:r>
          </w:p>
        </w:tc>
      </w:tr>
      <w:tr w:rsidR="00947846" w:rsidRPr="00B710A9" w14:paraId="6F815D21" w14:textId="77777777" w:rsidTr="005D574B">
        <w:trPr>
          <w:trHeight w:val="416"/>
        </w:trPr>
        <w:tc>
          <w:tcPr>
            <w:cnfStyle w:val="001000000000" w:firstRow="0" w:lastRow="0" w:firstColumn="1" w:lastColumn="0" w:oddVBand="0" w:evenVBand="0" w:oddHBand="0" w:evenHBand="0" w:firstRowFirstColumn="0" w:firstRowLastColumn="0" w:lastRowFirstColumn="0" w:lastRowLastColumn="0"/>
            <w:tcW w:w="483" w:type="dxa"/>
            <w:noWrap/>
            <w:hideMark/>
          </w:tcPr>
          <w:p w14:paraId="43098865"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30</w:t>
            </w:r>
          </w:p>
        </w:tc>
        <w:tc>
          <w:tcPr>
            <w:tcW w:w="3290" w:type="dxa"/>
            <w:hideMark/>
          </w:tcPr>
          <w:p w14:paraId="5FC250E6"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Sabanalarga</w:t>
            </w:r>
          </w:p>
        </w:tc>
        <w:tc>
          <w:tcPr>
            <w:tcW w:w="3170" w:type="dxa"/>
            <w:hideMark/>
          </w:tcPr>
          <w:p w14:paraId="3CA668F6"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Resolución 1224 de 2021</w:t>
            </w:r>
          </w:p>
        </w:tc>
        <w:tc>
          <w:tcPr>
            <w:tcW w:w="1885" w:type="dxa"/>
            <w:noWrap/>
            <w:hideMark/>
          </w:tcPr>
          <w:p w14:paraId="5715844D"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2B9FDF21" w14:textId="77777777" w:rsidTr="005D574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83" w:type="dxa"/>
            <w:noWrap/>
            <w:hideMark/>
          </w:tcPr>
          <w:p w14:paraId="50DEAF0D"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31</w:t>
            </w:r>
          </w:p>
        </w:tc>
        <w:tc>
          <w:tcPr>
            <w:tcW w:w="3290" w:type="dxa"/>
            <w:hideMark/>
          </w:tcPr>
          <w:p w14:paraId="09EE6D81"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Girardot</w:t>
            </w:r>
          </w:p>
        </w:tc>
        <w:tc>
          <w:tcPr>
            <w:tcW w:w="3170" w:type="dxa"/>
            <w:hideMark/>
          </w:tcPr>
          <w:p w14:paraId="1AEB90EF"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Resolución 1415 de 2021</w:t>
            </w:r>
          </w:p>
        </w:tc>
        <w:tc>
          <w:tcPr>
            <w:tcW w:w="1885" w:type="dxa"/>
            <w:noWrap/>
            <w:hideMark/>
          </w:tcPr>
          <w:p w14:paraId="5A23D499"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2A255462" w14:textId="77777777" w:rsidTr="005D574B">
        <w:trPr>
          <w:trHeight w:val="415"/>
        </w:trPr>
        <w:tc>
          <w:tcPr>
            <w:cnfStyle w:val="001000000000" w:firstRow="0" w:lastRow="0" w:firstColumn="1" w:lastColumn="0" w:oddVBand="0" w:evenVBand="0" w:oddHBand="0" w:evenHBand="0" w:firstRowFirstColumn="0" w:firstRowLastColumn="0" w:lastRowFirstColumn="0" w:lastRowLastColumn="0"/>
            <w:tcW w:w="483" w:type="dxa"/>
            <w:noWrap/>
            <w:hideMark/>
          </w:tcPr>
          <w:p w14:paraId="2F3FBDE5"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32</w:t>
            </w:r>
          </w:p>
        </w:tc>
        <w:tc>
          <w:tcPr>
            <w:tcW w:w="3290" w:type="dxa"/>
            <w:hideMark/>
          </w:tcPr>
          <w:p w14:paraId="3B64C9EA"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Sahagún</w:t>
            </w:r>
          </w:p>
        </w:tc>
        <w:tc>
          <w:tcPr>
            <w:tcW w:w="3170" w:type="dxa"/>
            <w:hideMark/>
          </w:tcPr>
          <w:p w14:paraId="24A2FA0A"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Resolución 1448 de 2021</w:t>
            </w:r>
          </w:p>
        </w:tc>
        <w:tc>
          <w:tcPr>
            <w:tcW w:w="1885" w:type="dxa"/>
            <w:noWrap/>
            <w:hideMark/>
          </w:tcPr>
          <w:p w14:paraId="1B5F17EB"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1F6C18A4" w14:textId="77777777" w:rsidTr="005D574B">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83" w:type="dxa"/>
            <w:noWrap/>
            <w:hideMark/>
          </w:tcPr>
          <w:p w14:paraId="75230E69"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33</w:t>
            </w:r>
          </w:p>
        </w:tc>
        <w:tc>
          <w:tcPr>
            <w:tcW w:w="3290" w:type="dxa"/>
            <w:hideMark/>
          </w:tcPr>
          <w:p w14:paraId="5CECD80A"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Garzón</w:t>
            </w:r>
          </w:p>
        </w:tc>
        <w:tc>
          <w:tcPr>
            <w:tcW w:w="3170" w:type="dxa"/>
            <w:hideMark/>
          </w:tcPr>
          <w:p w14:paraId="0528E841"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Resolución 1698 de 2021</w:t>
            </w:r>
          </w:p>
        </w:tc>
        <w:tc>
          <w:tcPr>
            <w:tcW w:w="1885" w:type="dxa"/>
            <w:noWrap/>
            <w:hideMark/>
          </w:tcPr>
          <w:p w14:paraId="0D62B951"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1F0B0BF5" w14:textId="77777777" w:rsidTr="005D574B">
        <w:trPr>
          <w:trHeight w:val="398"/>
        </w:trPr>
        <w:tc>
          <w:tcPr>
            <w:cnfStyle w:val="001000000000" w:firstRow="0" w:lastRow="0" w:firstColumn="1" w:lastColumn="0" w:oddVBand="0" w:evenVBand="0" w:oddHBand="0" w:evenHBand="0" w:firstRowFirstColumn="0" w:firstRowLastColumn="0" w:lastRowFirstColumn="0" w:lastRowLastColumn="0"/>
            <w:tcW w:w="483" w:type="dxa"/>
            <w:noWrap/>
            <w:hideMark/>
          </w:tcPr>
          <w:p w14:paraId="10FA189C"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34</w:t>
            </w:r>
          </w:p>
        </w:tc>
        <w:tc>
          <w:tcPr>
            <w:tcW w:w="3290" w:type="dxa"/>
            <w:hideMark/>
          </w:tcPr>
          <w:p w14:paraId="658EC1A8"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El Espinal</w:t>
            </w:r>
          </w:p>
        </w:tc>
        <w:tc>
          <w:tcPr>
            <w:tcW w:w="3170" w:type="dxa"/>
            <w:hideMark/>
          </w:tcPr>
          <w:p w14:paraId="30A83195"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Resolución 1697 de 2021</w:t>
            </w:r>
          </w:p>
        </w:tc>
        <w:tc>
          <w:tcPr>
            <w:tcW w:w="1885" w:type="dxa"/>
            <w:noWrap/>
            <w:hideMark/>
          </w:tcPr>
          <w:p w14:paraId="3F82FC04"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
              </w:rPr>
            </w:pPr>
            <w:r w:rsidRPr="00B710A9">
              <w:rPr>
                <w:rFonts w:ascii="Arial" w:eastAsia="Arial" w:hAnsi="Arial" w:cs="Arial"/>
                <w:sz w:val="18"/>
                <w:szCs w:val="18"/>
                <w:lang w:eastAsia="es-ES"/>
              </w:rPr>
              <w:t>*</w:t>
            </w:r>
          </w:p>
        </w:tc>
      </w:tr>
      <w:tr w:rsidR="00947846" w:rsidRPr="00B710A9" w14:paraId="09818CA1" w14:textId="77777777" w:rsidTr="005D574B">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83" w:type="dxa"/>
            <w:noWrap/>
            <w:hideMark/>
          </w:tcPr>
          <w:p w14:paraId="05D67C11"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35</w:t>
            </w:r>
          </w:p>
        </w:tc>
        <w:tc>
          <w:tcPr>
            <w:tcW w:w="3290" w:type="dxa"/>
            <w:hideMark/>
          </w:tcPr>
          <w:p w14:paraId="10624549"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Chiriguaná</w:t>
            </w:r>
          </w:p>
        </w:tc>
        <w:tc>
          <w:tcPr>
            <w:tcW w:w="3170" w:type="dxa"/>
            <w:hideMark/>
          </w:tcPr>
          <w:p w14:paraId="2508C256"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Resolución 1734 de 2021</w:t>
            </w:r>
          </w:p>
        </w:tc>
        <w:tc>
          <w:tcPr>
            <w:tcW w:w="1885" w:type="dxa"/>
            <w:noWrap/>
            <w:hideMark/>
          </w:tcPr>
          <w:p w14:paraId="5C14154A"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1AE7FF24" w14:textId="77777777" w:rsidTr="005D574B">
        <w:trPr>
          <w:trHeight w:val="411"/>
        </w:trPr>
        <w:tc>
          <w:tcPr>
            <w:cnfStyle w:val="001000000000" w:firstRow="0" w:lastRow="0" w:firstColumn="1" w:lastColumn="0" w:oddVBand="0" w:evenVBand="0" w:oddHBand="0" w:evenHBand="0" w:firstRowFirstColumn="0" w:firstRowLastColumn="0" w:lastRowFirstColumn="0" w:lastRowLastColumn="0"/>
            <w:tcW w:w="483" w:type="dxa"/>
            <w:noWrap/>
            <w:hideMark/>
          </w:tcPr>
          <w:p w14:paraId="49FCC0AC"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36</w:t>
            </w:r>
          </w:p>
        </w:tc>
        <w:tc>
          <w:tcPr>
            <w:tcW w:w="3290" w:type="dxa"/>
            <w:hideMark/>
          </w:tcPr>
          <w:p w14:paraId="00786B91"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Cota</w:t>
            </w:r>
          </w:p>
        </w:tc>
        <w:tc>
          <w:tcPr>
            <w:tcW w:w="3170" w:type="dxa"/>
            <w:hideMark/>
          </w:tcPr>
          <w:p w14:paraId="26C34E6D"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Resolución 449 de 2022</w:t>
            </w:r>
          </w:p>
        </w:tc>
        <w:tc>
          <w:tcPr>
            <w:tcW w:w="1885" w:type="dxa"/>
            <w:noWrap/>
            <w:hideMark/>
          </w:tcPr>
          <w:p w14:paraId="2DA480A5"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670B8673" w14:textId="77777777" w:rsidTr="005D574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83" w:type="dxa"/>
            <w:noWrap/>
            <w:hideMark/>
          </w:tcPr>
          <w:p w14:paraId="5133C4F5"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37</w:t>
            </w:r>
          </w:p>
        </w:tc>
        <w:tc>
          <w:tcPr>
            <w:tcW w:w="3290" w:type="dxa"/>
            <w:hideMark/>
          </w:tcPr>
          <w:p w14:paraId="4A17C807"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Unidad Administrativa Especial Gestión Restitución de Tierras Despojadas -UAEGRTD</w:t>
            </w:r>
          </w:p>
        </w:tc>
        <w:tc>
          <w:tcPr>
            <w:tcW w:w="3170" w:type="dxa"/>
          </w:tcPr>
          <w:p w14:paraId="0D618E9C"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Resolución 524 de 2022</w:t>
            </w:r>
          </w:p>
          <w:p w14:paraId="72A8B6E2"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 xml:space="preserve">alcance a la habilitación:  </w:t>
            </w:r>
          </w:p>
          <w:p w14:paraId="4D7CEF7E"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Resolución 591 de 2022</w:t>
            </w:r>
          </w:p>
          <w:p w14:paraId="4CFC841F"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p>
        </w:tc>
        <w:tc>
          <w:tcPr>
            <w:tcW w:w="1885" w:type="dxa"/>
            <w:noWrap/>
            <w:hideMark/>
          </w:tcPr>
          <w:p w14:paraId="0E6580D1"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Nacional</w:t>
            </w:r>
          </w:p>
        </w:tc>
      </w:tr>
      <w:tr w:rsidR="00947846" w:rsidRPr="00B710A9" w14:paraId="0197C20E" w14:textId="77777777" w:rsidTr="005D574B">
        <w:trPr>
          <w:trHeight w:val="442"/>
        </w:trPr>
        <w:tc>
          <w:tcPr>
            <w:cnfStyle w:val="001000000000" w:firstRow="0" w:lastRow="0" w:firstColumn="1" w:lastColumn="0" w:oddVBand="0" w:evenVBand="0" w:oddHBand="0" w:evenHBand="0" w:firstRowFirstColumn="0" w:firstRowLastColumn="0" w:lastRowFirstColumn="0" w:lastRowLastColumn="0"/>
            <w:tcW w:w="483" w:type="dxa"/>
            <w:noWrap/>
            <w:hideMark/>
          </w:tcPr>
          <w:p w14:paraId="4031D048"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38</w:t>
            </w:r>
          </w:p>
        </w:tc>
        <w:tc>
          <w:tcPr>
            <w:tcW w:w="3290" w:type="dxa"/>
            <w:hideMark/>
          </w:tcPr>
          <w:p w14:paraId="52102037"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Florencia</w:t>
            </w:r>
          </w:p>
        </w:tc>
        <w:tc>
          <w:tcPr>
            <w:tcW w:w="3170" w:type="dxa"/>
            <w:hideMark/>
          </w:tcPr>
          <w:p w14:paraId="4FB0B173"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Resolución 655 de 2022</w:t>
            </w:r>
          </w:p>
        </w:tc>
        <w:tc>
          <w:tcPr>
            <w:tcW w:w="1885" w:type="dxa"/>
            <w:noWrap/>
            <w:hideMark/>
          </w:tcPr>
          <w:p w14:paraId="48946FF4"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7309EE70" w14:textId="77777777" w:rsidTr="005D574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83" w:type="dxa"/>
            <w:noWrap/>
            <w:hideMark/>
          </w:tcPr>
          <w:p w14:paraId="35FC4178"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39</w:t>
            </w:r>
          </w:p>
        </w:tc>
        <w:tc>
          <w:tcPr>
            <w:tcW w:w="3290" w:type="dxa"/>
            <w:hideMark/>
          </w:tcPr>
          <w:p w14:paraId="29685CC8" w14:textId="6B432884"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
              </w:rPr>
            </w:pPr>
            <w:r w:rsidRPr="00B710A9">
              <w:rPr>
                <w:rFonts w:ascii="Arial" w:eastAsia="Arial" w:hAnsi="Arial" w:cs="Arial"/>
                <w:sz w:val="18"/>
                <w:szCs w:val="18"/>
                <w:lang w:eastAsia="es-ES"/>
              </w:rPr>
              <w:t>Municipio de Villavicencio</w:t>
            </w:r>
          </w:p>
        </w:tc>
        <w:tc>
          <w:tcPr>
            <w:tcW w:w="3170" w:type="dxa"/>
            <w:hideMark/>
          </w:tcPr>
          <w:p w14:paraId="23BC2ED6"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 xml:space="preserve">Resolución 665 de 2022 </w:t>
            </w:r>
          </w:p>
        </w:tc>
        <w:tc>
          <w:tcPr>
            <w:tcW w:w="1885" w:type="dxa"/>
            <w:noWrap/>
            <w:hideMark/>
          </w:tcPr>
          <w:p w14:paraId="055D9AD7"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31AAA219" w14:textId="77777777" w:rsidTr="005D574B">
        <w:trPr>
          <w:trHeight w:val="427"/>
        </w:trPr>
        <w:tc>
          <w:tcPr>
            <w:cnfStyle w:val="001000000000" w:firstRow="0" w:lastRow="0" w:firstColumn="1" w:lastColumn="0" w:oddVBand="0" w:evenVBand="0" w:oddHBand="0" w:evenHBand="0" w:firstRowFirstColumn="0" w:firstRowLastColumn="0" w:lastRowFirstColumn="0" w:lastRowLastColumn="0"/>
            <w:tcW w:w="483" w:type="dxa"/>
            <w:noWrap/>
            <w:hideMark/>
          </w:tcPr>
          <w:p w14:paraId="5F0D31B3"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40</w:t>
            </w:r>
          </w:p>
        </w:tc>
        <w:tc>
          <w:tcPr>
            <w:tcW w:w="3290" w:type="dxa"/>
            <w:hideMark/>
          </w:tcPr>
          <w:p w14:paraId="18389957"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Barrancabermeja</w:t>
            </w:r>
          </w:p>
        </w:tc>
        <w:tc>
          <w:tcPr>
            <w:tcW w:w="3170" w:type="dxa"/>
            <w:hideMark/>
          </w:tcPr>
          <w:p w14:paraId="4E5F5501"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 xml:space="preserve">Resolución 681 de 2022 </w:t>
            </w:r>
          </w:p>
        </w:tc>
        <w:tc>
          <w:tcPr>
            <w:tcW w:w="1885" w:type="dxa"/>
            <w:noWrap/>
            <w:hideMark/>
          </w:tcPr>
          <w:p w14:paraId="3A4CDC42"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65868FE9" w14:textId="77777777" w:rsidTr="005D574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83" w:type="dxa"/>
            <w:noWrap/>
            <w:hideMark/>
          </w:tcPr>
          <w:p w14:paraId="7A1975EA"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41</w:t>
            </w:r>
          </w:p>
        </w:tc>
        <w:tc>
          <w:tcPr>
            <w:tcW w:w="3290" w:type="dxa"/>
            <w:hideMark/>
          </w:tcPr>
          <w:p w14:paraId="3DCD943C" w14:textId="77777777" w:rsidR="00947846" w:rsidRPr="00B710A9" w:rsidRDefault="00947846"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Marinilla</w:t>
            </w:r>
          </w:p>
        </w:tc>
        <w:tc>
          <w:tcPr>
            <w:tcW w:w="3170" w:type="dxa"/>
            <w:hideMark/>
          </w:tcPr>
          <w:p w14:paraId="12BC8FF3"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Resolución 732 de 2022</w:t>
            </w:r>
          </w:p>
        </w:tc>
        <w:tc>
          <w:tcPr>
            <w:tcW w:w="1885" w:type="dxa"/>
            <w:noWrap/>
            <w:hideMark/>
          </w:tcPr>
          <w:p w14:paraId="66EB220F"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34A948AA" w14:textId="77777777" w:rsidTr="005D574B">
        <w:trPr>
          <w:trHeight w:val="424"/>
        </w:trPr>
        <w:tc>
          <w:tcPr>
            <w:cnfStyle w:val="001000000000" w:firstRow="0" w:lastRow="0" w:firstColumn="1" w:lastColumn="0" w:oddVBand="0" w:evenVBand="0" w:oddHBand="0" w:evenHBand="0" w:firstRowFirstColumn="0" w:firstRowLastColumn="0" w:lastRowFirstColumn="0" w:lastRowLastColumn="0"/>
            <w:tcW w:w="483" w:type="dxa"/>
            <w:noWrap/>
            <w:hideMark/>
          </w:tcPr>
          <w:p w14:paraId="764BBE26" w14:textId="77777777" w:rsidR="00947846" w:rsidRPr="00B710A9" w:rsidRDefault="00947846" w:rsidP="005D574B">
            <w:pPr>
              <w:rPr>
                <w:rFonts w:ascii="Arial" w:eastAsia="Arial" w:hAnsi="Arial" w:cs="Arial"/>
                <w:sz w:val="18"/>
                <w:szCs w:val="18"/>
                <w:lang w:eastAsia="es-ES_tradnl"/>
              </w:rPr>
            </w:pPr>
            <w:r w:rsidRPr="00B710A9">
              <w:rPr>
                <w:rFonts w:ascii="Arial" w:eastAsia="Arial" w:hAnsi="Arial" w:cs="Arial"/>
                <w:sz w:val="18"/>
                <w:szCs w:val="18"/>
                <w:lang w:eastAsia="es-ES_tradnl"/>
              </w:rPr>
              <w:t>42</w:t>
            </w:r>
          </w:p>
        </w:tc>
        <w:tc>
          <w:tcPr>
            <w:tcW w:w="3290" w:type="dxa"/>
            <w:hideMark/>
          </w:tcPr>
          <w:p w14:paraId="52CAB635" w14:textId="77777777" w:rsidR="00947846" w:rsidRPr="00B710A9" w:rsidRDefault="00947846"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Municipio de Soledad</w:t>
            </w:r>
          </w:p>
        </w:tc>
        <w:tc>
          <w:tcPr>
            <w:tcW w:w="3170" w:type="dxa"/>
            <w:hideMark/>
          </w:tcPr>
          <w:p w14:paraId="45BCF994"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Resolución 766 de 2022</w:t>
            </w:r>
          </w:p>
        </w:tc>
        <w:tc>
          <w:tcPr>
            <w:tcW w:w="1885" w:type="dxa"/>
            <w:noWrap/>
            <w:hideMark/>
          </w:tcPr>
          <w:p w14:paraId="7DBF72EF" w14:textId="77777777" w:rsidR="00947846" w:rsidRPr="00B710A9" w:rsidRDefault="00947846"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eastAsia="es-ES_tradnl"/>
              </w:rPr>
            </w:pPr>
            <w:r w:rsidRPr="00B710A9">
              <w:rPr>
                <w:rFonts w:ascii="Arial" w:eastAsia="Arial" w:hAnsi="Arial" w:cs="Arial"/>
                <w:sz w:val="18"/>
                <w:szCs w:val="18"/>
                <w:lang w:eastAsia="es-ES_tradnl"/>
              </w:rPr>
              <w:t>1</w:t>
            </w:r>
          </w:p>
        </w:tc>
      </w:tr>
      <w:tr w:rsidR="00947846" w:rsidRPr="00B710A9" w14:paraId="54E54988" w14:textId="77777777" w:rsidTr="005D574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943" w:type="dxa"/>
            <w:gridSpan w:val="3"/>
            <w:hideMark/>
          </w:tcPr>
          <w:p w14:paraId="5D5575C0" w14:textId="77777777" w:rsidR="00947846" w:rsidRPr="00B710A9" w:rsidRDefault="00947846" w:rsidP="005D574B">
            <w:pPr>
              <w:jc w:val="center"/>
              <w:rPr>
                <w:rFonts w:ascii="Arial" w:eastAsia="Arial" w:hAnsi="Arial" w:cs="Arial"/>
                <w:sz w:val="18"/>
                <w:szCs w:val="18"/>
                <w:lang w:eastAsia="es-ES_tradnl"/>
              </w:rPr>
            </w:pPr>
            <w:r w:rsidRPr="00B710A9">
              <w:rPr>
                <w:rFonts w:ascii="Arial" w:eastAsia="Arial" w:hAnsi="Arial" w:cs="Arial"/>
                <w:sz w:val="18"/>
                <w:szCs w:val="18"/>
                <w:lang w:eastAsia="es-ES_tradnl"/>
              </w:rPr>
              <w:t>TOTAL</w:t>
            </w:r>
          </w:p>
        </w:tc>
        <w:tc>
          <w:tcPr>
            <w:tcW w:w="1885" w:type="dxa"/>
            <w:noWrap/>
            <w:hideMark/>
          </w:tcPr>
          <w:p w14:paraId="32933858" w14:textId="77777777" w:rsidR="00947846" w:rsidRPr="00B710A9" w:rsidRDefault="00947846"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lang w:eastAsia="es-ES"/>
              </w:rPr>
            </w:pPr>
            <w:r w:rsidRPr="00B710A9">
              <w:rPr>
                <w:rFonts w:ascii="Arial" w:eastAsia="Arial" w:hAnsi="Arial" w:cs="Arial"/>
                <w:b/>
                <w:bCs/>
                <w:sz w:val="18"/>
                <w:szCs w:val="18"/>
                <w:lang w:eastAsia="es-ES"/>
              </w:rPr>
              <w:t>264</w:t>
            </w:r>
          </w:p>
        </w:tc>
      </w:tr>
    </w:tbl>
    <w:p w14:paraId="700FD688" w14:textId="6E300077" w:rsidR="140D11F8" w:rsidRPr="00B710A9" w:rsidRDefault="140D11F8" w:rsidP="009D279A">
      <w:pPr>
        <w:spacing w:after="0" w:line="240" w:lineRule="auto"/>
        <w:jc w:val="center"/>
        <w:rPr>
          <w:rFonts w:ascii="Arial" w:eastAsia="Calibri" w:hAnsi="Arial" w:cs="Arial"/>
          <w:b/>
          <w:bCs/>
          <w:color w:val="000000" w:themeColor="text1"/>
          <w:sz w:val="16"/>
          <w:szCs w:val="16"/>
        </w:rPr>
      </w:pPr>
      <w:r w:rsidRPr="00B710A9">
        <w:rPr>
          <w:rFonts w:ascii="Arial" w:eastAsia="Calibri" w:hAnsi="Arial" w:cs="Arial"/>
          <w:b/>
          <w:bCs/>
          <w:color w:val="000000" w:themeColor="text1"/>
          <w:sz w:val="16"/>
          <w:szCs w:val="16"/>
        </w:rPr>
        <w:t xml:space="preserve">Fuente: IGAC- </w:t>
      </w:r>
      <w:r w:rsidR="009A4BC8" w:rsidRPr="00B710A9">
        <w:rPr>
          <w:rFonts w:ascii="Arial" w:eastAsia="Calibri" w:hAnsi="Arial" w:cs="Arial"/>
          <w:b/>
          <w:bCs/>
          <w:color w:val="000000" w:themeColor="text1"/>
          <w:sz w:val="16"/>
          <w:szCs w:val="16"/>
        </w:rPr>
        <w:t>Dirección de Gestión Catastral</w:t>
      </w:r>
    </w:p>
    <w:p w14:paraId="5EC41783" w14:textId="52712CE7" w:rsidR="19B98323" w:rsidRPr="00B710A9" w:rsidRDefault="19B98323" w:rsidP="009D279A">
      <w:pPr>
        <w:spacing w:after="0" w:line="240" w:lineRule="auto"/>
        <w:ind w:left="360"/>
        <w:jc w:val="both"/>
        <w:rPr>
          <w:rFonts w:ascii="Calibri" w:eastAsia="Calibri" w:hAnsi="Calibri" w:cs="Calibri"/>
          <w:color w:val="000000" w:themeColor="text1"/>
        </w:rPr>
      </w:pPr>
    </w:p>
    <w:p w14:paraId="09667524" w14:textId="28F566EC" w:rsidR="1AE27106" w:rsidRPr="00B710A9" w:rsidRDefault="1AE27106" w:rsidP="009D279A">
      <w:pPr>
        <w:spacing w:after="0" w:line="240" w:lineRule="auto"/>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rPr>
        <w:t>Adicional a la habilitación de los gestores catastrales anteriormente descritos, se adelantaron las siguientes actividades propias del proceso de habilitación, para el periodo 202</w:t>
      </w:r>
      <w:r w:rsidR="002D071C" w:rsidRPr="00B710A9">
        <w:rPr>
          <w:rFonts w:ascii="Arial" w:eastAsia="Calibri" w:hAnsi="Arial" w:cs="Arial"/>
          <w:color w:val="000000" w:themeColor="text1"/>
          <w:sz w:val="22"/>
          <w:szCs w:val="22"/>
        </w:rPr>
        <w:t>1</w:t>
      </w:r>
      <w:r w:rsidRPr="00B710A9">
        <w:rPr>
          <w:rFonts w:ascii="Arial" w:eastAsia="Calibri" w:hAnsi="Arial" w:cs="Arial"/>
          <w:color w:val="000000" w:themeColor="text1"/>
          <w:sz w:val="22"/>
          <w:szCs w:val="22"/>
        </w:rPr>
        <w:t>-202</w:t>
      </w:r>
      <w:r w:rsidR="002D071C" w:rsidRPr="00B710A9">
        <w:rPr>
          <w:rFonts w:ascii="Arial" w:eastAsia="Calibri" w:hAnsi="Arial" w:cs="Arial"/>
          <w:color w:val="000000" w:themeColor="text1"/>
          <w:sz w:val="22"/>
          <w:szCs w:val="22"/>
        </w:rPr>
        <w:t>2</w:t>
      </w:r>
      <w:r w:rsidRPr="00B710A9">
        <w:rPr>
          <w:rFonts w:ascii="Arial" w:eastAsia="Calibri" w:hAnsi="Arial" w:cs="Arial"/>
          <w:color w:val="000000" w:themeColor="text1"/>
          <w:sz w:val="22"/>
          <w:szCs w:val="22"/>
        </w:rPr>
        <w:t xml:space="preserve">: </w:t>
      </w:r>
    </w:p>
    <w:p w14:paraId="5D92C857" w14:textId="77777777" w:rsidR="002D071C" w:rsidRPr="00B710A9" w:rsidRDefault="002D071C" w:rsidP="009D279A">
      <w:pPr>
        <w:spacing w:after="0" w:line="240" w:lineRule="auto"/>
        <w:jc w:val="both"/>
        <w:rPr>
          <w:rFonts w:ascii="Arial" w:eastAsia="Calibri" w:hAnsi="Arial" w:cs="Arial"/>
          <w:color w:val="000000" w:themeColor="text1"/>
          <w:sz w:val="22"/>
          <w:szCs w:val="22"/>
        </w:rPr>
      </w:pPr>
    </w:p>
    <w:p w14:paraId="4C63C4C1" w14:textId="77777777" w:rsidR="002D071C" w:rsidRPr="00B710A9" w:rsidRDefault="002D071C" w:rsidP="0074686A">
      <w:pPr>
        <w:jc w:val="both"/>
        <w:rPr>
          <w:rFonts w:ascii="Arial" w:eastAsia="Arial" w:hAnsi="Arial" w:cs="Arial"/>
          <w:color w:val="000000" w:themeColor="text1"/>
          <w:sz w:val="22"/>
          <w:szCs w:val="22"/>
          <w:lang w:val="es-MX"/>
        </w:rPr>
      </w:pPr>
      <w:r w:rsidRPr="00B710A9">
        <w:rPr>
          <w:rFonts w:ascii="Arial" w:eastAsia="Arial" w:hAnsi="Arial" w:cs="Arial"/>
          <w:b/>
          <w:bCs/>
          <w:color w:val="000000" w:themeColor="text1"/>
          <w:sz w:val="22"/>
          <w:szCs w:val="22"/>
          <w:lang w:val="es-MX"/>
        </w:rPr>
        <w:lastRenderedPageBreak/>
        <w:t>Empalmes Ejecutados y en trámite de los Gestores Habilitados:</w:t>
      </w:r>
      <w:r w:rsidRPr="00B710A9">
        <w:rPr>
          <w:rFonts w:ascii="Arial" w:eastAsia="Arial" w:hAnsi="Arial" w:cs="Arial"/>
          <w:color w:val="000000" w:themeColor="text1"/>
          <w:sz w:val="22"/>
          <w:szCs w:val="22"/>
          <w:lang w:val="es-MX"/>
        </w:rPr>
        <w:t xml:space="preserve"> Respecto del empalme y entrega de la información catastral al gestor habilitado, establece el artículo 2.2.2.5.4., del Decreto 1983 de 2019, lo siguiente: “…El empalme y entrega de la información al gestor catastral deberá efectuarse en un período máximo de tres (3) meses contados a partir de la fecha de la habilitación, so pena de responsabilidad disciplinaria, si a ello hubiere lugar.”. A su vez, la Resolución IGAC No. 789 de 2020 expedida por esta entidad, regula el proceso de empalme y entrega de información al gestor catastral habilitado.</w:t>
      </w:r>
    </w:p>
    <w:p w14:paraId="2A7FF8C1" w14:textId="1B5EC0A9" w:rsidR="002D071C" w:rsidRPr="00B710A9" w:rsidRDefault="002D071C" w:rsidP="002D071C">
      <w:pPr>
        <w:jc w:val="both"/>
        <w:rPr>
          <w:rFonts w:ascii="Arial" w:eastAsia="Arial" w:hAnsi="Arial" w:cs="Arial"/>
          <w:color w:val="000000" w:themeColor="text1"/>
          <w:sz w:val="22"/>
          <w:szCs w:val="22"/>
          <w:lang w:val="es-MX"/>
        </w:rPr>
      </w:pPr>
      <w:r w:rsidRPr="00B710A9">
        <w:rPr>
          <w:rFonts w:ascii="Arial" w:eastAsia="Arial" w:hAnsi="Arial" w:cs="Arial"/>
          <w:color w:val="000000" w:themeColor="text1"/>
          <w:sz w:val="22"/>
          <w:szCs w:val="22"/>
          <w:lang w:val="es-MX"/>
        </w:rPr>
        <w:t>En cumplimiento a lo anterior,</w:t>
      </w:r>
      <w:r w:rsidR="0074686A" w:rsidRPr="00B710A9">
        <w:rPr>
          <w:rFonts w:ascii="Arial" w:eastAsia="Arial" w:hAnsi="Arial" w:cs="Arial"/>
          <w:color w:val="000000" w:themeColor="text1"/>
          <w:sz w:val="22"/>
          <w:szCs w:val="22"/>
          <w:lang w:val="es-MX"/>
        </w:rPr>
        <w:t xml:space="preserve"> se finalizaron</w:t>
      </w:r>
      <w:r w:rsidRPr="00B710A9">
        <w:rPr>
          <w:rFonts w:ascii="Arial" w:eastAsia="Arial" w:hAnsi="Arial" w:cs="Arial"/>
          <w:color w:val="000000" w:themeColor="text1"/>
          <w:sz w:val="22"/>
          <w:szCs w:val="22"/>
          <w:lang w:val="es-MX"/>
        </w:rPr>
        <w:t xml:space="preserve"> 42 procesos de empalme con los gestores catastrales que han sido habilitados</w:t>
      </w:r>
      <w:r w:rsidR="0074686A" w:rsidRPr="00B710A9">
        <w:rPr>
          <w:rFonts w:ascii="Arial" w:eastAsia="Arial" w:hAnsi="Arial" w:cs="Arial"/>
          <w:color w:val="000000" w:themeColor="text1"/>
          <w:sz w:val="22"/>
          <w:szCs w:val="22"/>
          <w:lang w:val="es-MX"/>
        </w:rPr>
        <w:t>,</w:t>
      </w:r>
      <w:r w:rsidRPr="00B710A9">
        <w:rPr>
          <w:rFonts w:ascii="Arial" w:eastAsia="Arial" w:hAnsi="Arial" w:cs="Arial"/>
          <w:color w:val="000000" w:themeColor="text1"/>
          <w:sz w:val="22"/>
          <w:szCs w:val="22"/>
          <w:lang w:val="es-MX"/>
        </w:rPr>
        <w:t xml:space="preserve"> 4 se encuentra</w:t>
      </w:r>
      <w:r w:rsidR="0074686A" w:rsidRPr="00B710A9">
        <w:rPr>
          <w:rFonts w:ascii="Arial" w:eastAsia="Arial" w:hAnsi="Arial" w:cs="Arial"/>
          <w:color w:val="000000" w:themeColor="text1"/>
          <w:sz w:val="22"/>
          <w:szCs w:val="22"/>
          <w:lang w:val="es-MX"/>
        </w:rPr>
        <w:t>n</w:t>
      </w:r>
      <w:r w:rsidRPr="00B710A9">
        <w:rPr>
          <w:rFonts w:ascii="Arial" w:eastAsia="Arial" w:hAnsi="Arial" w:cs="Arial"/>
          <w:color w:val="000000" w:themeColor="text1"/>
          <w:sz w:val="22"/>
          <w:szCs w:val="22"/>
          <w:lang w:val="es-MX"/>
        </w:rPr>
        <w:t xml:space="preserve"> en proceso (Cota, Florencia, Villavicencio, Barrancas)</w:t>
      </w:r>
      <w:r w:rsidR="0074686A" w:rsidRPr="00B710A9">
        <w:rPr>
          <w:rFonts w:ascii="Arial" w:eastAsia="Arial" w:hAnsi="Arial" w:cs="Arial"/>
          <w:color w:val="000000" w:themeColor="text1"/>
          <w:sz w:val="22"/>
          <w:szCs w:val="22"/>
          <w:lang w:val="es-MX"/>
        </w:rPr>
        <w:t>,</w:t>
      </w:r>
      <w:r w:rsidRPr="00B710A9">
        <w:rPr>
          <w:rFonts w:ascii="Arial" w:eastAsia="Arial" w:hAnsi="Arial" w:cs="Arial"/>
          <w:color w:val="000000" w:themeColor="text1"/>
          <w:sz w:val="22"/>
          <w:szCs w:val="22"/>
          <w:lang w:val="es-MX"/>
        </w:rPr>
        <w:t xml:space="preserve"> y se está esperando la firmeza de los actos administrativos de habilitación para iniciar los empalmes de Marinilla y Soledad.</w:t>
      </w:r>
    </w:p>
    <w:p w14:paraId="0C7E5334" w14:textId="77777777" w:rsidR="002D071C" w:rsidRPr="00B710A9" w:rsidRDefault="002D071C" w:rsidP="002D071C">
      <w:pPr>
        <w:jc w:val="both"/>
        <w:rPr>
          <w:rFonts w:ascii="Arial" w:eastAsia="Arial" w:hAnsi="Arial" w:cs="Arial"/>
          <w:color w:val="000000" w:themeColor="text1"/>
          <w:sz w:val="22"/>
          <w:szCs w:val="22"/>
          <w:lang w:val="es-MX"/>
        </w:rPr>
      </w:pPr>
      <w:r w:rsidRPr="00B710A9">
        <w:rPr>
          <w:rFonts w:ascii="Arial" w:eastAsia="Arial" w:hAnsi="Arial" w:cs="Arial"/>
          <w:color w:val="000000" w:themeColor="text1"/>
          <w:sz w:val="22"/>
          <w:szCs w:val="22"/>
          <w:lang w:val="es-MX"/>
        </w:rPr>
        <w:t>Es importante mencionar que se profirió acto administrativo mediante el cual se dio por terminado unilateralmente el periodo de empalme con el municipio de El Espinal, Departamento de Tolima (Resolución No 381 del 09-03-2022), el municipio interpuso recurso de reposición el cual se encuentra en trámite de respuesta y se comunicó a la Superintendencia de Notariado y Registro – SNR el acto administrativo citado anteriormente.</w:t>
      </w:r>
    </w:p>
    <w:p w14:paraId="654ABA1F" w14:textId="77777777" w:rsidR="002D071C" w:rsidRPr="00B710A9" w:rsidRDefault="002D071C" w:rsidP="002D071C">
      <w:pPr>
        <w:jc w:val="both"/>
        <w:rPr>
          <w:rFonts w:eastAsia="Arial" w:cs="Arial"/>
          <w:color w:val="000000" w:themeColor="text1"/>
          <w:sz w:val="22"/>
          <w:szCs w:val="22"/>
          <w:lang w:val="es-MX"/>
        </w:rPr>
      </w:pPr>
    </w:p>
    <w:p w14:paraId="10DC545A" w14:textId="271B2A65" w:rsidR="009A4BC8" w:rsidRPr="00B710A9" w:rsidRDefault="009A4BC8" w:rsidP="009A4BC8">
      <w:pPr>
        <w:pStyle w:val="Descripcin"/>
        <w:keepNext/>
        <w:jc w:val="center"/>
        <w:rPr>
          <w:rFonts w:ascii="Arial" w:hAnsi="Arial" w:cs="Arial"/>
          <w:b/>
          <w:bCs/>
          <w:i w:val="0"/>
          <w:iCs w:val="0"/>
          <w:color w:val="000000" w:themeColor="text1"/>
          <w:sz w:val="16"/>
          <w:szCs w:val="16"/>
        </w:rPr>
      </w:pPr>
      <w:bookmarkStart w:id="56" w:name="_Toc109057749"/>
      <w:bookmarkStart w:id="57" w:name="_Toc88677096"/>
      <w:bookmarkStart w:id="58" w:name="_Toc107995427"/>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19</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Empalmes gestores catastrales</w:t>
      </w:r>
      <w:bookmarkEnd w:id="56"/>
    </w:p>
    <w:tbl>
      <w:tblPr>
        <w:tblStyle w:val="Tablaconcuadrcula4-nfasis1"/>
        <w:tblW w:w="9350" w:type="dxa"/>
        <w:jc w:val="center"/>
        <w:tblLook w:val="04A0" w:firstRow="1" w:lastRow="0" w:firstColumn="1" w:lastColumn="0" w:noHBand="0" w:noVBand="1"/>
      </w:tblPr>
      <w:tblGrid>
        <w:gridCol w:w="586"/>
        <w:gridCol w:w="2779"/>
        <w:gridCol w:w="1709"/>
        <w:gridCol w:w="1725"/>
        <w:gridCol w:w="1186"/>
        <w:gridCol w:w="1365"/>
      </w:tblGrid>
      <w:tr w:rsidR="002D071C" w:rsidRPr="00B710A9" w14:paraId="5F0A4E79" w14:textId="77777777" w:rsidTr="005D574B">
        <w:trPr>
          <w:cnfStyle w:val="100000000000" w:firstRow="1" w:lastRow="0" w:firstColumn="0" w:lastColumn="0" w:oddVBand="0" w:evenVBand="0" w:oddHBand="0" w:evenHBand="0" w:firstRowFirstColumn="0" w:firstRowLastColumn="0" w:lastRowFirstColumn="0" w:lastRowLastColumn="0"/>
          <w:trHeight w:val="547"/>
          <w:tblHeader/>
          <w:jc w:val="center"/>
        </w:trPr>
        <w:tc>
          <w:tcPr>
            <w:cnfStyle w:val="001000000000" w:firstRow="0" w:lastRow="0" w:firstColumn="1" w:lastColumn="0" w:oddVBand="0" w:evenVBand="0" w:oddHBand="0" w:evenHBand="0" w:firstRowFirstColumn="0" w:firstRowLastColumn="0" w:lastRowFirstColumn="0" w:lastRowLastColumn="0"/>
            <w:tcW w:w="3365" w:type="dxa"/>
            <w:gridSpan w:val="2"/>
            <w:hideMark/>
          </w:tcPr>
          <w:bookmarkEnd w:id="57"/>
          <w:bookmarkEnd w:id="58"/>
          <w:p w14:paraId="67E0AEC0" w14:textId="77777777" w:rsidR="002D071C" w:rsidRPr="00B710A9" w:rsidRDefault="002D071C" w:rsidP="005D574B">
            <w:pPr>
              <w:jc w:val="center"/>
              <w:rPr>
                <w:rFonts w:ascii="Arial" w:eastAsia="Arial" w:hAnsi="Arial" w:cs="Arial"/>
                <w:b w:val="0"/>
                <w:bCs w:val="0"/>
                <w:sz w:val="16"/>
                <w:szCs w:val="16"/>
                <w:lang w:eastAsia="es-ES_tradnl"/>
              </w:rPr>
            </w:pPr>
            <w:r w:rsidRPr="00B710A9">
              <w:rPr>
                <w:rFonts w:ascii="Arial" w:eastAsia="Arial" w:hAnsi="Arial" w:cs="Arial"/>
                <w:sz w:val="16"/>
                <w:szCs w:val="16"/>
                <w:lang w:eastAsia="es-ES_tradnl"/>
              </w:rPr>
              <w:t>Gestor Catastral</w:t>
            </w:r>
          </w:p>
        </w:tc>
        <w:tc>
          <w:tcPr>
            <w:tcW w:w="1709" w:type="dxa"/>
            <w:hideMark/>
          </w:tcPr>
          <w:p w14:paraId="319CEB66" w14:textId="77777777" w:rsidR="002D071C" w:rsidRPr="00B710A9" w:rsidRDefault="002D071C" w:rsidP="005D574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6"/>
                <w:szCs w:val="16"/>
                <w:lang w:eastAsia="es-ES_tradnl"/>
              </w:rPr>
            </w:pPr>
            <w:r w:rsidRPr="00B710A9">
              <w:rPr>
                <w:rFonts w:ascii="Arial" w:eastAsia="Arial" w:hAnsi="Arial" w:cs="Arial"/>
                <w:sz w:val="16"/>
                <w:szCs w:val="16"/>
                <w:lang w:eastAsia="es-ES_tradnl"/>
              </w:rPr>
              <w:t>Departamento</w:t>
            </w:r>
          </w:p>
        </w:tc>
        <w:tc>
          <w:tcPr>
            <w:tcW w:w="1725" w:type="dxa"/>
            <w:hideMark/>
          </w:tcPr>
          <w:p w14:paraId="6BFF64E5" w14:textId="77777777" w:rsidR="002D071C" w:rsidRPr="00B710A9" w:rsidRDefault="002D071C" w:rsidP="005D574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6"/>
                <w:szCs w:val="16"/>
                <w:lang w:eastAsia="es-ES_tradnl"/>
              </w:rPr>
            </w:pPr>
            <w:r w:rsidRPr="00B710A9">
              <w:rPr>
                <w:rFonts w:ascii="Arial" w:eastAsia="Arial" w:hAnsi="Arial" w:cs="Arial"/>
                <w:sz w:val="16"/>
                <w:szCs w:val="16"/>
                <w:lang w:eastAsia="es-ES_tradnl"/>
              </w:rPr>
              <w:t>Fecha Periodo de Empalme</w:t>
            </w:r>
          </w:p>
        </w:tc>
        <w:tc>
          <w:tcPr>
            <w:tcW w:w="1186" w:type="dxa"/>
            <w:hideMark/>
          </w:tcPr>
          <w:p w14:paraId="3FCE91EA" w14:textId="77777777" w:rsidR="002D071C" w:rsidRPr="00B710A9" w:rsidRDefault="002D071C" w:rsidP="005D574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6"/>
                <w:szCs w:val="16"/>
                <w:lang w:eastAsia="es-ES_tradnl"/>
              </w:rPr>
            </w:pPr>
            <w:r w:rsidRPr="00B710A9">
              <w:rPr>
                <w:rFonts w:ascii="Arial" w:eastAsia="Arial" w:hAnsi="Arial" w:cs="Arial"/>
                <w:sz w:val="16"/>
                <w:szCs w:val="16"/>
                <w:lang w:eastAsia="es-ES_tradnl"/>
              </w:rPr>
              <w:t>Inicio de operación</w:t>
            </w:r>
          </w:p>
        </w:tc>
        <w:tc>
          <w:tcPr>
            <w:tcW w:w="1365" w:type="dxa"/>
            <w:hideMark/>
          </w:tcPr>
          <w:p w14:paraId="72C0870F" w14:textId="77777777" w:rsidR="002D071C" w:rsidRPr="00B710A9" w:rsidRDefault="002D071C" w:rsidP="005D574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6"/>
                <w:szCs w:val="16"/>
                <w:lang w:eastAsia="es-ES_tradnl"/>
              </w:rPr>
            </w:pPr>
            <w:r w:rsidRPr="00B710A9">
              <w:rPr>
                <w:rFonts w:ascii="Arial" w:eastAsia="Arial" w:hAnsi="Arial" w:cs="Arial"/>
                <w:sz w:val="16"/>
                <w:szCs w:val="16"/>
                <w:lang w:eastAsia="es-ES_tradnl"/>
              </w:rPr>
              <w:t>No. Municipios</w:t>
            </w:r>
          </w:p>
        </w:tc>
      </w:tr>
      <w:tr w:rsidR="002D071C" w:rsidRPr="00B710A9" w14:paraId="52E719B2" w14:textId="77777777" w:rsidTr="005D574B">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97153E5"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1</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BAC4D28"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Dirección de Sistemas de Información y Catastro Antioquia</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C18F6FD"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Antioquia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4C7FA57" w14:textId="1176A3F1"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No aplica, se habilita por la ley 1955 de 2019</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6DB9873"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5/25/2019</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1743A23"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114</w:t>
            </w:r>
          </w:p>
        </w:tc>
      </w:tr>
      <w:tr w:rsidR="002D071C" w:rsidRPr="00B710A9" w14:paraId="0941815C"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6D1985C"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2</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1CEBAF8"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Barranquilla</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2E782C0"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Atlántico</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68FE49A" w14:textId="0F7C0C60"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No aplica, se habilita por la ley 1955 de 2019</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941D484"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5/25/2009</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D82AD5D"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1E51FAAD"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10C5F38"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3</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2ADB50B"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Subdirección de Catastro Municipal de Cali</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D074EB3"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Valle del Cauca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C62EB7D" w14:textId="29A9A454"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No aplica, se habilita por la ley 1955 de 2019</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9F0F8AC"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5/25/2019</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C80A54A"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3C33B7FA"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A0A7CD0"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4</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F6319B9"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Subsecretaría de Catastro de Medellín</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7DE7FBC"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Antioquia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DD72B9B" w14:textId="2418E2D0"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No aplica, se habilita por la ley 1955 de 2019</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2B0D11F"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5/25/2019</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45356BE"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13B6ECC1" w14:textId="77777777" w:rsidTr="005D574B">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725BC87"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5</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DBE3E30"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Unidad Administrativa Especial de Catastro Distrital Bogotá</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664ABA7"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Cundinamarca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F19F504" w14:textId="69C202B4"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No aplica, se habilita por la ley 1955 de 2019</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1D98201"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5/25/2019</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05D3B41"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2104F9DE" w14:textId="77777777" w:rsidTr="005D574B">
        <w:trPr>
          <w:trHeight w:val="510"/>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6BA56E2C" w14:textId="77777777" w:rsidR="002D071C" w:rsidRPr="00B710A9" w:rsidRDefault="002D071C" w:rsidP="005D574B">
            <w:pPr>
              <w:jc w:val="center"/>
              <w:rPr>
                <w:rFonts w:ascii="Arial" w:eastAsia="Arial" w:hAnsi="Arial" w:cs="Arial"/>
                <w:b w:val="0"/>
                <w:bCs w:val="0"/>
                <w:sz w:val="16"/>
                <w:szCs w:val="16"/>
                <w:lang w:eastAsia="es-ES_tradnl"/>
              </w:rPr>
            </w:pPr>
            <w:r w:rsidRPr="00B710A9">
              <w:rPr>
                <w:rFonts w:ascii="Arial" w:eastAsia="Arial" w:hAnsi="Arial" w:cs="Arial"/>
                <w:sz w:val="16"/>
                <w:szCs w:val="16"/>
                <w:lang w:eastAsia="es-ES_tradnl"/>
              </w:rPr>
              <w:t>6</w:t>
            </w:r>
          </w:p>
          <w:p w14:paraId="44806FD2" w14:textId="77777777" w:rsidR="002D071C" w:rsidRPr="00B710A9" w:rsidRDefault="002D071C" w:rsidP="005D574B">
            <w:pPr>
              <w:jc w:val="center"/>
              <w:rPr>
                <w:rFonts w:ascii="Arial" w:eastAsia="Arial" w:hAnsi="Arial" w:cs="Arial"/>
                <w:sz w:val="16"/>
                <w:szCs w:val="16"/>
                <w:lang w:eastAsia="es-ES_tradnl"/>
              </w:rPr>
            </w:pP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E4EB59E"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Agencia Nacional de Tierras</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C9A1834"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 xml:space="preserve">Nacional </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9F90BB" w14:textId="52EE959F"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No aplica, se habilita por la ley 1955 de 2019</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A8029EF"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5/25/2019</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1D55AB0"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Nacional</w:t>
            </w:r>
          </w:p>
        </w:tc>
      </w:tr>
      <w:tr w:rsidR="002D071C" w:rsidRPr="00B710A9" w14:paraId="71348B4C"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6F26ABA"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7</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CF53A70"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Área Metropolitana de Bucaramanga AMB</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6CF9E7F"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Atlántico</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60056BC"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07-11-2019 / 07-01-2020</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60C5A05"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1/8/2020</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2E61EB3"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4</w:t>
            </w:r>
          </w:p>
        </w:tc>
      </w:tr>
      <w:tr w:rsidR="002D071C" w:rsidRPr="00B710A9" w14:paraId="04C9C54B"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7D0CD63"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8</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063FC4B"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Área Metropolitana de Centro Occidente AMCO</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6D2C554"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Risaralda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EE8F990"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15-08-2020 / 14-10-2020</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ABADF2E"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10/15/2019</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E10C7B2"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3</w:t>
            </w:r>
          </w:p>
        </w:tc>
      </w:tr>
      <w:tr w:rsidR="002D071C" w:rsidRPr="00B710A9" w14:paraId="24AA1186"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BA2889D"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9</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55FDBFB"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Soacha</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9870A12"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Cundinamarca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C9A1EDF"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16-04-2020 / 16-07-2020</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F9F0BAF"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7/17/2020</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38FF4AA"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0FF96B5B" w14:textId="77777777" w:rsidTr="005D574B">
        <w:trPr>
          <w:trHeight w:val="510"/>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B6F0D82"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10</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E66072C"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Municipios Asociados del Altiplano del Oriente Antioqueño MASORA</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B2DFFC0"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Antioquia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EB91747"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14-04-2020 / 14-07-2020</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DBEF748"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7/15/2020</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2213BA1"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3</w:t>
            </w:r>
          </w:p>
        </w:tc>
      </w:tr>
      <w:tr w:rsidR="002D071C" w:rsidRPr="00B710A9" w14:paraId="2990DA18"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E9829B1"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11</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E846EE0"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Área Metropolitana de Barranquilla AMB</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99E5FB8"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Atlántico</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BCACF3D"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31-07-2020 / 30-10-2020</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E7D363E"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11/3/2020</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496D5B3"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3</w:t>
            </w:r>
          </w:p>
        </w:tc>
      </w:tr>
      <w:tr w:rsidR="002D071C" w:rsidRPr="00B710A9" w14:paraId="67CE27C1"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50B88AF"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12</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68783BC"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Departamento del Valle del Cauca</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7D574D3"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Valle del Cauca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2EF9EF8"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31-07-2020 / 31-10-2020</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DB23B2E"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11/3/2020</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9951832"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21</w:t>
            </w:r>
          </w:p>
        </w:tc>
      </w:tr>
      <w:tr w:rsidR="002D071C" w:rsidRPr="00B710A9" w14:paraId="213EEC21"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AD7FF09"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13</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B5FF9FF"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Departamento de Cundinamarca</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C06A40C"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Cundinamarca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5D0364E"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27-08-2020 / 27-11-2020</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FC00EEC"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11/30/2020</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609639A"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71</w:t>
            </w:r>
          </w:p>
        </w:tc>
      </w:tr>
      <w:tr w:rsidR="002D071C" w:rsidRPr="00B710A9" w14:paraId="4E332B5C"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5F57805"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lastRenderedPageBreak/>
              <w:t>14</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50A1CFA"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Fusagasugá</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0066F65"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Cundinamarca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1EC67F4"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10-09-2020 / 26-11-2020</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55CFBEC"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11/27/2020</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B393F03"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4231599F" w14:textId="77777777" w:rsidTr="005D574B">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C133706"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15</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832A96A"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Distrito Turístico, Cultural e Histórico de Santa Marta</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A99FEE1"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Magdalena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0D3E07E"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15-09-2020 / 30-11-2020</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B582B0D"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12/1/2020</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0784D11"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148A4983"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A47F76F"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16</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5EC52E3"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San José de Cúcuta</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634A827"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Norte de Santander</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D23CA44"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14-09-2020 / 14-12-2020</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1137456"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12/15/2020</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262D4CB"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2D808DE2"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832F14C"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17</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55FA7C1"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Área Metropolitana de Valle de Aburrá AMV</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1B38B53"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Antioquia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FF4E4DE"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05-10-2020 / 05-01-2021</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0FCD9E9"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1/6/2021</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F40A180"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4</w:t>
            </w:r>
          </w:p>
        </w:tc>
      </w:tr>
      <w:tr w:rsidR="002D071C" w:rsidRPr="00B710A9" w14:paraId="461BF7C7"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7CFDD89"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18</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C72A0B8"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Rionegro</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48C856B"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Antioquia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DE713CA"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26-11-2020 / 26-02-2021</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4EF15E2"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2/27/2021</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3274F59"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6F54A62D"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9FD5D3E"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19</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7EEE618"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Sesquilé</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2FE0701"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Cundinamarca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65F747F"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15-01-2021 / 15-04-2021</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70522C0"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4/16/2021</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B12E7D6"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680F7D4E"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D77F759"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20</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E58D37F"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Sincelejo</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0B67186"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Sucre</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22DF8FA"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09-02-2021 / 10-05-2021</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8B53363"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5/11/2021</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A812906"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3BF8B66D"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5470708"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21</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0E594C1"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Zipaquirá</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288513C"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Cundinamarca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2A12937"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08-03-2021 / 08-06-2021</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BB6EDB8"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6/9/2021</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3CA890D"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0F74A48B"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F7B536E"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22</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93C8903"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Envigado</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2612111"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Antioquia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33E4F02"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12-03-2021 / 11-06-2021</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869E4A8"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6/15/2021</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175CE35"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7D08DEE9"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8D92172"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23</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CE4C7B1"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Armenia</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FCD8A65"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Quindío</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B432E44"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23-04-2021 / 23-07-2021</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B52BDEB"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7/26/2021</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04CCAB1"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5479BF0C"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85C7F16"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24</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F84654D"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Jamundí</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52F33E8"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Valle del Cauca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E72BB7"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28-04-2021 / 28-07-2021</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584DC8E"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7/29/2021</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50DFB98"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3EBC8A18"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DA31E7A"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25</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5D51678"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Sabaneta</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ACBE5DD"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Antioquia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B3E3B2F"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07-05-2021 / 06-08-2021</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D714322"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8/9/2021</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D2926A6"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4C825371"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20A81C0"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26</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8208415"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Neiva</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277F199"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Huila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E7C377F"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27-05-2021 / 27-08-2021</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E69F6D4"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8/30/2021</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22EE7E0"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6A783AC3"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EC7F270"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27</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7AC8B1B"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Valledupar</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1614B2C"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Cesar</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C8DB1F3"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28-07-2021 / 28-10-2021</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2F07E63"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10/29/2021</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F2D5DE6"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49C8A0C3"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1734580"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28</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E3E003D"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Ibagué</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B9BFB9B"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Tolima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A101BCF"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15-07-2021 / 15-10-2021</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707BE5F"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10/18/2021</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F1F2B2F"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19AB4500"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0CC27E4"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29</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3232182"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ASOMUNICIPIOS</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5C93D3D" w14:textId="2CB01BD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 xml:space="preserve">Norte de Santander </w:t>
            </w:r>
            <w:r w:rsidR="0062026A" w:rsidRPr="00B710A9">
              <w:rPr>
                <w:rFonts w:ascii="Arial" w:eastAsia="Arial" w:hAnsi="Arial" w:cs="Arial"/>
                <w:sz w:val="16"/>
                <w:szCs w:val="16"/>
                <w:lang w:eastAsia="es-ES_tradnl"/>
              </w:rPr>
              <w:t>–</w:t>
            </w:r>
            <w:r w:rsidRPr="00B710A9">
              <w:rPr>
                <w:rFonts w:ascii="Arial" w:eastAsia="Arial" w:hAnsi="Arial" w:cs="Arial"/>
                <w:sz w:val="16"/>
                <w:szCs w:val="16"/>
                <w:lang w:eastAsia="es-ES_tradnl"/>
              </w:rPr>
              <w:t xml:space="preserve"> Cesar</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43F0BCC"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10-09-2021 / 10-12-2021</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1B48B9E"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12/13/2021</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65D0590"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12</w:t>
            </w:r>
          </w:p>
        </w:tc>
      </w:tr>
      <w:tr w:rsidR="002D071C" w:rsidRPr="00B710A9" w14:paraId="02328CE8"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A82C2C0"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30</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57630F7"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Sabanalarga</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2415F2F"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Atlántico</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0ED2D52"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27-09-2021 / 14-12-2021</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5F072D1"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12/15/2021</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471861B"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1C05FF3A"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854649D"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31</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8A4CE0E"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Girardot</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581B299"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Cundinamarca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BAD644F"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07-10-2021 / 07-01-2022</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5EE048A"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1/11/2022</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730F3CE"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49767C0F"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D1D224C"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32</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1B9895C"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Sahagún</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5D780C3"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Córdoba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77399B9"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03-11-2021 / 02-02-2022</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8DD22BA"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2/3/2022</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68A0F37"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3D704CC8"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1822570"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33</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8E3194B"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Garzón</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B4E49C2"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Huila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5706674"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24-11-2021 / 24-02-2022</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41734D9"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2/25/2022</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9535853"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30E1D80E" w14:textId="77777777" w:rsidTr="005D574B">
        <w:trPr>
          <w:trHeight w:val="510"/>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83E6C53"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34</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DCE738F"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El Espinal</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43412C2"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Tolima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CC08633"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Fecha en que estaba proyectado en empalme</w:t>
            </w:r>
          </w:p>
          <w:p w14:paraId="40E937AE"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09-12-2021 / 09-03-2022</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E09F04B"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No se realizó la entrega del servicio</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E543E2B"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w:t>
            </w:r>
          </w:p>
        </w:tc>
      </w:tr>
      <w:tr w:rsidR="002D071C" w:rsidRPr="00B710A9" w14:paraId="6724B190"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32A623B"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35</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C0766C5"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 xml:space="preserve">Municipio de </w:t>
            </w:r>
            <w:proofErr w:type="spellStart"/>
            <w:r w:rsidRPr="00B710A9">
              <w:rPr>
                <w:rFonts w:ascii="Arial" w:eastAsia="Arial" w:hAnsi="Arial" w:cs="Arial"/>
                <w:sz w:val="16"/>
                <w:szCs w:val="16"/>
                <w:lang w:eastAsia="es-ES_tradnl"/>
              </w:rPr>
              <w:t>Chirigüaná</w:t>
            </w:r>
            <w:proofErr w:type="spellEnd"/>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2FE7EA3"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Cesar</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84D22C9"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16-12-2021 / 16-03-2022</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23C3E54"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3/17/2022</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C2FF707"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3BB2D764"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5BCE258"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36</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A43F534"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Cota</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C229E4F"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Cundinamarca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7203569"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En Empalme 19-04-2022/</w:t>
            </w:r>
          </w:p>
          <w:p w14:paraId="69ADC885"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19-07-2022</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AF28C2E"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21/07/2022</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5F88FD6"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6234DBD8"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6FDD837"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37</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35C9B5B"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Unidad Administrativa Especial Gestión Restitución de Tierras Despojadas -UAEGRTD</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2C0E90B"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Nacional</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DB935EB"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 xml:space="preserve">Se está dando respuesta a recurso interpuesto por la unidad. Posterior a la firmeza del acto administrativo se iniciará empalme </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5565A00"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CC7A5EB"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Nacional</w:t>
            </w:r>
          </w:p>
        </w:tc>
      </w:tr>
      <w:tr w:rsidR="002D071C" w:rsidRPr="00B710A9" w14:paraId="0385701B"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0E2E582"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38</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B8B5F41"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Florencia</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CD20ED6"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Caquetá</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19019DB"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En empalme</w:t>
            </w:r>
          </w:p>
          <w:p w14:paraId="203CD8FA"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 xml:space="preserve"> 13- 06-2022/13-09-2022</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95CB04E"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14/09/2022</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3E49719"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339B4DEB"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12A5D01"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lastRenderedPageBreak/>
              <w:t>39</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13EB4BF"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Villavicencio</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DA8E4DF"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Meta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360FE8C"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En empalme</w:t>
            </w:r>
          </w:p>
          <w:p w14:paraId="6B124242"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15-06-2022/15-09-2022</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684D27E"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16/09/2022</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08BF0A3"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245AA1A8"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8090CC1"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40</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3B46E4"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Barrancabermeja</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31B7F8F"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 xml:space="preserve">Santander </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0F9458C"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En empalme</w:t>
            </w:r>
          </w:p>
          <w:p w14:paraId="05EDF956"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16-06-2022/16-09-2022</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5830AD2"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19/09/2022</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F42E511"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12AAB7D1" w14:textId="77777777" w:rsidTr="005D57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3F873C3"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41</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D7DCF7D" w14:textId="77777777"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Marinilla</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E8DCB78"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Antioquia</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0C3AB5D"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color w:val="000000" w:themeColor="text1"/>
                <w:sz w:val="16"/>
                <w:szCs w:val="16"/>
                <w:lang w:val="es-MX"/>
              </w:rPr>
              <w:t>esperando la firmeza del acto administrativo para iniciar empalme</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D91D06C"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DF59D92"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590BCD1D" w14:textId="77777777" w:rsidTr="005D574B">
        <w:trPr>
          <w:trHeight w:val="402"/>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A5A953B"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42</w:t>
            </w:r>
          </w:p>
        </w:tc>
        <w:tc>
          <w:tcPr>
            <w:tcW w:w="27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01BDD23" w14:textId="77777777" w:rsidR="002D071C" w:rsidRPr="00B710A9" w:rsidRDefault="002D071C" w:rsidP="005D57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Municipio de Soledad</w:t>
            </w:r>
          </w:p>
        </w:tc>
        <w:tc>
          <w:tcPr>
            <w:tcW w:w="17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7FF665A"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Atlántico</w:t>
            </w:r>
          </w:p>
        </w:tc>
        <w:tc>
          <w:tcPr>
            <w:tcW w:w="1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C064DFB"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color w:val="000000" w:themeColor="text1"/>
                <w:sz w:val="16"/>
                <w:szCs w:val="16"/>
                <w:lang w:val="es-MX"/>
              </w:rPr>
              <w:t>esperando la firmeza del acto administrativo para iniciar empalme</w:t>
            </w:r>
          </w:p>
        </w:tc>
        <w:tc>
          <w:tcPr>
            <w:tcW w:w="11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8EA745E"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57F206C"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w:t>
            </w:r>
          </w:p>
        </w:tc>
      </w:tr>
      <w:tr w:rsidR="002D071C" w:rsidRPr="00B710A9" w14:paraId="208A1281" w14:textId="77777777" w:rsidTr="005D574B">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7985"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4C8B15F" w14:textId="77777777" w:rsidR="002D071C" w:rsidRPr="00B710A9" w:rsidRDefault="002D071C" w:rsidP="005D574B">
            <w:pPr>
              <w:jc w:val="center"/>
              <w:rPr>
                <w:rFonts w:ascii="Arial" w:eastAsia="Arial" w:hAnsi="Arial" w:cs="Arial"/>
                <w:b w:val="0"/>
                <w:bCs w:val="0"/>
                <w:sz w:val="16"/>
                <w:szCs w:val="16"/>
                <w:lang w:eastAsia="es-ES_tradnl"/>
              </w:rPr>
            </w:pPr>
            <w:r w:rsidRPr="00B710A9">
              <w:rPr>
                <w:rFonts w:ascii="Arial" w:eastAsia="Arial" w:hAnsi="Arial" w:cs="Arial"/>
                <w:sz w:val="16"/>
                <w:szCs w:val="16"/>
                <w:lang w:eastAsia="es-ES_tradnl"/>
              </w:rPr>
              <w:t>TOTAL</w:t>
            </w:r>
          </w:p>
        </w:tc>
        <w:tc>
          <w:tcPr>
            <w:tcW w:w="13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2494934"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264</w:t>
            </w:r>
          </w:p>
        </w:tc>
      </w:tr>
    </w:tbl>
    <w:p w14:paraId="235F2598" w14:textId="77777777" w:rsidR="002D071C" w:rsidRPr="00B710A9" w:rsidRDefault="002D071C" w:rsidP="002D071C">
      <w:pPr>
        <w:jc w:val="center"/>
        <w:rPr>
          <w:rFonts w:ascii="Arial" w:eastAsia="Arial" w:hAnsi="Arial" w:cs="Arial"/>
          <w:color w:val="000000" w:themeColor="text1"/>
          <w:sz w:val="16"/>
          <w:szCs w:val="18"/>
        </w:rPr>
      </w:pPr>
      <w:r w:rsidRPr="00B710A9">
        <w:rPr>
          <w:rFonts w:ascii="Arial" w:eastAsia="Arial" w:hAnsi="Arial" w:cs="Arial"/>
          <w:b/>
          <w:color w:val="000000" w:themeColor="text1"/>
          <w:sz w:val="16"/>
          <w:szCs w:val="18"/>
        </w:rPr>
        <w:t xml:space="preserve">Fuente: Dirección de Regulación y Habilitación </w:t>
      </w:r>
    </w:p>
    <w:p w14:paraId="5E08B0D9" w14:textId="77777777" w:rsidR="002D071C" w:rsidRPr="00B710A9" w:rsidRDefault="002D071C" w:rsidP="002D071C">
      <w:pPr>
        <w:jc w:val="both"/>
        <w:rPr>
          <w:rFonts w:ascii="Arial" w:eastAsia="Arial" w:hAnsi="Arial" w:cs="Arial"/>
          <w:b/>
          <w:bCs/>
          <w:color w:val="000000" w:themeColor="text1"/>
          <w:sz w:val="22"/>
          <w:szCs w:val="22"/>
        </w:rPr>
      </w:pPr>
    </w:p>
    <w:p w14:paraId="0E755006" w14:textId="77777777" w:rsidR="002D071C" w:rsidRPr="00B710A9" w:rsidRDefault="002D071C" w:rsidP="002D071C">
      <w:pPr>
        <w:jc w:val="both"/>
        <w:rPr>
          <w:rFonts w:ascii="Arial" w:eastAsia="Arial" w:hAnsi="Arial" w:cs="Arial"/>
          <w:color w:val="000000" w:themeColor="text1"/>
          <w:sz w:val="22"/>
          <w:szCs w:val="22"/>
        </w:rPr>
      </w:pPr>
      <w:r w:rsidRPr="00B710A9">
        <w:rPr>
          <w:rFonts w:ascii="Arial" w:eastAsia="Arial" w:hAnsi="Arial" w:cs="Arial"/>
          <w:b/>
          <w:bCs/>
          <w:color w:val="000000" w:themeColor="text1"/>
          <w:sz w:val="22"/>
          <w:szCs w:val="22"/>
        </w:rPr>
        <w:t xml:space="preserve">Acompañamiento a </w:t>
      </w:r>
      <w:r w:rsidRPr="00B710A9">
        <w:rPr>
          <w:rFonts w:ascii="Arial" w:eastAsia="Arial" w:hAnsi="Arial" w:cs="Arial"/>
          <w:b/>
          <w:color w:val="000000" w:themeColor="text1"/>
          <w:sz w:val="22"/>
          <w:szCs w:val="22"/>
        </w:rPr>
        <w:t>los interesados en habilitarse</w:t>
      </w:r>
      <w:r w:rsidRPr="00B710A9">
        <w:rPr>
          <w:rFonts w:ascii="Arial" w:eastAsia="Arial" w:hAnsi="Arial" w:cs="Arial"/>
          <w:b/>
          <w:bCs/>
          <w:color w:val="000000" w:themeColor="text1"/>
          <w:sz w:val="22"/>
          <w:szCs w:val="22"/>
        </w:rPr>
        <w:t xml:space="preserve">: </w:t>
      </w:r>
      <w:r w:rsidRPr="00B710A9">
        <w:rPr>
          <w:rFonts w:ascii="Arial" w:eastAsia="Arial" w:hAnsi="Arial" w:cs="Arial"/>
          <w:color w:val="000000" w:themeColor="text1"/>
          <w:sz w:val="22"/>
          <w:szCs w:val="22"/>
        </w:rPr>
        <w:t xml:space="preserve"> Se ha desarrollado una estrategia de acompañamiento por parte del IGAC, con el fin de invitar a los municipios y a los Departamentos para que se habiliten como gestores catastrales, siempre y cuando se cumplan con las condiciones establecidas en el decreto 1983 de 2019. El objetivo es generar espacios pedagógicos donde el interesado pueda identificar claramente qué son y qué actividades desarrollan los gestores catastrales e informar los canales para recibir asesoría en el proceso de habilitación por parte del IGAC. Las actividades principales que se realizan en esta fase de acompañamiento son:</w:t>
      </w:r>
    </w:p>
    <w:p w14:paraId="458BABD4" w14:textId="77777777" w:rsidR="002D071C" w:rsidRPr="00B710A9" w:rsidRDefault="002D071C" w:rsidP="002D071C">
      <w:pPr>
        <w:jc w:val="both"/>
        <w:rPr>
          <w:rFonts w:ascii="Arial" w:eastAsia="Arial" w:hAnsi="Arial" w:cs="Arial"/>
          <w:color w:val="000000" w:themeColor="text1"/>
          <w:sz w:val="22"/>
          <w:szCs w:val="22"/>
        </w:rPr>
      </w:pPr>
    </w:p>
    <w:p w14:paraId="1A4BBFF5" w14:textId="2BC982AD" w:rsidR="002D071C" w:rsidRPr="00B710A9" w:rsidRDefault="002D071C" w:rsidP="00356A3E">
      <w:pPr>
        <w:pStyle w:val="Lista"/>
        <w:numPr>
          <w:ilvl w:val="0"/>
          <w:numId w:val="111"/>
        </w:numPr>
        <w:rPr>
          <w:rFonts w:eastAsia="Arial" w:cs="Arial"/>
          <w:sz w:val="22"/>
          <w:szCs w:val="22"/>
        </w:rPr>
      </w:pPr>
      <w:r w:rsidRPr="00B710A9">
        <w:rPr>
          <w:rFonts w:eastAsia="Arial" w:cs="Arial"/>
          <w:sz w:val="22"/>
          <w:szCs w:val="22"/>
        </w:rPr>
        <w:t>Reuniones, acercamientos e invitación por parte de la Dirección de Regulación y Habilitación para acompañar a los municipios en el proceso de habilitación y brindarles la asesoría que se requiera.</w:t>
      </w:r>
    </w:p>
    <w:p w14:paraId="670FC89B" w14:textId="46CB3CA8" w:rsidR="002D071C" w:rsidRPr="00B710A9" w:rsidRDefault="002D071C" w:rsidP="005E6EC3">
      <w:pPr>
        <w:pStyle w:val="Lista"/>
        <w:ind w:firstLine="60"/>
        <w:rPr>
          <w:rFonts w:eastAsia="Arial" w:cs="Arial"/>
          <w:sz w:val="22"/>
          <w:szCs w:val="22"/>
        </w:rPr>
      </w:pPr>
    </w:p>
    <w:p w14:paraId="638FE1C3" w14:textId="34AB4866" w:rsidR="002D071C" w:rsidRPr="00B710A9" w:rsidRDefault="002D071C" w:rsidP="00356A3E">
      <w:pPr>
        <w:pStyle w:val="Lista"/>
        <w:numPr>
          <w:ilvl w:val="0"/>
          <w:numId w:val="111"/>
        </w:numPr>
        <w:rPr>
          <w:rFonts w:eastAsia="Arial" w:cs="Arial"/>
          <w:sz w:val="22"/>
          <w:szCs w:val="22"/>
        </w:rPr>
      </w:pPr>
      <w:r w:rsidRPr="00B710A9">
        <w:rPr>
          <w:rFonts w:eastAsia="Arial" w:cs="Arial"/>
          <w:sz w:val="22"/>
          <w:szCs w:val="22"/>
        </w:rPr>
        <w:t>Desarrollo de mesas técnicas de acompañamiento a los municipios y gobernaciones que han manifestado interés en habilitarse como gestores</w:t>
      </w:r>
      <w:r w:rsidRPr="00B710A9">
        <w:rPr>
          <w:rFonts w:cs="Arial"/>
          <w:sz w:val="22"/>
          <w:szCs w:val="22"/>
        </w:rPr>
        <w:t xml:space="preserve"> para explicar los requisitos técnicos, jurídicos y financieros, así como los tiempos del proceso de habilitación</w:t>
      </w:r>
      <w:r w:rsidRPr="00B710A9">
        <w:rPr>
          <w:rFonts w:eastAsia="Arial" w:cs="Arial"/>
          <w:sz w:val="22"/>
          <w:szCs w:val="22"/>
        </w:rPr>
        <w:t>.</w:t>
      </w:r>
    </w:p>
    <w:p w14:paraId="21D4CE8F" w14:textId="77777777" w:rsidR="002D071C" w:rsidRPr="00B710A9" w:rsidRDefault="002D071C" w:rsidP="002D071C">
      <w:pPr>
        <w:pStyle w:val="Lista"/>
        <w:rPr>
          <w:rFonts w:eastAsia="Arial" w:cs="Arial"/>
          <w:sz w:val="22"/>
          <w:szCs w:val="22"/>
        </w:rPr>
      </w:pPr>
    </w:p>
    <w:p w14:paraId="7C04F9D2" w14:textId="05238436" w:rsidR="002D071C" w:rsidRPr="00B710A9" w:rsidRDefault="002D071C" w:rsidP="00356A3E">
      <w:pPr>
        <w:pStyle w:val="Lista"/>
        <w:numPr>
          <w:ilvl w:val="0"/>
          <w:numId w:val="111"/>
        </w:numPr>
        <w:rPr>
          <w:rFonts w:eastAsia="Arial" w:cs="Arial"/>
          <w:sz w:val="22"/>
          <w:szCs w:val="22"/>
        </w:rPr>
      </w:pPr>
      <w:r w:rsidRPr="00B710A9">
        <w:rPr>
          <w:rFonts w:eastAsia="Arial" w:cs="Arial"/>
          <w:sz w:val="22"/>
          <w:szCs w:val="22"/>
        </w:rPr>
        <w:t>Envío de carta de invitación a las Alcaldías y Gobernaciones para que se habiliten como gestores.</w:t>
      </w:r>
    </w:p>
    <w:p w14:paraId="65F0DE21" w14:textId="77777777" w:rsidR="002D071C" w:rsidRPr="00B710A9" w:rsidRDefault="002D071C" w:rsidP="002D071C">
      <w:pPr>
        <w:pStyle w:val="Lista"/>
        <w:rPr>
          <w:rFonts w:eastAsia="Arial" w:cs="Arial"/>
          <w:sz w:val="22"/>
          <w:szCs w:val="22"/>
        </w:rPr>
      </w:pPr>
    </w:p>
    <w:p w14:paraId="6486871B" w14:textId="3084CC68" w:rsidR="002D071C" w:rsidRPr="00B710A9" w:rsidRDefault="002D071C" w:rsidP="00356A3E">
      <w:pPr>
        <w:pStyle w:val="Lista"/>
        <w:numPr>
          <w:ilvl w:val="0"/>
          <w:numId w:val="111"/>
        </w:numPr>
        <w:rPr>
          <w:rFonts w:eastAsia="Arial" w:cs="Arial"/>
          <w:sz w:val="22"/>
          <w:szCs w:val="22"/>
        </w:rPr>
      </w:pPr>
      <w:r w:rsidRPr="00B710A9">
        <w:rPr>
          <w:rFonts w:eastAsia="Arial" w:cs="Arial"/>
          <w:sz w:val="22"/>
          <w:szCs w:val="22"/>
        </w:rPr>
        <w:t xml:space="preserve">Se dispuso el correo electrónico </w:t>
      </w:r>
      <w:hyperlink r:id="rId35" w:history="1">
        <w:r w:rsidRPr="00B710A9">
          <w:rPr>
            <w:rFonts w:eastAsia="Arial" w:cs="Arial"/>
            <w:sz w:val="22"/>
            <w:szCs w:val="22"/>
          </w:rPr>
          <w:t>dirhabilitacion@igac.gov.co</w:t>
        </w:r>
      </w:hyperlink>
      <w:r w:rsidRPr="00B710A9">
        <w:rPr>
          <w:rFonts w:eastAsia="Arial" w:cs="Arial"/>
          <w:sz w:val="22"/>
          <w:szCs w:val="22"/>
        </w:rPr>
        <w:t xml:space="preserve"> para que los interesados puedan solicitar la asesoría que se requiera en el proceso de habilitación.</w:t>
      </w:r>
    </w:p>
    <w:p w14:paraId="17F9FEF6" w14:textId="77777777" w:rsidR="002D071C" w:rsidRPr="00B710A9" w:rsidRDefault="002D071C" w:rsidP="002D071C">
      <w:pPr>
        <w:pStyle w:val="Lista"/>
        <w:rPr>
          <w:rFonts w:eastAsia="Arial" w:cs="Arial"/>
          <w:sz w:val="22"/>
          <w:szCs w:val="22"/>
        </w:rPr>
      </w:pPr>
    </w:p>
    <w:p w14:paraId="6CB6E946" w14:textId="1203E72B" w:rsidR="002D071C" w:rsidRPr="00B710A9" w:rsidRDefault="002D071C" w:rsidP="00356A3E">
      <w:pPr>
        <w:pStyle w:val="Lista"/>
        <w:numPr>
          <w:ilvl w:val="0"/>
          <w:numId w:val="111"/>
        </w:numPr>
        <w:rPr>
          <w:rFonts w:eastAsia="Arial" w:cs="Arial"/>
          <w:sz w:val="22"/>
          <w:szCs w:val="22"/>
        </w:rPr>
      </w:pPr>
      <w:r w:rsidRPr="00B710A9">
        <w:rPr>
          <w:rFonts w:eastAsia="Arial" w:cs="Arial"/>
          <w:sz w:val="22"/>
          <w:szCs w:val="22"/>
        </w:rPr>
        <w:t xml:space="preserve">Se dispuso el correo electrónico </w:t>
      </w:r>
      <w:hyperlink r:id="rId36" w:history="1">
        <w:r w:rsidRPr="00B710A9">
          <w:rPr>
            <w:rFonts w:eastAsia="Arial" w:cs="Arial"/>
            <w:sz w:val="22"/>
            <w:szCs w:val="22"/>
          </w:rPr>
          <w:t>contactenos@igac.gov.co</w:t>
        </w:r>
      </w:hyperlink>
      <w:r w:rsidRPr="00B710A9">
        <w:rPr>
          <w:rFonts w:eastAsia="Arial" w:cs="Arial"/>
          <w:sz w:val="22"/>
          <w:szCs w:val="22"/>
        </w:rPr>
        <w:t xml:space="preserve"> para recibir las propuestas de habilitación de los interesados, en el cual se han recibido 20 solicitudes de acompañamiento para ser gestor catastral.</w:t>
      </w:r>
    </w:p>
    <w:p w14:paraId="40200E54" w14:textId="77777777" w:rsidR="002D071C" w:rsidRPr="00B710A9" w:rsidRDefault="002D071C" w:rsidP="002D071C">
      <w:pPr>
        <w:pStyle w:val="Lista"/>
        <w:rPr>
          <w:rFonts w:eastAsia="Arial" w:cs="Arial"/>
          <w:sz w:val="22"/>
          <w:szCs w:val="22"/>
        </w:rPr>
      </w:pPr>
    </w:p>
    <w:p w14:paraId="2CF53FB3" w14:textId="77777777" w:rsidR="002D071C" w:rsidRPr="00B710A9" w:rsidRDefault="002D071C" w:rsidP="002D071C">
      <w:pPr>
        <w:jc w:val="both"/>
        <w:rPr>
          <w:rFonts w:ascii="Arial" w:eastAsia="Arial" w:hAnsi="Arial" w:cs="Arial"/>
          <w:color w:val="000000" w:themeColor="text1"/>
          <w:sz w:val="22"/>
          <w:szCs w:val="22"/>
        </w:rPr>
      </w:pPr>
      <w:r w:rsidRPr="00B710A9">
        <w:rPr>
          <w:rFonts w:ascii="Arial" w:eastAsia="Arial" w:hAnsi="Arial" w:cs="Arial"/>
          <w:b/>
          <w:bCs/>
          <w:color w:val="000000" w:themeColor="text1"/>
          <w:sz w:val="22"/>
          <w:szCs w:val="22"/>
        </w:rPr>
        <w:t>Acompañamiento a gestores catastrales habilitados:</w:t>
      </w:r>
      <w:r w:rsidRPr="00B710A9">
        <w:rPr>
          <w:rFonts w:ascii="Arial" w:eastAsia="Arial" w:hAnsi="Arial" w:cs="Arial"/>
          <w:color w:val="000000" w:themeColor="text1"/>
          <w:sz w:val="22"/>
          <w:szCs w:val="22"/>
        </w:rPr>
        <w:t xml:space="preserve"> De conformidad con el artículo 21 del Decreto 846 del 29 de julio de 2021, es función de la Dirección de Regulación y </w:t>
      </w:r>
      <w:r w:rsidRPr="00B710A9">
        <w:rPr>
          <w:rFonts w:ascii="Arial" w:eastAsia="Arial" w:hAnsi="Arial" w:cs="Arial"/>
          <w:color w:val="000000" w:themeColor="text1"/>
          <w:sz w:val="22"/>
          <w:szCs w:val="22"/>
        </w:rPr>
        <w:lastRenderedPageBreak/>
        <w:t>Habilitación acompañar los procesos de habilitación catastral. Debido a esto, se desarrollan diferentes estrategias de acompañamiento a los gestores habilitados.</w:t>
      </w:r>
    </w:p>
    <w:p w14:paraId="397BC5F5" w14:textId="77777777" w:rsidR="002D071C" w:rsidRPr="00B710A9" w:rsidRDefault="002D071C" w:rsidP="002D071C">
      <w:pPr>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Este acompañamiento tiene como objetivo fortalecer las capacidades técnicas del gestor en temas inherentes a la prestación del servicio público catastral, para lo cual se realiza una encuesta que define la agenda temática del acompañamiento. Esta estrategia se desarrolla en 3 etapas:</w:t>
      </w:r>
    </w:p>
    <w:p w14:paraId="564CA035" w14:textId="77777777" w:rsidR="002D071C" w:rsidRPr="00B710A9" w:rsidRDefault="002D071C" w:rsidP="002D071C">
      <w:pPr>
        <w:pStyle w:val="Lista"/>
        <w:rPr>
          <w:rFonts w:eastAsia="Arial" w:cs="Arial"/>
          <w:sz w:val="22"/>
          <w:szCs w:val="22"/>
        </w:rPr>
      </w:pPr>
      <w:r w:rsidRPr="00B710A9">
        <w:rPr>
          <w:rFonts w:eastAsia="Arial" w:cs="Arial"/>
          <w:sz w:val="22"/>
          <w:szCs w:val="22"/>
        </w:rPr>
        <w:t>1.</w:t>
      </w:r>
      <w:r w:rsidRPr="00B710A9">
        <w:rPr>
          <w:rFonts w:cs="Arial"/>
          <w:sz w:val="22"/>
          <w:szCs w:val="22"/>
        </w:rPr>
        <w:t xml:space="preserve"> </w:t>
      </w:r>
      <w:r w:rsidRPr="00B710A9">
        <w:rPr>
          <w:rFonts w:eastAsia="Arial" w:cs="Arial"/>
          <w:sz w:val="22"/>
          <w:szCs w:val="22"/>
        </w:rPr>
        <w:t>Identificación de necesidad temática a fortalecer: Remisión de encuesta al gestor con el fin de identificar los aspectos relacionados con la prestación del servicio que requiere fortalecer y sobre los cuales se desarrollara el acompañamiento en sitio.</w:t>
      </w:r>
    </w:p>
    <w:p w14:paraId="54AAF488" w14:textId="77777777" w:rsidR="002D071C" w:rsidRPr="00B710A9" w:rsidRDefault="002D071C" w:rsidP="002D071C">
      <w:pPr>
        <w:pStyle w:val="Lista"/>
        <w:rPr>
          <w:rFonts w:eastAsia="Arial" w:cs="Arial"/>
          <w:sz w:val="22"/>
          <w:szCs w:val="22"/>
        </w:rPr>
      </w:pPr>
    </w:p>
    <w:p w14:paraId="3D73F919" w14:textId="77777777" w:rsidR="002D071C" w:rsidRPr="00B710A9" w:rsidRDefault="002D071C" w:rsidP="002D071C">
      <w:pPr>
        <w:pStyle w:val="Lista"/>
        <w:rPr>
          <w:rFonts w:eastAsia="Arial" w:cs="Arial"/>
          <w:sz w:val="22"/>
          <w:szCs w:val="22"/>
        </w:rPr>
      </w:pPr>
      <w:r w:rsidRPr="00B710A9">
        <w:rPr>
          <w:rFonts w:eastAsia="Arial" w:cs="Arial"/>
          <w:sz w:val="22"/>
          <w:szCs w:val="22"/>
        </w:rPr>
        <w:t>2.</w:t>
      </w:r>
      <w:r w:rsidRPr="00B710A9">
        <w:rPr>
          <w:rFonts w:cs="Arial"/>
          <w:sz w:val="22"/>
          <w:szCs w:val="22"/>
        </w:rPr>
        <w:t xml:space="preserve"> </w:t>
      </w:r>
      <w:r w:rsidRPr="00B710A9">
        <w:rPr>
          <w:rFonts w:eastAsia="Arial" w:cs="Arial"/>
          <w:sz w:val="22"/>
          <w:szCs w:val="22"/>
        </w:rPr>
        <w:t xml:space="preserve">Reunión Virtual Preliminar: Socializar las actividades que se pretenden realizar en el marco del acompañamiento en sitio, a fin de acordar los aspectos relevantes sobre los cuales se desarrollará el mismo. En esta sesión se informa propósito de la visita, indicando fecha, duración y personal involucrado. Se socializa el temario sobre el cual el IGAC realizará el acompañamiento acorde con los temas seleccionados por el gestor en la encuesta y se define el lugar donde se desarrollará el acompañamiento. </w:t>
      </w:r>
    </w:p>
    <w:p w14:paraId="2527F8F1" w14:textId="77777777" w:rsidR="002D071C" w:rsidRPr="00B710A9" w:rsidRDefault="002D071C" w:rsidP="002D071C">
      <w:pPr>
        <w:pStyle w:val="Lista"/>
        <w:rPr>
          <w:rFonts w:eastAsia="Arial" w:cs="Arial"/>
          <w:sz w:val="22"/>
          <w:szCs w:val="22"/>
        </w:rPr>
      </w:pPr>
    </w:p>
    <w:p w14:paraId="09860C9F" w14:textId="77777777" w:rsidR="002D071C" w:rsidRPr="00B710A9" w:rsidRDefault="002D071C" w:rsidP="002D071C">
      <w:pPr>
        <w:pStyle w:val="Lista"/>
        <w:rPr>
          <w:rFonts w:eastAsia="Arial" w:cs="Arial"/>
          <w:sz w:val="22"/>
          <w:szCs w:val="22"/>
        </w:rPr>
      </w:pPr>
      <w:r w:rsidRPr="00B710A9">
        <w:rPr>
          <w:rFonts w:eastAsia="Arial" w:cs="Arial"/>
          <w:sz w:val="22"/>
          <w:szCs w:val="22"/>
        </w:rPr>
        <w:t>3.</w:t>
      </w:r>
      <w:r w:rsidRPr="00B710A9">
        <w:rPr>
          <w:rFonts w:cs="Arial"/>
          <w:sz w:val="22"/>
          <w:szCs w:val="22"/>
        </w:rPr>
        <w:t xml:space="preserve"> </w:t>
      </w:r>
      <w:r w:rsidRPr="00B710A9">
        <w:rPr>
          <w:rFonts w:eastAsia="Arial" w:cs="Arial"/>
          <w:sz w:val="22"/>
          <w:szCs w:val="22"/>
        </w:rPr>
        <w:t xml:space="preserve">Acompañamiento en sitio: Realizar acompañamiento a los gestores catastrales para fortalecer sus conocimientos en temas inherentes a la prestación del servicio público catastral. Este espacio se desarrolla con la participación de la Dirección de Regulación y Habilitación como coordinador de la jornada, la Dirección de Gestión Catastral, la Dirección de Tecnologías de la Información, las Direcciones Territoriales (si aplica) y la Dirección de Investigación y Prospectiva, la participación de estas áreas dependerá de los temas sobre los cuales solicita el gestor el acompañamiento. Estas jornadas tienen una duración de 2 días. Este espacio está diseñado para desarrollar una agenda en la cual se realiza una transferencia del conocimiento a los gestores catastrales habilitados sobre los temas solicitados por ellos, se resuelven dudas e inquietudes y se dan ejemplos prácticos. Como resultado de este acompañamiento se logra el fortalecimiento de los conocimientos del gestor en los temas tratados en el desarrollo de la jornada </w:t>
      </w:r>
      <w:r w:rsidRPr="00B710A9">
        <w:rPr>
          <w:rFonts w:cs="Arial"/>
          <w:sz w:val="22"/>
          <w:szCs w:val="22"/>
        </w:rPr>
        <w:t>necesarios para una</w:t>
      </w:r>
      <w:r w:rsidRPr="00B710A9">
        <w:rPr>
          <w:rFonts w:eastAsia="Arial" w:cs="Arial"/>
          <w:sz w:val="22"/>
          <w:szCs w:val="22"/>
        </w:rPr>
        <w:t xml:space="preserve"> adecuada prestación del servicio público catastral. </w:t>
      </w:r>
    </w:p>
    <w:p w14:paraId="769EE5C8" w14:textId="77777777" w:rsidR="002D071C" w:rsidRPr="00B710A9" w:rsidRDefault="002D071C" w:rsidP="002D071C">
      <w:pPr>
        <w:jc w:val="both"/>
        <w:rPr>
          <w:rFonts w:ascii="Arial" w:eastAsia="Arial" w:hAnsi="Arial" w:cs="Arial"/>
          <w:color w:val="000000" w:themeColor="text1"/>
          <w:sz w:val="22"/>
          <w:szCs w:val="22"/>
        </w:rPr>
      </w:pPr>
    </w:p>
    <w:p w14:paraId="48E2286F" w14:textId="77777777" w:rsidR="002D071C" w:rsidRPr="00B710A9" w:rsidRDefault="002D071C" w:rsidP="002D071C">
      <w:pPr>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Al finalizar la visita se realizan recomendaciones generales a los Gestores Catastrales Habilitados, algunas de las cuales son:</w:t>
      </w:r>
    </w:p>
    <w:p w14:paraId="6038FAAF" w14:textId="77777777" w:rsidR="002D071C" w:rsidRPr="00B710A9" w:rsidRDefault="002D071C" w:rsidP="00356A3E">
      <w:pPr>
        <w:pStyle w:val="Prrafodelista"/>
        <w:numPr>
          <w:ilvl w:val="0"/>
          <w:numId w:val="110"/>
        </w:numPr>
        <w:suppressAutoHyphens/>
        <w:overflowPunct w:val="0"/>
        <w:autoSpaceDE w:val="0"/>
        <w:spacing w:after="0" w:line="240" w:lineRule="auto"/>
        <w:contextualSpacing w:val="0"/>
        <w:jc w:val="both"/>
        <w:textAlignment w:val="baseline"/>
        <w:rPr>
          <w:rFonts w:ascii="Arial" w:eastAsia="Arial" w:hAnsi="Arial" w:cs="Arial"/>
          <w:color w:val="000000" w:themeColor="text1"/>
          <w:sz w:val="22"/>
          <w:szCs w:val="22"/>
        </w:rPr>
      </w:pPr>
      <w:r w:rsidRPr="00B710A9">
        <w:rPr>
          <w:rFonts w:ascii="Arial" w:eastAsia="Arial" w:hAnsi="Arial" w:cs="Arial"/>
          <w:color w:val="000000" w:themeColor="text1"/>
          <w:sz w:val="22"/>
          <w:szCs w:val="22"/>
        </w:rPr>
        <w:t>Cumplir con las metas de actualización y conservación.</w:t>
      </w:r>
    </w:p>
    <w:p w14:paraId="04F5F90C" w14:textId="77777777" w:rsidR="002D071C" w:rsidRPr="00B710A9" w:rsidRDefault="002D071C" w:rsidP="00356A3E">
      <w:pPr>
        <w:pStyle w:val="Prrafodelista"/>
        <w:numPr>
          <w:ilvl w:val="0"/>
          <w:numId w:val="110"/>
        </w:numPr>
        <w:suppressAutoHyphens/>
        <w:overflowPunct w:val="0"/>
        <w:autoSpaceDE w:val="0"/>
        <w:spacing w:after="0" w:line="240" w:lineRule="auto"/>
        <w:contextualSpacing w:val="0"/>
        <w:jc w:val="both"/>
        <w:textAlignment w:val="baseline"/>
        <w:rPr>
          <w:rFonts w:ascii="Arial" w:eastAsia="Arial" w:hAnsi="Arial" w:cs="Arial"/>
          <w:color w:val="000000" w:themeColor="text1"/>
          <w:sz w:val="22"/>
          <w:szCs w:val="22"/>
        </w:rPr>
      </w:pPr>
      <w:r w:rsidRPr="00B710A9">
        <w:rPr>
          <w:rFonts w:ascii="Arial" w:eastAsia="Arial" w:hAnsi="Arial" w:cs="Arial"/>
          <w:color w:val="000000" w:themeColor="text1"/>
          <w:sz w:val="22"/>
          <w:szCs w:val="22"/>
        </w:rPr>
        <w:t>Establecer estrategias para el reporte oportuno de información.</w:t>
      </w:r>
    </w:p>
    <w:p w14:paraId="6B60034B" w14:textId="77777777" w:rsidR="002D071C" w:rsidRPr="00B710A9" w:rsidRDefault="002D071C" w:rsidP="00356A3E">
      <w:pPr>
        <w:pStyle w:val="Prrafodelista"/>
        <w:numPr>
          <w:ilvl w:val="0"/>
          <w:numId w:val="110"/>
        </w:numPr>
        <w:suppressAutoHyphens/>
        <w:overflowPunct w:val="0"/>
        <w:autoSpaceDE w:val="0"/>
        <w:spacing w:after="0" w:line="240" w:lineRule="auto"/>
        <w:contextualSpacing w:val="0"/>
        <w:jc w:val="both"/>
        <w:textAlignment w:val="baseline"/>
        <w:rPr>
          <w:rFonts w:ascii="Arial" w:eastAsia="Arial" w:hAnsi="Arial" w:cs="Arial"/>
          <w:color w:val="000000" w:themeColor="text1"/>
          <w:sz w:val="22"/>
          <w:szCs w:val="22"/>
        </w:rPr>
      </w:pPr>
      <w:r w:rsidRPr="00B710A9">
        <w:rPr>
          <w:rFonts w:ascii="Arial" w:eastAsia="Arial" w:hAnsi="Arial" w:cs="Arial"/>
          <w:color w:val="000000" w:themeColor="text1"/>
          <w:sz w:val="22"/>
          <w:szCs w:val="22"/>
        </w:rPr>
        <w:t>Cumplir con los protocolos de atención al ciudadano.</w:t>
      </w:r>
    </w:p>
    <w:p w14:paraId="5D6B4E74" w14:textId="77777777" w:rsidR="002D071C" w:rsidRPr="00B710A9" w:rsidRDefault="002D071C" w:rsidP="00356A3E">
      <w:pPr>
        <w:pStyle w:val="Prrafodelista"/>
        <w:numPr>
          <w:ilvl w:val="0"/>
          <w:numId w:val="110"/>
        </w:numPr>
        <w:suppressAutoHyphens/>
        <w:overflowPunct w:val="0"/>
        <w:autoSpaceDE w:val="0"/>
        <w:spacing w:after="0" w:line="240" w:lineRule="auto"/>
        <w:contextualSpacing w:val="0"/>
        <w:jc w:val="both"/>
        <w:textAlignment w:val="baseline"/>
        <w:rPr>
          <w:rFonts w:ascii="Arial" w:eastAsia="Arial" w:hAnsi="Arial" w:cs="Arial"/>
          <w:color w:val="000000" w:themeColor="text1"/>
          <w:sz w:val="22"/>
          <w:szCs w:val="22"/>
        </w:rPr>
      </w:pPr>
      <w:r w:rsidRPr="00B710A9">
        <w:rPr>
          <w:rFonts w:ascii="Arial" w:eastAsia="Arial" w:hAnsi="Arial" w:cs="Arial"/>
          <w:color w:val="000000" w:themeColor="text1"/>
          <w:sz w:val="22"/>
          <w:szCs w:val="22"/>
        </w:rPr>
        <w:t>Al momento de contratar con municipios tener en cuenta la integralidad de la prestación del servicio y la capacidad operativa que se debe disponer en favor del municipio y la prestación de servicio.</w:t>
      </w:r>
    </w:p>
    <w:p w14:paraId="78AD9BDE" w14:textId="77777777" w:rsidR="002D071C" w:rsidRPr="00B710A9" w:rsidRDefault="002D071C" w:rsidP="00356A3E">
      <w:pPr>
        <w:pStyle w:val="Prrafodelista"/>
        <w:numPr>
          <w:ilvl w:val="0"/>
          <w:numId w:val="110"/>
        </w:numPr>
        <w:suppressAutoHyphens/>
        <w:overflowPunct w:val="0"/>
        <w:autoSpaceDE w:val="0"/>
        <w:spacing w:after="0" w:line="240" w:lineRule="auto"/>
        <w:contextualSpacing w:val="0"/>
        <w:jc w:val="both"/>
        <w:textAlignment w:val="baseline"/>
        <w:rPr>
          <w:rFonts w:ascii="Arial" w:eastAsia="Arial" w:hAnsi="Arial" w:cs="Arial"/>
          <w:color w:val="000000" w:themeColor="text1"/>
          <w:sz w:val="22"/>
          <w:szCs w:val="22"/>
        </w:rPr>
      </w:pPr>
      <w:r w:rsidRPr="00B710A9">
        <w:rPr>
          <w:rFonts w:ascii="Arial" w:eastAsia="Arial" w:hAnsi="Arial" w:cs="Arial"/>
          <w:color w:val="000000" w:themeColor="text1"/>
          <w:sz w:val="22"/>
          <w:szCs w:val="22"/>
        </w:rPr>
        <w:t>Determinar planes de implementación de los compromisos que adquieren en la propuesta de habilitación.</w:t>
      </w:r>
    </w:p>
    <w:p w14:paraId="37418AC9" w14:textId="77777777" w:rsidR="002D071C" w:rsidRPr="00B710A9" w:rsidRDefault="002D071C" w:rsidP="00356A3E">
      <w:pPr>
        <w:pStyle w:val="Prrafodelista"/>
        <w:numPr>
          <w:ilvl w:val="0"/>
          <w:numId w:val="110"/>
        </w:numPr>
        <w:suppressAutoHyphens/>
        <w:overflowPunct w:val="0"/>
        <w:autoSpaceDE w:val="0"/>
        <w:spacing w:after="0" w:line="240" w:lineRule="auto"/>
        <w:contextualSpacing w:val="0"/>
        <w:jc w:val="both"/>
        <w:textAlignment w:val="baseline"/>
        <w:rPr>
          <w:rFonts w:ascii="Arial" w:eastAsia="Arial" w:hAnsi="Arial" w:cs="Arial"/>
          <w:color w:val="000000" w:themeColor="text1"/>
          <w:sz w:val="22"/>
          <w:szCs w:val="22"/>
        </w:rPr>
      </w:pPr>
      <w:r w:rsidRPr="00B710A9">
        <w:rPr>
          <w:rFonts w:ascii="Arial" w:eastAsia="Arial" w:hAnsi="Arial" w:cs="Arial"/>
          <w:color w:val="000000" w:themeColor="text1"/>
          <w:sz w:val="22"/>
          <w:szCs w:val="22"/>
        </w:rPr>
        <w:t>Gestionar las fuentes de financiación necesarias para garantizar el desarrollo de todas las actividades en la prestación del servicio.</w:t>
      </w:r>
    </w:p>
    <w:p w14:paraId="687613AA" w14:textId="77777777" w:rsidR="002D071C" w:rsidRPr="00B710A9" w:rsidRDefault="002D071C" w:rsidP="00356A3E">
      <w:pPr>
        <w:pStyle w:val="Prrafodelista"/>
        <w:numPr>
          <w:ilvl w:val="0"/>
          <w:numId w:val="110"/>
        </w:numPr>
        <w:suppressAutoHyphens/>
        <w:overflowPunct w:val="0"/>
        <w:autoSpaceDE w:val="0"/>
        <w:spacing w:after="0" w:line="240" w:lineRule="auto"/>
        <w:contextualSpacing w:val="0"/>
        <w:jc w:val="both"/>
        <w:textAlignment w:val="baseline"/>
        <w:rPr>
          <w:rFonts w:ascii="Arial" w:eastAsia="Arial" w:hAnsi="Arial" w:cs="Arial"/>
          <w:color w:val="000000" w:themeColor="text1"/>
          <w:sz w:val="22"/>
          <w:szCs w:val="22"/>
        </w:rPr>
      </w:pPr>
      <w:r w:rsidRPr="00B710A9">
        <w:rPr>
          <w:rFonts w:ascii="Arial" w:eastAsia="Arial" w:hAnsi="Arial" w:cs="Arial"/>
          <w:color w:val="000000" w:themeColor="text1"/>
          <w:sz w:val="22"/>
          <w:szCs w:val="22"/>
        </w:rPr>
        <w:t>Garantizar la adopción de los cambios normativos que se presenten.</w:t>
      </w:r>
    </w:p>
    <w:p w14:paraId="14DD4803" w14:textId="77777777" w:rsidR="002D071C" w:rsidRPr="00B710A9" w:rsidRDefault="002D071C" w:rsidP="00356A3E">
      <w:pPr>
        <w:pStyle w:val="Prrafodelista"/>
        <w:numPr>
          <w:ilvl w:val="0"/>
          <w:numId w:val="110"/>
        </w:numPr>
        <w:suppressAutoHyphens/>
        <w:overflowPunct w:val="0"/>
        <w:autoSpaceDE w:val="0"/>
        <w:spacing w:after="0" w:line="240" w:lineRule="auto"/>
        <w:contextualSpacing w:val="0"/>
        <w:jc w:val="both"/>
        <w:textAlignment w:val="baseline"/>
        <w:rPr>
          <w:rFonts w:ascii="Arial" w:eastAsia="Arial" w:hAnsi="Arial" w:cs="Arial"/>
          <w:color w:val="000000" w:themeColor="text1"/>
          <w:sz w:val="22"/>
          <w:szCs w:val="22"/>
          <w:lang w:val="es-MX"/>
        </w:rPr>
      </w:pPr>
      <w:r w:rsidRPr="00B710A9">
        <w:rPr>
          <w:rFonts w:ascii="Arial" w:eastAsia="Arial" w:hAnsi="Arial" w:cs="Arial"/>
          <w:color w:val="000000" w:themeColor="text1"/>
          <w:sz w:val="22"/>
          <w:szCs w:val="22"/>
        </w:rPr>
        <w:t>Socializar a la ciudadanía los canales de atención.</w:t>
      </w:r>
    </w:p>
    <w:p w14:paraId="08205A1C" w14:textId="77777777" w:rsidR="002D071C" w:rsidRPr="00B710A9" w:rsidRDefault="002D071C" w:rsidP="002D071C">
      <w:pPr>
        <w:rPr>
          <w:rFonts w:ascii="Arial" w:eastAsia="Arial" w:hAnsi="Arial" w:cs="Arial"/>
          <w:color w:val="000000" w:themeColor="text1"/>
          <w:sz w:val="22"/>
          <w:szCs w:val="22"/>
          <w:lang w:val="es-MX"/>
        </w:rPr>
      </w:pPr>
    </w:p>
    <w:p w14:paraId="5C2D8E6E" w14:textId="09615F51" w:rsidR="002D071C" w:rsidRPr="00B710A9" w:rsidRDefault="002D071C" w:rsidP="002D071C">
      <w:pPr>
        <w:jc w:val="both"/>
        <w:rPr>
          <w:rFonts w:ascii="Arial" w:eastAsia="Arial" w:hAnsi="Arial" w:cs="Arial"/>
          <w:color w:val="000000" w:themeColor="text1"/>
          <w:sz w:val="22"/>
          <w:szCs w:val="22"/>
          <w:lang w:val="es-MX"/>
        </w:rPr>
      </w:pPr>
      <w:r w:rsidRPr="00B710A9">
        <w:rPr>
          <w:rFonts w:ascii="Arial" w:eastAsia="Arial" w:hAnsi="Arial" w:cs="Arial"/>
          <w:color w:val="000000" w:themeColor="text1"/>
          <w:sz w:val="22"/>
          <w:szCs w:val="22"/>
          <w:lang w:val="es-MX"/>
        </w:rPr>
        <w:lastRenderedPageBreak/>
        <w:t xml:space="preserve">En cumplimiento de lo anterior, </w:t>
      </w:r>
      <w:r w:rsidR="005E6EC3" w:rsidRPr="00B710A9">
        <w:rPr>
          <w:rFonts w:ascii="Arial" w:eastAsia="Arial" w:hAnsi="Arial" w:cs="Arial"/>
          <w:color w:val="000000" w:themeColor="text1"/>
          <w:sz w:val="22"/>
          <w:szCs w:val="22"/>
          <w:lang w:val="es-MX"/>
        </w:rPr>
        <w:t>se</w:t>
      </w:r>
      <w:r w:rsidRPr="00B710A9">
        <w:rPr>
          <w:rFonts w:ascii="Arial" w:eastAsia="Arial" w:hAnsi="Arial" w:cs="Arial"/>
          <w:color w:val="000000" w:themeColor="text1"/>
          <w:sz w:val="22"/>
          <w:szCs w:val="22"/>
          <w:lang w:val="es-MX"/>
        </w:rPr>
        <w:t xml:space="preserve"> ha</w:t>
      </w:r>
      <w:r w:rsidR="005E6EC3" w:rsidRPr="00B710A9">
        <w:rPr>
          <w:rFonts w:ascii="Arial" w:eastAsia="Arial" w:hAnsi="Arial" w:cs="Arial"/>
          <w:color w:val="000000" w:themeColor="text1"/>
          <w:sz w:val="22"/>
          <w:szCs w:val="22"/>
          <w:lang w:val="es-MX"/>
        </w:rPr>
        <w:t>n</w:t>
      </w:r>
      <w:r w:rsidRPr="00B710A9">
        <w:rPr>
          <w:rFonts w:ascii="Arial" w:eastAsia="Arial" w:hAnsi="Arial" w:cs="Arial"/>
          <w:color w:val="000000" w:themeColor="text1"/>
          <w:sz w:val="22"/>
          <w:szCs w:val="22"/>
          <w:lang w:val="es-MX"/>
        </w:rPr>
        <w:t xml:space="preserve"> realizado 16 procesos de acompañamiento a los siguientes gestores catastrales habilitados:</w:t>
      </w:r>
    </w:p>
    <w:p w14:paraId="5ABDFCE2" w14:textId="77777777" w:rsidR="002D071C" w:rsidRPr="00B710A9" w:rsidRDefault="002D071C" w:rsidP="002D071C">
      <w:pPr>
        <w:jc w:val="both"/>
        <w:rPr>
          <w:rFonts w:ascii="Arial" w:eastAsia="Arial" w:hAnsi="Arial" w:cs="Arial"/>
          <w:b/>
          <w:bCs/>
          <w:color w:val="000000" w:themeColor="text1"/>
          <w:sz w:val="14"/>
          <w:szCs w:val="14"/>
          <w:lang w:val="es-MX"/>
        </w:rPr>
      </w:pPr>
    </w:p>
    <w:p w14:paraId="6FA5034B" w14:textId="78A8F6A6" w:rsidR="00A551CA" w:rsidRPr="00B710A9" w:rsidRDefault="00A551CA" w:rsidP="00A551CA">
      <w:pPr>
        <w:pStyle w:val="Descripcin"/>
        <w:keepNext/>
        <w:jc w:val="center"/>
        <w:rPr>
          <w:rFonts w:ascii="Arial" w:hAnsi="Arial" w:cs="Arial"/>
          <w:b/>
          <w:bCs/>
          <w:i w:val="0"/>
          <w:iCs w:val="0"/>
          <w:color w:val="000000" w:themeColor="text1"/>
          <w:sz w:val="16"/>
          <w:szCs w:val="16"/>
        </w:rPr>
      </w:pPr>
      <w:bookmarkStart w:id="59" w:name="_Toc109057750"/>
      <w:bookmarkStart w:id="60" w:name="_Toc107995428"/>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20</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Acompañamiento a gestores catastrales</w:t>
      </w:r>
      <w:bookmarkEnd w:id="59"/>
    </w:p>
    <w:tbl>
      <w:tblPr>
        <w:tblStyle w:val="Tablaconcuadrcula4-nfasis1"/>
        <w:tblW w:w="0" w:type="auto"/>
        <w:jc w:val="center"/>
        <w:tblLook w:val="04A0" w:firstRow="1" w:lastRow="0" w:firstColumn="1" w:lastColumn="0" w:noHBand="0" w:noVBand="1"/>
      </w:tblPr>
      <w:tblGrid>
        <w:gridCol w:w="2907"/>
        <w:gridCol w:w="1727"/>
        <w:gridCol w:w="1017"/>
      </w:tblGrid>
      <w:tr w:rsidR="002D071C" w:rsidRPr="00B710A9" w14:paraId="53F1C27B" w14:textId="77777777" w:rsidTr="005D574B">
        <w:trPr>
          <w:cnfStyle w:val="100000000000" w:firstRow="1" w:lastRow="0" w:firstColumn="0" w:lastColumn="0" w:oddVBand="0" w:evenVBand="0" w:oddHBand="0" w:evenHBand="0" w:firstRowFirstColumn="0" w:firstRowLastColumn="0" w:lastRowFirstColumn="0" w:lastRowLastColumn="0"/>
          <w:trHeight w:val="600"/>
          <w:tblHeader/>
          <w:jc w:val="center"/>
        </w:trPr>
        <w:tc>
          <w:tcPr>
            <w:cnfStyle w:val="001000000000" w:firstRow="0" w:lastRow="0" w:firstColumn="1" w:lastColumn="0" w:oddVBand="0" w:evenVBand="0" w:oddHBand="0" w:evenHBand="0" w:firstRowFirstColumn="0" w:firstRowLastColumn="0" w:lastRowFirstColumn="0" w:lastRowLastColumn="0"/>
            <w:tcW w:w="2907" w:type="dxa"/>
            <w:hideMark/>
          </w:tcPr>
          <w:bookmarkEnd w:id="60"/>
          <w:p w14:paraId="62096CD5" w14:textId="77777777" w:rsidR="002D071C" w:rsidRPr="00B710A9" w:rsidRDefault="002D071C" w:rsidP="005D574B">
            <w:pPr>
              <w:jc w:val="center"/>
              <w:rPr>
                <w:rFonts w:ascii="Arial" w:eastAsia="Arial" w:hAnsi="Arial" w:cs="Arial"/>
                <w:b w:val="0"/>
                <w:bCs w:val="0"/>
                <w:sz w:val="16"/>
                <w:szCs w:val="16"/>
                <w:lang w:eastAsia="es-ES_tradnl"/>
              </w:rPr>
            </w:pPr>
            <w:r w:rsidRPr="00B710A9">
              <w:rPr>
                <w:rFonts w:ascii="Arial" w:eastAsia="Arial" w:hAnsi="Arial" w:cs="Arial"/>
                <w:sz w:val="16"/>
                <w:szCs w:val="16"/>
                <w:lang w:eastAsia="es-ES_tradnl"/>
              </w:rPr>
              <w:t>Gestor Catastral</w:t>
            </w:r>
          </w:p>
        </w:tc>
        <w:tc>
          <w:tcPr>
            <w:tcW w:w="1727" w:type="dxa"/>
            <w:hideMark/>
          </w:tcPr>
          <w:p w14:paraId="1EA11C32" w14:textId="77777777" w:rsidR="002D071C" w:rsidRPr="00B710A9" w:rsidRDefault="002D071C" w:rsidP="005D574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6"/>
                <w:szCs w:val="16"/>
                <w:lang w:eastAsia="es-ES_tradnl"/>
              </w:rPr>
            </w:pPr>
            <w:r w:rsidRPr="00B710A9">
              <w:rPr>
                <w:rFonts w:ascii="Arial" w:eastAsia="Arial" w:hAnsi="Arial" w:cs="Arial"/>
                <w:sz w:val="16"/>
                <w:szCs w:val="16"/>
                <w:lang w:eastAsia="es-ES_tradnl"/>
              </w:rPr>
              <w:t>Fecha del Acompañamiento</w:t>
            </w:r>
          </w:p>
        </w:tc>
        <w:tc>
          <w:tcPr>
            <w:tcW w:w="1017" w:type="dxa"/>
            <w:hideMark/>
          </w:tcPr>
          <w:p w14:paraId="25C36476" w14:textId="77777777" w:rsidR="002D071C" w:rsidRPr="00B710A9" w:rsidRDefault="002D071C" w:rsidP="005D574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6"/>
                <w:szCs w:val="16"/>
                <w:lang w:eastAsia="es-ES_tradnl"/>
              </w:rPr>
            </w:pPr>
            <w:r w:rsidRPr="00B710A9">
              <w:rPr>
                <w:rFonts w:ascii="Arial" w:eastAsia="Arial" w:hAnsi="Arial" w:cs="Arial"/>
                <w:sz w:val="16"/>
                <w:szCs w:val="16"/>
                <w:lang w:eastAsia="es-ES_tradnl"/>
              </w:rPr>
              <w:t>Estado</w:t>
            </w:r>
          </w:p>
        </w:tc>
      </w:tr>
      <w:tr w:rsidR="002D071C" w:rsidRPr="00B710A9" w14:paraId="51D2BE30" w14:textId="77777777" w:rsidTr="005D574B">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290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CBECAB0"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Municipio de Fusagasugá</w:t>
            </w:r>
          </w:p>
        </w:tc>
        <w:tc>
          <w:tcPr>
            <w:tcW w:w="17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72B241"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3-4 marzo</w:t>
            </w:r>
          </w:p>
        </w:tc>
        <w:tc>
          <w:tcPr>
            <w:tcW w:w="10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12D4C3E"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Realizado</w:t>
            </w:r>
          </w:p>
        </w:tc>
      </w:tr>
      <w:tr w:rsidR="002D071C" w:rsidRPr="00B710A9" w14:paraId="6AB05FEC" w14:textId="77777777" w:rsidTr="005D574B">
        <w:trPr>
          <w:trHeight w:val="430"/>
          <w:jc w:val="center"/>
        </w:trPr>
        <w:tc>
          <w:tcPr>
            <w:cnfStyle w:val="001000000000" w:firstRow="0" w:lastRow="0" w:firstColumn="1" w:lastColumn="0" w:oddVBand="0" w:evenVBand="0" w:oddHBand="0" w:evenHBand="0" w:firstRowFirstColumn="0" w:firstRowLastColumn="0" w:lastRowFirstColumn="0" w:lastRowLastColumn="0"/>
            <w:tcW w:w="290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CD72536"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Municipio de San José de Cúcuta</w:t>
            </w:r>
          </w:p>
        </w:tc>
        <w:tc>
          <w:tcPr>
            <w:tcW w:w="17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4BB4011"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10-11 marzo</w:t>
            </w:r>
          </w:p>
        </w:tc>
        <w:tc>
          <w:tcPr>
            <w:tcW w:w="10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E958F8A"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Realizado</w:t>
            </w:r>
          </w:p>
        </w:tc>
      </w:tr>
      <w:tr w:rsidR="002D071C" w:rsidRPr="00B710A9" w14:paraId="16B32EC8" w14:textId="77777777" w:rsidTr="005D574B">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90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B5CC2D2"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Área Metropolitana de Valle de Aburrá AMV</w:t>
            </w:r>
          </w:p>
        </w:tc>
        <w:tc>
          <w:tcPr>
            <w:tcW w:w="17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0AA9CDA"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24-25 marzo</w:t>
            </w:r>
          </w:p>
        </w:tc>
        <w:tc>
          <w:tcPr>
            <w:tcW w:w="10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C501144"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Realizado</w:t>
            </w:r>
          </w:p>
        </w:tc>
      </w:tr>
      <w:tr w:rsidR="002D071C" w:rsidRPr="00B710A9" w14:paraId="359EAD11" w14:textId="77777777" w:rsidTr="005D574B">
        <w:trPr>
          <w:trHeight w:val="470"/>
          <w:jc w:val="center"/>
        </w:trPr>
        <w:tc>
          <w:tcPr>
            <w:cnfStyle w:val="001000000000" w:firstRow="0" w:lastRow="0" w:firstColumn="1" w:lastColumn="0" w:oddVBand="0" w:evenVBand="0" w:oddHBand="0" w:evenHBand="0" w:firstRowFirstColumn="0" w:firstRowLastColumn="0" w:lastRowFirstColumn="0" w:lastRowLastColumn="0"/>
            <w:tcW w:w="290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3165BCC"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Gerencia de Catastro Departamento de Antioquia</w:t>
            </w:r>
          </w:p>
        </w:tc>
        <w:tc>
          <w:tcPr>
            <w:tcW w:w="17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BCC9EF4"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 xml:space="preserve">31 marzo-1 </w:t>
            </w:r>
            <w:proofErr w:type="gramStart"/>
            <w:r w:rsidRPr="00B710A9">
              <w:rPr>
                <w:rFonts w:ascii="Arial" w:eastAsia="Arial" w:hAnsi="Arial" w:cs="Arial"/>
                <w:sz w:val="16"/>
                <w:szCs w:val="16"/>
                <w:lang w:eastAsia="es-ES_tradnl"/>
              </w:rPr>
              <w:t>Abril</w:t>
            </w:r>
            <w:proofErr w:type="gramEnd"/>
          </w:p>
        </w:tc>
        <w:tc>
          <w:tcPr>
            <w:tcW w:w="10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3FABFD9"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Realizado</w:t>
            </w:r>
          </w:p>
        </w:tc>
      </w:tr>
      <w:tr w:rsidR="002D071C" w:rsidRPr="00B710A9" w14:paraId="539545A5" w14:textId="77777777" w:rsidTr="005D574B">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90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36238B9"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Municipio de Sesquilé</w:t>
            </w:r>
          </w:p>
        </w:tc>
        <w:tc>
          <w:tcPr>
            <w:tcW w:w="17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A26D8FE"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7-8 abril</w:t>
            </w:r>
          </w:p>
        </w:tc>
        <w:tc>
          <w:tcPr>
            <w:tcW w:w="10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F5F3C34"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Realizado</w:t>
            </w:r>
          </w:p>
        </w:tc>
      </w:tr>
      <w:tr w:rsidR="002D071C" w:rsidRPr="00B710A9" w14:paraId="174CD732" w14:textId="77777777" w:rsidTr="005D574B">
        <w:trPr>
          <w:trHeight w:val="246"/>
          <w:jc w:val="center"/>
        </w:trPr>
        <w:tc>
          <w:tcPr>
            <w:cnfStyle w:val="001000000000" w:firstRow="0" w:lastRow="0" w:firstColumn="1" w:lastColumn="0" w:oddVBand="0" w:evenVBand="0" w:oddHBand="0" w:evenHBand="0" w:firstRowFirstColumn="0" w:firstRowLastColumn="0" w:lastRowFirstColumn="0" w:lastRowLastColumn="0"/>
            <w:tcW w:w="290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09DB1F8"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Municipio de Sincelejo</w:t>
            </w:r>
          </w:p>
        </w:tc>
        <w:tc>
          <w:tcPr>
            <w:tcW w:w="17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CC14791"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7-8 abril</w:t>
            </w:r>
          </w:p>
        </w:tc>
        <w:tc>
          <w:tcPr>
            <w:tcW w:w="10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DE362A9"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Realizado</w:t>
            </w:r>
          </w:p>
        </w:tc>
      </w:tr>
      <w:tr w:rsidR="002D071C" w:rsidRPr="00B710A9" w14:paraId="33850C05" w14:textId="77777777" w:rsidTr="005D574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90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9E85EEB"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Municipio de Rionegro</w:t>
            </w:r>
          </w:p>
        </w:tc>
        <w:tc>
          <w:tcPr>
            <w:tcW w:w="17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28E61B1"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21-22 abril</w:t>
            </w:r>
          </w:p>
        </w:tc>
        <w:tc>
          <w:tcPr>
            <w:tcW w:w="10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B46BB1D"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Realizado</w:t>
            </w:r>
          </w:p>
        </w:tc>
      </w:tr>
      <w:tr w:rsidR="002D071C" w:rsidRPr="00B710A9" w14:paraId="3B6269E9" w14:textId="77777777" w:rsidTr="005D574B">
        <w:trPr>
          <w:trHeight w:val="282"/>
          <w:jc w:val="center"/>
        </w:trPr>
        <w:tc>
          <w:tcPr>
            <w:cnfStyle w:val="001000000000" w:firstRow="0" w:lastRow="0" w:firstColumn="1" w:lastColumn="0" w:oddVBand="0" w:evenVBand="0" w:oddHBand="0" w:evenHBand="0" w:firstRowFirstColumn="0" w:firstRowLastColumn="0" w:lastRowFirstColumn="0" w:lastRowLastColumn="0"/>
            <w:tcW w:w="290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22AF668"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Municipio de Jamundí</w:t>
            </w:r>
          </w:p>
        </w:tc>
        <w:tc>
          <w:tcPr>
            <w:tcW w:w="17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53BBE6A"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28-29 abril</w:t>
            </w:r>
          </w:p>
        </w:tc>
        <w:tc>
          <w:tcPr>
            <w:tcW w:w="10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00498B0"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Realizado</w:t>
            </w:r>
          </w:p>
        </w:tc>
      </w:tr>
      <w:tr w:rsidR="002D071C" w:rsidRPr="00B710A9" w14:paraId="43E1ED6B" w14:textId="77777777" w:rsidTr="005D574B">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290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985DE8B"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Subsecretaría de Catastro de Medellín</w:t>
            </w:r>
          </w:p>
        </w:tc>
        <w:tc>
          <w:tcPr>
            <w:tcW w:w="17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FB75E9A"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19-20 mayo</w:t>
            </w:r>
          </w:p>
        </w:tc>
        <w:tc>
          <w:tcPr>
            <w:tcW w:w="10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8B50733"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Realizado</w:t>
            </w:r>
          </w:p>
        </w:tc>
      </w:tr>
      <w:tr w:rsidR="002D071C" w:rsidRPr="00B710A9" w14:paraId="0008F9CF" w14:textId="77777777" w:rsidTr="005D574B">
        <w:trPr>
          <w:trHeight w:val="426"/>
          <w:jc w:val="center"/>
        </w:trPr>
        <w:tc>
          <w:tcPr>
            <w:cnfStyle w:val="001000000000" w:firstRow="0" w:lastRow="0" w:firstColumn="1" w:lastColumn="0" w:oddVBand="0" w:evenVBand="0" w:oddHBand="0" w:evenHBand="0" w:firstRowFirstColumn="0" w:firstRowLastColumn="0" w:lastRowFirstColumn="0" w:lastRowLastColumn="0"/>
            <w:tcW w:w="290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D5DFD0F"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Unidad Administrativa Especial de Catastro Distrital Bogotá</w:t>
            </w:r>
          </w:p>
        </w:tc>
        <w:tc>
          <w:tcPr>
            <w:tcW w:w="17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9C20476"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19-20 mayo</w:t>
            </w:r>
          </w:p>
        </w:tc>
        <w:tc>
          <w:tcPr>
            <w:tcW w:w="10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331FECF"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Realizado</w:t>
            </w:r>
          </w:p>
        </w:tc>
      </w:tr>
      <w:tr w:rsidR="002D071C" w:rsidRPr="00B710A9" w14:paraId="7D7E0E27" w14:textId="77777777" w:rsidTr="005D574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3642CEC"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Municipio de Zipaquirá</w:t>
            </w:r>
          </w:p>
        </w:tc>
        <w:tc>
          <w:tcPr>
            <w:tcW w:w="17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51C58D0" w14:textId="563952F4" w:rsidR="002D071C" w:rsidRPr="00B710A9" w:rsidRDefault="002D071C" w:rsidP="005D574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 xml:space="preserve">      26-</w:t>
            </w:r>
            <w:r w:rsidR="00110738" w:rsidRPr="00B710A9">
              <w:rPr>
                <w:rFonts w:ascii="Arial" w:eastAsia="Arial" w:hAnsi="Arial" w:cs="Arial"/>
                <w:sz w:val="16"/>
                <w:szCs w:val="16"/>
                <w:lang w:eastAsia="es-ES_tradnl"/>
              </w:rPr>
              <w:t>27 mayo</w:t>
            </w:r>
          </w:p>
        </w:tc>
        <w:tc>
          <w:tcPr>
            <w:tcW w:w="10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B880D97"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Realizado</w:t>
            </w:r>
          </w:p>
        </w:tc>
      </w:tr>
      <w:tr w:rsidR="002D071C" w:rsidRPr="00B710A9" w14:paraId="4FEA0F0B" w14:textId="77777777" w:rsidTr="005D574B">
        <w:trPr>
          <w:trHeight w:val="260"/>
          <w:jc w:val="center"/>
        </w:trPr>
        <w:tc>
          <w:tcPr>
            <w:cnfStyle w:val="001000000000" w:firstRow="0" w:lastRow="0" w:firstColumn="1" w:lastColumn="0" w:oddVBand="0" w:evenVBand="0" w:oddHBand="0" w:evenHBand="0" w:firstRowFirstColumn="0" w:firstRowLastColumn="0" w:lastRowFirstColumn="0" w:lastRowLastColumn="0"/>
            <w:tcW w:w="290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7F1E620"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Municipio de Valledupar</w:t>
            </w:r>
          </w:p>
        </w:tc>
        <w:tc>
          <w:tcPr>
            <w:tcW w:w="17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616527C"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02-03 junio</w:t>
            </w:r>
          </w:p>
        </w:tc>
        <w:tc>
          <w:tcPr>
            <w:tcW w:w="10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167385C"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Realizado</w:t>
            </w:r>
          </w:p>
        </w:tc>
      </w:tr>
      <w:tr w:rsidR="002D071C" w:rsidRPr="00B710A9" w14:paraId="2A307ED0" w14:textId="77777777" w:rsidTr="005D574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90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14FE8DE"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Municipio de Ibagué</w:t>
            </w:r>
          </w:p>
        </w:tc>
        <w:tc>
          <w:tcPr>
            <w:tcW w:w="17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1A57E9D"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9-10 junio</w:t>
            </w:r>
          </w:p>
        </w:tc>
        <w:tc>
          <w:tcPr>
            <w:tcW w:w="10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4F73170"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Realizado</w:t>
            </w:r>
          </w:p>
        </w:tc>
      </w:tr>
      <w:tr w:rsidR="002D071C" w:rsidRPr="00B710A9" w14:paraId="334A4C30" w14:textId="77777777" w:rsidTr="005D574B">
        <w:trPr>
          <w:trHeight w:val="260"/>
          <w:jc w:val="center"/>
        </w:trPr>
        <w:tc>
          <w:tcPr>
            <w:cnfStyle w:val="001000000000" w:firstRow="0" w:lastRow="0" w:firstColumn="1" w:lastColumn="0" w:oddVBand="0" w:evenVBand="0" w:oddHBand="0" w:evenHBand="0" w:firstRowFirstColumn="0" w:firstRowLastColumn="0" w:lastRowFirstColumn="0" w:lastRowLastColumn="0"/>
            <w:tcW w:w="290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17DC556"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Municipio de Envigado</w:t>
            </w:r>
          </w:p>
        </w:tc>
        <w:tc>
          <w:tcPr>
            <w:tcW w:w="17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1082A90"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23-24 junio</w:t>
            </w:r>
          </w:p>
        </w:tc>
        <w:tc>
          <w:tcPr>
            <w:tcW w:w="10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155CA99"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Realizado</w:t>
            </w:r>
          </w:p>
        </w:tc>
      </w:tr>
      <w:tr w:rsidR="002D071C" w:rsidRPr="00B710A9" w14:paraId="5D90EF15" w14:textId="77777777" w:rsidTr="005D574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90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459A9E6"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Subdirección de catastro Municipal de Cali</w:t>
            </w:r>
          </w:p>
        </w:tc>
        <w:tc>
          <w:tcPr>
            <w:tcW w:w="17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D7BBF0"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23-24 junio</w:t>
            </w:r>
          </w:p>
        </w:tc>
        <w:tc>
          <w:tcPr>
            <w:tcW w:w="10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551C8CA" w14:textId="77777777" w:rsidR="002D071C" w:rsidRPr="00B710A9" w:rsidRDefault="002D071C" w:rsidP="005D574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Realizado</w:t>
            </w:r>
          </w:p>
        </w:tc>
      </w:tr>
      <w:tr w:rsidR="002D071C" w:rsidRPr="00B710A9" w14:paraId="68DAC3BD" w14:textId="77777777" w:rsidTr="005D574B">
        <w:trPr>
          <w:trHeight w:val="260"/>
          <w:jc w:val="center"/>
        </w:trPr>
        <w:tc>
          <w:tcPr>
            <w:cnfStyle w:val="001000000000" w:firstRow="0" w:lastRow="0" w:firstColumn="1" w:lastColumn="0" w:oddVBand="0" w:evenVBand="0" w:oddHBand="0" w:evenHBand="0" w:firstRowFirstColumn="0" w:firstRowLastColumn="0" w:lastRowFirstColumn="0" w:lastRowLastColumn="0"/>
            <w:tcW w:w="290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C30E2A8" w14:textId="77777777" w:rsidR="002D071C" w:rsidRPr="00B710A9" w:rsidRDefault="002D071C" w:rsidP="005D574B">
            <w:pPr>
              <w:jc w:val="center"/>
              <w:rPr>
                <w:rFonts w:ascii="Arial" w:eastAsia="Arial" w:hAnsi="Arial" w:cs="Arial"/>
                <w:sz w:val="16"/>
                <w:szCs w:val="16"/>
                <w:lang w:eastAsia="es-ES_tradnl"/>
              </w:rPr>
            </w:pPr>
            <w:r w:rsidRPr="00B710A9">
              <w:rPr>
                <w:rFonts w:ascii="Arial" w:eastAsia="Arial" w:hAnsi="Arial" w:cs="Arial"/>
                <w:sz w:val="16"/>
                <w:szCs w:val="16"/>
                <w:lang w:eastAsia="es-ES_tradnl"/>
              </w:rPr>
              <w:t>Municipio de Sabanalarga</w:t>
            </w:r>
          </w:p>
        </w:tc>
        <w:tc>
          <w:tcPr>
            <w:tcW w:w="17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A73FB55"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29 de junio- 1 de julio</w:t>
            </w:r>
          </w:p>
        </w:tc>
        <w:tc>
          <w:tcPr>
            <w:tcW w:w="10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E7DBD79" w14:textId="77777777" w:rsidR="002D071C" w:rsidRPr="00B710A9" w:rsidRDefault="002D071C" w:rsidP="005D574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eastAsia="es-ES_tradnl"/>
              </w:rPr>
            </w:pPr>
            <w:r w:rsidRPr="00B710A9">
              <w:rPr>
                <w:rFonts w:ascii="Arial" w:eastAsia="Arial" w:hAnsi="Arial" w:cs="Arial"/>
                <w:sz w:val="16"/>
                <w:szCs w:val="16"/>
                <w:lang w:eastAsia="es-ES_tradnl"/>
              </w:rPr>
              <w:t>Realizado</w:t>
            </w:r>
          </w:p>
        </w:tc>
      </w:tr>
    </w:tbl>
    <w:p w14:paraId="5CE15AC3" w14:textId="6CF761E3" w:rsidR="002D071C" w:rsidRPr="00B710A9" w:rsidRDefault="002D071C" w:rsidP="005E6EC3">
      <w:pPr>
        <w:spacing w:after="0" w:line="240" w:lineRule="auto"/>
        <w:jc w:val="center"/>
        <w:rPr>
          <w:rFonts w:ascii="Arial" w:eastAsia="Calibri" w:hAnsi="Arial" w:cs="Arial"/>
          <w:color w:val="000000" w:themeColor="text1"/>
          <w:sz w:val="22"/>
          <w:szCs w:val="22"/>
        </w:rPr>
      </w:pPr>
      <w:r w:rsidRPr="00B710A9">
        <w:rPr>
          <w:rFonts w:ascii="Arial" w:eastAsia="Arial" w:hAnsi="Arial" w:cs="Arial"/>
          <w:b/>
          <w:color w:val="000000" w:themeColor="text1"/>
          <w:sz w:val="16"/>
          <w:szCs w:val="18"/>
        </w:rPr>
        <w:t>Fuente: Dirección de Regulación y Habilitación</w:t>
      </w:r>
    </w:p>
    <w:p w14:paraId="7C1823A1" w14:textId="4CF08924" w:rsidR="00D452CB" w:rsidRPr="00B710A9" w:rsidRDefault="00D452CB" w:rsidP="009D279A">
      <w:pPr>
        <w:spacing w:after="0" w:line="240" w:lineRule="auto"/>
        <w:jc w:val="both"/>
        <w:rPr>
          <w:rFonts w:asciiTheme="minorHAnsi" w:hAnsiTheme="minorHAnsi" w:cstheme="minorBidi"/>
          <w:color w:val="000000" w:themeColor="text1"/>
        </w:rPr>
      </w:pPr>
    </w:p>
    <w:p w14:paraId="5694B0A3" w14:textId="4CF08924" w:rsidR="005F4F8D" w:rsidRPr="00B710A9" w:rsidRDefault="005F4F8D" w:rsidP="009D279A">
      <w:pPr>
        <w:spacing w:after="0" w:line="240" w:lineRule="auto"/>
        <w:jc w:val="both"/>
        <w:rPr>
          <w:rFonts w:asciiTheme="minorHAnsi" w:hAnsiTheme="minorHAnsi" w:cstheme="minorBidi"/>
          <w:color w:val="000000" w:themeColor="text1"/>
        </w:rPr>
      </w:pPr>
    </w:p>
    <w:p w14:paraId="2A07C2A2" w14:textId="4CF08924" w:rsidR="00151914" w:rsidRPr="00B710A9" w:rsidRDefault="005F4F8D" w:rsidP="009D279A">
      <w:pP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Adicionalmente, se llevaron a cabo las siguientes actividades:</w:t>
      </w:r>
    </w:p>
    <w:p w14:paraId="44F167B1" w14:textId="4CF08924" w:rsidR="005F4F8D" w:rsidRPr="00B710A9" w:rsidRDefault="005F4F8D" w:rsidP="009D279A">
      <w:pPr>
        <w:spacing w:after="0" w:line="240" w:lineRule="auto"/>
        <w:jc w:val="both"/>
        <w:rPr>
          <w:rFonts w:asciiTheme="minorHAnsi" w:hAnsiTheme="minorHAnsi" w:cstheme="minorBidi"/>
          <w:color w:val="000000" w:themeColor="text1"/>
        </w:rPr>
      </w:pPr>
    </w:p>
    <w:p w14:paraId="10BD3BDA" w14:textId="77777777" w:rsidR="00151914" w:rsidRPr="00B710A9" w:rsidRDefault="00151914" w:rsidP="00356A3E">
      <w:pPr>
        <w:pStyle w:val="Prrafodelista"/>
        <w:numPr>
          <w:ilvl w:val="0"/>
          <w:numId w:val="113"/>
        </w:numPr>
        <w:tabs>
          <w:tab w:val="left" w:pos="426"/>
        </w:tabs>
        <w:suppressAutoHyphens/>
        <w:overflowPunct w:val="0"/>
        <w:autoSpaceDE w:val="0"/>
        <w:spacing w:after="0" w:line="240" w:lineRule="auto"/>
        <w:contextualSpacing w:val="0"/>
        <w:jc w:val="both"/>
        <w:textAlignment w:val="baseline"/>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Definición y actualización de los procedimientos de habilitación de gestores catastrales y empalme. </w:t>
      </w:r>
    </w:p>
    <w:p w14:paraId="46ADE127" w14:textId="77777777" w:rsidR="00151914" w:rsidRPr="00B710A9" w:rsidRDefault="00151914" w:rsidP="00356A3E">
      <w:pPr>
        <w:pStyle w:val="Prrafodelista"/>
        <w:numPr>
          <w:ilvl w:val="0"/>
          <w:numId w:val="113"/>
        </w:numPr>
        <w:tabs>
          <w:tab w:val="left" w:pos="426"/>
        </w:tabs>
        <w:suppressAutoHyphens/>
        <w:overflowPunct w:val="0"/>
        <w:autoSpaceDE w:val="0"/>
        <w:spacing w:after="0" w:line="240" w:lineRule="auto"/>
        <w:contextualSpacing w:val="0"/>
        <w:jc w:val="both"/>
        <w:textAlignment w:val="baseline"/>
        <w:rPr>
          <w:rFonts w:ascii="Arial" w:eastAsia="Arial" w:hAnsi="Arial" w:cs="Arial"/>
          <w:color w:val="000000" w:themeColor="text1"/>
          <w:sz w:val="22"/>
          <w:szCs w:val="22"/>
        </w:rPr>
      </w:pPr>
      <w:r w:rsidRPr="00B710A9">
        <w:rPr>
          <w:rFonts w:ascii="Arial" w:eastAsia="Arial" w:hAnsi="Arial" w:cs="Arial"/>
          <w:color w:val="000000" w:themeColor="text1"/>
          <w:sz w:val="22"/>
          <w:szCs w:val="22"/>
        </w:rPr>
        <w:t>Definición de formatos tipo como apoyo a las entidades territoriales para la construcción de sus proyectos de habilitación.</w:t>
      </w:r>
    </w:p>
    <w:p w14:paraId="17A36F89" w14:textId="35E20797" w:rsidR="00151914" w:rsidRPr="00B710A9" w:rsidRDefault="00151914" w:rsidP="00356A3E">
      <w:pPr>
        <w:pStyle w:val="Prrafodelista"/>
        <w:numPr>
          <w:ilvl w:val="0"/>
          <w:numId w:val="113"/>
        </w:numPr>
        <w:tabs>
          <w:tab w:val="left" w:pos="426"/>
        </w:tabs>
        <w:suppressAutoHyphens/>
        <w:overflowPunct w:val="0"/>
        <w:autoSpaceDE w:val="0"/>
        <w:spacing w:after="0" w:line="240" w:lineRule="auto"/>
        <w:contextualSpacing w:val="0"/>
        <w:jc w:val="both"/>
        <w:textAlignment w:val="baseline"/>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Realización de talleres especializados con los municipios perfilados, agrupados por zonas del país, </w:t>
      </w:r>
      <w:r w:rsidR="002B5E45" w:rsidRPr="00B710A9">
        <w:rPr>
          <w:rFonts w:ascii="Arial" w:eastAsia="Arial" w:hAnsi="Arial" w:cs="Arial"/>
          <w:color w:val="000000" w:themeColor="text1"/>
          <w:sz w:val="22"/>
          <w:szCs w:val="22"/>
        </w:rPr>
        <w:t>con l</w:t>
      </w:r>
      <w:r w:rsidRPr="00B710A9">
        <w:rPr>
          <w:rFonts w:ascii="Arial" w:eastAsia="Arial" w:hAnsi="Arial" w:cs="Arial"/>
          <w:color w:val="000000" w:themeColor="text1"/>
          <w:sz w:val="22"/>
          <w:szCs w:val="22"/>
        </w:rPr>
        <w:t>a participación del</w:t>
      </w:r>
      <w:r w:rsidR="002B5E45" w:rsidRPr="00B710A9">
        <w:rPr>
          <w:rFonts w:ascii="Arial" w:eastAsia="Arial" w:hAnsi="Arial" w:cs="Arial"/>
          <w:color w:val="000000" w:themeColor="text1"/>
          <w:sz w:val="22"/>
          <w:szCs w:val="22"/>
        </w:rPr>
        <w:t xml:space="preserve"> IGAC, del</w:t>
      </w:r>
      <w:r w:rsidRPr="00B710A9">
        <w:rPr>
          <w:rFonts w:ascii="Arial" w:eastAsia="Arial" w:hAnsi="Arial" w:cs="Arial"/>
          <w:color w:val="000000" w:themeColor="text1"/>
          <w:sz w:val="22"/>
          <w:szCs w:val="22"/>
        </w:rPr>
        <w:t xml:space="preserve"> DNP, el Departamento Administrativo de la Función Pública y </w:t>
      </w:r>
      <w:r w:rsidR="002B5E45" w:rsidRPr="00B710A9">
        <w:rPr>
          <w:rFonts w:ascii="Arial" w:eastAsia="Arial" w:hAnsi="Arial" w:cs="Arial"/>
          <w:color w:val="000000" w:themeColor="text1"/>
          <w:sz w:val="22"/>
          <w:szCs w:val="22"/>
        </w:rPr>
        <w:t xml:space="preserve">los </w:t>
      </w:r>
      <w:r w:rsidRPr="00B710A9">
        <w:rPr>
          <w:rFonts w:ascii="Arial" w:eastAsia="Arial" w:hAnsi="Arial" w:cs="Arial"/>
          <w:color w:val="000000" w:themeColor="text1"/>
          <w:sz w:val="22"/>
          <w:szCs w:val="22"/>
        </w:rPr>
        <w:t xml:space="preserve">gestores catastrales habilitados. </w:t>
      </w:r>
    </w:p>
    <w:p w14:paraId="73FA907E" w14:textId="77777777" w:rsidR="00151914" w:rsidRPr="00B710A9" w:rsidRDefault="00151914" w:rsidP="00356A3E">
      <w:pPr>
        <w:pStyle w:val="Prrafodelista"/>
        <w:numPr>
          <w:ilvl w:val="0"/>
          <w:numId w:val="113"/>
        </w:numPr>
        <w:tabs>
          <w:tab w:val="left" w:pos="426"/>
        </w:tabs>
        <w:suppressAutoHyphens/>
        <w:overflowPunct w:val="0"/>
        <w:autoSpaceDE w:val="0"/>
        <w:spacing w:after="0" w:line="240" w:lineRule="auto"/>
        <w:contextualSpacing w:val="0"/>
        <w:jc w:val="both"/>
        <w:textAlignment w:val="baseline"/>
        <w:rPr>
          <w:rFonts w:ascii="Arial" w:eastAsia="Arial" w:hAnsi="Arial" w:cs="Arial"/>
          <w:color w:val="000000" w:themeColor="text1"/>
          <w:sz w:val="22"/>
          <w:szCs w:val="22"/>
        </w:rPr>
      </w:pPr>
      <w:r w:rsidRPr="00B710A9">
        <w:rPr>
          <w:rFonts w:ascii="Arial" w:eastAsia="Arial" w:hAnsi="Arial" w:cs="Arial"/>
          <w:color w:val="000000" w:themeColor="text1"/>
          <w:sz w:val="22"/>
          <w:szCs w:val="22"/>
        </w:rPr>
        <w:t>Creación de la cartilla ‘Guía para la habilitación de gestores catastrales’ la cual contiene el flujo del proceso completo para ser gestor, requisitos, descripción de actividades, tiempos y formatos facilitadores.</w:t>
      </w:r>
    </w:p>
    <w:p w14:paraId="6E11A0FC" w14:textId="77777777" w:rsidR="00151914" w:rsidRPr="00B710A9" w:rsidRDefault="00151914" w:rsidP="00356A3E">
      <w:pPr>
        <w:pStyle w:val="Prrafodelista"/>
        <w:numPr>
          <w:ilvl w:val="0"/>
          <w:numId w:val="113"/>
        </w:numPr>
        <w:tabs>
          <w:tab w:val="left" w:pos="426"/>
        </w:tabs>
        <w:suppressAutoHyphens/>
        <w:overflowPunct w:val="0"/>
        <w:autoSpaceDE w:val="0"/>
        <w:spacing w:after="0" w:line="240" w:lineRule="auto"/>
        <w:contextualSpacing w:val="0"/>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Se diseño un plan de acompañamiento para fortalecer los conocimientos y competencias de los gestores habilitados. </w:t>
      </w:r>
    </w:p>
    <w:p w14:paraId="3559E613" w14:textId="77777777" w:rsidR="00151914" w:rsidRPr="00B710A9" w:rsidRDefault="00151914" w:rsidP="00356A3E">
      <w:pPr>
        <w:pStyle w:val="Prrafodelista"/>
        <w:numPr>
          <w:ilvl w:val="0"/>
          <w:numId w:val="113"/>
        </w:numPr>
        <w:tabs>
          <w:tab w:val="left" w:pos="426"/>
        </w:tabs>
        <w:suppressAutoHyphens/>
        <w:overflowPunct w:val="0"/>
        <w:autoSpaceDE w:val="0"/>
        <w:spacing w:after="0" w:line="240" w:lineRule="auto"/>
        <w:contextualSpacing w:val="0"/>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Se diseño una estrategia para acompañar a los interesados en habilitarse con el fin de socializar las condiciones y requisitos de la habilitación</w:t>
      </w:r>
    </w:p>
    <w:p w14:paraId="54DC2A90" w14:textId="5BA728B4" w:rsidR="00151914" w:rsidRPr="00B710A9" w:rsidRDefault="00151914" w:rsidP="00356A3E">
      <w:pPr>
        <w:pStyle w:val="Prrafodelista"/>
        <w:numPr>
          <w:ilvl w:val="0"/>
          <w:numId w:val="113"/>
        </w:numPr>
        <w:tabs>
          <w:tab w:val="left" w:pos="426"/>
        </w:tabs>
        <w:suppressAutoHyphens/>
        <w:overflowPunct w:val="0"/>
        <w:autoSpaceDE w:val="0"/>
        <w:spacing w:after="0" w:line="240" w:lineRule="auto"/>
        <w:contextualSpacing w:val="0"/>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Se implementó </w:t>
      </w:r>
      <w:r w:rsidR="0017432E" w:rsidRPr="00B710A9">
        <w:rPr>
          <w:rFonts w:ascii="Arial" w:eastAsia="Arial" w:hAnsi="Arial" w:cs="Arial"/>
          <w:color w:val="000000" w:themeColor="text1"/>
          <w:sz w:val="22"/>
          <w:szCs w:val="22"/>
        </w:rPr>
        <w:t xml:space="preserve">una </w:t>
      </w:r>
      <w:r w:rsidRPr="00B710A9">
        <w:rPr>
          <w:rFonts w:ascii="Arial" w:eastAsia="Arial" w:hAnsi="Arial" w:cs="Arial"/>
          <w:color w:val="000000" w:themeColor="text1"/>
          <w:sz w:val="22"/>
          <w:szCs w:val="22"/>
        </w:rPr>
        <w:t xml:space="preserve">estrategia </w:t>
      </w:r>
      <w:r w:rsidR="0017432E" w:rsidRPr="00B710A9">
        <w:rPr>
          <w:rFonts w:ascii="Arial" w:eastAsia="Arial" w:hAnsi="Arial" w:cs="Arial"/>
          <w:color w:val="000000" w:themeColor="text1"/>
          <w:sz w:val="22"/>
          <w:szCs w:val="22"/>
        </w:rPr>
        <w:t>de comunicaciones</w:t>
      </w:r>
      <w:r w:rsidRPr="00B710A9">
        <w:rPr>
          <w:rFonts w:ascii="Arial" w:eastAsia="Arial" w:hAnsi="Arial" w:cs="Arial"/>
          <w:color w:val="000000" w:themeColor="text1"/>
          <w:sz w:val="22"/>
          <w:szCs w:val="22"/>
        </w:rPr>
        <w:t xml:space="preserve"> para invitar a los municipios y departamentos del país para que se habiliten como gestores catastrales.</w:t>
      </w:r>
    </w:p>
    <w:p w14:paraId="14E7386C" w14:textId="6F3655AB" w:rsidR="00151914" w:rsidRPr="00B710A9" w:rsidRDefault="00151914" w:rsidP="00356A3E">
      <w:pPr>
        <w:pStyle w:val="Prrafodelista"/>
        <w:numPr>
          <w:ilvl w:val="0"/>
          <w:numId w:val="113"/>
        </w:numPr>
        <w:tabs>
          <w:tab w:val="left" w:pos="426"/>
        </w:tabs>
        <w:suppressAutoHyphens/>
        <w:overflowPunct w:val="0"/>
        <w:autoSpaceDE w:val="0"/>
        <w:spacing w:after="0" w:line="240" w:lineRule="auto"/>
        <w:contextualSpacing w:val="0"/>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lastRenderedPageBreak/>
        <w:t>Se logr</w:t>
      </w:r>
      <w:r w:rsidR="0017432E" w:rsidRPr="00B710A9">
        <w:rPr>
          <w:rFonts w:ascii="Arial" w:eastAsia="Arial" w:hAnsi="Arial" w:cs="Arial"/>
          <w:color w:val="000000" w:themeColor="text1"/>
          <w:sz w:val="22"/>
          <w:szCs w:val="22"/>
        </w:rPr>
        <w:t>aron</w:t>
      </w:r>
      <w:r w:rsidRPr="00B710A9">
        <w:rPr>
          <w:rFonts w:ascii="Arial" w:eastAsia="Arial" w:hAnsi="Arial" w:cs="Arial"/>
          <w:color w:val="000000" w:themeColor="text1"/>
          <w:sz w:val="22"/>
          <w:szCs w:val="22"/>
        </w:rPr>
        <w:t xml:space="preserve"> desarrollar espacios de trabajo con la </w:t>
      </w:r>
      <w:r w:rsidR="0017432E" w:rsidRPr="00B710A9">
        <w:rPr>
          <w:rFonts w:ascii="Arial" w:eastAsia="Arial" w:hAnsi="Arial" w:cs="Arial"/>
          <w:color w:val="000000" w:themeColor="text1"/>
          <w:sz w:val="22"/>
          <w:szCs w:val="22"/>
        </w:rPr>
        <w:t>S</w:t>
      </w:r>
      <w:r w:rsidRPr="00B710A9">
        <w:rPr>
          <w:rFonts w:ascii="Arial" w:eastAsia="Arial" w:hAnsi="Arial" w:cs="Arial"/>
          <w:color w:val="000000" w:themeColor="text1"/>
          <w:sz w:val="22"/>
          <w:szCs w:val="22"/>
        </w:rPr>
        <w:t xml:space="preserve">uperintendencia de </w:t>
      </w:r>
      <w:r w:rsidR="0017432E" w:rsidRPr="00B710A9">
        <w:rPr>
          <w:rFonts w:ascii="Arial" w:eastAsia="Arial" w:hAnsi="Arial" w:cs="Arial"/>
          <w:color w:val="000000" w:themeColor="text1"/>
          <w:sz w:val="22"/>
          <w:szCs w:val="22"/>
        </w:rPr>
        <w:t>N</w:t>
      </w:r>
      <w:r w:rsidRPr="00B710A9">
        <w:rPr>
          <w:rFonts w:ascii="Arial" w:eastAsia="Arial" w:hAnsi="Arial" w:cs="Arial"/>
          <w:color w:val="000000" w:themeColor="text1"/>
          <w:sz w:val="22"/>
          <w:szCs w:val="22"/>
        </w:rPr>
        <w:t xml:space="preserve">otariado y </w:t>
      </w:r>
      <w:r w:rsidR="0017432E" w:rsidRPr="00B710A9">
        <w:rPr>
          <w:rFonts w:ascii="Arial" w:eastAsia="Arial" w:hAnsi="Arial" w:cs="Arial"/>
          <w:color w:val="000000" w:themeColor="text1"/>
          <w:sz w:val="22"/>
          <w:szCs w:val="22"/>
        </w:rPr>
        <w:t>R</w:t>
      </w:r>
      <w:r w:rsidRPr="00B710A9">
        <w:rPr>
          <w:rFonts w:ascii="Arial" w:eastAsia="Arial" w:hAnsi="Arial" w:cs="Arial"/>
          <w:color w:val="000000" w:themeColor="text1"/>
          <w:sz w:val="22"/>
          <w:szCs w:val="22"/>
        </w:rPr>
        <w:t xml:space="preserve">egistro para generar una articulación interinstitucional en temas de interés de ambas entidades. </w:t>
      </w:r>
    </w:p>
    <w:p w14:paraId="6E87FA14" w14:textId="77777777" w:rsidR="00151914" w:rsidRPr="00B710A9" w:rsidRDefault="00151914" w:rsidP="009D279A">
      <w:pPr>
        <w:spacing w:after="0" w:line="240" w:lineRule="auto"/>
        <w:jc w:val="both"/>
        <w:rPr>
          <w:rFonts w:asciiTheme="minorHAnsi" w:hAnsiTheme="minorHAnsi" w:cstheme="minorHAnsi"/>
          <w:color w:val="000000" w:themeColor="text1"/>
        </w:rPr>
      </w:pPr>
    </w:p>
    <w:p w14:paraId="65F4849D" w14:textId="093D6CE4" w:rsidR="008C4A23" w:rsidRPr="00B710A9" w:rsidRDefault="00526830" w:rsidP="009D279A">
      <w:pPr>
        <w:spacing w:after="0" w:line="240" w:lineRule="auto"/>
        <w:jc w:val="both"/>
        <w:rPr>
          <w:rFonts w:ascii="Arial" w:hAnsi="Arial" w:cs="Arial"/>
          <w:b/>
          <w:bCs/>
          <w:color w:val="000000" w:themeColor="text1"/>
          <w:sz w:val="22"/>
          <w:szCs w:val="22"/>
        </w:rPr>
      </w:pPr>
      <w:r w:rsidRPr="00B710A9">
        <w:rPr>
          <w:rFonts w:ascii="Arial" w:hAnsi="Arial" w:cs="Arial"/>
          <w:b/>
          <w:bCs/>
          <w:color w:val="000000" w:themeColor="text1"/>
          <w:sz w:val="22"/>
          <w:szCs w:val="22"/>
        </w:rPr>
        <w:t>Retos del mandado - Información desde y para los territorios:</w:t>
      </w:r>
    </w:p>
    <w:p w14:paraId="14871C8E" w14:textId="77777777" w:rsidR="007750F1" w:rsidRPr="00B710A9" w:rsidRDefault="007750F1" w:rsidP="009D279A">
      <w:pPr>
        <w:spacing w:after="0" w:line="240" w:lineRule="auto"/>
        <w:jc w:val="both"/>
        <w:rPr>
          <w:rFonts w:ascii="Arial" w:eastAsia="Arial" w:hAnsi="Arial" w:cs="Arial"/>
          <w:b/>
          <w:bCs/>
          <w:color w:val="000000" w:themeColor="text1"/>
          <w:sz w:val="22"/>
          <w:szCs w:val="22"/>
        </w:rPr>
      </w:pPr>
    </w:p>
    <w:p w14:paraId="5DB78132" w14:textId="5D96F7E8" w:rsidR="00463C28" w:rsidRPr="00B710A9" w:rsidRDefault="00463C28" w:rsidP="00356A3E">
      <w:pPr>
        <w:numPr>
          <w:ilvl w:val="0"/>
          <w:numId w:val="112"/>
        </w:numP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Lograr la actualización del 60% del territorio del país a 2022, para lo cual, entre otras cosas, se requiere habilitar el mayor número de gestores catastrales que en conjunto con el IGAC adelanten los procesos de formación y actualización mediante el uso de metodologías y procedimientos innovadores y participativos alineados al objeto del catastro multipropósito.</w:t>
      </w:r>
    </w:p>
    <w:p w14:paraId="49950233" w14:textId="77777777" w:rsidR="00463C28" w:rsidRPr="00B710A9" w:rsidRDefault="00463C28" w:rsidP="009D279A">
      <w:pPr>
        <w:spacing w:after="0" w:line="240" w:lineRule="auto"/>
        <w:ind w:left="720"/>
        <w:jc w:val="both"/>
        <w:rPr>
          <w:rFonts w:ascii="Arial" w:hAnsi="Arial" w:cs="Arial"/>
          <w:color w:val="000000" w:themeColor="text1"/>
          <w:sz w:val="22"/>
          <w:szCs w:val="22"/>
        </w:rPr>
      </w:pPr>
    </w:p>
    <w:p w14:paraId="7090577E" w14:textId="3919A479" w:rsidR="008C4A23" w:rsidRPr="00B710A9" w:rsidRDefault="00A31F9D" w:rsidP="00356A3E">
      <w:pPr>
        <w:numPr>
          <w:ilvl w:val="0"/>
          <w:numId w:val="112"/>
        </w:numP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Potencializar la producción y disposición de</w:t>
      </w:r>
      <w:r w:rsidR="00526830" w:rsidRPr="00B710A9">
        <w:rPr>
          <w:rFonts w:ascii="Arial" w:hAnsi="Arial" w:cs="Arial"/>
          <w:color w:val="000000" w:themeColor="text1"/>
          <w:sz w:val="22"/>
          <w:szCs w:val="22"/>
        </w:rPr>
        <w:t xml:space="preserve"> información geográfica como insumo para el Catastro Multipropósito, </w:t>
      </w:r>
      <w:r w:rsidRPr="00B710A9">
        <w:rPr>
          <w:rFonts w:ascii="Arial" w:hAnsi="Arial" w:cs="Arial"/>
          <w:color w:val="000000" w:themeColor="text1"/>
          <w:sz w:val="22"/>
          <w:szCs w:val="22"/>
        </w:rPr>
        <w:t>y</w:t>
      </w:r>
      <w:r w:rsidR="00526830" w:rsidRPr="00B710A9">
        <w:rPr>
          <w:rFonts w:ascii="Arial" w:hAnsi="Arial" w:cs="Arial"/>
          <w:color w:val="000000" w:themeColor="text1"/>
          <w:sz w:val="22"/>
          <w:szCs w:val="22"/>
        </w:rPr>
        <w:t xml:space="preserve"> </w:t>
      </w:r>
      <w:r w:rsidRPr="00B710A9">
        <w:rPr>
          <w:rFonts w:ascii="Arial" w:hAnsi="Arial" w:cs="Arial"/>
          <w:color w:val="000000" w:themeColor="text1"/>
          <w:sz w:val="22"/>
          <w:szCs w:val="22"/>
        </w:rPr>
        <w:t xml:space="preserve">otras </w:t>
      </w:r>
      <w:r w:rsidR="00526830" w:rsidRPr="00B710A9">
        <w:rPr>
          <w:rFonts w:ascii="Arial" w:hAnsi="Arial" w:cs="Arial"/>
          <w:color w:val="000000" w:themeColor="text1"/>
          <w:sz w:val="22"/>
          <w:szCs w:val="22"/>
        </w:rPr>
        <w:t>políticas públicas relativas a la administración y gestión del territorio en todas las escalas y niveles de la administración pública.</w:t>
      </w:r>
    </w:p>
    <w:p w14:paraId="088829B4" w14:textId="7FBE9423" w:rsidR="009D437A" w:rsidRPr="00B710A9" w:rsidRDefault="009D437A" w:rsidP="00356A3E">
      <w:pPr>
        <w:pStyle w:val="Sinespaciado"/>
        <w:numPr>
          <w:ilvl w:val="0"/>
          <w:numId w:val="112"/>
        </w:numPr>
        <w:suppressAutoHyphens/>
        <w:spacing w:line="256" w:lineRule="auto"/>
        <w:jc w:val="both"/>
        <w:rPr>
          <w:rFonts w:ascii="Arial" w:eastAsia="Arial" w:hAnsi="Arial" w:cs="Arial"/>
          <w:sz w:val="22"/>
          <w:szCs w:val="22"/>
        </w:rPr>
      </w:pPr>
      <w:r w:rsidRPr="00B710A9">
        <w:rPr>
          <w:rFonts w:ascii="Arial" w:hAnsi="Arial" w:cs="Arial"/>
          <w:sz w:val="22"/>
          <w:szCs w:val="22"/>
        </w:rPr>
        <w:t xml:space="preserve">Continuar con el plan de acompañamiento a los gestores habilitados para fortalecer sus conocimientos con el fin de garantizar una adecuada prestación del servicio público catastral. </w:t>
      </w:r>
    </w:p>
    <w:p w14:paraId="6AB49F47" w14:textId="3F72E0F4" w:rsidR="009D437A" w:rsidRPr="00B710A9" w:rsidRDefault="009D437A" w:rsidP="00356A3E">
      <w:pPr>
        <w:pStyle w:val="Sinespaciado"/>
        <w:numPr>
          <w:ilvl w:val="0"/>
          <w:numId w:val="112"/>
        </w:numPr>
        <w:suppressAutoHyphens/>
        <w:spacing w:line="256" w:lineRule="auto"/>
        <w:jc w:val="both"/>
        <w:rPr>
          <w:rFonts w:ascii="Arial" w:eastAsia="Arial" w:hAnsi="Arial" w:cs="Arial"/>
          <w:sz w:val="22"/>
          <w:szCs w:val="22"/>
        </w:rPr>
      </w:pPr>
      <w:r w:rsidRPr="00B710A9">
        <w:rPr>
          <w:rFonts w:ascii="Arial" w:hAnsi="Arial" w:cs="Arial"/>
          <w:sz w:val="22"/>
          <w:szCs w:val="22"/>
        </w:rPr>
        <w:t>Continuar con el acompañamiento previo a la habilitación a los municipios, Departamentos y entidades del orden nacional que se quieran habilitar con el fin de socializar las condiciones descritas en el ordenamiento jurídico para formular solicitudes de habilitación y se identifiquen claramente las obligaciones y responsabilidades que se asumen en el marco de la prestación del servicio público catastral.</w:t>
      </w:r>
    </w:p>
    <w:p w14:paraId="159599C5" w14:textId="2B048AD8" w:rsidR="009D437A" w:rsidRPr="00B710A9" w:rsidRDefault="009D437A" w:rsidP="00356A3E">
      <w:pPr>
        <w:pStyle w:val="Sinespaciado"/>
        <w:numPr>
          <w:ilvl w:val="0"/>
          <w:numId w:val="112"/>
        </w:numPr>
        <w:suppressAutoHyphens/>
        <w:jc w:val="both"/>
        <w:rPr>
          <w:rFonts w:ascii="Arial" w:hAnsi="Arial" w:cs="Arial"/>
          <w:sz w:val="22"/>
          <w:szCs w:val="22"/>
        </w:rPr>
      </w:pPr>
      <w:r w:rsidRPr="00B710A9">
        <w:rPr>
          <w:rFonts w:ascii="Arial" w:hAnsi="Arial" w:cs="Arial"/>
          <w:sz w:val="22"/>
          <w:szCs w:val="22"/>
        </w:rPr>
        <w:t>Mantener y fortalecer el relacionamiento con la superintendencia de notariado y registro con el fin de establecer aspectos importantes a tener en cuenta en el proceso de habilitación de gestores catastrales y la definición de necesidades en materia regulatoria.</w:t>
      </w:r>
    </w:p>
    <w:p w14:paraId="2738CDA2" w14:textId="4FC959B7" w:rsidR="009D437A" w:rsidRPr="00B710A9" w:rsidRDefault="00753B39" w:rsidP="00356A3E">
      <w:pPr>
        <w:pStyle w:val="Sinespaciado"/>
        <w:numPr>
          <w:ilvl w:val="0"/>
          <w:numId w:val="112"/>
        </w:numPr>
        <w:suppressAutoHyphens/>
        <w:jc w:val="both"/>
        <w:rPr>
          <w:rFonts w:ascii="Arial" w:hAnsi="Arial" w:cs="Arial"/>
          <w:sz w:val="22"/>
          <w:szCs w:val="22"/>
        </w:rPr>
      </w:pPr>
      <w:r w:rsidRPr="00B710A9">
        <w:rPr>
          <w:rFonts w:ascii="Arial" w:hAnsi="Arial" w:cs="Arial"/>
          <w:sz w:val="22"/>
          <w:szCs w:val="22"/>
        </w:rPr>
        <w:t>Fortalecer</w:t>
      </w:r>
      <w:r w:rsidR="009D437A" w:rsidRPr="00B710A9">
        <w:rPr>
          <w:rFonts w:ascii="Arial" w:hAnsi="Arial" w:cs="Arial"/>
          <w:sz w:val="22"/>
          <w:szCs w:val="22"/>
        </w:rPr>
        <w:t xml:space="preserve"> los acercamientos con la </w:t>
      </w:r>
      <w:r w:rsidRPr="00B710A9">
        <w:rPr>
          <w:rFonts w:ascii="Arial" w:hAnsi="Arial" w:cs="Arial"/>
          <w:sz w:val="22"/>
          <w:szCs w:val="22"/>
        </w:rPr>
        <w:t>A</w:t>
      </w:r>
      <w:r w:rsidR="009D437A" w:rsidRPr="00B710A9">
        <w:rPr>
          <w:rFonts w:ascii="Arial" w:hAnsi="Arial" w:cs="Arial"/>
          <w:sz w:val="22"/>
          <w:szCs w:val="22"/>
        </w:rPr>
        <w:t xml:space="preserve">gencia </w:t>
      </w:r>
      <w:r w:rsidRPr="00B710A9">
        <w:rPr>
          <w:rFonts w:ascii="Arial" w:hAnsi="Arial" w:cs="Arial"/>
          <w:sz w:val="22"/>
          <w:szCs w:val="22"/>
        </w:rPr>
        <w:t>n</w:t>
      </w:r>
      <w:r w:rsidR="009D437A" w:rsidRPr="00B710A9">
        <w:rPr>
          <w:rFonts w:ascii="Arial" w:hAnsi="Arial" w:cs="Arial"/>
          <w:sz w:val="22"/>
          <w:szCs w:val="22"/>
        </w:rPr>
        <w:t xml:space="preserve">acional de </w:t>
      </w:r>
      <w:r w:rsidRPr="00B710A9">
        <w:rPr>
          <w:rFonts w:ascii="Arial" w:hAnsi="Arial" w:cs="Arial"/>
          <w:sz w:val="22"/>
          <w:szCs w:val="22"/>
        </w:rPr>
        <w:t>T</w:t>
      </w:r>
      <w:r w:rsidR="009D437A" w:rsidRPr="00B710A9">
        <w:rPr>
          <w:rFonts w:ascii="Arial" w:hAnsi="Arial" w:cs="Arial"/>
          <w:sz w:val="22"/>
          <w:szCs w:val="22"/>
        </w:rPr>
        <w:t xml:space="preserve">ierras con el fin de poder articular la gestión de la entidad con la gestión a realizar por parte de los gestores habilitados. </w:t>
      </w:r>
    </w:p>
    <w:p w14:paraId="49357E61" w14:textId="2E9C0895" w:rsidR="009D437A" w:rsidRPr="00B710A9" w:rsidRDefault="00753B39" w:rsidP="00356A3E">
      <w:pPr>
        <w:pStyle w:val="Sinespaciado"/>
        <w:numPr>
          <w:ilvl w:val="0"/>
          <w:numId w:val="112"/>
        </w:numPr>
        <w:suppressAutoHyphens/>
        <w:jc w:val="both"/>
        <w:rPr>
          <w:rFonts w:ascii="Arial" w:hAnsi="Arial" w:cs="Arial"/>
          <w:sz w:val="22"/>
          <w:szCs w:val="22"/>
        </w:rPr>
      </w:pPr>
      <w:r w:rsidRPr="00B710A9">
        <w:rPr>
          <w:rFonts w:ascii="Arial" w:hAnsi="Arial" w:cs="Arial"/>
          <w:sz w:val="22"/>
          <w:szCs w:val="22"/>
        </w:rPr>
        <w:t>R</w:t>
      </w:r>
      <w:r w:rsidR="009D437A" w:rsidRPr="00B710A9">
        <w:rPr>
          <w:rFonts w:ascii="Arial" w:hAnsi="Arial" w:cs="Arial"/>
          <w:sz w:val="22"/>
          <w:szCs w:val="22"/>
        </w:rPr>
        <w:t>eitera</w:t>
      </w:r>
      <w:r w:rsidRPr="00B710A9">
        <w:rPr>
          <w:rFonts w:ascii="Arial" w:hAnsi="Arial" w:cs="Arial"/>
          <w:sz w:val="22"/>
          <w:szCs w:val="22"/>
        </w:rPr>
        <w:t>r</w:t>
      </w:r>
      <w:r w:rsidR="009D437A" w:rsidRPr="00B710A9">
        <w:rPr>
          <w:rFonts w:ascii="Arial" w:hAnsi="Arial" w:cs="Arial"/>
          <w:sz w:val="22"/>
          <w:szCs w:val="22"/>
        </w:rPr>
        <w:t xml:space="preserve"> a los gestores habilitados la importancia en el reporte de información de acuerdo a lo contenido en la </w:t>
      </w:r>
      <w:r w:rsidR="00893330" w:rsidRPr="00B710A9">
        <w:rPr>
          <w:rFonts w:ascii="Arial" w:hAnsi="Arial" w:cs="Arial"/>
          <w:sz w:val="22"/>
          <w:szCs w:val="22"/>
        </w:rPr>
        <w:t>R</w:t>
      </w:r>
      <w:r w:rsidR="009D437A" w:rsidRPr="00B710A9">
        <w:rPr>
          <w:rFonts w:ascii="Arial" w:hAnsi="Arial" w:cs="Arial"/>
          <w:sz w:val="22"/>
          <w:szCs w:val="22"/>
        </w:rPr>
        <w:t xml:space="preserve">esolución </w:t>
      </w:r>
      <w:r w:rsidR="00893330" w:rsidRPr="00B710A9">
        <w:rPr>
          <w:rFonts w:ascii="Arial" w:hAnsi="Arial" w:cs="Arial"/>
          <w:sz w:val="22"/>
          <w:szCs w:val="22"/>
        </w:rPr>
        <w:t xml:space="preserve">IGAC </w:t>
      </w:r>
      <w:r w:rsidR="009D437A" w:rsidRPr="00B710A9">
        <w:rPr>
          <w:rFonts w:ascii="Arial" w:hAnsi="Arial" w:cs="Arial"/>
          <w:sz w:val="22"/>
          <w:szCs w:val="22"/>
        </w:rPr>
        <w:t xml:space="preserve">315 de 2022. </w:t>
      </w:r>
    </w:p>
    <w:p w14:paraId="10512F70" w14:textId="61CBF001" w:rsidR="009D437A" w:rsidRPr="00B710A9" w:rsidRDefault="009D437A" w:rsidP="00753B39">
      <w:pPr>
        <w:pStyle w:val="Sinespaciado"/>
        <w:suppressAutoHyphens/>
        <w:spacing w:line="256" w:lineRule="auto"/>
        <w:ind w:left="720"/>
        <w:jc w:val="both"/>
        <w:rPr>
          <w:rFonts w:ascii="Arial" w:eastAsia="Arial" w:hAnsi="Arial" w:cs="Arial"/>
        </w:rPr>
      </w:pPr>
    </w:p>
    <w:p w14:paraId="31F046B9" w14:textId="4EB233CA" w:rsidR="009D437A" w:rsidRPr="00B710A9" w:rsidRDefault="009D437A" w:rsidP="00753B39">
      <w:pPr>
        <w:spacing w:after="0" w:line="240" w:lineRule="auto"/>
        <w:ind w:left="720"/>
        <w:jc w:val="both"/>
        <w:rPr>
          <w:rFonts w:ascii="Arial" w:hAnsi="Arial" w:cs="Arial"/>
          <w:color w:val="000000" w:themeColor="text1"/>
          <w:sz w:val="22"/>
          <w:szCs w:val="22"/>
        </w:rPr>
      </w:pPr>
    </w:p>
    <w:p w14:paraId="56C5B739" w14:textId="3F1F6E86" w:rsidR="008C4A23" w:rsidRPr="00B710A9" w:rsidRDefault="00526830" w:rsidP="009D279A">
      <w:pPr>
        <w:pStyle w:val="Ttulo2"/>
        <w:spacing w:before="0" w:after="0" w:line="240" w:lineRule="auto"/>
        <w:jc w:val="both"/>
        <w:rPr>
          <w:rFonts w:ascii="Arial" w:eastAsia="Arial" w:hAnsi="Arial" w:cs="Arial"/>
          <w:color w:val="000000" w:themeColor="text1"/>
          <w:sz w:val="22"/>
          <w:szCs w:val="22"/>
        </w:rPr>
      </w:pPr>
      <w:bookmarkStart w:id="61" w:name="_Toc111485513"/>
      <w:r w:rsidRPr="00B710A9">
        <w:rPr>
          <w:rFonts w:ascii="Arial" w:eastAsia="Arial" w:hAnsi="Arial" w:cs="Arial"/>
          <w:color w:val="000000" w:themeColor="text1"/>
          <w:sz w:val="22"/>
          <w:szCs w:val="22"/>
        </w:rPr>
        <w:t>2.3 Fortalecimiento del Sistema Estadístico Nacional y el Sistema de Información Catastral Nacional</w:t>
      </w:r>
      <w:bookmarkEnd w:id="61"/>
      <w:r w:rsidR="00423171" w:rsidRPr="00B710A9">
        <w:rPr>
          <w:rFonts w:ascii="Arial" w:eastAsia="Arial" w:hAnsi="Arial" w:cs="Arial"/>
          <w:color w:val="000000" w:themeColor="text1"/>
          <w:sz w:val="22"/>
          <w:szCs w:val="22"/>
        </w:rPr>
        <w:t xml:space="preserve"> </w:t>
      </w:r>
    </w:p>
    <w:p w14:paraId="7A12DAAC" w14:textId="77777777" w:rsidR="008C4A23" w:rsidRPr="00B710A9" w:rsidRDefault="008C4A23" w:rsidP="009D279A">
      <w:pPr>
        <w:pBdr>
          <w:top w:val="nil"/>
          <w:left w:val="nil"/>
          <w:bottom w:val="nil"/>
          <w:right w:val="nil"/>
          <w:between w:val="nil"/>
        </w:pBdr>
        <w:spacing w:after="0" w:line="240" w:lineRule="auto"/>
        <w:ind w:left="720"/>
        <w:jc w:val="both"/>
        <w:rPr>
          <w:rFonts w:ascii="Arial" w:eastAsia="Arial" w:hAnsi="Arial" w:cs="Arial"/>
          <w:b/>
          <w:color w:val="000000" w:themeColor="text1"/>
          <w:sz w:val="22"/>
          <w:szCs w:val="22"/>
        </w:rPr>
      </w:pPr>
    </w:p>
    <w:p w14:paraId="405BF7F0" w14:textId="3E0F6F0A" w:rsidR="008C4A23" w:rsidRPr="00B710A9" w:rsidRDefault="00526830" w:rsidP="009D279A">
      <w:pPr>
        <w:pBdr>
          <w:top w:val="nil"/>
          <w:left w:val="nil"/>
          <w:bottom w:val="nil"/>
          <w:right w:val="nil"/>
          <w:between w:val="nil"/>
        </w:pBd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En el marco de la </w:t>
      </w:r>
      <w:r w:rsidR="00884066" w:rsidRPr="00B710A9">
        <w:rPr>
          <w:rFonts w:ascii="Arial" w:eastAsia="Arial" w:hAnsi="Arial" w:cs="Arial"/>
          <w:color w:val="000000" w:themeColor="text1"/>
          <w:sz w:val="22"/>
          <w:szCs w:val="22"/>
        </w:rPr>
        <w:t xml:space="preserve">política </w:t>
      </w:r>
      <w:r w:rsidRPr="00B710A9">
        <w:rPr>
          <w:rFonts w:ascii="Arial" w:eastAsia="Arial" w:hAnsi="Arial" w:cs="Arial"/>
          <w:color w:val="000000" w:themeColor="text1"/>
          <w:sz w:val="22"/>
          <w:szCs w:val="22"/>
        </w:rPr>
        <w:t xml:space="preserve">de Catastro Multipropósito, el Sistema de Información Catastral Nacional buscará ser una herramienta completa, actualizada, confiable, consistente con el sistema de registro de la propiedad inmueble, digital e interoperable, que contribuya a la integración catastro-registro y al fortalecimiento tecnológico. Lo anterior, orientado a fortalecer la capacidad general del país para producir información de calidad, estandarizada y comparable. </w:t>
      </w:r>
    </w:p>
    <w:p w14:paraId="21D8554A" w14:textId="77777777" w:rsidR="00BD6172" w:rsidRPr="00B710A9" w:rsidRDefault="00BD6172" w:rsidP="009D279A">
      <w:pPr>
        <w:pBdr>
          <w:top w:val="nil"/>
          <w:left w:val="nil"/>
          <w:bottom w:val="nil"/>
          <w:right w:val="nil"/>
          <w:between w:val="nil"/>
        </w:pBdr>
        <w:spacing w:after="0" w:line="240" w:lineRule="auto"/>
        <w:jc w:val="both"/>
        <w:rPr>
          <w:rFonts w:ascii="Arial" w:eastAsia="Arial" w:hAnsi="Arial" w:cs="Arial"/>
          <w:color w:val="000000" w:themeColor="text1"/>
          <w:sz w:val="22"/>
          <w:szCs w:val="22"/>
        </w:rPr>
      </w:pPr>
    </w:p>
    <w:p w14:paraId="034CB2C8" w14:textId="77777777" w:rsidR="00BD6172" w:rsidRPr="00B710A9" w:rsidRDefault="00BD6172" w:rsidP="00356A3E">
      <w:pPr>
        <w:numPr>
          <w:ilvl w:val="0"/>
          <w:numId w:val="37"/>
        </w:numPr>
        <w:pBdr>
          <w:top w:val="nil"/>
          <w:left w:val="nil"/>
          <w:bottom w:val="nil"/>
          <w:right w:val="nil"/>
          <w:between w:val="nil"/>
        </w:pBdr>
        <w:spacing w:after="0" w:line="240" w:lineRule="auto"/>
        <w:jc w:val="both"/>
        <w:rPr>
          <w:rFonts w:ascii="Arial" w:eastAsia="Arial" w:hAnsi="Arial" w:cs="Arial"/>
          <w:color w:val="000000" w:themeColor="text1"/>
          <w:sz w:val="22"/>
          <w:szCs w:val="22"/>
        </w:rPr>
      </w:pPr>
      <w:r w:rsidRPr="00B710A9">
        <w:rPr>
          <w:rFonts w:ascii="Arial" w:eastAsia="Arial" w:hAnsi="Arial" w:cs="Arial"/>
          <w:b/>
          <w:color w:val="000000" w:themeColor="text1"/>
          <w:sz w:val="22"/>
          <w:szCs w:val="22"/>
        </w:rPr>
        <w:t xml:space="preserve">Fortalecimiento del Sistema Nacional Catastral </w:t>
      </w:r>
    </w:p>
    <w:p w14:paraId="30734D4B" w14:textId="77777777" w:rsidR="00BD6172" w:rsidRPr="00B710A9" w:rsidRDefault="00BD6172" w:rsidP="009D279A">
      <w:pPr>
        <w:pBdr>
          <w:top w:val="nil"/>
          <w:left w:val="nil"/>
          <w:bottom w:val="nil"/>
          <w:right w:val="nil"/>
          <w:between w:val="nil"/>
        </w:pBdr>
        <w:spacing w:after="0" w:line="240" w:lineRule="auto"/>
        <w:ind w:left="720"/>
        <w:jc w:val="both"/>
        <w:rPr>
          <w:rFonts w:ascii="Arial" w:eastAsia="Arial" w:hAnsi="Arial" w:cs="Arial"/>
          <w:color w:val="000000" w:themeColor="text1"/>
          <w:sz w:val="22"/>
          <w:szCs w:val="22"/>
        </w:rPr>
      </w:pPr>
    </w:p>
    <w:p w14:paraId="5268F749" w14:textId="77777777" w:rsidR="00BD6172" w:rsidRPr="00B710A9" w:rsidRDefault="00BD6172" w:rsidP="009D279A">
      <w:pPr>
        <w:pBdr>
          <w:top w:val="nil"/>
          <w:left w:val="nil"/>
          <w:bottom w:val="nil"/>
          <w:right w:val="nil"/>
          <w:between w:val="nil"/>
        </w:pBd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Uno de los fines de la política de catastro multipropósito es impulsar el uso de la información catastral en diferentes áreas del servicio público y privado, de manera progresiva, a medida </w:t>
      </w:r>
      <w:r w:rsidRPr="00B710A9">
        <w:rPr>
          <w:rFonts w:ascii="Arial" w:eastAsia="Arial" w:hAnsi="Arial" w:cs="Arial"/>
          <w:color w:val="000000" w:themeColor="text1"/>
          <w:sz w:val="22"/>
          <w:szCs w:val="22"/>
        </w:rPr>
        <w:lastRenderedPageBreak/>
        <w:t xml:space="preserve">que se enriquezca la información mediante su interoperabilidad con otras bases de datos que compartan el predio como unidad de información. </w:t>
      </w:r>
    </w:p>
    <w:p w14:paraId="1FE38F7A" w14:textId="77777777" w:rsidR="00BD6172" w:rsidRPr="00B710A9" w:rsidRDefault="00BD6172" w:rsidP="009D279A">
      <w:pPr>
        <w:pBdr>
          <w:top w:val="nil"/>
          <w:left w:val="nil"/>
          <w:bottom w:val="nil"/>
          <w:right w:val="nil"/>
          <w:between w:val="nil"/>
        </w:pBdr>
        <w:spacing w:after="0" w:line="240" w:lineRule="auto"/>
        <w:jc w:val="both"/>
        <w:rPr>
          <w:rFonts w:ascii="Arial" w:eastAsia="Arial" w:hAnsi="Arial" w:cs="Arial"/>
          <w:color w:val="000000" w:themeColor="text1"/>
          <w:sz w:val="22"/>
          <w:szCs w:val="22"/>
        </w:rPr>
      </w:pPr>
    </w:p>
    <w:p w14:paraId="7803FAA2" w14:textId="15DCEC1B" w:rsidR="00BD6172" w:rsidRPr="00B710A9" w:rsidRDefault="00BD6172" w:rsidP="009D279A">
      <w:pPr>
        <w:pBdr>
          <w:top w:val="nil"/>
          <w:left w:val="nil"/>
          <w:bottom w:val="nil"/>
          <w:right w:val="nil"/>
          <w:between w:val="nil"/>
        </w:pBdr>
        <w:spacing w:after="0" w:line="240" w:lineRule="auto"/>
        <w:jc w:val="both"/>
        <w:rPr>
          <w:rFonts w:ascii="Arial" w:eastAsia="Arial" w:hAnsi="Arial" w:cs="Arial"/>
          <w:b/>
          <w:color w:val="000000" w:themeColor="text1"/>
          <w:sz w:val="22"/>
          <w:szCs w:val="22"/>
        </w:rPr>
      </w:pPr>
      <w:r w:rsidRPr="00B710A9">
        <w:rPr>
          <w:rFonts w:ascii="Arial" w:eastAsia="Arial" w:hAnsi="Arial" w:cs="Arial"/>
          <w:color w:val="000000" w:themeColor="text1"/>
          <w:sz w:val="22"/>
          <w:szCs w:val="22"/>
        </w:rPr>
        <w:t xml:space="preserve">En este contexto, el IGAC, el DNP y la SNR adelantarán el diseño de un repositorio maestro de datos que, junto con la adopción del estándar LADM, permita la integración catastro-registro y la interoperabilidad de este con otros sistemas de información, así como el fortalecimiento tecnológico de las entidades para estas actividades. </w:t>
      </w:r>
    </w:p>
    <w:p w14:paraId="4BB30559" w14:textId="477B659C" w:rsidR="00BD6172" w:rsidRPr="00B710A9" w:rsidRDefault="00BD6172" w:rsidP="009D279A">
      <w:pPr>
        <w:spacing w:after="0" w:line="240" w:lineRule="auto"/>
        <w:jc w:val="both"/>
        <w:rPr>
          <w:rFonts w:ascii="Arial" w:eastAsia="Arial" w:hAnsi="Arial" w:cs="Arial"/>
          <w:b/>
          <w:color w:val="000000" w:themeColor="text1"/>
          <w:sz w:val="22"/>
          <w:szCs w:val="22"/>
        </w:rPr>
      </w:pPr>
    </w:p>
    <w:p w14:paraId="6D1F2956" w14:textId="7F5BDB7A" w:rsidR="006807E9" w:rsidRPr="00B710A9" w:rsidRDefault="006807E9"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 xml:space="preserve">A </w:t>
      </w:r>
      <w:r w:rsidR="00F63F70" w:rsidRPr="00B710A9">
        <w:rPr>
          <w:rFonts w:ascii="Arial" w:eastAsia="Arial" w:hAnsi="Arial" w:cs="Arial"/>
          <w:color w:val="000000" w:themeColor="text1"/>
          <w:sz w:val="22"/>
          <w:szCs w:val="22"/>
        </w:rPr>
        <w:t>continuación,</w:t>
      </w:r>
      <w:r w:rsidRPr="00B710A9">
        <w:rPr>
          <w:rFonts w:ascii="Arial" w:eastAsia="Arial" w:hAnsi="Arial" w:cs="Arial"/>
          <w:color w:val="000000" w:themeColor="text1"/>
          <w:sz w:val="22"/>
          <w:szCs w:val="22"/>
        </w:rPr>
        <w:t xml:space="preserve"> se presentan</w:t>
      </w:r>
      <w:r w:rsidR="00F63F70" w:rsidRPr="00B710A9">
        <w:rPr>
          <w:rFonts w:ascii="Arial" w:eastAsia="Arial" w:hAnsi="Arial" w:cs="Arial"/>
          <w:color w:val="000000" w:themeColor="text1"/>
          <w:sz w:val="22"/>
          <w:szCs w:val="22"/>
        </w:rPr>
        <w:t xml:space="preserve"> los principales logros y acciones llevados a cabo entorno a los sistemas de información</w:t>
      </w:r>
      <w:r w:rsidR="0082252B" w:rsidRPr="00B710A9">
        <w:rPr>
          <w:rFonts w:ascii="Arial" w:eastAsia="Arial" w:hAnsi="Arial" w:cs="Arial"/>
          <w:color w:val="000000" w:themeColor="text1"/>
          <w:sz w:val="22"/>
          <w:szCs w:val="22"/>
        </w:rPr>
        <w:t xml:space="preserve">, así como de la estrategia y de gobierno ti: </w:t>
      </w:r>
    </w:p>
    <w:p w14:paraId="0E83CB4E" w14:textId="77777777" w:rsidR="006807E9" w:rsidRPr="00B710A9" w:rsidRDefault="006807E9" w:rsidP="009D279A">
      <w:pPr>
        <w:spacing w:after="0" w:line="240" w:lineRule="auto"/>
        <w:jc w:val="both"/>
        <w:rPr>
          <w:rFonts w:ascii="Arial" w:eastAsia="Arial" w:hAnsi="Arial" w:cs="Arial"/>
          <w:b/>
          <w:color w:val="000000" w:themeColor="text1"/>
          <w:sz w:val="22"/>
          <w:szCs w:val="22"/>
        </w:rPr>
      </w:pPr>
    </w:p>
    <w:p w14:paraId="6BA2DF02" w14:textId="77777777" w:rsidR="006807E9" w:rsidRPr="00B710A9" w:rsidRDefault="006807E9" w:rsidP="009D279A">
      <w:pPr>
        <w:spacing w:after="0" w:line="240" w:lineRule="auto"/>
        <w:jc w:val="both"/>
        <w:rPr>
          <w:rFonts w:ascii="Arial" w:eastAsia="Arial" w:hAnsi="Arial" w:cs="Arial"/>
          <w:b/>
          <w:color w:val="000000" w:themeColor="text1"/>
          <w:sz w:val="22"/>
          <w:szCs w:val="22"/>
        </w:rPr>
      </w:pPr>
    </w:p>
    <w:p w14:paraId="05DD8852" w14:textId="77777777" w:rsidR="006807E9" w:rsidRPr="00B710A9" w:rsidRDefault="006807E9" w:rsidP="009D279A">
      <w:pPr>
        <w:spacing w:after="0" w:line="240" w:lineRule="auto"/>
        <w:jc w:val="both"/>
        <w:rPr>
          <w:rFonts w:ascii="Arial" w:eastAsia="Arial" w:hAnsi="Arial" w:cs="Arial"/>
          <w:b/>
          <w:color w:val="000000" w:themeColor="text1"/>
          <w:sz w:val="22"/>
          <w:szCs w:val="22"/>
        </w:rPr>
      </w:pPr>
    </w:p>
    <w:p w14:paraId="2DE101C6" w14:textId="62522EE2" w:rsidR="00BD6172" w:rsidRPr="00B710A9" w:rsidRDefault="00BD6172" w:rsidP="009D279A">
      <w:pPr>
        <w:spacing w:after="0" w:line="240" w:lineRule="auto"/>
        <w:jc w:val="both"/>
        <w:rPr>
          <w:rFonts w:ascii="Arial" w:eastAsia="Arial" w:hAnsi="Arial" w:cs="Arial"/>
          <w:b/>
          <w:color w:val="000000" w:themeColor="text1"/>
          <w:sz w:val="22"/>
          <w:szCs w:val="22"/>
        </w:rPr>
      </w:pPr>
      <w:r w:rsidRPr="00B710A9">
        <w:rPr>
          <w:rFonts w:ascii="Arial" w:eastAsia="Arial" w:hAnsi="Arial" w:cs="Arial"/>
          <w:b/>
          <w:color w:val="000000" w:themeColor="text1"/>
          <w:sz w:val="22"/>
          <w:szCs w:val="22"/>
        </w:rPr>
        <w:t>Logros del manda</w:t>
      </w:r>
      <w:r w:rsidR="002F7F4E" w:rsidRPr="00B710A9">
        <w:rPr>
          <w:rFonts w:ascii="Arial" w:eastAsia="Arial" w:hAnsi="Arial" w:cs="Arial"/>
          <w:b/>
          <w:color w:val="000000" w:themeColor="text1"/>
          <w:sz w:val="22"/>
          <w:szCs w:val="22"/>
        </w:rPr>
        <w:t>d</w:t>
      </w:r>
      <w:r w:rsidRPr="00B710A9">
        <w:rPr>
          <w:rFonts w:ascii="Arial" w:eastAsia="Arial" w:hAnsi="Arial" w:cs="Arial"/>
          <w:b/>
          <w:color w:val="000000" w:themeColor="text1"/>
          <w:sz w:val="22"/>
          <w:szCs w:val="22"/>
        </w:rPr>
        <w:t>o:</w:t>
      </w:r>
    </w:p>
    <w:p w14:paraId="462146B7" w14:textId="77777777" w:rsidR="006807E9" w:rsidRPr="00B710A9" w:rsidRDefault="006807E9" w:rsidP="009D279A">
      <w:pPr>
        <w:spacing w:after="0" w:line="240" w:lineRule="auto"/>
        <w:jc w:val="both"/>
        <w:rPr>
          <w:rFonts w:ascii="Arial" w:eastAsia="Arial" w:hAnsi="Arial" w:cs="Arial"/>
          <w:b/>
          <w:color w:val="000000" w:themeColor="text1"/>
          <w:sz w:val="22"/>
          <w:szCs w:val="22"/>
        </w:rPr>
      </w:pPr>
    </w:p>
    <w:p w14:paraId="2E4355F7" w14:textId="77777777" w:rsidR="00A8344C" w:rsidRPr="00B710A9" w:rsidRDefault="00A8344C" w:rsidP="00A8344C">
      <w:pPr>
        <w:jc w:val="both"/>
        <w:rPr>
          <w:rFonts w:ascii="Arial" w:eastAsia="Arial" w:hAnsi="Arial" w:cs="Arial"/>
          <w:color w:val="000000"/>
          <w:sz w:val="22"/>
          <w:szCs w:val="22"/>
          <w:bdr w:val="none" w:sz="0" w:space="0" w:color="auto" w:frame="1"/>
        </w:rPr>
      </w:pPr>
      <w:r w:rsidRPr="00B710A9">
        <w:rPr>
          <w:rFonts w:ascii="Arial" w:eastAsia="Arial" w:hAnsi="Arial" w:cs="Arial"/>
          <w:b/>
          <w:sz w:val="22"/>
          <w:szCs w:val="22"/>
          <w:lang w:val="es"/>
        </w:rPr>
        <w:t>Diseño y Desarrollo de Sistemas De Información</w:t>
      </w:r>
      <w:r w:rsidRPr="00B710A9">
        <w:rPr>
          <w:rFonts w:ascii="Arial" w:eastAsia="Arial" w:hAnsi="Arial" w:cs="Arial"/>
          <w:color w:val="000000" w:themeColor="text1"/>
          <w:sz w:val="22"/>
          <w:szCs w:val="22"/>
        </w:rPr>
        <w:t xml:space="preserve"> </w:t>
      </w:r>
      <w:r w:rsidRPr="00B710A9">
        <w:rPr>
          <w:rFonts w:ascii="Arial" w:eastAsia="Arial" w:hAnsi="Arial" w:cs="Arial"/>
          <w:color w:val="000000"/>
          <w:sz w:val="22"/>
          <w:szCs w:val="22"/>
          <w:bdr w:val="none" w:sz="0" w:space="0" w:color="auto" w:frame="1"/>
        </w:rPr>
        <w:t>  </w:t>
      </w:r>
    </w:p>
    <w:p w14:paraId="527F68D2" w14:textId="77777777" w:rsidR="00A8344C" w:rsidRPr="00B710A9" w:rsidRDefault="00A8344C" w:rsidP="00356A3E">
      <w:pPr>
        <w:pStyle w:val="Prrafodelista"/>
        <w:numPr>
          <w:ilvl w:val="0"/>
          <w:numId w:val="53"/>
        </w:numPr>
        <w:suppressAutoHyphens/>
        <w:overflowPunct w:val="0"/>
        <w:autoSpaceDE w:val="0"/>
        <w:spacing w:after="0" w:line="240" w:lineRule="auto"/>
        <w:jc w:val="both"/>
        <w:textAlignment w:val="baseline"/>
        <w:rPr>
          <w:rFonts w:ascii="Arial" w:eastAsia="Arial" w:hAnsi="Arial" w:cs="Arial"/>
          <w:sz w:val="22"/>
          <w:szCs w:val="22"/>
          <w:lang w:val="es-MX"/>
        </w:rPr>
      </w:pPr>
      <w:r w:rsidRPr="00B710A9">
        <w:rPr>
          <w:rFonts w:ascii="Arial" w:eastAsia="Arial" w:hAnsi="Arial" w:cs="Arial"/>
          <w:b/>
          <w:sz w:val="22"/>
          <w:szCs w:val="22"/>
          <w:lang w:val="es-MX"/>
        </w:rPr>
        <w:t xml:space="preserve">Contratación Fábrica de Software: </w:t>
      </w:r>
      <w:r w:rsidRPr="00B710A9">
        <w:rPr>
          <w:rFonts w:ascii="Arial" w:eastAsia="Arial" w:hAnsi="Arial" w:cs="Arial"/>
          <w:sz w:val="22"/>
          <w:szCs w:val="22"/>
          <w:lang w:val="es-MX"/>
        </w:rPr>
        <w:t>Se realizó la formalización del contrato con la empresa INDRA Colombia S.A.S.  para la prestación de servicios de fábricas de software encargadas de apoyar la etapa de desarrollo del nuevo Sistema Nacional Catastral – SNC y el Repositorio de Datos Maestros RDM - SINIC.</w:t>
      </w:r>
    </w:p>
    <w:p w14:paraId="7CE5182D" w14:textId="77777777" w:rsidR="00A8344C" w:rsidRPr="00B710A9" w:rsidRDefault="00A8344C" w:rsidP="00A8344C">
      <w:pPr>
        <w:pStyle w:val="Lista"/>
        <w:rPr>
          <w:rFonts w:eastAsia="Arial" w:cs="Arial"/>
          <w:sz w:val="22"/>
          <w:szCs w:val="22"/>
          <w:lang w:val="es-MX"/>
        </w:rPr>
      </w:pPr>
    </w:p>
    <w:p w14:paraId="7BDD7905" w14:textId="03269233" w:rsidR="00A8344C" w:rsidRPr="00B710A9" w:rsidRDefault="00A8344C" w:rsidP="00356A3E">
      <w:pPr>
        <w:pStyle w:val="Prrafodelista"/>
        <w:numPr>
          <w:ilvl w:val="0"/>
          <w:numId w:val="53"/>
        </w:numPr>
        <w:suppressAutoHyphens/>
        <w:overflowPunct w:val="0"/>
        <w:autoSpaceDE w:val="0"/>
        <w:spacing w:after="0" w:line="240" w:lineRule="auto"/>
        <w:jc w:val="both"/>
        <w:textAlignment w:val="baseline"/>
        <w:rPr>
          <w:rFonts w:ascii="Arial" w:eastAsia="Arial" w:hAnsi="Arial" w:cs="Arial"/>
          <w:sz w:val="22"/>
          <w:szCs w:val="22"/>
          <w:lang w:val="es-MX"/>
        </w:rPr>
      </w:pPr>
      <w:r w:rsidRPr="00B710A9">
        <w:rPr>
          <w:rFonts w:ascii="Arial" w:eastAsia="Arial" w:hAnsi="Arial" w:cs="Arial"/>
          <w:b/>
          <w:sz w:val="22"/>
          <w:szCs w:val="22"/>
          <w:lang w:val="es-MX"/>
        </w:rPr>
        <w:t xml:space="preserve">SINIC: </w:t>
      </w:r>
      <w:r w:rsidRPr="00B710A9">
        <w:rPr>
          <w:rFonts w:ascii="Arial" w:eastAsia="Arial" w:hAnsi="Arial" w:cs="Arial"/>
          <w:sz w:val="22"/>
          <w:szCs w:val="22"/>
          <w:lang w:val="es-MX"/>
        </w:rPr>
        <w:t xml:space="preserve">Durante los meses de octubre y noviembre 2021 se lleva a cabo el levantamiento de información, diseño y validación para la prueba de concepto que implementa un sistema de contingencia denominado SINIC Express cuya finalidad es servir como un sistema paralelo al desarrollo del </w:t>
      </w:r>
      <w:r w:rsidRPr="00B710A9">
        <w:rPr>
          <w:rFonts w:ascii="Arial" w:eastAsia="Arial" w:hAnsi="Arial" w:cs="Arial"/>
          <w:sz w:val="22"/>
          <w:szCs w:val="22"/>
        </w:rPr>
        <w:t>Sistema Información de Catastro Multipropósito - SINIC</w:t>
      </w:r>
      <w:r w:rsidRPr="00B710A9">
        <w:rPr>
          <w:rFonts w:ascii="Arial" w:eastAsia="Arial" w:hAnsi="Arial" w:cs="Arial"/>
          <w:sz w:val="22"/>
          <w:szCs w:val="22"/>
          <w:lang w:val="es-MX"/>
        </w:rPr>
        <w:t xml:space="preserve">. Se desarrollaron mesas de trabajo con la cooperación </w:t>
      </w:r>
      <w:r w:rsidR="00110738" w:rsidRPr="00B710A9">
        <w:rPr>
          <w:rFonts w:ascii="Arial" w:eastAsia="Arial" w:hAnsi="Arial" w:cs="Arial"/>
          <w:sz w:val="22"/>
          <w:szCs w:val="22"/>
          <w:lang w:val="es-MX"/>
        </w:rPr>
        <w:t>suiza</w:t>
      </w:r>
      <w:r w:rsidRPr="00B710A9">
        <w:rPr>
          <w:rFonts w:ascii="Arial" w:eastAsia="Arial" w:hAnsi="Arial" w:cs="Arial"/>
          <w:sz w:val="22"/>
          <w:szCs w:val="22"/>
          <w:lang w:val="es-MX"/>
        </w:rPr>
        <w:t xml:space="preserve"> y se realizaron actividades de validación de estructuras de datos que debían proveer los diferentes gestores catastrales.</w:t>
      </w:r>
      <w:r w:rsidRPr="00B710A9">
        <w:rPr>
          <w:rFonts w:ascii="Arial" w:eastAsia="Arial" w:hAnsi="Arial" w:cs="Arial"/>
          <w:b/>
          <w:sz w:val="22"/>
          <w:szCs w:val="22"/>
          <w:lang w:val="es-MX"/>
        </w:rPr>
        <w:t xml:space="preserve"> </w:t>
      </w:r>
      <w:r w:rsidRPr="00B710A9">
        <w:rPr>
          <w:rFonts w:ascii="Arial" w:eastAsia="Arial" w:hAnsi="Arial" w:cs="Arial"/>
          <w:sz w:val="22"/>
          <w:szCs w:val="22"/>
          <w:lang w:val="es-MX"/>
        </w:rPr>
        <w:t xml:space="preserve">A cierre de la vigencia 2021 el sistema SINIC Express en su primera versión se encuentra implementado y productivo en los servidores de SNR quedando pendientes algunas pruebas funcionales. Si bien se cumplió con el desarrollo de dicho sistema, las áreas funcionales y partes interesadas requirieron un ajuste adicional a la especificación inicial. Dicho ajuste consistió en permitir a los gestores catastrales reportar información en un formato distinto al planificado (archivos XTF). Es así, que la puesta en operación real inició el 8 de marzo de 2022, correspondiente al primer periodo de reporte donde se recibió información de 20 Gestores Catastrales, datos que son insumo catastral para ser integrados en el RDM.  Las dos primeras semanas de mayo se recibió el segundo reporte con una participación de 27 Gestores Catastrales. A 30 de junio SINIC Express se encuentra listo para recibir información exclusivamente por medio de archivos </w:t>
      </w:r>
      <w:proofErr w:type="spellStart"/>
      <w:r w:rsidRPr="00B710A9">
        <w:rPr>
          <w:rFonts w:ascii="Arial" w:eastAsia="Arial" w:hAnsi="Arial" w:cs="Arial"/>
          <w:sz w:val="22"/>
          <w:szCs w:val="22"/>
          <w:lang w:val="es-MX"/>
        </w:rPr>
        <w:t>xtf</w:t>
      </w:r>
      <w:proofErr w:type="spellEnd"/>
      <w:r w:rsidRPr="00B710A9">
        <w:rPr>
          <w:rFonts w:ascii="Arial" w:eastAsia="Arial" w:hAnsi="Arial" w:cs="Arial"/>
          <w:sz w:val="22"/>
          <w:szCs w:val="22"/>
          <w:lang w:val="es-MX"/>
        </w:rPr>
        <w:t xml:space="preserve"> correspondiente al tercer reporte bimestral del año 2022. Se recibirá información a gestores desde el 1 de julio 2022 hasta el 17 de julio 2022.</w:t>
      </w:r>
    </w:p>
    <w:p w14:paraId="7A78ACA0" w14:textId="77777777" w:rsidR="00A8344C" w:rsidRPr="00B710A9" w:rsidRDefault="00A8344C" w:rsidP="008B4C3C">
      <w:pPr>
        <w:pStyle w:val="Prrafodelista"/>
        <w:jc w:val="both"/>
        <w:rPr>
          <w:rFonts w:ascii="Arial" w:eastAsia="Arial" w:hAnsi="Arial" w:cs="Arial"/>
          <w:sz w:val="22"/>
          <w:szCs w:val="22"/>
          <w:lang w:val="es-MX"/>
        </w:rPr>
      </w:pPr>
    </w:p>
    <w:p w14:paraId="0283610D" w14:textId="5D5FBB38" w:rsidR="00A8344C" w:rsidRPr="00B710A9" w:rsidRDefault="00A8344C" w:rsidP="008B4C3C">
      <w:pPr>
        <w:pStyle w:val="Prrafodelista"/>
        <w:jc w:val="both"/>
        <w:rPr>
          <w:rFonts w:ascii="Arial" w:eastAsia="Arial" w:hAnsi="Arial" w:cs="Arial"/>
          <w:sz w:val="22"/>
          <w:szCs w:val="22"/>
          <w:lang w:val="es-MX"/>
        </w:rPr>
      </w:pPr>
      <w:r w:rsidRPr="00B710A9">
        <w:rPr>
          <w:rFonts w:ascii="Arial" w:eastAsia="Arial" w:hAnsi="Arial" w:cs="Arial"/>
          <w:sz w:val="22"/>
          <w:szCs w:val="22"/>
          <w:lang w:val="es-MX"/>
        </w:rPr>
        <w:t xml:space="preserve">En mayo 2022 y en conjunto con la fábrica de software INDRA Colombia S.A.S contratada para el desarrollo del sistema RDM, se definió el cronograma del análisis, diseño e implementación del Sistema Nacional de Información de Catastro Multipropósito - SINIC (Sistema Oficial). En esta fase, se aprobaron requerimientos que contemplan 6 procesos de negocio que cubre el sistema. Cuatro de estos requerimientos (Administración de gestores catastrales, Administración de periodos y grupos de reporte, Recepción de información catastral y Reportes e informes </w:t>
      </w:r>
      <w:r w:rsidRPr="00B710A9">
        <w:rPr>
          <w:rFonts w:ascii="Arial" w:eastAsia="Arial" w:hAnsi="Arial" w:cs="Arial"/>
          <w:sz w:val="22"/>
          <w:szCs w:val="22"/>
          <w:lang w:val="es-MX"/>
        </w:rPr>
        <w:lastRenderedPageBreak/>
        <w:t xml:space="preserve">catastrales) van a ser cubiertos durante la implementación del primer producto mínimo viable (PMV1) cuya terminación y puesta en producción se encuentra planificada para septiembre 2022. Los dos requerimientos restantes (Disposición de información catastral </w:t>
      </w:r>
      <w:proofErr w:type="spellStart"/>
      <w:r w:rsidRPr="00B710A9">
        <w:rPr>
          <w:rFonts w:ascii="Arial" w:eastAsia="Arial" w:hAnsi="Arial" w:cs="Arial"/>
          <w:sz w:val="22"/>
          <w:szCs w:val="22"/>
          <w:lang w:val="es-MX"/>
        </w:rPr>
        <w:t>via</w:t>
      </w:r>
      <w:proofErr w:type="spellEnd"/>
      <w:r w:rsidRPr="00B710A9">
        <w:rPr>
          <w:rFonts w:ascii="Arial" w:eastAsia="Arial" w:hAnsi="Arial" w:cs="Arial"/>
          <w:sz w:val="22"/>
          <w:szCs w:val="22"/>
          <w:lang w:val="es-MX"/>
        </w:rPr>
        <w:t xml:space="preserve"> web </w:t>
      </w:r>
      <w:proofErr w:type="spellStart"/>
      <w:r w:rsidRPr="00B710A9">
        <w:rPr>
          <w:rFonts w:ascii="Arial" w:eastAsia="Arial" w:hAnsi="Arial" w:cs="Arial"/>
          <w:sz w:val="22"/>
          <w:szCs w:val="22"/>
          <w:lang w:val="es-MX"/>
        </w:rPr>
        <w:t>service</w:t>
      </w:r>
      <w:proofErr w:type="spellEnd"/>
      <w:r w:rsidRPr="00B710A9">
        <w:rPr>
          <w:rFonts w:ascii="Arial" w:eastAsia="Arial" w:hAnsi="Arial" w:cs="Arial"/>
          <w:sz w:val="22"/>
          <w:szCs w:val="22"/>
          <w:lang w:val="es-MX"/>
        </w:rPr>
        <w:t xml:space="preserve"> y Disposición de información catastral a interesados) será</w:t>
      </w:r>
      <w:r w:rsidR="00821DAB" w:rsidRPr="00B710A9">
        <w:rPr>
          <w:rFonts w:ascii="Arial" w:eastAsia="Arial" w:hAnsi="Arial" w:cs="Arial"/>
          <w:sz w:val="22"/>
          <w:szCs w:val="22"/>
          <w:lang w:val="es-MX"/>
        </w:rPr>
        <w:t>n</w:t>
      </w:r>
      <w:r w:rsidRPr="00B710A9">
        <w:rPr>
          <w:rFonts w:ascii="Arial" w:eastAsia="Arial" w:hAnsi="Arial" w:cs="Arial"/>
          <w:sz w:val="22"/>
          <w:szCs w:val="22"/>
          <w:lang w:val="es-MX"/>
        </w:rPr>
        <w:t xml:space="preserve"> cubiertos en una siguiente fase en la vigencia 2022. </w:t>
      </w:r>
    </w:p>
    <w:p w14:paraId="052EEAFF" w14:textId="77777777" w:rsidR="00A8344C" w:rsidRPr="00B710A9" w:rsidRDefault="00A8344C" w:rsidP="008B4C3C">
      <w:pPr>
        <w:pStyle w:val="Lista"/>
        <w:rPr>
          <w:rFonts w:eastAsia="Arial" w:cs="Arial"/>
          <w:sz w:val="22"/>
          <w:szCs w:val="22"/>
          <w:u w:val="single"/>
          <w:lang w:val="es-MX"/>
        </w:rPr>
      </w:pPr>
    </w:p>
    <w:p w14:paraId="73F9DFC0" w14:textId="3C9E362D" w:rsidR="00A8344C" w:rsidRPr="00B710A9" w:rsidRDefault="00A8344C" w:rsidP="008B4C3C">
      <w:pPr>
        <w:pStyle w:val="Prrafodelista"/>
        <w:jc w:val="both"/>
        <w:rPr>
          <w:rFonts w:ascii="Arial" w:eastAsia="Arial" w:hAnsi="Arial" w:cs="Arial"/>
          <w:sz w:val="22"/>
          <w:szCs w:val="22"/>
          <w:lang w:val="es-MX"/>
        </w:rPr>
      </w:pPr>
      <w:r w:rsidRPr="00B710A9">
        <w:rPr>
          <w:rFonts w:ascii="Arial" w:eastAsia="Arial" w:hAnsi="Arial" w:cs="Arial"/>
          <w:sz w:val="22"/>
          <w:szCs w:val="22"/>
          <w:lang w:val="es-MX"/>
        </w:rPr>
        <w:t xml:space="preserve">Durante el mes de junio se entregó la primera versión de la propuesta de arquitectura del sistema, la visión de modelamiento del cargue y validación de los archivos </w:t>
      </w:r>
      <w:proofErr w:type="spellStart"/>
      <w:r w:rsidRPr="00B710A9">
        <w:rPr>
          <w:rFonts w:ascii="Arial" w:eastAsia="Arial" w:hAnsi="Arial" w:cs="Arial"/>
          <w:sz w:val="22"/>
          <w:szCs w:val="22"/>
          <w:lang w:val="es-MX"/>
        </w:rPr>
        <w:t>xtf</w:t>
      </w:r>
      <w:proofErr w:type="spellEnd"/>
      <w:r w:rsidRPr="00B710A9">
        <w:rPr>
          <w:rFonts w:ascii="Arial" w:eastAsia="Arial" w:hAnsi="Arial" w:cs="Arial"/>
          <w:sz w:val="22"/>
          <w:szCs w:val="22"/>
          <w:lang w:val="es-MX"/>
        </w:rPr>
        <w:t xml:space="preserve"> recibidos a gestores, el desarrollo de prototipos para los procesos de seguridad, autenticación, administración de gestores y entrega de información catastral. Adicionalmente se configura el ambiente de desarrollo para inicio del sprint 1 el 21 de junio 2022. </w:t>
      </w:r>
    </w:p>
    <w:p w14:paraId="5409B28A" w14:textId="77777777" w:rsidR="00A8344C" w:rsidRPr="00B710A9" w:rsidRDefault="00A8344C" w:rsidP="008B4C3C">
      <w:pPr>
        <w:pStyle w:val="Lista"/>
        <w:rPr>
          <w:rFonts w:eastAsia="Arial" w:cs="Arial"/>
          <w:sz w:val="22"/>
          <w:szCs w:val="22"/>
          <w:lang w:val="es-MX"/>
        </w:rPr>
      </w:pPr>
    </w:p>
    <w:p w14:paraId="1313351F" w14:textId="2E765FB0" w:rsidR="00A8344C" w:rsidRPr="00B710A9" w:rsidRDefault="00A8344C" w:rsidP="00356A3E">
      <w:pPr>
        <w:pStyle w:val="Prrafodelista"/>
        <w:numPr>
          <w:ilvl w:val="0"/>
          <w:numId w:val="62"/>
        </w:numPr>
        <w:suppressAutoHyphens/>
        <w:overflowPunct w:val="0"/>
        <w:autoSpaceDE w:val="0"/>
        <w:spacing w:after="0" w:line="240" w:lineRule="auto"/>
        <w:jc w:val="both"/>
        <w:textAlignment w:val="baseline"/>
        <w:rPr>
          <w:rFonts w:ascii="Arial" w:eastAsia="Arial" w:hAnsi="Arial" w:cs="Arial"/>
          <w:b/>
          <w:sz w:val="22"/>
          <w:szCs w:val="22"/>
          <w:lang w:val="es"/>
        </w:rPr>
      </w:pPr>
      <w:r w:rsidRPr="00B710A9">
        <w:rPr>
          <w:rFonts w:ascii="Arial" w:eastAsia="Arial" w:hAnsi="Arial" w:cs="Arial"/>
          <w:b/>
          <w:sz w:val="22"/>
          <w:szCs w:val="22"/>
          <w:lang w:val="es"/>
        </w:rPr>
        <w:t>RDM:</w:t>
      </w:r>
      <w:r w:rsidRPr="00B710A9">
        <w:rPr>
          <w:rFonts w:ascii="Arial" w:eastAsia="Arial" w:hAnsi="Arial" w:cs="Arial"/>
          <w:sz w:val="22"/>
          <w:szCs w:val="22"/>
          <w:lang w:val="es"/>
        </w:rPr>
        <w:t xml:space="preserve"> En junio 2021 DNP </w:t>
      </w:r>
      <w:r w:rsidRPr="00B710A9">
        <w:rPr>
          <w:rFonts w:ascii="Arial" w:eastAsia="Arial" w:hAnsi="Arial" w:cs="Arial"/>
          <w:sz w:val="22"/>
          <w:szCs w:val="22"/>
          <w:lang w:val="es-MX"/>
        </w:rPr>
        <w:t xml:space="preserve">hace la entrega oficial de los documentos (5 documentos) que componen la arquitectura de alto nivel para “El Repositorio de Datos Maestros” – </w:t>
      </w:r>
      <w:r w:rsidR="008656D7" w:rsidRPr="00B710A9">
        <w:rPr>
          <w:rFonts w:ascii="Arial" w:eastAsia="Arial" w:hAnsi="Arial" w:cs="Arial"/>
          <w:sz w:val="22"/>
          <w:szCs w:val="22"/>
          <w:lang w:val="es-MX"/>
        </w:rPr>
        <w:t>RDM.</w:t>
      </w:r>
    </w:p>
    <w:p w14:paraId="39DBAA4A" w14:textId="77777777" w:rsidR="00821DAB" w:rsidRPr="00B710A9" w:rsidRDefault="00821DAB" w:rsidP="008B4C3C">
      <w:pPr>
        <w:ind w:left="708"/>
        <w:jc w:val="both"/>
        <w:rPr>
          <w:rFonts w:ascii="Arial" w:eastAsia="Arial" w:hAnsi="Arial" w:cs="Arial"/>
          <w:sz w:val="22"/>
          <w:szCs w:val="22"/>
          <w:lang w:val="es-MX"/>
        </w:rPr>
      </w:pPr>
    </w:p>
    <w:p w14:paraId="391FFDC9" w14:textId="026A0F5A" w:rsidR="00A8344C" w:rsidRPr="00B710A9" w:rsidRDefault="00A8344C" w:rsidP="008B4C3C">
      <w:pPr>
        <w:ind w:left="708"/>
        <w:jc w:val="both"/>
        <w:rPr>
          <w:rFonts w:ascii="Arial" w:eastAsia="Arial" w:hAnsi="Arial" w:cs="Arial"/>
          <w:sz w:val="22"/>
          <w:szCs w:val="22"/>
          <w:lang w:val="es"/>
        </w:rPr>
      </w:pPr>
      <w:r w:rsidRPr="00B710A9">
        <w:rPr>
          <w:rFonts w:ascii="Arial" w:eastAsia="Arial" w:hAnsi="Arial" w:cs="Arial"/>
          <w:sz w:val="22"/>
          <w:szCs w:val="22"/>
          <w:lang w:val="es-MX"/>
        </w:rPr>
        <w:t>En enero 2022 inicia el contrato de fábrica de software Indra Colombia S.A.S para el sistema RDM y SINIC y hasta el mes de marzo se llevan a cabo reuniones para que los integrantes de la fábrica tengan un entendimiento claro del negocio catastral, y de los conceptos y definiciones de negocio necesarias para llevar a cabo la implementación del RDM.</w:t>
      </w:r>
      <w:r w:rsidRPr="00B710A9">
        <w:rPr>
          <w:rFonts w:ascii="Arial" w:eastAsia="Arial" w:hAnsi="Arial" w:cs="Arial"/>
          <w:sz w:val="22"/>
          <w:szCs w:val="22"/>
          <w:lang w:val="es"/>
        </w:rPr>
        <w:t xml:space="preserve"> </w:t>
      </w:r>
    </w:p>
    <w:p w14:paraId="161E9F7C" w14:textId="77777777" w:rsidR="00A8344C" w:rsidRPr="00B710A9" w:rsidRDefault="00A8344C" w:rsidP="00A8344C">
      <w:pPr>
        <w:spacing w:line="257" w:lineRule="auto"/>
        <w:ind w:left="708"/>
        <w:jc w:val="both"/>
        <w:rPr>
          <w:rFonts w:ascii="Arial" w:eastAsia="Arial" w:hAnsi="Arial" w:cs="Arial"/>
          <w:sz w:val="22"/>
          <w:szCs w:val="22"/>
          <w:lang w:val="es"/>
        </w:rPr>
      </w:pPr>
      <w:r w:rsidRPr="00B710A9">
        <w:rPr>
          <w:rFonts w:ascii="Arial" w:eastAsia="Arial" w:hAnsi="Arial" w:cs="Arial"/>
          <w:sz w:val="22"/>
          <w:szCs w:val="22"/>
          <w:lang w:val="es"/>
        </w:rPr>
        <w:t xml:space="preserve">En marzo, se inicia el levantamiento de los requerimientos que permiten al RDM integrar información catastral y registral. Al mes de abril los requerimientos se encuentran para aprobación por parte de SNR e IGAC.  Así mismo, se cuenta con un documento que plasma la arquitectura técnica propuesta por la fábrica de software encargada del desarrollo del RDM y se socializa al equipo técnico del IGAC. </w:t>
      </w:r>
    </w:p>
    <w:p w14:paraId="3511C00D" w14:textId="77777777" w:rsidR="00A8344C" w:rsidRPr="00B710A9" w:rsidRDefault="00A8344C" w:rsidP="00A8344C">
      <w:pPr>
        <w:spacing w:line="257" w:lineRule="auto"/>
        <w:ind w:left="708"/>
        <w:jc w:val="both"/>
        <w:rPr>
          <w:rFonts w:ascii="Arial" w:eastAsia="Arial" w:hAnsi="Arial" w:cs="Arial"/>
          <w:sz w:val="22"/>
          <w:szCs w:val="22"/>
          <w:lang w:val="es"/>
        </w:rPr>
      </w:pPr>
      <w:r w:rsidRPr="00B710A9">
        <w:rPr>
          <w:rFonts w:ascii="Arial" w:eastAsia="Arial" w:hAnsi="Arial" w:cs="Arial"/>
          <w:sz w:val="22"/>
          <w:szCs w:val="22"/>
          <w:lang w:val="es"/>
        </w:rPr>
        <w:t>Durante el mes de abril 2022, se solicita y aprovisiona la infraestructura para los ambientes de desarrollo y calidad de acuerdo al análisis de dimensionamiento efectuado. Con esta infraestructura se inicia el proceso de desarrollo que involucra la integración inicial (primer momento) de datos catastrales y registrales. La SNR ya entregó a IGAC archivos de prueba en formato XTF para propósitos de probar la integración registral y catastral cercana al tiempo real mediante servicios que deben consumir las entidades participantes (SNR.IGAC, Gestores Catastrales).</w:t>
      </w:r>
    </w:p>
    <w:p w14:paraId="2515FD88" w14:textId="660FC97F" w:rsidR="00A8344C" w:rsidRPr="00B710A9" w:rsidRDefault="00A8344C" w:rsidP="00A8344C">
      <w:pPr>
        <w:spacing w:line="257" w:lineRule="auto"/>
        <w:ind w:left="708"/>
        <w:jc w:val="both"/>
        <w:rPr>
          <w:rFonts w:ascii="Arial" w:eastAsia="Arial" w:hAnsi="Arial" w:cs="Arial"/>
          <w:sz w:val="22"/>
          <w:szCs w:val="22"/>
          <w:lang w:val="es"/>
        </w:rPr>
      </w:pPr>
      <w:r w:rsidRPr="00B710A9">
        <w:rPr>
          <w:rFonts w:ascii="Arial" w:eastAsia="Arial" w:hAnsi="Arial" w:cs="Arial"/>
          <w:sz w:val="22"/>
          <w:szCs w:val="22"/>
          <w:lang w:val="es"/>
        </w:rPr>
        <w:t>Durante el mes de mayo se llevan a cabo los desarrollos para integrar la información base catastral y registral, Se realiza la primera prueba de los componentes de integración utilizando archivos enviados por SNR e IGAC. Los resultados de estas primeras pruebas son satisfactorios en la integración. Durante el mes de junio se avanza en la generación y almacenamiento de los datos de control asociados a los cargues de información catastral y registral, archivos de registro de eventos de validaciones de carga y la configuración de un tablero de control que apoya la comparación de la información registral y catastral.</w:t>
      </w:r>
    </w:p>
    <w:p w14:paraId="0136BF3A" w14:textId="77777777" w:rsidR="00A8344C" w:rsidRPr="00B710A9" w:rsidRDefault="00A8344C" w:rsidP="00A8344C">
      <w:pPr>
        <w:spacing w:line="257" w:lineRule="auto"/>
        <w:ind w:left="708"/>
        <w:jc w:val="both"/>
        <w:rPr>
          <w:rFonts w:ascii="Arial" w:eastAsia="Arial" w:hAnsi="Arial" w:cs="Arial"/>
          <w:sz w:val="22"/>
          <w:szCs w:val="22"/>
          <w:lang w:val="es"/>
        </w:rPr>
      </w:pPr>
      <w:r w:rsidRPr="00B710A9">
        <w:rPr>
          <w:rFonts w:ascii="Arial" w:eastAsia="Arial" w:hAnsi="Arial" w:cs="Arial"/>
          <w:sz w:val="22"/>
          <w:szCs w:val="22"/>
          <w:lang w:val="es"/>
        </w:rPr>
        <w:t xml:space="preserve">Respecto al RDM se llevó a cabo los desarrollos y pruebas para integrar la información base catastral y registral </w:t>
      </w:r>
    </w:p>
    <w:p w14:paraId="7FCF2B3E" w14:textId="53C24BC2" w:rsidR="00A8344C" w:rsidRPr="00B710A9" w:rsidRDefault="00A8344C" w:rsidP="00356A3E">
      <w:pPr>
        <w:pStyle w:val="Prrafodelista"/>
        <w:numPr>
          <w:ilvl w:val="0"/>
          <w:numId w:val="61"/>
        </w:numPr>
        <w:suppressAutoHyphens/>
        <w:overflowPunct w:val="0"/>
        <w:autoSpaceDE w:val="0"/>
        <w:spacing w:after="0" w:line="240" w:lineRule="auto"/>
        <w:jc w:val="both"/>
        <w:textAlignment w:val="baseline"/>
        <w:rPr>
          <w:rFonts w:ascii="Arial" w:eastAsia="Arial" w:hAnsi="Arial" w:cs="Arial"/>
          <w:sz w:val="22"/>
          <w:szCs w:val="22"/>
        </w:rPr>
      </w:pPr>
      <w:r w:rsidRPr="00B710A9">
        <w:rPr>
          <w:rFonts w:ascii="Arial" w:eastAsia="Arial" w:hAnsi="Arial" w:cs="Arial"/>
          <w:b/>
          <w:sz w:val="22"/>
          <w:szCs w:val="22"/>
          <w:lang w:val="es"/>
        </w:rPr>
        <w:lastRenderedPageBreak/>
        <w:t xml:space="preserve">Nuevo SNC: </w:t>
      </w:r>
      <w:r w:rsidRPr="00B710A9">
        <w:rPr>
          <w:rFonts w:ascii="Arial" w:eastAsia="Arial" w:hAnsi="Arial" w:cs="Arial"/>
          <w:color w:val="000000"/>
          <w:sz w:val="22"/>
          <w:szCs w:val="22"/>
          <w:shd w:val="clear" w:color="auto" w:fill="FFFFFF"/>
        </w:rPr>
        <w:t>Se</w:t>
      </w:r>
      <w:r w:rsidRPr="00B710A9">
        <w:rPr>
          <w:rFonts w:ascii="Arial" w:eastAsia="Arial" w:hAnsi="Arial" w:cs="Arial"/>
          <w:color w:val="000000"/>
          <w:sz w:val="22"/>
          <w:szCs w:val="22"/>
          <w:bdr w:val="none" w:sz="0" w:space="0" w:color="auto" w:frame="1"/>
          <w:shd w:val="clear" w:color="auto" w:fill="FFFFFF"/>
        </w:rPr>
        <w:t> </w:t>
      </w:r>
      <w:r w:rsidRPr="00B710A9">
        <w:rPr>
          <w:rFonts w:ascii="Arial" w:eastAsia="Arial" w:hAnsi="Arial" w:cs="Arial"/>
          <w:color w:val="000000"/>
          <w:sz w:val="22"/>
          <w:szCs w:val="22"/>
          <w:shd w:val="clear" w:color="auto" w:fill="FFFFFF"/>
        </w:rPr>
        <w:t>avanzó en el proceso de levantamiento de épicas e historias de usuario para incluir nuevas funcionabilidades y/o mejoras al Sistema Nacional Catastral SNC. Se dio inicio a la ejecución del contrato suscrito con la empresa INDRA S.A.S, para la prestación de servicios de fábrica de software para el nuevo SNC, se llevaron a cabo</w:t>
      </w:r>
      <w:r w:rsidRPr="00B710A9">
        <w:rPr>
          <w:rFonts w:ascii="Arial" w:eastAsia="Arial" w:hAnsi="Arial" w:cs="Arial"/>
          <w:color w:val="000000"/>
          <w:sz w:val="22"/>
          <w:szCs w:val="22"/>
          <w:bdr w:val="none" w:sz="0" w:space="0" w:color="auto" w:frame="1"/>
          <w:shd w:val="clear" w:color="auto" w:fill="FFFFFF"/>
        </w:rPr>
        <w:t>  </w:t>
      </w:r>
      <w:r w:rsidRPr="00B710A9">
        <w:rPr>
          <w:rFonts w:ascii="Arial" w:eastAsia="Arial" w:hAnsi="Arial" w:cs="Arial"/>
          <w:color w:val="000000"/>
          <w:sz w:val="22"/>
          <w:szCs w:val="22"/>
          <w:shd w:val="clear" w:color="auto" w:fill="FFFFFF"/>
        </w:rPr>
        <w:t>reuniones de planificación, transferencia de conocimiento para el entendimiento del negocio y socialización de los ajustes que se harán de manera prioritaria</w:t>
      </w:r>
      <w:r w:rsidRPr="00B710A9">
        <w:rPr>
          <w:rFonts w:ascii="Arial" w:eastAsia="Arial" w:hAnsi="Arial" w:cs="Arial"/>
          <w:color w:val="000000"/>
          <w:sz w:val="22"/>
          <w:szCs w:val="22"/>
          <w:bdr w:val="none" w:sz="0" w:space="0" w:color="auto" w:frame="1"/>
          <w:shd w:val="clear" w:color="auto" w:fill="FFFFFF"/>
        </w:rPr>
        <w:t>  </w:t>
      </w:r>
      <w:r w:rsidRPr="00B710A9">
        <w:rPr>
          <w:rFonts w:ascii="Arial" w:eastAsia="Arial" w:hAnsi="Arial" w:cs="Arial"/>
          <w:color w:val="000000"/>
          <w:sz w:val="22"/>
          <w:szCs w:val="22"/>
          <w:shd w:val="clear" w:color="auto" w:fill="FFFFFF"/>
        </w:rPr>
        <w:t>al SNC (Implementación de Modelo Económico y Avaluó, los ajustes y mejoras del visor Geográfico), se realizó la definición de los subprocesos (Radicación, Asignación, Ejecución, y Validación), priorizando el subproceso</w:t>
      </w:r>
      <w:r w:rsidRPr="00B710A9">
        <w:rPr>
          <w:rFonts w:ascii="Arial" w:eastAsia="Arial" w:hAnsi="Arial" w:cs="Arial"/>
          <w:color w:val="000000"/>
          <w:sz w:val="22"/>
          <w:szCs w:val="22"/>
          <w:bdr w:val="none" w:sz="0" w:space="0" w:color="auto" w:frame="1"/>
          <w:shd w:val="clear" w:color="auto" w:fill="FFFFFF"/>
        </w:rPr>
        <w:t>  </w:t>
      </w:r>
      <w:r w:rsidRPr="00B710A9">
        <w:rPr>
          <w:rFonts w:ascii="Arial" w:eastAsia="Arial" w:hAnsi="Arial" w:cs="Arial"/>
          <w:color w:val="000000"/>
          <w:sz w:val="22"/>
          <w:szCs w:val="22"/>
          <w:shd w:val="clear" w:color="auto" w:fill="FFFFFF"/>
        </w:rPr>
        <w:t>de Radicación los cuales están asociados al proceso de conservación por mutación de primera y segunda, actualmente se encuentra en levantamientos de requerimientos y diseño de pantallas de interfaz de usuario y desarrollo de</w:t>
      </w:r>
      <w:r w:rsidRPr="00B710A9">
        <w:rPr>
          <w:rFonts w:ascii="Arial" w:eastAsia="Arial" w:hAnsi="Arial" w:cs="Arial"/>
          <w:color w:val="000000"/>
          <w:sz w:val="22"/>
          <w:szCs w:val="22"/>
          <w:bdr w:val="none" w:sz="0" w:space="0" w:color="auto" w:frame="1"/>
          <w:shd w:val="clear" w:color="auto" w:fill="FFFFFF"/>
        </w:rPr>
        <w:t>  </w:t>
      </w:r>
      <w:proofErr w:type="spellStart"/>
      <w:r w:rsidRPr="00B710A9">
        <w:rPr>
          <w:rFonts w:ascii="Arial" w:eastAsia="Arial" w:hAnsi="Arial" w:cs="Arial"/>
          <w:color w:val="000000"/>
          <w:sz w:val="22"/>
          <w:szCs w:val="22"/>
          <w:shd w:val="clear" w:color="auto" w:fill="FFFFFF"/>
        </w:rPr>
        <w:t>frontend</w:t>
      </w:r>
      <w:proofErr w:type="spellEnd"/>
      <w:r w:rsidRPr="00B710A9">
        <w:rPr>
          <w:rFonts w:ascii="Arial" w:eastAsia="Arial" w:hAnsi="Arial" w:cs="Arial"/>
          <w:color w:val="000000"/>
          <w:sz w:val="22"/>
          <w:szCs w:val="22"/>
          <w:shd w:val="clear" w:color="auto" w:fill="FFFFFF"/>
        </w:rPr>
        <w:t xml:space="preserve"> de pantallas. De igual manera, en el marco del contrato con la fábrica de software con relación al actual SNC, se realizó la priorización de necesidades de desarrollo y definición de los requerimientos en críticos, altos, medios, y bajos de necesidades de desarrollo los cuales se encuentran en proceso evolutivos de especificaciones y análisis de requerimientos  </w:t>
      </w:r>
    </w:p>
    <w:p w14:paraId="49BAECE9" w14:textId="77777777" w:rsidR="00A8344C" w:rsidRPr="00B710A9" w:rsidRDefault="00A8344C" w:rsidP="00A8344C">
      <w:pPr>
        <w:pStyle w:val="Lista"/>
        <w:rPr>
          <w:rFonts w:eastAsia="Arial" w:cs="Arial"/>
          <w:sz w:val="22"/>
          <w:szCs w:val="22"/>
        </w:rPr>
      </w:pPr>
    </w:p>
    <w:p w14:paraId="231F80C9" w14:textId="5FE128D7" w:rsidR="00A8344C" w:rsidRPr="00B710A9" w:rsidRDefault="00A8344C" w:rsidP="00356A3E">
      <w:pPr>
        <w:pStyle w:val="Prrafodelista"/>
        <w:numPr>
          <w:ilvl w:val="0"/>
          <w:numId w:val="53"/>
        </w:numPr>
        <w:suppressAutoHyphens/>
        <w:overflowPunct w:val="0"/>
        <w:autoSpaceDE w:val="0"/>
        <w:spacing w:after="0" w:line="240" w:lineRule="auto"/>
        <w:jc w:val="both"/>
        <w:textAlignment w:val="baseline"/>
        <w:rPr>
          <w:rFonts w:ascii="Arial" w:eastAsia="Arial" w:hAnsi="Arial" w:cs="Arial"/>
          <w:sz w:val="22"/>
          <w:szCs w:val="22"/>
          <w:lang w:val="es-MX"/>
        </w:rPr>
      </w:pPr>
      <w:r w:rsidRPr="00B710A9">
        <w:rPr>
          <w:rFonts w:ascii="Arial" w:eastAsia="Arial" w:hAnsi="Arial" w:cs="Arial"/>
          <w:b/>
          <w:sz w:val="22"/>
          <w:szCs w:val="22"/>
          <w:lang w:val="es"/>
        </w:rPr>
        <w:t xml:space="preserve">Arquitectura Alto Nivel RDM-SINIC: DNP </w:t>
      </w:r>
      <w:r w:rsidRPr="00B710A9">
        <w:rPr>
          <w:rFonts w:ascii="Arial" w:eastAsia="Arial" w:hAnsi="Arial" w:cs="Arial"/>
          <w:sz w:val="22"/>
          <w:szCs w:val="22"/>
          <w:lang w:val="es-MX"/>
        </w:rPr>
        <w:t>hace la entrega oficial de los documentos de arquitectura (5 documentos), dichos documentos componen la arquitectura de alto nivel para “El Repositorio de Datos Maestros” – RDM y el SINIC.</w:t>
      </w:r>
    </w:p>
    <w:p w14:paraId="0A9C6634" w14:textId="77777777" w:rsidR="00A8344C" w:rsidRPr="00B710A9" w:rsidRDefault="00A8344C" w:rsidP="00A8344C">
      <w:pPr>
        <w:pStyle w:val="Lista"/>
        <w:rPr>
          <w:rFonts w:eastAsia="Arial" w:cs="Arial"/>
          <w:sz w:val="22"/>
          <w:szCs w:val="22"/>
          <w:lang w:val="es-MX"/>
        </w:rPr>
      </w:pPr>
    </w:p>
    <w:p w14:paraId="2D09A1CC" w14:textId="77777777" w:rsidR="00A8344C" w:rsidRPr="00B710A9" w:rsidRDefault="00A8344C" w:rsidP="00356A3E">
      <w:pPr>
        <w:pStyle w:val="Prrafodelista"/>
        <w:numPr>
          <w:ilvl w:val="0"/>
          <w:numId w:val="53"/>
        </w:numPr>
        <w:suppressAutoHyphens/>
        <w:overflowPunct w:val="0"/>
        <w:autoSpaceDE w:val="0"/>
        <w:spacing w:after="0" w:line="240" w:lineRule="auto"/>
        <w:jc w:val="both"/>
        <w:textAlignment w:val="baseline"/>
        <w:rPr>
          <w:rFonts w:ascii="Arial" w:eastAsia="Arial" w:hAnsi="Arial" w:cs="Arial"/>
          <w:sz w:val="22"/>
          <w:szCs w:val="22"/>
          <w:lang w:val="es-MX"/>
        </w:rPr>
      </w:pPr>
      <w:r w:rsidRPr="00B710A9">
        <w:rPr>
          <w:rFonts w:ascii="Arial" w:eastAsia="Arial" w:hAnsi="Arial" w:cs="Arial"/>
          <w:b/>
          <w:sz w:val="22"/>
          <w:szCs w:val="22"/>
          <w:lang w:val="es-MX"/>
        </w:rPr>
        <w:t>Levantamiento Épicas SNC:</w:t>
      </w:r>
      <w:r w:rsidRPr="00B710A9">
        <w:rPr>
          <w:rFonts w:ascii="Arial" w:eastAsia="Arial" w:hAnsi="Arial" w:cs="Arial"/>
          <w:sz w:val="22"/>
          <w:szCs w:val="22"/>
          <w:lang w:val="es-MX"/>
        </w:rPr>
        <w:t xml:space="preserve"> Se avanzó en el proceso de levantamiento de Épicas e historias de usuario para incluir nuevas funcionalidades y/o mejoras al Sistema Nacional Catastral SNC.</w:t>
      </w:r>
    </w:p>
    <w:p w14:paraId="6590DED5" w14:textId="77777777" w:rsidR="00A8344C" w:rsidRPr="00B710A9" w:rsidRDefault="00A8344C" w:rsidP="00A8344C">
      <w:pPr>
        <w:pStyle w:val="Lista"/>
        <w:rPr>
          <w:rFonts w:eastAsia="Arial" w:cs="Arial"/>
          <w:sz w:val="22"/>
          <w:szCs w:val="22"/>
          <w:lang w:val="es-MX"/>
        </w:rPr>
      </w:pPr>
    </w:p>
    <w:p w14:paraId="01C1756A" w14:textId="02DEA320" w:rsidR="00A8344C" w:rsidRPr="00B710A9" w:rsidRDefault="00A8344C" w:rsidP="00356A3E">
      <w:pPr>
        <w:pStyle w:val="Prrafodelista"/>
        <w:numPr>
          <w:ilvl w:val="0"/>
          <w:numId w:val="60"/>
        </w:numPr>
        <w:suppressAutoHyphens/>
        <w:overflowPunct w:val="0"/>
        <w:autoSpaceDE w:val="0"/>
        <w:spacing w:after="0" w:line="240" w:lineRule="auto"/>
        <w:jc w:val="both"/>
        <w:textAlignment w:val="baseline"/>
        <w:rPr>
          <w:rFonts w:ascii="Arial" w:eastAsia="Arial" w:hAnsi="Arial" w:cs="Arial"/>
          <w:sz w:val="22"/>
          <w:szCs w:val="22"/>
          <w:lang w:val="es"/>
        </w:rPr>
      </w:pPr>
      <w:r w:rsidRPr="00B710A9">
        <w:rPr>
          <w:rFonts w:ascii="Arial" w:eastAsia="Arial" w:hAnsi="Arial" w:cs="Arial"/>
          <w:b/>
          <w:sz w:val="22"/>
          <w:szCs w:val="22"/>
        </w:rPr>
        <w:t>Migración COBOL a SNC:</w:t>
      </w:r>
      <w:r w:rsidRPr="00B710A9">
        <w:rPr>
          <w:rFonts w:ascii="Arial" w:eastAsia="Arial" w:hAnsi="Arial" w:cs="Arial"/>
          <w:sz w:val="22"/>
          <w:szCs w:val="22"/>
        </w:rPr>
        <w:t xml:space="preserve"> </w:t>
      </w:r>
      <w:r w:rsidRPr="00B710A9">
        <w:rPr>
          <w:rFonts w:ascii="Arial" w:eastAsia="Arial" w:hAnsi="Arial" w:cs="Arial"/>
          <w:sz w:val="22"/>
          <w:szCs w:val="22"/>
          <w:lang w:val="es"/>
        </w:rPr>
        <w:t xml:space="preserve">Antes de la vigencia 2020 se realizó la migración de las territoriales </w:t>
      </w:r>
      <w:r w:rsidR="00153815" w:rsidRPr="00B710A9">
        <w:rPr>
          <w:rFonts w:ascii="Arial" w:eastAsia="Arial" w:hAnsi="Arial" w:cs="Arial"/>
          <w:sz w:val="22"/>
          <w:szCs w:val="22"/>
          <w:lang w:val="es"/>
        </w:rPr>
        <w:t>de Atlántico</w:t>
      </w:r>
      <w:r w:rsidRPr="00B710A9">
        <w:rPr>
          <w:rFonts w:ascii="Arial" w:eastAsia="Arial" w:hAnsi="Arial" w:cs="Arial"/>
          <w:sz w:val="22"/>
          <w:szCs w:val="22"/>
          <w:lang w:val="es"/>
        </w:rPr>
        <w:t xml:space="preserve">, Caldas, Caquetá, Casanare, Córdoba, Cundinamarca, Huila, </w:t>
      </w:r>
      <w:r w:rsidR="00110738" w:rsidRPr="00B710A9">
        <w:rPr>
          <w:rFonts w:ascii="Arial" w:eastAsia="Arial" w:hAnsi="Arial" w:cs="Arial"/>
          <w:sz w:val="22"/>
          <w:szCs w:val="22"/>
          <w:lang w:val="es"/>
        </w:rPr>
        <w:t>Quindío</w:t>
      </w:r>
      <w:r w:rsidRPr="00B710A9">
        <w:rPr>
          <w:rFonts w:ascii="Arial" w:eastAsia="Arial" w:hAnsi="Arial" w:cs="Arial"/>
          <w:sz w:val="22"/>
          <w:szCs w:val="22"/>
          <w:lang w:val="es"/>
        </w:rPr>
        <w:t xml:space="preserve">, </w:t>
      </w:r>
      <w:r w:rsidR="00153815" w:rsidRPr="00B710A9">
        <w:rPr>
          <w:rFonts w:ascii="Arial" w:eastAsia="Arial" w:hAnsi="Arial" w:cs="Arial"/>
          <w:sz w:val="22"/>
          <w:szCs w:val="22"/>
          <w:lang w:val="es"/>
        </w:rPr>
        <w:t>Sucre. Durante</w:t>
      </w:r>
      <w:r w:rsidRPr="00B710A9">
        <w:rPr>
          <w:rFonts w:ascii="Arial" w:eastAsia="Arial" w:hAnsi="Arial" w:cs="Arial"/>
          <w:sz w:val="22"/>
          <w:szCs w:val="22"/>
          <w:lang w:val="es"/>
        </w:rPr>
        <w:t xml:space="preserve"> la vigencia 2021 y de acuerdo con el cronograma establecido para dicha </w:t>
      </w:r>
      <w:r w:rsidR="00153815" w:rsidRPr="00B710A9">
        <w:rPr>
          <w:rFonts w:ascii="Arial" w:eastAsia="Arial" w:hAnsi="Arial" w:cs="Arial"/>
          <w:sz w:val="22"/>
          <w:szCs w:val="22"/>
          <w:lang w:val="es"/>
        </w:rPr>
        <w:t>vigencia, se</w:t>
      </w:r>
      <w:r w:rsidRPr="00B710A9">
        <w:rPr>
          <w:rFonts w:ascii="Arial" w:eastAsia="Arial" w:hAnsi="Arial" w:cs="Arial"/>
          <w:sz w:val="22"/>
          <w:szCs w:val="22"/>
          <w:lang w:val="es"/>
        </w:rPr>
        <w:t xml:space="preserve"> cumplió el 100% </w:t>
      </w:r>
      <w:r w:rsidR="00153815" w:rsidRPr="00B710A9">
        <w:rPr>
          <w:rFonts w:ascii="Arial" w:eastAsia="Arial" w:hAnsi="Arial" w:cs="Arial"/>
          <w:sz w:val="22"/>
          <w:szCs w:val="22"/>
          <w:lang w:val="es"/>
        </w:rPr>
        <w:t>de la</w:t>
      </w:r>
      <w:r w:rsidRPr="00B710A9">
        <w:rPr>
          <w:rFonts w:ascii="Arial" w:eastAsia="Arial" w:hAnsi="Arial" w:cs="Arial"/>
          <w:sz w:val="22"/>
          <w:szCs w:val="22"/>
          <w:lang w:val="es"/>
        </w:rPr>
        <w:t xml:space="preserve">   ejecución </w:t>
      </w:r>
      <w:r w:rsidR="00153815" w:rsidRPr="00B710A9">
        <w:rPr>
          <w:rFonts w:ascii="Arial" w:eastAsia="Arial" w:hAnsi="Arial" w:cs="Arial"/>
          <w:sz w:val="22"/>
          <w:szCs w:val="22"/>
          <w:lang w:val="es"/>
        </w:rPr>
        <w:t>del cronograma</w:t>
      </w:r>
      <w:r w:rsidRPr="00B710A9">
        <w:rPr>
          <w:rFonts w:ascii="Arial" w:eastAsia="Arial" w:hAnsi="Arial" w:cs="Arial"/>
          <w:sz w:val="22"/>
          <w:szCs w:val="22"/>
          <w:lang w:val="es"/>
        </w:rPr>
        <w:t xml:space="preserve"> </w:t>
      </w:r>
      <w:r w:rsidR="00153815" w:rsidRPr="00B710A9">
        <w:rPr>
          <w:rFonts w:ascii="Arial" w:eastAsia="Arial" w:hAnsi="Arial" w:cs="Arial"/>
          <w:sz w:val="22"/>
          <w:szCs w:val="22"/>
          <w:lang w:val="es"/>
        </w:rPr>
        <w:t>con la</w:t>
      </w:r>
      <w:r w:rsidRPr="00B710A9">
        <w:rPr>
          <w:rFonts w:ascii="Arial" w:eastAsia="Arial" w:hAnsi="Arial" w:cs="Arial"/>
          <w:sz w:val="22"/>
          <w:szCs w:val="22"/>
          <w:lang w:val="es"/>
        </w:rPr>
        <w:t xml:space="preserve"> migración   </w:t>
      </w:r>
      <w:r w:rsidR="00153815" w:rsidRPr="00B710A9">
        <w:rPr>
          <w:rFonts w:ascii="Arial" w:eastAsia="Arial" w:hAnsi="Arial" w:cs="Arial"/>
          <w:sz w:val="22"/>
          <w:szCs w:val="22"/>
          <w:lang w:val="es"/>
        </w:rPr>
        <w:t>de las</w:t>
      </w:r>
      <w:r w:rsidRPr="00B710A9">
        <w:rPr>
          <w:rFonts w:ascii="Arial" w:eastAsia="Arial" w:hAnsi="Arial" w:cs="Arial"/>
          <w:sz w:val="22"/>
          <w:szCs w:val="22"/>
          <w:lang w:val="es"/>
        </w:rPr>
        <w:t xml:space="preserve"> territoriales de </w:t>
      </w:r>
      <w:r w:rsidR="00153815" w:rsidRPr="00B710A9">
        <w:rPr>
          <w:rFonts w:ascii="Arial" w:eastAsia="Arial" w:hAnsi="Arial" w:cs="Arial"/>
          <w:sz w:val="22"/>
          <w:szCs w:val="22"/>
          <w:lang w:val="es"/>
        </w:rPr>
        <w:t>Bolívar</w:t>
      </w:r>
      <w:r w:rsidRPr="00B710A9">
        <w:rPr>
          <w:rFonts w:ascii="Arial" w:eastAsia="Arial" w:hAnsi="Arial" w:cs="Arial"/>
          <w:sz w:val="22"/>
          <w:szCs w:val="22"/>
          <w:lang w:val="es"/>
        </w:rPr>
        <w:t xml:space="preserve">, Boyacá (Se migraron 122 de 123 municipios), Cauca </w:t>
      </w:r>
      <w:r w:rsidR="00153815" w:rsidRPr="00B710A9">
        <w:rPr>
          <w:rFonts w:ascii="Arial" w:eastAsia="Arial" w:hAnsi="Arial" w:cs="Arial"/>
          <w:sz w:val="22"/>
          <w:szCs w:val="22"/>
          <w:lang w:val="es"/>
        </w:rPr>
        <w:t>(Se</w:t>
      </w:r>
      <w:r w:rsidRPr="00B710A9">
        <w:rPr>
          <w:rFonts w:ascii="Arial" w:eastAsia="Arial" w:hAnsi="Arial" w:cs="Arial"/>
          <w:sz w:val="22"/>
          <w:szCs w:val="22"/>
          <w:lang w:val="es"/>
        </w:rPr>
        <w:t xml:space="preserve"> migraron 40 de 42 municipios) Meta, Tolima y </w:t>
      </w:r>
      <w:r w:rsidR="00153815" w:rsidRPr="00B710A9">
        <w:rPr>
          <w:rFonts w:ascii="Arial" w:eastAsia="Arial" w:hAnsi="Arial" w:cs="Arial"/>
          <w:sz w:val="22"/>
          <w:szCs w:val="22"/>
          <w:lang w:val="es"/>
        </w:rPr>
        <w:t>Boyacá (</w:t>
      </w:r>
      <w:r w:rsidRPr="00B710A9">
        <w:rPr>
          <w:rFonts w:ascii="Arial" w:eastAsia="Arial" w:hAnsi="Arial" w:cs="Arial"/>
          <w:sz w:val="22"/>
          <w:szCs w:val="22"/>
          <w:lang w:val="es"/>
        </w:rPr>
        <w:t>Se migraron 122 de 123 municipios). Quedando pendiente las territoriales de Cesar, Risaralda, Guajira, Valle del Cauca, Magdalena, Nariño, Norte de Santander y Santander, las cuales durante la vigencia 2022 se migraron en su totalidad. Contando con un avance total del 100% respecto la migración de la información catastral de la plataforma COBOL al Sistema Nacional Catastral.</w:t>
      </w:r>
    </w:p>
    <w:p w14:paraId="75C2036D" w14:textId="77777777" w:rsidR="00A8344C" w:rsidRPr="00B710A9" w:rsidRDefault="00A8344C" w:rsidP="00A8344C">
      <w:pPr>
        <w:pStyle w:val="Lista"/>
        <w:rPr>
          <w:rFonts w:eastAsia="Arial" w:cs="Arial"/>
          <w:sz w:val="22"/>
          <w:szCs w:val="22"/>
          <w:lang w:val="es"/>
        </w:rPr>
      </w:pPr>
    </w:p>
    <w:p w14:paraId="2F0A54FA" w14:textId="77777777" w:rsidR="00A8344C" w:rsidRPr="00B710A9" w:rsidRDefault="00A8344C" w:rsidP="00356A3E">
      <w:pPr>
        <w:pStyle w:val="Prrafodelista"/>
        <w:numPr>
          <w:ilvl w:val="0"/>
          <w:numId w:val="53"/>
        </w:numPr>
        <w:suppressAutoHyphens/>
        <w:overflowPunct w:val="0"/>
        <w:autoSpaceDE w:val="0"/>
        <w:spacing w:after="0" w:line="240" w:lineRule="auto"/>
        <w:jc w:val="both"/>
        <w:textAlignment w:val="baseline"/>
        <w:rPr>
          <w:rFonts w:ascii="Arial" w:eastAsia="Arial" w:hAnsi="Arial" w:cs="Arial"/>
          <w:sz w:val="22"/>
          <w:szCs w:val="22"/>
          <w:lang w:val="es-MX"/>
        </w:rPr>
      </w:pPr>
      <w:r w:rsidRPr="00B710A9">
        <w:rPr>
          <w:rFonts w:ascii="Arial" w:eastAsia="Arial" w:hAnsi="Arial" w:cs="Arial"/>
          <w:b/>
          <w:sz w:val="22"/>
          <w:szCs w:val="22"/>
        </w:rPr>
        <w:t>Implementación de Carpeta Ciudadana:</w:t>
      </w:r>
      <w:r w:rsidRPr="00B710A9">
        <w:rPr>
          <w:rFonts w:ascii="Arial" w:eastAsia="Arial" w:hAnsi="Arial" w:cs="Arial"/>
          <w:sz w:val="22"/>
          <w:szCs w:val="22"/>
        </w:rPr>
        <w:t xml:space="preserve"> Ser </w:t>
      </w:r>
      <w:r w:rsidRPr="00B710A9">
        <w:rPr>
          <w:rFonts w:ascii="Arial" w:eastAsia="Arial" w:hAnsi="Arial" w:cs="Arial"/>
          <w:sz w:val="22"/>
          <w:szCs w:val="22"/>
          <w:lang w:val="es-MX"/>
        </w:rPr>
        <w:t>líder del estado colombiano en la implementación de servicios ciudadanos digitales “Carpeta Ciudadana” utilizando la plataforma de intercambio de información definida por el Ministerio TIC de nombre XROAD y la implementación del estándar de servicio de autenticación.</w:t>
      </w:r>
    </w:p>
    <w:p w14:paraId="3A6AC646" w14:textId="77777777" w:rsidR="00A8344C" w:rsidRPr="00B710A9" w:rsidRDefault="00A8344C" w:rsidP="00A8344C">
      <w:pPr>
        <w:pStyle w:val="Lista"/>
        <w:rPr>
          <w:rFonts w:eastAsia="Arial" w:cs="Arial"/>
          <w:sz w:val="22"/>
          <w:szCs w:val="22"/>
          <w:lang w:val="es-MX"/>
        </w:rPr>
      </w:pPr>
    </w:p>
    <w:p w14:paraId="2D4541E6" w14:textId="77777777" w:rsidR="00A8344C" w:rsidRPr="00B710A9" w:rsidRDefault="00A8344C" w:rsidP="00356A3E">
      <w:pPr>
        <w:pStyle w:val="Prrafodelista"/>
        <w:numPr>
          <w:ilvl w:val="0"/>
          <w:numId w:val="53"/>
        </w:numPr>
        <w:suppressAutoHyphens/>
        <w:overflowPunct w:val="0"/>
        <w:autoSpaceDE w:val="0"/>
        <w:spacing w:after="0" w:line="240" w:lineRule="auto"/>
        <w:jc w:val="both"/>
        <w:textAlignment w:val="baseline"/>
        <w:rPr>
          <w:rFonts w:ascii="Arial" w:eastAsia="Arial" w:hAnsi="Arial" w:cs="Arial"/>
          <w:sz w:val="22"/>
          <w:szCs w:val="22"/>
          <w:lang w:val="es-MX"/>
        </w:rPr>
      </w:pPr>
      <w:r w:rsidRPr="00B710A9">
        <w:rPr>
          <w:rFonts w:ascii="Arial" w:eastAsia="Arial" w:hAnsi="Arial" w:cs="Arial"/>
          <w:b/>
          <w:sz w:val="22"/>
          <w:szCs w:val="22"/>
        </w:rPr>
        <w:t>Fortalecimiento de Soporte Técnico</w:t>
      </w:r>
      <w:r w:rsidRPr="00B710A9">
        <w:rPr>
          <w:rFonts w:ascii="Arial" w:eastAsia="Arial" w:hAnsi="Arial" w:cs="Arial"/>
          <w:b/>
          <w:sz w:val="22"/>
          <w:szCs w:val="22"/>
          <w:lang w:val="es"/>
        </w:rPr>
        <w:t xml:space="preserve">: </w:t>
      </w:r>
      <w:r w:rsidRPr="00B710A9">
        <w:rPr>
          <w:rFonts w:ascii="Arial" w:eastAsia="Arial" w:hAnsi="Arial" w:cs="Arial"/>
          <w:sz w:val="22"/>
          <w:szCs w:val="22"/>
          <w:lang w:val="es"/>
        </w:rPr>
        <w:t xml:space="preserve">Contribuir con </w:t>
      </w:r>
      <w:r w:rsidRPr="00B710A9">
        <w:rPr>
          <w:rFonts w:ascii="Arial" w:eastAsia="Arial" w:hAnsi="Arial" w:cs="Arial"/>
          <w:sz w:val="22"/>
          <w:szCs w:val="22"/>
          <w:lang w:val="es-MX"/>
        </w:rPr>
        <w:t>la operación de la Entidad mediante el desarrollo de servicios de soporte técnico a las plataformas de sistemas de información, dichos soportes van desde el atender casos de capacitación y parametrización de los diferentes sistemas, hasta la modificación de funcionalidades y mejoras a los sistemas que se encuentran en operación (SNC, CICA, VIVI, SIGAC y el ERP).</w:t>
      </w:r>
    </w:p>
    <w:p w14:paraId="54FDDF8F" w14:textId="77777777" w:rsidR="00A8344C" w:rsidRPr="00B710A9" w:rsidRDefault="00A8344C" w:rsidP="00A8344C">
      <w:pPr>
        <w:pStyle w:val="Lista"/>
        <w:rPr>
          <w:rFonts w:eastAsia="Arial" w:cs="Arial"/>
          <w:sz w:val="22"/>
          <w:szCs w:val="22"/>
          <w:lang w:val="es-MX"/>
        </w:rPr>
      </w:pPr>
    </w:p>
    <w:p w14:paraId="2A7643F9" w14:textId="77777777" w:rsidR="00A8344C" w:rsidRPr="00B710A9" w:rsidRDefault="00A8344C" w:rsidP="00356A3E">
      <w:pPr>
        <w:pStyle w:val="Ttulomnimo"/>
        <w:numPr>
          <w:ilvl w:val="0"/>
          <w:numId w:val="53"/>
        </w:numPr>
        <w:spacing w:line="240" w:lineRule="auto"/>
        <w:jc w:val="both"/>
        <w:rPr>
          <w:rFonts w:eastAsia="Arial"/>
          <w:b w:val="0"/>
          <w:color w:val="000000" w:themeColor="text1"/>
          <w:sz w:val="22"/>
          <w:szCs w:val="22"/>
        </w:rPr>
      </w:pPr>
      <w:r w:rsidRPr="00B710A9">
        <w:rPr>
          <w:rFonts w:eastAsia="Arial"/>
          <w:sz w:val="22"/>
          <w:szCs w:val="22"/>
        </w:rPr>
        <w:lastRenderedPageBreak/>
        <w:t>Ventanilla Integrada Virtual del IGAC – VIVI</w:t>
      </w:r>
      <w:r w:rsidRPr="00B710A9">
        <w:rPr>
          <w:rFonts w:eastAsia="Arial"/>
          <w:color w:val="000000" w:themeColor="text1"/>
          <w:sz w:val="22"/>
          <w:szCs w:val="22"/>
        </w:rPr>
        <w:t>:</w:t>
      </w:r>
      <w:r w:rsidRPr="00B710A9">
        <w:rPr>
          <w:rFonts w:eastAsia="Arial"/>
          <w:b w:val="0"/>
          <w:color w:val="000000" w:themeColor="text1"/>
          <w:sz w:val="22"/>
          <w:szCs w:val="22"/>
        </w:rPr>
        <w:t xml:space="preserve"> Se implementó la </w:t>
      </w:r>
      <w:r w:rsidRPr="00B710A9">
        <w:rPr>
          <w:rFonts w:eastAsia="Arial"/>
          <w:b w:val="0"/>
          <w:sz w:val="22"/>
          <w:szCs w:val="22"/>
        </w:rPr>
        <w:t>Ventanilla Integrada Virtual del IGAC – VIVI</w:t>
      </w:r>
      <w:r w:rsidRPr="00B710A9">
        <w:rPr>
          <w:rFonts w:eastAsia="Arial"/>
          <w:b w:val="0"/>
          <w:color w:val="000000" w:themeColor="text1"/>
          <w:sz w:val="22"/>
          <w:szCs w:val="22"/>
        </w:rPr>
        <w:t xml:space="preserve">, la cual permite al ciudadano gestionar sus trámites catastrales de manera electrónica, previa autenticación electrónica proporcionada por la plataforma unificada del gobierno nacional denominada GOV.CO, integrada con la carpeta ciudadana en donde se tiene acceso a los certificados catastrales generados por el IGAC, unificando el acceso a servicios y a la consulta del estado de su trámite. </w:t>
      </w:r>
    </w:p>
    <w:p w14:paraId="161A64D4" w14:textId="77777777" w:rsidR="00A8344C" w:rsidRPr="00B710A9" w:rsidRDefault="00A8344C" w:rsidP="00A8344C">
      <w:pPr>
        <w:pStyle w:val="Lista"/>
        <w:rPr>
          <w:rFonts w:eastAsia="Arial" w:cs="Arial"/>
          <w:sz w:val="22"/>
          <w:szCs w:val="22"/>
        </w:rPr>
      </w:pPr>
    </w:p>
    <w:p w14:paraId="0547FF19" w14:textId="77777777" w:rsidR="00A8344C" w:rsidRPr="00B710A9" w:rsidRDefault="00A8344C" w:rsidP="00A8344C">
      <w:pPr>
        <w:jc w:val="both"/>
        <w:rPr>
          <w:rFonts w:ascii="Arial" w:eastAsia="Arial" w:hAnsi="Arial" w:cs="Arial"/>
          <w:sz w:val="22"/>
          <w:szCs w:val="22"/>
        </w:rPr>
      </w:pPr>
      <w:r w:rsidRPr="00B710A9">
        <w:rPr>
          <w:rFonts w:ascii="Arial" w:eastAsia="Arial" w:hAnsi="Arial" w:cs="Arial"/>
          <w:sz w:val="22"/>
          <w:szCs w:val="22"/>
        </w:rPr>
        <w:t xml:space="preserve">Así mismo, dentro de la gestión adelantada mediante el subproceso de Diseño y Desarrollo de Sistemas de Información, se han desarrollado acciones orientadas al mantenimiento o mejoramiento del componente de software de la infraestructura tecnológica de la Entidad, a través de la implementación de controles de calidad y controles de cambio, que han permitido implementar nuevas funcionalidades, dentro de las cuales, entre otras se pueden mencionar: </w:t>
      </w:r>
    </w:p>
    <w:p w14:paraId="6EBDC186" w14:textId="77777777" w:rsidR="00A8344C" w:rsidRPr="00B710A9" w:rsidRDefault="00A8344C" w:rsidP="00356A3E">
      <w:pPr>
        <w:pStyle w:val="Prrafodelista"/>
        <w:numPr>
          <w:ilvl w:val="0"/>
          <w:numId w:val="52"/>
        </w:numPr>
        <w:suppressAutoHyphens/>
        <w:overflowPunct w:val="0"/>
        <w:autoSpaceDE w:val="0"/>
        <w:spacing w:after="0" w:line="240" w:lineRule="auto"/>
        <w:jc w:val="both"/>
        <w:textAlignment w:val="baseline"/>
        <w:rPr>
          <w:rFonts w:ascii="Arial" w:eastAsia="Arial" w:hAnsi="Arial" w:cs="Arial"/>
          <w:sz w:val="22"/>
          <w:szCs w:val="22"/>
          <w:lang w:val="es-MX"/>
        </w:rPr>
      </w:pPr>
      <w:r w:rsidRPr="00B710A9">
        <w:rPr>
          <w:rFonts w:ascii="Arial" w:eastAsia="Arial" w:hAnsi="Arial" w:cs="Arial"/>
          <w:b/>
          <w:sz w:val="22"/>
          <w:szCs w:val="22"/>
          <w:lang w:val="es-MX"/>
        </w:rPr>
        <w:t xml:space="preserve">Sistema Nacional Catastral (SNC): </w:t>
      </w:r>
      <w:r w:rsidRPr="00B710A9">
        <w:rPr>
          <w:rFonts w:ascii="Arial" w:eastAsia="Arial" w:hAnsi="Arial" w:cs="Arial"/>
          <w:sz w:val="22"/>
          <w:szCs w:val="22"/>
          <w:lang w:val="es-MX"/>
        </w:rPr>
        <w:t xml:space="preserve">Generación de códigos homologados en el proceso de Conservación Catastral, ajuste del proceso de Conservación Catastral con base en la modernización institucional, consulta de trámites en vía administrativa, permitir más de un responsable de conservación en la misma jurisdicción,  mejora en la lógica que habilita el exportar los detalles de un producto, para que se mantenga habilitado mientras este un detalle seleccionado, se arregló el guardado y reinicio de la variable de observaciones de los productos, se agregó un control para que antes de generar resolución el sistema siempre pase por la validación del director, se validó y ajustó el cargue de predios por rango en productos para que no se borre el municipio y departamento seleccionado, se realizó la generación de los </w:t>
      </w:r>
      <w:proofErr w:type="spellStart"/>
      <w:r w:rsidRPr="00B710A9">
        <w:rPr>
          <w:rFonts w:ascii="Arial" w:eastAsia="Arial" w:hAnsi="Arial" w:cs="Arial"/>
          <w:sz w:val="22"/>
          <w:szCs w:val="22"/>
          <w:lang w:val="es-MX"/>
        </w:rPr>
        <w:t>ears</w:t>
      </w:r>
      <w:proofErr w:type="spellEnd"/>
      <w:r w:rsidRPr="00B710A9">
        <w:rPr>
          <w:rFonts w:ascii="Arial" w:eastAsia="Arial" w:hAnsi="Arial" w:cs="Arial"/>
          <w:sz w:val="22"/>
          <w:szCs w:val="22"/>
          <w:lang w:val="es-MX"/>
        </w:rPr>
        <w:t xml:space="preserve"> con la versión v2.7.3.9 para el despliegue del SNC del 10/05/2022, se  ajustó el  desarrollo para que en el flujo del trámite se controle el envío a la actividad de modificar información geográfica y no permita que se duplique el trámite en dicha actividad; además  para cuando se realicen mutaciones de segunda des englobe, donde el predio de condición cero se convierte en la ficha matriz se informe al sistema NUPRE que el predio de condición cero debe pasar a estado INACTIVO. Adicional, se creó los </w:t>
      </w:r>
      <w:proofErr w:type="spellStart"/>
      <w:r w:rsidRPr="00B710A9">
        <w:rPr>
          <w:rFonts w:ascii="Arial" w:eastAsia="Arial" w:hAnsi="Arial" w:cs="Arial"/>
          <w:sz w:val="22"/>
          <w:szCs w:val="22"/>
          <w:lang w:val="es-MX"/>
        </w:rPr>
        <w:t>issues</w:t>
      </w:r>
      <w:proofErr w:type="spellEnd"/>
      <w:r w:rsidRPr="00B710A9">
        <w:rPr>
          <w:rFonts w:ascii="Arial" w:eastAsia="Arial" w:hAnsi="Arial" w:cs="Arial"/>
          <w:sz w:val="22"/>
          <w:szCs w:val="22"/>
          <w:lang w:val="es-MX"/>
        </w:rPr>
        <w:t xml:space="preserve"> de las siguientes nuevas funcionalidades del Sistema Nacional Catastral (SNC):  Se ajustó proceso de conservación catastral conforme al procedimiento para permitir la revisión del abogado. Se ajustó desarrollo para permitir al abogado realizar la revisión de los tramites catastrales, dentro del subproceso de validación en la conservación catastral. Se ajustó desarrollo en la actividad de revisar proyección de resolución por la inclusión del abogado al proceso. Se desarrolló para almacenar la información de entrada y respuesta del servicio para asignar códigos homologados.</w:t>
      </w:r>
    </w:p>
    <w:p w14:paraId="00B627EC" w14:textId="77777777" w:rsidR="00A8344C" w:rsidRPr="00B710A9" w:rsidRDefault="00A8344C" w:rsidP="00A8344C">
      <w:pPr>
        <w:pStyle w:val="Lista"/>
        <w:rPr>
          <w:rFonts w:eastAsia="Arial" w:cs="Arial"/>
          <w:sz w:val="22"/>
          <w:szCs w:val="22"/>
          <w:lang w:val="es-MX"/>
        </w:rPr>
      </w:pPr>
    </w:p>
    <w:p w14:paraId="67262E1F" w14:textId="44318337" w:rsidR="00A8344C" w:rsidRPr="00B710A9" w:rsidRDefault="00A8344C" w:rsidP="00356A3E">
      <w:pPr>
        <w:pStyle w:val="Prrafodelista"/>
        <w:numPr>
          <w:ilvl w:val="0"/>
          <w:numId w:val="52"/>
        </w:numPr>
        <w:suppressAutoHyphens/>
        <w:overflowPunct w:val="0"/>
        <w:autoSpaceDE w:val="0"/>
        <w:spacing w:after="0" w:line="240" w:lineRule="auto"/>
        <w:jc w:val="both"/>
        <w:textAlignment w:val="baseline"/>
        <w:rPr>
          <w:rFonts w:ascii="Arial" w:eastAsia="Arial" w:hAnsi="Arial" w:cs="Arial"/>
          <w:sz w:val="22"/>
          <w:szCs w:val="22"/>
          <w:lang w:val="es-MX"/>
        </w:rPr>
      </w:pPr>
      <w:r w:rsidRPr="00B710A9">
        <w:rPr>
          <w:rFonts w:ascii="Arial" w:eastAsia="Arial" w:hAnsi="Arial" w:cs="Arial"/>
          <w:b/>
          <w:sz w:val="22"/>
          <w:szCs w:val="22"/>
          <w:lang w:val="es-MX"/>
        </w:rPr>
        <w:t xml:space="preserve">Captura de información catastral de actualización (CICA): </w:t>
      </w:r>
      <w:r w:rsidRPr="00B710A9">
        <w:rPr>
          <w:rFonts w:ascii="Arial" w:eastAsia="Arial" w:hAnsi="Arial" w:cs="Arial"/>
          <w:sz w:val="22"/>
          <w:szCs w:val="22"/>
          <w:lang w:val="es-MX"/>
        </w:rPr>
        <w:t xml:space="preserve">Ajustes a las validaciones (datos del predio, construcciones, propietarios, justificación). Permitir la eliminación de predios nuevos creados por error. Admitir cambios de etapa de manera masiva para realizar nuevamente cargues de área. Marcar predios con falsa tradición para el caso de las posesiones. Ajustes a la visualización de toda la información registrada por el reconocedor, en los roles de consulta y </w:t>
      </w:r>
      <w:r w:rsidR="00153815" w:rsidRPr="00B710A9">
        <w:rPr>
          <w:rFonts w:ascii="Arial" w:eastAsia="Arial" w:hAnsi="Arial" w:cs="Arial"/>
          <w:sz w:val="22"/>
          <w:szCs w:val="22"/>
          <w:lang w:val="es-MX"/>
        </w:rPr>
        <w:t>coordinadores</w:t>
      </w:r>
      <w:r w:rsidRPr="00B710A9">
        <w:rPr>
          <w:rFonts w:ascii="Arial" w:eastAsia="Arial" w:hAnsi="Arial" w:cs="Arial"/>
          <w:sz w:val="22"/>
          <w:szCs w:val="22"/>
          <w:lang w:val="es-MX"/>
        </w:rPr>
        <w:t xml:space="preserve">. Almacenar la traza al pasar un predio vigente a predio informal. Admitir la opción copiar datos de contacto y datos del predio (destinación económica, tipo predio, clase suelo, procedimiento catastral registral) de manera masiva para PH y Condominio. Permitir la subida soportes en formato PDF. Adicional, se realizó el levamiento de nuevos requerimientos definidos para funcionalidades definidas en </w:t>
      </w:r>
      <w:r w:rsidRPr="00B710A9">
        <w:rPr>
          <w:rFonts w:ascii="Arial" w:eastAsia="Arial" w:hAnsi="Arial" w:cs="Arial"/>
          <w:sz w:val="22"/>
          <w:szCs w:val="22"/>
          <w:lang w:val="es-MX"/>
        </w:rPr>
        <w:lastRenderedPageBreak/>
        <w:t>CICA (Permitir consultar propietarios, Permitir cargar archivos en PDF en el dispositivo móvil, Ajustar calificación para construcciones No Convencionales en el Dispositivo móvil). Se llevó a cabo la documentación de los controles de cambios de los nuevos requerimientos definidos para funcionalidades definidas en el aplicativo CICA. Se realizó y documentó las pruebas funcionales de los nuevos requerimientos definidos para funcionalidades y mejoras definidas en el aplicativo CICA</w:t>
      </w:r>
    </w:p>
    <w:p w14:paraId="3EC44D9B" w14:textId="77777777" w:rsidR="00A8344C" w:rsidRPr="00B710A9" w:rsidRDefault="00A8344C" w:rsidP="00A8344C">
      <w:pPr>
        <w:pStyle w:val="Lista"/>
        <w:rPr>
          <w:rFonts w:eastAsia="Arial" w:cs="Arial"/>
          <w:sz w:val="22"/>
          <w:szCs w:val="22"/>
          <w:lang w:val="es-MX"/>
        </w:rPr>
      </w:pPr>
    </w:p>
    <w:p w14:paraId="0BE1F94C" w14:textId="77777777" w:rsidR="00A8344C" w:rsidRPr="00B710A9" w:rsidRDefault="00A8344C" w:rsidP="00356A3E">
      <w:pPr>
        <w:pStyle w:val="Prrafodelista"/>
        <w:numPr>
          <w:ilvl w:val="0"/>
          <w:numId w:val="52"/>
        </w:numPr>
        <w:suppressAutoHyphens/>
        <w:overflowPunct w:val="0"/>
        <w:autoSpaceDE w:val="0"/>
        <w:spacing w:after="0" w:line="240" w:lineRule="auto"/>
        <w:jc w:val="both"/>
        <w:textAlignment w:val="baseline"/>
        <w:rPr>
          <w:rFonts w:ascii="Arial" w:eastAsia="Arial" w:hAnsi="Arial" w:cs="Arial"/>
          <w:color w:val="000000" w:themeColor="text1"/>
          <w:sz w:val="22"/>
          <w:szCs w:val="22"/>
        </w:rPr>
      </w:pPr>
      <w:r w:rsidRPr="00B710A9">
        <w:rPr>
          <w:rFonts w:ascii="Arial" w:eastAsia="Arial" w:hAnsi="Arial" w:cs="Arial"/>
          <w:b/>
          <w:sz w:val="22"/>
          <w:szCs w:val="22"/>
          <w:lang w:val="es-MX"/>
        </w:rPr>
        <w:t xml:space="preserve">Sistema de Códigos Homologados – NUPRE: </w:t>
      </w:r>
      <w:r w:rsidRPr="00B710A9">
        <w:rPr>
          <w:rFonts w:ascii="Arial" w:eastAsia="Arial" w:hAnsi="Arial" w:cs="Arial"/>
          <w:color w:val="000000" w:themeColor="text1"/>
          <w:sz w:val="22"/>
          <w:szCs w:val="22"/>
        </w:rPr>
        <w:t xml:space="preserve">Se implementó el sistema y se cuenta con los siguientes servicios: Solicita códigos de CH para gestores, Solicita códigos de CH para la SNC, Valida el código de CH generado, Lista los códigos CH por municipio Id (Gestor) y paginado, Actualiza el código homologado a </w:t>
      </w:r>
      <w:proofErr w:type="spellStart"/>
      <w:r w:rsidRPr="00B710A9">
        <w:rPr>
          <w:rFonts w:ascii="Arial" w:eastAsia="Arial" w:hAnsi="Arial" w:cs="Arial"/>
          <w:color w:val="000000" w:themeColor="text1"/>
          <w:sz w:val="22"/>
          <w:szCs w:val="22"/>
        </w:rPr>
        <w:t>Nupre</w:t>
      </w:r>
      <w:proofErr w:type="spellEnd"/>
      <w:r w:rsidRPr="00B710A9">
        <w:rPr>
          <w:rFonts w:ascii="Arial" w:eastAsia="Arial" w:hAnsi="Arial" w:cs="Arial"/>
          <w:color w:val="000000" w:themeColor="text1"/>
          <w:sz w:val="22"/>
          <w:szCs w:val="22"/>
        </w:rPr>
        <w:t xml:space="preserve"> (Interrelación), Lista las solicitudes asociadas a un gestor, lista los códigos CH por solicitud, actualiza el numero predial relacionado a un código homologado, descargar los archivos del detalle de los CH, Actualiza el estado a activo o inactivo el código homologado asignado.</w:t>
      </w:r>
    </w:p>
    <w:p w14:paraId="77257EBF" w14:textId="77777777" w:rsidR="00A8344C" w:rsidRPr="00B710A9" w:rsidRDefault="00A8344C" w:rsidP="49E39A6E">
      <w:pPr>
        <w:shd w:val="clear" w:color="auto" w:fill="FFFFFF" w:themeFill="background1"/>
        <w:ind w:left="360"/>
        <w:rPr>
          <w:rFonts w:ascii="Arial" w:eastAsia="Arial" w:hAnsi="Arial" w:cs="Arial"/>
          <w:sz w:val="22"/>
          <w:szCs w:val="22"/>
          <w:lang w:val="es-MX"/>
        </w:rPr>
      </w:pPr>
    </w:p>
    <w:p w14:paraId="747C50AE" w14:textId="77777777" w:rsidR="00A8344C" w:rsidRPr="00B710A9" w:rsidRDefault="00A8344C" w:rsidP="00356A3E">
      <w:pPr>
        <w:pStyle w:val="Prrafodelista"/>
        <w:numPr>
          <w:ilvl w:val="0"/>
          <w:numId w:val="52"/>
        </w:numPr>
        <w:suppressAutoHyphens/>
        <w:overflowPunct w:val="0"/>
        <w:autoSpaceDE w:val="0"/>
        <w:spacing w:after="0" w:line="240" w:lineRule="auto"/>
        <w:jc w:val="both"/>
        <w:textAlignment w:val="baseline"/>
        <w:rPr>
          <w:rFonts w:ascii="Arial" w:eastAsia="Arial" w:hAnsi="Arial" w:cs="Arial"/>
          <w:sz w:val="22"/>
          <w:szCs w:val="22"/>
          <w:lang w:val="es-MX"/>
        </w:rPr>
      </w:pPr>
      <w:r w:rsidRPr="00B710A9">
        <w:rPr>
          <w:rFonts w:ascii="Arial" w:eastAsia="Arial" w:hAnsi="Arial" w:cs="Arial"/>
          <w:b/>
          <w:sz w:val="22"/>
          <w:szCs w:val="22"/>
          <w:lang w:val="es-MX"/>
        </w:rPr>
        <w:t xml:space="preserve">ERP-Nomina: </w:t>
      </w:r>
      <w:r w:rsidRPr="00B710A9">
        <w:rPr>
          <w:rFonts w:ascii="Arial" w:eastAsia="Arial" w:hAnsi="Arial" w:cs="Arial"/>
          <w:sz w:val="22"/>
          <w:szCs w:val="22"/>
          <w:lang w:val="es-MX"/>
        </w:rPr>
        <w:t>Consulta del histórico de incapacidades, consulta de funcionarios con ARL y nivel de riesgo, envío por correo electrónico Certificación FNA a cada funcionario, proceso de recalculo de retención en la fuente, o y actualización del certificado de ingresos y retenciones de 2021 de acuerdo a modificaciones de la DIAN al formulario 2220, actualización planta de nómina y ordenadores de gasto producto de modernización institucional.</w:t>
      </w:r>
    </w:p>
    <w:p w14:paraId="6030279C" w14:textId="77777777" w:rsidR="00A8344C" w:rsidRPr="00B710A9" w:rsidRDefault="00A8344C" w:rsidP="00A8344C">
      <w:pPr>
        <w:pStyle w:val="Lista"/>
        <w:rPr>
          <w:rFonts w:eastAsia="Arial" w:cs="Arial"/>
          <w:sz w:val="22"/>
          <w:szCs w:val="22"/>
          <w:lang w:val="es-MX"/>
        </w:rPr>
      </w:pPr>
    </w:p>
    <w:p w14:paraId="326C6403" w14:textId="77777777" w:rsidR="00A8344C" w:rsidRPr="00B710A9" w:rsidRDefault="00A8344C" w:rsidP="00356A3E">
      <w:pPr>
        <w:pStyle w:val="Prrafodelista"/>
        <w:numPr>
          <w:ilvl w:val="0"/>
          <w:numId w:val="52"/>
        </w:numPr>
        <w:suppressAutoHyphens/>
        <w:overflowPunct w:val="0"/>
        <w:autoSpaceDE w:val="0"/>
        <w:spacing w:after="0" w:line="240" w:lineRule="auto"/>
        <w:jc w:val="both"/>
        <w:textAlignment w:val="baseline"/>
        <w:rPr>
          <w:rFonts w:ascii="Arial" w:eastAsia="Arial" w:hAnsi="Arial" w:cs="Arial"/>
          <w:color w:val="000000"/>
          <w:sz w:val="22"/>
          <w:szCs w:val="22"/>
          <w:shd w:val="clear" w:color="auto" w:fill="FFFFFF"/>
        </w:rPr>
      </w:pPr>
      <w:r w:rsidRPr="00B710A9">
        <w:rPr>
          <w:rFonts w:ascii="Arial" w:eastAsia="Arial" w:hAnsi="Arial" w:cs="Arial"/>
          <w:b/>
          <w:sz w:val="22"/>
          <w:szCs w:val="22"/>
          <w:lang w:val="es-MX"/>
        </w:rPr>
        <w:t xml:space="preserve">ERP-Contratación: </w:t>
      </w:r>
      <w:r w:rsidRPr="00B710A9">
        <w:rPr>
          <w:rFonts w:ascii="Arial" w:eastAsia="Arial" w:hAnsi="Arial" w:cs="Arial"/>
          <w:sz w:val="22"/>
          <w:szCs w:val="22"/>
          <w:lang w:val="es-MX"/>
        </w:rPr>
        <w:t>A</w:t>
      </w:r>
      <w:r w:rsidRPr="00B710A9">
        <w:rPr>
          <w:rFonts w:ascii="Arial" w:eastAsia="Arial" w:hAnsi="Arial" w:cs="Arial"/>
          <w:color w:val="000000"/>
          <w:sz w:val="22"/>
          <w:szCs w:val="22"/>
          <w:shd w:val="clear" w:color="auto" w:fill="FFFFFF"/>
          <w:lang w:val="es-MX"/>
        </w:rPr>
        <w:t>juste</w:t>
      </w:r>
      <w:r w:rsidRPr="00B710A9">
        <w:rPr>
          <w:rFonts w:ascii="Arial" w:eastAsia="Arial" w:hAnsi="Arial" w:cs="Arial"/>
          <w:color w:val="000000"/>
          <w:sz w:val="22"/>
          <w:szCs w:val="22"/>
          <w:shd w:val="clear" w:color="auto" w:fill="FFFFFF"/>
        </w:rPr>
        <w:t xml:space="preserve"> del modelo de minuta del ECO y la creación de un nuevo modelo de minuta de contrato para contratos de prestación de servicios, ajuste al módulo de certificaciones para la cesión de contrato, actualización de Objetos por cambios en la planta de personal y nuevas codificaciones de dependencias en el sistema PERNO a causa de la Modernización.</w:t>
      </w:r>
    </w:p>
    <w:p w14:paraId="0345A6DA" w14:textId="77777777" w:rsidR="00A8344C" w:rsidRPr="00B710A9" w:rsidRDefault="00A8344C" w:rsidP="00A8344C">
      <w:pPr>
        <w:pStyle w:val="Lista"/>
        <w:rPr>
          <w:rFonts w:eastAsia="Arial" w:cs="Arial"/>
          <w:sz w:val="22"/>
          <w:szCs w:val="22"/>
        </w:rPr>
      </w:pPr>
    </w:p>
    <w:p w14:paraId="221EB1EB" w14:textId="77777777" w:rsidR="00A8344C" w:rsidRPr="00B710A9" w:rsidRDefault="00A8344C" w:rsidP="00356A3E">
      <w:pPr>
        <w:pStyle w:val="Prrafodelista"/>
        <w:numPr>
          <w:ilvl w:val="0"/>
          <w:numId w:val="52"/>
        </w:numPr>
        <w:suppressAutoHyphens/>
        <w:overflowPunct w:val="0"/>
        <w:autoSpaceDE w:val="0"/>
        <w:spacing w:after="0" w:line="240" w:lineRule="auto"/>
        <w:jc w:val="both"/>
        <w:textAlignment w:val="baseline"/>
        <w:rPr>
          <w:rFonts w:ascii="Arial" w:eastAsia="Arial" w:hAnsi="Arial" w:cs="Arial"/>
          <w:color w:val="000000"/>
          <w:sz w:val="22"/>
          <w:szCs w:val="22"/>
          <w:shd w:val="clear" w:color="auto" w:fill="FFFFFF"/>
        </w:rPr>
      </w:pPr>
      <w:r w:rsidRPr="00B710A9">
        <w:rPr>
          <w:rFonts w:ascii="Arial" w:eastAsia="Arial" w:hAnsi="Arial" w:cs="Arial"/>
          <w:b/>
          <w:sz w:val="22"/>
          <w:szCs w:val="22"/>
          <w:lang w:val="es-MX"/>
        </w:rPr>
        <w:t xml:space="preserve">ERP-Facturación: </w:t>
      </w:r>
      <w:r w:rsidRPr="00B710A9">
        <w:rPr>
          <w:rFonts w:ascii="Arial" w:eastAsia="Arial" w:hAnsi="Arial" w:cs="Arial"/>
          <w:sz w:val="22"/>
          <w:szCs w:val="22"/>
          <w:lang w:val="es-MX"/>
        </w:rPr>
        <w:t>A</w:t>
      </w:r>
      <w:r w:rsidRPr="00B710A9">
        <w:rPr>
          <w:rFonts w:ascii="Arial" w:eastAsia="Arial" w:hAnsi="Arial" w:cs="Arial"/>
          <w:color w:val="000000"/>
          <w:sz w:val="22"/>
          <w:szCs w:val="22"/>
          <w:shd w:val="clear" w:color="auto" w:fill="FFFFFF"/>
        </w:rPr>
        <w:t>juste del reporte de la factura de cartera, se modificó el reporte de facturas de ventas de contado y de cartera, ajuste del procedimiento de cálculo de los valores para las ordenes que se generan desde al sistema de certificados catastrales.</w:t>
      </w:r>
    </w:p>
    <w:p w14:paraId="0E9C4B1C" w14:textId="77777777" w:rsidR="00A8344C" w:rsidRPr="00B710A9" w:rsidRDefault="00A8344C" w:rsidP="00A8344C">
      <w:pPr>
        <w:pStyle w:val="Lista"/>
        <w:rPr>
          <w:rFonts w:eastAsia="Arial" w:cs="Arial"/>
          <w:sz w:val="22"/>
          <w:szCs w:val="22"/>
        </w:rPr>
      </w:pPr>
    </w:p>
    <w:p w14:paraId="1CFA2746" w14:textId="77777777" w:rsidR="00A8344C" w:rsidRPr="00B710A9" w:rsidRDefault="00A8344C" w:rsidP="00356A3E">
      <w:pPr>
        <w:pStyle w:val="Prrafodelista"/>
        <w:numPr>
          <w:ilvl w:val="0"/>
          <w:numId w:val="52"/>
        </w:numPr>
        <w:suppressAutoHyphens/>
        <w:overflowPunct w:val="0"/>
        <w:autoSpaceDE w:val="0"/>
        <w:spacing w:after="0" w:line="240" w:lineRule="auto"/>
        <w:jc w:val="both"/>
        <w:textAlignment w:val="baseline"/>
        <w:rPr>
          <w:rFonts w:ascii="Arial" w:eastAsia="Arial" w:hAnsi="Arial" w:cs="Arial"/>
          <w:sz w:val="22"/>
          <w:szCs w:val="22"/>
          <w:lang w:val="es-MX"/>
        </w:rPr>
      </w:pPr>
      <w:r w:rsidRPr="00B710A9">
        <w:rPr>
          <w:rFonts w:ascii="Arial" w:eastAsia="Arial" w:hAnsi="Arial" w:cs="Arial"/>
          <w:b/>
          <w:sz w:val="22"/>
          <w:szCs w:val="22"/>
          <w:lang w:val="es-MX"/>
        </w:rPr>
        <w:t xml:space="preserve">Sistema de Información para la Gestión Agrológica (SIGA): </w:t>
      </w:r>
      <w:r w:rsidRPr="00B710A9">
        <w:rPr>
          <w:rFonts w:ascii="Arial" w:eastAsia="Arial" w:hAnsi="Arial" w:cs="Arial"/>
          <w:sz w:val="22"/>
          <w:szCs w:val="22"/>
          <w:lang w:val="es-MX"/>
        </w:rPr>
        <w:t>Desarrollo de nueva funcionalidad para ingresar la firma de informes. Desarrollo generación de los reportes de "RESULTADOS" de todos los paquetes de todas las áreas - Descargo de responsabilidades. Ajuste a la plantilla de reporte de física para que se muestre correctamente la fecha de análisis de las muestras. Se crea nueva pantalla de consulta para generar reportes de facturación de SIGA, por fechas de creación de solicitudes.</w:t>
      </w:r>
    </w:p>
    <w:p w14:paraId="43C16173" w14:textId="77777777" w:rsidR="00A8344C" w:rsidRPr="00B710A9" w:rsidRDefault="00A8344C" w:rsidP="00A8344C">
      <w:pPr>
        <w:pStyle w:val="Lista"/>
        <w:rPr>
          <w:rFonts w:eastAsia="Arial" w:cs="Arial"/>
          <w:sz w:val="22"/>
          <w:szCs w:val="22"/>
          <w:lang w:val="es-MX"/>
        </w:rPr>
      </w:pPr>
    </w:p>
    <w:p w14:paraId="6CC45B61" w14:textId="77777777" w:rsidR="00A8344C" w:rsidRPr="00B710A9" w:rsidRDefault="00A8344C" w:rsidP="00356A3E">
      <w:pPr>
        <w:pStyle w:val="Prrafodelista"/>
        <w:numPr>
          <w:ilvl w:val="0"/>
          <w:numId w:val="52"/>
        </w:numPr>
        <w:suppressAutoHyphens/>
        <w:overflowPunct w:val="0"/>
        <w:autoSpaceDE w:val="0"/>
        <w:spacing w:after="0" w:line="240" w:lineRule="auto"/>
        <w:jc w:val="both"/>
        <w:textAlignment w:val="baseline"/>
        <w:rPr>
          <w:rFonts w:ascii="Arial" w:eastAsia="Arial" w:hAnsi="Arial" w:cs="Arial"/>
          <w:sz w:val="22"/>
          <w:szCs w:val="22"/>
          <w:lang w:val="es-MX"/>
        </w:rPr>
      </w:pPr>
      <w:r w:rsidRPr="00B710A9">
        <w:rPr>
          <w:rFonts w:ascii="Arial" w:eastAsia="Arial" w:hAnsi="Arial" w:cs="Arial"/>
          <w:b/>
          <w:sz w:val="22"/>
          <w:szCs w:val="22"/>
          <w:lang w:val="es-MX"/>
        </w:rPr>
        <w:t xml:space="preserve">Portales: </w:t>
      </w:r>
      <w:r w:rsidRPr="00B710A9">
        <w:rPr>
          <w:rFonts w:ascii="Arial" w:eastAsia="Arial" w:hAnsi="Arial" w:cs="Arial"/>
          <w:sz w:val="22"/>
          <w:szCs w:val="22"/>
          <w:lang w:val="es-MX"/>
        </w:rPr>
        <w:t xml:space="preserve">Se realizó la propuesta de diseño de home de la nueva plataforma y se socializó con las áreas misionales la propuesta de diseño de las secciones internas del nuevo portal web. Se ajustó Tienda Virtual para la actualización automática de los productos con el inventario del ERP. Se realizó una nueva sección llamada "En territorio" en el micrositio catastro. Se analizó la estructura de Transparencia. Se diseñó el </w:t>
      </w:r>
      <w:proofErr w:type="spellStart"/>
      <w:r w:rsidRPr="00B710A9">
        <w:rPr>
          <w:rFonts w:ascii="Arial" w:eastAsia="Arial" w:hAnsi="Arial" w:cs="Arial"/>
          <w:sz w:val="22"/>
          <w:szCs w:val="22"/>
          <w:lang w:val="es-MX"/>
        </w:rPr>
        <w:t>front-End</w:t>
      </w:r>
      <w:proofErr w:type="spellEnd"/>
      <w:r w:rsidRPr="00B710A9">
        <w:rPr>
          <w:rFonts w:ascii="Arial" w:eastAsia="Arial" w:hAnsi="Arial" w:cs="Arial"/>
          <w:sz w:val="22"/>
          <w:szCs w:val="22"/>
          <w:lang w:val="es-MX"/>
        </w:rPr>
        <w:t xml:space="preserve"> en la aplicación CSS y HTML del </w:t>
      </w:r>
      <w:proofErr w:type="spellStart"/>
      <w:r w:rsidRPr="00B710A9">
        <w:rPr>
          <w:rFonts w:ascii="Arial" w:eastAsia="Arial" w:hAnsi="Arial" w:cs="Arial"/>
          <w:sz w:val="22"/>
          <w:szCs w:val="22"/>
          <w:lang w:val="es-MX"/>
        </w:rPr>
        <w:t>template</w:t>
      </w:r>
      <w:proofErr w:type="spellEnd"/>
      <w:r w:rsidRPr="00B710A9">
        <w:rPr>
          <w:rFonts w:ascii="Arial" w:eastAsia="Arial" w:hAnsi="Arial" w:cs="Arial"/>
          <w:sz w:val="22"/>
          <w:szCs w:val="22"/>
          <w:lang w:val="es-MX"/>
        </w:rPr>
        <w:t xml:space="preserve"> del home page para la versión del nuevo portal web. Se creó la nueva versión del listado maestro, se capacitó y se validó la mejora con el usuario de planeación. Se ajustó el desarrollo </w:t>
      </w:r>
      <w:r w:rsidRPr="00B710A9">
        <w:rPr>
          <w:rFonts w:ascii="Arial" w:eastAsia="Arial" w:hAnsi="Arial" w:cs="Arial"/>
          <w:sz w:val="22"/>
          <w:szCs w:val="22"/>
          <w:lang w:val="es-MX"/>
        </w:rPr>
        <w:lastRenderedPageBreak/>
        <w:t>de los filtros del listado maestro para que en las listas encuentre profundidad de hasta 5 subcategorías. Se ajustó el campo de búsqueda por código y búsqueda por título en el listado maestro de documentos. Se incluyó en el Normograma un nuevo filtro por rango de fecha. Se creó dos sub sitios, uno para publicar información de interés para las mujeres y otro para los niños y adolescentes. Se incluyó el catálogo de productos y servicios. Se creó el sub sitio para el Observatorio Inmobiliario. Se actualizó la información del Organigrama. Se creó el sitio para la Semana Geomática 9na Edición. Se han publicado espacios para el registro de convocatorias. En el menú del sub sitio de Catastro Multipropósito se agregó la herramienta transitoria para el reporte y entrega periódica de información catastral por parte de los gestores catastrales. Se publicaron los tableros de control de Catastro Multipropósito SINIC y del Observatorio Inmobiliario.</w:t>
      </w:r>
    </w:p>
    <w:p w14:paraId="43F299F0" w14:textId="77777777" w:rsidR="00A8344C" w:rsidRPr="00B710A9" w:rsidRDefault="00A8344C" w:rsidP="00A8344C">
      <w:pPr>
        <w:pStyle w:val="Lista"/>
        <w:rPr>
          <w:rFonts w:eastAsia="Arial" w:cs="Arial"/>
          <w:sz w:val="22"/>
          <w:szCs w:val="22"/>
          <w:lang w:val="es-MX"/>
        </w:rPr>
      </w:pPr>
    </w:p>
    <w:p w14:paraId="4D087636" w14:textId="77777777" w:rsidR="00A8344C" w:rsidRPr="00B710A9" w:rsidRDefault="00A8344C" w:rsidP="00356A3E">
      <w:pPr>
        <w:pStyle w:val="Prrafodelista"/>
        <w:numPr>
          <w:ilvl w:val="0"/>
          <w:numId w:val="52"/>
        </w:numPr>
        <w:suppressAutoHyphens/>
        <w:overflowPunct w:val="0"/>
        <w:autoSpaceDE w:val="0"/>
        <w:spacing w:after="0" w:line="240" w:lineRule="auto"/>
        <w:jc w:val="both"/>
        <w:textAlignment w:val="baseline"/>
        <w:rPr>
          <w:rFonts w:ascii="Arial" w:eastAsia="Arial" w:hAnsi="Arial" w:cs="Arial"/>
          <w:color w:val="000000"/>
          <w:sz w:val="22"/>
          <w:szCs w:val="22"/>
          <w:shd w:val="clear" w:color="auto" w:fill="FFFFFF"/>
        </w:rPr>
      </w:pPr>
      <w:r w:rsidRPr="00B710A9">
        <w:rPr>
          <w:rFonts w:ascii="Arial" w:eastAsia="Arial" w:hAnsi="Arial" w:cs="Arial"/>
          <w:b/>
          <w:sz w:val="22"/>
          <w:szCs w:val="22"/>
          <w:lang w:val="es-MX"/>
        </w:rPr>
        <w:t xml:space="preserve">Ventanilla Integrada Virtual (VIVI): </w:t>
      </w:r>
      <w:r w:rsidRPr="00B710A9">
        <w:rPr>
          <w:rFonts w:ascii="Arial" w:eastAsia="Arial" w:hAnsi="Arial" w:cs="Arial"/>
          <w:color w:val="000000"/>
          <w:sz w:val="22"/>
          <w:szCs w:val="22"/>
          <w:shd w:val="clear" w:color="auto" w:fill="FFFFFF"/>
        </w:rPr>
        <w:t xml:space="preserve">Se han implementado mejoras a la aplicación después de la puesta en producción, dentro de las cuales tenemos cambio Códigos de dependencias de direcciones territoriales, agregar campo de observación para </w:t>
      </w:r>
      <w:proofErr w:type="spellStart"/>
      <w:r w:rsidRPr="00B710A9">
        <w:rPr>
          <w:rFonts w:ascii="Arial" w:eastAsia="Arial" w:hAnsi="Arial" w:cs="Arial"/>
          <w:color w:val="000000"/>
          <w:sz w:val="22"/>
          <w:szCs w:val="22"/>
          <w:shd w:val="clear" w:color="auto" w:fill="FFFFFF"/>
        </w:rPr>
        <w:t>autoestimación</w:t>
      </w:r>
      <w:proofErr w:type="spellEnd"/>
      <w:r w:rsidRPr="00B710A9">
        <w:rPr>
          <w:rFonts w:ascii="Arial" w:eastAsia="Arial" w:hAnsi="Arial" w:cs="Arial"/>
          <w:color w:val="000000"/>
          <w:sz w:val="22"/>
          <w:szCs w:val="22"/>
          <w:shd w:val="clear" w:color="auto" w:fill="FFFFFF"/>
        </w:rPr>
        <w:t xml:space="preserve"> y revisión de avalúo, en mutaciones de segunda englobe consultar predios a englobar por número predial y numero matricula, se agregaron los campos área terreno, área construcción, valor de terreno y valor de construcción</w:t>
      </w:r>
    </w:p>
    <w:p w14:paraId="58ABD047" w14:textId="77777777" w:rsidR="00A8344C" w:rsidRPr="00B710A9" w:rsidRDefault="00A8344C" w:rsidP="00A8344C">
      <w:pPr>
        <w:pStyle w:val="Ttulomnimo"/>
        <w:shd w:val="clear" w:color="auto" w:fill="FFFFFF" w:themeFill="background1"/>
        <w:spacing w:line="240" w:lineRule="auto"/>
        <w:ind w:firstLine="0"/>
        <w:jc w:val="both"/>
        <w:rPr>
          <w:rFonts w:eastAsia="Arial"/>
          <w:color w:val="222222"/>
          <w:sz w:val="22"/>
          <w:szCs w:val="22"/>
          <w:lang w:eastAsia="es-CO"/>
        </w:rPr>
      </w:pPr>
    </w:p>
    <w:p w14:paraId="33B04DAE" w14:textId="77777777" w:rsidR="00856186" w:rsidRPr="00B710A9" w:rsidRDefault="00856186" w:rsidP="00A8344C">
      <w:pPr>
        <w:pStyle w:val="Ttulomnimo"/>
        <w:shd w:val="clear" w:color="auto" w:fill="FFFFFF" w:themeFill="background1"/>
        <w:spacing w:line="240" w:lineRule="auto"/>
        <w:ind w:firstLine="0"/>
        <w:jc w:val="both"/>
        <w:rPr>
          <w:rFonts w:eastAsia="Arial"/>
          <w:color w:val="222222"/>
          <w:sz w:val="22"/>
          <w:szCs w:val="22"/>
          <w:lang w:eastAsia="es-CO"/>
        </w:rPr>
      </w:pPr>
    </w:p>
    <w:p w14:paraId="627B6FC6" w14:textId="77777777" w:rsidR="00856186" w:rsidRPr="00B710A9" w:rsidRDefault="00856186" w:rsidP="00A8344C">
      <w:pPr>
        <w:pStyle w:val="Ttulomnimo"/>
        <w:shd w:val="clear" w:color="auto" w:fill="FFFFFF" w:themeFill="background1"/>
        <w:spacing w:line="240" w:lineRule="auto"/>
        <w:ind w:firstLine="0"/>
        <w:jc w:val="both"/>
        <w:rPr>
          <w:rFonts w:eastAsia="Arial"/>
          <w:color w:val="222222"/>
          <w:sz w:val="22"/>
          <w:szCs w:val="22"/>
          <w:lang w:eastAsia="es-CO"/>
        </w:rPr>
      </w:pPr>
    </w:p>
    <w:p w14:paraId="52622BC1" w14:textId="77777777" w:rsidR="00A8344C" w:rsidRPr="00B710A9" w:rsidRDefault="00A8344C" w:rsidP="00A8344C">
      <w:pPr>
        <w:jc w:val="both"/>
        <w:rPr>
          <w:rFonts w:ascii="Arial" w:eastAsia="Arial" w:hAnsi="Arial" w:cs="Arial"/>
          <w:sz w:val="22"/>
          <w:szCs w:val="22"/>
        </w:rPr>
      </w:pPr>
      <w:r w:rsidRPr="00B710A9">
        <w:rPr>
          <w:rFonts w:ascii="Arial" w:eastAsia="Arial" w:hAnsi="Arial" w:cs="Arial"/>
          <w:b/>
          <w:sz w:val="22"/>
          <w:szCs w:val="22"/>
          <w:lang w:val="es-MX"/>
        </w:rPr>
        <w:t>Estrategia y Gobierno De Ti</w:t>
      </w:r>
    </w:p>
    <w:p w14:paraId="1B355D89" w14:textId="77777777" w:rsidR="00A8344C" w:rsidRPr="00B710A9" w:rsidRDefault="00A8344C" w:rsidP="00A8344C">
      <w:pPr>
        <w:pStyle w:val="Lista"/>
        <w:rPr>
          <w:rFonts w:eastAsia="Arial" w:cs="Arial"/>
          <w:b/>
          <w:sz w:val="22"/>
          <w:szCs w:val="22"/>
        </w:rPr>
      </w:pPr>
    </w:p>
    <w:p w14:paraId="6952231D" w14:textId="77777777" w:rsidR="00A8344C" w:rsidRPr="00B710A9" w:rsidRDefault="00A8344C" w:rsidP="00356A3E">
      <w:pPr>
        <w:pStyle w:val="Lista"/>
        <w:numPr>
          <w:ilvl w:val="0"/>
          <w:numId w:val="56"/>
        </w:numPr>
        <w:rPr>
          <w:rFonts w:eastAsia="Arial" w:cs="Arial"/>
          <w:sz w:val="22"/>
          <w:szCs w:val="22"/>
        </w:rPr>
      </w:pPr>
      <w:r w:rsidRPr="00B710A9">
        <w:rPr>
          <w:rFonts w:eastAsia="Arial" w:cs="Arial"/>
          <w:b/>
          <w:sz w:val="22"/>
          <w:szCs w:val="22"/>
        </w:rPr>
        <w:t>Servicios Ciudadanos Digitales:</w:t>
      </w:r>
      <w:r w:rsidRPr="00B710A9">
        <w:rPr>
          <w:rFonts w:eastAsia="Arial" w:cs="Arial"/>
          <w:sz w:val="22"/>
          <w:szCs w:val="22"/>
        </w:rPr>
        <w:t xml:space="preserve"> con el apoyo de la AND y MinTIC, se mantiene el proceso de resolución de inconvenientes de autenticación electrónica y afinando las plataformas de cada una de las entidades. De igual manera se revisó los aspectos técnicos necesarios para el uso de la autenticación electrónica con Personas Jurídicas.</w:t>
      </w:r>
    </w:p>
    <w:p w14:paraId="0F1A0148" w14:textId="77777777" w:rsidR="00A8344C" w:rsidRPr="00B710A9" w:rsidRDefault="00A8344C" w:rsidP="00A8344C">
      <w:pPr>
        <w:pStyle w:val="Lista"/>
        <w:rPr>
          <w:rFonts w:eastAsia="Arial" w:cs="Arial"/>
          <w:sz w:val="22"/>
          <w:szCs w:val="22"/>
        </w:rPr>
      </w:pPr>
      <w:r w:rsidRPr="00B710A9">
        <w:rPr>
          <w:rFonts w:eastAsia="Arial" w:cs="Arial"/>
          <w:sz w:val="22"/>
          <w:szCs w:val="22"/>
        </w:rPr>
        <w:t xml:space="preserve"> </w:t>
      </w:r>
    </w:p>
    <w:p w14:paraId="73AFD04A" w14:textId="77777777" w:rsidR="00A8344C" w:rsidRPr="00B710A9" w:rsidRDefault="00A8344C" w:rsidP="00356A3E">
      <w:pPr>
        <w:pStyle w:val="Lista"/>
        <w:numPr>
          <w:ilvl w:val="0"/>
          <w:numId w:val="56"/>
        </w:numPr>
        <w:rPr>
          <w:rFonts w:eastAsia="Arial" w:cs="Arial"/>
          <w:sz w:val="22"/>
          <w:szCs w:val="22"/>
        </w:rPr>
      </w:pPr>
      <w:r w:rsidRPr="00B710A9">
        <w:rPr>
          <w:rFonts w:eastAsia="Arial" w:cs="Arial"/>
          <w:b/>
          <w:sz w:val="22"/>
          <w:szCs w:val="22"/>
        </w:rPr>
        <w:t xml:space="preserve">Licenciamiento de </w:t>
      </w:r>
      <w:proofErr w:type="spellStart"/>
      <w:r w:rsidRPr="00B710A9">
        <w:rPr>
          <w:rFonts w:eastAsia="Arial" w:cs="Arial"/>
          <w:b/>
          <w:sz w:val="22"/>
          <w:szCs w:val="22"/>
        </w:rPr>
        <w:t>ChatBot</w:t>
      </w:r>
      <w:proofErr w:type="spellEnd"/>
      <w:r w:rsidRPr="00B710A9">
        <w:rPr>
          <w:rFonts w:eastAsia="Arial" w:cs="Arial"/>
          <w:b/>
          <w:sz w:val="22"/>
          <w:szCs w:val="22"/>
        </w:rPr>
        <w:t xml:space="preserve"> de Microsoft:</w:t>
      </w:r>
      <w:r w:rsidRPr="00B710A9">
        <w:rPr>
          <w:rFonts w:eastAsia="Arial" w:cs="Arial"/>
          <w:sz w:val="22"/>
          <w:szCs w:val="22"/>
        </w:rPr>
        <w:t xml:space="preserve"> Se ha venido capacitando el personal para el manejo de la herramienta, así como el afinamiento de los permisos y condiciones para operar dicha herramienta.</w:t>
      </w:r>
    </w:p>
    <w:p w14:paraId="3AD69C5F" w14:textId="77777777" w:rsidR="00A8344C" w:rsidRPr="00B710A9" w:rsidRDefault="00A8344C" w:rsidP="00A8344C">
      <w:pPr>
        <w:pStyle w:val="Lista"/>
        <w:rPr>
          <w:rFonts w:eastAsia="Arial" w:cs="Arial"/>
          <w:sz w:val="22"/>
          <w:szCs w:val="22"/>
        </w:rPr>
      </w:pPr>
    </w:p>
    <w:p w14:paraId="5639BB28" w14:textId="6A8B6C4D" w:rsidR="00A8344C" w:rsidRPr="00B710A9" w:rsidRDefault="00A8344C" w:rsidP="00356A3E">
      <w:pPr>
        <w:pStyle w:val="Prrafodelista"/>
        <w:numPr>
          <w:ilvl w:val="0"/>
          <w:numId w:val="56"/>
        </w:numPr>
        <w:shd w:val="clear" w:color="auto" w:fill="FFFFFF" w:themeFill="background1"/>
        <w:overflowPunct w:val="0"/>
        <w:autoSpaceDE w:val="0"/>
        <w:spacing w:beforeAutospacing="1" w:after="0" w:afterAutospacing="1" w:line="240" w:lineRule="auto"/>
        <w:jc w:val="both"/>
        <w:textAlignment w:val="baseline"/>
        <w:rPr>
          <w:rFonts w:ascii="Arial" w:eastAsia="Arial" w:hAnsi="Arial" w:cs="Arial"/>
          <w:color w:val="000000"/>
          <w:sz w:val="22"/>
          <w:szCs w:val="22"/>
        </w:rPr>
      </w:pPr>
      <w:r w:rsidRPr="00B710A9">
        <w:rPr>
          <w:rFonts w:ascii="Arial" w:eastAsia="Arial" w:hAnsi="Arial" w:cs="Arial"/>
          <w:b/>
          <w:sz w:val="22"/>
          <w:szCs w:val="22"/>
        </w:rPr>
        <w:t>Datos Abiertos:</w:t>
      </w:r>
      <w:r w:rsidRPr="00B710A9">
        <w:rPr>
          <w:rFonts w:ascii="Arial" w:eastAsia="Arial" w:hAnsi="Arial" w:cs="Arial"/>
          <w:sz w:val="22"/>
          <w:szCs w:val="22"/>
        </w:rPr>
        <w:t xml:space="preserve"> En el transcurso del año 2021 se conformó </w:t>
      </w:r>
      <w:r w:rsidR="00153815" w:rsidRPr="00B710A9">
        <w:rPr>
          <w:rFonts w:ascii="Arial" w:eastAsia="Arial" w:hAnsi="Arial" w:cs="Arial"/>
          <w:sz w:val="22"/>
          <w:szCs w:val="22"/>
        </w:rPr>
        <w:t>el grupo</w:t>
      </w:r>
      <w:r w:rsidRPr="00B710A9">
        <w:rPr>
          <w:rFonts w:ascii="Arial" w:eastAsia="Arial" w:hAnsi="Arial" w:cs="Arial"/>
          <w:sz w:val="22"/>
          <w:szCs w:val="22"/>
        </w:rPr>
        <w:t xml:space="preserve"> de trabajo de Datos Abiertos, mediante el cual se realizaron mesas de trabajo para construir el plan de apertura y definir los posibles grupos de valor a los cuales se pretende llegar.</w:t>
      </w:r>
      <w:r w:rsidRPr="00B710A9">
        <w:rPr>
          <w:rFonts w:ascii="Arial" w:eastAsia="Arial" w:hAnsi="Arial" w:cs="Arial"/>
          <w:color w:val="000000"/>
          <w:sz w:val="22"/>
          <w:szCs w:val="22"/>
          <w:bdr w:val="none" w:sz="0" w:space="0" w:color="auto" w:frame="1"/>
        </w:rPr>
        <w:t xml:space="preserve"> Así mismo, durante la vigencia 2022 se han venido realizado las siguientes acciones:</w:t>
      </w:r>
    </w:p>
    <w:p w14:paraId="7FCDD4C7" w14:textId="77777777" w:rsidR="00A8344C" w:rsidRPr="00B710A9" w:rsidRDefault="00A8344C" w:rsidP="00356A3E">
      <w:pPr>
        <w:pStyle w:val="Prrafodelista"/>
        <w:numPr>
          <w:ilvl w:val="2"/>
          <w:numId w:val="54"/>
        </w:numPr>
        <w:shd w:val="clear" w:color="auto" w:fill="FFFFFF" w:themeFill="background1"/>
        <w:overflowPunct w:val="0"/>
        <w:autoSpaceDE w:val="0"/>
        <w:spacing w:beforeAutospacing="1" w:after="0" w:afterAutospacing="1" w:line="240" w:lineRule="auto"/>
        <w:jc w:val="both"/>
        <w:textAlignment w:val="baseline"/>
        <w:rPr>
          <w:rFonts w:ascii="Arial" w:eastAsia="Arial" w:hAnsi="Arial" w:cs="Arial"/>
          <w:color w:val="000000"/>
          <w:sz w:val="22"/>
          <w:szCs w:val="22"/>
          <w:bdr w:val="none" w:sz="0" w:space="0" w:color="auto" w:frame="1"/>
        </w:rPr>
      </w:pPr>
      <w:r w:rsidRPr="00B710A9">
        <w:rPr>
          <w:rFonts w:ascii="Arial" w:eastAsia="Arial" w:hAnsi="Arial" w:cs="Arial"/>
          <w:color w:val="000000"/>
          <w:sz w:val="22"/>
          <w:szCs w:val="22"/>
          <w:bdr w:val="none" w:sz="0" w:space="0" w:color="auto" w:frame="1"/>
        </w:rPr>
        <w:t>Diagnóstico inicial al 10% de los datos publicados por el IGAC, en lo referente a datos abiertos y al cumplimiento de publicación y aplicabilidad de estándares geográficos de los datos. De acuerdo a lo anterior se generó una primera versión del inventario de datos abiertos espaciales de IGAC.</w:t>
      </w:r>
    </w:p>
    <w:p w14:paraId="1668E209" w14:textId="77777777" w:rsidR="00A8344C" w:rsidRPr="00B710A9" w:rsidRDefault="00A8344C" w:rsidP="00356A3E">
      <w:pPr>
        <w:pStyle w:val="Prrafodelista"/>
        <w:numPr>
          <w:ilvl w:val="2"/>
          <w:numId w:val="54"/>
        </w:numPr>
        <w:shd w:val="clear" w:color="auto" w:fill="FFFFFF" w:themeFill="background1"/>
        <w:overflowPunct w:val="0"/>
        <w:autoSpaceDE w:val="0"/>
        <w:spacing w:beforeAutospacing="1" w:after="0" w:afterAutospacing="1" w:line="240" w:lineRule="auto"/>
        <w:jc w:val="both"/>
        <w:textAlignment w:val="baseline"/>
        <w:rPr>
          <w:rFonts w:ascii="Arial" w:eastAsia="Arial" w:hAnsi="Arial" w:cs="Arial"/>
          <w:color w:val="000000"/>
          <w:sz w:val="22"/>
          <w:szCs w:val="22"/>
        </w:rPr>
      </w:pPr>
      <w:r w:rsidRPr="00B710A9">
        <w:rPr>
          <w:rFonts w:ascii="Arial" w:eastAsia="Arial" w:hAnsi="Arial" w:cs="Arial"/>
          <w:color w:val="000000"/>
          <w:sz w:val="22"/>
          <w:szCs w:val="22"/>
          <w:bdr w:val="none" w:sz="0" w:space="0" w:color="auto" w:frame="1"/>
        </w:rPr>
        <w:t>Se desarrollaron 4 mesas técnicas de apertura sobre gestión e identificación de datos abiertos en los sectores de: Transporte, marítimo, ambiente y agropecuario.</w:t>
      </w:r>
    </w:p>
    <w:p w14:paraId="50B443F7" w14:textId="77777777" w:rsidR="00A8344C" w:rsidRPr="00B710A9" w:rsidRDefault="00A8344C" w:rsidP="00356A3E">
      <w:pPr>
        <w:pStyle w:val="Prrafodelista"/>
        <w:numPr>
          <w:ilvl w:val="2"/>
          <w:numId w:val="54"/>
        </w:numPr>
        <w:shd w:val="clear" w:color="auto" w:fill="FFFFFF" w:themeFill="background1"/>
        <w:overflowPunct w:val="0"/>
        <w:autoSpaceDE w:val="0"/>
        <w:spacing w:beforeAutospacing="1" w:after="0" w:afterAutospacing="1" w:line="240" w:lineRule="auto"/>
        <w:jc w:val="both"/>
        <w:textAlignment w:val="baseline"/>
        <w:rPr>
          <w:rFonts w:ascii="Arial" w:eastAsia="Arial" w:hAnsi="Arial" w:cs="Arial"/>
          <w:color w:val="000000"/>
          <w:sz w:val="22"/>
          <w:szCs w:val="22"/>
        </w:rPr>
      </w:pPr>
      <w:r w:rsidRPr="00B710A9">
        <w:rPr>
          <w:rFonts w:ascii="Arial" w:eastAsia="Arial" w:hAnsi="Arial" w:cs="Arial"/>
          <w:color w:val="000000"/>
          <w:sz w:val="22"/>
          <w:szCs w:val="22"/>
          <w:bdr w:val="none" w:sz="0" w:space="0" w:color="auto" w:frame="1"/>
        </w:rPr>
        <w:t xml:space="preserve">Se desarrollaron 5 mesas técnicas internas para la identificación de datos abiertos de IGAC con la dirección de gestión catastral, </w:t>
      </w:r>
      <w:r w:rsidRPr="00B710A9">
        <w:rPr>
          <w:rFonts w:ascii="Arial" w:eastAsia="Arial" w:hAnsi="Arial" w:cs="Arial"/>
          <w:color w:val="000000"/>
          <w:sz w:val="22"/>
          <w:szCs w:val="22"/>
          <w:bdr w:val="none" w:sz="0" w:space="0" w:color="auto" w:frame="1"/>
        </w:rPr>
        <w:lastRenderedPageBreak/>
        <w:t>subdirección de cartografía y geografía, dirección de regulación y habilitación, Oficina Asesora de Planeación y subdirección de información.</w:t>
      </w:r>
    </w:p>
    <w:p w14:paraId="2EA04C9F" w14:textId="77777777" w:rsidR="00A8344C" w:rsidRPr="00B710A9" w:rsidRDefault="00A8344C" w:rsidP="00356A3E">
      <w:pPr>
        <w:pStyle w:val="Prrafodelista"/>
        <w:numPr>
          <w:ilvl w:val="2"/>
          <w:numId w:val="54"/>
        </w:numPr>
        <w:shd w:val="clear" w:color="auto" w:fill="FFFFFF" w:themeFill="background1"/>
        <w:overflowPunct w:val="0"/>
        <w:autoSpaceDE w:val="0"/>
        <w:spacing w:beforeAutospacing="1" w:after="0" w:afterAutospacing="1" w:line="240" w:lineRule="auto"/>
        <w:jc w:val="both"/>
        <w:textAlignment w:val="baseline"/>
        <w:rPr>
          <w:rFonts w:ascii="Arial" w:eastAsia="Arial" w:hAnsi="Arial" w:cs="Arial"/>
          <w:color w:val="000000"/>
          <w:sz w:val="22"/>
          <w:szCs w:val="22"/>
        </w:rPr>
      </w:pPr>
      <w:r w:rsidRPr="00B710A9">
        <w:rPr>
          <w:rFonts w:ascii="Arial" w:eastAsia="Arial" w:hAnsi="Arial" w:cs="Arial"/>
          <w:color w:val="000000"/>
          <w:sz w:val="22"/>
          <w:szCs w:val="22"/>
        </w:rPr>
        <w:t>Se realizó la creación y publicación de nota en el portal de la ICDE referente a la descripción y características de un dato abierto (</w:t>
      </w:r>
      <w:hyperlink r:id="rId37" w:tgtFrame="_blank" w:history="1">
        <w:r w:rsidRPr="00B710A9">
          <w:rPr>
            <w:rFonts w:ascii="Arial" w:eastAsia="Arial" w:hAnsi="Arial" w:cs="Arial"/>
            <w:color w:val="0000FF"/>
            <w:sz w:val="22"/>
            <w:szCs w:val="22"/>
            <w:u w:val="single"/>
            <w:bdr w:val="none" w:sz="0" w:space="0" w:color="auto" w:frame="1"/>
          </w:rPr>
          <w:t>https://www.icde.gov.co/comunicaciones/noticias/la-icde-trabaja-en-el-plan-de-apertura-de-datos-abiertos-del-igac</w:t>
        </w:r>
      </w:hyperlink>
      <w:r w:rsidRPr="00B710A9">
        <w:rPr>
          <w:rFonts w:ascii="Arial" w:eastAsia="Arial" w:hAnsi="Arial" w:cs="Arial"/>
          <w:color w:val="000000"/>
          <w:sz w:val="22"/>
          <w:szCs w:val="22"/>
        </w:rPr>
        <w:t>) </w:t>
      </w:r>
    </w:p>
    <w:p w14:paraId="56A84D32" w14:textId="77777777" w:rsidR="00A8344C" w:rsidRPr="00B710A9" w:rsidRDefault="00A8344C" w:rsidP="00356A3E">
      <w:pPr>
        <w:pStyle w:val="Lista"/>
        <w:numPr>
          <w:ilvl w:val="0"/>
          <w:numId w:val="55"/>
        </w:numPr>
        <w:rPr>
          <w:rStyle w:val="normaltextrun"/>
          <w:rFonts w:eastAsia="Arial" w:cs="Arial"/>
          <w:sz w:val="22"/>
          <w:szCs w:val="22"/>
          <w:lang w:eastAsia="es-CO"/>
        </w:rPr>
      </w:pPr>
      <w:r w:rsidRPr="00B710A9">
        <w:rPr>
          <w:rFonts w:eastAsia="Arial" w:cs="Arial"/>
          <w:b/>
          <w:sz w:val="22"/>
          <w:szCs w:val="22"/>
        </w:rPr>
        <w:t>Modernización de los portales web de la entidad:</w:t>
      </w:r>
      <w:r w:rsidRPr="00B710A9">
        <w:rPr>
          <w:rFonts w:eastAsia="Arial" w:cs="Arial"/>
          <w:sz w:val="22"/>
          <w:szCs w:val="22"/>
        </w:rPr>
        <w:t xml:space="preserve"> </w:t>
      </w:r>
      <w:r w:rsidRPr="00B710A9">
        <w:rPr>
          <w:rStyle w:val="normaltextrun"/>
          <w:rFonts w:eastAsia="Arial" w:cs="Arial"/>
          <w:sz w:val="22"/>
          <w:szCs w:val="22"/>
          <w:lang w:eastAsia="es-CO"/>
        </w:rPr>
        <w:t>se desarrolló la nueva plataforma para el manejo de contenidos, uso de lineamientos de diseño y la estructura de la información según los lineamientos establecidos por MinTIC.</w:t>
      </w:r>
    </w:p>
    <w:p w14:paraId="11A6646A" w14:textId="77777777" w:rsidR="00A8344C" w:rsidRPr="00B710A9" w:rsidRDefault="00A8344C" w:rsidP="00A8344C">
      <w:pPr>
        <w:pStyle w:val="Lista"/>
        <w:ind w:left="360"/>
        <w:rPr>
          <w:rFonts w:eastAsia="Arial" w:cs="Arial"/>
          <w:b/>
          <w:sz w:val="22"/>
          <w:szCs w:val="22"/>
        </w:rPr>
      </w:pPr>
    </w:p>
    <w:p w14:paraId="7C11B87D" w14:textId="77777777" w:rsidR="00D03FCC" w:rsidRPr="00B710A9" w:rsidRDefault="00D03FCC" w:rsidP="00A8344C">
      <w:pPr>
        <w:pStyle w:val="Lista"/>
        <w:ind w:left="360"/>
        <w:rPr>
          <w:rFonts w:eastAsia="Arial" w:cs="Arial"/>
          <w:b/>
          <w:sz w:val="22"/>
          <w:szCs w:val="22"/>
        </w:rPr>
      </w:pPr>
    </w:p>
    <w:p w14:paraId="3B7DE67E" w14:textId="77777777" w:rsidR="00D03FCC" w:rsidRPr="00B710A9" w:rsidRDefault="00D03FCC" w:rsidP="00A8344C">
      <w:pPr>
        <w:pStyle w:val="Lista"/>
        <w:ind w:left="360"/>
        <w:rPr>
          <w:rFonts w:eastAsia="Arial" w:cs="Arial"/>
          <w:b/>
          <w:sz w:val="22"/>
          <w:szCs w:val="22"/>
        </w:rPr>
      </w:pPr>
    </w:p>
    <w:p w14:paraId="3766E38A" w14:textId="77777777" w:rsidR="00A8344C" w:rsidRPr="00B710A9" w:rsidRDefault="00A8344C" w:rsidP="00A8344C">
      <w:pPr>
        <w:pStyle w:val="Lista"/>
        <w:ind w:left="360"/>
        <w:rPr>
          <w:rFonts w:eastAsia="Arial" w:cs="Arial"/>
          <w:b/>
          <w:sz w:val="22"/>
          <w:szCs w:val="22"/>
        </w:rPr>
      </w:pPr>
      <w:r w:rsidRPr="00B710A9">
        <w:rPr>
          <w:rFonts w:eastAsia="Arial" w:cs="Arial"/>
          <w:b/>
          <w:sz w:val="22"/>
          <w:szCs w:val="22"/>
        </w:rPr>
        <w:t>Seguridad de la Información</w:t>
      </w:r>
    </w:p>
    <w:p w14:paraId="01340558" w14:textId="77777777" w:rsidR="00A8344C" w:rsidRPr="00B710A9" w:rsidRDefault="00A8344C" w:rsidP="00A8344C">
      <w:pPr>
        <w:ind w:left="720"/>
        <w:jc w:val="both"/>
        <w:rPr>
          <w:rFonts w:ascii="Arial" w:eastAsia="Arial" w:hAnsi="Arial" w:cs="Arial"/>
          <w:color w:val="000000"/>
          <w:sz w:val="22"/>
          <w:szCs w:val="22"/>
        </w:rPr>
      </w:pPr>
    </w:p>
    <w:p w14:paraId="43BDBD23" w14:textId="3FB95486" w:rsidR="00A8344C" w:rsidRPr="00B710A9" w:rsidRDefault="00A8344C" w:rsidP="00356A3E">
      <w:pPr>
        <w:pStyle w:val="paragraph"/>
        <w:numPr>
          <w:ilvl w:val="0"/>
          <w:numId w:val="55"/>
        </w:numPr>
        <w:spacing w:before="0" w:beforeAutospacing="0" w:after="0" w:afterAutospacing="0"/>
        <w:jc w:val="both"/>
        <w:textAlignment w:val="baseline"/>
        <w:rPr>
          <w:rStyle w:val="normaltextrun"/>
          <w:rFonts w:ascii="Arial" w:eastAsia="Arial" w:hAnsi="Arial" w:cs="Arial"/>
          <w:sz w:val="22"/>
          <w:szCs w:val="22"/>
        </w:rPr>
      </w:pPr>
      <w:r w:rsidRPr="00B710A9">
        <w:rPr>
          <w:rStyle w:val="normaltextrun"/>
          <w:rFonts w:ascii="Arial" w:eastAsia="Arial" w:hAnsi="Arial" w:cs="Arial"/>
          <w:b/>
          <w:sz w:val="22"/>
          <w:szCs w:val="22"/>
        </w:rPr>
        <w:t>Implementación de una solución SIEM</w:t>
      </w:r>
      <w:r w:rsidRPr="00B710A9">
        <w:rPr>
          <w:rStyle w:val="normaltextrun"/>
          <w:rFonts w:ascii="Arial" w:eastAsia="Arial" w:hAnsi="Arial" w:cs="Arial"/>
          <w:sz w:val="22"/>
          <w:szCs w:val="22"/>
        </w:rPr>
        <w:t xml:space="preserve"> (Security </w:t>
      </w:r>
      <w:proofErr w:type="spellStart"/>
      <w:r w:rsidRPr="00B710A9">
        <w:rPr>
          <w:rStyle w:val="normaltextrun"/>
          <w:rFonts w:ascii="Arial" w:eastAsia="Arial" w:hAnsi="Arial" w:cs="Arial"/>
          <w:sz w:val="22"/>
          <w:szCs w:val="22"/>
        </w:rPr>
        <w:t>information</w:t>
      </w:r>
      <w:proofErr w:type="spellEnd"/>
      <w:r w:rsidRPr="00B710A9">
        <w:rPr>
          <w:rStyle w:val="normaltextrun"/>
          <w:rFonts w:ascii="Arial" w:eastAsia="Arial" w:hAnsi="Arial" w:cs="Arial"/>
          <w:sz w:val="22"/>
          <w:szCs w:val="22"/>
        </w:rPr>
        <w:t> </w:t>
      </w:r>
      <w:proofErr w:type="spellStart"/>
      <w:r w:rsidRPr="00B710A9">
        <w:rPr>
          <w:rStyle w:val="normaltextrun"/>
          <w:rFonts w:ascii="Arial" w:eastAsia="Arial" w:hAnsi="Arial" w:cs="Arial"/>
          <w:sz w:val="22"/>
          <w:szCs w:val="22"/>
        </w:rPr>
        <w:t>management</w:t>
      </w:r>
      <w:proofErr w:type="spellEnd"/>
      <w:r w:rsidRPr="00B710A9">
        <w:rPr>
          <w:rStyle w:val="normaltextrun"/>
          <w:rFonts w:ascii="Arial" w:eastAsia="Arial" w:hAnsi="Arial" w:cs="Arial"/>
          <w:sz w:val="22"/>
          <w:szCs w:val="22"/>
        </w:rPr>
        <w:t xml:space="preserve">) para analizar el flujo de información de la Entidad, con lo cual se realizan </w:t>
      </w:r>
      <w:r w:rsidR="00153815" w:rsidRPr="00B710A9">
        <w:rPr>
          <w:rStyle w:val="normaltextrun"/>
          <w:rFonts w:ascii="Arial" w:eastAsia="Arial" w:hAnsi="Arial" w:cs="Arial"/>
          <w:sz w:val="22"/>
          <w:szCs w:val="22"/>
        </w:rPr>
        <w:t>actividades</w:t>
      </w:r>
      <w:r w:rsidRPr="00B710A9">
        <w:rPr>
          <w:rStyle w:val="normaltextrun"/>
          <w:rFonts w:ascii="Arial" w:eastAsia="Arial" w:hAnsi="Arial" w:cs="Arial"/>
          <w:sz w:val="22"/>
          <w:szCs w:val="22"/>
        </w:rPr>
        <w:t xml:space="preserve"> de detección y reacción ante comportamientos inusuales en la red. </w:t>
      </w:r>
    </w:p>
    <w:p w14:paraId="610DBC15" w14:textId="77777777" w:rsidR="00A8344C" w:rsidRPr="00B710A9" w:rsidRDefault="00A8344C" w:rsidP="00A8344C">
      <w:pPr>
        <w:pStyle w:val="paragraph"/>
        <w:spacing w:before="0" w:beforeAutospacing="0" w:after="0" w:afterAutospacing="0"/>
        <w:ind w:left="720"/>
        <w:jc w:val="both"/>
        <w:textAlignment w:val="baseline"/>
        <w:rPr>
          <w:rStyle w:val="eop"/>
          <w:rFonts w:ascii="Arial" w:eastAsia="Arial" w:hAnsi="Arial" w:cs="Arial"/>
          <w:sz w:val="22"/>
          <w:szCs w:val="22"/>
        </w:rPr>
      </w:pPr>
      <w:r w:rsidRPr="00B710A9">
        <w:rPr>
          <w:rStyle w:val="normaltextrun"/>
          <w:rFonts w:ascii="Arial" w:eastAsia="Arial" w:hAnsi="Arial" w:cs="Arial"/>
          <w:sz w:val="22"/>
          <w:szCs w:val="22"/>
        </w:rPr>
        <w:t>A</w:t>
      </w:r>
      <w:r w:rsidRPr="00B710A9">
        <w:rPr>
          <w:rFonts w:ascii="Arial" w:eastAsia="Arial" w:hAnsi="Arial" w:cs="Arial"/>
          <w:sz w:val="22"/>
          <w:szCs w:val="22"/>
        </w:rPr>
        <w:t>sí mimo s</w:t>
      </w:r>
      <w:r w:rsidRPr="00B710A9">
        <w:rPr>
          <w:rStyle w:val="normaltextrun"/>
          <w:rFonts w:ascii="Arial" w:eastAsia="Arial" w:hAnsi="Arial" w:cs="Arial"/>
          <w:sz w:val="22"/>
          <w:szCs w:val="22"/>
        </w:rPr>
        <w:t>e contrató un grupo especializado de SOC y NOC quienes realizan acciones preventivas y correctivas de acuerdo con el monitoreo permanente realizado con el apoyo de la solución SIEM. </w:t>
      </w:r>
      <w:r w:rsidRPr="00B710A9">
        <w:rPr>
          <w:rStyle w:val="eop"/>
          <w:rFonts w:ascii="Arial" w:eastAsia="Arial" w:hAnsi="Arial" w:cs="Arial"/>
          <w:sz w:val="22"/>
          <w:szCs w:val="22"/>
        </w:rPr>
        <w:t> </w:t>
      </w:r>
    </w:p>
    <w:p w14:paraId="66F56B29" w14:textId="77777777" w:rsidR="00A8344C" w:rsidRPr="00B710A9" w:rsidRDefault="00A8344C" w:rsidP="00A8344C">
      <w:pPr>
        <w:pStyle w:val="paragraph"/>
        <w:spacing w:before="0" w:beforeAutospacing="0" w:after="0" w:afterAutospacing="0"/>
        <w:ind w:left="720"/>
        <w:jc w:val="both"/>
        <w:textAlignment w:val="baseline"/>
        <w:rPr>
          <w:rStyle w:val="normaltextrun"/>
          <w:rFonts w:ascii="Arial" w:eastAsia="Arial" w:hAnsi="Arial" w:cs="Arial"/>
          <w:sz w:val="22"/>
          <w:szCs w:val="22"/>
        </w:rPr>
      </w:pPr>
      <w:r w:rsidRPr="00B710A9">
        <w:rPr>
          <w:rStyle w:val="eop"/>
          <w:rFonts w:ascii="Arial" w:eastAsia="Arial" w:hAnsi="Arial" w:cs="Arial"/>
          <w:sz w:val="22"/>
          <w:szCs w:val="22"/>
        </w:rPr>
        <w:t>De</w:t>
      </w:r>
      <w:r w:rsidRPr="00B710A9">
        <w:rPr>
          <w:rStyle w:val="normaltextrun"/>
          <w:rFonts w:ascii="Arial" w:eastAsia="Arial" w:hAnsi="Arial" w:cs="Arial"/>
          <w:sz w:val="22"/>
          <w:szCs w:val="22"/>
        </w:rPr>
        <w:t xml:space="preserve"> 70 mil eventos de malware que recibía el IGAC antes de implementar la solución de SIEM, después de su instalación se redujo a más o menos la recepción de 2 eventos por mes; Así mismo de 600 casos de </w:t>
      </w:r>
      <w:proofErr w:type="spellStart"/>
      <w:r w:rsidRPr="00B710A9">
        <w:rPr>
          <w:rStyle w:val="normaltextrun"/>
          <w:rFonts w:ascii="Arial" w:eastAsia="Arial" w:hAnsi="Arial" w:cs="Arial"/>
          <w:sz w:val="22"/>
          <w:szCs w:val="22"/>
        </w:rPr>
        <w:t>botnet</w:t>
      </w:r>
      <w:proofErr w:type="spellEnd"/>
      <w:r w:rsidRPr="00B710A9">
        <w:rPr>
          <w:rStyle w:val="normaltextrun"/>
          <w:rFonts w:ascii="Arial" w:eastAsia="Arial" w:hAnsi="Arial" w:cs="Arial"/>
          <w:sz w:val="22"/>
          <w:szCs w:val="22"/>
        </w:rPr>
        <w:t> (casos relacionados con minería).</w:t>
      </w:r>
    </w:p>
    <w:p w14:paraId="701CF58F" w14:textId="77777777" w:rsidR="00A8344C" w:rsidRPr="00B710A9" w:rsidRDefault="00A8344C" w:rsidP="00A8344C">
      <w:pPr>
        <w:pStyle w:val="paragraph"/>
        <w:spacing w:before="0" w:beforeAutospacing="0" w:after="0" w:afterAutospacing="0"/>
        <w:ind w:left="720"/>
        <w:jc w:val="both"/>
        <w:textAlignment w:val="baseline"/>
        <w:rPr>
          <w:rStyle w:val="normaltextrun"/>
          <w:rFonts w:ascii="Arial" w:eastAsia="Arial" w:hAnsi="Arial" w:cs="Arial"/>
          <w:sz w:val="22"/>
          <w:szCs w:val="22"/>
        </w:rPr>
      </w:pPr>
    </w:p>
    <w:p w14:paraId="22055DD8" w14:textId="77777777" w:rsidR="00A8344C" w:rsidRPr="00B710A9" w:rsidRDefault="00A8344C" w:rsidP="00356A3E">
      <w:pPr>
        <w:pStyle w:val="paragraph"/>
        <w:numPr>
          <w:ilvl w:val="0"/>
          <w:numId w:val="55"/>
        </w:numPr>
        <w:spacing w:before="0" w:beforeAutospacing="0" w:after="0" w:afterAutospacing="0"/>
        <w:jc w:val="both"/>
        <w:textAlignment w:val="baseline"/>
        <w:rPr>
          <w:rStyle w:val="normaltextrun"/>
          <w:rFonts w:ascii="Arial" w:eastAsia="Arial" w:hAnsi="Arial" w:cs="Arial"/>
          <w:sz w:val="22"/>
          <w:szCs w:val="22"/>
        </w:rPr>
      </w:pPr>
      <w:r w:rsidRPr="00B710A9">
        <w:rPr>
          <w:rStyle w:val="normaltextrun"/>
          <w:rFonts w:ascii="Arial" w:eastAsia="Arial" w:hAnsi="Arial" w:cs="Arial"/>
          <w:b/>
          <w:sz w:val="22"/>
          <w:szCs w:val="22"/>
        </w:rPr>
        <w:t>Cumplimiento del indicador:</w:t>
      </w:r>
      <w:r w:rsidRPr="00B710A9">
        <w:rPr>
          <w:rStyle w:val="normaltextrun"/>
          <w:rFonts w:ascii="Arial" w:eastAsia="Arial" w:hAnsi="Arial" w:cs="Arial"/>
          <w:sz w:val="22"/>
          <w:szCs w:val="22"/>
        </w:rPr>
        <w:t xml:space="preserve"> Implementar el sistema de gestión de seguridad de la información en un 83%.</w:t>
      </w:r>
    </w:p>
    <w:p w14:paraId="42EDFAB7" w14:textId="77777777" w:rsidR="00A8344C" w:rsidRPr="00B710A9" w:rsidRDefault="00A8344C" w:rsidP="00A8344C">
      <w:pPr>
        <w:pStyle w:val="paragraph"/>
        <w:spacing w:before="0" w:beforeAutospacing="0" w:after="0" w:afterAutospacing="0"/>
        <w:ind w:left="720"/>
        <w:jc w:val="both"/>
        <w:textAlignment w:val="baseline"/>
        <w:rPr>
          <w:rStyle w:val="normaltextrun"/>
          <w:rFonts w:ascii="Arial" w:eastAsia="Arial" w:hAnsi="Arial" w:cs="Arial"/>
          <w:sz w:val="22"/>
          <w:szCs w:val="22"/>
        </w:rPr>
      </w:pPr>
    </w:p>
    <w:p w14:paraId="3EB810C1" w14:textId="77777777" w:rsidR="00A8344C" w:rsidRPr="00B710A9" w:rsidRDefault="00A8344C" w:rsidP="00356A3E">
      <w:pPr>
        <w:pStyle w:val="paragraph"/>
        <w:numPr>
          <w:ilvl w:val="0"/>
          <w:numId w:val="55"/>
        </w:numPr>
        <w:spacing w:before="0" w:beforeAutospacing="0" w:after="0" w:afterAutospacing="0"/>
        <w:jc w:val="both"/>
        <w:textAlignment w:val="baseline"/>
        <w:rPr>
          <w:rStyle w:val="normaltextrun"/>
          <w:rFonts w:ascii="Arial" w:eastAsia="Arial" w:hAnsi="Arial" w:cs="Arial"/>
          <w:sz w:val="22"/>
          <w:szCs w:val="22"/>
        </w:rPr>
      </w:pPr>
      <w:r w:rsidRPr="00B710A9">
        <w:rPr>
          <w:rStyle w:val="normaltextrun"/>
          <w:rFonts w:ascii="Arial" w:eastAsia="Arial" w:hAnsi="Arial" w:cs="Arial"/>
          <w:b/>
          <w:sz w:val="22"/>
          <w:szCs w:val="22"/>
        </w:rPr>
        <w:t>En cumplimiento del objetivo</w:t>
      </w:r>
      <w:r w:rsidRPr="00B710A9">
        <w:rPr>
          <w:rStyle w:val="normaltextrun"/>
          <w:rFonts w:ascii="Arial" w:eastAsia="Arial" w:hAnsi="Arial" w:cs="Arial"/>
          <w:sz w:val="22"/>
          <w:szCs w:val="22"/>
        </w:rPr>
        <w:t xml:space="preserve"> </w:t>
      </w:r>
      <w:r w:rsidRPr="00B710A9">
        <w:rPr>
          <w:rStyle w:val="normaltextrun"/>
          <w:rFonts w:ascii="Arial" w:eastAsia="Arial" w:hAnsi="Arial" w:cs="Arial"/>
          <w:i/>
          <w:sz w:val="22"/>
          <w:szCs w:val="22"/>
        </w:rPr>
        <w:t>“Mitigar los riesgos de seguridad y privacidad de la información y seguridad digital que son identificados para el total de los procesos del IGAC, con base en los activos de información críticos y así preservar la integridad, disponibilidad y confidencialidad de la información a través de la gestión de incidentes de seguridad de la información, el fortalecimiento de la cultura de seguridad y privacidad y el cumplimiento de los requisitos legales y normativos en materia de seguridad de la información”,</w:t>
      </w:r>
      <w:r w:rsidRPr="00B710A9">
        <w:rPr>
          <w:rStyle w:val="normaltextrun"/>
          <w:rFonts w:ascii="Arial" w:eastAsia="Arial" w:hAnsi="Arial" w:cs="Arial"/>
          <w:sz w:val="22"/>
          <w:szCs w:val="22"/>
        </w:rPr>
        <w:t xml:space="preserve"> planteado en el SGSI 2021, se realizan las actividades de:</w:t>
      </w:r>
    </w:p>
    <w:p w14:paraId="36678086" w14:textId="77777777" w:rsidR="00A8344C" w:rsidRPr="00B710A9" w:rsidRDefault="00A8344C" w:rsidP="00356A3E">
      <w:pPr>
        <w:pStyle w:val="paragraph"/>
        <w:numPr>
          <w:ilvl w:val="1"/>
          <w:numId w:val="57"/>
        </w:numPr>
        <w:spacing w:before="0" w:beforeAutospacing="0" w:after="0" w:afterAutospacing="0"/>
        <w:ind w:left="1134"/>
        <w:jc w:val="both"/>
        <w:textAlignment w:val="baseline"/>
        <w:rPr>
          <w:rStyle w:val="normaltextrun"/>
          <w:rFonts w:ascii="Arial" w:eastAsia="Arial" w:hAnsi="Arial" w:cs="Arial"/>
          <w:sz w:val="22"/>
          <w:szCs w:val="22"/>
        </w:rPr>
      </w:pPr>
      <w:r w:rsidRPr="00B710A9">
        <w:rPr>
          <w:rStyle w:val="normaltextrun"/>
          <w:rFonts w:ascii="Arial" w:eastAsia="Arial" w:hAnsi="Arial" w:cs="Arial"/>
          <w:sz w:val="22"/>
          <w:szCs w:val="22"/>
        </w:rPr>
        <w:t>Actualización de la Política de seguridad de la información de acuerdo con los nuevos objetivos estratégicos de la entidad</w:t>
      </w:r>
    </w:p>
    <w:p w14:paraId="3BBA684D" w14:textId="77777777" w:rsidR="00A8344C" w:rsidRPr="00B710A9" w:rsidRDefault="00A8344C" w:rsidP="00356A3E">
      <w:pPr>
        <w:pStyle w:val="paragraph"/>
        <w:numPr>
          <w:ilvl w:val="1"/>
          <w:numId w:val="57"/>
        </w:numPr>
        <w:spacing w:before="0" w:beforeAutospacing="0" w:after="0" w:afterAutospacing="0"/>
        <w:ind w:left="1134"/>
        <w:jc w:val="both"/>
        <w:textAlignment w:val="baseline"/>
        <w:rPr>
          <w:rStyle w:val="normaltextrun"/>
          <w:rFonts w:ascii="Arial" w:eastAsia="Arial" w:hAnsi="Arial" w:cs="Arial"/>
          <w:sz w:val="22"/>
          <w:szCs w:val="22"/>
        </w:rPr>
      </w:pPr>
      <w:r w:rsidRPr="00B710A9">
        <w:rPr>
          <w:rStyle w:val="normaltextrun"/>
          <w:rFonts w:ascii="Arial" w:eastAsia="Arial" w:hAnsi="Arial" w:cs="Arial"/>
          <w:sz w:val="22"/>
          <w:szCs w:val="22"/>
        </w:rPr>
        <w:t>Actualización de los activos de información para los procesos: Gestión Catastral, Gestión de Sistemas de Información e Infraestructura, Gestión de Información Geográfica, Gestión de Talento Humano, Innovación y Gestión del Conocimiento</w:t>
      </w:r>
    </w:p>
    <w:p w14:paraId="794020B8" w14:textId="77777777" w:rsidR="00A8344C" w:rsidRPr="00B710A9" w:rsidRDefault="00A8344C" w:rsidP="00356A3E">
      <w:pPr>
        <w:pStyle w:val="paragraph"/>
        <w:numPr>
          <w:ilvl w:val="1"/>
          <w:numId w:val="57"/>
        </w:numPr>
        <w:spacing w:before="0" w:beforeAutospacing="0" w:after="0" w:afterAutospacing="0"/>
        <w:ind w:left="1134"/>
        <w:jc w:val="both"/>
        <w:textAlignment w:val="baseline"/>
        <w:rPr>
          <w:rStyle w:val="normaltextrun"/>
          <w:rFonts w:ascii="Arial" w:eastAsia="Arial" w:hAnsi="Arial" w:cs="Arial"/>
          <w:sz w:val="22"/>
          <w:szCs w:val="22"/>
        </w:rPr>
      </w:pPr>
      <w:r w:rsidRPr="00B710A9">
        <w:rPr>
          <w:rStyle w:val="normaltextrun"/>
          <w:rFonts w:ascii="Arial" w:eastAsia="Arial" w:hAnsi="Arial" w:cs="Arial"/>
          <w:sz w:val="22"/>
          <w:szCs w:val="22"/>
        </w:rPr>
        <w:t>Gestión de los riesgos de seguridad y privacidad de la información y seguridad digital.</w:t>
      </w:r>
    </w:p>
    <w:p w14:paraId="2C342F60" w14:textId="77777777" w:rsidR="00A8344C" w:rsidRPr="00B710A9" w:rsidRDefault="00A8344C" w:rsidP="00356A3E">
      <w:pPr>
        <w:pStyle w:val="paragraph"/>
        <w:numPr>
          <w:ilvl w:val="1"/>
          <w:numId w:val="57"/>
        </w:numPr>
        <w:spacing w:before="0" w:beforeAutospacing="0" w:after="0" w:afterAutospacing="0"/>
        <w:ind w:left="1134"/>
        <w:jc w:val="both"/>
        <w:textAlignment w:val="baseline"/>
        <w:rPr>
          <w:rFonts w:ascii="Arial" w:eastAsia="Arial" w:hAnsi="Arial" w:cs="Arial"/>
          <w:sz w:val="22"/>
          <w:szCs w:val="22"/>
        </w:rPr>
      </w:pPr>
      <w:r w:rsidRPr="00B710A9">
        <w:rPr>
          <w:rStyle w:val="normaltextrun"/>
          <w:rFonts w:ascii="Arial" w:eastAsia="Arial" w:hAnsi="Arial" w:cs="Arial"/>
          <w:sz w:val="22"/>
          <w:szCs w:val="22"/>
        </w:rPr>
        <w:t xml:space="preserve">Ejecución del Plan de Sensibilización del SGSI de la Vigencia, mediante la realización de campañas de seguridad, remisión de </w:t>
      </w:r>
      <w:proofErr w:type="spellStart"/>
      <w:r w:rsidRPr="00B710A9">
        <w:rPr>
          <w:rStyle w:val="normaltextrun"/>
          <w:rFonts w:ascii="Arial" w:eastAsia="Arial" w:hAnsi="Arial" w:cs="Arial"/>
          <w:sz w:val="22"/>
          <w:szCs w:val="22"/>
        </w:rPr>
        <w:t>tips</w:t>
      </w:r>
      <w:proofErr w:type="spellEnd"/>
      <w:r w:rsidRPr="00B710A9">
        <w:rPr>
          <w:rStyle w:val="normaltextrun"/>
          <w:rFonts w:ascii="Arial" w:eastAsia="Arial" w:hAnsi="Arial" w:cs="Arial"/>
          <w:sz w:val="22"/>
          <w:szCs w:val="22"/>
        </w:rPr>
        <w:t xml:space="preserve"> de información de seguridad y Charlas de seguridad de la información.</w:t>
      </w:r>
    </w:p>
    <w:p w14:paraId="690A4B84" w14:textId="77777777" w:rsidR="00A8344C" w:rsidRPr="00B710A9" w:rsidRDefault="00A8344C" w:rsidP="00A8344C">
      <w:pPr>
        <w:pStyle w:val="paragraph"/>
        <w:spacing w:before="0" w:beforeAutospacing="0" w:after="0" w:afterAutospacing="0"/>
        <w:ind w:left="720"/>
        <w:jc w:val="both"/>
        <w:textAlignment w:val="baseline"/>
        <w:rPr>
          <w:rStyle w:val="normaltextrun"/>
          <w:rFonts w:ascii="Arial" w:eastAsia="Arial" w:hAnsi="Arial" w:cs="Arial"/>
          <w:sz w:val="22"/>
          <w:szCs w:val="22"/>
        </w:rPr>
      </w:pPr>
    </w:p>
    <w:p w14:paraId="4AFFF865" w14:textId="77777777" w:rsidR="00A8344C" w:rsidRPr="00B710A9" w:rsidRDefault="00A8344C" w:rsidP="00356A3E">
      <w:pPr>
        <w:pStyle w:val="paragraph"/>
        <w:numPr>
          <w:ilvl w:val="0"/>
          <w:numId w:val="59"/>
        </w:numPr>
        <w:spacing w:before="0" w:beforeAutospacing="0" w:after="0" w:afterAutospacing="0"/>
        <w:jc w:val="both"/>
        <w:textAlignment w:val="baseline"/>
        <w:rPr>
          <w:rStyle w:val="normaltextrun"/>
          <w:rFonts w:ascii="Arial" w:eastAsia="Arial" w:hAnsi="Arial" w:cs="Arial"/>
          <w:sz w:val="22"/>
          <w:szCs w:val="22"/>
        </w:rPr>
      </w:pPr>
      <w:r w:rsidRPr="00B710A9">
        <w:rPr>
          <w:rStyle w:val="normaltextrun"/>
          <w:rFonts w:ascii="Arial" w:eastAsia="Arial" w:hAnsi="Arial" w:cs="Arial"/>
          <w:b/>
          <w:sz w:val="22"/>
          <w:szCs w:val="22"/>
        </w:rPr>
        <w:lastRenderedPageBreak/>
        <w:t>Con el proyecto de modernización en el IGAC</w:t>
      </w:r>
      <w:r w:rsidRPr="00B710A9">
        <w:rPr>
          <w:rStyle w:val="normaltextrun"/>
          <w:rFonts w:ascii="Arial" w:eastAsia="Arial" w:hAnsi="Arial" w:cs="Arial"/>
          <w:sz w:val="22"/>
          <w:szCs w:val="22"/>
        </w:rPr>
        <w:t xml:space="preserve"> se modificó la estructura organizacional lo cual represento en los líderes de procesos una oportunidad para realizar la actualización e identificación de los activos de información y los riesgos de seguridad digital.</w:t>
      </w:r>
    </w:p>
    <w:p w14:paraId="58E914AE" w14:textId="77777777" w:rsidR="00A8344C" w:rsidRPr="00B710A9" w:rsidRDefault="00A8344C" w:rsidP="00A8344C">
      <w:pPr>
        <w:pStyle w:val="paragraph"/>
        <w:spacing w:before="0" w:beforeAutospacing="0" w:after="0" w:afterAutospacing="0"/>
        <w:ind w:left="720"/>
        <w:jc w:val="both"/>
        <w:textAlignment w:val="baseline"/>
        <w:rPr>
          <w:rStyle w:val="normaltextrun"/>
          <w:rFonts w:ascii="Arial" w:eastAsia="Arial" w:hAnsi="Arial" w:cs="Arial"/>
          <w:sz w:val="22"/>
          <w:szCs w:val="22"/>
        </w:rPr>
      </w:pPr>
    </w:p>
    <w:p w14:paraId="00CB36D3" w14:textId="77777777" w:rsidR="00A8344C" w:rsidRPr="00B710A9" w:rsidRDefault="00A8344C" w:rsidP="00356A3E">
      <w:pPr>
        <w:pStyle w:val="paragraph"/>
        <w:numPr>
          <w:ilvl w:val="0"/>
          <w:numId w:val="58"/>
        </w:numPr>
        <w:spacing w:before="0" w:beforeAutospacing="0" w:after="0" w:afterAutospacing="0"/>
        <w:jc w:val="both"/>
        <w:textAlignment w:val="baseline"/>
        <w:rPr>
          <w:rStyle w:val="normaltextrun"/>
          <w:rFonts w:ascii="Arial" w:eastAsia="Arial" w:hAnsi="Arial" w:cs="Arial"/>
          <w:sz w:val="22"/>
          <w:szCs w:val="22"/>
        </w:rPr>
      </w:pPr>
      <w:r w:rsidRPr="00B710A9">
        <w:rPr>
          <w:rStyle w:val="normaltextrun"/>
          <w:rFonts w:ascii="Arial" w:eastAsia="Arial" w:hAnsi="Arial" w:cs="Arial"/>
          <w:b/>
          <w:sz w:val="22"/>
          <w:szCs w:val="22"/>
        </w:rPr>
        <w:t>La situación de trabajo en alternancia (virtual y presencial)</w:t>
      </w:r>
      <w:r w:rsidRPr="00B710A9">
        <w:rPr>
          <w:rStyle w:val="normaltextrun"/>
          <w:rFonts w:ascii="Arial" w:eastAsia="Arial" w:hAnsi="Arial" w:cs="Arial"/>
          <w:sz w:val="22"/>
          <w:szCs w:val="22"/>
        </w:rPr>
        <w:t xml:space="preserve"> y el retorno al IGAC trajo nuevas variables a tener en cuenta para le gestión de riesgos de seguridad de la información y seguridad digital, dentro de lo cual se potencializa la gestión de la cultura de seguridad de la información al realizar actividades participativas tanto presencial como virtual. </w:t>
      </w:r>
    </w:p>
    <w:p w14:paraId="0F02E771" w14:textId="77777777" w:rsidR="00A8344C" w:rsidRPr="00B710A9" w:rsidRDefault="00A8344C" w:rsidP="00A8344C">
      <w:pPr>
        <w:pStyle w:val="paragraph"/>
        <w:spacing w:before="0" w:beforeAutospacing="0" w:after="0" w:afterAutospacing="0"/>
        <w:jc w:val="both"/>
        <w:rPr>
          <w:rStyle w:val="normaltextrun"/>
          <w:rFonts w:ascii="Arial" w:eastAsia="Arial" w:hAnsi="Arial" w:cs="Arial"/>
          <w:sz w:val="22"/>
          <w:szCs w:val="22"/>
        </w:rPr>
      </w:pPr>
    </w:p>
    <w:p w14:paraId="7D7582A9" w14:textId="77777777" w:rsidR="00A8344C" w:rsidRPr="00B710A9" w:rsidRDefault="00A8344C" w:rsidP="00356A3E">
      <w:pPr>
        <w:pStyle w:val="paragraph"/>
        <w:numPr>
          <w:ilvl w:val="0"/>
          <w:numId w:val="58"/>
        </w:numPr>
        <w:spacing w:before="0" w:beforeAutospacing="0" w:after="0" w:afterAutospacing="0"/>
        <w:jc w:val="both"/>
        <w:rPr>
          <w:rFonts w:ascii="Arial" w:eastAsia="Arial" w:hAnsi="Arial" w:cs="Arial"/>
          <w:color w:val="000000" w:themeColor="text1"/>
          <w:sz w:val="22"/>
          <w:szCs w:val="22"/>
        </w:rPr>
      </w:pPr>
      <w:r w:rsidRPr="00B710A9">
        <w:rPr>
          <w:rFonts w:ascii="Arial" w:eastAsia="Arial" w:hAnsi="Arial" w:cs="Arial"/>
          <w:b/>
          <w:color w:val="000000" w:themeColor="text1"/>
          <w:sz w:val="22"/>
          <w:szCs w:val="22"/>
        </w:rPr>
        <w:t>Activos de Información:</w:t>
      </w:r>
      <w:r w:rsidRPr="00B710A9">
        <w:rPr>
          <w:rFonts w:ascii="Arial" w:eastAsia="Arial" w:hAnsi="Arial" w:cs="Arial"/>
          <w:color w:val="000000" w:themeColor="text1"/>
          <w:sz w:val="22"/>
          <w:szCs w:val="22"/>
        </w:rPr>
        <w:t xml:space="preserve"> Durante la vigencia 2021 se realizó la identificación, clasificación y establecimiento del Indicie de Información clasificada y reservada de 5 procesos del Instituto: Gestión Catastral, Gestión de Información Geográfica, Innovación y Gestión del Conocimiento Aplicado, Gestión de Sistemas de Información e Infraestructura, y Gestión de Talento Humano.</w:t>
      </w:r>
    </w:p>
    <w:p w14:paraId="202283F9" w14:textId="77777777" w:rsidR="00A8344C" w:rsidRPr="00B710A9" w:rsidRDefault="00A8344C" w:rsidP="00A8344C">
      <w:pPr>
        <w:pStyle w:val="Prrafodelista"/>
        <w:rPr>
          <w:rFonts w:ascii="Arial" w:eastAsia="Arial" w:hAnsi="Arial" w:cs="Arial"/>
          <w:color w:val="000000" w:themeColor="text1"/>
          <w:sz w:val="22"/>
          <w:szCs w:val="22"/>
        </w:rPr>
      </w:pPr>
    </w:p>
    <w:p w14:paraId="672D98FC" w14:textId="77777777" w:rsidR="00A8344C" w:rsidRPr="00B710A9" w:rsidRDefault="00A8344C" w:rsidP="00356A3E">
      <w:pPr>
        <w:pStyle w:val="paragraph"/>
        <w:numPr>
          <w:ilvl w:val="0"/>
          <w:numId w:val="58"/>
        </w:numPr>
        <w:spacing w:before="0" w:beforeAutospacing="0" w:after="0" w:afterAutospacing="0"/>
        <w:jc w:val="both"/>
        <w:rPr>
          <w:rFonts w:ascii="Arial" w:eastAsia="Arial" w:hAnsi="Arial" w:cs="Arial"/>
          <w:color w:val="000000" w:themeColor="text1"/>
          <w:sz w:val="22"/>
          <w:szCs w:val="22"/>
        </w:rPr>
      </w:pPr>
      <w:r w:rsidRPr="00B710A9">
        <w:rPr>
          <w:rFonts w:ascii="Arial" w:eastAsia="Arial" w:hAnsi="Arial" w:cs="Arial"/>
          <w:b/>
          <w:sz w:val="22"/>
          <w:szCs w:val="22"/>
        </w:rPr>
        <w:t xml:space="preserve">Política de Gobierno Digital: </w:t>
      </w:r>
      <w:r w:rsidRPr="00B710A9">
        <w:rPr>
          <w:rFonts w:ascii="Arial" w:eastAsia="Arial" w:hAnsi="Arial" w:cs="Arial"/>
          <w:sz w:val="22"/>
          <w:szCs w:val="22"/>
        </w:rPr>
        <w:t xml:space="preserve"> Posicionamiento de la política de gobierno digital a través del habilitador transversal: Seguridad y Privacidad de la Información en la entidad, donde en la medición del desempeño realizado a través de los datos recolectados mediante el Formulario Único de Reporte de Avances de la Gestión – FURAG, en 2018 se encontraba en un tercer puesto de cuatro habilitadores trasversales a pasar al 2021 al primer puesto entre siete habilitadores trasversales, lo que demuestra un continuo trabajo en seguridad y privacidad de la información.</w:t>
      </w:r>
    </w:p>
    <w:p w14:paraId="5B52D7DB" w14:textId="77777777" w:rsidR="00A8344C" w:rsidRPr="00B710A9" w:rsidRDefault="00A8344C" w:rsidP="00A8344C">
      <w:pPr>
        <w:pStyle w:val="Prrafodelista"/>
        <w:rPr>
          <w:rFonts w:ascii="Arial" w:eastAsia="Arial" w:hAnsi="Arial" w:cs="Arial"/>
          <w:color w:val="000000" w:themeColor="text1"/>
          <w:sz w:val="22"/>
          <w:szCs w:val="22"/>
        </w:rPr>
      </w:pPr>
    </w:p>
    <w:p w14:paraId="142FE45F" w14:textId="77777777" w:rsidR="00A8344C" w:rsidRPr="00B710A9" w:rsidRDefault="00A8344C" w:rsidP="00A8344C">
      <w:pPr>
        <w:pStyle w:val="paragraph"/>
        <w:spacing w:before="0" w:beforeAutospacing="0" w:after="0" w:afterAutospacing="0"/>
        <w:ind w:left="720"/>
        <w:jc w:val="both"/>
        <w:rPr>
          <w:rFonts w:ascii="Arial" w:eastAsia="Arial" w:hAnsi="Arial" w:cs="Arial"/>
          <w:color w:val="000000" w:themeColor="text1"/>
          <w:sz w:val="22"/>
          <w:szCs w:val="22"/>
        </w:rPr>
      </w:pPr>
    </w:p>
    <w:p w14:paraId="6900F5BC" w14:textId="1CDDA5CB" w:rsidR="00BD6172" w:rsidRPr="00B710A9" w:rsidRDefault="00BD6172" w:rsidP="5112D641">
      <w:pPr>
        <w:spacing w:after="0" w:line="240" w:lineRule="auto"/>
        <w:jc w:val="both"/>
        <w:rPr>
          <w:rFonts w:ascii="Arial" w:eastAsia="Arial" w:hAnsi="Arial" w:cs="Arial"/>
          <w:b/>
          <w:color w:val="000000" w:themeColor="text1"/>
          <w:sz w:val="22"/>
          <w:szCs w:val="22"/>
        </w:rPr>
      </w:pPr>
      <w:r w:rsidRPr="00B710A9">
        <w:rPr>
          <w:rFonts w:ascii="Arial" w:eastAsia="Arial" w:hAnsi="Arial" w:cs="Arial"/>
          <w:b/>
          <w:color w:val="000000" w:themeColor="text1"/>
          <w:sz w:val="22"/>
          <w:szCs w:val="22"/>
        </w:rPr>
        <w:t>Retos del mandato - Sistema Nacional de Información Catastral</w:t>
      </w:r>
    </w:p>
    <w:p w14:paraId="64E01632" w14:textId="77777777" w:rsidR="00BD6172" w:rsidRPr="00B710A9" w:rsidRDefault="00BD6172" w:rsidP="5112D641">
      <w:pPr>
        <w:shd w:val="clear" w:color="auto" w:fill="FFFFFF" w:themeFill="background1"/>
        <w:spacing w:after="0" w:line="240" w:lineRule="auto"/>
        <w:jc w:val="both"/>
        <w:rPr>
          <w:rFonts w:ascii="Arial" w:eastAsia="Arial" w:hAnsi="Arial" w:cs="Arial"/>
          <w:b/>
          <w:color w:val="000000" w:themeColor="text1"/>
          <w:sz w:val="22"/>
          <w:szCs w:val="22"/>
        </w:rPr>
      </w:pPr>
    </w:p>
    <w:p w14:paraId="727201CF" w14:textId="5F574665" w:rsidR="5112D641" w:rsidRPr="00B710A9" w:rsidRDefault="5112D641" w:rsidP="5112D641">
      <w:pPr>
        <w:spacing w:after="0" w:line="240" w:lineRule="auto"/>
        <w:jc w:val="both"/>
        <w:rPr>
          <w:rFonts w:ascii="Arial" w:eastAsia="Arial" w:hAnsi="Arial" w:cs="Arial"/>
          <w:color w:val="000000" w:themeColor="text1"/>
          <w:sz w:val="22"/>
          <w:szCs w:val="22"/>
        </w:rPr>
      </w:pPr>
    </w:p>
    <w:p w14:paraId="33DE2490" w14:textId="6252E823" w:rsidR="5112D641" w:rsidRPr="00B710A9" w:rsidRDefault="5112D641" w:rsidP="00356A3E">
      <w:pPr>
        <w:pStyle w:val="Prrafodelista"/>
        <w:numPr>
          <w:ilvl w:val="0"/>
          <w:numId w:val="13"/>
        </w:numPr>
        <w:jc w:val="both"/>
        <w:rPr>
          <w:rFonts w:ascii="Arial" w:eastAsia="Arial" w:hAnsi="Arial" w:cs="Arial"/>
          <w:sz w:val="22"/>
          <w:szCs w:val="22"/>
          <w:lang w:val="es"/>
        </w:rPr>
      </w:pPr>
      <w:r w:rsidRPr="00B710A9">
        <w:rPr>
          <w:rFonts w:ascii="Arial" w:eastAsia="Arial" w:hAnsi="Arial" w:cs="Arial"/>
          <w:sz w:val="22"/>
          <w:szCs w:val="22"/>
          <w:lang w:val="es"/>
        </w:rPr>
        <w:t>Gestionar actividades de fortalecimiento de la gestión de conocimiento en TIC para los servidores públicos.</w:t>
      </w:r>
    </w:p>
    <w:p w14:paraId="485D8C7A" w14:textId="140EC3A8" w:rsidR="5112D641" w:rsidRPr="00B710A9" w:rsidRDefault="5112D641" w:rsidP="00356A3E">
      <w:pPr>
        <w:pStyle w:val="Prrafodelista"/>
        <w:numPr>
          <w:ilvl w:val="0"/>
          <w:numId w:val="13"/>
        </w:numPr>
        <w:jc w:val="both"/>
        <w:rPr>
          <w:rFonts w:ascii="Arial" w:eastAsia="Arial" w:hAnsi="Arial" w:cs="Arial"/>
          <w:sz w:val="22"/>
          <w:szCs w:val="22"/>
          <w:lang w:val="es"/>
        </w:rPr>
      </w:pPr>
      <w:r w:rsidRPr="00B710A9">
        <w:rPr>
          <w:rFonts w:ascii="Arial" w:eastAsia="Arial" w:hAnsi="Arial" w:cs="Arial"/>
          <w:sz w:val="22"/>
          <w:szCs w:val="22"/>
          <w:lang w:val="es"/>
        </w:rPr>
        <w:t>Disposición de mayor inversión para tener una infraestructura TIC actualizada.</w:t>
      </w:r>
    </w:p>
    <w:p w14:paraId="7DB5E833" w14:textId="68C57E44" w:rsidR="5112D641" w:rsidRPr="00B710A9" w:rsidRDefault="5112D641" w:rsidP="00356A3E">
      <w:pPr>
        <w:pStyle w:val="Prrafodelista"/>
        <w:numPr>
          <w:ilvl w:val="0"/>
          <w:numId w:val="13"/>
        </w:numPr>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Desarrollar políticas, procedimientos y gobierno de los datos fundamentales, datos abiertos y objetos territoriales dispuestos por el IGAC, alineados a la estrategia propuesta por MinTIC.</w:t>
      </w:r>
    </w:p>
    <w:p w14:paraId="02F00BD4" w14:textId="79769E3E" w:rsidR="5112D641" w:rsidRPr="00B710A9" w:rsidRDefault="5112D641" w:rsidP="00356A3E">
      <w:pPr>
        <w:pStyle w:val="Prrafodelista"/>
        <w:numPr>
          <w:ilvl w:val="0"/>
          <w:numId w:val="13"/>
        </w:numPr>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Continuar con el fortalecimiento y apropiación de nuevos procesos tecnológicos, con el fin de garantizar una gestión estratégica de los recursos tecnológicos y de esta manera contribuir a los procesos misionales de la Entidad.</w:t>
      </w:r>
    </w:p>
    <w:p w14:paraId="62511C0E" w14:textId="3224FF7F" w:rsidR="5112D641" w:rsidRPr="00B710A9" w:rsidRDefault="5112D641" w:rsidP="00356A3E">
      <w:pPr>
        <w:pStyle w:val="Prrafodelista"/>
        <w:numPr>
          <w:ilvl w:val="0"/>
          <w:numId w:val="12"/>
        </w:numPr>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Continuar con el apoyo a entidades de distintos sectores del Gobierno, para implementar modelos extendidos LADM que les permitan representar, disponer, y gestionar sus Objetos Territoriales.</w:t>
      </w:r>
    </w:p>
    <w:p w14:paraId="66F682B7" w14:textId="3294C6F2" w:rsidR="5112D641" w:rsidRPr="00B710A9" w:rsidRDefault="5112D641" w:rsidP="00356A3E">
      <w:pPr>
        <w:pStyle w:val="Prrafodelista"/>
        <w:numPr>
          <w:ilvl w:val="0"/>
          <w:numId w:val="12"/>
        </w:numPr>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Modernizar las herramientas tecnológicas o aplicativos como; Intranet, Colombia en </w:t>
      </w:r>
      <w:r w:rsidR="00D555FF" w:rsidRPr="00B710A9">
        <w:rPr>
          <w:rFonts w:ascii="Arial" w:eastAsia="Arial" w:hAnsi="Arial" w:cs="Arial"/>
          <w:color w:val="000000" w:themeColor="text1"/>
          <w:sz w:val="22"/>
          <w:szCs w:val="22"/>
          <w:lang w:val="es"/>
        </w:rPr>
        <w:t>Mapas,</w:t>
      </w:r>
      <w:r w:rsidRPr="00B710A9">
        <w:rPr>
          <w:rFonts w:ascii="Arial" w:eastAsia="Arial" w:hAnsi="Arial" w:cs="Arial"/>
          <w:color w:val="000000" w:themeColor="text1"/>
          <w:sz w:val="22"/>
          <w:szCs w:val="22"/>
          <w:lang w:val="es"/>
        </w:rPr>
        <w:t xml:space="preserve"> Datos Abiertos, Aplicación de Certificados Catastrales, Sistema de información de gestión agrológica, sistema de Trabaje con Nosotros y el ERP.</w:t>
      </w:r>
    </w:p>
    <w:p w14:paraId="5F28BDB3" w14:textId="588FE17A" w:rsidR="5112D641" w:rsidRPr="00B710A9" w:rsidRDefault="5112D641" w:rsidP="00356A3E">
      <w:pPr>
        <w:pStyle w:val="Prrafodelista"/>
        <w:numPr>
          <w:ilvl w:val="0"/>
          <w:numId w:val="12"/>
        </w:numPr>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Modernizar las herramientas tecnológicas o aplicativos como; intranet, GEOPORTAL - Consulta Geodesia - Archivos en Formato </w:t>
      </w:r>
      <w:proofErr w:type="spellStart"/>
      <w:r w:rsidRPr="00B710A9">
        <w:rPr>
          <w:rFonts w:ascii="Arial" w:eastAsia="Arial" w:hAnsi="Arial" w:cs="Arial"/>
          <w:color w:val="000000" w:themeColor="text1"/>
          <w:sz w:val="22"/>
          <w:szCs w:val="22"/>
          <w:lang w:val="es"/>
        </w:rPr>
        <w:t>Rinex</w:t>
      </w:r>
      <w:proofErr w:type="spellEnd"/>
      <w:r w:rsidRPr="00B710A9">
        <w:rPr>
          <w:rFonts w:ascii="Arial" w:eastAsia="Arial" w:hAnsi="Arial" w:cs="Arial"/>
          <w:color w:val="000000" w:themeColor="text1"/>
          <w:sz w:val="22"/>
          <w:szCs w:val="22"/>
          <w:lang w:val="es"/>
        </w:rPr>
        <w:t xml:space="preserve"> Estaciones Red MAGNA-ECO, GEOPORTAL - Datos Abiertos, Aplicación de Certificados </w:t>
      </w:r>
      <w:r w:rsidRPr="00B710A9">
        <w:rPr>
          <w:rFonts w:ascii="Arial" w:eastAsia="Arial" w:hAnsi="Arial" w:cs="Arial"/>
          <w:color w:val="000000" w:themeColor="text1"/>
          <w:sz w:val="22"/>
          <w:szCs w:val="22"/>
          <w:lang w:val="es"/>
        </w:rPr>
        <w:lastRenderedPageBreak/>
        <w:t>Catastrales, Sistema de información de gestión agrológica, sistema de Trabaje con Nosotros y el ERP.</w:t>
      </w:r>
    </w:p>
    <w:p w14:paraId="04D0C1A8" w14:textId="70585C14" w:rsidR="5112D641" w:rsidRPr="00B710A9" w:rsidRDefault="5112D641" w:rsidP="00356A3E">
      <w:pPr>
        <w:pStyle w:val="Prrafodelista"/>
        <w:numPr>
          <w:ilvl w:val="0"/>
          <w:numId w:val="12"/>
        </w:numPr>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Continuar con la implementación y fortalecimiento del Sistema de Gestión de Seguridad de la Información-SGSI del IGAC.</w:t>
      </w:r>
    </w:p>
    <w:p w14:paraId="413005F6" w14:textId="2E3C3BE3" w:rsidR="5112D641" w:rsidRPr="00B710A9" w:rsidRDefault="5112D641" w:rsidP="00356A3E">
      <w:pPr>
        <w:pStyle w:val="Prrafodelista"/>
        <w:numPr>
          <w:ilvl w:val="0"/>
          <w:numId w:val="12"/>
        </w:numPr>
        <w:jc w:val="both"/>
        <w:rPr>
          <w:rFonts w:ascii="Arial" w:eastAsia="Arial" w:hAnsi="Arial" w:cs="Arial"/>
          <w:sz w:val="22"/>
          <w:szCs w:val="22"/>
          <w:lang w:val="es"/>
        </w:rPr>
      </w:pPr>
      <w:r w:rsidRPr="00B710A9">
        <w:rPr>
          <w:rFonts w:ascii="Arial" w:eastAsia="Arial" w:hAnsi="Arial" w:cs="Arial"/>
          <w:sz w:val="22"/>
          <w:szCs w:val="22"/>
          <w:lang w:val="es"/>
        </w:rPr>
        <w:t>Contar con la Gobernanza de los Sistemas de Información de la Entidad.</w:t>
      </w:r>
    </w:p>
    <w:p w14:paraId="6BE03948" w14:textId="5D0AD2DA" w:rsidR="5112D641" w:rsidRPr="00B710A9" w:rsidRDefault="5112D641" w:rsidP="00356A3E">
      <w:pPr>
        <w:pStyle w:val="Prrafodelista"/>
        <w:numPr>
          <w:ilvl w:val="0"/>
          <w:numId w:val="12"/>
        </w:numPr>
        <w:jc w:val="both"/>
        <w:rPr>
          <w:rFonts w:ascii="Arial" w:eastAsia="Arial" w:hAnsi="Arial" w:cs="Arial"/>
          <w:sz w:val="22"/>
          <w:szCs w:val="22"/>
          <w:lang w:val="es"/>
        </w:rPr>
      </w:pPr>
      <w:r w:rsidRPr="00B710A9">
        <w:rPr>
          <w:rFonts w:ascii="Arial" w:eastAsia="Arial" w:hAnsi="Arial" w:cs="Arial"/>
          <w:sz w:val="22"/>
          <w:szCs w:val="22"/>
          <w:lang w:val="es"/>
        </w:rPr>
        <w:t>Control Técnico del Proceso de la Fábrica de Software.</w:t>
      </w:r>
    </w:p>
    <w:p w14:paraId="1C0F9DD4" w14:textId="598CF3CB" w:rsidR="61914815" w:rsidRPr="00B710A9" w:rsidRDefault="5C35AF7C" w:rsidP="00356A3E">
      <w:pPr>
        <w:pStyle w:val="Prrafodelista"/>
        <w:numPr>
          <w:ilvl w:val="0"/>
          <w:numId w:val="12"/>
        </w:numPr>
        <w:jc w:val="both"/>
        <w:rPr>
          <w:rFonts w:ascii="Arial" w:hAnsi="Arial" w:cs="Arial"/>
          <w:color w:val="000000" w:themeColor="text1"/>
          <w:sz w:val="22"/>
          <w:szCs w:val="22"/>
          <w:lang w:val="es"/>
        </w:rPr>
      </w:pPr>
      <w:r w:rsidRPr="00B710A9">
        <w:rPr>
          <w:rFonts w:ascii="Arial" w:hAnsi="Arial" w:cs="Arial"/>
          <w:color w:val="000000" w:themeColor="text1"/>
          <w:sz w:val="22"/>
          <w:szCs w:val="22"/>
          <w:lang w:val="es"/>
        </w:rPr>
        <w:t>Desarrollar iniciativas innovadoras que permitan que la ICDE pueda apoyar de manera más efectiva y focalizada la gestión catastral, la planeación municipal urbana y rural y la gestión de procesos educativos en los territorios colombianos.</w:t>
      </w:r>
    </w:p>
    <w:p w14:paraId="6ECE7086" w14:textId="598CF3CB" w:rsidR="61914815" w:rsidRPr="00B710A9" w:rsidRDefault="5C35AF7C" w:rsidP="00356A3E">
      <w:pPr>
        <w:pStyle w:val="Prrafodelista"/>
        <w:numPr>
          <w:ilvl w:val="0"/>
          <w:numId w:val="12"/>
        </w:numPr>
        <w:rPr>
          <w:rFonts w:ascii="Arial" w:hAnsi="Arial" w:cs="Arial"/>
          <w:color w:val="000000" w:themeColor="text1"/>
          <w:sz w:val="22"/>
          <w:szCs w:val="22"/>
          <w:lang w:val="es"/>
        </w:rPr>
      </w:pPr>
      <w:r w:rsidRPr="00B710A9">
        <w:rPr>
          <w:rFonts w:ascii="Arial" w:hAnsi="Arial" w:cs="Arial"/>
          <w:color w:val="000000" w:themeColor="text1"/>
          <w:sz w:val="22"/>
          <w:szCs w:val="22"/>
          <w:lang w:val="es"/>
        </w:rPr>
        <w:t>Desarrollar indicadores que permitan evaluar la efectividad de la ICDE en el apoyo a las Entidades territoriales colombianas.</w:t>
      </w:r>
    </w:p>
    <w:p w14:paraId="0B7DB90F" w14:textId="598CF3CB" w:rsidR="61914815" w:rsidRPr="00B710A9" w:rsidRDefault="61914815" w:rsidP="00856186">
      <w:pPr>
        <w:pStyle w:val="Prrafodelista"/>
        <w:jc w:val="both"/>
        <w:rPr>
          <w:rFonts w:ascii="Arial" w:eastAsia="Arial" w:hAnsi="Arial" w:cs="Arial"/>
          <w:sz w:val="22"/>
          <w:szCs w:val="22"/>
          <w:lang w:val="es"/>
        </w:rPr>
      </w:pPr>
    </w:p>
    <w:p w14:paraId="39B1BE08" w14:textId="77777777" w:rsidR="009D657B" w:rsidRPr="00B710A9" w:rsidRDefault="009D657B" w:rsidP="009D279A">
      <w:pPr>
        <w:spacing w:after="0" w:line="240" w:lineRule="auto"/>
        <w:jc w:val="both"/>
        <w:rPr>
          <w:rFonts w:ascii="Arial" w:eastAsia="Arial" w:hAnsi="Arial" w:cs="Arial"/>
          <w:color w:val="000000" w:themeColor="text1"/>
        </w:rPr>
      </w:pPr>
    </w:p>
    <w:p w14:paraId="3EAA6EF5" w14:textId="77777777" w:rsidR="00856186" w:rsidRPr="00B710A9" w:rsidRDefault="00856186" w:rsidP="009D279A">
      <w:pPr>
        <w:spacing w:after="0" w:line="240" w:lineRule="auto"/>
        <w:jc w:val="both"/>
        <w:rPr>
          <w:rFonts w:ascii="Arial" w:eastAsia="Arial" w:hAnsi="Arial" w:cs="Arial"/>
          <w:color w:val="000000" w:themeColor="text1"/>
        </w:rPr>
      </w:pPr>
    </w:p>
    <w:p w14:paraId="6DC91E57" w14:textId="77777777" w:rsidR="00856186" w:rsidRPr="00B710A9" w:rsidRDefault="00856186" w:rsidP="009D279A">
      <w:pPr>
        <w:spacing w:after="0" w:line="240" w:lineRule="auto"/>
        <w:jc w:val="both"/>
        <w:rPr>
          <w:rFonts w:ascii="Arial" w:eastAsia="Arial" w:hAnsi="Arial" w:cs="Arial"/>
          <w:color w:val="000000" w:themeColor="text1"/>
        </w:rPr>
      </w:pPr>
    </w:p>
    <w:p w14:paraId="5F819B54" w14:textId="77777777" w:rsidR="00856186" w:rsidRPr="00B710A9" w:rsidRDefault="00856186" w:rsidP="009D279A">
      <w:pPr>
        <w:spacing w:after="0" w:line="240" w:lineRule="auto"/>
        <w:jc w:val="both"/>
        <w:rPr>
          <w:rFonts w:ascii="Arial" w:eastAsia="Arial" w:hAnsi="Arial" w:cs="Arial"/>
          <w:color w:val="000000" w:themeColor="text1"/>
        </w:rPr>
      </w:pPr>
    </w:p>
    <w:p w14:paraId="0DFB5746" w14:textId="77777777" w:rsidR="00856186" w:rsidRPr="00B710A9" w:rsidRDefault="00856186" w:rsidP="009D279A">
      <w:pPr>
        <w:spacing w:after="0" w:line="240" w:lineRule="auto"/>
        <w:jc w:val="both"/>
        <w:rPr>
          <w:rFonts w:ascii="Arial" w:eastAsia="Arial" w:hAnsi="Arial" w:cs="Arial"/>
          <w:color w:val="000000" w:themeColor="text1"/>
        </w:rPr>
      </w:pPr>
    </w:p>
    <w:p w14:paraId="58FD38D3" w14:textId="1A8D60EA" w:rsidR="008C4A23" w:rsidRPr="00B710A9" w:rsidRDefault="000C1331" w:rsidP="00356A3E">
      <w:pPr>
        <w:pStyle w:val="Ttulo2"/>
        <w:numPr>
          <w:ilvl w:val="1"/>
          <w:numId w:val="47"/>
        </w:numPr>
        <w:spacing w:before="0"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4"/>
          <w:szCs w:val="24"/>
        </w:rPr>
        <w:t xml:space="preserve"> </w:t>
      </w:r>
      <w:bookmarkStart w:id="62" w:name="_Toc111485514"/>
      <w:r w:rsidR="00526830" w:rsidRPr="00B710A9">
        <w:rPr>
          <w:rFonts w:ascii="Arial" w:eastAsia="Arial" w:hAnsi="Arial" w:cs="Arial"/>
          <w:color w:val="000000" w:themeColor="text1"/>
          <w:sz w:val="22"/>
          <w:szCs w:val="22"/>
        </w:rPr>
        <w:t>Contribución al cumplimiento de los compromisos globales</w:t>
      </w:r>
      <w:bookmarkEnd w:id="62"/>
      <w:r w:rsidR="00423171" w:rsidRPr="00B710A9">
        <w:rPr>
          <w:rFonts w:ascii="Arial" w:eastAsia="Arial" w:hAnsi="Arial" w:cs="Arial"/>
          <w:color w:val="000000" w:themeColor="text1"/>
          <w:sz w:val="22"/>
          <w:szCs w:val="22"/>
        </w:rPr>
        <w:t xml:space="preserve"> </w:t>
      </w:r>
    </w:p>
    <w:p w14:paraId="556B52CB" w14:textId="77777777" w:rsidR="00BD6172" w:rsidRPr="00B710A9" w:rsidRDefault="00BD6172" w:rsidP="009D279A">
      <w:pPr>
        <w:pStyle w:val="Sinespaciado"/>
        <w:rPr>
          <w:rFonts w:ascii="Arial" w:eastAsia="Arial" w:hAnsi="Arial" w:cs="Arial"/>
          <w:color w:val="000000" w:themeColor="text1"/>
          <w:sz w:val="22"/>
          <w:szCs w:val="22"/>
        </w:rPr>
      </w:pPr>
    </w:p>
    <w:p w14:paraId="2D0F65A5" w14:textId="6CE6EF5B" w:rsidR="008C4A23" w:rsidRPr="00B710A9" w:rsidRDefault="00526830" w:rsidP="009D279A">
      <w:pPr>
        <w:spacing w:after="0" w:line="240" w:lineRule="auto"/>
        <w:jc w:val="right"/>
        <w:rPr>
          <w:rFonts w:ascii="Arial" w:eastAsia="Arial" w:hAnsi="Arial" w:cs="Arial"/>
          <w:i/>
          <w:color w:val="000000" w:themeColor="text1"/>
          <w:sz w:val="22"/>
          <w:szCs w:val="22"/>
        </w:rPr>
      </w:pPr>
      <w:r w:rsidRPr="00B710A9">
        <w:rPr>
          <w:rFonts w:ascii="Arial" w:eastAsia="Arial" w:hAnsi="Arial" w:cs="Arial"/>
          <w:b/>
          <w:color w:val="000000" w:themeColor="text1"/>
          <w:sz w:val="22"/>
          <w:szCs w:val="22"/>
        </w:rPr>
        <w:t xml:space="preserve"> </w:t>
      </w:r>
      <w:r w:rsidRPr="00B710A9">
        <w:rPr>
          <w:rFonts w:ascii="Arial" w:eastAsia="Arial" w:hAnsi="Arial" w:cs="Arial"/>
          <w:i/>
          <w:color w:val="000000" w:themeColor="text1"/>
          <w:sz w:val="22"/>
          <w:szCs w:val="22"/>
        </w:rPr>
        <w:t>En esta sección se resaltan los logros relacionados con el posicionamiento del IGAC a nivel internacional y los procesos de aprendizaje de experiencias internacionales.</w:t>
      </w:r>
    </w:p>
    <w:p w14:paraId="37FA22AD" w14:textId="77777777" w:rsidR="00BD5930" w:rsidRPr="00B710A9" w:rsidRDefault="00BD5930" w:rsidP="009D279A">
      <w:pPr>
        <w:spacing w:after="0" w:line="240" w:lineRule="auto"/>
        <w:jc w:val="both"/>
        <w:rPr>
          <w:rFonts w:ascii="Arial" w:eastAsia="Arial" w:hAnsi="Arial" w:cs="Arial"/>
          <w:color w:val="000000" w:themeColor="text1"/>
          <w:sz w:val="22"/>
          <w:szCs w:val="22"/>
        </w:rPr>
      </w:pPr>
    </w:p>
    <w:p w14:paraId="3B3401ED" w14:textId="10A0EEC2" w:rsidR="008C4A23" w:rsidRPr="00B710A9" w:rsidRDefault="00526830" w:rsidP="009D279A">
      <w:p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Durante el periodo 202</w:t>
      </w:r>
      <w:r w:rsidR="00A26651" w:rsidRPr="00B710A9">
        <w:rPr>
          <w:rFonts w:ascii="Arial" w:eastAsia="Arial" w:hAnsi="Arial" w:cs="Arial"/>
          <w:color w:val="000000" w:themeColor="text1"/>
          <w:sz w:val="22"/>
          <w:szCs w:val="22"/>
        </w:rPr>
        <w:t>1</w:t>
      </w:r>
      <w:r w:rsidR="4A0E3A10" w:rsidRPr="00B710A9">
        <w:rPr>
          <w:rFonts w:ascii="Arial" w:eastAsia="Arial" w:hAnsi="Arial" w:cs="Arial"/>
          <w:color w:val="000000" w:themeColor="text1"/>
          <w:sz w:val="22"/>
          <w:szCs w:val="22"/>
        </w:rPr>
        <w:t>-2022</w:t>
      </w:r>
      <w:r w:rsidRPr="00B710A9">
        <w:rPr>
          <w:rFonts w:ascii="Arial" w:eastAsia="Arial" w:hAnsi="Arial" w:cs="Arial"/>
          <w:color w:val="000000" w:themeColor="text1"/>
          <w:sz w:val="22"/>
          <w:szCs w:val="22"/>
        </w:rPr>
        <w:t xml:space="preserve">, el </w:t>
      </w:r>
      <w:r w:rsidR="00E912BA" w:rsidRPr="00B710A9">
        <w:rPr>
          <w:rFonts w:ascii="Arial" w:eastAsia="Arial" w:hAnsi="Arial" w:cs="Arial"/>
          <w:color w:val="000000" w:themeColor="text1"/>
          <w:sz w:val="22"/>
          <w:szCs w:val="22"/>
        </w:rPr>
        <w:t>IGAC</w:t>
      </w:r>
      <w:r w:rsidRPr="00B710A9">
        <w:rPr>
          <w:rFonts w:ascii="Arial" w:eastAsia="Arial" w:hAnsi="Arial" w:cs="Arial"/>
          <w:color w:val="000000" w:themeColor="text1"/>
          <w:sz w:val="22"/>
          <w:szCs w:val="22"/>
        </w:rPr>
        <w:t>, en desarrollo de los temas de Cooperación Internacional con entidades nacionales e internacionales, el instituto actuó con el fin de fortalecer y promover la gestión interna y externa</w:t>
      </w:r>
      <w:r w:rsidR="7A6763AE" w:rsidRPr="00B710A9">
        <w:rPr>
          <w:rFonts w:ascii="Arial" w:eastAsia="Arial" w:hAnsi="Arial" w:cs="Arial"/>
          <w:color w:val="000000" w:themeColor="text1"/>
          <w:sz w:val="22"/>
          <w:szCs w:val="22"/>
        </w:rPr>
        <w:t>, a través</w:t>
      </w:r>
      <w:r w:rsidRPr="00B710A9">
        <w:rPr>
          <w:rFonts w:ascii="Arial" w:eastAsia="Arial" w:hAnsi="Arial" w:cs="Arial"/>
          <w:color w:val="000000" w:themeColor="text1"/>
          <w:sz w:val="22"/>
          <w:szCs w:val="22"/>
        </w:rPr>
        <w:t xml:space="preserve"> de </w:t>
      </w:r>
      <w:r w:rsidR="7A6763AE" w:rsidRPr="00B710A9">
        <w:rPr>
          <w:rFonts w:ascii="Arial" w:eastAsia="Arial" w:hAnsi="Arial" w:cs="Arial"/>
          <w:color w:val="000000" w:themeColor="text1"/>
          <w:sz w:val="22"/>
          <w:szCs w:val="22"/>
        </w:rPr>
        <w:t>la activación del relacionamiento con embajadas</w:t>
      </w:r>
      <w:r w:rsidRPr="00B710A9">
        <w:rPr>
          <w:rFonts w:ascii="Arial" w:eastAsia="Arial" w:hAnsi="Arial" w:cs="Arial"/>
          <w:color w:val="000000" w:themeColor="text1"/>
          <w:sz w:val="22"/>
          <w:szCs w:val="22"/>
        </w:rPr>
        <w:t xml:space="preserve"> y con </w:t>
      </w:r>
      <w:r w:rsidR="7A6763AE" w:rsidRPr="00B710A9">
        <w:rPr>
          <w:rFonts w:ascii="Arial" w:eastAsia="Arial" w:hAnsi="Arial" w:cs="Arial"/>
          <w:color w:val="000000" w:themeColor="text1"/>
          <w:sz w:val="22"/>
          <w:szCs w:val="22"/>
        </w:rPr>
        <w:t xml:space="preserve">diferentes actores estratégicos en lo referente a la estrategia de internacionalización, así mismo llevo a cabo diferentes procesos e iniciativas que permiten fortalecer la transferencia de conocimientos, experiencias, tecnologías, en los temas de su competencia. </w:t>
      </w:r>
    </w:p>
    <w:p w14:paraId="41AA35CD" w14:textId="3287F7D0" w:rsidR="31E23F24" w:rsidRPr="00B710A9" w:rsidRDefault="31E23F24" w:rsidP="31E23F24">
      <w:pPr>
        <w:spacing w:after="0" w:line="240" w:lineRule="auto"/>
        <w:jc w:val="both"/>
        <w:rPr>
          <w:rFonts w:ascii="Arial" w:eastAsia="Arial" w:hAnsi="Arial" w:cs="Arial"/>
          <w:color w:val="000000" w:themeColor="text1"/>
          <w:sz w:val="22"/>
          <w:szCs w:val="22"/>
        </w:rPr>
      </w:pPr>
    </w:p>
    <w:p w14:paraId="553AAE0C" w14:textId="77777777" w:rsidR="008C4A23" w:rsidRPr="00B710A9" w:rsidRDefault="00526830" w:rsidP="009D279A">
      <w:pPr>
        <w:spacing w:after="0" w:line="240" w:lineRule="auto"/>
        <w:jc w:val="both"/>
        <w:rPr>
          <w:rFonts w:ascii="Arial" w:eastAsia="Arial" w:hAnsi="Arial" w:cs="Arial"/>
          <w:b/>
          <w:color w:val="000000" w:themeColor="text1"/>
          <w:sz w:val="22"/>
          <w:szCs w:val="22"/>
        </w:rPr>
      </w:pPr>
      <w:r w:rsidRPr="00B710A9">
        <w:rPr>
          <w:rFonts w:ascii="Arial" w:eastAsia="Arial" w:hAnsi="Arial" w:cs="Arial"/>
          <w:b/>
          <w:color w:val="000000" w:themeColor="text1"/>
          <w:sz w:val="22"/>
          <w:szCs w:val="22"/>
        </w:rPr>
        <w:t>Logros del mandado:</w:t>
      </w:r>
    </w:p>
    <w:p w14:paraId="2B824439" w14:textId="43BAF8BA" w:rsidR="19B98323" w:rsidRPr="00B710A9" w:rsidRDefault="19B98323" w:rsidP="009D279A">
      <w:pPr>
        <w:spacing w:after="0" w:line="240" w:lineRule="auto"/>
        <w:jc w:val="both"/>
        <w:rPr>
          <w:rFonts w:ascii="Arial" w:eastAsia="Arial" w:hAnsi="Arial" w:cs="Arial"/>
          <w:b/>
          <w:color w:val="000000" w:themeColor="text1"/>
          <w:sz w:val="22"/>
          <w:szCs w:val="22"/>
        </w:rPr>
      </w:pPr>
    </w:p>
    <w:p w14:paraId="5DF7498E" w14:textId="2CE8F261" w:rsidR="0ECB702A" w:rsidRPr="00B710A9" w:rsidRDefault="0ECB702A" w:rsidP="00356A3E">
      <w:pPr>
        <w:pStyle w:val="Prrafodelista"/>
        <w:numPr>
          <w:ilvl w:val="0"/>
          <w:numId w:val="28"/>
        </w:numPr>
        <w:spacing w:after="0" w:line="240" w:lineRule="auto"/>
        <w:ind w:left="709" w:hanging="283"/>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lang w:val="es"/>
        </w:rPr>
        <w:t xml:space="preserve">Monitoreo continuo de los proyectos, convenios, </w:t>
      </w:r>
      <w:r w:rsidR="68125D51" w:rsidRPr="00B710A9">
        <w:rPr>
          <w:rFonts w:ascii="Arial" w:eastAsia="Arial" w:hAnsi="Arial" w:cs="Arial"/>
          <w:color w:val="000000" w:themeColor="text1"/>
          <w:sz w:val="22"/>
          <w:szCs w:val="22"/>
          <w:lang w:val="es"/>
        </w:rPr>
        <w:t>procesos</w:t>
      </w:r>
      <w:r w:rsidRPr="00B710A9">
        <w:rPr>
          <w:rFonts w:ascii="Arial" w:eastAsia="Arial" w:hAnsi="Arial" w:cs="Arial"/>
          <w:color w:val="000000" w:themeColor="text1"/>
          <w:sz w:val="22"/>
          <w:szCs w:val="22"/>
          <w:lang w:val="es"/>
        </w:rPr>
        <w:t xml:space="preserve"> y afiliaciones internacionales</w:t>
      </w:r>
    </w:p>
    <w:p w14:paraId="303477FF" w14:textId="605CA37D" w:rsidR="0ECB702A" w:rsidRPr="00B710A9" w:rsidRDefault="0ECB702A" w:rsidP="31E23F24">
      <w:pPr>
        <w:spacing w:after="0" w:line="240" w:lineRule="auto"/>
        <w:ind w:left="66"/>
        <w:jc w:val="both"/>
        <w:rPr>
          <w:rFonts w:ascii="Arial" w:eastAsia="Arial" w:hAnsi="Arial" w:cs="Arial"/>
          <w:color w:val="000000" w:themeColor="text1"/>
          <w:sz w:val="22"/>
          <w:szCs w:val="22"/>
        </w:rPr>
      </w:pPr>
    </w:p>
    <w:p w14:paraId="3342F892" w14:textId="00F840D6" w:rsidR="0ECB702A" w:rsidRPr="00B710A9" w:rsidRDefault="076AF789" w:rsidP="00356A3E">
      <w:pPr>
        <w:pStyle w:val="Prrafodelista"/>
        <w:numPr>
          <w:ilvl w:val="0"/>
          <w:numId w:val="102"/>
        </w:num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lang w:val="es"/>
        </w:rPr>
        <w:t>Formalización e inicio del proyecto de cooperación que se ejecutará entre el año 2022-2023 con el Instituto Nacional de Estadística y Geografía INEGI</w:t>
      </w:r>
      <w:r w:rsidR="41DD6498" w:rsidRPr="00B710A9">
        <w:rPr>
          <w:rFonts w:ascii="Arial" w:eastAsia="Arial" w:hAnsi="Arial" w:cs="Arial"/>
          <w:color w:val="000000" w:themeColor="text1"/>
          <w:sz w:val="22"/>
          <w:szCs w:val="22"/>
          <w:lang w:val="es"/>
        </w:rPr>
        <w:t>,</w:t>
      </w:r>
      <w:r w:rsidRPr="00B710A9">
        <w:rPr>
          <w:rFonts w:ascii="Arial" w:eastAsia="Arial" w:hAnsi="Arial" w:cs="Arial"/>
          <w:color w:val="000000" w:themeColor="text1"/>
          <w:sz w:val="22"/>
          <w:szCs w:val="22"/>
          <w:lang w:val="es"/>
        </w:rPr>
        <w:t xml:space="preserve"> en México</w:t>
      </w:r>
      <w:r w:rsidR="41DD6498" w:rsidRPr="00B710A9">
        <w:rPr>
          <w:rFonts w:ascii="Arial" w:eastAsia="Arial" w:hAnsi="Arial" w:cs="Arial"/>
          <w:color w:val="000000" w:themeColor="text1"/>
          <w:sz w:val="22"/>
          <w:szCs w:val="22"/>
          <w:lang w:val="es"/>
        </w:rPr>
        <w:t>,</w:t>
      </w:r>
      <w:r w:rsidRPr="00B710A9">
        <w:rPr>
          <w:rFonts w:ascii="Arial" w:eastAsia="Arial" w:hAnsi="Arial" w:cs="Arial"/>
          <w:color w:val="000000" w:themeColor="text1"/>
          <w:sz w:val="22"/>
          <w:szCs w:val="22"/>
          <w:lang w:val="es"/>
        </w:rPr>
        <w:t xml:space="preserve"> con el fin de fortalecer la transferencia de conocimiento en marco de tecnologías satelitales entre el IGAC e INEGI; lo anterior en el marco de la Comisión Mixta con México.</w:t>
      </w:r>
    </w:p>
    <w:p w14:paraId="118329E7" w14:textId="7F1AC537" w:rsidR="0ECB702A" w:rsidRPr="00B710A9" w:rsidRDefault="0ECB702A" w:rsidP="31E23F24">
      <w:pPr>
        <w:spacing w:after="0" w:line="240" w:lineRule="auto"/>
        <w:jc w:val="both"/>
        <w:rPr>
          <w:rFonts w:ascii="Arial" w:eastAsia="Arial" w:hAnsi="Arial" w:cs="Arial"/>
          <w:color w:val="000000" w:themeColor="text1"/>
          <w:sz w:val="22"/>
          <w:szCs w:val="22"/>
        </w:rPr>
      </w:pPr>
    </w:p>
    <w:p w14:paraId="4AC17820" w14:textId="56095D81" w:rsidR="0ECB702A" w:rsidRPr="00B710A9" w:rsidRDefault="30E3BD74" w:rsidP="00356A3E">
      <w:pPr>
        <w:pStyle w:val="Prrafodelista"/>
        <w:numPr>
          <w:ilvl w:val="0"/>
          <w:numId w:val="103"/>
        </w:numPr>
        <w:spacing w:after="0" w:line="240" w:lineRule="auto"/>
        <w:jc w:val="both"/>
        <w:rPr>
          <w:rFonts w:ascii="Arial" w:eastAsia="Arial" w:hAnsi="Arial" w:cs="Arial"/>
          <w:color w:val="000000" w:themeColor="text1"/>
        </w:rPr>
      </w:pPr>
      <w:r w:rsidRPr="00B710A9">
        <w:rPr>
          <w:rFonts w:ascii="Arial" w:eastAsia="Arial" w:hAnsi="Arial" w:cs="Arial"/>
          <w:color w:val="000000" w:themeColor="text1"/>
          <w:sz w:val="22"/>
          <w:szCs w:val="22"/>
        </w:rPr>
        <w:t xml:space="preserve">Durante el primer semestre del año 2022 se llevó a cabo la postulación y </w:t>
      </w:r>
      <w:r w:rsidR="34AC3C80" w:rsidRPr="00B710A9">
        <w:rPr>
          <w:rFonts w:ascii="Arial" w:eastAsia="Arial" w:hAnsi="Arial" w:cs="Arial"/>
          <w:color w:val="000000" w:themeColor="text1"/>
          <w:sz w:val="22"/>
          <w:szCs w:val="22"/>
        </w:rPr>
        <w:t xml:space="preserve">posterior </w:t>
      </w:r>
      <w:r w:rsidRPr="00B710A9">
        <w:rPr>
          <w:rFonts w:ascii="Arial" w:eastAsia="Arial" w:hAnsi="Arial" w:cs="Arial"/>
          <w:color w:val="000000" w:themeColor="text1"/>
          <w:sz w:val="22"/>
          <w:szCs w:val="22"/>
        </w:rPr>
        <w:t xml:space="preserve">formulación </w:t>
      </w:r>
      <w:r w:rsidR="34AC3C80" w:rsidRPr="00B710A9">
        <w:rPr>
          <w:rFonts w:ascii="Arial" w:eastAsia="Arial" w:hAnsi="Arial" w:cs="Arial"/>
          <w:color w:val="000000" w:themeColor="text1"/>
          <w:sz w:val="22"/>
          <w:szCs w:val="22"/>
        </w:rPr>
        <w:t xml:space="preserve">del </w:t>
      </w:r>
      <w:r w:rsidRPr="00B710A9">
        <w:rPr>
          <w:rFonts w:ascii="Arial" w:eastAsia="Arial" w:hAnsi="Arial" w:cs="Arial"/>
          <w:color w:val="000000" w:themeColor="text1"/>
          <w:sz w:val="22"/>
          <w:szCs w:val="22"/>
        </w:rPr>
        <w:t xml:space="preserve">proyecto para </w:t>
      </w:r>
      <w:r w:rsidR="34AC3C80" w:rsidRPr="00B710A9">
        <w:rPr>
          <w:rFonts w:ascii="Arial" w:eastAsia="Arial" w:hAnsi="Arial" w:cs="Arial"/>
          <w:color w:val="000000" w:themeColor="text1"/>
          <w:sz w:val="22"/>
          <w:szCs w:val="22"/>
        </w:rPr>
        <w:t xml:space="preserve">fortalecer la transferencia de conocimiento en el marco de </w:t>
      </w:r>
      <w:r w:rsidRPr="00B710A9">
        <w:rPr>
          <w:rFonts w:ascii="Arial" w:eastAsia="Arial" w:hAnsi="Arial" w:cs="Arial"/>
          <w:color w:val="000000" w:themeColor="text1"/>
          <w:sz w:val="22"/>
          <w:szCs w:val="22"/>
        </w:rPr>
        <w:t>tecnologías geoespaciales, que se desarrollará conjuntamente con la Comisión Nacional de Investigación y Desarrollo Espacial de Perú (CONIDA), en el marco de la comisión mixta con Perú.</w:t>
      </w:r>
    </w:p>
    <w:p w14:paraId="688B2B9A" w14:textId="389E79F0" w:rsidR="0ECB702A" w:rsidRPr="00B710A9" w:rsidRDefault="0ECB702A" w:rsidP="0C9D4D02">
      <w:pPr>
        <w:spacing w:after="0" w:line="240" w:lineRule="auto"/>
        <w:jc w:val="both"/>
        <w:rPr>
          <w:rFonts w:ascii="Arial" w:eastAsia="Arial" w:hAnsi="Arial" w:cs="Arial"/>
          <w:color w:val="000000" w:themeColor="text1"/>
        </w:rPr>
      </w:pPr>
    </w:p>
    <w:p w14:paraId="386F9F95" w14:textId="18DD8D64" w:rsidR="0ECB702A" w:rsidRPr="00B710A9" w:rsidRDefault="0ECB702A" w:rsidP="00356A3E">
      <w:pPr>
        <w:pStyle w:val="Prrafodelista"/>
        <w:numPr>
          <w:ilvl w:val="0"/>
          <w:numId w:val="114"/>
        </w:numPr>
        <w:spacing w:after="0" w:line="240"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lang w:val="es"/>
        </w:rPr>
        <w:lastRenderedPageBreak/>
        <w:t>Se llevo a cabo el seguimiento a los proyectos de comisiones mixtas con Argentina, Perú, Guatemala y República Dominicana que tienen como objetivo fortalecer los conocimientos y experiencias en temas como lo son instrumentos metodológicos para el análisis de incendio a través de teledetección, tecnologías satelitales, actualización de la metodología para la determinación de zonas homogéneas geoeconómicas, almacenamiento de la Cartografía Nacional e Insumos Geográficos, entre otros.</w:t>
      </w:r>
    </w:p>
    <w:p w14:paraId="1DB94727" w14:textId="2F39F9F2" w:rsidR="75FAD099" w:rsidRPr="00B710A9" w:rsidRDefault="75FAD099" w:rsidP="75FAD099">
      <w:pPr>
        <w:spacing w:after="0" w:line="240" w:lineRule="auto"/>
        <w:jc w:val="both"/>
        <w:rPr>
          <w:rFonts w:ascii="Arial" w:eastAsia="Arial" w:hAnsi="Arial" w:cs="Arial"/>
          <w:color w:val="000000" w:themeColor="text1"/>
          <w:sz w:val="22"/>
          <w:szCs w:val="22"/>
        </w:rPr>
      </w:pPr>
    </w:p>
    <w:p w14:paraId="687270F0" w14:textId="0B8ACFAB" w:rsidR="75FAD099" w:rsidRPr="00B710A9" w:rsidRDefault="75FAD099" w:rsidP="00356A3E">
      <w:pPr>
        <w:pStyle w:val="Prrafodelista"/>
        <w:numPr>
          <w:ilvl w:val="0"/>
          <w:numId w:val="11"/>
        </w:numPr>
        <w:spacing w:after="0" w:line="240" w:lineRule="auto"/>
        <w:jc w:val="both"/>
        <w:rPr>
          <w:rFonts w:ascii="Arial" w:eastAsia="Arial" w:hAnsi="Arial" w:cs="Arial"/>
          <w:sz w:val="22"/>
          <w:szCs w:val="22"/>
          <w:lang w:val="es"/>
        </w:rPr>
      </w:pPr>
      <w:r w:rsidRPr="00B710A9">
        <w:rPr>
          <w:rFonts w:ascii="Arial" w:eastAsia="Arial" w:hAnsi="Arial" w:cs="Arial"/>
          <w:color w:val="000000" w:themeColor="text1"/>
          <w:sz w:val="22"/>
          <w:szCs w:val="22"/>
          <w:lang w:val="es"/>
        </w:rPr>
        <w:t xml:space="preserve">Elaboración de </w:t>
      </w:r>
      <w:r w:rsidRPr="00B710A9">
        <w:rPr>
          <w:rFonts w:ascii="Arial" w:eastAsia="Arial" w:hAnsi="Arial" w:cs="Arial"/>
          <w:sz w:val="22"/>
          <w:szCs w:val="22"/>
          <w:lang w:val="es"/>
        </w:rPr>
        <w:t>un plan estratégico de demanda y oferta de cooperación internacional.</w:t>
      </w:r>
    </w:p>
    <w:p w14:paraId="643783F7" w14:textId="152C0453" w:rsidR="19B98323" w:rsidRPr="00B710A9" w:rsidRDefault="19B98323" w:rsidP="75FAD099">
      <w:pPr>
        <w:spacing w:after="0" w:line="240" w:lineRule="auto"/>
        <w:jc w:val="both"/>
        <w:rPr>
          <w:rFonts w:ascii="Arial" w:eastAsia="Arial" w:hAnsi="Arial" w:cs="Arial"/>
          <w:i/>
          <w:iCs/>
          <w:color w:val="000000" w:themeColor="text1"/>
          <w:lang w:val="es"/>
        </w:rPr>
      </w:pPr>
    </w:p>
    <w:p w14:paraId="411BBC43" w14:textId="78181DBD" w:rsidR="31E23F24" w:rsidRPr="00B710A9" w:rsidRDefault="75FAD099" w:rsidP="00356A3E">
      <w:pPr>
        <w:pStyle w:val="Prrafodelista"/>
        <w:numPr>
          <w:ilvl w:val="0"/>
          <w:numId w:val="10"/>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Alianza con la Agencia de Cooperación Internacional de Japón- JICA para la realización del curso en tercer país en políticas urbanas e implementación de instrumentos de planificación, gestión y financiación del desarrollo urbano, que contó con la participación de 19 participantes provenientes de 13 países de Latinoamérica de Argentina, Bolivia, Brasil, Chile, Colombia, Costa Rica, Ecuador, El Salvador, Guatemala, Honduras, México, Perú y Uruguay.</w:t>
      </w:r>
    </w:p>
    <w:p w14:paraId="56EB96E5" w14:textId="2964D154" w:rsidR="31E23F24" w:rsidRPr="00B710A9" w:rsidRDefault="31E23F24" w:rsidP="75FAD099">
      <w:pPr>
        <w:spacing w:after="0" w:line="240" w:lineRule="auto"/>
        <w:jc w:val="both"/>
        <w:rPr>
          <w:rFonts w:ascii="Arial" w:eastAsia="Arial" w:hAnsi="Arial" w:cs="Arial"/>
          <w:sz w:val="22"/>
          <w:szCs w:val="22"/>
          <w:lang w:val="es"/>
        </w:rPr>
      </w:pPr>
    </w:p>
    <w:p w14:paraId="4EC4C10F" w14:textId="3B554AC5" w:rsidR="31E23F24" w:rsidRPr="00B710A9" w:rsidRDefault="75FAD099" w:rsidP="00356A3E">
      <w:pPr>
        <w:pStyle w:val="Prrafodelista"/>
        <w:numPr>
          <w:ilvl w:val="0"/>
          <w:numId w:val="9"/>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Postulación al Programa de Voluntarios convocado por JICA a través del diligenciamiento del formulario y de la visita realizada al Laboratorio Nacional de Suelos del instituto, lugar donde el voluntario llevaría a cabo las actividades.</w:t>
      </w:r>
    </w:p>
    <w:p w14:paraId="17C08D94" w14:textId="40C4CE3F" w:rsidR="31E23F24" w:rsidRPr="00B710A9" w:rsidRDefault="31E23F24" w:rsidP="75FAD099">
      <w:pPr>
        <w:spacing w:after="0" w:line="240" w:lineRule="auto"/>
        <w:jc w:val="both"/>
        <w:rPr>
          <w:rFonts w:ascii="Arial" w:eastAsia="Arial" w:hAnsi="Arial" w:cs="Arial"/>
          <w:sz w:val="22"/>
          <w:szCs w:val="22"/>
          <w:lang w:val="es"/>
        </w:rPr>
      </w:pPr>
    </w:p>
    <w:p w14:paraId="46ACE06B" w14:textId="769D174E" w:rsidR="31E23F24" w:rsidRPr="00B710A9" w:rsidRDefault="75FAD099" w:rsidP="00356A3E">
      <w:pPr>
        <w:pStyle w:val="Prrafodelista"/>
        <w:numPr>
          <w:ilvl w:val="0"/>
          <w:numId w:val="6"/>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Firma del Memorando de Entendimiento entre el Centro Internacional de Investigación del Atlántico – AIR Centre (Portugal y el Instituto Geográfico Agustín Codazzi – IGAC</w:t>
      </w:r>
    </w:p>
    <w:p w14:paraId="7A62EEEB" w14:textId="5237FF24" w:rsidR="31E23F24" w:rsidRPr="00B710A9" w:rsidRDefault="31E23F24" w:rsidP="75FAD099">
      <w:pPr>
        <w:spacing w:after="0" w:line="240" w:lineRule="auto"/>
        <w:jc w:val="both"/>
        <w:rPr>
          <w:rFonts w:ascii="Arial" w:eastAsia="Arial" w:hAnsi="Arial" w:cs="Arial"/>
          <w:sz w:val="22"/>
          <w:szCs w:val="22"/>
          <w:lang w:val="es"/>
        </w:rPr>
      </w:pPr>
    </w:p>
    <w:p w14:paraId="40CEE565" w14:textId="666FF19F" w:rsidR="31E23F24" w:rsidRPr="00B710A9" w:rsidRDefault="75FAD099" w:rsidP="00356A3E">
      <w:pPr>
        <w:pStyle w:val="Prrafodelista"/>
        <w:numPr>
          <w:ilvl w:val="0"/>
          <w:numId w:val="7"/>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Participación en el 58° período de sesiones Subcomisión de Asuntos Científicos y Técnicos (SACT) de Comisión sobre la Utilización del Espacio Ultraterrestre con Fines Pacíficos - COPUOS 2021</w:t>
      </w:r>
    </w:p>
    <w:p w14:paraId="27ADD150" w14:textId="6BA731E8" w:rsidR="31E23F24" w:rsidRPr="00B710A9" w:rsidRDefault="31E23F24" w:rsidP="75FAD099">
      <w:pPr>
        <w:spacing w:after="0" w:line="240" w:lineRule="auto"/>
        <w:jc w:val="both"/>
        <w:rPr>
          <w:rFonts w:ascii="Arial" w:eastAsia="Arial" w:hAnsi="Arial" w:cs="Arial"/>
          <w:i/>
          <w:iCs/>
          <w:color w:val="000000" w:themeColor="text1"/>
          <w:lang w:val="es"/>
        </w:rPr>
      </w:pPr>
    </w:p>
    <w:p w14:paraId="3FE996B8" w14:textId="1DAD9FB7" w:rsidR="31E23F24" w:rsidRPr="00B710A9" w:rsidRDefault="75FAD099" w:rsidP="00356A3E">
      <w:pPr>
        <w:pStyle w:val="Prrafodelista"/>
        <w:numPr>
          <w:ilvl w:val="0"/>
          <w:numId w:val="8"/>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Dinamización de nuevos espacios de posicionamiento y cooperación internacional, con las siguientes entidades: Inst. Brasileño de Geografía y Estadística – IBGE, Inst. Nacional de Investigación Espacial – INPE, Inst. Nacional de Colonización y Reforma Agraria – INCRA, Inst. Histórico y Geográfico Brasileño, Observatorio Nacional – ON, Empresa Brasilera de Investigación Agropecuaria – EMBRAPA, Universidad Estadual Paulista y la Universidad de Sao Paulo – USP, ISRO de India.</w:t>
      </w:r>
    </w:p>
    <w:p w14:paraId="4D98BEBF" w14:textId="77777777" w:rsidR="00231BDA" w:rsidRPr="00B710A9" w:rsidRDefault="00231BDA" w:rsidP="00231BDA">
      <w:pPr>
        <w:pStyle w:val="Prrafodelista"/>
        <w:spacing w:after="0" w:line="240" w:lineRule="auto"/>
        <w:jc w:val="both"/>
        <w:rPr>
          <w:rFonts w:ascii="Arial" w:eastAsia="Arial" w:hAnsi="Arial" w:cs="Arial"/>
          <w:sz w:val="22"/>
          <w:szCs w:val="22"/>
          <w:lang w:val="es"/>
        </w:rPr>
      </w:pPr>
    </w:p>
    <w:p w14:paraId="18032004" w14:textId="6529FA91" w:rsidR="31E23F24" w:rsidRPr="00B710A9" w:rsidRDefault="75FAD099" w:rsidP="75FAD099">
      <w:pPr>
        <w:pStyle w:val="Prrafodelista"/>
        <w:numPr>
          <w:ilvl w:val="0"/>
          <w:numId w:val="5"/>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Presentación de 4 proyectos en consorcio con otros aliados a convocatoria de proyectos de asistencia técnica PAT-2022 del Instituto Panamericano de Geografía e Historia- IPGH.</w:t>
      </w:r>
    </w:p>
    <w:p w14:paraId="14E51F05" w14:textId="77777777" w:rsidR="00231BDA" w:rsidRPr="00B710A9" w:rsidRDefault="00231BDA" w:rsidP="00231BDA">
      <w:pPr>
        <w:pStyle w:val="Prrafodelista"/>
        <w:spacing w:after="0" w:line="240" w:lineRule="auto"/>
        <w:jc w:val="both"/>
        <w:rPr>
          <w:rFonts w:ascii="Arial" w:eastAsia="Arial" w:hAnsi="Arial" w:cs="Arial"/>
          <w:sz w:val="22"/>
          <w:szCs w:val="22"/>
          <w:lang w:val="es"/>
        </w:rPr>
      </w:pPr>
    </w:p>
    <w:p w14:paraId="71E1132F" w14:textId="2F5A9D36" w:rsidR="31E23F24" w:rsidRPr="00B710A9" w:rsidRDefault="75FAD099" w:rsidP="75FAD099">
      <w:pPr>
        <w:pStyle w:val="Prrafodelista"/>
        <w:numPr>
          <w:ilvl w:val="0"/>
          <w:numId w:val="5"/>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 xml:space="preserve">Participación del IGAC en el grupo de trabajo encargado de la implementación del Memorando de Entendimiento - </w:t>
      </w:r>
      <w:proofErr w:type="spellStart"/>
      <w:r w:rsidRPr="00B710A9">
        <w:rPr>
          <w:rFonts w:ascii="Arial" w:eastAsia="Arial" w:hAnsi="Arial" w:cs="Arial"/>
          <w:sz w:val="22"/>
          <w:szCs w:val="22"/>
          <w:lang w:val="es"/>
        </w:rPr>
        <w:t>MdE</w:t>
      </w:r>
      <w:proofErr w:type="spellEnd"/>
      <w:r w:rsidRPr="00B710A9">
        <w:rPr>
          <w:rFonts w:ascii="Arial" w:eastAsia="Arial" w:hAnsi="Arial" w:cs="Arial"/>
          <w:sz w:val="22"/>
          <w:szCs w:val="22"/>
          <w:lang w:val="es"/>
        </w:rPr>
        <w:t xml:space="preserve"> para la exploración y uso pacífico del espacio ultraterrestre entre Colombia e India. Así como en el grupo de trabajo encargado de la implementación del </w:t>
      </w:r>
      <w:proofErr w:type="spellStart"/>
      <w:r w:rsidRPr="00B710A9">
        <w:rPr>
          <w:rFonts w:ascii="Arial" w:eastAsia="Arial" w:hAnsi="Arial" w:cs="Arial"/>
          <w:sz w:val="22"/>
          <w:szCs w:val="22"/>
          <w:lang w:val="es"/>
        </w:rPr>
        <w:t>MdE</w:t>
      </w:r>
      <w:proofErr w:type="spellEnd"/>
      <w:r w:rsidRPr="00B710A9">
        <w:rPr>
          <w:rFonts w:ascii="Arial" w:eastAsia="Arial" w:hAnsi="Arial" w:cs="Arial"/>
          <w:sz w:val="22"/>
          <w:szCs w:val="22"/>
          <w:lang w:val="es"/>
        </w:rPr>
        <w:t xml:space="preserve"> entre el Ministerio de Ciencia, Tecnología e Innovaciones de Brasil para cooperación en </w:t>
      </w:r>
      <w:proofErr w:type="spellStart"/>
      <w:r w:rsidRPr="00B710A9">
        <w:rPr>
          <w:rFonts w:ascii="Arial" w:eastAsia="Arial" w:hAnsi="Arial" w:cs="Arial"/>
          <w:sz w:val="22"/>
          <w:szCs w:val="22"/>
          <w:lang w:val="es"/>
        </w:rPr>
        <w:t>CTeI</w:t>
      </w:r>
      <w:proofErr w:type="spellEnd"/>
      <w:r w:rsidRPr="00B710A9">
        <w:rPr>
          <w:rFonts w:ascii="Arial" w:eastAsia="Arial" w:hAnsi="Arial" w:cs="Arial"/>
          <w:sz w:val="22"/>
          <w:szCs w:val="22"/>
          <w:lang w:val="es"/>
        </w:rPr>
        <w:t xml:space="preserve"> en materia espacial y </w:t>
      </w:r>
      <w:proofErr w:type="spellStart"/>
      <w:r w:rsidRPr="00B710A9">
        <w:rPr>
          <w:rFonts w:ascii="Arial" w:eastAsia="Arial" w:hAnsi="Arial" w:cs="Arial"/>
          <w:sz w:val="22"/>
          <w:szCs w:val="22"/>
          <w:lang w:val="es"/>
        </w:rPr>
        <w:t>Minciencias</w:t>
      </w:r>
      <w:proofErr w:type="spellEnd"/>
      <w:r w:rsidRPr="00B710A9">
        <w:rPr>
          <w:rFonts w:ascii="Arial" w:eastAsia="Arial" w:hAnsi="Arial" w:cs="Arial"/>
          <w:sz w:val="22"/>
          <w:szCs w:val="22"/>
          <w:lang w:val="es"/>
        </w:rPr>
        <w:t xml:space="preserve"> sobre cooperación en actividades de Ciencia, Tecnología e Innovación en materia espacial para fines pacíficos.</w:t>
      </w:r>
    </w:p>
    <w:p w14:paraId="0C5F1606" w14:textId="77777777" w:rsidR="00231BDA" w:rsidRPr="00B710A9" w:rsidRDefault="00231BDA" w:rsidP="00231BDA">
      <w:pPr>
        <w:pStyle w:val="Prrafodelista"/>
        <w:rPr>
          <w:rFonts w:ascii="Arial" w:eastAsia="Arial" w:hAnsi="Arial" w:cs="Arial"/>
          <w:sz w:val="22"/>
          <w:szCs w:val="22"/>
          <w:lang w:val="es"/>
        </w:rPr>
      </w:pPr>
    </w:p>
    <w:p w14:paraId="7820E7F6" w14:textId="1BB5F59D" w:rsidR="31E23F24" w:rsidRPr="00B710A9" w:rsidRDefault="75FAD099" w:rsidP="75FAD099">
      <w:pPr>
        <w:pStyle w:val="Prrafodelista"/>
        <w:numPr>
          <w:ilvl w:val="0"/>
          <w:numId w:val="5"/>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lastRenderedPageBreak/>
        <w:t>5 reuniones de alto nivel con las representaciones diplomáticas de Brasil, Países Bajos, Israel, España y Guatemala en Colombia.</w:t>
      </w:r>
    </w:p>
    <w:p w14:paraId="23C01BA1" w14:textId="77777777" w:rsidR="00231BDA" w:rsidRPr="00B710A9" w:rsidRDefault="00231BDA" w:rsidP="00231BDA">
      <w:pPr>
        <w:pStyle w:val="Prrafodelista"/>
        <w:rPr>
          <w:rFonts w:ascii="Arial" w:eastAsia="Arial" w:hAnsi="Arial" w:cs="Arial"/>
          <w:sz w:val="22"/>
          <w:szCs w:val="22"/>
          <w:lang w:val="es"/>
        </w:rPr>
      </w:pPr>
    </w:p>
    <w:p w14:paraId="6B97DBD7" w14:textId="3606972B" w:rsidR="31E23F24" w:rsidRPr="00B710A9" w:rsidRDefault="75FAD099" w:rsidP="75FAD099">
      <w:pPr>
        <w:pStyle w:val="Prrafodelista"/>
        <w:numPr>
          <w:ilvl w:val="0"/>
          <w:numId w:val="5"/>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 xml:space="preserve">Oficialización de 3 alianzas con las siguientes entidades: Air center (Portugal), Red Académica de las Américas UN-GGIM, Inst. Nacional de Colonización y Reforma Agraria – INCRA (Brasil) y se avanza en el proceso para la firma del </w:t>
      </w:r>
      <w:proofErr w:type="spellStart"/>
      <w:r w:rsidRPr="00B710A9">
        <w:rPr>
          <w:rFonts w:ascii="Arial" w:eastAsia="Arial" w:hAnsi="Arial" w:cs="Arial"/>
          <w:sz w:val="22"/>
          <w:szCs w:val="22"/>
          <w:lang w:val="es"/>
        </w:rPr>
        <w:t>MdE</w:t>
      </w:r>
      <w:proofErr w:type="spellEnd"/>
      <w:r w:rsidRPr="00B710A9">
        <w:rPr>
          <w:rFonts w:ascii="Arial" w:eastAsia="Arial" w:hAnsi="Arial" w:cs="Arial"/>
          <w:sz w:val="22"/>
          <w:szCs w:val="22"/>
          <w:lang w:val="es"/>
        </w:rPr>
        <w:t xml:space="preserve"> con IBGE Brasil.</w:t>
      </w:r>
    </w:p>
    <w:p w14:paraId="4864A2AD" w14:textId="77777777" w:rsidR="00231BDA" w:rsidRPr="00B710A9" w:rsidRDefault="00231BDA" w:rsidP="00231BDA">
      <w:pPr>
        <w:pStyle w:val="Prrafodelista"/>
        <w:rPr>
          <w:rFonts w:ascii="Arial" w:eastAsia="Arial" w:hAnsi="Arial" w:cs="Arial"/>
          <w:sz w:val="22"/>
          <w:szCs w:val="22"/>
          <w:lang w:val="es"/>
        </w:rPr>
      </w:pPr>
    </w:p>
    <w:p w14:paraId="5B4B5B41" w14:textId="48DFC9F2" w:rsidR="31E23F24" w:rsidRPr="00B710A9" w:rsidRDefault="31E23F24" w:rsidP="75FAD099">
      <w:pPr>
        <w:pStyle w:val="Prrafodelista"/>
        <w:numPr>
          <w:ilvl w:val="0"/>
          <w:numId w:val="5"/>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 xml:space="preserve">Interés y realización de trámites para que la entidad pueda participar en </w:t>
      </w:r>
      <w:proofErr w:type="spellStart"/>
      <w:r w:rsidRPr="00B710A9">
        <w:rPr>
          <w:rFonts w:ascii="Arial" w:eastAsia="Arial" w:hAnsi="Arial" w:cs="Arial"/>
          <w:sz w:val="22"/>
          <w:szCs w:val="22"/>
          <w:lang w:val="es"/>
        </w:rPr>
        <w:t>Twelfth</w:t>
      </w:r>
      <w:proofErr w:type="spellEnd"/>
      <w:r w:rsidRPr="00B710A9">
        <w:rPr>
          <w:rFonts w:ascii="Arial" w:eastAsia="Arial" w:hAnsi="Arial" w:cs="Arial"/>
          <w:sz w:val="22"/>
          <w:szCs w:val="22"/>
          <w:lang w:val="es"/>
        </w:rPr>
        <w:t xml:space="preserve"> </w:t>
      </w:r>
      <w:proofErr w:type="spellStart"/>
      <w:r w:rsidRPr="00B710A9">
        <w:rPr>
          <w:rFonts w:ascii="Arial" w:eastAsia="Arial" w:hAnsi="Arial" w:cs="Arial"/>
          <w:sz w:val="22"/>
          <w:szCs w:val="22"/>
          <w:lang w:val="es"/>
        </w:rPr>
        <w:t>session</w:t>
      </w:r>
      <w:proofErr w:type="spellEnd"/>
      <w:r w:rsidRPr="00B710A9">
        <w:rPr>
          <w:rFonts w:ascii="Arial" w:eastAsia="Arial" w:hAnsi="Arial" w:cs="Arial"/>
          <w:sz w:val="22"/>
          <w:szCs w:val="22"/>
          <w:lang w:val="es"/>
        </w:rPr>
        <w:t xml:space="preserve"> </w:t>
      </w:r>
      <w:proofErr w:type="spellStart"/>
      <w:r w:rsidRPr="00B710A9">
        <w:rPr>
          <w:rFonts w:ascii="Arial" w:eastAsia="Arial" w:hAnsi="Arial" w:cs="Arial"/>
          <w:sz w:val="22"/>
          <w:szCs w:val="22"/>
          <w:lang w:val="es"/>
        </w:rPr>
        <w:t>of</w:t>
      </w:r>
      <w:proofErr w:type="spellEnd"/>
      <w:r w:rsidRPr="00B710A9">
        <w:rPr>
          <w:rFonts w:ascii="Arial" w:eastAsia="Arial" w:hAnsi="Arial" w:cs="Arial"/>
          <w:sz w:val="22"/>
          <w:szCs w:val="22"/>
          <w:lang w:val="es"/>
        </w:rPr>
        <w:t xml:space="preserve"> </w:t>
      </w:r>
      <w:proofErr w:type="spellStart"/>
      <w:r w:rsidRPr="00B710A9">
        <w:rPr>
          <w:rFonts w:ascii="Arial" w:eastAsia="Arial" w:hAnsi="Arial" w:cs="Arial"/>
          <w:sz w:val="22"/>
          <w:szCs w:val="22"/>
          <w:lang w:val="es"/>
        </w:rPr>
        <w:t>the</w:t>
      </w:r>
      <w:proofErr w:type="spellEnd"/>
      <w:r w:rsidRPr="00B710A9">
        <w:rPr>
          <w:rFonts w:ascii="Arial" w:eastAsia="Arial" w:hAnsi="Arial" w:cs="Arial"/>
          <w:sz w:val="22"/>
          <w:szCs w:val="22"/>
          <w:lang w:val="es"/>
        </w:rPr>
        <w:t xml:space="preserve"> </w:t>
      </w:r>
      <w:proofErr w:type="spellStart"/>
      <w:r w:rsidRPr="00B710A9">
        <w:rPr>
          <w:rFonts w:ascii="Arial" w:eastAsia="Arial" w:hAnsi="Arial" w:cs="Arial"/>
          <w:sz w:val="22"/>
          <w:szCs w:val="22"/>
          <w:lang w:val="es"/>
        </w:rPr>
        <w:t>United</w:t>
      </w:r>
      <w:proofErr w:type="spellEnd"/>
      <w:r w:rsidRPr="00B710A9">
        <w:rPr>
          <w:rFonts w:ascii="Arial" w:eastAsia="Arial" w:hAnsi="Arial" w:cs="Arial"/>
          <w:sz w:val="22"/>
          <w:szCs w:val="22"/>
          <w:lang w:val="es"/>
        </w:rPr>
        <w:t xml:space="preserve"> </w:t>
      </w:r>
      <w:proofErr w:type="spellStart"/>
      <w:r w:rsidRPr="00B710A9">
        <w:rPr>
          <w:rFonts w:ascii="Arial" w:eastAsia="Arial" w:hAnsi="Arial" w:cs="Arial"/>
          <w:sz w:val="22"/>
          <w:szCs w:val="22"/>
          <w:lang w:val="es"/>
        </w:rPr>
        <w:t>Nations</w:t>
      </w:r>
      <w:proofErr w:type="spellEnd"/>
      <w:r w:rsidRPr="00B710A9">
        <w:rPr>
          <w:rFonts w:ascii="Arial" w:eastAsia="Arial" w:hAnsi="Arial" w:cs="Arial"/>
          <w:sz w:val="22"/>
          <w:szCs w:val="22"/>
          <w:lang w:val="es"/>
        </w:rPr>
        <w:t xml:space="preserve"> </w:t>
      </w:r>
      <w:proofErr w:type="spellStart"/>
      <w:r w:rsidRPr="00B710A9">
        <w:rPr>
          <w:rFonts w:ascii="Arial" w:eastAsia="Arial" w:hAnsi="Arial" w:cs="Arial"/>
          <w:sz w:val="22"/>
          <w:szCs w:val="22"/>
          <w:lang w:val="es"/>
        </w:rPr>
        <w:t>Committee</w:t>
      </w:r>
      <w:proofErr w:type="spellEnd"/>
      <w:r w:rsidRPr="00B710A9">
        <w:rPr>
          <w:rFonts w:ascii="Arial" w:eastAsia="Arial" w:hAnsi="Arial" w:cs="Arial"/>
          <w:sz w:val="22"/>
          <w:szCs w:val="22"/>
          <w:lang w:val="es"/>
        </w:rPr>
        <w:t xml:space="preserve"> </w:t>
      </w:r>
      <w:proofErr w:type="spellStart"/>
      <w:r w:rsidRPr="00B710A9">
        <w:rPr>
          <w:rFonts w:ascii="Arial" w:eastAsia="Arial" w:hAnsi="Arial" w:cs="Arial"/>
          <w:sz w:val="22"/>
          <w:szCs w:val="22"/>
          <w:lang w:val="es"/>
        </w:rPr>
        <w:t>of</w:t>
      </w:r>
      <w:proofErr w:type="spellEnd"/>
      <w:r w:rsidRPr="00B710A9">
        <w:rPr>
          <w:rFonts w:ascii="Arial" w:eastAsia="Arial" w:hAnsi="Arial" w:cs="Arial"/>
          <w:sz w:val="22"/>
          <w:szCs w:val="22"/>
          <w:lang w:val="es"/>
        </w:rPr>
        <w:t xml:space="preserve"> </w:t>
      </w:r>
      <w:proofErr w:type="spellStart"/>
      <w:r w:rsidRPr="00B710A9">
        <w:rPr>
          <w:rFonts w:ascii="Arial" w:eastAsia="Arial" w:hAnsi="Arial" w:cs="Arial"/>
          <w:sz w:val="22"/>
          <w:szCs w:val="22"/>
          <w:lang w:val="es"/>
        </w:rPr>
        <w:t>Experts</w:t>
      </w:r>
      <w:proofErr w:type="spellEnd"/>
      <w:r w:rsidRPr="00B710A9">
        <w:rPr>
          <w:rFonts w:ascii="Arial" w:eastAsia="Arial" w:hAnsi="Arial" w:cs="Arial"/>
          <w:sz w:val="22"/>
          <w:szCs w:val="22"/>
          <w:lang w:val="es"/>
        </w:rPr>
        <w:t xml:space="preserve"> </w:t>
      </w:r>
      <w:proofErr w:type="spellStart"/>
      <w:r w:rsidRPr="00B710A9">
        <w:rPr>
          <w:rFonts w:ascii="Arial" w:eastAsia="Arial" w:hAnsi="Arial" w:cs="Arial"/>
          <w:sz w:val="22"/>
          <w:szCs w:val="22"/>
          <w:lang w:val="es"/>
        </w:rPr>
        <w:t>on</w:t>
      </w:r>
      <w:proofErr w:type="spellEnd"/>
      <w:r w:rsidRPr="00B710A9">
        <w:rPr>
          <w:rFonts w:ascii="Arial" w:eastAsia="Arial" w:hAnsi="Arial" w:cs="Arial"/>
          <w:sz w:val="22"/>
          <w:szCs w:val="22"/>
          <w:lang w:val="es"/>
        </w:rPr>
        <w:t xml:space="preserve"> Global </w:t>
      </w:r>
      <w:proofErr w:type="spellStart"/>
      <w:r w:rsidRPr="00B710A9">
        <w:rPr>
          <w:rFonts w:ascii="Arial" w:eastAsia="Arial" w:hAnsi="Arial" w:cs="Arial"/>
          <w:sz w:val="22"/>
          <w:szCs w:val="22"/>
          <w:lang w:val="es"/>
        </w:rPr>
        <w:t>Geospatial</w:t>
      </w:r>
      <w:proofErr w:type="spellEnd"/>
      <w:r w:rsidRPr="00B710A9">
        <w:rPr>
          <w:rFonts w:ascii="Arial" w:eastAsia="Arial" w:hAnsi="Arial" w:cs="Arial"/>
          <w:sz w:val="22"/>
          <w:szCs w:val="22"/>
          <w:lang w:val="es"/>
        </w:rPr>
        <w:t xml:space="preserve"> </w:t>
      </w:r>
      <w:proofErr w:type="spellStart"/>
      <w:r w:rsidRPr="00B710A9">
        <w:rPr>
          <w:rFonts w:ascii="Arial" w:eastAsia="Arial" w:hAnsi="Arial" w:cs="Arial"/>
          <w:sz w:val="22"/>
          <w:szCs w:val="22"/>
          <w:lang w:val="es"/>
        </w:rPr>
        <w:t>Information</w:t>
      </w:r>
      <w:proofErr w:type="spellEnd"/>
      <w:r w:rsidRPr="00B710A9">
        <w:rPr>
          <w:rFonts w:ascii="Arial" w:eastAsia="Arial" w:hAnsi="Arial" w:cs="Arial"/>
          <w:sz w:val="22"/>
          <w:szCs w:val="22"/>
          <w:lang w:val="es"/>
        </w:rPr>
        <w:t xml:space="preserve"> Management (UN-GGIM).</w:t>
      </w:r>
    </w:p>
    <w:p w14:paraId="0C2E2524" w14:textId="77777777" w:rsidR="00231BDA" w:rsidRPr="00B710A9" w:rsidRDefault="00231BDA" w:rsidP="00231BDA">
      <w:pPr>
        <w:pStyle w:val="Prrafodelista"/>
        <w:rPr>
          <w:rFonts w:ascii="Arial" w:eastAsia="Arial" w:hAnsi="Arial" w:cs="Arial"/>
          <w:sz w:val="22"/>
          <w:szCs w:val="22"/>
          <w:lang w:val="es"/>
        </w:rPr>
      </w:pPr>
    </w:p>
    <w:p w14:paraId="35B8E5F2" w14:textId="4F390430" w:rsidR="0ECB702A" w:rsidRPr="00B710A9" w:rsidRDefault="076AF789" w:rsidP="75FAD099">
      <w:pPr>
        <w:pStyle w:val="Prrafodelista"/>
        <w:numPr>
          <w:ilvl w:val="0"/>
          <w:numId w:val="4"/>
        </w:numPr>
        <w:spacing w:after="0" w:line="240" w:lineRule="auto"/>
        <w:jc w:val="both"/>
        <w:rPr>
          <w:rFonts w:ascii="Arial" w:eastAsia="Arial" w:hAnsi="Arial" w:cs="Arial"/>
          <w:sz w:val="22"/>
          <w:szCs w:val="22"/>
        </w:rPr>
      </w:pPr>
      <w:r w:rsidRPr="00B710A9">
        <w:rPr>
          <w:rFonts w:ascii="Arial" w:eastAsia="Arial" w:hAnsi="Arial" w:cs="Arial"/>
          <w:sz w:val="22"/>
          <w:szCs w:val="22"/>
          <w:lang w:val="es"/>
        </w:rPr>
        <w:t>Elaboración y entrega del primer informe</w:t>
      </w:r>
      <w:r w:rsidR="0ECB702A" w:rsidRPr="00B710A9">
        <w:rPr>
          <w:rFonts w:ascii="Arial" w:eastAsia="Arial" w:hAnsi="Arial" w:cs="Arial"/>
          <w:sz w:val="22"/>
          <w:szCs w:val="22"/>
          <w:lang w:val="es"/>
        </w:rPr>
        <w:t xml:space="preserve"> a pacto global</w:t>
      </w:r>
      <w:r w:rsidRPr="00B710A9">
        <w:rPr>
          <w:rFonts w:ascii="Arial" w:eastAsia="Arial" w:hAnsi="Arial" w:cs="Arial"/>
          <w:sz w:val="22"/>
          <w:szCs w:val="22"/>
          <w:lang w:val="es"/>
        </w:rPr>
        <w:t>, teniendo en cuenta que el IGAC es adherido</w:t>
      </w:r>
      <w:r w:rsidR="0ECB702A" w:rsidRPr="00B710A9">
        <w:rPr>
          <w:rFonts w:ascii="Arial" w:eastAsia="Arial" w:hAnsi="Arial" w:cs="Arial"/>
          <w:sz w:val="22"/>
          <w:szCs w:val="22"/>
          <w:lang w:val="es"/>
        </w:rPr>
        <w:t xml:space="preserve"> con el fin de fomentar la participación del IGAC en las diferentes </w:t>
      </w:r>
      <w:r w:rsidR="005765EF" w:rsidRPr="00B710A9">
        <w:rPr>
          <w:rFonts w:ascii="Arial" w:eastAsia="Arial" w:hAnsi="Arial" w:cs="Arial"/>
          <w:sz w:val="22"/>
          <w:szCs w:val="22"/>
          <w:lang w:val="es"/>
        </w:rPr>
        <w:t>iniciativas y</w:t>
      </w:r>
      <w:r w:rsidR="0ECB702A" w:rsidRPr="00B710A9">
        <w:rPr>
          <w:rFonts w:ascii="Arial" w:eastAsia="Arial" w:hAnsi="Arial" w:cs="Arial"/>
          <w:sz w:val="22"/>
          <w:szCs w:val="22"/>
          <w:lang w:val="es"/>
        </w:rPr>
        <w:t xml:space="preserve"> mesas de trabajo para compartir y recibir información sobre buenas prácticas de sostenibilidad realizadas a nivel global., así mismo para fortalecer nuestro compromiso con la toma de conciencia en los diferentes temas de sostenibilidad ambiental, social y económica.</w:t>
      </w:r>
    </w:p>
    <w:p w14:paraId="1FEF41B7" w14:textId="58D36106" w:rsidR="0ECB702A" w:rsidRPr="00B710A9" w:rsidRDefault="0ECB702A" w:rsidP="75FAD099">
      <w:pPr>
        <w:spacing w:after="0" w:line="240" w:lineRule="auto"/>
        <w:jc w:val="both"/>
        <w:rPr>
          <w:rFonts w:ascii="Arial" w:eastAsia="Arial" w:hAnsi="Arial" w:cs="Arial"/>
          <w:sz w:val="22"/>
          <w:szCs w:val="22"/>
        </w:rPr>
      </w:pPr>
    </w:p>
    <w:p w14:paraId="26ED3D7C" w14:textId="4968DFC4" w:rsidR="0ECB702A" w:rsidRPr="00B710A9" w:rsidRDefault="0ECB702A" w:rsidP="75FAD099">
      <w:pPr>
        <w:pStyle w:val="Prrafodelista"/>
        <w:numPr>
          <w:ilvl w:val="0"/>
          <w:numId w:val="3"/>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 xml:space="preserve">Seguimiento detallado a todos los temas de cooperación internacional del instituto a través de la matriz de seguimiento </w:t>
      </w:r>
    </w:p>
    <w:p w14:paraId="76E5CC60" w14:textId="20C837F2" w:rsidR="0ECB702A" w:rsidRPr="00B710A9" w:rsidRDefault="0ECB702A" w:rsidP="75FAD099">
      <w:pPr>
        <w:spacing w:after="0" w:line="240" w:lineRule="auto"/>
        <w:jc w:val="both"/>
        <w:rPr>
          <w:rFonts w:ascii="Arial" w:eastAsia="Arial" w:hAnsi="Arial" w:cs="Arial"/>
          <w:sz w:val="22"/>
          <w:szCs w:val="22"/>
          <w:lang w:val="es"/>
        </w:rPr>
      </w:pPr>
    </w:p>
    <w:p w14:paraId="2277F463" w14:textId="7D5449C4" w:rsidR="0ECB702A" w:rsidRPr="00B710A9" w:rsidRDefault="005765EF" w:rsidP="75FAD099">
      <w:pPr>
        <w:pStyle w:val="Prrafodelista"/>
        <w:numPr>
          <w:ilvl w:val="0"/>
          <w:numId w:val="5"/>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Seguimiento de</w:t>
      </w:r>
      <w:r w:rsidR="0ECB702A" w:rsidRPr="00B710A9">
        <w:rPr>
          <w:rFonts w:ascii="Arial" w:eastAsia="Arial" w:hAnsi="Arial" w:cs="Arial"/>
          <w:sz w:val="22"/>
          <w:szCs w:val="22"/>
          <w:lang w:val="es"/>
        </w:rPr>
        <w:t xml:space="preserve"> los Objetivos de Desarrollo Sostenible </w:t>
      </w:r>
      <w:r w:rsidRPr="00B710A9">
        <w:rPr>
          <w:rFonts w:ascii="Arial" w:eastAsia="Arial" w:hAnsi="Arial" w:cs="Arial"/>
          <w:sz w:val="22"/>
          <w:szCs w:val="22"/>
          <w:lang w:val="es"/>
        </w:rPr>
        <w:t>- ODS</w:t>
      </w:r>
      <w:r w:rsidR="0ECB702A" w:rsidRPr="00B710A9">
        <w:rPr>
          <w:rFonts w:ascii="Arial" w:eastAsia="Arial" w:hAnsi="Arial" w:cs="Arial"/>
          <w:sz w:val="22"/>
          <w:szCs w:val="22"/>
          <w:lang w:val="es"/>
        </w:rPr>
        <w:t xml:space="preserve"> a través del documento mediante el cual se realizó la respetiva alineación con las metas del PND y a través de la alineación con el modelo de gestión de Pacto Global, publicado en </w:t>
      </w:r>
      <w:r w:rsidR="00231BDA" w:rsidRPr="00B710A9">
        <w:rPr>
          <w:rFonts w:ascii="Arial" w:eastAsia="Arial" w:hAnsi="Arial" w:cs="Arial"/>
          <w:sz w:val="22"/>
          <w:szCs w:val="22"/>
          <w:lang w:val="es"/>
        </w:rPr>
        <w:t>la</w:t>
      </w:r>
      <w:r w:rsidR="0ECB702A" w:rsidRPr="00B710A9">
        <w:rPr>
          <w:rFonts w:ascii="Arial" w:eastAsia="Arial" w:hAnsi="Arial" w:cs="Arial"/>
          <w:sz w:val="22"/>
          <w:szCs w:val="22"/>
          <w:lang w:val="es"/>
        </w:rPr>
        <w:t xml:space="preserve"> página web de la entidad.</w:t>
      </w:r>
    </w:p>
    <w:p w14:paraId="78C6A678" w14:textId="3EE8BD93" w:rsidR="008C4A23" w:rsidRPr="00B710A9" w:rsidRDefault="008C4A23" w:rsidP="75FAD099">
      <w:pPr>
        <w:spacing w:after="0" w:line="240" w:lineRule="auto"/>
        <w:jc w:val="both"/>
        <w:rPr>
          <w:rFonts w:ascii="Arial" w:eastAsia="Arial" w:hAnsi="Arial" w:cs="Arial"/>
          <w:sz w:val="22"/>
          <w:szCs w:val="22"/>
          <w:lang w:val="es"/>
        </w:rPr>
      </w:pPr>
    </w:p>
    <w:p w14:paraId="63340EFC" w14:textId="480419E7" w:rsidR="008C4A23" w:rsidRPr="00B710A9" w:rsidRDefault="75FAD099" w:rsidP="75FAD099">
      <w:pPr>
        <w:pStyle w:val="Prrafodelista"/>
        <w:numPr>
          <w:ilvl w:val="0"/>
          <w:numId w:val="2"/>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Seguimiento al cumplimiento de las actividades del plan de trabajo con APC, así como actualización de las metas para el año 2022.</w:t>
      </w:r>
    </w:p>
    <w:p w14:paraId="04B54D1F" w14:textId="77777777" w:rsidR="00884066" w:rsidRPr="00B710A9" w:rsidRDefault="00884066" w:rsidP="009D279A">
      <w:pPr>
        <w:spacing w:after="0" w:line="240" w:lineRule="auto"/>
        <w:jc w:val="both"/>
        <w:rPr>
          <w:rFonts w:ascii="Arial" w:eastAsia="Arial" w:hAnsi="Arial" w:cs="Arial"/>
          <w:b/>
          <w:color w:val="000000" w:themeColor="text1"/>
          <w:sz w:val="22"/>
          <w:szCs w:val="22"/>
        </w:rPr>
      </w:pPr>
    </w:p>
    <w:p w14:paraId="61AD73DE" w14:textId="5A6F8E5C" w:rsidR="008C4A23" w:rsidRPr="00B710A9" w:rsidRDefault="00526830" w:rsidP="009D279A">
      <w:pPr>
        <w:spacing w:after="0" w:line="240" w:lineRule="auto"/>
        <w:jc w:val="both"/>
        <w:rPr>
          <w:rFonts w:ascii="Arial" w:eastAsia="Arial" w:hAnsi="Arial" w:cs="Arial"/>
          <w:b/>
          <w:color w:val="000000" w:themeColor="text1"/>
          <w:sz w:val="22"/>
          <w:szCs w:val="22"/>
        </w:rPr>
      </w:pPr>
      <w:r w:rsidRPr="00B710A9">
        <w:rPr>
          <w:rFonts w:ascii="Arial" w:eastAsia="Arial" w:hAnsi="Arial" w:cs="Arial"/>
          <w:b/>
          <w:color w:val="000000" w:themeColor="text1"/>
          <w:sz w:val="22"/>
          <w:szCs w:val="22"/>
        </w:rPr>
        <w:t xml:space="preserve">Retos del mandado - contribución al cumplimiento de los compromisos globales: </w:t>
      </w:r>
    </w:p>
    <w:p w14:paraId="611FAA6C" w14:textId="77777777" w:rsidR="008C4A23" w:rsidRPr="00B710A9" w:rsidRDefault="008C4A23" w:rsidP="009D279A">
      <w:pPr>
        <w:spacing w:after="0" w:line="240" w:lineRule="auto"/>
        <w:jc w:val="both"/>
        <w:rPr>
          <w:rFonts w:ascii="Arial" w:eastAsia="Arial" w:hAnsi="Arial" w:cs="Arial"/>
          <w:b/>
          <w:color w:val="000000" w:themeColor="text1"/>
          <w:sz w:val="22"/>
          <w:szCs w:val="22"/>
        </w:rPr>
      </w:pPr>
    </w:p>
    <w:p w14:paraId="37CB88C9" w14:textId="139B54C5" w:rsidR="5F341BF7" w:rsidRPr="00B710A9" w:rsidRDefault="75FAD099" w:rsidP="00356A3E">
      <w:pPr>
        <w:pStyle w:val="Prrafodelista"/>
        <w:numPr>
          <w:ilvl w:val="0"/>
          <w:numId w:val="27"/>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Fortalecer las alianzas existentes e identificar y consolidar futuras alianzas con el fin de generar valor agregado a los procesos de cada una de las áreas misionales del Instituto.</w:t>
      </w:r>
    </w:p>
    <w:p w14:paraId="13959D13" w14:textId="26D0440E" w:rsidR="5F341BF7" w:rsidRPr="00B710A9" w:rsidRDefault="5F341BF7" w:rsidP="75FAD099">
      <w:pPr>
        <w:spacing w:after="0" w:line="240" w:lineRule="auto"/>
        <w:jc w:val="both"/>
        <w:rPr>
          <w:rFonts w:ascii="Arial" w:eastAsia="Arial" w:hAnsi="Arial" w:cs="Arial"/>
          <w:color w:val="000000" w:themeColor="text1"/>
        </w:rPr>
      </w:pPr>
    </w:p>
    <w:p w14:paraId="588276B7" w14:textId="08F44ED7" w:rsidR="5F341BF7" w:rsidRPr="00B710A9" w:rsidRDefault="5F341BF7" w:rsidP="00356A3E">
      <w:pPr>
        <w:pStyle w:val="Prrafodelista"/>
        <w:numPr>
          <w:ilvl w:val="0"/>
          <w:numId w:val="27"/>
        </w:numPr>
        <w:spacing w:after="0" w:line="240" w:lineRule="auto"/>
        <w:jc w:val="both"/>
        <w:rPr>
          <w:rFonts w:ascii="Arial" w:eastAsia="Arial" w:hAnsi="Arial" w:cs="Arial"/>
          <w:sz w:val="22"/>
          <w:szCs w:val="22"/>
        </w:rPr>
      </w:pPr>
      <w:r w:rsidRPr="00B710A9">
        <w:rPr>
          <w:rFonts w:ascii="Arial" w:eastAsia="Arial" w:hAnsi="Arial" w:cs="Arial"/>
          <w:sz w:val="22"/>
          <w:szCs w:val="22"/>
          <w:lang w:val="es"/>
        </w:rPr>
        <w:t xml:space="preserve">Fortalecer la gestión de la cooperación a través del intercambio de experiencias y conocimientos formulando y presentando iniciativas a oportunidades de cooperación de Ayuda Oficial al Desarrollo, Cooperación Sur, Cooperación Triangular, entre otras, alineadas con las metas del </w:t>
      </w:r>
      <w:r w:rsidR="005765EF" w:rsidRPr="00B710A9">
        <w:rPr>
          <w:rFonts w:ascii="Arial" w:eastAsia="Arial" w:hAnsi="Arial" w:cs="Arial"/>
          <w:sz w:val="22"/>
          <w:szCs w:val="22"/>
          <w:lang w:val="es"/>
        </w:rPr>
        <w:t>instituto, las</w:t>
      </w:r>
      <w:r w:rsidRPr="00B710A9">
        <w:rPr>
          <w:rFonts w:ascii="Arial" w:eastAsia="Arial" w:hAnsi="Arial" w:cs="Arial"/>
          <w:sz w:val="22"/>
          <w:szCs w:val="22"/>
          <w:lang w:val="es"/>
        </w:rPr>
        <w:t xml:space="preserve"> prioridades del sector, el Plan Nacional de Desarrollo y los Objetivos de Desarrollo Sostenible (ODS).</w:t>
      </w:r>
    </w:p>
    <w:p w14:paraId="246E2DA8" w14:textId="71947932" w:rsidR="5F341BF7" w:rsidRPr="00B710A9" w:rsidRDefault="5F341BF7" w:rsidP="75FAD099">
      <w:pPr>
        <w:spacing w:after="0" w:line="240" w:lineRule="auto"/>
        <w:jc w:val="both"/>
        <w:rPr>
          <w:rFonts w:ascii="Arial" w:eastAsia="Arial" w:hAnsi="Arial" w:cs="Arial"/>
          <w:sz w:val="22"/>
          <w:szCs w:val="22"/>
        </w:rPr>
      </w:pPr>
      <w:r w:rsidRPr="00B710A9">
        <w:rPr>
          <w:rFonts w:ascii="Arial" w:eastAsia="Arial" w:hAnsi="Arial" w:cs="Arial"/>
          <w:sz w:val="22"/>
          <w:szCs w:val="22"/>
          <w:lang w:val="es"/>
        </w:rPr>
        <w:t xml:space="preserve"> </w:t>
      </w:r>
    </w:p>
    <w:p w14:paraId="0CC224AF" w14:textId="513C5C22" w:rsidR="5F341BF7" w:rsidRPr="00B710A9" w:rsidRDefault="5F341BF7" w:rsidP="00356A3E">
      <w:pPr>
        <w:pStyle w:val="Prrafodelista"/>
        <w:numPr>
          <w:ilvl w:val="0"/>
          <w:numId w:val="27"/>
        </w:numPr>
        <w:spacing w:after="0" w:line="240" w:lineRule="auto"/>
        <w:jc w:val="both"/>
        <w:rPr>
          <w:rFonts w:ascii="Arial" w:eastAsia="Arial" w:hAnsi="Arial" w:cs="Arial"/>
          <w:sz w:val="22"/>
          <w:szCs w:val="22"/>
        </w:rPr>
      </w:pPr>
      <w:r w:rsidRPr="00B710A9">
        <w:rPr>
          <w:rFonts w:ascii="Arial" w:eastAsia="Arial" w:hAnsi="Arial" w:cs="Arial"/>
          <w:sz w:val="22"/>
          <w:szCs w:val="22"/>
          <w:lang w:val="es"/>
        </w:rPr>
        <w:t>Fortalecer la gestión de iniciativas de Cooperación Internacional que promuevan alianzas con actores de la sociedad civil, el sector privado, instituciones públicas, la comunidad científica y tecnológica, centros de estudio, academia, entre otros.</w:t>
      </w:r>
    </w:p>
    <w:p w14:paraId="3B160D46" w14:textId="3FCF2EF7" w:rsidR="5F341BF7" w:rsidRPr="00B710A9" w:rsidRDefault="5F341BF7" w:rsidP="75FAD099">
      <w:pPr>
        <w:spacing w:after="0" w:line="240" w:lineRule="auto"/>
        <w:jc w:val="both"/>
        <w:rPr>
          <w:rFonts w:ascii="Arial" w:eastAsia="Arial" w:hAnsi="Arial" w:cs="Arial"/>
          <w:sz w:val="22"/>
          <w:szCs w:val="22"/>
        </w:rPr>
      </w:pPr>
      <w:r w:rsidRPr="00B710A9">
        <w:rPr>
          <w:rFonts w:ascii="Arial" w:eastAsia="Arial" w:hAnsi="Arial" w:cs="Arial"/>
          <w:sz w:val="22"/>
          <w:szCs w:val="22"/>
          <w:lang w:val="es"/>
        </w:rPr>
        <w:t xml:space="preserve"> </w:t>
      </w:r>
    </w:p>
    <w:p w14:paraId="53CD6E91" w14:textId="259EF15F" w:rsidR="5F341BF7" w:rsidRPr="00B710A9" w:rsidRDefault="5F341BF7" w:rsidP="00356A3E">
      <w:pPr>
        <w:pStyle w:val="Prrafodelista"/>
        <w:numPr>
          <w:ilvl w:val="0"/>
          <w:numId w:val="27"/>
        </w:numPr>
        <w:spacing w:after="0" w:line="240" w:lineRule="auto"/>
        <w:jc w:val="both"/>
        <w:rPr>
          <w:rFonts w:ascii="Arial" w:eastAsia="Arial" w:hAnsi="Arial" w:cs="Arial"/>
          <w:sz w:val="22"/>
          <w:szCs w:val="22"/>
        </w:rPr>
      </w:pPr>
      <w:r w:rsidRPr="00B710A9">
        <w:rPr>
          <w:rFonts w:ascii="Arial" w:eastAsia="Arial" w:hAnsi="Arial" w:cs="Arial"/>
          <w:sz w:val="22"/>
          <w:szCs w:val="22"/>
          <w:lang w:val="es"/>
        </w:rPr>
        <w:t>Fomentar la participación del IGAC en capacitaciones y/o formación sobre temas</w:t>
      </w:r>
      <w:r w:rsidR="00117049" w:rsidRPr="00B710A9">
        <w:rPr>
          <w:rFonts w:ascii="Arial" w:eastAsia="Arial" w:hAnsi="Arial" w:cs="Arial"/>
          <w:sz w:val="22"/>
          <w:szCs w:val="22"/>
          <w:lang w:val="es"/>
        </w:rPr>
        <w:t xml:space="preserve"> de</w:t>
      </w:r>
      <w:r w:rsidRPr="00B710A9">
        <w:rPr>
          <w:rFonts w:ascii="Arial" w:eastAsia="Arial" w:hAnsi="Arial" w:cs="Arial"/>
          <w:sz w:val="22"/>
          <w:szCs w:val="22"/>
          <w:lang w:val="es"/>
        </w:rPr>
        <w:t xml:space="preserve"> cooperación</w:t>
      </w:r>
      <w:r w:rsidR="00492D16" w:rsidRPr="00B710A9">
        <w:rPr>
          <w:rFonts w:ascii="Arial" w:eastAsia="Arial" w:hAnsi="Arial" w:cs="Arial"/>
          <w:sz w:val="22"/>
          <w:szCs w:val="22"/>
          <w:lang w:val="es"/>
        </w:rPr>
        <w:t xml:space="preserve"> </w:t>
      </w:r>
      <w:r w:rsidRPr="00B710A9">
        <w:rPr>
          <w:rFonts w:ascii="Arial" w:eastAsia="Arial" w:hAnsi="Arial" w:cs="Arial"/>
          <w:sz w:val="22"/>
          <w:szCs w:val="22"/>
          <w:lang w:val="es"/>
        </w:rPr>
        <w:t>internacional e internacionalización, gestionadas y socializadas por APC-Colombia u otro organismo.</w:t>
      </w:r>
    </w:p>
    <w:p w14:paraId="2D0354A8" w14:textId="3DC7C8BE" w:rsidR="5F341BF7" w:rsidRPr="00B710A9" w:rsidRDefault="5F341BF7" w:rsidP="75FAD099">
      <w:pPr>
        <w:spacing w:after="0" w:line="240" w:lineRule="auto"/>
        <w:jc w:val="both"/>
        <w:rPr>
          <w:rFonts w:ascii="Arial" w:eastAsia="Arial" w:hAnsi="Arial" w:cs="Arial"/>
          <w:sz w:val="22"/>
          <w:szCs w:val="22"/>
        </w:rPr>
      </w:pPr>
      <w:r w:rsidRPr="00B710A9">
        <w:rPr>
          <w:rFonts w:ascii="Arial" w:eastAsia="Arial" w:hAnsi="Arial" w:cs="Arial"/>
          <w:sz w:val="22"/>
          <w:szCs w:val="22"/>
          <w:lang w:val="es"/>
        </w:rPr>
        <w:lastRenderedPageBreak/>
        <w:t xml:space="preserve"> </w:t>
      </w:r>
    </w:p>
    <w:p w14:paraId="3398AF60" w14:textId="16DD4279" w:rsidR="5F341BF7" w:rsidRPr="00B710A9" w:rsidRDefault="5F341BF7" w:rsidP="00356A3E">
      <w:pPr>
        <w:pStyle w:val="Prrafodelista"/>
        <w:numPr>
          <w:ilvl w:val="0"/>
          <w:numId w:val="27"/>
        </w:numPr>
        <w:spacing w:after="0" w:line="240" w:lineRule="auto"/>
        <w:jc w:val="both"/>
        <w:rPr>
          <w:rFonts w:ascii="Arial" w:eastAsia="Arial" w:hAnsi="Arial" w:cs="Arial"/>
          <w:sz w:val="22"/>
          <w:szCs w:val="22"/>
        </w:rPr>
      </w:pPr>
      <w:r w:rsidRPr="00B710A9">
        <w:rPr>
          <w:rFonts w:ascii="Arial" w:eastAsia="Arial" w:hAnsi="Arial" w:cs="Arial"/>
          <w:sz w:val="22"/>
          <w:szCs w:val="22"/>
          <w:lang w:val="es"/>
        </w:rPr>
        <w:t xml:space="preserve">Visibilizar a nivel internacional las buenas prácticas que se realizan en el IGAC y que tienen un importante potencial de ser replicables en otros países. </w:t>
      </w:r>
    </w:p>
    <w:p w14:paraId="41F8225C" w14:textId="19FD6862" w:rsidR="75FAD099" w:rsidRPr="00B710A9" w:rsidRDefault="75FAD099" w:rsidP="75FAD099">
      <w:pPr>
        <w:spacing w:after="0" w:line="240" w:lineRule="auto"/>
        <w:jc w:val="both"/>
        <w:rPr>
          <w:rFonts w:ascii="Arial" w:eastAsia="Arial" w:hAnsi="Arial" w:cs="Arial"/>
          <w:sz w:val="22"/>
          <w:szCs w:val="22"/>
        </w:rPr>
      </w:pPr>
    </w:p>
    <w:p w14:paraId="338F2E6B" w14:textId="1F804878" w:rsidR="75FAD099" w:rsidRPr="00B710A9" w:rsidRDefault="75FAD099" w:rsidP="75FAD099">
      <w:pPr>
        <w:pStyle w:val="Prrafodelista"/>
        <w:numPr>
          <w:ilvl w:val="0"/>
          <w:numId w:val="1"/>
        </w:numPr>
        <w:spacing w:after="0" w:line="240" w:lineRule="auto"/>
        <w:jc w:val="both"/>
        <w:rPr>
          <w:rFonts w:ascii="Arial" w:eastAsia="Arial" w:hAnsi="Arial" w:cs="Arial"/>
          <w:sz w:val="22"/>
          <w:szCs w:val="22"/>
          <w:lang w:val="es"/>
        </w:rPr>
      </w:pPr>
      <w:r w:rsidRPr="00B710A9">
        <w:rPr>
          <w:rFonts w:ascii="Arial" w:eastAsia="Arial" w:hAnsi="Arial" w:cs="Arial"/>
          <w:sz w:val="22"/>
          <w:szCs w:val="22"/>
          <w:lang w:val="es"/>
        </w:rPr>
        <w:t>Tener mayor participación en las actividades y/o eventos realizados por los organismos internacionales a los cuales el IGAC se encuentra afiliado con el fin de obtener mayor provecho de los escenarios y oportunidades de estas afiliaciones.</w:t>
      </w:r>
    </w:p>
    <w:p w14:paraId="6E440585" w14:textId="6DCC5E84" w:rsidR="5F341BF7" w:rsidRPr="00B710A9" w:rsidRDefault="5F341BF7" w:rsidP="75FAD099">
      <w:pPr>
        <w:spacing w:after="0" w:line="240" w:lineRule="auto"/>
        <w:jc w:val="both"/>
        <w:rPr>
          <w:rFonts w:ascii="Arial" w:eastAsia="Arial" w:hAnsi="Arial" w:cs="Arial"/>
          <w:sz w:val="22"/>
          <w:szCs w:val="22"/>
        </w:rPr>
      </w:pPr>
      <w:r w:rsidRPr="00B710A9">
        <w:rPr>
          <w:rFonts w:ascii="Arial" w:eastAsia="Arial" w:hAnsi="Arial" w:cs="Arial"/>
          <w:sz w:val="22"/>
          <w:szCs w:val="22"/>
          <w:lang w:val="es"/>
        </w:rPr>
        <w:t xml:space="preserve">  </w:t>
      </w:r>
    </w:p>
    <w:p w14:paraId="783554E3" w14:textId="77777777" w:rsidR="00231BDA" w:rsidRPr="00B710A9" w:rsidRDefault="00231BDA" w:rsidP="009D279A">
      <w:pPr>
        <w:spacing w:after="0" w:line="240" w:lineRule="auto"/>
        <w:jc w:val="both"/>
        <w:rPr>
          <w:rFonts w:asciiTheme="minorHAnsi" w:hAnsiTheme="minorHAnsi" w:cstheme="minorHAnsi"/>
          <w:color w:val="000000" w:themeColor="text1"/>
        </w:rPr>
      </w:pPr>
    </w:p>
    <w:p w14:paraId="7A873FC4" w14:textId="03E130BA" w:rsidR="008C4A23" w:rsidRPr="00B710A9" w:rsidRDefault="00526830" w:rsidP="00356A3E">
      <w:pPr>
        <w:numPr>
          <w:ilvl w:val="0"/>
          <w:numId w:val="35"/>
        </w:numPr>
        <w:spacing w:after="0" w:line="240" w:lineRule="auto"/>
        <w:jc w:val="both"/>
        <w:rPr>
          <w:rFonts w:ascii="Arial" w:hAnsi="Arial" w:cs="Arial"/>
          <w:b/>
          <w:bCs/>
          <w:color w:val="000000" w:themeColor="text1"/>
          <w:sz w:val="22"/>
          <w:szCs w:val="22"/>
        </w:rPr>
      </w:pPr>
      <w:r w:rsidRPr="00B710A9">
        <w:rPr>
          <w:rFonts w:ascii="Arial" w:hAnsi="Arial" w:cs="Arial"/>
          <w:b/>
          <w:bCs/>
          <w:color w:val="000000" w:themeColor="text1"/>
          <w:sz w:val="22"/>
          <w:szCs w:val="22"/>
        </w:rPr>
        <w:t>Gastos vigencia 20</w:t>
      </w:r>
      <w:r w:rsidR="00A26651" w:rsidRPr="00B710A9">
        <w:rPr>
          <w:rFonts w:ascii="Arial" w:hAnsi="Arial" w:cs="Arial"/>
          <w:b/>
          <w:bCs/>
          <w:color w:val="000000" w:themeColor="text1"/>
          <w:sz w:val="22"/>
          <w:szCs w:val="22"/>
        </w:rPr>
        <w:t>2</w:t>
      </w:r>
      <w:r w:rsidR="007939A1" w:rsidRPr="00B710A9">
        <w:rPr>
          <w:rFonts w:ascii="Arial" w:hAnsi="Arial" w:cs="Arial"/>
          <w:b/>
          <w:bCs/>
          <w:color w:val="000000" w:themeColor="text1"/>
          <w:sz w:val="22"/>
          <w:szCs w:val="22"/>
        </w:rPr>
        <w:t>1</w:t>
      </w:r>
    </w:p>
    <w:p w14:paraId="4504A299" w14:textId="29153601" w:rsidR="00BF248E" w:rsidRPr="00B710A9" w:rsidRDefault="00BF248E" w:rsidP="009D279A">
      <w:pPr>
        <w:spacing w:after="0" w:line="240" w:lineRule="auto"/>
        <w:jc w:val="both"/>
        <w:rPr>
          <w:rFonts w:ascii="Arial" w:hAnsi="Arial" w:cs="Arial"/>
          <w:b/>
          <w:bCs/>
          <w:color w:val="000000" w:themeColor="text1"/>
          <w:sz w:val="22"/>
          <w:szCs w:val="22"/>
        </w:rPr>
      </w:pPr>
    </w:p>
    <w:p w14:paraId="5C2E3F53" w14:textId="1068C6DF" w:rsidR="00181A2A" w:rsidRPr="00B710A9" w:rsidRDefault="00181A2A" w:rsidP="00181A2A">
      <w:pPr>
        <w:spacing w:after="0" w:line="240" w:lineRule="auto"/>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rPr>
        <w:t>El presupuesto del IGAC, según Decreto 1805 del 31 de diciembre de 2020 para la vigencia 2021 es de $29</w:t>
      </w:r>
      <w:r w:rsidR="00850B29" w:rsidRPr="00B710A9">
        <w:rPr>
          <w:rFonts w:ascii="Arial" w:eastAsia="Calibri" w:hAnsi="Arial" w:cs="Arial"/>
          <w:color w:val="000000" w:themeColor="text1"/>
          <w:sz w:val="22"/>
          <w:szCs w:val="22"/>
        </w:rPr>
        <w:t>6</w:t>
      </w:r>
      <w:r w:rsidRPr="00B710A9">
        <w:rPr>
          <w:rFonts w:ascii="Arial" w:eastAsia="Calibri" w:hAnsi="Arial" w:cs="Arial"/>
          <w:color w:val="000000" w:themeColor="text1"/>
          <w:sz w:val="22"/>
          <w:szCs w:val="22"/>
        </w:rPr>
        <w:t>.</w:t>
      </w:r>
      <w:r w:rsidR="00850B29" w:rsidRPr="00B710A9">
        <w:rPr>
          <w:rFonts w:ascii="Arial" w:eastAsia="Calibri" w:hAnsi="Arial" w:cs="Arial"/>
          <w:color w:val="000000" w:themeColor="text1"/>
          <w:sz w:val="22"/>
          <w:szCs w:val="22"/>
        </w:rPr>
        <w:t>22</w:t>
      </w:r>
      <w:r w:rsidRPr="00B710A9">
        <w:rPr>
          <w:rFonts w:ascii="Arial" w:eastAsia="Calibri" w:hAnsi="Arial" w:cs="Arial"/>
          <w:color w:val="000000" w:themeColor="text1"/>
          <w:sz w:val="22"/>
          <w:szCs w:val="22"/>
        </w:rPr>
        <w:t>2 millones, donde el 29% de la asignación inicial corresponde a funcionamiento ($8</w:t>
      </w:r>
      <w:r w:rsidR="00850B29" w:rsidRPr="00B710A9">
        <w:rPr>
          <w:rFonts w:ascii="Arial" w:eastAsia="Calibri" w:hAnsi="Arial" w:cs="Arial"/>
          <w:color w:val="000000" w:themeColor="text1"/>
          <w:sz w:val="22"/>
          <w:szCs w:val="22"/>
        </w:rPr>
        <w:t>6</w:t>
      </w:r>
      <w:r w:rsidRPr="00B710A9">
        <w:rPr>
          <w:rFonts w:ascii="Arial" w:eastAsia="Calibri" w:hAnsi="Arial" w:cs="Arial"/>
          <w:color w:val="000000" w:themeColor="text1"/>
          <w:sz w:val="22"/>
          <w:szCs w:val="22"/>
        </w:rPr>
        <w:t>.</w:t>
      </w:r>
      <w:r w:rsidR="00850B29" w:rsidRPr="00B710A9">
        <w:rPr>
          <w:rFonts w:ascii="Arial" w:eastAsia="Calibri" w:hAnsi="Arial" w:cs="Arial"/>
          <w:color w:val="000000" w:themeColor="text1"/>
          <w:sz w:val="22"/>
          <w:szCs w:val="22"/>
        </w:rPr>
        <w:t>158</w:t>
      </w:r>
      <w:r w:rsidRPr="00B710A9">
        <w:rPr>
          <w:rFonts w:ascii="Arial" w:eastAsia="Calibri" w:hAnsi="Arial" w:cs="Arial"/>
          <w:color w:val="000000" w:themeColor="text1"/>
          <w:sz w:val="22"/>
          <w:szCs w:val="22"/>
        </w:rPr>
        <w:t xml:space="preserve"> millones) y el 71% a inversión ($210.06</w:t>
      </w:r>
      <w:r w:rsidR="00C73B6C" w:rsidRPr="00B710A9">
        <w:rPr>
          <w:rFonts w:ascii="Arial" w:eastAsia="Calibri" w:hAnsi="Arial" w:cs="Arial"/>
          <w:color w:val="000000" w:themeColor="text1"/>
          <w:sz w:val="22"/>
          <w:szCs w:val="22"/>
        </w:rPr>
        <w:t>4</w:t>
      </w:r>
      <w:r w:rsidRPr="00B710A9">
        <w:rPr>
          <w:rFonts w:ascii="Arial" w:eastAsia="Calibri" w:hAnsi="Arial" w:cs="Arial"/>
          <w:color w:val="000000" w:themeColor="text1"/>
          <w:sz w:val="22"/>
          <w:szCs w:val="22"/>
        </w:rPr>
        <w:t xml:space="preserve"> millones). </w:t>
      </w:r>
    </w:p>
    <w:p w14:paraId="362E744D" w14:textId="61D58092" w:rsidR="00764424" w:rsidRDefault="00181A2A" w:rsidP="00B60DBF">
      <w:pPr>
        <w:spacing w:after="0" w:line="240" w:lineRule="auto"/>
        <w:jc w:val="both"/>
        <w:rPr>
          <w:rFonts w:ascii="Arial" w:eastAsia="Calibri" w:hAnsi="Arial" w:cs="Arial"/>
          <w:color w:val="000000" w:themeColor="text1"/>
          <w:sz w:val="22"/>
          <w:szCs w:val="22"/>
        </w:rPr>
        <w:sectPr w:rsidR="00764424">
          <w:pgSz w:w="12240" w:h="15840"/>
          <w:pgMar w:top="1418" w:right="1701" w:bottom="1418" w:left="1559" w:header="709" w:footer="709" w:gutter="0"/>
          <w:pgNumType w:start="1"/>
          <w:cols w:space="720" w:equalWidth="0">
            <w:col w:w="8838"/>
          </w:cols>
        </w:sectPr>
      </w:pPr>
      <w:r w:rsidRPr="00B710A9">
        <w:rPr>
          <w:rFonts w:ascii="Arial" w:eastAsia="Calibri" w:hAnsi="Arial" w:cs="Arial"/>
          <w:color w:val="000000" w:themeColor="text1"/>
          <w:sz w:val="22"/>
          <w:szCs w:val="22"/>
        </w:rPr>
        <w:t xml:space="preserve"> </w:t>
      </w:r>
      <w:r w:rsidR="00315F14" w:rsidRPr="00B710A9">
        <w:rPr>
          <w:rFonts w:ascii="Arial" w:eastAsia="Calibri" w:hAnsi="Arial" w:cs="Arial"/>
          <w:color w:val="000000" w:themeColor="text1"/>
          <w:sz w:val="22"/>
          <w:szCs w:val="22"/>
        </w:rPr>
        <w:t xml:space="preserve"> </w:t>
      </w:r>
    </w:p>
    <w:p w14:paraId="76F2CA45" w14:textId="5BAA377F" w:rsidR="00764424" w:rsidRPr="00B710A9" w:rsidRDefault="00773A3B" w:rsidP="00094D05">
      <w:pPr>
        <w:pStyle w:val="Ttulo1"/>
        <w:numPr>
          <w:ilvl w:val="0"/>
          <w:numId w:val="44"/>
        </w:numPr>
        <w:rPr>
          <w:rFonts w:ascii="Arial" w:hAnsi="Arial" w:cs="Arial"/>
          <w:sz w:val="22"/>
          <w:szCs w:val="22"/>
        </w:rPr>
      </w:pPr>
      <w:bookmarkStart w:id="63" w:name="_Toc111485515"/>
      <w:r w:rsidRPr="00B710A9">
        <w:rPr>
          <w:rFonts w:ascii="Arial" w:hAnsi="Arial" w:cs="Arial"/>
          <w:sz w:val="22"/>
          <w:szCs w:val="22"/>
        </w:rPr>
        <w:lastRenderedPageBreak/>
        <w:t>GESTIÓN DE RECURSOS</w:t>
      </w:r>
      <w:bookmarkEnd w:id="63"/>
    </w:p>
    <w:p w14:paraId="0761FD04" w14:textId="77777777" w:rsidR="00773A3B" w:rsidRPr="00B710A9" w:rsidRDefault="00773A3B" w:rsidP="00773A3B">
      <w:pPr>
        <w:pStyle w:val="Prrafodelista"/>
        <w:spacing w:after="0" w:line="240" w:lineRule="auto"/>
        <w:jc w:val="both"/>
        <w:rPr>
          <w:rFonts w:ascii="Arial" w:eastAsia="Calibri" w:hAnsi="Arial" w:cs="Arial"/>
          <w:b/>
          <w:bCs/>
          <w:color w:val="000000" w:themeColor="text1"/>
          <w:sz w:val="22"/>
          <w:szCs w:val="22"/>
        </w:rPr>
      </w:pPr>
    </w:p>
    <w:p w14:paraId="373D36AD" w14:textId="00962BA8" w:rsidR="00B4645B" w:rsidRPr="00B710A9" w:rsidRDefault="00B4645B" w:rsidP="00B4645B">
      <w:pPr>
        <w:pStyle w:val="Ttulo2"/>
        <w:numPr>
          <w:ilvl w:val="1"/>
          <w:numId w:val="44"/>
        </w:numPr>
        <w:spacing w:before="0" w:after="0" w:line="240" w:lineRule="auto"/>
        <w:rPr>
          <w:rFonts w:ascii="Arial" w:hAnsi="Arial" w:cs="Arial"/>
          <w:color w:val="000000" w:themeColor="text1"/>
          <w:sz w:val="22"/>
          <w:szCs w:val="22"/>
        </w:rPr>
      </w:pPr>
      <w:bookmarkStart w:id="64" w:name="_Toc111485516"/>
      <w:r w:rsidRPr="00B710A9">
        <w:rPr>
          <w:rFonts w:ascii="Arial" w:hAnsi="Arial" w:cs="Arial"/>
          <w:color w:val="000000" w:themeColor="text1"/>
          <w:sz w:val="22"/>
          <w:szCs w:val="22"/>
        </w:rPr>
        <w:t>Ejecución presupuestal</w:t>
      </w:r>
      <w:bookmarkEnd w:id="64"/>
      <w:r w:rsidRPr="00B710A9">
        <w:rPr>
          <w:rFonts w:ascii="Arial" w:hAnsi="Arial" w:cs="Arial"/>
          <w:color w:val="000000" w:themeColor="text1"/>
          <w:sz w:val="22"/>
          <w:szCs w:val="22"/>
        </w:rPr>
        <w:t xml:space="preserve"> </w:t>
      </w:r>
    </w:p>
    <w:p w14:paraId="1FF2F23A" w14:textId="77777777" w:rsidR="00393F72" w:rsidRPr="00B710A9" w:rsidRDefault="00393F72" w:rsidP="009D279A">
      <w:pPr>
        <w:spacing w:after="0" w:line="240" w:lineRule="auto"/>
        <w:jc w:val="both"/>
        <w:rPr>
          <w:rFonts w:ascii="Arial" w:eastAsia="Calibri" w:hAnsi="Arial" w:cs="Arial"/>
          <w:b/>
          <w:bCs/>
          <w:color w:val="000000" w:themeColor="text1"/>
          <w:sz w:val="14"/>
          <w:szCs w:val="14"/>
        </w:rPr>
      </w:pPr>
    </w:p>
    <w:p w14:paraId="4EAC8CD6" w14:textId="77777777" w:rsidR="00764424" w:rsidRPr="00B710A9" w:rsidRDefault="00764424" w:rsidP="009D279A">
      <w:pPr>
        <w:spacing w:after="0" w:line="240" w:lineRule="auto"/>
        <w:jc w:val="both"/>
        <w:rPr>
          <w:rFonts w:ascii="Arial" w:eastAsia="Calibri" w:hAnsi="Arial" w:cs="Arial"/>
          <w:b/>
          <w:bCs/>
          <w:color w:val="000000" w:themeColor="text1"/>
          <w:sz w:val="14"/>
          <w:szCs w:val="14"/>
        </w:rPr>
      </w:pPr>
    </w:p>
    <w:p w14:paraId="0F6D6C48" w14:textId="77777777" w:rsidR="00B60DBF" w:rsidRPr="00B710A9" w:rsidRDefault="00B60DBF" w:rsidP="00B60DBF">
      <w:pPr>
        <w:numPr>
          <w:ilvl w:val="0"/>
          <w:numId w:val="35"/>
        </w:numPr>
        <w:spacing w:after="0" w:line="240" w:lineRule="auto"/>
        <w:jc w:val="both"/>
        <w:rPr>
          <w:rFonts w:ascii="Arial" w:hAnsi="Arial" w:cs="Arial"/>
          <w:b/>
          <w:bCs/>
          <w:color w:val="000000" w:themeColor="text1"/>
          <w:sz w:val="22"/>
          <w:szCs w:val="22"/>
        </w:rPr>
      </w:pPr>
      <w:r w:rsidRPr="00B710A9">
        <w:rPr>
          <w:rFonts w:ascii="Arial" w:hAnsi="Arial" w:cs="Arial"/>
          <w:b/>
          <w:bCs/>
          <w:color w:val="000000" w:themeColor="text1"/>
          <w:sz w:val="22"/>
          <w:szCs w:val="22"/>
        </w:rPr>
        <w:t>Gastos vigencia 2021</w:t>
      </w:r>
    </w:p>
    <w:p w14:paraId="432F2529" w14:textId="77777777" w:rsidR="00764424" w:rsidRPr="00B710A9" w:rsidRDefault="00764424" w:rsidP="009D279A">
      <w:pPr>
        <w:spacing w:after="0" w:line="240" w:lineRule="auto"/>
        <w:jc w:val="both"/>
        <w:rPr>
          <w:rFonts w:ascii="Arial" w:eastAsia="Calibri" w:hAnsi="Arial" w:cs="Arial"/>
          <w:b/>
          <w:bCs/>
          <w:color w:val="000000" w:themeColor="text1"/>
          <w:sz w:val="14"/>
          <w:szCs w:val="14"/>
        </w:rPr>
      </w:pPr>
    </w:p>
    <w:p w14:paraId="07C6C288" w14:textId="687CE383" w:rsidR="00764424" w:rsidRPr="00B710A9" w:rsidRDefault="00B60DBF" w:rsidP="00B60DBF">
      <w:pPr>
        <w:spacing w:after="0" w:line="240" w:lineRule="auto"/>
        <w:jc w:val="both"/>
        <w:rPr>
          <w:rFonts w:ascii="Arial" w:eastAsia="Calibri" w:hAnsi="Arial" w:cs="Arial"/>
          <w:b/>
          <w:bCs/>
          <w:color w:val="000000" w:themeColor="text1"/>
          <w:sz w:val="14"/>
          <w:szCs w:val="14"/>
        </w:rPr>
      </w:pPr>
      <w:r w:rsidRPr="00B710A9">
        <w:rPr>
          <w:rFonts w:ascii="Arial" w:eastAsia="Calibri" w:hAnsi="Arial" w:cs="Arial"/>
          <w:color w:val="000000" w:themeColor="text1"/>
          <w:sz w:val="22"/>
          <w:szCs w:val="22"/>
        </w:rPr>
        <w:t>El presupuesto del IGAC, según Decreto 1805 del 31 de diciembre de 2020 para la vigencia 2021 es de $296.222 millones, donde el 29% de la asignación inicial corresponde a funcionamiento ($86.158 millones) y el 71% a inversión ($210.064 millones). A 31 de diciembre de 2021, se cuenta con la siguiente ejecución:</w:t>
      </w:r>
    </w:p>
    <w:p w14:paraId="56E94971" w14:textId="77777777" w:rsidR="00764424" w:rsidRPr="00B710A9" w:rsidRDefault="00764424" w:rsidP="009D279A">
      <w:pPr>
        <w:spacing w:after="0" w:line="240" w:lineRule="auto"/>
        <w:jc w:val="both"/>
        <w:rPr>
          <w:rFonts w:ascii="Arial" w:eastAsia="Calibri" w:hAnsi="Arial" w:cs="Arial"/>
          <w:b/>
          <w:bCs/>
          <w:color w:val="000000" w:themeColor="text1"/>
          <w:sz w:val="14"/>
          <w:szCs w:val="14"/>
        </w:rPr>
      </w:pPr>
    </w:p>
    <w:p w14:paraId="1DD153D9" w14:textId="77777777" w:rsidR="00B4645B" w:rsidRPr="00B710A9" w:rsidRDefault="00B4645B" w:rsidP="009D279A">
      <w:pPr>
        <w:spacing w:after="0" w:line="240" w:lineRule="auto"/>
        <w:jc w:val="both"/>
        <w:rPr>
          <w:rFonts w:ascii="Arial" w:eastAsia="Calibri" w:hAnsi="Arial" w:cs="Arial"/>
          <w:b/>
          <w:bCs/>
          <w:color w:val="000000" w:themeColor="text1"/>
          <w:sz w:val="14"/>
          <w:szCs w:val="14"/>
        </w:rPr>
      </w:pPr>
    </w:p>
    <w:p w14:paraId="23C175C3" w14:textId="7F0511AD" w:rsidR="00231BDA" w:rsidRPr="00B710A9" w:rsidRDefault="00231BDA" w:rsidP="00231BDA">
      <w:pPr>
        <w:pStyle w:val="Descripcin"/>
        <w:keepNext/>
        <w:jc w:val="center"/>
        <w:rPr>
          <w:rFonts w:ascii="Arial" w:hAnsi="Arial" w:cs="Arial"/>
          <w:b/>
          <w:bCs/>
          <w:i w:val="0"/>
          <w:iCs w:val="0"/>
          <w:color w:val="000000" w:themeColor="text1"/>
          <w:sz w:val="16"/>
          <w:szCs w:val="16"/>
        </w:rPr>
      </w:pPr>
      <w:bookmarkStart w:id="65" w:name="_Toc109057751"/>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21</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Ejecución presupuestal 2021 (millones de pesos)</w:t>
      </w:r>
      <w:bookmarkEnd w:id="65"/>
    </w:p>
    <w:tbl>
      <w:tblPr>
        <w:tblW w:w="14932" w:type="dxa"/>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8"/>
        <w:gridCol w:w="774"/>
        <w:gridCol w:w="1142"/>
        <w:gridCol w:w="806"/>
        <w:gridCol w:w="1009"/>
        <w:gridCol w:w="994"/>
        <w:gridCol w:w="755"/>
        <w:gridCol w:w="1283"/>
        <w:gridCol w:w="903"/>
        <w:gridCol w:w="1208"/>
        <w:gridCol w:w="1202"/>
        <w:gridCol w:w="992"/>
        <w:gridCol w:w="849"/>
        <w:gridCol w:w="942"/>
        <w:gridCol w:w="725"/>
      </w:tblGrid>
      <w:tr w:rsidR="002434BD" w:rsidRPr="00B710A9" w14:paraId="06647BE2" w14:textId="77777777" w:rsidTr="00B379B6">
        <w:trPr>
          <w:trHeight w:val="732"/>
        </w:trPr>
        <w:tc>
          <w:tcPr>
            <w:tcW w:w="0" w:type="auto"/>
            <w:shd w:val="clear" w:color="000000" w:fill="0070C0"/>
            <w:vAlign w:val="center"/>
            <w:hideMark/>
          </w:tcPr>
          <w:p w14:paraId="27F5FB9B" w14:textId="77777777" w:rsidR="00393F72" w:rsidRPr="00B710A9" w:rsidRDefault="00393F72" w:rsidP="00A224C8">
            <w:pPr>
              <w:jc w:val="center"/>
              <w:rPr>
                <w:rFonts w:cs="Arial"/>
                <w:b/>
                <w:bCs/>
                <w:color w:val="FFFFFF"/>
                <w:sz w:val="17"/>
                <w:szCs w:val="17"/>
              </w:rPr>
            </w:pPr>
            <w:r w:rsidRPr="00B710A9">
              <w:rPr>
                <w:rFonts w:cs="Arial"/>
                <w:b/>
                <w:bCs/>
                <w:color w:val="FFFFFF"/>
                <w:sz w:val="17"/>
                <w:szCs w:val="17"/>
              </w:rPr>
              <w:t>Gasto</w:t>
            </w:r>
          </w:p>
        </w:tc>
        <w:tc>
          <w:tcPr>
            <w:tcW w:w="0" w:type="auto"/>
            <w:shd w:val="clear" w:color="000000" w:fill="0070C0"/>
            <w:vAlign w:val="center"/>
            <w:hideMark/>
          </w:tcPr>
          <w:p w14:paraId="22C22A93" w14:textId="77777777" w:rsidR="00393F72" w:rsidRPr="00B710A9" w:rsidRDefault="00393F72" w:rsidP="00A224C8">
            <w:pPr>
              <w:jc w:val="center"/>
              <w:rPr>
                <w:rFonts w:cs="Arial"/>
                <w:b/>
                <w:bCs/>
                <w:color w:val="FFFFFF"/>
                <w:sz w:val="17"/>
                <w:szCs w:val="17"/>
              </w:rPr>
            </w:pPr>
            <w:r w:rsidRPr="00B710A9">
              <w:rPr>
                <w:rFonts w:cs="Arial"/>
                <w:b/>
                <w:bCs/>
                <w:color w:val="FFFFFF"/>
                <w:sz w:val="17"/>
                <w:szCs w:val="17"/>
              </w:rPr>
              <w:t>Recurso</w:t>
            </w:r>
          </w:p>
        </w:tc>
        <w:tc>
          <w:tcPr>
            <w:tcW w:w="0" w:type="auto"/>
            <w:shd w:val="clear" w:color="000000" w:fill="0070C0"/>
            <w:vAlign w:val="center"/>
            <w:hideMark/>
          </w:tcPr>
          <w:p w14:paraId="0DE804E6" w14:textId="77777777" w:rsidR="00393F72" w:rsidRPr="00B710A9" w:rsidRDefault="00393F72" w:rsidP="00A224C8">
            <w:pPr>
              <w:jc w:val="center"/>
              <w:rPr>
                <w:rFonts w:cs="Arial"/>
                <w:b/>
                <w:bCs/>
                <w:color w:val="FFFFFF"/>
                <w:sz w:val="17"/>
                <w:szCs w:val="17"/>
              </w:rPr>
            </w:pPr>
            <w:r w:rsidRPr="00B710A9">
              <w:rPr>
                <w:rFonts w:cs="Arial"/>
                <w:b/>
                <w:bCs/>
                <w:color w:val="FFFFFF"/>
                <w:sz w:val="17"/>
                <w:szCs w:val="17"/>
              </w:rPr>
              <w:t>Apropiación Vigente</w:t>
            </w:r>
          </w:p>
        </w:tc>
        <w:tc>
          <w:tcPr>
            <w:tcW w:w="0" w:type="auto"/>
            <w:shd w:val="clear" w:color="000000" w:fill="0070C0"/>
            <w:vAlign w:val="center"/>
            <w:hideMark/>
          </w:tcPr>
          <w:p w14:paraId="1910A793" w14:textId="77777777" w:rsidR="00393F72" w:rsidRPr="00B710A9" w:rsidRDefault="00393F72" w:rsidP="00A224C8">
            <w:pPr>
              <w:jc w:val="center"/>
              <w:rPr>
                <w:rFonts w:cs="Arial"/>
                <w:b/>
                <w:bCs/>
                <w:color w:val="FFFFFF"/>
                <w:sz w:val="17"/>
                <w:szCs w:val="17"/>
              </w:rPr>
            </w:pPr>
            <w:r w:rsidRPr="00B710A9">
              <w:rPr>
                <w:rFonts w:cs="Arial"/>
                <w:b/>
                <w:bCs/>
                <w:color w:val="FFFFFF"/>
                <w:sz w:val="17"/>
                <w:szCs w:val="17"/>
              </w:rPr>
              <w:t>Bloqueo</w:t>
            </w:r>
          </w:p>
        </w:tc>
        <w:tc>
          <w:tcPr>
            <w:tcW w:w="1009" w:type="dxa"/>
            <w:shd w:val="clear" w:color="000000" w:fill="0070C0"/>
            <w:vAlign w:val="center"/>
            <w:hideMark/>
          </w:tcPr>
          <w:p w14:paraId="2EF978D6" w14:textId="77777777" w:rsidR="00393F72" w:rsidRPr="00B710A9" w:rsidRDefault="00393F72" w:rsidP="00A224C8">
            <w:pPr>
              <w:jc w:val="center"/>
              <w:rPr>
                <w:rFonts w:cs="Arial"/>
                <w:b/>
                <w:bCs/>
                <w:color w:val="FFFFFF"/>
                <w:sz w:val="17"/>
                <w:szCs w:val="17"/>
              </w:rPr>
            </w:pPr>
            <w:r w:rsidRPr="00B710A9">
              <w:rPr>
                <w:rFonts w:cs="Arial"/>
                <w:b/>
                <w:bCs/>
                <w:color w:val="FFFFFF"/>
                <w:sz w:val="17"/>
                <w:szCs w:val="17"/>
              </w:rPr>
              <w:t xml:space="preserve">Disponible aplicado el bloqueo </w:t>
            </w:r>
          </w:p>
        </w:tc>
        <w:tc>
          <w:tcPr>
            <w:tcW w:w="994" w:type="dxa"/>
            <w:shd w:val="clear" w:color="000000" w:fill="0070C0"/>
            <w:vAlign w:val="center"/>
            <w:hideMark/>
          </w:tcPr>
          <w:p w14:paraId="339D79B1" w14:textId="77777777" w:rsidR="00393F72" w:rsidRPr="00B710A9" w:rsidRDefault="00393F72" w:rsidP="00A224C8">
            <w:pPr>
              <w:jc w:val="center"/>
              <w:rPr>
                <w:rFonts w:cs="Arial"/>
                <w:b/>
                <w:bCs/>
                <w:color w:val="FFFFFF"/>
                <w:sz w:val="17"/>
                <w:szCs w:val="17"/>
              </w:rPr>
            </w:pPr>
            <w:r w:rsidRPr="00B710A9">
              <w:rPr>
                <w:rFonts w:cs="Arial"/>
                <w:b/>
                <w:bCs/>
                <w:color w:val="FFFFFF"/>
                <w:sz w:val="17"/>
                <w:szCs w:val="17"/>
              </w:rPr>
              <w:t>CDP</w:t>
            </w:r>
          </w:p>
        </w:tc>
        <w:tc>
          <w:tcPr>
            <w:tcW w:w="755" w:type="dxa"/>
            <w:shd w:val="clear" w:color="000000" w:fill="0070C0"/>
            <w:vAlign w:val="center"/>
            <w:hideMark/>
          </w:tcPr>
          <w:p w14:paraId="3B524DDF" w14:textId="77777777" w:rsidR="00393F72" w:rsidRPr="00B710A9" w:rsidRDefault="00393F72" w:rsidP="00A224C8">
            <w:pPr>
              <w:jc w:val="center"/>
              <w:rPr>
                <w:rFonts w:cs="Arial"/>
                <w:b/>
                <w:bCs/>
                <w:color w:val="FFFFFF"/>
                <w:sz w:val="17"/>
                <w:szCs w:val="17"/>
              </w:rPr>
            </w:pPr>
            <w:r w:rsidRPr="00B710A9">
              <w:rPr>
                <w:rFonts w:cs="Arial"/>
                <w:b/>
                <w:bCs/>
                <w:color w:val="FFFFFF"/>
                <w:sz w:val="17"/>
                <w:szCs w:val="17"/>
              </w:rPr>
              <w:t>%</w:t>
            </w:r>
          </w:p>
        </w:tc>
        <w:tc>
          <w:tcPr>
            <w:tcW w:w="1283" w:type="dxa"/>
            <w:shd w:val="clear" w:color="000000" w:fill="0070C0"/>
            <w:vAlign w:val="center"/>
            <w:hideMark/>
          </w:tcPr>
          <w:p w14:paraId="5F82444B" w14:textId="77777777" w:rsidR="00393F72" w:rsidRPr="00B710A9" w:rsidRDefault="00393F72" w:rsidP="00A224C8">
            <w:pPr>
              <w:jc w:val="center"/>
              <w:rPr>
                <w:rFonts w:cs="Arial"/>
                <w:b/>
                <w:bCs/>
                <w:color w:val="FFFFFF"/>
                <w:sz w:val="17"/>
                <w:szCs w:val="17"/>
              </w:rPr>
            </w:pPr>
            <w:r w:rsidRPr="00B710A9">
              <w:rPr>
                <w:rFonts w:cs="Arial"/>
                <w:b/>
                <w:bCs/>
                <w:color w:val="FFFFFF"/>
                <w:sz w:val="17"/>
                <w:szCs w:val="17"/>
              </w:rPr>
              <w:t>Compromisos</w:t>
            </w:r>
          </w:p>
        </w:tc>
        <w:tc>
          <w:tcPr>
            <w:tcW w:w="903" w:type="dxa"/>
            <w:shd w:val="clear" w:color="000000" w:fill="0070C0"/>
            <w:vAlign w:val="center"/>
            <w:hideMark/>
          </w:tcPr>
          <w:p w14:paraId="2382DABF" w14:textId="77777777" w:rsidR="00393F72" w:rsidRPr="00B710A9" w:rsidRDefault="00393F72" w:rsidP="00A224C8">
            <w:pPr>
              <w:jc w:val="center"/>
              <w:rPr>
                <w:rFonts w:cs="Arial"/>
                <w:b/>
                <w:bCs/>
                <w:color w:val="FFFFFF"/>
                <w:sz w:val="17"/>
                <w:szCs w:val="17"/>
              </w:rPr>
            </w:pPr>
            <w:r w:rsidRPr="00B710A9">
              <w:rPr>
                <w:rFonts w:cs="Arial"/>
                <w:b/>
                <w:bCs/>
                <w:color w:val="FFFFFF"/>
                <w:sz w:val="17"/>
                <w:szCs w:val="17"/>
              </w:rPr>
              <w:t>%</w:t>
            </w:r>
          </w:p>
        </w:tc>
        <w:tc>
          <w:tcPr>
            <w:tcW w:w="1208" w:type="dxa"/>
            <w:shd w:val="clear" w:color="000000" w:fill="0070C0"/>
            <w:vAlign w:val="center"/>
            <w:hideMark/>
          </w:tcPr>
          <w:p w14:paraId="6E0EA1A2" w14:textId="77777777" w:rsidR="00393F72" w:rsidRPr="00B710A9" w:rsidRDefault="00393F72" w:rsidP="00A224C8">
            <w:pPr>
              <w:jc w:val="center"/>
              <w:rPr>
                <w:rFonts w:cs="Arial"/>
                <w:b/>
                <w:bCs/>
                <w:color w:val="FFFFFF"/>
                <w:sz w:val="17"/>
                <w:szCs w:val="17"/>
              </w:rPr>
            </w:pPr>
            <w:r w:rsidRPr="00B710A9">
              <w:rPr>
                <w:rFonts w:cs="Arial"/>
                <w:b/>
                <w:bCs/>
                <w:color w:val="FFFFFF"/>
                <w:sz w:val="17"/>
                <w:szCs w:val="17"/>
              </w:rPr>
              <w:t>Obligaciones</w:t>
            </w:r>
          </w:p>
        </w:tc>
        <w:tc>
          <w:tcPr>
            <w:tcW w:w="1202" w:type="dxa"/>
            <w:shd w:val="clear" w:color="000000" w:fill="0070C0"/>
            <w:vAlign w:val="center"/>
            <w:hideMark/>
          </w:tcPr>
          <w:p w14:paraId="425BB24C" w14:textId="77777777" w:rsidR="00393F72" w:rsidRPr="00B710A9" w:rsidRDefault="00393F72" w:rsidP="00A224C8">
            <w:pPr>
              <w:jc w:val="center"/>
              <w:rPr>
                <w:rFonts w:cs="Arial"/>
                <w:b/>
                <w:bCs/>
                <w:color w:val="FFFFFF"/>
                <w:sz w:val="17"/>
                <w:szCs w:val="17"/>
              </w:rPr>
            </w:pPr>
            <w:r w:rsidRPr="00B710A9">
              <w:rPr>
                <w:rFonts w:cs="Arial"/>
                <w:b/>
                <w:bCs/>
                <w:color w:val="FFFFFF"/>
                <w:sz w:val="17"/>
                <w:szCs w:val="17"/>
              </w:rPr>
              <w:t>%</w:t>
            </w:r>
          </w:p>
        </w:tc>
        <w:tc>
          <w:tcPr>
            <w:tcW w:w="992" w:type="dxa"/>
            <w:shd w:val="clear" w:color="000000" w:fill="0070C0"/>
            <w:vAlign w:val="center"/>
            <w:hideMark/>
          </w:tcPr>
          <w:p w14:paraId="52D3DD8F" w14:textId="77777777" w:rsidR="00393F72" w:rsidRPr="00B710A9" w:rsidRDefault="00393F72" w:rsidP="00A224C8">
            <w:pPr>
              <w:jc w:val="center"/>
              <w:rPr>
                <w:rFonts w:cs="Arial"/>
                <w:b/>
                <w:bCs/>
                <w:color w:val="FFFFFF"/>
                <w:sz w:val="17"/>
                <w:szCs w:val="17"/>
              </w:rPr>
            </w:pPr>
            <w:r w:rsidRPr="00B710A9">
              <w:rPr>
                <w:rFonts w:cs="Arial"/>
                <w:b/>
                <w:bCs/>
                <w:color w:val="FFFFFF"/>
                <w:sz w:val="17"/>
                <w:szCs w:val="17"/>
              </w:rPr>
              <w:t>Pagos</w:t>
            </w:r>
          </w:p>
        </w:tc>
        <w:tc>
          <w:tcPr>
            <w:tcW w:w="849" w:type="dxa"/>
            <w:shd w:val="clear" w:color="000000" w:fill="0070C0"/>
            <w:vAlign w:val="center"/>
            <w:hideMark/>
          </w:tcPr>
          <w:p w14:paraId="24E78986" w14:textId="77777777" w:rsidR="00393F72" w:rsidRPr="00B710A9" w:rsidRDefault="00393F72" w:rsidP="00A224C8">
            <w:pPr>
              <w:jc w:val="center"/>
              <w:rPr>
                <w:rFonts w:cs="Arial"/>
                <w:b/>
                <w:bCs/>
                <w:color w:val="FFFFFF"/>
                <w:sz w:val="17"/>
                <w:szCs w:val="17"/>
              </w:rPr>
            </w:pPr>
            <w:r w:rsidRPr="00B710A9">
              <w:rPr>
                <w:rFonts w:cs="Arial"/>
                <w:b/>
                <w:bCs/>
                <w:color w:val="FFFFFF"/>
                <w:sz w:val="17"/>
                <w:szCs w:val="17"/>
              </w:rPr>
              <w:t>%</w:t>
            </w:r>
          </w:p>
        </w:tc>
        <w:tc>
          <w:tcPr>
            <w:tcW w:w="0" w:type="auto"/>
            <w:shd w:val="clear" w:color="000000" w:fill="0070C0"/>
            <w:vAlign w:val="center"/>
            <w:hideMark/>
          </w:tcPr>
          <w:p w14:paraId="61939399" w14:textId="77777777" w:rsidR="00393F72" w:rsidRPr="00B710A9" w:rsidRDefault="00393F72" w:rsidP="00A224C8">
            <w:pPr>
              <w:jc w:val="center"/>
              <w:rPr>
                <w:rFonts w:cs="Arial"/>
                <w:b/>
                <w:bCs/>
                <w:color w:val="FFFFFF"/>
                <w:sz w:val="17"/>
                <w:szCs w:val="17"/>
              </w:rPr>
            </w:pPr>
            <w:r w:rsidRPr="00B710A9">
              <w:rPr>
                <w:rFonts w:cs="Arial"/>
                <w:b/>
                <w:bCs/>
                <w:color w:val="FFFFFF"/>
                <w:sz w:val="17"/>
                <w:szCs w:val="17"/>
              </w:rPr>
              <w:t>Saldo por ejecutar</w:t>
            </w:r>
          </w:p>
        </w:tc>
        <w:tc>
          <w:tcPr>
            <w:tcW w:w="0" w:type="auto"/>
            <w:shd w:val="clear" w:color="000000" w:fill="0070C0"/>
            <w:vAlign w:val="center"/>
            <w:hideMark/>
          </w:tcPr>
          <w:p w14:paraId="75923E14" w14:textId="77777777" w:rsidR="00393F72" w:rsidRPr="00B710A9" w:rsidRDefault="00393F72" w:rsidP="00A224C8">
            <w:pPr>
              <w:jc w:val="center"/>
              <w:rPr>
                <w:rFonts w:cs="Arial"/>
                <w:b/>
                <w:bCs/>
                <w:color w:val="FFFFFF"/>
                <w:sz w:val="17"/>
                <w:szCs w:val="17"/>
              </w:rPr>
            </w:pPr>
            <w:r w:rsidRPr="00B710A9">
              <w:rPr>
                <w:rFonts w:cs="Arial"/>
                <w:b/>
                <w:bCs/>
                <w:color w:val="FFFFFF"/>
                <w:sz w:val="17"/>
                <w:szCs w:val="17"/>
              </w:rPr>
              <w:t>%</w:t>
            </w:r>
          </w:p>
        </w:tc>
      </w:tr>
      <w:tr w:rsidR="00393F72" w:rsidRPr="00B710A9" w14:paraId="7504003E" w14:textId="77777777" w:rsidTr="00B379B6">
        <w:trPr>
          <w:trHeight w:val="143"/>
        </w:trPr>
        <w:tc>
          <w:tcPr>
            <w:tcW w:w="0" w:type="auto"/>
            <w:vMerge w:val="restart"/>
            <w:shd w:val="clear" w:color="000000" w:fill="D9E1F2"/>
            <w:noWrap/>
            <w:vAlign w:val="center"/>
            <w:hideMark/>
          </w:tcPr>
          <w:p w14:paraId="57F12EE5" w14:textId="77777777" w:rsidR="00393F72" w:rsidRPr="00B710A9" w:rsidRDefault="00393F72" w:rsidP="00A224C8">
            <w:pPr>
              <w:jc w:val="center"/>
              <w:rPr>
                <w:rFonts w:cs="Arial"/>
                <w:color w:val="000000"/>
                <w:sz w:val="17"/>
                <w:szCs w:val="17"/>
              </w:rPr>
            </w:pPr>
            <w:r w:rsidRPr="00B710A9">
              <w:rPr>
                <w:rFonts w:cs="Arial"/>
                <w:color w:val="000000"/>
                <w:sz w:val="17"/>
                <w:szCs w:val="17"/>
              </w:rPr>
              <w:t>Funcionamiento</w:t>
            </w:r>
          </w:p>
        </w:tc>
        <w:tc>
          <w:tcPr>
            <w:tcW w:w="0" w:type="auto"/>
            <w:shd w:val="clear" w:color="auto" w:fill="auto"/>
            <w:noWrap/>
            <w:vAlign w:val="bottom"/>
            <w:hideMark/>
          </w:tcPr>
          <w:p w14:paraId="5AA0DDF5" w14:textId="77777777" w:rsidR="00393F72" w:rsidRPr="00B710A9" w:rsidRDefault="00393F72" w:rsidP="00A224C8">
            <w:pPr>
              <w:rPr>
                <w:rFonts w:cs="Arial"/>
                <w:color w:val="000000"/>
                <w:sz w:val="17"/>
                <w:szCs w:val="17"/>
              </w:rPr>
            </w:pPr>
            <w:r w:rsidRPr="00B710A9">
              <w:rPr>
                <w:rFonts w:cs="Arial"/>
                <w:color w:val="000000"/>
                <w:sz w:val="17"/>
                <w:szCs w:val="17"/>
              </w:rPr>
              <w:t>Nación</w:t>
            </w:r>
          </w:p>
        </w:tc>
        <w:tc>
          <w:tcPr>
            <w:tcW w:w="0" w:type="auto"/>
            <w:shd w:val="clear" w:color="auto" w:fill="auto"/>
            <w:noWrap/>
            <w:vAlign w:val="bottom"/>
            <w:hideMark/>
          </w:tcPr>
          <w:p w14:paraId="686FE6E1" w14:textId="77777777" w:rsidR="00393F72" w:rsidRPr="00B710A9" w:rsidRDefault="00393F72" w:rsidP="00A224C8">
            <w:pPr>
              <w:jc w:val="right"/>
              <w:rPr>
                <w:rFonts w:cs="Arial"/>
                <w:color w:val="000000"/>
                <w:sz w:val="17"/>
                <w:szCs w:val="17"/>
              </w:rPr>
            </w:pPr>
            <w:r w:rsidRPr="00B710A9">
              <w:rPr>
                <w:rFonts w:cs="Arial"/>
                <w:color w:val="000000"/>
                <w:sz w:val="17"/>
                <w:szCs w:val="17"/>
              </w:rPr>
              <w:t>$ 76.899</w:t>
            </w:r>
          </w:p>
        </w:tc>
        <w:tc>
          <w:tcPr>
            <w:tcW w:w="0" w:type="auto"/>
            <w:shd w:val="clear" w:color="auto" w:fill="auto"/>
            <w:noWrap/>
            <w:vAlign w:val="bottom"/>
            <w:hideMark/>
          </w:tcPr>
          <w:p w14:paraId="27F92EA4" w14:textId="77777777" w:rsidR="00393F72" w:rsidRPr="00B710A9" w:rsidRDefault="00393F72" w:rsidP="00A224C8">
            <w:pPr>
              <w:jc w:val="right"/>
              <w:rPr>
                <w:rFonts w:cs="Arial"/>
                <w:color w:val="000000"/>
                <w:sz w:val="17"/>
                <w:szCs w:val="17"/>
              </w:rPr>
            </w:pPr>
            <w:r w:rsidRPr="00B710A9">
              <w:rPr>
                <w:rFonts w:cs="Arial"/>
                <w:color w:val="000000"/>
                <w:sz w:val="17"/>
                <w:szCs w:val="17"/>
              </w:rPr>
              <w:t>$ 4.590</w:t>
            </w:r>
          </w:p>
        </w:tc>
        <w:tc>
          <w:tcPr>
            <w:tcW w:w="1009" w:type="dxa"/>
            <w:shd w:val="clear" w:color="auto" w:fill="auto"/>
            <w:noWrap/>
            <w:vAlign w:val="bottom"/>
            <w:hideMark/>
          </w:tcPr>
          <w:p w14:paraId="1D7F0872" w14:textId="77777777" w:rsidR="00393F72" w:rsidRPr="00B710A9" w:rsidRDefault="00393F72" w:rsidP="00A224C8">
            <w:pPr>
              <w:jc w:val="right"/>
              <w:rPr>
                <w:rFonts w:cs="Arial"/>
                <w:color w:val="000000"/>
                <w:sz w:val="17"/>
                <w:szCs w:val="17"/>
              </w:rPr>
            </w:pPr>
            <w:r w:rsidRPr="00B710A9">
              <w:rPr>
                <w:rFonts w:cs="Arial"/>
                <w:color w:val="000000"/>
                <w:sz w:val="17"/>
                <w:szCs w:val="17"/>
              </w:rPr>
              <w:t>$ 72.309</w:t>
            </w:r>
          </w:p>
        </w:tc>
        <w:tc>
          <w:tcPr>
            <w:tcW w:w="994" w:type="dxa"/>
            <w:shd w:val="clear" w:color="auto" w:fill="auto"/>
            <w:noWrap/>
            <w:vAlign w:val="bottom"/>
            <w:hideMark/>
          </w:tcPr>
          <w:p w14:paraId="2D73C01A" w14:textId="77777777" w:rsidR="00393F72" w:rsidRPr="00B710A9" w:rsidRDefault="00393F72" w:rsidP="00A224C8">
            <w:pPr>
              <w:jc w:val="right"/>
              <w:rPr>
                <w:rFonts w:cs="Arial"/>
                <w:color w:val="000000"/>
                <w:sz w:val="17"/>
                <w:szCs w:val="17"/>
              </w:rPr>
            </w:pPr>
            <w:r w:rsidRPr="00B710A9">
              <w:rPr>
                <w:rFonts w:cs="Arial"/>
                <w:color w:val="000000"/>
                <w:sz w:val="17"/>
                <w:szCs w:val="17"/>
              </w:rPr>
              <w:t>$ 60.030</w:t>
            </w:r>
          </w:p>
        </w:tc>
        <w:tc>
          <w:tcPr>
            <w:tcW w:w="755" w:type="dxa"/>
            <w:shd w:val="clear" w:color="auto" w:fill="auto"/>
            <w:noWrap/>
            <w:vAlign w:val="bottom"/>
            <w:hideMark/>
          </w:tcPr>
          <w:p w14:paraId="4C9D723F" w14:textId="77777777" w:rsidR="00393F72" w:rsidRPr="00B710A9" w:rsidRDefault="00393F72" w:rsidP="00A224C8">
            <w:pPr>
              <w:jc w:val="center"/>
              <w:rPr>
                <w:rFonts w:cs="Arial"/>
                <w:color w:val="000000"/>
                <w:sz w:val="17"/>
                <w:szCs w:val="17"/>
              </w:rPr>
            </w:pPr>
            <w:r w:rsidRPr="00B710A9">
              <w:rPr>
                <w:rFonts w:cs="Arial"/>
                <w:color w:val="000000"/>
                <w:sz w:val="17"/>
                <w:szCs w:val="17"/>
              </w:rPr>
              <w:t>83,02%</w:t>
            </w:r>
          </w:p>
        </w:tc>
        <w:tc>
          <w:tcPr>
            <w:tcW w:w="1283" w:type="dxa"/>
            <w:shd w:val="clear" w:color="auto" w:fill="auto"/>
            <w:noWrap/>
            <w:vAlign w:val="bottom"/>
            <w:hideMark/>
          </w:tcPr>
          <w:p w14:paraId="4F34BBB2" w14:textId="77777777" w:rsidR="00393F72" w:rsidRPr="00B710A9" w:rsidRDefault="00393F72" w:rsidP="00A224C8">
            <w:pPr>
              <w:jc w:val="right"/>
              <w:rPr>
                <w:rFonts w:cs="Arial"/>
                <w:color w:val="000000"/>
                <w:sz w:val="17"/>
                <w:szCs w:val="17"/>
              </w:rPr>
            </w:pPr>
            <w:r w:rsidRPr="00B710A9">
              <w:rPr>
                <w:rFonts w:cs="Arial"/>
                <w:color w:val="000000"/>
                <w:sz w:val="17"/>
                <w:szCs w:val="17"/>
              </w:rPr>
              <w:t>$ 59.176</w:t>
            </w:r>
          </w:p>
        </w:tc>
        <w:tc>
          <w:tcPr>
            <w:tcW w:w="903" w:type="dxa"/>
            <w:shd w:val="clear" w:color="auto" w:fill="auto"/>
            <w:noWrap/>
            <w:vAlign w:val="bottom"/>
            <w:hideMark/>
          </w:tcPr>
          <w:p w14:paraId="35116937" w14:textId="77777777" w:rsidR="00393F72" w:rsidRPr="00B710A9" w:rsidRDefault="00393F72" w:rsidP="00A224C8">
            <w:pPr>
              <w:jc w:val="center"/>
              <w:rPr>
                <w:rFonts w:cs="Arial"/>
                <w:color w:val="000000"/>
                <w:sz w:val="17"/>
                <w:szCs w:val="17"/>
              </w:rPr>
            </w:pPr>
            <w:r w:rsidRPr="00B710A9">
              <w:rPr>
                <w:rFonts w:cs="Arial"/>
                <w:color w:val="000000"/>
                <w:sz w:val="17"/>
                <w:szCs w:val="17"/>
              </w:rPr>
              <w:t>76,95%</w:t>
            </w:r>
          </w:p>
        </w:tc>
        <w:tc>
          <w:tcPr>
            <w:tcW w:w="1208" w:type="dxa"/>
            <w:shd w:val="clear" w:color="auto" w:fill="auto"/>
            <w:noWrap/>
            <w:vAlign w:val="bottom"/>
            <w:hideMark/>
          </w:tcPr>
          <w:p w14:paraId="77FE3CBE" w14:textId="77777777" w:rsidR="00393F72" w:rsidRPr="00B710A9" w:rsidRDefault="00393F72" w:rsidP="00A224C8">
            <w:pPr>
              <w:jc w:val="right"/>
              <w:rPr>
                <w:rFonts w:cs="Arial"/>
                <w:color w:val="000000"/>
                <w:sz w:val="17"/>
                <w:szCs w:val="17"/>
              </w:rPr>
            </w:pPr>
            <w:r w:rsidRPr="00B710A9">
              <w:rPr>
                <w:rFonts w:cs="Arial"/>
                <w:color w:val="000000"/>
                <w:sz w:val="17"/>
                <w:szCs w:val="17"/>
              </w:rPr>
              <w:t>$ 58.240</w:t>
            </w:r>
          </w:p>
        </w:tc>
        <w:tc>
          <w:tcPr>
            <w:tcW w:w="1202" w:type="dxa"/>
            <w:shd w:val="clear" w:color="auto" w:fill="auto"/>
            <w:noWrap/>
            <w:vAlign w:val="bottom"/>
            <w:hideMark/>
          </w:tcPr>
          <w:p w14:paraId="6F6D3616" w14:textId="77777777" w:rsidR="00393F72" w:rsidRPr="00B710A9" w:rsidRDefault="00393F72" w:rsidP="00A224C8">
            <w:pPr>
              <w:jc w:val="center"/>
              <w:rPr>
                <w:rFonts w:cs="Arial"/>
                <w:color w:val="000000"/>
                <w:sz w:val="17"/>
                <w:szCs w:val="17"/>
              </w:rPr>
            </w:pPr>
            <w:r w:rsidRPr="00B710A9">
              <w:rPr>
                <w:rFonts w:cs="Arial"/>
                <w:color w:val="000000"/>
                <w:sz w:val="17"/>
                <w:szCs w:val="17"/>
              </w:rPr>
              <w:t>75,73%</w:t>
            </w:r>
          </w:p>
        </w:tc>
        <w:tc>
          <w:tcPr>
            <w:tcW w:w="992" w:type="dxa"/>
            <w:shd w:val="clear" w:color="auto" w:fill="auto"/>
            <w:noWrap/>
            <w:vAlign w:val="bottom"/>
            <w:hideMark/>
          </w:tcPr>
          <w:p w14:paraId="4BC0EDF1" w14:textId="77777777" w:rsidR="00393F72" w:rsidRPr="00B710A9" w:rsidRDefault="00393F72" w:rsidP="00A224C8">
            <w:pPr>
              <w:jc w:val="right"/>
              <w:rPr>
                <w:rFonts w:cs="Arial"/>
                <w:color w:val="000000"/>
                <w:sz w:val="17"/>
                <w:szCs w:val="17"/>
              </w:rPr>
            </w:pPr>
            <w:r w:rsidRPr="00B710A9">
              <w:rPr>
                <w:rFonts w:cs="Arial"/>
                <w:color w:val="000000"/>
                <w:sz w:val="17"/>
                <w:szCs w:val="17"/>
              </w:rPr>
              <w:t>$ 56.209</w:t>
            </w:r>
          </w:p>
        </w:tc>
        <w:tc>
          <w:tcPr>
            <w:tcW w:w="849" w:type="dxa"/>
            <w:shd w:val="clear" w:color="auto" w:fill="auto"/>
            <w:noWrap/>
            <w:vAlign w:val="bottom"/>
            <w:hideMark/>
          </w:tcPr>
          <w:p w14:paraId="43750B72" w14:textId="77777777" w:rsidR="00393F72" w:rsidRPr="00B710A9" w:rsidRDefault="00393F72" w:rsidP="00A224C8">
            <w:pPr>
              <w:jc w:val="center"/>
              <w:rPr>
                <w:rFonts w:cs="Arial"/>
                <w:color w:val="000000"/>
                <w:sz w:val="17"/>
                <w:szCs w:val="17"/>
              </w:rPr>
            </w:pPr>
            <w:r w:rsidRPr="00B710A9">
              <w:rPr>
                <w:rFonts w:cs="Arial"/>
                <w:color w:val="000000"/>
                <w:sz w:val="17"/>
                <w:szCs w:val="17"/>
              </w:rPr>
              <w:t>73,09%</w:t>
            </w:r>
          </w:p>
        </w:tc>
        <w:tc>
          <w:tcPr>
            <w:tcW w:w="0" w:type="auto"/>
            <w:shd w:val="clear" w:color="auto" w:fill="auto"/>
            <w:noWrap/>
            <w:vAlign w:val="bottom"/>
            <w:hideMark/>
          </w:tcPr>
          <w:p w14:paraId="7C44E688" w14:textId="77777777" w:rsidR="00393F72" w:rsidRPr="00B710A9" w:rsidRDefault="00393F72" w:rsidP="00A224C8">
            <w:pPr>
              <w:jc w:val="right"/>
              <w:rPr>
                <w:rFonts w:cs="Arial"/>
                <w:color w:val="000000"/>
                <w:sz w:val="17"/>
                <w:szCs w:val="17"/>
              </w:rPr>
            </w:pPr>
            <w:r w:rsidRPr="00B710A9">
              <w:rPr>
                <w:rFonts w:cs="Arial"/>
                <w:color w:val="000000"/>
                <w:sz w:val="17"/>
                <w:szCs w:val="17"/>
              </w:rPr>
              <w:t>$ 12.279</w:t>
            </w:r>
          </w:p>
        </w:tc>
        <w:tc>
          <w:tcPr>
            <w:tcW w:w="0" w:type="auto"/>
            <w:shd w:val="clear" w:color="auto" w:fill="auto"/>
            <w:noWrap/>
            <w:vAlign w:val="bottom"/>
            <w:hideMark/>
          </w:tcPr>
          <w:p w14:paraId="7A4CF29A" w14:textId="77777777" w:rsidR="00393F72" w:rsidRPr="00B710A9" w:rsidRDefault="00393F72" w:rsidP="00A224C8">
            <w:pPr>
              <w:jc w:val="center"/>
              <w:rPr>
                <w:rFonts w:cs="Arial"/>
                <w:color w:val="000000"/>
                <w:sz w:val="17"/>
                <w:szCs w:val="17"/>
              </w:rPr>
            </w:pPr>
            <w:r w:rsidRPr="00B710A9">
              <w:rPr>
                <w:rFonts w:cs="Arial"/>
                <w:color w:val="000000"/>
                <w:sz w:val="17"/>
                <w:szCs w:val="17"/>
              </w:rPr>
              <w:t>16,00%</w:t>
            </w:r>
          </w:p>
        </w:tc>
      </w:tr>
      <w:tr w:rsidR="00393F72" w:rsidRPr="00B710A9" w14:paraId="29A52F17" w14:textId="77777777" w:rsidTr="00B379B6">
        <w:trPr>
          <w:trHeight w:val="143"/>
        </w:trPr>
        <w:tc>
          <w:tcPr>
            <w:tcW w:w="0" w:type="auto"/>
            <w:vMerge/>
            <w:vAlign w:val="center"/>
            <w:hideMark/>
          </w:tcPr>
          <w:p w14:paraId="358A45EE" w14:textId="77777777" w:rsidR="00393F72" w:rsidRPr="00B710A9" w:rsidRDefault="00393F72" w:rsidP="00A224C8">
            <w:pPr>
              <w:rPr>
                <w:rFonts w:cs="Arial"/>
                <w:color w:val="000000"/>
                <w:sz w:val="17"/>
                <w:szCs w:val="17"/>
              </w:rPr>
            </w:pPr>
          </w:p>
        </w:tc>
        <w:tc>
          <w:tcPr>
            <w:tcW w:w="0" w:type="auto"/>
            <w:shd w:val="clear" w:color="auto" w:fill="auto"/>
            <w:noWrap/>
            <w:vAlign w:val="bottom"/>
            <w:hideMark/>
          </w:tcPr>
          <w:p w14:paraId="14A99B99" w14:textId="77777777" w:rsidR="00393F72" w:rsidRPr="00B710A9" w:rsidRDefault="00393F72" w:rsidP="00A224C8">
            <w:pPr>
              <w:rPr>
                <w:rFonts w:cs="Arial"/>
                <w:color w:val="000000"/>
                <w:sz w:val="17"/>
                <w:szCs w:val="17"/>
              </w:rPr>
            </w:pPr>
            <w:r w:rsidRPr="00B710A9">
              <w:rPr>
                <w:rFonts w:cs="Arial"/>
                <w:color w:val="000000"/>
                <w:sz w:val="17"/>
                <w:szCs w:val="17"/>
              </w:rPr>
              <w:t>Propios</w:t>
            </w:r>
          </w:p>
        </w:tc>
        <w:tc>
          <w:tcPr>
            <w:tcW w:w="0" w:type="auto"/>
            <w:shd w:val="clear" w:color="auto" w:fill="auto"/>
            <w:noWrap/>
            <w:vAlign w:val="bottom"/>
            <w:hideMark/>
          </w:tcPr>
          <w:p w14:paraId="49C2F1C8" w14:textId="77777777" w:rsidR="00393F72" w:rsidRPr="00B710A9" w:rsidRDefault="00393F72" w:rsidP="00A224C8">
            <w:pPr>
              <w:jc w:val="right"/>
              <w:rPr>
                <w:rFonts w:cs="Arial"/>
                <w:color w:val="000000"/>
                <w:sz w:val="17"/>
                <w:szCs w:val="17"/>
              </w:rPr>
            </w:pPr>
            <w:r w:rsidRPr="00B710A9">
              <w:rPr>
                <w:rFonts w:cs="Arial"/>
                <w:color w:val="000000"/>
                <w:sz w:val="17"/>
                <w:szCs w:val="17"/>
              </w:rPr>
              <w:t>$ 9.259</w:t>
            </w:r>
          </w:p>
        </w:tc>
        <w:tc>
          <w:tcPr>
            <w:tcW w:w="0" w:type="auto"/>
            <w:shd w:val="clear" w:color="auto" w:fill="auto"/>
            <w:noWrap/>
            <w:vAlign w:val="bottom"/>
            <w:hideMark/>
          </w:tcPr>
          <w:p w14:paraId="56C25E25" w14:textId="77777777" w:rsidR="00393F72" w:rsidRPr="00B710A9" w:rsidRDefault="00393F72" w:rsidP="00A224C8">
            <w:pPr>
              <w:jc w:val="right"/>
              <w:rPr>
                <w:rFonts w:cs="Arial"/>
                <w:color w:val="000000"/>
                <w:sz w:val="17"/>
                <w:szCs w:val="17"/>
              </w:rPr>
            </w:pPr>
            <w:r w:rsidRPr="00B710A9">
              <w:rPr>
                <w:rFonts w:cs="Arial"/>
                <w:color w:val="000000"/>
                <w:sz w:val="17"/>
                <w:szCs w:val="17"/>
              </w:rPr>
              <w:t>$ 0</w:t>
            </w:r>
          </w:p>
        </w:tc>
        <w:tc>
          <w:tcPr>
            <w:tcW w:w="1009" w:type="dxa"/>
            <w:shd w:val="clear" w:color="auto" w:fill="auto"/>
            <w:noWrap/>
            <w:vAlign w:val="bottom"/>
            <w:hideMark/>
          </w:tcPr>
          <w:p w14:paraId="79A29F22" w14:textId="77777777" w:rsidR="00393F72" w:rsidRPr="00B710A9" w:rsidRDefault="00393F72" w:rsidP="00A224C8">
            <w:pPr>
              <w:jc w:val="right"/>
              <w:rPr>
                <w:rFonts w:cs="Arial"/>
                <w:color w:val="000000"/>
                <w:sz w:val="17"/>
                <w:szCs w:val="17"/>
              </w:rPr>
            </w:pPr>
            <w:r w:rsidRPr="00B710A9">
              <w:rPr>
                <w:rFonts w:cs="Arial"/>
                <w:color w:val="000000"/>
                <w:sz w:val="17"/>
                <w:szCs w:val="17"/>
              </w:rPr>
              <w:t>$ 9.259</w:t>
            </w:r>
          </w:p>
        </w:tc>
        <w:tc>
          <w:tcPr>
            <w:tcW w:w="994" w:type="dxa"/>
            <w:shd w:val="clear" w:color="auto" w:fill="auto"/>
            <w:noWrap/>
            <w:vAlign w:val="bottom"/>
            <w:hideMark/>
          </w:tcPr>
          <w:p w14:paraId="6EBFD88E" w14:textId="77777777" w:rsidR="00393F72" w:rsidRPr="00B710A9" w:rsidRDefault="00393F72" w:rsidP="00A224C8">
            <w:pPr>
              <w:jc w:val="right"/>
              <w:rPr>
                <w:rFonts w:cs="Arial"/>
                <w:color w:val="000000"/>
                <w:sz w:val="17"/>
                <w:szCs w:val="17"/>
              </w:rPr>
            </w:pPr>
            <w:r w:rsidRPr="00B710A9">
              <w:rPr>
                <w:rFonts w:cs="Arial"/>
                <w:color w:val="000000"/>
                <w:sz w:val="17"/>
                <w:szCs w:val="17"/>
              </w:rPr>
              <w:t>$ 6.494</w:t>
            </w:r>
          </w:p>
        </w:tc>
        <w:tc>
          <w:tcPr>
            <w:tcW w:w="755" w:type="dxa"/>
            <w:shd w:val="clear" w:color="auto" w:fill="auto"/>
            <w:noWrap/>
            <w:vAlign w:val="bottom"/>
            <w:hideMark/>
          </w:tcPr>
          <w:p w14:paraId="50E3AD81" w14:textId="77777777" w:rsidR="00393F72" w:rsidRPr="00B710A9" w:rsidRDefault="00393F72" w:rsidP="00A224C8">
            <w:pPr>
              <w:jc w:val="center"/>
              <w:rPr>
                <w:rFonts w:cs="Arial"/>
                <w:color w:val="000000"/>
                <w:sz w:val="17"/>
                <w:szCs w:val="17"/>
              </w:rPr>
            </w:pPr>
            <w:r w:rsidRPr="00B710A9">
              <w:rPr>
                <w:rFonts w:cs="Arial"/>
                <w:color w:val="000000"/>
                <w:sz w:val="17"/>
                <w:szCs w:val="17"/>
              </w:rPr>
              <w:t>70,14%</w:t>
            </w:r>
          </w:p>
        </w:tc>
        <w:tc>
          <w:tcPr>
            <w:tcW w:w="1283" w:type="dxa"/>
            <w:shd w:val="clear" w:color="auto" w:fill="auto"/>
            <w:noWrap/>
            <w:vAlign w:val="bottom"/>
            <w:hideMark/>
          </w:tcPr>
          <w:p w14:paraId="498419AF" w14:textId="77777777" w:rsidR="00393F72" w:rsidRPr="00B710A9" w:rsidRDefault="00393F72" w:rsidP="00A224C8">
            <w:pPr>
              <w:jc w:val="right"/>
              <w:rPr>
                <w:rFonts w:cs="Arial"/>
                <w:color w:val="000000"/>
                <w:sz w:val="17"/>
                <w:szCs w:val="17"/>
              </w:rPr>
            </w:pPr>
            <w:r w:rsidRPr="00B710A9">
              <w:rPr>
                <w:rFonts w:cs="Arial"/>
                <w:color w:val="000000"/>
                <w:sz w:val="17"/>
                <w:szCs w:val="17"/>
              </w:rPr>
              <w:t>$ 6.392</w:t>
            </w:r>
          </w:p>
        </w:tc>
        <w:tc>
          <w:tcPr>
            <w:tcW w:w="903" w:type="dxa"/>
            <w:shd w:val="clear" w:color="auto" w:fill="auto"/>
            <w:noWrap/>
            <w:vAlign w:val="bottom"/>
            <w:hideMark/>
          </w:tcPr>
          <w:p w14:paraId="6BDA3706" w14:textId="77777777" w:rsidR="00393F72" w:rsidRPr="00B710A9" w:rsidRDefault="00393F72" w:rsidP="00A224C8">
            <w:pPr>
              <w:jc w:val="center"/>
              <w:rPr>
                <w:rFonts w:cs="Arial"/>
                <w:color w:val="000000"/>
                <w:sz w:val="17"/>
                <w:szCs w:val="17"/>
              </w:rPr>
            </w:pPr>
            <w:r w:rsidRPr="00B710A9">
              <w:rPr>
                <w:rFonts w:cs="Arial"/>
                <w:color w:val="000000"/>
                <w:sz w:val="17"/>
                <w:szCs w:val="17"/>
              </w:rPr>
              <w:t>69,04%</w:t>
            </w:r>
          </w:p>
        </w:tc>
        <w:tc>
          <w:tcPr>
            <w:tcW w:w="1208" w:type="dxa"/>
            <w:shd w:val="clear" w:color="auto" w:fill="auto"/>
            <w:noWrap/>
            <w:vAlign w:val="bottom"/>
            <w:hideMark/>
          </w:tcPr>
          <w:p w14:paraId="2D7DC2F6" w14:textId="77777777" w:rsidR="00393F72" w:rsidRPr="00B710A9" w:rsidRDefault="00393F72" w:rsidP="00A224C8">
            <w:pPr>
              <w:jc w:val="right"/>
              <w:rPr>
                <w:rFonts w:cs="Arial"/>
                <w:color w:val="000000"/>
                <w:sz w:val="17"/>
                <w:szCs w:val="17"/>
              </w:rPr>
            </w:pPr>
            <w:r w:rsidRPr="00B710A9">
              <w:rPr>
                <w:rFonts w:cs="Arial"/>
                <w:color w:val="000000"/>
                <w:sz w:val="17"/>
                <w:szCs w:val="17"/>
              </w:rPr>
              <w:t>$ 5.876</w:t>
            </w:r>
          </w:p>
        </w:tc>
        <w:tc>
          <w:tcPr>
            <w:tcW w:w="1202" w:type="dxa"/>
            <w:shd w:val="clear" w:color="auto" w:fill="auto"/>
            <w:noWrap/>
            <w:vAlign w:val="bottom"/>
            <w:hideMark/>
          </w:tcPr>
          <w:p w14:paraId="4CAD32DB" w14:textId="77777777" w:rsidR="00393F72" w:rsidRPr="00B710A9" w:rsidRDefault="00393F72" w:rsidP="00A224C8">
            <w:pPr>
              <w:jc w:val="center"/>
              <w:rPr>
                <w:rFonts w:cs="Arial"/>
                <w:color w:val="000000"/>
                <w:sz w:val="17"/>
                <w:szCs w:val="17"/>
              </w:rPr>
            </w:pPr>
            <w:r w:rsidRPr="00B710A9">
              <w:rPr>
                <w:rFonts w:cs="Arial"/>
                <w:color w:val="000000"/>
                <w:sz w:val="17"/>
                <w:szCs w:val="17"/>
              </w:rPr>
              <w:t>63,46%</w:t>
            </w:r>
          </w:p>
        </w:tc>
        <w:tc>
          <w:tcPr>
            <w:tcW w:w="992" w:type="dxa"/>
            <w:shd w:val="clear" w:color="auto" w:fill="auto"/>
            <w:noWrap/>
            <w:vAlign w:val="bottom"/>
            <w:hideMark/>
          </w:tcPr>
          <w:p w14:paraId="2B84CD15" w14:textId="77777777" w:rsidR="00393F72" w:rsidRPr="00B710A9" w:rsidRDefault="00393F72" w:rsidP="00A224C8">
            <w:pPr>
              <w:jc w:val="right"/>
              <w:rPr>
                <w:rFonts w:cs="Arial"/>
                <w:color w:val="000000"/>
                <w:sz w:val="17"/>
                <w:szCs w:val="17"/>
              </w:rPr>
            </w:pPr>
            <w:r w:rsidRPr="00B710A9">
              <w:rPr>
                <w:rFonts w:cs="Arial"/>
                <w:color w:val="000000"/>
                <w:sz w:val="17"/>
                <w:szCs w:val="17"/>
              </w:rPr>
              <w:t>$ 5.600</w:t>
            </w:r>
          </w:p>
        </w:tc>
        <w:tc>
          <w:tcPr>
            <w:tcW w:w="849" w:type="dxa"/>
            <w:shd w:val="clear" w:color="auto" w:fill="auto"/>
            <w:noWrap/>
            <w:vAlign w:val="bottom"/>
            <w:hideMark/>
          </w:tcPr>
          <w:p w14:paraId="20BC6A15" w14:textId="77777777" w:rsidR="00393F72" w:rsidRPr="00B710A9" w:rsidRDefault="00393F72" w:rsidP="00A224C8">
            <w:pPr>
              <w:jc w:val="center"/>
              <w:rPr>
                <w:rFonts w:cs="Arial"/>
                <w:color w:val="000000"/>
                <w:sz w:val="17"/>
                <w:szCs w:val="17"/>
              </w:rPr>
            </w:pPr>
            <w:r w:rsidRPr="00B710A9">
              <w:rPr>
                <w:rFonts w:cs="Arial"/>
                <w:color w:val="000000"/>
                <w:sz w:val="17"/>
                <w:szCs w:val="17"/>
              </w:rPr>
              <w:t>60,48%</w:t>
            </w:r>
          </w:p>
        </w:tc>
        <w:tc>
          <w:tcPr>
            <w:tcW w:w="0" w:type="auto"/>
            <w:shd w:val="clear" w:color="auto" w:fill="auto"/>
            <w:noWrap/>
            <w:vAlign w:val="bottom"/>
            <w:hideMark/>
          </w:tcPr>
          <w:p w14:paraId="773E7E18" w14:textId="77777777" w:rsidR="00393F72" w:rsidRPr="00B710A9" w:rsidRDefault="00393F72" w:rsidP="00A224C8">
            <w:pPr>
              <w:jc w:val="right"/>
              <w:rPr>
                <w:rFonts w:cs="Arial"/>
                <w:color w:val="000000"/>
                <w:sz w:val="17"/>
                <w:szCs w:val="17"/>
              </w:rPr>
            </w:pPr>
            <w:r w:rsidRPr="00B710A9">
              <w:rPr>
                <w:rFonts w:cs="Arial"/>
                <w:color w:val="000000"/>
                <w:sz w:val="17"/>
                <w:szCs w:val="17"/>
              </w:rPr>
              <w:t>$ 2.765</w:t>
            </w:r>
          </w:p>
        </w:tc>
        <w:tc>
          <w:tcPr>
            <w:tcW w:w="0" w:type="auto"/>
            <w:shd w:val="clear" w:color="auto" w:fill="auto"/>
            <w:noWrap/>
            <w:vAlign w:val="bottom"/>
            <w:hideMark/>
          </w:tcPr>
          <w:p w14:paraId="33785016" w14:textId="77777777" w:rsidR="00393F72" w:rsidRPr="00B710A9" w:rsidRDefault="00393F72" w:rsidP="00A224C8">
            <w:pPr>
              <w:jc w:val="center"/>
              <w:rPr>
                <w:rFonts w:cs="Arial"/>
                <w:color w:val="000000"/>
                <w:sz w:val="17"/>
                <w:szCs w:val="17"/>
              </w:rPr>
            </w:pPr>
            <w:r w:rsidRPr="00B710A9">
              <w:rPr>
                <w:rFonts w:cs="Arial"/>
                <w:color w:val="000000"/>
                <w:sz w:val="17"/>
                <w:szCs w:val="17"/>
              </w:rPr>
              <w:t>29,90%</w:t>
            </w:r>
          </w:p>
        </w:tc>
      </w:tr>
      <w:tr w:rsidR="002434BD" w:rsidRPr="00B710A9" w14:paraId="5D163ED2" w14:textId="77777777" w:rsidTr="00B379B6">
        <w:trPr>
          <w:trHeight w:val="133"/>
        </w:trPr>
        <w:tc>
          <w:tcPr>
            <w:tcW w:w="0" w:type="auto"/>
            <w:vMerge/>
            <w:vAlign w:val="center"/>
            <w:hideMark/>
          </w:tcPr>
          <w:p w14:paraId="410C49B1" w14:textId="77777777" w:rsidR="00393F72" w:rsidRPr="00B710A9" w:rsidRDefault="00393F72" w:rsidP="00A224C8">
            <w:pPr>
              <w:rPr>
                <w:rFonts w:cs="Arial"/>
                <w:color w:val="000000"/>
                <w:sz w:val="17"/>
                <w:szCs w:val="17"/>
              </w:rPr>
            </w:pPr>
          </w:p>
        </w:tc>
        <w:tc>
          <w:tcPr>
            <w:tcW w:w="0" w:type="auto"/>
            <w:shd w:val="clear" w:color="000000" w:fill="ACB9CA"/>
            <w:noWrap/>
            <w:vAlign w:val="bottom"/>
            <w:hideMark/>
          </w:tcPr>
          <w:p w14:paraId="0F73D7F5" w14:textId="77777777" w:rsidR="00393F72" w:rsidRPr="00B710A9" w:rsidRDefault="00393F72" w:rsidP="00A224C8">
            <w:pPr>
              <w:rPr>
                <w:rFonts w:cs="Arial"/>
                <w:b/>
                <w:bCs/>
                <w:color w:val="000000"/>
                <w:sz w:val="17"/>
                <w:szCs w:val="17"/>
              </w:rPr>
            </w:pPr>
            <w:r w:rsidRPr="00B710A9">
              <w:rPr>
                <w:rFonts w:cs="Arial"/>
                <w:b/>
                <w:bCs/>
                <w:color w:val="000000"/>
                <w:sz w:val="17"/>
                <w:szCs w:val="17"/>
              </w:rPr>
              <w:t>Total</w:t>
            </w:r>
          </w:p>
        </w:tc>
        <w:tc>
          <w:tcPr>
            <w:tcW w:w="0" w:type="auto"/>
            <w:shd w:val="clear" w:color="000000" w:fill="ACB9CA"/>
            <w:noWrap/>
            <w:vAlign w:val="bottom"/>
            <w:hideMark/>
          </w:tcPr>
          <w:p w14:paraId="6A307E82"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$ 86.158</w:t>
            </w:r>
          </w:p>
        </w:tc>
        <w:tc>
          <w:tcPr>
            <w:tcW w:w="0" w:type="auto"/>
            <w:shd w:val="clear" w:color="000000" w:fill="ACB9CA"/>
            <w:noWrap/>
            <w:vAlign w:val="bottom"/>
            <w:hideMark/>
          </w:tcPr>
          <w:p w14:paraId="61723D62"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$ 4.590</w:t>
            </w:r>
          </w:p>
        </w:tc>
        <w:tc>
          <w:tcPr>
            <w:tcW w:w="1009" w:type="dxa"/>
            <w:shd w:val="clear" w:color="000000" w:fill="ACB9CA"/>
            <w:noWrap/>
            <w:vAlign w:val="bottom"/>
            <w:hideMark/>
          </w:tcPr>
          <w:p w14:paraId="76A9B19D"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$ 81.568</w:t>
            </w:r>
          </w:p>
        </w:tc>
        <w:tc>
          <w:tcPr>
            <w:tcW w:w="994" w:type="dxa"/>
            <w:shd w:val="clear" w:color="000000" w:fill="ACB9CA"/>
            <w:noWrap/>
            <w:vAlign w:val="bottom"/>
            <w:hideMark/>
          </w:tcPr>
          <w:p w14:paraId="670FCC25"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$ 66.524</w:t>
            </w:r>
          </w:p>
        </w:tc>
        <w:tc>
          <w:tcPr>
            <w:tcW w:w="755" w:type="dxa"/>
            <w:shd w:val="clear" w:color="000000" w:fill="ACB9CA"/>
            <w:noWrap/>
            <w:vAlign w:val="bottom"/>
            <w:hideMark/>
          </w:tcPr>
          <w:p w14:paraId="641787DF" w14:textId="77777777" w:rsidR="00393F72" w:rsidRPr="00B710A9" w:rsidRDefault="00393F72" w:rsidP="00A224C8">
            <w:pPr>
              <w:jc w:val="center"/>
              <w:rPr>
                <w:rFonts w:cs="Arial"/>
                <w:b/>
                <w:bCs/>
                <w:color w:val="000000"/>
                <w:sz w:val="17"/>
                <w:szCs w:val="17"/>
              </w:rPr>
            </w:pPr>
            <w:r w:rsidRPr="00B710A9">
              <w:rPr>
                <w:rFonts w:cs="Arial"/>
                <w:b/>
                <w:bCs/>
                <w:color w:val="000000"/>
                <w:sz w:val="17"/>
                <w:szCs w:val="17"/>
              </w:rPr>
              <w:t>81,56%</w:t>
            </w:r>
          </w:p>
        </w:tc>
        <w:tc>
          <w:tcPr>
            <w:tcW w:w="1283" w:type="dxa"/>
            <w:shd w:val="clear" w:color="000000" w:fill="ACB9CA"/>
            <w:noWrap/>
            <w:vAlign w:val="bottom"/>
            <w:hideMark/>
          </w:tcPr>
          <w:p w14:paraId="75C46D72"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$ 65.568</w:t>
            </w:r>
          </w:p>
        </w:tc>
        <w:tc>
          <w:tcPr>
            <w:tcW w:w="903" w:type="dxa"/>
            <w:shd w:val="clear" w:color="000000" w:fill="ACB9CA"/>
            <w:noWrap/>
            <w:vAlign w:val="bottom"/>
            <w:hideMark/>
          </w:tcPr>
          <w:p w14:paraId="0BA79CC9" w14:textId="77777777" w:rsidR="00393F72" w:rsidRPr="00B710A9" w:rsidRDefault="00393F72" w:rsidP="00A224C8">
            <w:pPr>
              <w:jc w:val="center"/>
              <w:rPr>
                <w:rFonts w:cs="Arial"/>
                <w:b/>
                <w:bCs/>
                <w:color w:val="000000"/>
                <w:sz w:val="17"/>
                <w:szCs w:val="17"/>
              </w:rPr>
            </w:pPr>
            <w:r w:rsidRPr="00B710A9">
              <w:rPr>
                <w:rFonts w:cs="Arial"/>
                <w:b/>
                <w:bCs/>
                <w:color w:val="000000"/>
                <w:sz w:val="17"/>
                <w:szCs w:val="17"/>
              </w:rPr>
              <w:t>76,10%</w:t>
            </w:r>
          </w:p>
        </w:tc>
        <w:tc>
          <w:tcPr>
            <w:tcW w:w="1208" w:type="dxa"/>
            <w:shd w:val="clear" w:color="000000" w:fill="ACB9CA"/>
            <w:noWrap/>
            <w:vAlign w:val="bottom"/>
            <w:hideMark/>
          </w:tcPr>
          <w:p w14:paraId="383693ED"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$ 64.116</w:t>
            </w:r>
          </w:p>
        </w:tc>
        <w:tc>
          <w:tcPr>
            <w:tcW w:w="1202" w:type="dxa"/>
            <w:shd w:val="clear" w:color="000000" w:fill="ACB9CA"/>
            <w:noWrap/>
            <w:vAlign w:val="bottom"/>
            <w:hideMark/>
          </w:tcPr>
          <w:p w14:paraId="20D5BAD3" w14:textId="77777777" w:rsidR="00393F72" w:rsidRPr="00B710A9" w:rsidRDefault="00393F72" w:rsidP="00A224C8">
            <w:pPr>
              <w:jc w:val="center"/>
              <w:rPr>
                <w:rFonts w:cs="Arial"/>
                <w:b/>
                <w:bCs/>
                <w:color w:val="000000"/>
                <w:sz w:val="17"/>
                <w:szCs w:val="17"/>
              </w:rPr>
            </w:pPr>
            <w:r w:rsidRPr="00B710A9">
              <w:rPr>
                <w:rFonts w:cs="Arial"/>
                <w:b/>
                <w:bCs/>
                <w:color w:val="000000"/>
                <w:sz w:val="17"/>
                <w:szCs w:val="17"/>
              </w:rPr>
              <w:t>74,42%</w:t>
            </w:r>
          </w:p>
        </w:tc>
        <w:tc>
          <w:tcPr>
            <w:tcW w:w="992" w:type="dxa"/>
            <w:shd w:val="clear" w:color="000000" w:fill="ACB9CA"/>
            <w:noWrap/>
            <w:vAlign w:val="bottom"/>
            <w:hideMark/>
          </w:tcPr>
          <w:p w14:paraId="426CEE52"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$ 61.809</w:t>
            </w:r>
          </w:p>
        </w:tc>
        <w:tc>
          <w:tcPr>
            <w:tcW w:w="849" w:type="dxa"/>
            <w:shd w:val="clear" w:color="000000" w:fill="ACB9CA"/>
            <w:noWrap/>
            <w:vAlign w:val="bottom"/>
            <w:hideMark/>
          </w:tcPr>
          <w:p w14:paraId="67FF8612" w14:textId="77777777" w:rsidR="00393F72" w:rsidRPr="00B710A9" w:rsidRDefault="00393F72" w:rsidP="00A224C8">
            <w:pPr>
              <w:jc w:val="center"/>
              <w:rPr>
                <w:rFonts w:cs="Arial"/>
                <w:b/>
                <w:bCs/>
                <w:color w:val="000000"/>
                <w:sz w:val="17"/>
                <w:szCs w:val="17"/>
              </w:rPr>
            </w:pPr>
            <w:r w:rsidRPr="00B710A9">
              <w:rPr>
                <w:rFonts w:cs="Arial"/>
                <w:b/>
                <w:bCs/>
                <w:color w:val="000000"/>
                <w:sz w:val="17"/>
                <w:szCs w:val="17"/>
              </w:rPr>
              <w:t>71,74%</w:t>
            </w:r>
          </w:p>
        </w:tc>
        <w:tc>
          <w:tcPr>
            <w:tcW w:w="0" w:type="auto"/>
            <w:shd w:val="clear" w:color="000000" w:fill="ACB9CA"/>
            <w:noWrap/>
            <w:vAlign w:val="bottom"/>
            <w:hideMark/>
          </w:tcPr>
          <w:p w14:paraId="50C748EA"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$ 15.044</w:t>
            </w:r>
          </w:p>
        </w:tc>
        <w:tc>
          <w:tcPr>
            <w:tcW w:w="0" w:type="auto"/>
            <w:shd w:val="clear" w:color="000000" w:fill="ACB9CA"/>
            <w:noWrap/>
            <w:vAlign w:val="bottom"/>
            <w:hideMark/>
          </w:tcPr>
          <w:p w14:paraId="084513D3" w14:textId="77777777" w:rsidR="00393F72" w:rsidRPr="00B710A9" w:rsidRDefault="00393F72" w:rsidP="00A224C8">
            <w:pPr>
              <w:jc w:val="center"/>
              <w:rPr>
                <w:rFonts w:cs="Arial"/>
                <w:b/>
                <w:bCs/>
                <w:color w:val="000000"/>
                <w:sz w:val="17"/>
                <w:szCs w:val="17"/>
              </w:rPr>
            </w:pPr>
            <w:r w:rsidRPr="00B710A9">
              <w:rPr>
                <w:rFonts w:cs="Arial"/>
                <w:b/>
                <w:bCs/>
                <w:color w:val="000000"/>
                <w:sz w:val="17"/>
                <w:szCs w:val="17"/>
              </w:rPr>
              <w:t>17,50%</w:t>
            </w:r>
          </w:p>
        </w:tc>
      </w:tr>
      <w:tr w:rsidR="00393F72" w:rsidRPr="00B710A9" w14:paraId="73A9DB16" w14:textId="77777777" w:rsidTr="00B379B6">
        <w:trPr>
          <w:trHeight w:val="143"/>
        </w:trPr>
        <w:tc>
          <w:tcPr>
            <w:tcW w:w="0" w:type="auto"/>
            <w:vMerge w:val="restart"/>
            <w:shd w:val="clear" w:color="000000" w:fill="D9E1F2"/>
            <w:noWrap/>
            <w:vAlign w:val="center"/>
            <w:hideMark/>
          </w:tcPr>
          <w:p w14:paraId="3974EED5" w14:textId="77777777" w:rsidR="00393F72" w:rsidRPr="00B710A9" w:rsidRDefault="00393F72" w:rsidP="00A224C8">
            <w:pPr>
              <w:jc w:val="center"/>
              <w:rPr>
                <w:rFonts w:cs="Arial"/>
                <w:color w:val="000000"/>
                <w:sz w:val="17"/>
                <w:szCs w:val="17"/>
              </w:rPr>
            </w:pPr>
            <w:r w:rsidRPr="00B710A9">
              <w:rPr>
                <w:rFonts w:cs="Arial"/>
                <w:color w:val="000000"/>
                <w:sz w:val="17"/>
                <w:szCs w:val="17"/>
              </w:rPr>
              <w:t>Inversión</w:t>
            </w:r>
          </w:p>
        </w:tc>
        <w:tc>
          <w:tcPr>
            <w:tcW w:w="0" w:type="auto"/>
            <w:shd w:val="clear" w:color="auto" w:fill="auto"/>
            <w:noWrap/>
            <w:vAlign w:val="bottom"/>
            <w:hideMark/>
          </w:tcPr>
          <w:p w14:paraId="55FB3479" w14:textId="77777777" w:rsidR="00393F72" w:rsidRPr="00B710A9" w:rsidRDefault="00393F72" w:rsidP="00A224C8">
            <w:pPr>
              <w:rPr>
                <w:rFonts w:cs="Arial"/>
                <w:color w:val="000000"/>
                <w:sz w:val="17"/>
                <w:szCs w:val="17"/>
              </w:rPr>
            </w:pPr>
            <w:r w:rsidRPr="00B710A9">
              <w:rPr>
                <w:rFonts w:cs="Arial"/>
                <w:color w:val="000000"/>
                <w:sz w:val="17"/>
                <w:szCs w:val="17"/>
              </w:rPr>
              <w:t>Nación</w:t>
            </w:r>
          </w:p>
        </w:tc>
        <w:tc>
          <w:tcPr>
            <w:tcW w:w="0" w:type="auto"/>
            <w:shd w:val="clear" w:color="auto" w:fill="auto"/>
            <w:noWrap/>
            <w:vAlign w:val="bottom"/>
            <w:hideMark/>
          </w:tcPr>
          <w:p w14:paraId="2118F0A8" w14:textId="77777777" w:rsidR="00393F72" w:rsidRPr="00B710A9" w:rsidRDefault="00393F72" w:rsidP="00A224C8">
            <w:pPr>
              <w:jc w:val="right"/>
              <w:rPr>
                <w:rFonts w:cs="Arial"/>
                <w:color w:val="000000"/>
                <w:sz w:val="17"/>
                <w:szCs w:val="17"/>
              </w:rPr>
            </w:pPr>
            <w:r w:rsidRPr="00B710A9">
              <w:rPr>
                <w:rFonts w:cs="Arial"/>
                <w:color w:val="000000"/>
                <w:sz w:val="17"/>
                <w:szCs w:val="17"/>
              </w:rPr>
              <w:t>$ 20.322</w:t>
            </w:r>
          </w:p>
        </w:tc>
        <w:tc>
          <w:tcPr>
            <w:tcW w:w="0" w:type="auto"/>
            <w:shd w:val="clear" w:color="auto" w:fill="auto"/>
            <w:noWrap/>
            <w:vAlign w:val="bottom"/>
            <w:hideMark/>
          </w:tcPr>
          <w:p w14:paraId="54D529AF" w14:textId="77777777" w:rsidR="00393F72" w:rsidRPr="00B710A9" w:rsidRDefault="00393F72" w:rsidP="00A224C8">
            <w:pPr>
              <w:jc w:val="right"/>
              <w:rPr>
                <w:rFonts w:cs="Arial"/>
                <w:color w:val="000000"/>
                <w:sz w:val="17"/>
                <w:szCs w:val="17"/>
              </w:rPr>
            </w:pPr>
            <w:r w:rsidRPr="00B710A9">
              <w:rPr>
                <w:rFonts w:cs="Arial"/>
                <w:color w:val="000000"/>
                <w:sz w:val="17"/>
                <w:szCs w:val="17"/>
              </w:rPr>
              <w:t>$ 0</w:t>
            </w:r>
          </w:p>
        </w:tc>
        <w:tc>
          <w:tcPr>
            <w:tcW w:w="1009" w:type="dxa"/>
            <w:shd w:val="clear" w:color="auto" w:fill="auto"/>
            <w:noWrap/>
            <w:vAlign w:val="bottom"/>
            <w:hideMark/>
          </w:tcPr>
          <w:p w14:paraId="10ACF173" w14:textId="77777777" w:rsidR="00393F72" w:rsidRPr="00B710A9" w:rsidRDefault="00393F72" w:rsidP="00A224C8">
            <w:pPr>
              <w:jc w:val="right"/>
              <w:rPr>
                <w:rFonts w:cs="Arial"/>
                <w:color w:val="000000"/>
                <w:sz w:val="17"/>
                <w:szCs w:val="17"/>
              </w:rPr>
            </w:pPr>
            <w:r w:rsidRPr="00B710A9">
              <w:rPr>
                <w:rFonts w:cs="Arial"/>
                <w:color w:val="000000"/>
                <w:sz w:val="17"/>
                <w:szCs w:val="17"/>
              </w:rPr>
              <w:t>$ 20.322</w:t>
            </w:r>
          </w:p>
        </w:tc>
        <w:tc>
          <w:tcPr>
            <w:tcW w:w="994" w:type="dxa"/>
            <w:shd w:val="clear" w:color="auto" w:fill="auto"/>
            <w:noWrap/>
            <w:vAlign w:val="bottom"/>
            <w:hideMark/>
          </w:tcPr>
          <w:p w14:paraId="55B77835" w14:textId="77777777" w:rsidR="00393F72" w:rsidRPr="00B710A9" w:rsidRDefault="00393F72" w:rsidP="00A224C8">
            <w:pPr>
              <w:jc w:val="right"/>
              <w:rPr>
                <w:rFonts w:cs="Arial"/>
                <w:color w:val="000000"/>
                <w:sz w:val="17"/>
                <w:szCs w:val="17"/>
              </w:rPr>
            </w:pPr>
            <w:r w:rsidRPr="00B710A9">
              <w:rPr>
                <w:rFonts w:cs="Arial"/>
                <w:color w:val="000000"/>
                <w:sz w:val="17"/>
                <w:szCs w:val="17"/>
              </w:rPr>
              <w:t>$ 19.633</w:t>
            </w:r>
          </w:p>
        </w:tc>
        <w:tc>
          <w:tcPr>
            <w:tcW w:w="755" w:type="dxa"/>
            <w:shd w:val="clear" w:color="auto" w:fill="auto"/>
            <w:noWrap/>
            <w:vAlign w:val="bottom"/>
            <w:hideMark/>
          </w:tcPr>
          <w:p w14:paraId="7A8B6244" w14:textId="77777777" w:rsidR="00393F72" w:rsidRPr="00B710A9" w:rsidRDefault="00393F72" w:rsidP="00A224C8">
            <w:pPr>
              <w:jc w:val="center"/>
              <w:rPr>
                <w:rFonts w:cs="Arial"/>
                <w:color w:val="000000"/>
                <w:sz w:val="17"/>
                <w:szCs w:val="17"/>
              </w:rPr>
            </w:pPr>
            <w:r w:rsidRPr="00B710A9">
              <w:rPr>
                <w:rFonts w:cs="Arial"/>
                <w:color w:val="000000"/>
                <w:sz w:val="17"/>
                <w:szCs w:val="17"/>
              </w:rPr>
              <w:t>96,61%</w:t>
            </w:r>
          </w:p>
        </w:tc>
        <w:tc>
          <w:tcPr>
            <w:tcW w:w="1283" w:type="dxa"/>
            <w:shd w:val="clear" w:color="auto" w:fill="auto"/>
            <w:noWrap/>
            <w:vAlign w:val="bottom"/>
            <w:hideMark/>
          </w:tcPr>
          <w:p w14:paraId="5045C2D0" w14:textId="77777777" w:rsidR="00393F72" w:rsidRPr="00B710A9" w:rsidRDefault="00393F72" w:rsidP="00A224C8">
            <w:pPr>
              <w:jc w:val="right"/>
              <w:rPr>
                <w:rFonts w:cs="Arial"/>
                <w:color w:val="000000"/>
                <w:sz w:val="17"/>
                <w:szCs w:val="17"/>
              </w:rPr>
            </w:pPr>
            <w:r w:rsidRPr="00B710A9">
              <w:rPr>
                <w:rFonts w:cs="Arial"/>
                <w:color w:val="000000"/>
                <w:sz w:val="17"/>
                <w:szCs w:val="17"/>
              </w:rPr>
              <w:t>$ 18.728</w:t>
            </w:r>
          </w:p>
        </w:tc>
        <w:tc>
          <w:tcPr>
            <w:tcW w:w="903" w:type="dxa"/>
            <w:shd w:val="clear" w:color="auto" w:fill="auto"/>
            <w:noWrap/>
            <w:vAlign w:val="bottom"/>
            <w:hideMark/>
          </w:tcPr>
          <w:p w14:paraId="1F4F85FF" w14:textId="77777777" w:rsidR="00393F72" w:rsidRPr="00B710A9" w:rsidRDefault="00393F72" w:rsidP="00A224C8">
            <w:pPr>
              <w:jc w:val="center"/>
              <w:rPr>
                <w:rFonts w:cs="Arial"/>
                <w:color w:val="000000"/>
                <w:sz w:val="17"/>
                <w:szCs w:val="17"/>
              </w:rPr>
            </w:pPr>
            <w:r w:rsidRPr="00B710A9">
              <w:rPr>
                <w:rFonts w:cs="Arial"/>
                <w:color w:val="000000"/>
                <w:sz w:val="17"/>
                <w:szCs w:val="17"/>
              </w:rPr>
              <w:t>92,15%</w:t>
            </w:r>
          </w:p>
        </w:tc>
        <w:tc>
          <w:tcPr>
            <w:tcW w:w="1208" w:type="dxa"/>
            <w:shd w:val="clear" w:color="auto" w:fill="auto"/>
            <w:noWrap/>
            <w:vAlign w:val="bottom"/>
            <w:hideMark/>
          </w:tcPr>
          <w:p w14:paraId="48D458B5" w14:textId="77777777" w:rsidR="00393F72" w:rsidRPr="00B710A9" w:rsidRDefault="00393F72" w:rsidP="00A224C8">
            <w:pPr>
              <w:jc w:val="right"/>
              <w:rPr>
                <w:rFonts w:cs="Arial"/>
                <w:color w:val="000000"/>
                <w:sz w:val="17"/>
                <w:szCs w:val="17"/>
              </w:rPr>
            </w:pPr>
            <w:r w:rsidRPr="00B710A9">
              <w:rPr>
                <w:rFonts w:cs="Arial"/>
                <w:color w:val="000000"/>
                <w:sz w:val="17"/>
                <w:szCs w:val="17"/>
              </w:rPr>
              <w:t>$ 17.764</w:t>
            </w:r>
          </w:p>
        </w:tc>
        <w:tc>
          <w:tcPr>
            <w:tcW w:w="1202" w:type="dxa"/>
            <w:shd w:val="clear" w:color="auto" w:fill="auto"/>
            <w:noWrap/>
            <w:vAlign w:val="bottom"/>
            <w:hideMark/>
          </w:tcPr>
          <w:p w14:paraId="155C0620" w14:textId="77777777" w:rsidR="00393F72" w:rsidRPr="00B710A9" w:rsidRDefault="00393F72" w:rsidP="00A224C8">
            <w:pPr>
              <w:jc w:val="center"/>
              <w:rPr>
                <w:rFonts w:cs="Arial"/>
                <w:color w:val="000000"/>
                <w:sz w:val="17"/>
                <w:szCs w:val="17"/>
              </w:rPr>
            </w:pPr>
            <w:r w:rsidRPr="00B710A9">
              <w:rPr>
                <w:rFonts w:cs="Arial"/>
                <w:color w:val="000000"/>
                <w:sz w:val="17"/>
                <w:szCs w:val="17"/>
              </w:rPr>
              <w:t>87,41%</w:t>
            </w:r>
          </w:p>
        </w:tc>
        <w:tc>
          <w:tcPr>
            <w:tcW w:w="992" w:type="dxa"/>
            <w:shd w:val="clear" w:color="auto" w:fill="auto"/>
            <w:noWrap/>
            <w:vAlign w:val="bottom"/>
            <w:hideMark/>
          </w:tcPr>
          <w:p w14:paraId="0663C276" w14:textId="77777777" w:rsidR="00393F72" w:rsidRPr="00B710A9" w:rsidRDefault="00393F72" w:rsidP="00A224C8">
            <w:pPr>
              <w:jc w:val="right"/>
              <w:rPr>
                <w:rFonts w:cs="Arial"/>
                <w:color w:val="000000"/>
                <w:sz w:val="17"/>
                <w:szCs w:val="17"/>
              </w:rPr>
            </w:pPr>
            <w:r w:rsidRPr="00B710A9">
              <w:rPr>
                <w:rFonts w:cs="Arial"/>
                <w:color w:val="000000"/>
                <w:sz w:val="17"/>
                <w:szCs w:val="17"/>
              </w:rPr>
              <w:t>$ 17.711</w:t>
            </w:r>
          </w:p>
        </w:tc>
        <w:tc>
          <w:tcPr>
            <w:tcW w:w="849" w:type="dxa"/>
            <w:shd w:val="clear" w:color="auto" w:fill="auto"/>
            <w:noWrap/>
            <w:vAlign w:val="bottom"/>
            <w:hideMark/>
          </w:tcPr>
          <w:p w14:paraId="3C27CB43" w14:textId="77777777" w:rsidR="00393F72" w:rsidRPr="00B710A9" w:rsidRDefault="00393F72" w:rsidP="00A224C8">
            <w:pPr>
              <w:jc w:val="center"/>
              <w:rPr>
                <w:rFonts w:cs="Arial"/>
                <w:color w:val="000000"/>
                <w:sz w:val="17"/>
                <w:szCs w:val="17"/>
              </w:rPr>
            </w:pPr>
            <w:r w:rsidRPr="00B710A9">
              <w:rPr>
                <w:rFonts w:cs="Arial"/>
                <w:color w:val="000000"/>
                <w:sz w:val="17"/>
                <w:szCs w:val="17"/>
              </w:rPr>
              <w:t>87,15%</w:t>
            </w:r>
          </w:p>
        </w:tc>
        <w:tc>
          <w:tcPr>
            <w:tcW w:w="0" w:type="auto"/>
            <w:shd w:val="clear" w:color="auto" w:fill="auto"/>
            <w:noWrap/>
            <w:vAlign w:val="bottom"/>
            <w:hideMark/>
          </w:tcPr>
          <w:p w14:paraId="5DAD8B20" w14:textId="77777777" w:rsidR="00393F72" w:rsidRPr="00B710A9" w:rsidRDefault="00393F72" w:rsidP="00A224C8">
            <w:pPr>
              <w:jc w:val="right"/>
              <w:rPr>
                <w:rFonts w:cs="Arial"/>
                <w:color w:val="000000"/>
                <w:sz w:val="17"/>
                <w:szCs w:val="17"/>
              </w:rPr>
            </w:pPr>
            <w:r w:rsidRPr="00B710A9">
              <w:rPr>
                <w:rFonts w:cs="Arial"/>
                <w:color w:val="000000"/>
                <w:sz w:val="17"/>
                <w:szCs w:val="17"/>
              </w:rPr>
              <w:t>$ 690</w:t>
            </w:r>
          </w:p>
        </w:tc>
        <w:tc>
          <w:tcPr>
            <w:tcW w:w="0" w:type="auto"/>
            <w:shd w:val="clear" w:color="auto" w:fill="auto"/>
            <w:noWrap/>
            <w:vAlign w:val="bottom"/>
            <w:hideMark/>
          </w:tcPr>
          <w:p w14:paraId="65BF36E5" w14:textId="77777777" w:rsidR="00393F72" w:rsidRPr="00B710A9" w:rsidRDefault="00393F72" w:rsidP="00A224C8">
            <w:pPr>
              <w:jc w:val="center"/>
              <w:rPr>
                <w:rFonts w:cs="Arial"/>
                <w:color w:val="000000"/>
                <w:sz w:val="17"/>
                <w:szCs w:val="17"/>
              </w:rPr>
            </w:pPr>
            <w:r w:rsidRPr="00B710A9">
              <w:rPr>
                <w:rFonts w:cs="Arial"/>
                <w:color w:val="000000"/>
                <w:sz w:val="17"/>
                <w:szCs w:val="17"/>
              </w:rPr>
              <w:t>3,40%</w:t>
            </w:r>
          </w:p>
        </w:tc>
      </w:tr>
      <w:tr w:rsidR="00393F72" w:rsidRPr="00B710A9" w14:paraId="3C39DAB3" w14:textId="77777777" w:rsidTr="00B379B6">
        <w:trPr>
          <w:trHeight w:val="143"/>
        </w:trPr>
        <w:tc>
          <w:tcPr>
            <w:tcW w:w="0" w:type="auto"/>
            <w:vMerge/>
            <w:vAlign w:val="center"/>
            <w:hideMark/>
          </w:tcPr>
          <w:p w14:paraId="5646CA69" w14:textId="77777777" w:rsidR="00393F72" w:rsidRPr="00B710A9" w:rsidRDefault="00393F72" w:rsidP="00A224C8">
            <w:pPr>
              <w:rPr>
                <w:rFonts w:cs="Arial"/>
                <w:color w:val="000000"/>
                <w:sz w:val="17"/>
                <w:szCs w:val="17"/>
              </w:rPr>
            </w:pPr>
          </w:p>
        </w:tc>
        <w:tc>
          <w:tcPr>
            <w:tcW w:w="0" w:type="auto"/>
            <w:shd w:val="clear" w:color="auto" w:fill="auto"/>
            <w:noWrap/>
            <w:vAlign w:val="bottom"/>
            <w:hideMark/>
          </w:tcPr>
          <w:p w14:paraId="74CFFBE0" w14:textId="77777777" w:rsidR="00393F72" w:rsidRPr="00B710A9" w:rsidRDefault="00393F72" w:rsidP="00A224C8">
            <w:pPr>
              <w:rPr>
                <w:rFonts w:cs="Arial"/>
                <w:color w:val="000000"/>
                <w:sz w:val="17"/>
                <w:szCs w:val="17"/>
              </w:rPr>
            </w:pPr>
            <w:r w:rsidRPr="00B710A9">
              <w:rPr>
                <w:rFonts w:cs="Arial"/>
                <w:color w:val="000000"/>
                <w:sz w:val="17"/>
                <w:szCs w:val="17"/>
              </w:rPr>
              <w:t>Propios</w:t>
            </w:r>
          </w:p>
        </w:tc>
        <w:tc>
          <w:tcPr>
            <w:tcW w:w="0" w:type="auto"/>
            <w:shd w:val="clear" w:color="auto" w:fill="auto"/>
            <w:noWrap/>
            <w:vAlign w:val="bottom"/>
            <w:hideMark/>
          </w:tcPr>
          <w:p w14:paraId="69FEC97E" w14:textId="77777777" w:rsidR="00393F72" w:rsidRPr="00B710A9" w:rsidRDefault="00393F72" w:rsidP="00A224C8">
            <w:pPr>
              <w:jc w:val="right"/>
              <w:rPr>
                <w:rFonts w:cs="Arial"/>
                <w:color w:val="000000"/>
                <w:sz w:val="17"/>
                <w:szCs w:val="17"/>
              </w:rPr>
            </w:pPr>
            <w:r w:rsidRPr="00B710A9">
              <w:rPr>
                <w:rFonts w:cs="Arial"/>
                <w:color w:val="000000"/>
                <w:sz w:val="17"/>
                <w:szCs w:val="17"/>
              </w:rPr>
              <w:t>$ 55.295</w:t>
            </w:r>
          </w:p>
        </w:tc>
        <w:tc>
          <w:tcPr>
            <w:tcW w:w="0" w:type="auto"/>
            <w:shd w:val="clear" w:color="auto" w:fill="auto"/>
            <w:noWrap/>
            <w:vAlign w:val="bottom"/>
            <w:hideMark/>
          </w:tcPr>
          <w:p w14:paraId="6E84D032" w14:textId="77777777" w:rsidR="00393F72" w:rsidRPr="00B710A9" w:rsidRDefault="00393F72" w:rsidP="00A224C8">
            <w:pPr>
              <w:jc w:val="right"/>
              <w:rPr>
                <w:rFonts w:cs="Arial"/>
                <w:color w:val="000000"/>
                <w:sz w:val="17"/>
                <w:szCs w:val="17"/>
              </w:rPr>
            </w:pPr>
            <w:r w:rsidRPr="00B710A9">
              <w:rPr>
                <w:rFonts w:cs="Arial"/>
                <w:color w:val="000000"/>
                <w:sz w:val="17"/>
                <w:szCs w:val="17"/>
              </w:rPr>
              <w:t>$ 0</w:t>
            </w:r>
          </w:p>
        </w:tc>
        <w:tc>
          <w:tcPr>
            <w:tcW w:w="1009" w:type="dxa"/>
            <w:shd w:val="clear" w:color="auto" w:fill="auto"/>
            <w:noWrap/>
            <w:vAlign w:val="bottom"/>
            <w:hideMark/>
          </w:tcPr>
          <w:p w14:paraId="7833FDCE" w14:textId="77777777" w:rsidR="00393F72" w:rsidRPr="00B710A9" w:rsidRDefault="00393F72" w:rsidP="00A224C8">
            <w:pPr>
              <w:jc w:val="right"/>
              <w:rPr>
                <w:rFonts w:cs="Arial"/>
                <w:color w:val="000000"/>
                <w:sz w:val="17"/>
                <w:szCs w:val="17"/>
              </w:rPr>
            </w:pPr>
            <w:r w:rsidRPr="00B710A9">
              <w:rPr>
                <w:rFonts w:cs="Arial"/>
                <w:color w:val="000000"/>
                <w:sz w:val="17"/>
                <w:szCs w:val="17"/>
              </w:rPr>
              <w:t>$ 55.295</w:t>
            </w:r>
          </w:p>
        </w:tc>
        <w:tc>
          <w:tcPr>
            <w:tcW w:w="994" w:type="dxa"/>
            <w:shd w:val="clear" w:color="auto" w:fill="auto"/>
            <w:noWrap/>
            <w:vAlign w:val="bottom"/>
            <w:hideMark/>
          </w:tcPr>
          <w:p w14:paraId="7D9CBA8C" w14:textId="77777777" w:rsidR="00393F72" w:rsidRPr="00B710A9" w:rsidRDefault="00393F72" w:rsidP="00A224C8">
            <w:pPr>
              <w:jc w:val="right"/>
              <w:rPr>
                <w:rFonts w:cs="Arial"/>
                <w:color w:val="000000"/>
                <w:sz w:val="17"/>
                <w:szCs w:val="17"/>
              </w:rPr>
            </w:pPr>
            <w:r w:rsidRPr="00B710A9">
              <w:rPr>
                <w:rFonts w:cs="Arial"/>
                <w:color w:val="000000"/>
                <w:sz w:val="17"/>
                <w:szCs w:val="17"/>
              </w:rPr>
              <w:t>$ 29.337</w:t>
            </w:r>
          </w:p>
        </w:tc>
        <w:tc>
          <w:tcPr>
            <w:tcW w:w="755" w:type="dxa"/>
            <w:shd w:val="clear" w:color="auto" w:fill="auto"/>
            <w:noWrap/>
            <w:vAlign w:val="bottom"/>
            <w:hideMark/>
          </w:tcPr>
          <w:p w14:paraId="00AD90AA" w14:textId="77777777" w:rsidR="00393F72" w:rsidRPr="00B710A9" w:rsidRDefault="00393F72" w:rsidP="00A224C8">
            <w:pPr>
              <w:jc w:val="center"/>
              <w:rPr>
                <w:rFonts w:cs="Arial"/>
                <w:color w:val="000000"/>
                <w:sz w:val="17"/>
                <w:szCs w:val="17"/>
              </w:rPr>
            </w:pPr>
            <w:r w:rsidRPr="00B710A9">
              <w:rPr>
                <w:rFonts w:cs="Arial"/>
                <w:color w:val="000000"/>
                <w:sz w:val="17"/>
                <w:szCs w:val="17"/>
              </w:rPr>
              <w:t>53,05%</w:t>
            </w:r>
          </w:p>
        </w:tc>
        <w:tc>
          <w:tcPr>
            <w:tcW w:w="1283" w:type="dxa"/>
            <w:shd w:val="clear" w:color="auto" w:fill="auto"/>
            <w:noWrap/>
            <w:vAlign w:val="bottom"/>
            <w:hideMark/>
          </w:tcPr>
          <w:p w14:paraId="1D936A5B" w14:textId="77777777" w:rsidR="00393F72" w:rsidRPr="00B710A9" w:rsidRDefault="00393F72" w:rsidP="00A224C8">
            <w:pPr>
              <w:jc w:val="right"/>
              <w:rPr>
                <w:rFonts w:cs="Arial"/>
                <w:color w:val="000000"/>
                <w:sz w:val="17"/>
                <w:szCs w:val="17"/>
              </w:rPr>
            </w:pPr>
            <w:r w:rsidRPr="00B710A9">
              <w:rPr>
                <w:rFonts w:cs="Arial"/>
                <w:color w:val="000000"/>
                <w:sz w:val="17"/>
                <w:szCs w:val="17"/>
              </w:rPr>
              <w:t>$ 26.942</w:t>
            </w:r>
          </w:p>
        </w:tc>
        <w:tc>
          <w:tcPr>
            <w:tcW w:w="903" w:type="dxa"/>
            <w:shd w:val="clear" w:color="auto" w:fill="auto"/>
            <w:noWrap/>
            <w:vAlign w:val="bottom"/>
            <w:hideMark/>
          </w:tcPr>
          <w:p w14:paraId="3B63D910" w14:textId="77777777" w:rsidR="00393F72" w:rsidRPr="00B710A9" w:rsidRDefault="00393F72" w:rsidP="00A224C8">
            <w:pPr>
              <w:jc w:val="center"/>
              <w:rPr>
                <w:rFonts w:cs="Arial"/>
                <w:color w:val="000000"/>
                <w:sz w:val="17"/>
                <w:szCs w:val="17"/>
              </w:rPr>
            </w:pPr>
            <w:r w:rsidRPr="00B710A9">
              <w:rPr>
                <w:rFonts w:cs="Arial"/>
                <w:color w:val="000000"/>
                <w:sz w:val="17"/>
                <w:szCs w:val="17"/>
              </w:rPr>
              <w:t>48,72%</w:t>
            </w:r>
          </w:p>
        </w:tc>
        <w:tc>
          <w:tcPr>
            <w:tcW w:w="1208" w:type="dxa"/>
            <w:shd w:val="clear" w:color="auto" w:fill="auto"/>
            <w:noWrap/>
            <w:vAlign w:val="bottom"/>
            <w:hideMark/>
          </w:tcPr>
          <w:p w14:paraId="008AFC0B" w14:textId="77777777" w:rsidR="00393F72" w:rsidRPr="00B710A9" w:rsidRDefault="00393F72" w:rsidP="00A224C8">
            <w:pPr>
              <w:jc w:val="right"/>
              <w:rPr>
                <w:rFonts w:cs="Arial"/>
                <w:color w:val="000000"/>
                <w:sz w:val="17"/>
                <w:szCs w:val="17"/>
              </w:rPr>
            </w:pPr>
            <w:r w:rsidRPr="00B710A9">
              <w:rPr>
                <w:rFonts w:cs="Arial"/>
                <w:color w:val="000000"/>
                <w:sz w:val="17"/>
                <w:szCs w:val="17"/>
              </w:rPr>
              <w:t>$ 24.779</w:t>
            </w:r>
          </w:p>
        </w:tc>
        <w:tc>
          <w:tcPr>
            <w:tcW w:w="1202" w:type="dxa"/>
            <w:shd w:val="clear" w:color="auto" w:fill="auto"/>
            <w:noWrap/>
            <w:vAlign w:val="bottom"/>
            <w:hideMark/>
          </w:tcPr>
          <w:p w14:paraId="6EF3D6DC" w14:textId="77777777" w:rsidR="00393F72" w:rsidRPr="00B710A9" w:rsidRDefault="00393F72" w:rsidP="00A224C8">
            <w:pPr>
              <w:jc w:val="center"/>
              <w:rPr>
                <w:rFonts w:cs="Arial"/>
                <w:color w:val="000000"/>
                <w:sz w:val="17"/>
                <w:szCs w:val="17"/>
              </w:rPr>
            </w:pPr>
            <w:r w:rsidRPr="00B710A9">
              <w:rPr>
                <w:rFonts w:cs="Arial"/>
                <w:color w:val="000000"/>
                <w:sz w:val="17"/>
                <w:szCs w:val="17"/>
              </w:rPr>
              <w:t>44,81%</w:t>
            </w:r>
          </w:p>
        </w:tc>
        <w:tc>
          <w:tcPr>
            <w:tcW w:w="992" w:type="dxa"/>
            <w:shd w:val="clear" w:color="auto" w:fill="auto"/>
            <w:noWrap/>
            <w:vAlign w:val="bottom"/>
            <w:hideMark/>
          </w:tcPr>
          <w:p w14:paraId="1B869DDA" w14:textId="77777777" w:rsidR="00393F72" w:rsidRPr="00B710A9" w:rsidRDefault="00393F72" w:rsidP="00A224C8">
            <w:pPr>
              <w:jc w:val="right"/>
              <w:rPr>
                <w:rFonts w:cs="Arial"/>
                <w:color w:val="000000"/>
                <w:sz w:val="17"/>
                <w:szCs w:val="17"/>
              </w:rPr>
            </w:pPr>
            <w:r w:rsidRPr="00B710A9">
              <w:rPr>
                <w:rFonts w:cs="Arial"/>
                <w:color w:val="000000"/>
                <w:sz w:val="17"/>
                <w:szCs w:val="17"/>
              </w:rPr>
              <w:t>$ 22.172</w:t>
            </w:r>
          </w:p>
        </w:tc>
        <w:tc>
          <w:tcPr>
            <w:tcW w:w="849" w:type="dxa"/>
            <w:shd w:val="clear" w:color="auto" w:fill="auto"/>
            <w:noWrap/>
            <w:vAlign w:val="bottom"/>
            <w:hideMark/>
          </w:tcPr>
          <w:p w14:paraId="166270D1" w14:textId="77777777" w:rsidR="00393F72" w:rsidRPr="00B710A9" w:rsidRDefault="00393F72" w:rsidP="00A224C8">
            <w:pPr>
              <w:jc w:val="center"/>
              <w:rPr>
                <w:rFonts w:cs="Arial"/>
                <w:color w:val="000000"/>
                <w:sz w:val="17"/>
                <w:szCs w:val="17"/>
              </w:rPr>
            </w:pPr>
            <w:r w:rsidRPr="00B710A9">
              <w:rPr>
                <w:rFonts w:cs="Arial"/>
                <w:color w:val="000000"/>
                <w:sz w:val="17"/>
                <w:szCs w:val="17"/>
              </w:rPr>
              <w:t>40,10%</w:t>
            </w:r>
          </w:p>
        </w:tc>
        <w:tc>
          <w:tcPr>
            <w:tcW w:w="0" w:type="auto"/>
            <w:shd w:val="clear" w:color="auto" w:fill="auto"/>
            <w:noWrap/>
            <w:vAlign w:val="bottom"/>
            <w:hideMark/>
          </w:tcPr>
          <w:p w14:paraId="598EB361" w14:textId="77777777" w:rsidR="00393F72" w:rsidRPr="00B710A9" w:rsidRDefault="00393F72" w:rsidP="00A224C8">
            <w:pPr>
              <w:jc w:val="right"/>
              <w:rPr>
                <w:rFonts w:cs="Arial"/>
                <w:color w:val="000000"/>
                <w:sz w:val="17"/>
                <w:szCs w:val="17"/>
              </w:rPr>
            </w:pPr>
            <w:r w:rsidRPr="00B710A9">
              <w:rPr>
                <w:rFonts w:cs="Arial"/>
                <w:color w:val="000000"/>
                <w:sz w:val="17"/>
                <w:szCs w:val="17"/>
              </w:rPr>
              <w:t>$ 25.959</w:t>
            </w:r>
          </w:p>
        </w:tc>
        <w:tc>
          <w:tcPr>
            <w:tcW w:w="0" w:type="auto"/>
            <w:shd w:val="clear" w:color="auto" w:fill="auto"/>
            <w:noWrap/>
            <w:vAlign w:val="bottom"/>
            <w:hideMark/>
          </w:tcPr>
          <w:p w14:paraId="52846595" w14:textId="77777777" w:rsidR="00393F72" w:rsidRPr="00B710A9" w:rsidRDefault="00393F72" w:rsidP="00A224C8">
            <w:pPr>
              <w:jc w:val="center"/>
              <w:rPr>
                <w:rFonts w:cs="Arial"/>
                <w:color w:val="000000"/>
                <w:sz w:val="17"/>
                <w:szCs w:val="17"/>
              </w:rPr>
            </w:pPr>
            <w:r w:rsidRPr="00B710A9">
              <w:rPr>
                <w:rFonts w:cs="Arial"/>
                <w:color w:val="000000"/>
                <w:sz w:val="17"/>
                <w:szCs w:val="17"/>
              </w:rPr>
              <w:t>46,90%</w:t>
            </w:r>
          </w:p>
        </w:tc>
      </w:tr>
      <w:tr w:rsidR="00393F72" w:rsidRPr="00B710A9" w14:paraId="51410692" w14:textId="77777777" w:rsidTr="00B379B6">
        <w:trPr>
          <w:trHeight w:val="143"/>
        </w:trPr>
        <w:tc>
          <w:tcPr>
            <w:tcW w:w="0" w:type="auto"/>
            <w:vMerge/>
            <w:vAlign w:val="center"/>
            <w:hideMark/>
          </w:tcPr>
          <w:p w14:paraId="1287C924" w14:textId="77777777" w:rsidR="00393F72" w:rsidRPr="00B710A9" w:rsidRDefault="00393F72" w:rsidP="00A224C8">
            <w:pPr>
              <w:rPr>
                <w:rFonts w:cs="Arial"/>
                <w:color w:val="000000"/>
                <w:sz w:val="17"/>
                <w:szCs w:val="17"/>
              </w:rPr>
            </w:pPr>
          </w:p>
        </w:tc>
        <w:tc>
          <w:tcPr>
            <w:tcW w:w="0" w:type="auto"/>
            <w:shd w:val="clear" w:color="auto" w:fill="auto"/>
            <w:noWrap/>
            <w:vAlign w:val="bottom"/>
            <w:hideMark/>
          </w:tcPr>
          <w:p w14:paraId="7E3C21D2" w14:textId="77777777" w:rsidR="00393F72" w:rsidRPr="00B710A9" w:rsidRDefault="00393F72" w:rsidP="00A224C8">
            <w:pPr>
              <w:rPr>
                <w:rFonts w:cs="Arial"/>
                <w:color w:val="000000"/>
                <w:sz w:val="17"/>
                <w:szCs w:val="17"/>
              </w:rPr>
            </w:pPr>
            <w:r w:rsidRPr="00B710A9">
              <w:rPr>
                <w:rFonts w:cs="Arial"/>
                <w:color w:val="000000"/>
                <w:sz w:val="17"/>
                <w:szCs w:val="17"/>
              </w:rPr>
              <w:t>Créditos</w:t>
            </w:r>
          </w:p>
        </w:tc>
        <w:tc>
          <w:tcPr>
            <w:tcW w:w="0" w:type="auto"/>
            <w:shd w:val="clear" w:color="auto" w:fill="auto"/>
            <w:noWrap/>
            <w:vAlign w:val="bottom"/>
            <w:hideMark/>
          </w:tcPr>
          <w:p w14:paraId="63EA7AE2" w14:textId="77777777" w:rsidR="00393F72" w:rsidRPr="00B710A9" w:rsidRDefault="00393F72" w:rsidP="00A224C8">
            <w:pPr>
              <w:jc w:val="right"/>
              <w:rPr>
                <w:rFonts w:cs="Arial"/>
                <w:color w:val="000000"/>
                <w:sz w:val="17"/>
                <w:szCs w:val="17"/>
              </w:rPr>
            </w:pPr>
            <w:r w:rsidRPr="00B710A9">
              <w:rPr>
                <w:rFonts w:cs="Arial"/>
                <w:color w:val="000000"/>
                <w:sz w:val="17"/>
                <w:szCs w:val="17"/>
              </w:rPr>
              <w:t>$ 134.446</w:t>
            </w:r>
          </w:p>
        </w:tc>
        <w:tc>
          <w:tcPr>
            <w:tcW w:w="0" w:type="auto"/>
            <w:shd w:val="clear" w:color="auto" w:fill="auto"/>
            <w:noWrap/>
            <w:vAlign w:val="bottom"/>
            <w:hideMark/>
          </w:tcPr>
          <w:p w14:paraId="35792B36" w14:textId="77777777" w:rsidR="00393F72" w:rsidRPr="00B710A9" w:rsidRDefault="00393F72" w:rsidP="00A224C8">
            <w:pPr>
              <w:jc w:val="right"/>
              <w:rPr>
                <w:rFonts w:cs="Arial"/>
                <w:color w:val="000000"/>
                <w:sz w:val="17"/>
                <w:szCs w:val="17"/>
              </w:rPr>
            </w:pPr>
            <w:r w:rsidRPr="00B710A9">
              <w:rPr>
                <w:rFonts w:cs="Arial"/>
                <w:color w:val="000000"/>
                <w:sz w:val="17"/>
                <w:szCs w:val="17"/>
              </w:rPr>
              <w:t>$ 0</w:t>
            </w:r>
          </w:p>
        </w:tc>
        <w:tc>
          <w:tcPr>
            <w:tcW w:w="1009" w:type="dxa"/>
            <w:shd w:val="clear" w:color="auto" w:fill="auto"/>
            <w:noWrap/>
            <w:vAlign w:val="bottom"/>
            <w:hideMark/>
          </w:tcPr>
          <w:p w14:paraId="047B7ACE" w14:textId="77777777" w:rsidR="00393F72" w:rsidRPr="00B710A9" w:rsidRDefault="00393F72" w:rsidP="00A224C8">
            <w:pPr>
              <w:jc w:val="right"/>
              <w:rPr>
                <w:rFonts w:cs="Arial"/>
                <w:color w:val="000000"/>
                <w:sz w:val="17"/>
                <w:szCs w:val="17"/>
              </w:rPr>
            </w:pPr>
            <w:r w:rsidRPr="00B710A9">
              <w:rPr>
                <w:rFonts w:cs="Arial"/>
                <w:color w:val="000000"/>
                <w:sz w:val="17"/>
                <w:szCs w:val="17"/>
              </w:rPr>
              <w:t>$ 134.446</w:t>
            </w:r>
          </w:p>
        </w:tc>
        <w:tc>
          <w:tcPr>
            <w:tcW w:w="994" w:type="dxa"/>
            <w:shd w:val="clear" w:color="auto" w:fill="auto"/>
            <w:noWrap/>
            <w:vAlign w:val="bottom"/>
            <w:hideMark/>
          </w:tcPr>
          <w:p w14:paraId="1022EF8E" w14:textId="77777777" w:rsidR="00393F72" w:rsidRPr="00B710A9" w:rsidRDefault="00393F72" w:rsidP="00A224C8">
            <w:pPr>
              <w:jc w:val="right"/>
              <w:rPr>
                <w:rFonts w:cs="Arial"/>
                <w:color w:val="000000"/>
                <w:sz w:val="17"/>
                <w:szCs w:val="17"/>
              </w:rPr>
            </w:pPr>
            <w:r w:rsidRPr="00B710A9">
              <w:rPr>
                <w:rFonts w:cs="Arial"/>
                <w:color w:val="000000"/>
                <w:sz w:val="17"/>
                <w:szCs w:val="17"/>
              </w:rPr>
              <w:t>$ 63.768</w:t>
            </w:r>
          </w:p>
        </w:tc>
        <w:tc>
          <w:tcPr>
            <w:tcW w:w="755" w:type="dxa"/>
            <w:shd w:val="clear" w:color="auto" w:fill="auto"/>
            <w:noWrap/>
            <w:vAlign w:val="bottom"/>
            <w:hideMark/>
          </w:tcPr>
          <w:p w14:paraId="274CCF56" w14:textId="77777777" w:rsidR="00393F72" w:rsidRPr="00B710A9" w:rsidRDefault="00393F72" w:rsidP="00A224C8">
            <w:pPr>
              <w:jc w:val="center"/>
              <w:rPr>
                <w:rFonts w:cs="Arial"/>
                <w:color w:val="000000"/>
                <w:sz w:val="17"/>
                <w:szCs w:val="17"/>
              </w:rPr>
            </w:pPr>
            <w:r w:rsidRPr="00B710A9">
              <w:rPr>
                <w:rFonts w:cs="Arial"/>
                <w:color w:val="000000"/>
                <w:sz w:val="17"/>
                <w:szCs w:val="17"/>
              </w:rPr>
              <w:t>47,43%</w:t>
            </w:r>
          </w:p>
        </w:tc>
        <w:tc>
          <w:tcPr>
            <w:tcW w:w="1283" w:type="dxa"/>
            <w:shd w:val="clear" w:color="auto" w:fill="auto"/>
            <w:noWrap/>
            <w:vAlign w:val="bottom"/>
            <w:hideMark/>
          </w:tcPr>
          <w:p w14:paraId="48BAEB49" w14:textId="77777777" w:rsidR="00393F72" w:rsidRPr="00B710A9" w:rsidRDefault="00393F72" w:rsidP="00A224C8">
            <w:pPr>
              <w:jc w:val="right"/>
              <w:rPr>
                <w:rFonts w:cs="Arial"/>
                <w:color w:val="000000"/>
                <w:sz w:val="17"/>
                <w:szCs w:val="17"/>
              </w:rPr>
            </w:pPr>
            <w:r w:rsidRPr="00B710A9">
              <w:rPr>
                <w:rFonts w:cs="Arial"/>
                <w:color w:val="000000"/>
                <w:sz w:val="17"/>
                <w:szCs w:val="17"/>
              </w:rPr>
              <w:t>$ 39.502</w:t>
            </w:r>
          </w:p>
        </w:tc>
        <w:tc>
          <w:tcPr>
            <w:tcW w:w="903" w:type="dxa"/>
            <w:shd w:val="clear" w:color="auto" w:fill="auto"/>
            <w:noWrap/>
            <w:vAlign w:val="bottom"/>
            <w:hideMark/>
          </w:tcPr>
          <w:p w14:paraId="45E12F94" w14:textId="77777777" w:rsidR="00393F72" w:rsidRPr="00B710A9" w:rsidRDefault="00393F72" w:rsidP="00A224C8">
            <w:pPr>
              <w:jc w:val="center"/>
              <w:rPr>
                <w:rFonts w:cs="Arial"/>
                <w:color w:val="000000"/>
                <w:sz w:val="17"/>
                <w:szCs w:val="17"/>
              </w:rPr>
            </w:pPr>
            <w:r w:rsidRPr="00B710A9">
              <w:rPr>
                <w:rFonts w:cs="Arial"/>
                <w:color w:val="000000"/>
                <w:sz w:val="17"/>
                <w:szCs w:val="17"/>
              </w:rPr>
              <w:t>29,38%</w:t>
            </w:r>
          </w:p>
        </w:tc>
        <w:tc>
          <w:tcPr>
            <w:tcW w:w="1208" w:type="dxa"/>
            <w:shd w:val="clear" w:color="auto" w:fill="auto"/>
            <w:noWrap/>
            <w:vAlign w:val="bottom"/>
            <w:hideMark/>
          </w:tcPr>
          <w:p w14:paraId="6AEB155B" w14:textId="77777777" w:rsidR="00393F72" w:rsidRPr="00B710A9" w:rsidRDefault="00393F72" w:rsidP="00A224C8">
            <w:pPr>
              <w:jc w:val="right"/>
              <w:rPr>
                <w:rFonts w:cs="Arial"/>
                <w:color w:val="000000"/>
                <w:sz w:val="17"/>
                <w:szCs w:val="17"/>
              </w:rPr>
            </w:pPr>
            <w:r w:rsidRPr="00B710A9">
              <w:rPr>
                <w:rFonts w:cs="Arial"/>
                <w:color w:val="000000"/>
                <w:sz w:val="17"/>
                <w:szCs w:val="17"/>
              </w:rPr>
              <w:t>$ 12.157</w:t>
            </w:r>
          </w:p>
        </w:tc>
        <w:tc>
          <w:tcPr>
            <w:tcW w:w="1202" w:type="dxa"/>
            <w:shd w:val="clear" w:color="auto" w:fill="auto"/>
            <w:noWrap/>
            <w:vAlign w:val="bottom"/>
            <w:hideMark/>
          </w:tcPr>
          <w:p w14:paraId="579F4708" w14:textId="77777777" w:rsidR="00393F72" w:rsidRPr="00B710A9" w:rsidRDefault="00393F72" w:rsidP="00A224C8">
            <w:pPr>
              <w:jc w:val="center"/>
              <w:rPr>
                <w:rFonts w:cs="Arial"/>
                <w:color w:val="000000"/>
                <w:sz w:val="17"/>
                <w:szCs w:val="17"/>
              </w:rPr>
            </w:pPr>
            <w:r w:rsidRPr="00B710A9">
              <w:rPr>
                <w:rFonts w:cs="Arial"/>
                <w:color w:val="000000"/>
                <w:sz w:val="17"/>
                <w:szCs w:val="17"/>
              </w:rPr>
              <w:t>9,04%</w:t>
            </w:r>
          </w:p>
        </w:tc>
        <w:tc>
          <w:tcPr>
            <w:tcW w:w="992" w:type="dxa"/>
            <w:shd w:val="clear" w:color="auto" w:fill="auto"/>
            <w:noWrap/>
            <w:vAlign w:val="bottom"/>
            <w:hideMark/>
          </w:tcPr>
          <w:p w14:paraId="1474EB3B" w14:textId="77777777" w:rsidR="00393F72" w:rsidRPr="00B710A9" w:rsidRDefault="00393F72" w:rsidP="00A224C8">
            <w:pPr>
              <w:jc w:val="right"/>
              <w:rPr>
                <w:rFonts w:cs="Arial"/>
                <w:color w:val="000000"/>
                <w:sz w:val="17"/>
                <w:szCs w:val="17"/>
              </w:rPr>
            </w:pPr>
            <w:r w:rsidRPr="00B710A9">
              <w:rPr>
                <w:rFonts w:cs="Arial"/>
                <w:color w:val="000000"/>
                <w:sz w:val="17"/>
                <w:szCs w:val="17"/>
              </w:rPr>
              <w:t>$ 12.157</w:t>
            </w:r>
          </w:p>
        </w:tc>
        <w:tc>
          <w:tcPr>
            <w:tcW w:w="849" w:type="dxa"/>
            <w:shd w:val="clear" w:color="auto" w:fill="auto"/>
            <w:noWrap/>
            <w:vAlign w:val="bottom"/>
            <w:hideMark/>
          </w:tcPr>
          <w:p w14:paraId="6470EA6F" w14:textId="77777777" w:rsidR="00393F72" w:rsidRPr="00B710A9" w:rsidRDefault="00393F72" w:rsidP="00A224C8">
            <w:pPr>
              <w:jc w:val="center"/>
              <w:rPr>
                <w:rFonts w:cs="Arial"/>
                <w:color w:val="000000"/>
                <w:sz w:val="17"/>
                <w:szCs w:val="17"/>
              </w:rPr>
            </w:pPr>
            <w:r w:rsidRPr="00B710A9">
              <w:rPr>
                <w:rFonts w:cs="Arial"/>
                <w:color w:val="000000"/>
                <w:sz w:val="17"/>
                <w:szCs w:val="17"/>
              </w:rPr>
              <w:t>9,04%</w:t>
            </w:r>
          </w:p>
        </w:tc>
        <w:tc>
          <w:tcPr>
            <w:tcW w:w="0" w:type="auto"/>
            <w:shd w:val="clear" w:color="auto" w:fill="auto"/>
            <w:noWrap/>
            <w:vAlign w:val="bottom"/>
            <w:hideMark/>
          </w:tcPr>
          <w:p w14:paraId="5ADE8069" w14:textId="77777777" w:rsidR="00393F72" w:rsidRPr="00B710A9" w:rsidRDefault="00393F72" w:rsidP="00A224C8">
            <w:pPr>
              <w:jc w:val="right"/>
              <w:rPr>
                <w:rFonts w:cs="Arial"/>
                <w:color w:val="000000"/>
                <w:sz w:val="17"/>
                <w:szCs w:val="17"/>
              </w:rPr>
            </w:pPr>
            <w:r w:rsidRPr="00B710A9">
              <w:rPr>
                <w:rFonts w:cs="Arial"/>
                <w:color w:val="000000"/>
                <w:sz w:val="17"/>
                <w:szCs w:val="17"/>
              </w:rPr>
              <w:t>$ 70.678</w:t>
            </w:r>
          </w:p>
        </w:tc>
        <w:tc>
          <w:tcPr>
            <w:tcW w:w="0" w:type="auto"/>
            <w:shd w:val="clear" w:color="auto" w:fill="auto"/>
            <w:noWrap/>
            <w:vAlign w:val="bottom"/>
            <w:hideMark/>
          </w:tcPr>
          <w:p w14:paraId="24F11F0D" w14:textId="77777777" w:rsidR="00393F72" w:rsidRPr="00B710A9" w:rsidRDefault="00393F72" w:rsidP="00A224C8">
            <w:pPr>
              <w:jc w:val="center"/>
              <w:rPr>
                <w:rFonts w:cs="Arial"/>
                <w:color w:val="000000"/>
                <w:sz w:val="17"/>
                <w:szCs w:val="17"/>
              </w:rPr>
            </w:pPr>
            <w:r w:rsidRPr="00B710A9">
              <w:rPr>
                <w:rFonts w:cs="Arial"/>
                <w:color w:val="000000"/>
                <w:sz w:val="17"/>
                <w:szCs w:val="17"/>
              </w:rPr>
              <w:t>52,60%</w:t>
            </w:r>
          </w:p>
        </w:tc>
      </w:tr>
      <w:tr w:rsidR="002434BD" w:rsidRPr="00B710A9" w14:paraId="5812C500" w14:textId="77777777" w:rsidTr="00B379B6">
        <w:trPr>
          <w:trHeight w:val="131"/>
        </w:trPr>
        <w:tc>
          <w:tcPr>
            <w:tcW w:w="0" w:type="auto"/>
            <w:vMerge/>
            <w:vAlign w:val="center"/>
            <w:hideMark/>
          </w:tcPr>
          <w:p w14:paraId="46A5E881" w14:textId="77777777" w:rsidR="00393F72" w:rsidRPr="00B710A9" w:rsidRDefault="00393F72" w:rsidP="00A224C8">
            <w:pPr>
              <w:rPr>
                <w:rFonts w:cs="Arial"/>
                <w:color w:val="000000"/>
                <w:sz w:val="17"/>
                <w:szCs w:val="17"/>
              </w:rPr>
            </w:pPr>
          </w:p>
        </w:tc>
        <w:tc>
          <w:tcPr>
            <w:tcW w:w="0" w:type="auto"/>
            <w:shd w:val="clear" w:color="000000" w:fill="ACB9CA"/>
            <w:noWrap/>
            <w:vAlign w:val="bottom"/>
            <w:hideMark/>
          </w:tcPr>
          <w:p w14:paraId="65D5720E" w14:textId="77777777" w:rsidR="00393F72" w:rsidRPr="00B710A9" w:rsidRDefault="00393F72" w:rsidP="00A224C8">
            <w:pPr>
              <w:rPr>
                <w:rFonts w:cs="Arial"/>
                <w:b/>
                <w:bCs/>
                <w:color w:val="000000"/>
                <w:sz w:val="17"/>
                <w:szCs w:val="17"/>
              </w:rPr>
            </w:pPr>
            <w:r w:rsidRPr="00B710A9">
              <w:rPr>
                <w:rFonts w:cs="Arial"/>
                <w:b/>
                <w:bCs/>
                <w:color w:val="000000"/>
                <w:sz w:val="17"/>
                <w:szCs w:val="17"/>
              </w:rPr>
              <w:t>Total</w:t>
            </w:r>
          </w:p>
        </w:tc>
        <w:tc>
          <w:tcPr>
            <w:tcW w:w="0" w:type="auto"/>
            <w:shd w:val="clear" w:color="000000" w:fill="ACB9CA"/>
            <w:noWrap/>
            <w:vAlign w:val="bottom"/>
            <w:hideMark/>
          </w:tcPr>
          <w:p w14:paraId="48857115"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$ 210.064</w:t>
            </w:r>
          </w:p>
        </w:tc>
        <w:tc>
          <w:tcPr>
            <w:tcW w:w="0" w:type="auto"/>
            <w:shd w:val="clear" w:color="000000" w:fill="ACB9CA"/>
            <w:noWrap/>
            <w:vAlign w:val="bottom"/>
            <w:hideMark/>
          </w:tcPr>
          <w:p w14:paraId="424FFEFB"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$ 0</w:t>
            </w:r>
          </w:p>
        </w:tc>
        <w:tc>
          <w:tcPr>
            <w:tcW w:w="1009" w:type="dxa"/>
            <w:shd w:val="clear" w:color="000000" w:fill="ACB9CA"/>
            <w:noWrap/>
            <w:vAlign w:val="bottom"/>
            <w:hideMark/>
          </w:tcPr>
          <w:p w14:paraId="11F5C08C"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$ 210.064</w:t>
            </w:r>
          </w:p>
        </w:tc>
        <w:tc>
          <w:tcPr>
            <w:tcW w:w="994" w:type="dxa"/>
            <w:shd w:val="clear" w:color="000000" w:fill="ACB9CA"/>
            <w:noWrap/>
            <w:vAlign w:val="bottom"/>
            <w:hideMark/>
          </w:tcPr>
          <w:p w14:paraId="1BE87AC7"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$ 112.737</w:t>
            </w:r>
          </w:p>
        </w:tc>
        <w:tc>
          <w:tcPr>
            <w:tcW w:w="755" w:type="dxa"/>
            <w:shd w:val="clear" w:color="000000" w:fill="ACB9CA"/>
            <w:noWrap/>
            <w:vAlign w:val="bottom"/>
            <w:hideMark/>
          </w:tcPr>
          <w:p w14:paraId="40BAD572" w14:textId="77777777" w:rsidR="00393F72" w:rsidRPr="00B710A9" w:rsidRDefault="00393F72" w:rsidP="00A224C8">
            <w:pPr>
              <w:jc w:val="center"/>
              <w:rPr>
                <w:rFonts w:cs="Arial"/>
                <w:b/>
                <w:bCs/>
                <w:color w:val="000000"/>
                <w:sz w:val="17"/>
                <w:szCs w:val="17"/>
              </w:rPr>
            </w:pPr>
            <w:r w:rsidRPr="00B710A9">
              <w:rPr>
                <w:rFonts w:cs="Arial"/>
                <w:b/>
                <w:bCs/>
                <w:color w:val="000000"/>
                <w:sz w:val="17"/>
                <w:szCs w:val="17"/>
              </w:rPr>
              <w:t>53,67%</w:t>
            </w:r>
          </w:p>
        </w:tc>
        <w:tc>
          <w:tcPr>
            <w:tcW w:w="1283" w:type="dxa"/>
            <w:shd w:val="clear" w:color="000000" w:fill="ACB9CA"/>
            <w:noWrap/>
            <w:vAlign w:val="bottom"/>
            <w:hideMark/>
          </w:tcPr>
          <w:p w14:paraId="5A9B563F"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$ 85.172</w:t>
            </w:r>
          </w:p>
        </w:tc>
        <w:tc>
          <w:tcPr>
            <w:tcW w:w="903" w:type="dxa"/>
            <w:shd w:val="clear" w:color="000000" w:fill="ACB9CA"/>
            <w:noWrap/>
            <w:vAlign w:val="bottom"/>
            <w:hideMark/>
          </w:tcPr>
          <w:p w14:paraId="144894F1" w14:textId="77777777" w:rsidR="00393F72" w:rsidRPr="00B710A9" w:rsidRDefault="00393F72" w:rsidP="00A224C8">
            <w:pPr>
              <w:jc w:val="center"/>
              <w:rPr>
                <w:rFonts w:cs="Arial"/>
                <w:b/>
                <w:bCs/>
                <w:color w:val="000000"/>
                <w:sz w:val="17"/>
                <w:szCs w:val="17"/>
              </w:rPr>
            </w:pPr>
            <w:r w:rsidRPr="00B710A9">
              <w:rPr>
                <w:rFonts w:cs="Arial"/>
                <w:b/>
                <w:bCs/>
                <w:color w:val="000000"/>
                <w:sz w:val="17"/>
                <w:szCs w:val="17"/>
              </w:rPr>
              <w:t>40,55%</w:t>
            </w:r>
          </w:p>
        </w:tc>
        <w:tc>
          <w:tcPr>
            <w:tcW w:w="1208" w:type="dxa"/>
            <w:shd w:val="clear" w:color="000000" w:fill="ACB9CA"/>
            <w:noWrap/>
            <w:vAlign w:val="bottom"/>
            <w:hideMark/>
          </w:tcPr>
          <w:p w14:paraId="3F86A42A"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$ 54.700</w:t>
            </w:r>
          </w:p>
        </w:tc>
        <w:tc>
          <w:tcPr>
            <w:tcW w:w="1202" w:type="dxa"/>
            <w:shd w:val="clear" w:color="000000" w:fill="ACB9CA"/>
            <w:noWrap/>
            <w:vAlign w:val="bottom"/>
            <w:hideMark/>
          </w:tcPr>
          <w:p w14:paraId="2B54A518" w14:textId="77777777" w:rsidR="00393F72" w:rsidRPr="00B710A9" w:rsidRDefault="00393F72" w:rsidP="00A224C8">
            <w:pPr>
              <w:jc w:val="center"/>
              <w:rPr>
                <w:rFonts w:cs="Arial"/>
                <w:b/>
                <w:bCs/>
                <w:color w:val="000000"/>
                <w:sz w:val="17"/>
                <w:szCs w:val="17"/>
              </w:rPr>
            </w:pPr>
            <w:r w:rsidRPr="00B710A9">
              <w:rPr>
                <w:rFonts w:cs="Arial"/>
                <w:b/>
                <w:bCs/>
                <w:color w:val="000000"/>
                <w:sz w:val="17"/>
                <w:szCs w:val="17"/>
              </w:rPr>
              <w:t>26,04%</w:t>
            </w:r>
          </w:p>
        </w:tc>
        <w:tc>
          <w:tcPr>
            <w:tcW w:w="992" w:type="dxa"/>
            <w:shd w:val="clear" w:color="000000" w:fill="ACB9CA"/>
            <w:noWrap/>
            <w:vAlign w:val="bottom"/>
            <w:hideMark/>
          </w:tcPr>
          <w:p w14:paraId="694E4848"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$ 52.040</w:t>
            </w:r>
          </w:p>
        </w:tc>
        <w:tc>
          <w:tcPr>
            <w:tcW w:w="849" w:type="dxa"/>
            <w:shd w:val="clear" w:color="000000" w:fill="ACB9CA"/>
            <w:noWrap/>
            <w:vAlign w:val="bottom"/>
            <w:hideMark/>
          </w:tcPr>
          <w:p w14:paraId="7B37E5B1" w14:textId="77777777" w:rsidR="00393F72" w:rsidRPr="00B710A9" w:rsidRDefault="00393F72" w:rsidP="00A224C8">
            <w:pPr>
              <w:jc w:val="center"/>
              <w:rPr>
                <w:rFonts w:cs="Arial"/>
                <w:b/>
                <w:bCs/>
                <w:color w:val="000000"/>
                <w:sz w:val="17"/>
                <w:szCs w:val="17"/>
              </w:rPr>
            </w:pPr>
            <w:r w:rsidRPr="00B710A9">
              <w:rPr>
                <w:rFonts w:cs="Arial"/>
                <w:b/>
                <w:bCs/>
                <w:color w:val="000000"/>
                <w:sz w:val="17"/>
                <w:szCs w:val="17"/>
              </w:rPr>
              <w:t>24,77%</w:t>
            </w:r>
          </w:p>
        </w:tc>
        <w:tc>
          <w:tcPr>
            <w:tcW w:w="0" w:type="auto"/>
            <w:shd w:val="clear" w:color="000000" w:fill="ACB9CA"/>
            <w:noWrap/>
            <w:vAlign w:val="bottom"/>
            <w:hideMark/>
          </w:tcPr>
          <w:p w14:paraId="2A73BAF4"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$ 97.327</w:t>
            </w:r>
          </w:p>
        </w:tc>
        <w:tc>
          <w:tcPr>
            <w:tcW w:w="0" w:type="auto"/>
            <w:shd w:val="clear" w:color="000000" w:fill="ACB9CA"/>
            <w:noWrap/>
            <w:vAlign w:val="bottom"/>
            <w:hideMark/>
          </w:tcPr>
          <w:p w14:paraId="34D7DBA9" w14:textId="77777777" w:rsidR="00393F72" w:rsidRPr="00B710A9" w:rsidRDefault="00393F72" w:rsidP="00A224C8">
            <w:pPr>
              <w:jc w:val="center"/>
              <w:rPr>
                <w:rFonts w:cs="Arial"/>
                <w:b/>
                <w:bCs/>
                <w:color w:val="000000"/>
                <w:sz w:val="17"/>
                <w:szCs w:val="17"/>
              </w:rPr>
            </w:pPr>
            <w:r w:rsidRPr="00B710A9">
              <w:rPr>
                <w:rFonts w:cs="Arial"/>
                <w:b/>
                <w:bCs/>
                <w:color w:val="000000"/>
                <w:sz w:val="17"/>
                <w:szCs w:val="17"/>
              </w:rPr>
              <w:t>46,30%</w:t>
            </w:r>
          </w:p>
        </w:tc>
      </w:tr>
      <w:tr w:rsidR="00393F72" w:rsidRPr="00B710A9" w14:paraId="06C25835" w14:textId="77777777" w:rsidTr="00B379B6">
        <w:trPr>
          <w:trHeight w:val="143"/>
        </w:trPr>
        <w:tc>
          <w:tcPr>
            <w:tcW w:w="0" w:type="auto"/>
            <w:vMerge w:val="restart"/>
            <w:shd w:val="clear" w:color="000000" w:fill="D9E1F2"/>
            <w:noWrap/>
            <w:vAlign w:val="center"/>
            <w:hideMark/>
          </w:tcPr>
          <w:p w14:paraId="631C6C56" w14:textId="77777777" w:rsidR="00393F72" w:rsidRPr="00B710A9" w:rsidRDefault="00393F72" w:rsidP="00A224C8">
            <w:pPr>
              <w:jc w:val="center"/>
              <w:rPr>
                <w:rFonts w:cs="Arial"/>
                <w:color w:val="000000"/>
                <w:sz w:val="17"/>
                <w:szCs w:val="17"/>
              </w:rPr>
            </w:pPr>
            <w:r w:rsidRPr="00B710A9">
              <w:rPr>
                <w:rFonts w:cs="Arial"/>
                <w:color w:val="000000"/>
                <w:sz w:val="17"/>
                <w:szCs w:val="17"/>
              </w:rPr>
              <w:t>Total</w:t>
            </w:r>
          </w:p>
        </w:tc>
        <w:tc>
          <w:tcPr>
            <w:tcW w:w="0" w:type="auto"/>
            <w:shd w:val="clear" w:color="auto" w:fill="auto"/>
            <w:noWrap/>
            <w:vAlign w:val="bottom"/>
            <w:hideMark/>
          </w:tcPr>
          <w:p w14:paraId="54750931" w14:textId="77777777" w:rsidR="00393F72" w:rsidRPr="00B710A9" w:rsidRDefault="00393F72" w:rsidP="00A224C8">
            <w:pPr>
              <w:rPr>
                <w:rFonts w:cs="Arial"/>
                <w:color w:val="000000"/>
                <w:sz w:val="17"/>
                <w:szCs w:val="17"/>
              </w:rPr>
            </w:pPr>
            <w:r w:rsidRPr="00B710A9">
              <w:rPr>
                <w:rFonts w:cs="Arial"/>
                <w:color w:val="000000"/>
                <w:sz w:val="17"/>
                <w:szCs w:val="17"/>
              </w:rPr>
              <w:t>Nación</w:t>
            </w:r>
          </w:p>
        </w:tc>
        <w:tc>
          <w:tcPr>
            <w:tcW w:w="0" w:type="auto"/>
            <w:shd w:val="clear" w:color="auto" w:fill="auto"/>
            <w:noWrap/>
            <w:vAlign w:val="bottom"/>
            <w:hideMark/>
          </w:tcPr>
          <w:p w14:paraId="28EE707F" w14:textId="77777777" w:rsidR="00393F72" w:rsidRPr="00B710A9" w:rsidRDefault="00393F72" w:rsidP="00A224C8">
            <w:pPr>
              <w:jc w:val="right"/>
              <w:rPr>
                <w:rFonts w:cs="Arial"/>
                <w:color w:val="000000"/>
                <w:sz w:val="17"/>
                <w:szCs w:val="17"/>
              </w:rPr>
            </w:pPr>
            <w:r w:rsidRPr="00B710A9">
              <w:rPr>
                <w:rFonts w:cs="Arial"/>
                <w:color w:val="000000"/>
                <w:sz w:val="17"/>
                <w:szCs w:val="17"/>
              </w:rPr>
              <w:t>$ 97.222</w:t>
            </w:r>
          </w:p>
        </w:tc>
        <w:tc>
          <w:tcPr>
            <w:tcW w:w="0" w:type="auto"/>
            <w:shd w:val="clear" w:color="auto" w:fill="auto"/>
            <w:noWrap/>
            <w:vAlign w:val="bottom"/>
            <w:hideMark/>
          </w:tcPr>
          <w:p w14:paraId="5E5E8DDA" w14:textId="77777777" w:rsidR="00393F72" w:rsidRPr="00B710A9" w:rsidRDefault="00393F72" w:rsidP="00A224C8">
            <w:pPr>
              <w:jc w:val="right"/>
              <w:rPr>
                <w:rFonts w:cs="Arial"/>
                <w:color w:val="000000"/>
                <w:sz w:val="17"/>
                <w:szCs w:val="17"/>
              </w:rPr>
            </w:pPr>
            <w:r w:rsidRPr="00B710A9">
              <w:rPr>
                <w:rFonts w:cs="Arial"/>
                <w:color w:val="000000"/>
                <w:sz w:val="17"/>
                <w:szCs w:val="17"/>
              </w:rPr>
              <w:t>$ 4.590</w:t>
            </w:r>
          </w:p>
        </w:tc>
        <w:tc>
          <w:tcPr>
            <w:tcW w:w="1009" w:type="dxa"/>
            <w:shd w:val="clear" w:color="auto" w:fill="auto"/>
            <w:noWrap/>
            <w:vAlign w:val="bottom"/>
            <w:hideMark/>
          </w:tcPr>
          <w:p w14:paraId="6C74DC9A" w14:textId="77777777" w:rsidR="00393F72" w:rsidRPr="00B710A9" w:rsidRDefault="00393F72" w:rsidP="00A224C8">
            <w:pPr>
              <w:jc w:val="right"/>
              <w:rPr>
                <w:rFonts w:cs="Arial"/>
                <w:color w:val="000000"/>
                <w:sz w:val="17"/>
                <w:szCs w:val="17"/>
              </w:rPr>
            </w:pPr>
            <w:r w:rsidRPr="00B710A9">
              <w:rPr>
                <w:rFonts w:cs="Arial"/>
                <w:color w:val="000000"/>
                <w:sz w:val="17"/>
                <w:szCs w:val="17"/>
              </w:rPr>
              <w:t>$ 92.631</w:t>
            </w:r>
          </w:p>
        </w:tc>
        <w:tc>
          <w:tcPr>
            <w:tcW w:w="994" w:type="dxa"/>
            <w:shd w:val="clear" w:color="auto" w:fill="auto"/>
            <w:noWrap/>
            <w:vAlign w:val="bottom"/>
            <w:hideMark/>
          </w:tcPr>
          <w:p w14:paraId="5A3FFC2D" w14:textId="77777777" w:rsidR="00393F72" w:rsidRPr="00B710A9" w:rsidRDefault="00393F72" w:rsidP="00A224C8">
            <w:pPr>
              <w:jc w:val="right"/>
              <w:rPr>
                <w:rFonts w:cs="Arial"/>
                <w:color w:val="000000"/>
                <w:sz w:val="17"/>
                <w:szCs w:val="17"/>
              </w:rPr>
            </w:pPr>
            <w:r w:rsidRPr="00B710A9">
              <w:rPr>
                <w:rFonts w:cs="Arial"/>
                <w:color w:val="000000"/>
                <w:sz w:val="17"/>
                <w:szCs w:val="17"/>
              </w:rPr>
              <w:t>$ 79.662</w:t>
            </w:r>
          </w:p>
        </w:tc>
        <w:tc>
          <w:tcPr>
            <w:tcW w:w="755" w:type="dxa"/>
            <w:shd w:val="clear" w:color="auto" w:fill="auto"/>
            <w:noWrap/>
            <w:vAlign w:val="bottom"/>
            <w:hideMark/>
          </w:tcPr>
          <w:p w14:paraId="63BA2A7B" w14:textId="77777777" w:rsidR="00393F72" w:rsidRPr="00B710A9" w:rsidRDefault="00393F72" w:rsidP="00A224C8">
            <w:pPr>
              <w:jc w:val="center"/>
              <w:rPr>
                <w:rFonts w:cs="Arial"/>
                <w:color w:val="000000"/>
                <w:sz w:val="17"/>
                <w:szCs w:val="17"/>
              </w:rPr>
            </w:pPr>
            <w:r w:rsidRPr="00B710A9">
              <w:rPr>
                <w:rFonts w:cs="Arial"/>
                <w:color w:val="000000"/>
                <w:sz w:val="17"/>
                <w:szCs w:val="17"/>
              </w:rPr>
              <w:t>81,94%</w:t>
            </w:r>
          </w:p>
        </w:tc>
        <w:tc>
          <w:tcPr>
            <w:tcW w:w="1283" w:type="dxa"/>
            <w:shd w:val="clear" w:color="auto" w:fill="auto"/>
            <w:noWrap/>
            <w:vAlign w:val="bottom"/>
            <w:hideMark/>
          </w:tcPr>
          <w:p w14:paraId="77FC8C3E" w14:textId="77777777" w:rsidR="00393F72" w:rsidRPr="00B710A9" w:rsidRDefault="00393F72" w:rsidP="00A224C8">
            <w:pPr>
              <w:jc w:val="right"/>
              <w:rPr>
                <w:rFonts w:cs="Arial"/>
                <w:color w:val="000000"/>
                <w:sz w:val="17"/>
                <w:szCs w:val="17"/>
              </w:rPr>
            </w:pPr>
            <w:r w:rsidRPr="00B710A9">
              <w:rPr>
                <w:rFonts w:cs="Arial"/>
                <w:color w:val="000000"/>
                <w:sz w:val="17"/>
                <w:szCs w:val="17"/>
              </w:rPr>
              <w:t>$ 77.904</w:t>
            </w:r>
          </w:p>
        </w:tc>
        <w:tc>
          <w:tcPr>
            <w:tcW w:w="903" w:type="dxa"/>
            <w:shd w:val="clear" w:color="auto" w:fill="auto"/>
            <w:noWrap/>
            <w:vAlign w:val="bottom"/>
            <w:hideMark/>
          </w:tcPr>
          <w:p w14:paraId="2E9D2561" w14:textId="77777777" w:rsidR="00393F72" w:rsidRPr="00B710A9" w:rsidRDefault="00393F72" w:rsidP="00A224C8">
            <w:pPr>
              <w:jc w:val="center"/>
              <w:rPr>
                <w:rFonts w:cs="Arial"/>
                <w:color w:val="000000"/>
                <w:sz w:val="17"/>
                <w:szCs w:val="17"/>
              </w:rPr>
            </w:pPr>
            <w:r w:rsidRPr="00B710A9">
              <w:rPr>
                <w:rFonts w:cs="Arial"/>
                <w:color w:val="000000"/>
                <w:sz w:val="17"/>
                <w:szCs w:val="17"/>
              </w:rPr>
              <w:t>80,13%</w:t>
            </w:r>
          </w:p>
        </w:tc>
        <w:tc>
          <w:tcPr>
            <w:tcW w:w="1208" w:type="dxa"/>
            <w:shd w:val="clear" w:color="auto" w:fill="auto"/>
            <w:noWrap/>
            <w:vAlign w:val="bottom"/>
            <w:hideMark/>
          </w:tcPr>
          <w:p w14:paraId="5DAFC1A5" w14:textId="77777777" w:rsidR="00393F72" w:rsidRPr="00B710A9" w:rsidRDefault="00393F72" w:rsidP="00A224C8">
            <w:pPr>
              <w:jc w:val="right"/>
              <w:rPr>
                <w:rFonts w:cs="Arial"/>
                <w:color w:val="000000"/>
                <w:sz w:val="17"/>
                <w:szCs w:val="17"/>
              </w:rPr>
            </w:pPr>
            <w:r w:rsidRPr="00B710A9">
              <w:rPr>
                <w:rFonts w:cs="Arial"/>
                <w:color w:val="000000"/>
                <w:sz w:val="17"/>
                <w:szCs w:val="17"/>
              </w:rPr>
              <w:t>$ 76.004</w:t>
            </w:r>
          </w:p>
        </w:tc>
        <w:tc>
          <w:tcPr>
            <w:tcW w:w="1202" w:type="dxa"/>
            <w:shd w:val="clear" w:color="auto" w:fill="auto"/>
            <w:noWrap/>
            <w:vAlign w:val="bottom"/>
            <w:hideMark/>
          </w:tcPr>
          <w:p w14:paraId="3AA4B4C1" w14:textId="77777777" w:rsidR="00393F72" w:rsidRPr="00B710A9" w:rsidRDefault="00393F72" w:rsidP="00A224C8">
            <w:pPr>
              <w:jc w:val="center"/>
              <w:rPr>
                <w:rFonts w:cs="Arial"/>
                <w:color w:val="000000"/>
                <w:sz w:val="17"/>
                <w:szCs w:val="17"/>
              </w:rPr>
            </w:pPr>
            <w:r w:rsidRPr="00B710A9">
              <w:rPr>
                <w:rFonts w:cs="Arial"/>
                <w:color w:val="000000"/>
                <w:sz w:val="17"/>
                <w:szCs w:val="17"/>
              </w:rPr>
              <w:t>78,18%</w:t>
            </w:r>
          </w:p>
        </w:tc>
        <w:tc>
          <w:tcPr>
            <w:tcW w:w="992" w:type="dxa"/>
            <w:shd w:val="clear" w:color="auto" w:fill="auto"/>
            <w:noWrap/>
            <w:vAlign w:val="bottom"/>
            <w:hideMark/>
          </w:tcPr>
          <w:p w14:paraId="5BB71379" w14:textId="77777777" w:rsidR="00393F72" w:rsidRPr="00B710A9" w:rsidRDefault="00393F72" w:rsidP="00A224C8">
            <w:pPr>
              <w:jc w:val="right"/>
              <w:rPr>
                <w:rFonts w:cs="Arial"/>
                <w:color w:val="000000"/>
                <w:sz w:val="17"/>
                <w:szCs w:val="17"/>
              </w:rPr>
            </w:pPr>
            <w:r w:rsidRPr="00B710A9">
              <w:rPr>
                <w:rFonts w:cs="Arial"/>
                <w:color w:val="000000"/>
                <w:sz w:val="17"/>
                <w:szCs w:val="17"/>
              </w:rPr>
              <w:t>$ 73.920</w:t>
            </w:r>
          </w:p>
        </w:tc>
        <w:tc>
          <w:tcPr>
            <w:tcW w:w="849" w:type="dxa"/>
            <w:shd w:val="clear" w:color="auto" w:fill="auto"/>
            <w:noWrap/>
            <w:vAlign w:val="bottom"/>
            <w:hideMark/>
          </w:tcPr>
          <w:p w14:paraId="1972EE1D" w14:textId="77777777" w:rsidR="00393F72" w:rsidRPr="00B710A9" w:rsidRDefault="00393F72" w:rsidP="00A224C8">
            <w:pPr>
              <w:jc w:val="center"/>
              <w:rPr>
                <w:rFonts w:cs="Arial"/>
                <w:color w:val="000000"/>
                <w:sz w:val="17"/>
                <w:szCs w:val="17"/>
              </w:rPr>
            </w:pPr>
            <w:r w:rsidRPr="00B710A9">
              <w:rPr>
                <w:rFonts w:cs="Arial"/>
                <w:color w:val="000000"/>
                <w:sz w:val="17"/>
                <w:szCs w:val="17"/>
              </w:rPr>
              <w:t>76,03%</w:t>
            </w:r>
          </w:p>
        </w:tc>
        <w:tc>
          <w:tcPr>
            <w:tcW w:w="0" w:type="auto"/>
            <w:shd w:val="clear" w:color="auto" w:fill="auto"/>
            <w:noWrap/>
            <w:vAlign w:val="bottom"/>
            <w:hideMark/>
          </w:tcPr>
          <w:p w14:paraId="69258A40" w14:textId="77777777" w:rsidR="00393F72" w:rsidRPr="00B710A9" w:rsidRDefault="00393F72" w:rsidP="00A224C8">
            <w:pPr>
              <w:jc w:val="right"/>
              <w:rPr>
                <w:rFonts w:cs="Arial"/>
                <w:color w:val="000000"/>
                <w:sz w:val="17"/>
                <w:szCs w:val="17"/>
              </w:rPr>
            </w:pPr>
            <w:r w:rsidRPr="00B710A9">
              <w:rPr>
                <w:rFonts w:cs="Arial"/>
                <w:color w:val="000000"/>
                <w:sz w:val="17"/>
                <w:szCs w:val="17"/>
              </w:rPr>
              <w:t>$ 12.969</w:t>
            </w:r>
          </w:p>
        </w:tc>
        <w:tc>
          <w:tcPr>
            <w:tcW w:w="0" w:type="auto"/>
            <w:shd w:val="clear" w:color="auto" w:fill="auto"/>
            <w:noWrap/>
            <w:vAlign w:val="bottom"/>
            <w:hideMark/>
          </w:tcPr>
          <w:p w14:paraId="6035B089" w14:textId="77777777" w:rsidR="00393F72" w:rsidRPr="00B710A9" w:rsidRDefault="00393F72" w:rsidP="00A224C8">
            <w:pPr>
              <w:jc w:val="center"/>
              <w:rPr>
                <w:rFonts w:cs="Arial"/>
                <w:color w:val="000000"/>
                <w:sz w:val="17"/>
                <w:szCs w:val="17"/>
              </w:rPr>
            </w:pPr>
            <w:r w:rsidRPr="00B710A9">
              <w:rPr>
                <w:rFonts w:cs="Arial"/>
                <w:color w:val="000000"/>
                <w:sz w:val="17"/>
                <w:szCs w:val="17"/>
              </w:rPr>
              <w:t>13,30%</w:t>
            </w:r>
          </w:p>
        </w:tc>
      </w:tr>
      <w:tr w:rsidR="002434BD" w:rsidRPr="00B710A9" w14:paraId="419305EE" w14:textId="77777777" w:rsidTr="00B379B6">
        <w:trPr>
          <w:trHeight w:val="143"/>
        </w:trPr>
        <w:tc>
          <w:tcPr>
            <w:tcW w:w="0" w:type="auto"/>
            <w:vMerge/>
            <w:vAlign w:val="center"/>
            <w:hideMark/>
          </w:tcPr>
          <w:p w14:paraId="68BE93F6" w14:textId="77777777" w:rsidR="00393F72" w:rsidRPr="00B710A9" w:rsidRDefault="00393F72" w:rsidP="00A224C8">
            <w:pPr>
              <w:rPr>
                <w:rFonts w:cs="Arial"/>
                <w:color w:val="000000"/>
                <w:sz w:val="17"/>
                <w:szCs w:val="17"/>
              </w:rPr>
            </w:pPr>
          </w:p>
        </w:tc>
        <w:tc>
          <w:tcPr>
            <w:tcW w:w="0" w:type="auto"/>
            <w:shd w:val="clear" w:color="000000" w:fill="FFFFFF"/>
            <w:noWrap/>
            <w:vAlign w:val="bottom"/>
            <w:hideMark/>
          </w:tcPr>
          <w:p w14:paraId="723F32BC" w14:textId="77777777" w:rsidR="00393F72" w:rsidRPr="00B710A9" w:rsidRDefault="00393F72" w:rsidP="00A224C8">
            <w:pPr>
              <w:rPr>
                <w:rFonts w:cs="Arial"/>
                <w:color w:val="000000"/>
                <w:sz w:val="17"/>
                <w:szCs w:val="17"/>
              </w:rPr>
            </w:pPr>
            <w:r w:rsidRPr="00B710A9">
              <w:rPr>
                <w:rFonts w:cs="Arial"/>
                <w:color w:val="000000"/>
                <w:sz w:val="17"/>
                <w:szCs w:val="17"/>
              </w:rPr>
              <w:t>Propios</w:t>
            </w:r>
          </w:p>
        </w:tc>
        <w:tc>
          <w:tcPr>
            <w:tcW w:w="0" w:type="auto"/>
            <w:shd w:val="clear" w:color="000000" w:fill="FFFFFF"/>
            <w:noWrap/>
            <w:vAlign w:val="bottom"/>
            <w:hideMark/>
          </w:tcPr>
          <w:p w14:paraId="7D8A457D" w14:textId="77777777" w:rsidR="00393F72" w:rsidRPr="00B710A9" w:rsidRDefault="00393F72" w:rsidP="00A224C8">
            <w:pPr>
              <w:jc w:val="right"/>
              <w:rPr>
                <w:rFonts w:cs="Arial"/>
                <w:color w:val="000000"/>
                <w:sz w:val="17"/>
                <w:szCs w:val="17"/>
              </w:rPr>
            </w:pPr>
            <w:r w:rsidRPr="00B710A9">
              <w:rPr>
                <w:rFonts w:cs="Arial"/>
                <w:color w:val="000000"/>
                <w:sz w:val="17"/>
                <w:szCs w:val="17"/>
              </w:rPr>
              <w:t>$ 64.554</w:t>
            </w:r>
          </w:p>
        </w:tc>
        <w:tc>
          <w:tcPr>
            <w:tcW w:w="0" w:type="auto"/>
            <w:shd w:val="clear" w:color="000000" w:fill="FFFFFF"/>
            <w:noWrap/>
            <w:vAlign w:val="bottom"/>
            <w:hideMark/>
          </w:tcPr>
          <w:p w14:paraId="3C98BB88" w14:textId="77777777" w:rsidR="00393F72" w:rsidRPr="00B710A9" w:rsidRDefault="00393F72" w:rsidP="00A224C8">
            <w:pPr>
              <w:jc w:val="right"/>
              <w:rPr>
                <w:rFonts w:cs="Arial"/>
                <w:color w:val="000000"/>
                <w:sz w:val="17"/>
                <w:szCs w:val="17"/>
              </w:rPr>
            </w:pPr>
            <w:r w:rsidRPr="00B710A9">
              <w:rPr>
                <w:rFonts w:cs="Arial"/>
                <w:color w:val="000000"/>
                <w:sz w:val="17"/>
                <w:szCs w:val="17"/>
              </w:rPr>
              <w:t>$ 0</w:t>
            </w:r>
          </w:p>
        </w:tc>
        <w:tc>
          <w:tcPr>
            <w:tcW w:w="1009" w:type="dxa"/>
            <w:shd w:val="clear" w:color="000000" w:fill="FFFFFF"/>
            <w:noWrap/>
            <w:vAlign w:val="bottom"/>
            <w:hideMark/>
          </w:tcPr>
          <w:p w14:paraId="4A5F1245" w14:textId="77777777" w:rsidR="00393F72" w:rsidRPr="00B710A9" w:rsidRDefault="00393F72" w:rsidP="00A224C8">
            <w:pPr>
              <w:jc w:val="right"/>
              <w:rPr>
                <w:rFonts w:cs="Arial"/>
                <w:color w:val="000000"/>
                <w:sz w:val="17"/>
                <w:szCs w:val="17"/>
              </w:rPr>
            </w:pPr>
            <w:r w:rsidRPr="00B710A9">
              <w:rPr>
                <w:rFonts w:cs="Arial"/>
                <w:color w:val="000000"/>
                <w:sz w:val="17"/>
                <w:szCs w:val="17"/>
              </w:rPr>
              <w:t>$ 64.554</w:t>
            </w:r>
          </w:p>
        </w:tc>
        <w:tc>
          <w:tcPr>
            <w:tcW w:w="994" w:type="dxa"/>
            <w:shd w:val="clear" w:color="000000" w:fill="FFFFFF"/>
            <w:noWrap/>
            <w:vAlign w:val="bottom"/>
            <w:hideMark/>
          </w:tcPr>
          <w:p w14:paraId="3C4CADF2" w14:textId="77777777" w:rsidR="00393F72" w:rsidRPr="00B710A9" w:rsidRDefault="00393F72" w:rsidP="00A224C8">
            <w:pPr>
              <w:jc w:val="right"/>
              <w:rPr>
                <w:rFonts w:cs="Arial"/>
                <w:color w:val="000000"/>
                <w:sz w:val="17"/>
                <w:szCs w:val="17"/>
              </w:rPr>
            </w:pPr>
            <w:r w:rsidRPr="00B710A9">
              <w:rPr>
                <w:rFonts w:cs="Arial"/>
                <w:color w:val="000000"/>
                <w:sz w:val="17"/>
                <w:szCs w:val="17"/>
              </w:rPr>
              <w:t>$ 35.831</w:t>
            </w:r>
          </w:p>
        </w:tc>
        <w:tc>
          <w:tcPr>
            <w:tcW w:w="755" w:type="dxa"/>
            <w:shd w:val="clear" w:color="000000" w:fill="FFFFFF"/>
            <w:noWrap/>
            <w:vAlign w:val="bottom"/>
            <w:hideMark/>
          </w:tcPr>
          <w:p w14:paraId="64B9DE53" w14:textId="77777777" w:rsidR="00393F72" w:rsidRPr="00B710A9" w:rsidRDefault="00393F72" w:rsidP="00A224C8">
            <w:pPr>
              <w:jc w:val="center"/>
              <w:rPr>
                <w:rFonts w:cs="Arial"/>
                <w:color w:val="000000"/>
                <w:sz w:val="17"/>
                <w:szCs w:val="17"/>
              </w:rPr>
            </w:pPr>
            <w:r w:rsidRPr="00B710A9">
              <w:rPr>
                <w:rFonts w:cs="Arial"/>
                <w:color w:val="000000"/>
                <w:sz w:val="17"/>
                <w:szCs w:val="17"/>
              </w:rPr>
              <w:t>55,50%</w:t>
            </w:r>
          </w:p>
        </w:tc>
        <w:tc>
          <w:tcPr>
            <w:tcW w:w="1283" w:type="dxa"/>
            <w:shd w:val="clear" w:color="000000" w:fill="FFFFFF"/>
            <w:noWrap/>
            <w:vAlign w:val="bottom"/>
            <w:hideMark/>
          </w:tcPr>
          <w:p w14:paraId="499305F2" w14:textId="77777777" w:rsidR="00393F72" w:rsidRPr="00B710A9" w:rsidRDefault="00393F72" w:rsidP="00A224C8">
            <w:pPr>
              <w:jc w:val="right"/>
              <w:rPr>
                <w:rFonts w:cs="Arial"/>
                <w:color w:val="000000"/>
                <w:sz w:val="17"/>
                <w:szCs w:val="17"/>
              </w:rPr>
            </w:pPr>
            <w:r w:rsidRPr="00B710A9">
              <w:rPr>
                <w:rFonts w:cs="Arial"/>
                <w:color w:val="000000"/>
                <w:sz w:val="17"/>
                <w:szCs w:val="17"/>
              </w:rPr>
              <w:t>$ 33.334</w:t>
            </w:r>
          </w:p>
        </w:tc>
        <w:tc>
          <w:tcPr>
            <w:tcW w:w="903" w:type="dxa"/>
            <w:shd w:val="clear" w:color="000000" w:fill="FFFFFF"/>
            <w:noWrap/>
            <w:vAlign w:val="bottom"/>
            <w:hideMark/>
          </w:tcPr>
          <w:p w14:paraId="2857EF0E" w14:textId="77777777" w:rsidR="00393F72" w:rsidRPr="00B710A9" w:rsidRDefault="00393F72" w:rsidP="00A224C8">
            <w:pPr>
              <w:jc w:val="center"/>
              <w:rPr>
                <w:rFonts w:cs="Arial"/>
                <w:color w:val="000000"/>
                <w:sz w:val="17"/>
                <w:szCs w:val="17"/>
              </w:rPr>
            </w:pPr>
            <w:r w:rsidRPr="00B710A9">
              <w:rPr>
                <w:rFonts w:cs="Arial"/>
                <w:color w:val="000000"/>
                <w:sz w:val="17"/>
                <w:szCs w:val="17"/>
              </w:rPr>
              <w:t>51,64%</w:t>
            </w:r>
          </w:p>
        </w:tc>
        <w:tc>
          <w:tcPr>
            <w:tcW w:w="1208" w:type="dxa"/>
            <w:shd w:val="clear" w:color="000000" w:fill="FFFFFF"/>
            <w:noWrap/>
            <w:vAlign w:val="bottom"/>
            <w:hideMark/>
          </w:tcPr>
          <w:p w14:paraId="507AB344" w14:textId="77777777" w:rsidR="00393F72" w:rsidRPr="00B710A9" w:rsidRDefault="00393F72" w:rsidP="00A224C8">
            <w:pPr>
              <w:jc w:val="right"/>
              <w:rPr>
                <w:rFonts w:cs="Arial"/>
                <w:color w:val="000000"/>
                <w:sz w:val="17"/>
                <w:szCs w:val="17"/>
              </w:rPr>
            </w:pPr>
            <w:r w:rsidRPr="00B710A9">
              <w:rPr>
                <w:rFonts w:cs="Arial"/>
                <w:color w:val="000000"/>
                <w:sz w:val="17"/>
                <w:szCs w:val="17"/>
              </w:rPr>
              <w:t>$ 30.655</w:t>
            </w:r>
          </w:p>
        </w:tc>
        <w:tc>
          <w:tcPr>
            <w:tcW w:w="1202" w:type="dxa"/>
            <w:shd w:val="clear" w:color="000000" w:fill="FFFFFF"/>
            <w:noWrap/>
            <w:vAlign w:val="bottom"/>
            <w:hideMark/>
          </w:tcPr>
          <w:p w14:paraId="0E3C26FA" w14:textId="77777777" w:rsidR="00393F72" w:rsidRPr="00B710A9" w:rsidRDefault="00393F72" w:rsidP="00A224C8">
            <w:pPr>
              <w:jc w:val="center"/>
              <w:rPr>
                <w:rFonts w:cs="Arial"/>
                <w:color w:val="000000"/>
                <w:sz w:val="17"/>
                <w:szCs w:val="17"/>
              </w:rPr>
            </w:pPr>
            <w:r w:rsidRPr="00B710A9">
              <w:rPr>
                <w:rFonts w:cs="Arial"/>
                <w:color w:val="000000"/>
                <w:sz w:val="17"/>
                <w:szCs w:val="17"/>
              </w:rPr>
              <w:t>47,49%</w:t>
            </w:r>
          </w:p>
        </w:tc>
        <w:tc>
          <w:tcPr>
            <w:tcW w:w="992" w:type="dxa"/>
            <w:shd w:val="clear" w:color="000000" w:fill="FFFFFF"/>
            <w:noWrap/>
            <w:vAlign w:val="bottom"/>
            <w:hideMark/>
          </w:tcPr>
          <w:p w14:paraId="34AFEE2F" w14:textId="77777777" w:rsidR="00393F72" w:rsidRPr="00B710A9" w:rsidRDefault="00393F72" w:rsidP="00A224C8">
            <w:pPr>
              <w:jc w:val="right"/>
              <w:rPr>
                <w:rFonts w:cs="Arial"/>
                <w:color w:val="000000"/>
                <w:sz w:val="17"/>
                <w:szCs w:val="17"/>
              </w:rPr>
            </w:pPr>
            <w:r w:rsidRPr="00B710A9">
              <w:rPr>
                <w:rFonts w:cs="Arial"/>
                <w:color w:val="000000"/>
                <w:sz w:val="17"/>
                <w:szCs w:val="17"/>
              </w:rPr>
              <w:t>$ 27.772</w:t>
            </w:r>
          </w:p>
        </w:tc>
        <w:tc>
          <w:tcPr>
            <w:tcW w:w="849" w:type="dxa"/>
            <w:shd w:val="clear" w:color="000000" w:fill="FFFFFF"/>
            <w:noWrap/>
            <w:vAlign w:val="bottom"/>
            <w:hideMark/>
          </w:tcPr>
          <w:p w14:paraId="5C513EBD" w14:textId="77777777" w:rsidR="00393F72" w:rsidRPr="00B710A9" w:rsidRDefault="00393F72" w:rsidP="00A224C8">
            <w:pPr>
              <w:jc w:val="center"/>
              <w:rPr>
                <w:rFonts w:cs="Arial"/>
                <w:color w:val="000000"/>
                <w:sz w:val="17"/>
                <w:szCs w:val="17"/>
              </w:rPr>
            </w:pPr>
            <w:r w:rsidRPr="00B710A9">
              <w:rPr>
                <w:rFonts w:cs="Arial"/>
                <w:color w:val="000000"/>
                <w:sz w:val="17"/>
                <w:szCs w:val="17"/>
              </w:rPr>
              <w:t>43,02%</w:t>
            </w:r>
          </w:p>
        </w:tc>
        <w:tc>
          <w:tcPr>
            <w:tcW w:w="0" w:type="auto"/>
            <w:shd w:val="clear" w:color="000000" w:fill="FFFFFF"/>
            <w:noWrap/>
            <w:vAlign w:val="bottom"/>
            <w:hideMark/>
          </w:tcPr>
          <w:p w14:paraId="33E0C54F" w14:textId="77777777" w:rsidR="00393F72" w:rsidRPr="00B710A9" w:rsidRDefault="00393F72" w:rsidP="00A224C8">
            <w:pPr>
              <w:jc w:val="right"/>
              <w:rPr>
                <w:rFonts w:cs="Arial"/>
                <w:color w:val="000000"/>
                <w:sz w:val="17"/>
                <w:szCs w:val="17"/>
              </w:rPr>
            </w:pPr>
            <w:r w:rsidRPr="00B710A9">
              <w:rPr>
                <w:rFonts w:cs="Arial"/>
                <w:color w:val="000000"/>
                <w:sz w:val="17"/>
                <w:szCs w:val="17"/>
              </w:rPr>
              <w:t>$ 28.724</w:t>
            </w:r>
          </w:p>
        </w:tc>
        <w:tc>
          <w:tcPr>
            <w:tcW w:w="0" w:type="auto"/>
            <w:shd w:val="clear" w:color="000000" w:fill="FFFFFF"/>
            <w:noWrap/>
            <w:vAlign w:val="bottom"/>
            <w:hideMark/>
          </w:tcPr>
          <w:p w14:paraId="50FE29B6" w14:textId="77777777" w:rsidR="00393F72" w:rsidRPr="00B710A9" w:rsidRDefault="00393F72" w:rsidP="00A224C8">
            <w:pPr>
              <w:jc w:val="center"/>
              <w:rPr>
                <w:rFonts w:cs="Arial"/>
                <w:color w:val="000000"/>
                <w:sz w:val="17"/>
                <w:szCs w:val="17"/>
              </w:rPr>
            </w:pPr>
            <w:r w:rsidRPr="00B710A9">
              <w:rPr>
                <w:rFonts w:cs="Arial"/>
                <w:color w:val="000000"/>
                <w:sz w:val="17"/>
                <w:szCs w:val="17"/>
              </w:rPr>
              <w:t>44,50%</w:t>
            </w:r>
          </w:p>
        </w:tc>
      </w:tr>
      <w:tr w:rsidR="00393F72" w:rsidRPr="00B710A9" w14:paraId="339914BF" w14:textId="77777777" w:rsidTr="00B379B6">
        <w:trPr>
          <w:trHeight w:val="143"/>
        </w:trPr>
        <w:tc>
          <w:tcPr>
            <w:tcW w:w="0" w:type="auto"/>
            <w:vMerge/>
            <w:vAlign w:val="center"/>
            <w:hideMark/>
          </w:tcPr>
          <w:p w14:paraId="40575AFF" w14:textId="77777777" w:rsidR="00393F72" w:rsidRPr="00B710A9" w:rsidRDefault="00393F72" w:rsidP="00A224C8">
            <w:pPr>
              <w:rPr>
                <w:rFonts w:cs="Arial"/>
                <w:color w:val="000000"/>
                <w:sz w:val="17"/>
                <w:szCs w:val="17"/>
              </w:rPr>
            </w:pPr>
          </w:p>
        </w:tc>
        <w:tc>
          <w:tcPr>
            <w:tcW w:w="0" w:type="auto"/>
            <w:shd w:val="clear" w:color="auto" w:fill="auto"/>
            <w:noWrap/>
            <w:vAlign w:val="bottom"/>
            <w:hideMark/>
          </w:tcPr>
          <w:p w14:paraId="724AB2D0" w14:textId="77777777" w:rsidR="00393F72" w:rsidRPr="00B710A9" w:rsidRDefault="00393F72" w:rsidP="00A224C8">
            <w:pPr>
              <w:rPr>
                <w:rFonts w:cs="Arial"/>
                <w:color w:val="000000"/>
                <w:sz w:val="17"/>
                <w:szCs w:val="17"/>
              </w:rPr>
            </w:pPr>
            <w:r w:rsidRPr="00B710A9">
              <w:rPr>
                <w:rFonts w:cs="Arial"/>
                <w:color w:val="000000"/>
                <w:sz w:val="17"/>
                <w:szCs w:val="17"/>
              </w:rPr>
              <w:t>Créditos</w:t>
            </w:r>
          </w:p>
        </w:tc>
        <w:tc>
          <w:tcPr>
            <w:tcW w:w="0" w:type="auto"/>
            <w:shd w:val="clear" w:color="auto" w:fill="auto"/>
            <w:noWrap/>
            <w:vAlign w:val="bottom"/>
            <w:hideMark/>
          </w:tcPr>
          <w:p w14:paraId="36BACF06" w14:textId="77777777" w:rsidR="00393F72" w:rsidRPr="00B710A9" w:rsidRDefault="00393F72" w:rsidP="00A224C8">
            <w:pPr>
              <w:jc w:val="right"/>
              <w:rPr>
                <w:rFonts w:cs="Arial"/>
                <w:color w:val="000000"/>
                <w:sz w:val="17"/>
                <w:szCs w:val="17"/>
              </w:rPr>
            </w:pPr>
            <w:r w:rsidRPr="00B710A9">
              <w:rPr>
                <w:rFonts w:cs="Arial"/>
                <w:color w:val="000000"/>
                <w:sz w:val="17"/>
                <w:szCs w:val="17"/>
              </w:rPr>
              <w:t>$ 134.446</w:t>
            </w:r>
          </w:p>
        </w:tc>
        <w:tc>
          <w:tcPr>
            <w:tcW w:w="0" w:type="auto"/>
            <w:shd w:val="clear" w:color="auto" w:fill="auto"/>
            <w:noWrap/>
            <w:vAlign w:val="bottom"/>
            <w:hideMark/>
          </w:tcPr>
          <w:p w14:paraId="37A4DD97" w14:textId="77777777" w:rsidR="00393F72" w:rsidRPr="00B710A9" w:rsidRDefault="00393F72" w:rsidP="00A224C8">
            <w:pPr>
              <w:jc w:val="right"/>
              <w:rPr>
                <w:rFonts w:cs="Arial"/>
                <w:color w:val="000000"/>
                <w:sz w:val="17"/>
                <w:szCs w:val="17"/>
              </w:rPr>
            </w:pPr>
            <w:r w:rsidRPr="00B710A9">
              <w:rPr>
                <w:rFonts w:cs="Arial"/>
                <w:color w:val="000000"/>
                <w:sz w:val="17"/>
                <w:szCs w:val="17"/>
              </w:rPr>
              <w:t>$ 0</w:t>
            </w:r>
          </w:p>
        </w:tc>
        <w:tc>
          <w:tcPr>
            <w:tcW w:w="1009" w:type="dxa"/>
            <w:shd w:val="clear" w:color="auto" w:fill="auto"/>
            <w:noWrap/>
            <w:vAlign w:val="bottom"/>
            <w:hideMark/>
          </w:tcPr>
          <w:p w14:paraId="4AD5BD7A" w14:textId="77777777" w:rsidR="00393F72" w:rsidRPr="00B710A9" w:rsidRDefault="00393F72" w:rsidP="00A224C8">
            <w:pPr>
              <w:jc w:val="right"/>
              <w:rPr>
                <w:rFonts w:cs="Arial"/>
                <w:color w:val="000000"/>
                <w:sz w:val="17"/>
                <w:szCs w:val="17"/>
              </w:rPr>
            </w:pPr>
            <w:r w:rsidRPr="00B710A9">
              <w:rPr>
                <w:rFonts w:cs="Arial"/>
                <w:color w:val="000000"/>
                <w:sz w:val="17"/>
                <w:szCs w:val="17"/>
              </w:rPr>
              <w:t>$ 134.446</w:t>
            </w:r>
          </w:p>
        </w:tc>
        <w:tc>
          <w:tcPr>
            <w:tcW w:w="994" w:type="dxa"/>
            <w:shd w:val="clear" w:color="auto" w:fill="auto"/>
            <w:noWrap/>
            <w:vAlign w:val="bottom"/>
            <w:hideMark/>
          </w:tcPr>
          <w:p w14:paraId="04D2C013" w14:textId="77777777" w:rsidR="00393F72" w:rsidRPr="00B710A9" w:rsidRDefault="00393F72" w:rsidP="00A224C8">
            <w:pPr>
              <w:jc w:val="right"/>
              <w:rPr>
                <w:rFonts w:cs="Arial"/>
                <w:color w:val="000000"/>
                <w:sz w:val="17"/>
                <w:szCs w:val="17"/>
              </w:rPr>
            </w:pPr>
            <w:r w:rsidRPr="00B710A9">
              <w:rPr>
                <w:rFonts w:cs="Arial"/>
                <w:color w:val="000000"/>
                <w:sz w:val="17"/>
                <w:szCs w:val="17"/>
              </w:rPr>
              <w:t>$ 63.768</w:t>
            </w:r>
          </w:p>
        </w:tc>
        <w:tc>
          <w:tcPr>
            <w:tcW w:w="755" w:type="dxa"/>
            <w:shd w:val="clear" w:color="auto" w:fill="auto"/>
            <w:noWrap/>
            <w:vAlign w:val="bottom"/>
            <w:hideMark/>
          </w:tcPr>
          <w:p w14:paraId="241F48B5" w14:textId="77777777" w:rsidR="00393F72" w:rsidRPr="00B710A9" w:rsidRDefault="00393F72" w:rsidP="00A224C8">
            <w:pPr>
              <w:jc w:val="center"/>
              <w:rPr>
                <w:rFonts w:cs="Arial"/>
                <w:color w:val="000000"/>
                <w:sz w:val="17"/>
                <w:szCs w:val="17"/>
              </w:rPr>
            </w:pPr>
            <w:r w:rsidRPr="00B710A9">
              <w:rPr>
                <w:rFonts w:cs="Arial"/>
                <w:color w:val="000000"/>
                <w:sz w:val="17"/>
                <w:szCs w:val="17"/>
              </w:rPr>
              <w:t>47,43%</w:t>
            </w:r>
          </w:p>
        </w:tc>
        <w:tc>
          <w:tcPr>
            <w:tcW w:w="1283" w:type="dxa"/>
            <w:shd w:val="clear" w:color="auto" w:fill="auto"/>
            <w:noWrap/>
            <w:vAlign w:val="bottom"/>
            <w:hideMark/>
          </w:tcPr>
          <w:p w14:paraId="5F351D3F" w14:textId="77777777" w:rsidR="00393F72" w:rsidRPr="00B710A9" w:rsidRDefault="00393F72" w:rsidP="00A224C8">
            <w:pPr>
              <w:jc w:val="right"/>
              <w:rPr>
                <w:rFonts w:cs="Arial"/>
                <w:color w:val="000000"/>
                <w:sz w:val="17"/>
                <w:szCs w:val="17"/>
              </w:rPr>
            </w:pPr>
            <w:r w:rsidRPr="00B710A9">
              <w:rPr>
                <w:rFonts w:cs="Arial"/>
                <w:color w:val="000000"/>
                <w:sz w:val="17"/>
                <w:szCs w:val="17"/>
              </w:rPr>
              <w:t>$ 39.502</w:t>
            </w:r>
          </w:p>
        </w:tc>
        <w:tc>
          <w:tcPr>
            <w:tcW w:w="903" w:type="dxa"/>
            <w:shd w:val="clear" w:color="auto" w:fill="auto"/>
            <w:noWrap/>
            <w:vAlign w:val="bottom"/>
            <w:hideMark/>
          </w:tcPr>
          <w:p w14:paraId="13AFDD65" w14:textId="77777777" w:rsidR="00393F72" w:rsidRPr="00B710A9" w:rsidRDefault="00393F72" w:rsidP="00A224C8">
            <w:pPr>
              <w:jc w:val="center"/>
              <w:rPr>
                <w:rFonts w:cs="Arial"/>
                <w:color w:val="000000"/>
                <w:sz w:val="17"/>
                <w:szCs w:val="17"/>
              </w:rPr>
            </w:pPr>
            <w:r w:rsidRPr="00B710A9">
              <w:rPr>
                <w:rFonts w:cs="Arial"/>
                <w:color w:val="000000"/>
                <w:sz w:val="17"/>
                <w:szCs w:val="17"/>
              </w:rPr>
              <w:t>29,38%</w:t>
            </w:r>
          </w:p>
        </w:tc>
        <w:tc>
          <w:tcPr>
            <w:tcW w:w="1208" w:type="dxa"/>
            <w:shd w:val="clear" w:color="auto" w:fill="auto"/>
            <w:noWrap/>
            <w:vAlign w:val="bottom"/>
            <w:hideMark/>
          </w:tcPr>
          <w:p w14:paraId="5CCD278F" w14:textId="77777777" w:rsidR="00393F72" w:rsidRPr="00B710A9" w:rsidRDefault="00393F72" w:rsidP="00A224C8">
            <w:pPr>
              <w:jc w:val="right"/>
              <w:rPr>
                <w:rFonts w:cs="Arial"/>
                <w:color w:val="000000"/>
                <w:sz w:val="17"/>
                <w:szCs w:val="17"/>
              </w:rPr>
            </w:pPr>
            <w:r w:rsidRPr="00B710A9">
              <w:rPr>
                <w:rFonts w:cs="Arial"/>
                <w:color w:val="000000"/>
                <w:sz w:val="17"/>
                <w:szCs w:val="17"/>
              </w:rPr>
              <w:t>$ 12.157</w:t>
            </w:r>
          </w:p>
        </w:tc>
        <w:tc>
          <w:tcPr>
            <w:tcW w:w="1202" w:type="dxa"/>
            <w:shd w:val="clear" w:color="auto" w:fill="auto"/>
            <w:noWrap/>
            <w:vAlign w:val="bottom"/>
            <w:hideMark/>
          </w:tcPr>
          <w:p w14:paraId="457377CF" w14:textId="77777777" w:rsidR="00393F72" w:rsidRPr="00B710A9" w:rsidRDefault="00393F72" w:rsidP="00A224C8">
            <w:pPr>
              <w:jc w:val="center"/>
              <w:rPr>
                <w:rFonts w:cs="Arial"/>
                <w:color w:val="000000"/>
                <w:sz w:val="17"/>
                <w:szCs w:val="17"/>
              </w:rPr>
            </w:pPr>
            <w:r w:rsidRPr="00B710A9">
              <w:rPr>
                <w:rFonts w:cs="Arial"/>
                <w:color w:val="000000"/>
                <w:sz w:val="17"/>
                <w:szCs w:val="17"/>
              </w:rPr>
              <w:t>9,04%</w:t>
            </w:r>
          </w:p>
        </w:tc>
        <w:tc>
          <w:tcPr>
            <w:tcW w:w="992" w:type="dxa"/>
            <w:shd w:val="clear" w:color="auto" w:fill="auto"/>
            <w:noWrap/>
            <w:vAlign w:val="bottom"/>
            <w:hideMark/>
          </w:tcPr>
          <w:p w14:paraId="79C81863" w14:textId="77777777" w:rsidR="00393F72" w:rsidRPr="00B710A9" w:rsidRDefault="00393F72" w:rsidP="00A224C8">
            <w:pPr>
              <w:jc w:val="right"/>
              <w:rPr>
                <w:rFonts w:cs="Arial"/>
                <w:color w:val="000000"/>
                <w:sz w:val="17"/>
                <w:szCs w:val="17"/>
              </w:rPr>
            </w:pPr>
            <w:r w:rsidRPr="00B710A9">
              <w:rPr>
                <w:rFonts w:cs="Arial"/>
                <w:color w:val="000000"/>
                <w:sz w:val="17"/>
                <w:szCs w:val="17"/>
              </w:rPr>
              <w:t>$ 12.157</w:t>
            </w:r>
          </w:p>
        </w:tc>
        <w:tc>
          <w:tcPr>
            <w:tcW w:w="849" w:type="dxa"/>
            <w:shd w:val="clear" w:color="auto" w:fill="auto"/>
            <w:noWrap/>
            <w:vAlign w:val="bottom"/>
            <w:hideMark/>
          </w:tcPr>
          <w:p w14:paraId="0C5C8627" w14:textId="77777777" w:rsidR="00393F72" w:rsidRPr="00B710A9" w:rsidRDefault="00393F72" w:rsidP="00A224C8">
            <w:pPr>
              <w:jc w:val="center"/>
              <w:rPr>
                <w:rFonts w:cs="Arial"/>
                <w:color w:val="000000"/>
                <w:sz w:val="17"/>
                <w:szCs w:val="17"/>
              </w:rPr>
            </w:pPr>
            <w:r w:rsidRPr="00B710A9">
              <w:rPr>
                <w:rFonts w:cs="Arial"/>
                <w:color w:val="000000"/>
                <w:sz w:val="17"/>
                <w:szCs w:val="17"/>
              </w:rPr>
              <w:t>9,04%</w:t>
            </w:r>
          </w:p>
        </w:tc>
        <w:tc>
          <w:tcPr>
            <w:tcW w:w="0" w:type="auto"/>
            <w:shd w:val="clear" w:color="auto" w:fill="auto"/>
            <w:noWrap/>
            <w:vAlign w:val="bottom"/>
            <w:hideMark/>
          </w:tcPr>
          <w:p w14:paraId="54934721" w14:textId="77777777" w:rsidR="00393F72" w:rsidRPr="00B710A9" w:rsidRDefault="00393F72" w:rsidP="00A224C8">
            <w:pPr>
              <w:jc w:val="right"/>
              <w:rPr>
                <w:rFonts w:cs="Arial"/>
                <w:color w:val="000000"/>
                <w:sz w:val="17"/>
                <w:szCs w:val="17"/>
              </w:rPr>
            </w:pPr>
            <w:r w:rsidRPr="00B710A9">
              <w:rPr>
                <w:rFonts w:cs="Arial"/>
                <w:color w:val="000000"/>
                <w:sz w:val="17"/>
                <w:szCs w:val="17"/>
              </w:rPr>
              <w:t>$ 70.678</w:t>
            </w:r>
          </w:p>
        </w:tc>
        <w:tc>
          <w:tcPr>
            <w:tcW w:w="0" w:type="auto"/>
            <w:shd w:val="clear" w:color="auto" w:fill="auto"/>
            <w:noWrap/>
            <w:vAlign w:val="bottom"/>
            <w:hideMark/>
          </w:tcPr>
          <w:p w14:paraId="311CA956" w14:textId="77777777" w:rsidR="00393F72" w:rsidRPr="00B710A9" w:rsidRDefault="00393F72" w:rsidP="00A224C8">
            <w:pPr>
              <w:jc w:val="center"/>
              <w:rPr>
                <w:rFonts w:cs="Arial"/>
                <w:color w:val="000000"/>
                <w:sz w:val="17"/>
                <w:szCs w:val="17"/>
              </w:rPr>
            </w:pPr>
            <w:r w:rsidRPr="00B710A9">
              <w:rPr>
                <w:rFonts w:cs="Arial"/>
                <w:color w:val="000000"/>
                <w:sz w:val="17"/>
                <w:szCs w:val="17"/>
              </w:rPr>
              <w:t>52,60%</w:t>
            </w:r>
          </w:p>
        </w:tc>
      </w:tr>
      <w:tr w:rsidR="002434BD" w:rsidRPr="00B710A9" w14:paraId="7ED5718E" w14:textId="77777777" w:rsidTr="00B379B6">
        <w:trPr>
          <w:trHeight w:val="131"/>
        </w:trPr>
        <w:tc>
          <w:tcPr>
            <w:tcW w:w="0" w:type="auto"/>
            <w:vMerge/>
            <w:vAlign w:val="center"/>
            <w:hideMark/>
          </w:tcPr>
          <w:p w14:paraId="12BDA853" w14:textId="77777777" w:rsidR="00393F72" w:rsidRPr="00B710A9" w:rsidRDefault="00393F72" w:rsidP="00A224C8">
            <w:pPr>
              <w:rPr>
                <w:rFonts w:cs="Arial"/>
                <w:color w:val="000000"/>
                <w:sz w:val="17"/>
                <w:szCs w:val="17"/>
              </w:rPr>
            </w:pPr>
          </w:p>
        </w:tc>
        <w:tc>
          <w:tcPr>
            <w:tcW w:w="0" w:type="auto"/>
            <w:shd w:val="clear" w:color="000000" w:fill="ACB9CA"/>
            <w:noWrap/>
            <w:vAlign w:val="bottom"/>
            <w:hideMark/>
          </w:tcPr>
          <w:p w14:paraId="10EF2FD4" w14:textId="77777777" w:rsidR="00393F72" w:rsidRPr="00B710A9" w:rsidRDefault="00393F72" w:rsidP="00A224C8">
            <w:pPr>
              <w:rPr>
                <w:rFonts w:cs="Arial"/>
                <w:b/>
                <w:bCs/>
                <w:color w:val="000000"/>
                <w:sz w:val="17"/>
                <w:szCs w:val="17"/>
              </w:rPr>
            </w:pPr>
            <w:r w:rsidRPr="00B710A9">
              <w:rPr>
                <w:rFonts w:cs="Arial"/>
                <w:b/>
                <w:bCs/>
                <w:color w:val="000000"/>
                <w:sz w:val="17"/>
                <w:szCs w:val="17"/>
              </w:rPr>
              <w:t>Total</w:t>
            </w:r>
          </w:p>
        </w:tc>
        <w:tc>
          <w:tcPr>
            <w:tcW w:w="0" w:type="auto"/>
            <w:shd w:val="clear" w:color="000000" w:fill="ACB9CA"/>
            <w:noWrap/>
            <w:vAlign w:val="bottom"/>
            <w:hideMark/>
          </w:tcPr>
          <w:p w14:paraId="430A89EB"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$ 296.222</w:t>
            </w:r>
          </w:p>
        </w:tc>
        <w:tc>
          <w:tcPr>
            <w:tcW w:w="0" w:type="auto"/>
            <w:shd w:val="clear" w:color="000000" w:fill="ACB9CA"/>
            <w:noWrap/>
            <w:vAlign w:val="bottom"/>
            <w:hideMark/>
          </w:tcPr>
          <w:p w14:paraId="0659D52A"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$ 4.590</w:t>
            </w:r>
          </w:p>
        </w:tc>
        <w:tc>
          <w:tcPr>
            <w:tcW w:w="1009" w:type="dxa"/>
            <w:shd w:val="clear" w:color="000000" w:fill="ACB9CA"/>
            <w:noWrap/>
            <w:vAlign w:val="bottom"/>
            <w:hideMark/>
          </w:tcPr>
          <w:p w14:paraId="3F53691A"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$ 291.632</w:t>
            </w:r>
          </w:p>
        </w:tc>
        <w:tc>
          <w:tcPr>
            <w:tcW w:w="994" w:type="dxa"/>
            <w:shd w:val="clear" w:color="000000" w:fill="ACB9CA"/>
            <w:noWrap/>
            <w:vAlign w:val="bottom"/>
            <w:hideMark/>
          </w:tcPr>
          <w:p w14:paraId="7DF3D0CD"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$ 179.261</w:t>
            </w:r>
          </w:p>
        </w:tc>
        <w:tc>
          <w:tcPr>
            <w:tcW w:w="755" w:type="dxa"/>
            <w:shd w:val="clear" w:color="000000" w:fill="ACB9CA"/>
            <w:noWrap/>
            <w:vAlign w:val="bottom"/>
            <w:hideMark/>
          </w:tcPr>
          <w:p w14:paraId="0D9E37D2" w14:textId="77777777" w:rsidR="00393F72" w:rsidRPr="00B710A9" w:rsidRDefault="00393F72" w:rsidP="00A224C8">
            <w:pPr>
              <w:jc w:val="center"/>
              <w:rPr>
                <w:rFonts w:cs="Arial"/>
                <w:b/>
                <w:bCs/>
                <w:color w:val="000000"/>
                <w:sz w:val="17"/>
                <w:szCs w:val="17"/>
              </w:rPr>
            </w:pPr>
            <w:r w:rsidRPr="00B710A9">
              <w:rPr>
                <w:rFonts w:cs="Arial"/>
                <w:b/>
                <w:bCs/>
                <w:color w:val="000000"/>
                <w:sz w:val="17"/>
                <w:szCs w:val="17"/>
              </w:rPr>
              <w:t>60,52%</w:t>
            </w:r>
          </w:p>
        </w:tc>
        <w:tc>
          <w:tcPr>
            <w:tcW w:w="1283" w:type="dxa"/>
            <w:shd w:val="clear" w:color="000000" w:fill="ACB9CA"/>
            <w:noWrap/>
            <w:vAlign w:val="bottom"/>
            <w:hideMark/>
          </w:tcPr>
          <w:p w14:paraId="09D023C5"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$ 150.740</w:t>
            </w:r>
          </w:p>
        </w:tc>
        <w:tc>
          <w:tcPr>
            <w:tcW w:w="903" w:type="dxa"/>
            <w:shd w:val="clear" w:color="000000" w:fill="ACB9CA"/>
            <w:noWrap/>
            <w:vAlign w:val="bottom"/>
            <w:hideMark/>
          </w:tcPr>
          <w:p w14:paraId="10F9040D" w14:textId="77777777" w:rsidR="00393F72" w:rsidRPr="00B710A9" w:rsidRDefault="00393F72" w:rsidP="00A224C8">
            <w:pPr>
              <w:jc w:val="center"/>
              <w:rPr>
                <w:rFonts w:cs="Arial"/>
                <w:b/>
                <w:bCs/>
                <w:color w:val="000000"/>
                <w:sz w:val="17"/>
                <w:szCs w:val="17"/>
              </w:rPr>
            </w:pPr>
            <w:r w:rsidRPr="00B710A9">
              <w:rPr>
                <w:rFonts w:cs="Arial"/>
                <w:b/>
                <w:bCs/>
                <w:color w:val="000000"/>
                <w:sz w:val="17"/>
                <w:szCs w:val="17"/>
              </w:rPr>
              <w:t>50,89%</w:t>
            </w:r>
          </w:p>
        </w:tc>
        <w:tc>
          <w:tcPr>
            <w:tcW w:w="1208" w:type="dxa"/>
            <w:shd w:val="clear" w:color="000000" w:fill="ACB9CA"/>
            <w:noWrap/>
            <w:vAlign w:val="bottom"/>
            <w:hideMark/>
          </w:tcPr>
          <w:p w14:paraId="3C1D2523"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$ 118.815</w:t>
            </w:r>
          </w:p>
        </w:tc>
        <w:tc>
          <w:tcPr>
            <w:tcW w:w="1202" w:type="dxa"/>
            <w:shd w:val="clear" w:color="000000" w:fill="ACB9CA"/>
            <w:noWrap/>
            <w:vAlign w:val="bottom"/>
            <w:hideMark/>
          </w:tcPr>
          <w:p w14:paraId="45269551" w14:textId="77777777" w:rsidR="00393F72" w:rsidRPr="00B710A9" w:rsidRDefault="00393F72" w:rsidP="00A224C8">
            <w:pPr>
              <w:jc w:val="center"/>
              <w:rPr>
                <w:rFonts w:cs="Arial"/>
                <w:b/>
                <w:bCs/>
                <w:color w:val="000000"/>
                <w:sz w:val="17"/>
                <w:szCs w:val="17"/>
              </w:rPr>
            </w:pPr>
            <w:r w:rsidRPr="00B710A9">
              <w:rPr>
                <w:rFonts w:cs="Arial"/>
                <w:b/>
                <w:bCs/>
                <w:color w:val="000000"/>
                <w:sz w:val="17"/>
                <w:szCs w:val="17"/>
              </w:rPr>
              <w:t>40,11%</w:t>
            </w:r>
          </w:p>
        </w:tc>
        <w:tc>
          <w:tcPr>
            <w:tcW w:w="992" w:type="dxa"/>
            <w:shd w:val="clear" w:color="000000" w:fill="ACB9CA"/>
            <w:noWrap/>
            <w:vAlign w:val="bottom"/>
            <w:hideMark/>
          </w:tcPr>
          <w:p w14:paraId="743B29F3"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$ 113.849</w:t>
            </w:r>
          </w:p>
        </w:tc>
        <w:tc>
          <w:tcPr>
            <w:tcW w:w="849" w:type="dxa"/>
            <w:shd w:val="clear" w:color="000000" w:fill="ACB9CA"/>
            <w:noWrap/>
            <w:vAlign w:val="bottom"/>
            <w:hideMark/>
          </w:tcPr>
          <w:p w14:paraId="1CC55434" w14:textId="77777777" w:rsidR="00393F72" w:rsidRPr="00B710A9" w:rsidRDefault="00393F72" w:rsidP="00A224C8">
            <w:pPr>
              <w:jc w:val="center"/>
              <w:rPr>
                <w:rFonts w:cs="Arial"/>
                <w:b/>
                <w:bCs/>
                <w:color w:val="000000"/>
                <w:sz w:val="17"/>
                <w:szCs w:val="17"/>
              </w:rPr>
            </w:pPr>
            <w:r w:rsidRPr="00B710A9">
              <w:rPr>
                <w:rFonts w:cs="Arial"/>
                <w:b/>
                <w:bCs/>
                <w:color w:val="000000"/>
                <w:sz w:val="17"/>
                <w:szCs w:val="17"/>
              </w:rPr>
              <w:t>38,43%</w:t>
            </w:r>
          </w:p>
        </w:tc>
        <w:tc>
          <w:tcPr>
            <w:tcW w:w="0" w:type="auto"/>
            <w:shd w:val="clear" w:color="000000" w:fill="ACB9CA"/>
            <w:noWrap/>
            <w:vAlign w:val="bottom"/>
            <w:hideMark/>
          </w:tcPr>
          <w:p w14:paraId="593C0B5B" w14:textId="77777777" w:rsidR="00393F72" w:rsidRPr="00B710A9" w:rsidRDefault="00393F72" w:rsidP="00A224C8">
            <w:pPr>
              <w:jc w:val="right"/>
              <w:rPr>
                <w:rFonts w:cs="Arial"/>
                <w:b/>
                <w:bCs/>
                <w:color w:val="000000"/>
                <w:sz w:val="17"/>
                <w:szCs w:val="17"/>
              </w:rPr>
            </w:pPr>
            <w:r w:rsidRPr="00B710A9">
              <w:rPr>
                <w:rFonts w:cs="Arial"/>
                <w:b/>
                <w:bCs/>
                <w:color w:val="000000"/>
                <w:sz w:val="17"/>
                <w:szCs w:val="17"/>
              </w:rPr>
              <w:t>$ 112.371</w:t>
            </w:r>
          </w:p>
        </w:tc>
        <w:tc>
          <w:tcPr>
            <w:tcW w:w="0" w:type="auto"/>
            <w:shd w:val="clear" w:color="000000" w:fill="ACB9CA"/>
            <w:noWrap/>
            <w:vAlign w:val="bottom"/>
            <w:hideMark/>
          </w:tcPr>
          <w:p w14:paraId="6F8C924C" w14:textId="77777777" w:rsidR="00393F72" w:rsidRPr="00B710A9" w:rsidRDefault="00393F72" w:rsidP="00A224C8">
            <w:pPr>
              <w:jc w:val="center"/>
              <w:rPr>
                <w:rFonts w:cs="Arial"/>
                <w:b/>
                <w:bCs/>
                <w:color w:val="000000"/>
                <w:sz w:val="17"/>
                <w:szCs w:val="17"/>
              </w:rPr>
            </w:pPr>
            <w:r w:rsidRPr="00B710A9">
              <w:rPr>
                <w:rFonts w:cs="Arial"/>
                <w:b/>
                <w:bCs/>
                <w:color w:val="000000"/>
                <w:sz w:val="17"/>
                <w:szCs w:val="17"/>
              </w:rPr>
              <w:t>37,90%</w:t>
            </w:r>
          </w:p>
        </w:tc>
      </w:tr>
    </w:tbl>
    <w:p w14:paraId="32C31F77" w14:textId="167BF255" w:rsidR="00393F72" w:rsidRPr="00B710A9" w:rsidRDefault="00356A3E" w:rsidP="00356A3E">
      <w:pPr>
        <w:jc w:val="center"/>
      </w:pPr>
      <w:r w:rsidRPr="00B710A9">
        <w:rPr>
          <w:rFonts w:cs="Arial"/>
          <w:b/>
          <w:sz w:val="16"/>
        </w:rPr>
        <w:t>Fuente: Oficina Asesora de Planeación</w:t>
      </w:r>
    </w:p>
    <w:p w14:paraId="08FE3F7D" w14:textId="77777777" w:rsidR="00393F72" w:rsidRPr="00B710A9" w:rsidRDefault="00393F72" w:rsidP="00393F72"/>
    <w:p w14:paraId="76AB43A6" w14:textId="77777777" w:rsidR="00E2174E" w:rsidRPr="00B710A9" w:rsidRDefault="00E2174E" w:rsidP="00E2174E">
      <w:pPr>
        <w:jc w:val="both"/>
        <w:textAlignment w:val="baseline"/>
        <w:rPr>
          <w:rFonts w:ascii="Arial" w:hAnsi="Arial" w:cs="Arial"/>
          <w:sz w:val="22"/>
        </w:rPr>
      </w:pPr>
      <w:r w:rsidRPr="00B710A9">
        <w:rPr>
          <w:rFonts w:ascii="Arial" w:hAnsi="Arial" w:cs="Arial"/>
          <w:sz w:val="22"/>
        </w:rPr>
        <w:t>En cuanto a recursos de inversión para la vigencia 2021 se cuenta con 9 proyectos de inversión, con una ejecución a 31 de diciembre de 2021 de acuerdo con lo descrito a continuación:  </w:t>
      </w:r>
    </w:p>
    <w:p w14:paraId="234F2155" w14:textId="77777777" w:rsidR="00E2174E" w:rsidRPr="00B710A9" w:rsidRDefault="00E2174E" w:rsidP="00E2174E">
      <w:pPr>
        <w:jc w:val="both"/>
        <w:textAlignment w:val="baseline"/>
        <w:rPr>
          <w:rFonts w:ascii="Arial" w:hAnsi="Arial" w:cs="Arial"/>
          <w:b/>
          <w:bCs/>
          <w:color w:val="000000" w:themeColor="text1"/>
          <w:sz w:val="20"/>
          <w:szCs w:val="22"/>
        </w:rPr>
      </w:pPr>
    </w:p>
    <w:p w14:paraId="0F1DA074" w14:textId="6DE23415" w:rsidR="00B379B6" w:rsidRPr="00B710A9" w:rsidRDefault="00B379B6" w:rsidP="00B379B6">
      <w:pPr>
        <w:pStyle w:val="Descripcin"/>
        <w:keepNext/>
        <w:jc w:val="center"/>
        <w:rPr>
          <w:rFonts w:ascii="Arial" w:hAnsi="Arial" w:cs="Arial"/>
          <w:b/>
          <w:bCs/>
          <w:i w:val="0"/>
          <w:iCs w:val="0"/>
          <w:color w:val="000000" w:themeColor="text1"/>
          <w:sz w:val="16"/>
          <w:szCs w:val="16"/>
        </w:rPr>
      </w:pPr>
      <w:bookmarkStart w:id="66" w:name="_Toc109057752"/>
      <w:bookmarkStart w:id="67" w:name="_Toc93939893"/>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22</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Ejecución presupuestal por proyectos de inversión</w:t>
      </w:r>
      <w:bookmarkEnd w:id="66"/>
    </w:p>
    <w:bookmarkEnd w:id="67"/>
    <w:p w14:paraId="7D988C2D" w14:textId="77777777" w:rsidR="00E2174E" w:rsidRPr="00B710A9" w:rsidRDefault="00E2174E" w:rsidP="00E2174E">
      <w:pPr>
        <w:jc w:val="center"/>
        <w:textAlignment w:val="baseline"/>
        <w:rPr>
          <w:rFonts w:cs="Arial"/>
          <w:b/>
          <w:bCs/>
          <w:sz w:val="20"/>
          <w:szCs w:val="22"/>
        </w:rPr>
      </w:pPr>
    </w:p>
    <w:p w14:paraId="60468F02" w14:textId="77777777" w:rsidR="00E2174E" w:rsidRPr="00B710A9" w:rsidRDefault="00E2174E" w:rsidP="00E2174E">
      <w:pPr>
        <w:ind w:left="10770" w:right="-563" w:firstLine="558"/>
        <w:textAlignment w:val="baseline"/>
        <w:rPr>
          <w:rFonts w:cs="Arial"/>
          <w:sz w:val="16"/>
          <w:szCs w:val="16"/>
        </w:rPr>
      </w:pPr>
      <w:r w:rsidRPr="00B710A9">
        <w:rPr>
          <w:rFonts w:cs="Arial"/>
          <w:sz w:val="16"/>
          <w:szCs w:val="16"/>
        </w:rPr>
        <w:t>Cifras en millones de pesos</w:t>
      </w:r>
    </w:p>
    <w:tbl>
      <w:tblPr>
        <w:tblW w:w="14368" w:type="dxa"/>
        <w:jc w:val="center"/>
        <w:tblCellMar>
          <w:left w:w="70" w:type="dxa"/>
          <w:right w:w="70" w:type="dxa"/>
        </w:tblCellMar>
        <w:tblLook w:val="04A0" w:firstRow="1" w:lastRow="0" w:firstColumn="1" w:lastColumn="0" w:noHBand="0" w:noVBand="1"/>
      </w:tblPr>
      <w:tblGrid>
        <w:gridCol w:w="2505"/>
        <w:gridCol w:w="1227"/>
        <w:gridCol w:w="774"/>
        <w:gridCol w:w="1186"/>
        <w:gridCol w:w="918"/>
        <w:gridCol w:w="725"/>
        <w:gridCol w:w="1241"/>
        <w:gridCol w:w="725"/>
        <w:gridCol w:w="1172"/>
        <w:gridCol w:w="725"/>
        <w:gridCol w:w="820"/>
        <w:gridCol w:w="725"/>
        <w:gridCol w:w="900"/>
        <w:gridCol w:w="725"/>
      </w:tblGrid>
      <w:tr w:rsidR="00E2174E" w:rsidRPr="00B710A9" w14:paraId="188BCAE2" w14:textId="77777777" w:rsidTr="00E35A84">
        <w:trPr>
          <w:trHeight w:val="559"/>
          <w:tblHeader/>
          <w:jc w:val="center"/>
        </w:trPr>
        <w:tc>
          <w:tcPr>
            <w:tcW w:w="3732" w:type="dxa"/>
            <w:gridSpan w:val="2"/>
            <w:tcBorders>
              <w:top w:val="single" w:sz="4" w:space="0" w:color="000000"/>
              <w:left w:val="single" w:sz="4" w:space="0" w:color="000000"/>
              <w:bottom w:val="single" w:sz="4" w:space="0" w:color="auto"/>
              <w:right w:val="single" w:sz="4" w:space="0" w:color="000000"/>
            </w:tcBorders>
            <w:shd w:val="clear" w:color="000000" w:fill="0070C0"/>
            <w:vAlign w:val="center"/>
            <w:hideMark/>
          </w:tcPr>
          <w:p w14:paraId="0DE938E4" w14:textId="77777777" w:rsidR="00E2174E" w:rsidRPr="00B710A9" w:rsidRDefault="00E2174E" w:rsidP="00A224C8">
            <w:pPr>
              <w:jc w:val="center"/>
              <w:rPr>
                <w:rFonts w:cs="Arial"/>
                <w:b/>
                <w:bCs/>
                <w:color w:val="FFFFFF"/>
                <w:sz w:val="17"/>
                <w:szCs w:val="17"/>
              </w:rPr>
            </w:pPr>
            <w:r w:rsidRPr="00B710A9">
              <w:rPr>
                <w:rFonts w:cs="Arial"/>
                <w:b/>
                <w:bCs/>
                <w:color w:val="FFFFFF"/>
                <w:sz w:val="17"/>
                <w:szCs w:val="17"/>
              </w:rPr>
              <w:t>Proyectos de Inversión</w:t>
            </w:r>
          </w:p>
        </w:tc>
        <w:tc>
          <w:tcPr>
            <w:tcW w:w="0" w:type="auto"/>
            <w:tcBorders>
              <w:top w:val="single" w:sz="4" w:space="0" w:color="auto"/>
              <w:left w:val="nil"/>
              <w:bottom w:val="single" w:sz="4" w:space="0" w:color="auto"/>
              <w:right w:val="single" w:sz="4" w:space="0" w:color="auto"/>
            </w:tcBorders>
            <w:shd w:val="clear" w:color="000000" w:fill="0070C0"/>
            <w:vAlign w:val="center"/>
            <w:hideMark/>
          </w:tcPr>
          <w:p w14:paraId="47382B4A" w14:textId="77777777" w:rsidR="00E2174E" w:rsidRPr="00B710A9" w:rsidRDefault="00E2174E" w:rsidP="00A224C8">
            <w:pPr>
              <w:jc w:val="center"/>
              <w:rPr>
                <w:rFonts w:cs="Arial"/>
                <w:b/>
                <w:bCs/>
                <w:color w:val="FFFFFF"/>
                <w:sz w:val="17"/>
                <w:szCs w:val="17"/>
              </w:rPr>
            </w:pPr>
            <w:r w:rsidRPr="00B710A9">
              <w:rPr>
                <w:rFonts w:cs="Arial"/>
                <w:b/>
                <w:bCs/>
                <w:color w:val="FFFFFF"/>
                <w:sz w:val="17"/>
                <w:szCs w:val="17"/>
              </w:rPr>
              <w:t>Recurso</w:t>
            </w:r>
          </w:p>
        </w:tc>
        <w:tc>
          <w:tcPr>
            <w:tcW w:w="0" w:type="auto"/>
            <w:tcBorders>
              <w:top w:val="single" w:sz="4" w:space="0" w:color="auto"/>
              <w:left w:val="nil"/>
              <w:bottom w:val="single" w:sz="4" w:space="0" w:color="auto"/>
              <w:right w:val="single" w:sz="4" w:space="0" w:color="auto"/>
            </w:tcBorders>
            <w:shd w:val="clear" w:color="000000" w:fill="0070C0"/>
            <w:vAlign w:val="center"/>
            <w:hideMark/>
          </w:tcPr>
          <w:p w14:paraId="50E19305" w14:textId="77777777" w:rsidR="00E2174E" w:rsidRPr="00B710A9" w:rsidRDefault="00E2174E" w:rsidP="00A224C8">
            <w:pPr>
              <w:jc w:val="center"/>
              <w:rPr>
                <w:rFonts w:cs="Arial"/>
                <w:b/>
                <w:bCs/>
                <w:color w:val="FFFFFF"/>
                <w:sz w:val="17"/>
                <w:szCs w:val="17"/>
              </w:rPr>
            </w:pPr>
            <w:r w:rsidRPr="00B710A9">
              <w:rPr>
                <w:rFonts w:cs="Arial"/>
                <w:b/>
                <w:bCs/>
                <w:color w:val="FFFFFF"/>
                <w:sz w:val="17"/>
                <w:szCs w:val="17"/>
              </w:rPr>
              <w:t>Apropiación vigente</w:t>
            </w:r>
          </w:p>
        </w:tc>
        <w:tc>
          <w:tcPr>
            <w:tcW w:w="0" w:type="auto"/>
            <w:tcBorders>
              <w:top w:val="single" w:sz="4" w:space="0" w:color="auto"/>
              <w:left w:val="nil"/>
              <w:bottom w:val="single" w:sz="4" w:space="0" w:color="auto"/>
              <w:right w:val="single" w:sz="4" w:space="0" w:color="auto"/>
            </w:tcBorders>
            <w:shd w:val="clear" w:color="000000" w:fill="0070C0"/>
            <w:vAlign w:val="center"/>
            <w:hideMark/>
          </w:tcPr>
          <w:p w14:paraId="78D1F82F" w14:textId="77777777" w:rsidR="00E2174E" w:rsidRPr="00B710A9" w:rsidRDefault="00E2174E" w:rsidP="00A224C8">
            <w:pPr>
              <w:jc w:val="center"/>
              <w:rPr>
                <w:rFonts w:cs="Arial"/>
                <w:b/>
                <w:bCs/>
                <w:color w:val="FFFFFF"/>
                <w:sz w:val="17"/>
                <w:szCs w:val="17"/>
              </w:rPr>
            </w:pPr>
            <w:r w:rsidRPr="00B710A9">
              <w:rPr>
                <w:rFonts w:cs="Arial"/>
                <w:b/>
                <w:bCs/>
                <w:color w:val="FFFFFF"/>
                <w:sz w:val="17"/>
                <w:szCs w:val="17"/>
              </w:rPr>
              <w:t>CDP</w:t>
            </w:r>
          </w:p>
        </w:tc>
        <w:tc>
          <w:tcPr>
            <w:tcW w:w="0" w:type="auto"/>
            <w:tcBorders>
              <w:top w:val="single" w:sz="4" w:space="0" w:color="auto"/>
              <w:left w:val="nil"/>
              <w:bottom w:val="single" w:sz="4" w:space="0" w:color="auto"/>
              <w:right w:val="single" w:sz="4" w:space="0" w:color="auto"/>
            </w:tcBorders>
            <w:shd w:val="clear" w:color="000000" w:fill="0070C0"/>
            <w:vAlign w:val="center"/>
            <w:hideMark/>
          </w:tcPr>
          <w:p w14:paraId="2A2B2D52" w14:textId="77777777" w:rsidR="00E2174E" w:rsidRPr="00B710A9" w:rsidRDefault="00E2174E" w:rsidP="00A224C8">
            <w:pPr>
              <w:jc w:val="center"/>
              <w:rPr>
                <w:rFonts w:cs="Arial"/>
                <w:b/>
                <w:bCs/>
                <w:color w:val="FFFFFF"/>
                <w:sz w:val="17"/>
                <w:szCs w:val="17"/>
              </w:rPr>
            </w:pPr>
            <w:r w:rsidRPr="00B710A9">
              <w:rPr>
                <w:rFonts w:cs="Arial"/>
                <w:b/>
                <w:bCs/>
                <w:color w:val="FFFFFF"/>
                <w:sz w:val="17"/>
                <w:szCs w:val="17"/>
              </w:rPr>
              <w:t>%</w:t>
            </w:r>
          </w:p>
        </w:tc>
        <w:tc>
          <w:tcPr>
            <w:tcW w:w="0" w:type="auto"/>
            <w:tcBorders>
              <w:top w:val="single" w:sz="4" w:space="0" w:color="auto"/>
              <w:left w:val="nil"/>
              <w:bottom w:val="single" w:sz="4" w:space="0" w:color="auto"/>
              <w:right w:val="single" w:sz="4" w:space="0" w:color="auto"/>
            </w:tcBorders>
            <w:shd w:val="clear" w:color="000000" w:fill="0070C0"/>
            <w:vAlign w:val="center"/>
            <w:hideMark/>
          </w:tcPr>
          <w:p w14:paraId="55765B36" w14:textId="77777777" w:rsidR="00E2174E" w:rsidRPr="00B710A9" w:rsidRDefault="00E2174E" w:rsidP="00A224C8">
            <w:pPr>
              <w:jc w:val="center"/>
              <w:rPr>
                <w:rFonts w:cs="Arial"/>
                <w:b/>
                <w:bCs/>
                <w:color w:val="FFFFFF"/>
                <w:sz w:val="17"/>
                <w:szCs w:val="17"/>
              </w:rPr>
            </w:pPr>
            <w:r w:rsidRPr="00B710A9">
              <w:rPr>
                <w:rFonts w:cs="Arial"/>
                <w:b/>
                <w:bCs/>
                <w:color w:val="FFFFFF"/>
                <w:sz w:val="17"/>
                <w:szCs w:val="17"/>
              </w:rPr>
              <w:t>Compromisos</w:t>
            </w:r>
          </w:p>
        </w:tc>
        <w:tc>
          <w:tcPr>
            <w:tcW w:w="0" w:type="auto"/>
            <w:tcBorders>
              <w:top w:val="single" w:sz="4" w:space="0" w:color="auto"/>
              <w:left w:val="nil"/>
              <w:bottom w:val="single" w:sz="4" w:space="0" w:color="auto"/>
              <w:right w:val="single" w:sz="4" w:space="0" w:color="auto"/>
            </w:tcBorders>
            <w:shd w:val="clear" w:color="000000" w:fill="0070C0"/>
            <w:vAlign w:val="center"/>
            <w:hideMark/>
          </w:tcPr>
          <w:p w14:paraId="3895F7D7" w14:textId="77777777" w:rsidR="00E2174E" w:rsidRPr="00B710A9" w:rsidRDefault="00E2174E" w:rsidP="00A224C8">
            <w:pPr>
              <w:jc w:val="center"/>
              <w:rPr>
                <w:rFonts w:cs="Arial"/>
                <w:b/>
                <w:bCs/>
                <w:color w:val="FFFFFF"/>
                <w:sz w:val="17"/>
                <w:szCs w:val="17"/>
              </w:rPr>
            </w:pPr>
            <w:r w:rsidRPr="00B710A9">
              <w:rPr>
                <w:rFonts w:cs="Arial"/>
                <w:b/>
                <w:bCs/>
                <w:color w:val="FFFFFF"/>
                <w:sz w:val="17"/>
                <w:szCs w:val="17"/>
              </w:rPr>
              <w:t>%</w:t>
            </w:r>
          </w:p>
        </w:tc>
        <w:tc>
          <w:tcPr>
            <w:tcW w:w="0" w:type="auto"/>
            <w:tcBorders>
              <w:top w:val="single" w:sz="4" w:space="0" w:color="auto"/>
              <w:left w:val="nil"/>
              <w:bottom w:val="single" w:sz="4" w:space="0" w:color="auto"/>
              <w:right w:val="single" w:sz="4" w:space="0" w:color="auto"/>
            </w:tcBorders>
            <w:shd w:val="clear" w:color="000000" w:fill="0070C0"/>
            <w:vAlign w:val="center"/>
            <w:hideMark/>
          </w:tcPr>
          <w:p w14:paraId="6C51C90C" w14:textId="77777777" w:rsidR="00E2174E" w:rsidRPr="00B710A9" w:rsidRDefault="00E2174E" w:rsidP="00A224C8">
            <w:pPr>
              <w:jc w:val="center"/>
              <w:rPr>
                <w:rFonts w:cs="Arial"/>
                <w:b/>
                <w:bCs/>
                <w:color w:val="FFFFFF"/>
                <w:sz w:val="17"/>
                <w:szCs w:val="17"/>
              </w:rPr>
            </w:pPr>
            <w:r w:rsidRPr="00B710A9">
              <w:rPr>
                <w:rFonts w:cs="Arial"/>
                <w:b/>
                <w:bCs/>
                <w:color w:val="FFFFFF"/>
                <w:sz w:val="17"/>
                <w:szCs w:val="17"/>
              </w:rPr>
              <w:t>Obligaciones</w:t>
            </w:r>
          </w:p>
        </w:tc>
        <w:tc>
          <w:tcPr>
            <w:tcW w:w="0" w:type="auto"/>
            <w:tcBorders>
              <w:top w:val="single" w:sz="4" w:space="0" w:color="auto"/>
              <w:left w:val="nil"/>
              <w:bottom w:val="single" w:sz="4" w:space="0" w:color="auto"/>
              <w:right w:val="single" w:sz="4" w:space="0" w:color="auto"/>
            </w:tcBorders>
            <w:shd w:val="clear" w:color="000000" w:fill="0070C0"/>
            <w:vAlign w:val="center"/>
            <w:hideMark/>
          </w:tcPr>
          <w:p w14:paraId="189AB850" w14:textId="77777777" w:rsidR="00E2174E" w:rsidRPr="00B710A9" w:rsidRDefault="00E2174E" w:rsidP="00A224C8">
            <w:pPr>
              <w:jc w:val="center"/>
              <w:rPr>
                <w:rFonts w:cs="Arial"/>
                <w:b/>
                <w:bCs/>
                <w:color w:val="FFFFFF"/>
                <w:sz w:val="17"/>
                <w:szCs w:val="17"/>
              </w:rPr>
            </w:pPr>
            <w:r w:rsidRPr="00B710A9">
              <w:rPr>
                <w:rFonts w:cs="Arial"/>
                <w:b/>
                <w:bCs/>
                <w:color w:val="FFFFFF"/>
                <w:sz w:val="17"/>
                <w:szCs w:val="17"/>
              </w:rPr>
              <w:t>%</w:t>
            </w:r>
          </w:p>
        </w:tc>
        <w:tc>
          <w:tcPr>
            <w:tcW w:w="0" w:type="auto"/>
            <w:tcBorders>
              <w:top w:val="single" w:sz="4" w:space="0" w:color="auto"/>
              <w:left w:val="nil"/>
              <w:bottom w:val="single" w:sz="4" w:space="0" w:color="auto"/>
              <w:right w:val="single" w:sz="4" w:space="0" w:color="auto"/>
            </w:tcBorders>
            <w:shd w:val="clear" w:color="000000" w:fill="0070C0"/>
            <w:vAlign w:val="center"/>
            <w:hideMark/>
          </w:tcPr>
          <w:p w14:paraId="029D9EB9" w14:textId="77777777" w:rsidR="00E2174E" w:rsidRPr="00B710A9" w:rsidRDefault="00E2174E" w:rsidP="00A224C8">
            <w:pPr>
              <w:jc w:val="center"/>
              <w:rPr>
                <w:rFonts w:cs="Arial"/>
                <w:b/>
                <w:bCs/>
                <w:color w:val="FFFFFF"/>
                <w:sz w:val="17"/>
                <w:szCs w:val="17"/>
              </w:rPr>
            </w:pPr>
            <w:r w:rsidRPr="00B710A9">
              <w:rPr>
                <w:rFonts w:cs="Arial"/>
                <w:b/>
                <w:bCs/>
                <w:color w:val="FFFFFF"/>
                <w:sz w:val="17"/>
                <w:szCs w:val="17"/>
              </w:rPr>
              <w:t>Pagos</w:t>
            </w:r>
          </w:p>
        </w:tc>
        <w:tc>
          <w:tcPr>
            <w:tcW w:w="0" w:type="auto"/>
            <w:tcBorders>
              <w:top w:val="single" w:sz="4" w:space="0" w:color="auto"/>
              <w:left w:val="nil"/>
              <w:bottom w:val="single" w:sz="4" w:space="0" w:color="auto"/>
              <w:right w:val="single" w:sz="4" w:space="0" w:color="auto"/>
            </w:tcBorders>
            <w:shd w:val="clear" w:color="000000" w:fill="0070C0"/>
            <w:vAlign w:val="center"/>
            <w:hideMark/>
          </w:tcPr>
          <w:p w14:paraId="73DEC185" w14:textId="77777777" w:rsidR="00E2174E" w:rsidRPr="00B710A9" w:rsidRDefault="00E2174E" w:rsidP="00A224C8">
            <w:pPr>
              <w:jc w:val="center"/>
              <w:rPr>
                <w:rFonts w:cs="Arial"/>
                <w:b/>
                <w:bCs/>
                <w:color w:val="FFFFFF"/>
                <w:sz w:val="17"/>
                <w:szCs w:val="17"/>
              </w:rPr>
            </w:pPr>
            <w:r w:rsidRPr="00B710A9">
              <w:rPr>
                <w:rFonts w:cs="Arial"/>
                <w:b/>
                <w:bCs/>
                <w:color w:val="FFFFFF"/>
                <w:sz w:val="17"/>
                <w:szCs w:val="17"/>
              </w:rPr>
              <w:t>%</w:t>
            </w:r>
          </w:p>
        </w:tc>
        <w:tc>
          <w:tcPr>
            <w:tcW w:w="0" w:type="auto"/>
            <w:tcBorders>
              <w:top w:val="single" w:sz="4" w:space="0" w:color="auto"/>
              <w:left w:val="nil"/>
              <w:bottom w:val="single" w:sz="4" w:space="0" w:color="auto"/>
              <w:right w:val="single" w:sz="4" w:space="0" w:color="auto"/>
            </w:tcBorders>
            <w:shd w:val="clear" w:color="000000" w:fill="0070C0"/>
            <w:vAlign w:val="center"/>
            <w:hideMark/>
          </w:tcPr>
          <w:p w14:paraId="43B312DD" w14:textId="77777777" w:rsidR="00E2174E" w:rsidRPr="00B710A9" w:rsidRDefault="00E2174E" w:rsidP="00A224C8">
            <w:pPr>
              <w:jc w:val="center"/>
              <w:rPr>
                <w:rFonts w:cs="Arial"/>
                <w:b/>
                <w:bCs/>
                <w:color w:val="FFFFFF"/>
                <w:sz w:val="17"/>
                <w:szCs w:val="17"/>
              </w:rPr>
            </w:pPr>
            <w:r w:rsidRPr="00B710A9">
              <w:rPr>
                <w:rFonts w:cs="Arial"/>
                <w:b/>
                <w:bCs/>
                <w:color w:val="FFFFFF"/>
                <w:sz w:val="17"/>
                <w:szCs w:val="17"/>
              </w:rPr>
              <w:t>Saldo por ejecutar</w:t>
            </w:r>
          </w:p>
        </w:tc>
        <w:tc>
          <w:tcPr>
            <w:tcW w:w="0" w:type="auto"/>
            <w:tcBorders>
              <w:top w:val="single" w:sz="4" w:space="0" w:color="auto"/>
              <w:left w:val="nil"/>
              <w:bottom w:val="single" w:sz="4" w:space="0" w:color="auto"/>
              <w:right w:val="single" w:sz="4" w:space="0" w:color="auto"/>
            </w:tcBorders>
            <w:shd w:val="clear" w:color="000000" w:fill="0070C0"/>
            <w:vAlign w:val="center"/>
            <w:hideMark/>
          </w:tcPr>
          <w:p w14:paraId="47E78951" w14:textId="77777777" w:rsidR="00E2174E" w:rsidRPr="00B710A9" w:rsidRDefault="00E2174E" w:rsidP="00A224C8">
            <w:pPr>
              <w:jc w:val="center"/>
              <w:rPr>
                <w:rFonts w:cs="Arial"/>
                <w:b/>
                <w:bCs/>
                <w:color w:val="FFFFFF"/>
                <w:sz w:val="17"/>
                <w:szCs w:val="17"/>
              </w:rPr>
            </w:pPr>
            <w:r w:rsidRPr="00B710A9">
              <w:rPr>
                <w:rFonts w:cs="Arial"/>
                <w:b/>
                <w:bCs/>
                <w:color w:val="FFFFFF"/>
                <w:sz w:val="17"/>
                <w:szCs w:val="17"/>
              </w:rPr>
              <w:t>%</w:t>
            </w:r>
          </w:p>
        </w:tc>
      </w:tr>
      <w:tr w:rsidR="00E2174E" w:rsidRPr="00B710A9" w14:paraId="1C96F398" w14:textId="77777777" w:rsidTr="00E35A84">
        <w:trPr>
          <w:cantSplit/>
          <w:trHeight w:val="19"/>
          <w:jc w:val="center"/>
        </w:trPr>
        <w:tc>
          <w:tcPr>
            <w:tcW w:w="373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5F30D81" w14:textId="34025592" w:rsidR="00E2174E" w:rsidRPr="00B710A9" w:rsidRDefault="00E2174E" w:rsidP="00A224C8">
            <w:pPr>
              <w:jc w:val="center"/>
              <w:rPr>
                <w:rFonts w:cs="Arial"/>
                <w:color w:val="000000"/>
                <w:sz w:val="17"/>
                <w:szCs w:val="17"/>
              </w:rPr>
            </w:pPr>
            <w:r w:rsidRPr="00B710A9">
              <w:rPr>
                <w:rFonts w:cs="Arial"/>
                <w:color w:val="000000"/>
                <w:sz w:val="17"/>
                <w:szCs w:val="17"/>
              </w:rPr>
              <w:t>Actualización y gestión catastral nacional</w:t>
            </w:r>
          </w:p>
        </w:tc>
        <w:tc>
          <w:tcPr>
            <w:tcW w:w="0" w:type="auto"/>
            <w:tcBorders>
              <w:top w:val="nil"/>
              <w:left w:val="nil"/>
              <w:bottom w:val="single" w:sz="4" w:space="0" w:color="auto"/>
              <w:right w:val="single" w:sz="4" w:space="0" w:color="auto"/>
            </w:tcBorders>
            <w:shd w:val="clear" w:color="auto" w:fill="auto"/>
            <w:noWrap/>
            <w:vAlign w:val="center"/>
            <w:hideMark/>
          </w:tcPr>
          <w:p w14:paraId="1859D9B2" w14:textId="77777777" w:rsidR="00E2174E" w:rsidRPr="00B710A9" w:rsidRDefault="00E2174E" w:rsidP="00A224C8">
            <w:pPr>
              <w:rPr>
                <w:rFonts w:cs="Arial"/>
                <w:color w:val="000000"/>
                <w:sz w:val="17"/>
                <w:szCs w:val="17"/>
              </w:rPr>
            </w:pPr>
            <w:r w:rsidRPr="00B710A9">
              <w:rPr>
                <w:rFonts w:cs="Arial"/>
                <w:color w:val="000000"/>
                <w:sz w:val="17"/>
                <w:szCs w:val="17"/>
              </w:rPr>
              <w:t>Nación</w:t>
            </w:r>
          </w:p>
        </w:tc>
        <w:tc>
          <w:tcPr>
            <w:tcW w:w="0" w:type="auto"/>
            <w:tcBorders>
              <w:top w:val="nil"/>
              <w:left w:val="nil"/>
              <w:bottom w:val="single" w:sz="4" w:space="0" w:color="auto"/>
              <w:right w:val="single" w:sz="4" w:space="0" w:color="auto"/>
            </w:tcBorders>
            <w:shd w:val="clear" w:color="auto" w:fill="auto"/>
            <w:noWrap/>
            <w:vAlign w:val="bottom"/>
            <w:hideMark/>
          </w:tcPr>
          <w:p w14:paraId="4A012E3F" w14:textId="77777777" w:rsidR="00E2174E" w:rsidRPr="00B710A9" w:rsidRDefault="00E2174E" w:rsidP="00A224C8">
            <w:pPr>
              <w:jc w:val="right"/>
              <w:rPr>
                <w:rFonts w:cs="Arial"/>
                <w:color w:val="000000"/>
                <w:sz w:val="17"/>
                <w:szCs w:val="17"/>
              </w:rPr>
            </w:pPr>
            <w:r w:rsidRPr="00B710A9">
              <w:rPr>
                <w:rFonts w:cs="Arial"/>
                <w:color w:val="000000"/>
                <w:sz w:val="17"/>
                <w:szCs w:val="17"/>
              </w:rPr>
              <w:t>$ 10.335</w:t>
            </w:r>
          </w:p>
        </w:tc>
        <w:tc>
          <w:tcPr>
            <w:tcW w:w="0" w:type="auto"/>
            <w:tcBorders>
              <w:top w:val="nil"/>
              <w:left w:val="nil"/>
              <w:bottom w:val="single" w:sz="4" w:space="0" w:color="auto"/>
              <w:right w:val="single" w:sz="4" w:space="0" w:color="auto"/>
            </w:tcBorders>
            <w:shd w:val="clear" w:color="auto" w:fill="auto"/>
            <w:noWrap/>
            <w:vAlign w:val="bottom"/>
            <w:hideMark/>
          </w:tcPr>
          <w:p w14:paraId="2A5803A6" w14:textId="77777777" w:rsidR="00E2174E" w:rsidRPr="00B710A9" w:rsidRDefault="00E2174E" w:rsidP="00A224C8">
            <w:pPr>
              <w:jc w:val="right"/>
              <w:rPr>
                <w:rFonts w:cs="Arial"/>
                <w:color w:val="000000"/>
                <w:sz w:val="17"/>
                <w:szCs w:val="17"/>
              </w:rPr>
            </w:pPr>
            <w:r w:rsidRPr="00B710A9">
              <w:rPr>
                <w:rFonts w:cs="Arial"/>
                <w:color w:val="000000"/>
                <w:sz w:val="17"/>
                <w:szCs w:val="17"/>
              </w:rPr>
              <w:t>$ 10.085</w:t>
            </w:r>
          </w:p>
        </w:tc>
        <w:tc>
          <w:tcPr>
            <w:tcW w:w="0" w:type="auto"/>
            <w:tcBorders>
              <w:top w:val="nil"/>
              <w:left w:val="nil"/>
              <w:bottom w:val="single" w:sz="4" w:space="0" w:color="auto"/>
              <w:right w:val="single" w:sz="4" w:space="0" w:color="auto"/>
            </w:tcBorders>
            <w:shd w:val="clear" w:color="auto" w:fill="auto"/>
            <w:noWrap/>
            <w:vAlign w:val="bottom"/>
            <w:hideMark/>
          </w:tcPr>
          <w:p w14:paraId="0D90CC34" w14:textId="77777777" w:rsidR="00E2174E" w:rsidRPr="00B710A9" w:rsidRDefault="00E2174E" w:rsidP="00A224C8">
            <w:pPr>
              <w:jc w:val="center"/>
              <w:rPr>
                <w:rFonts w:cs="Arial"/>
                <w:color w:val="000000"/>
                <w:sz w:val="17"/>
                <w:szCs w:val="17"/>
              </w:rPr>
            </w:pPr>
            <w:r w:rsidRPr="00B710A9">
              <w:rPr>
                <w:rFonts w:cs="Arial"/>
                <w:color w:val="000000"/>
                <w:sz w:val="17"/>
                <w:szCs w:val="17"/>
              </w:rPr>
              <w:t>97,59%</w:t>
            </w:r>
          </w:p>
        </w:tc>
        <w:tc>
          <w:tcPr>
            <w:tcW w:w="0" w:type="auto"/>
            <w:tcBorders>
              <w:top w:val="nil"/>
              <w:left w:val="nil"/>
              <w:bottom w:val="single" w:sz="4" w:space="0" w:color="auto"/>
              <w:right w:val="single" w:sz="4" w:space="0" w:color="auto"/>
            </w:tcBorders>
            <w:shd w:val="clear" w:color="auto" w:fill="auto"/>
            <w:noWrap/>
            <w:vAlign w:val="bottom"/>
            <w:hideMark/>
          </w:tcPr>
          <w:p w14:paraId="06F692A7" w14:textId="77777777" w:rsidR="00E2174E" w:rsidRPr="00B710A9" w:rsidRDefault="00E2174E" w:rsidP="00A224C8">
            <w:pPr>
              <w:jc w:val="right"/>
              <w:rPr>
                <w:rFonts w:cs="Arial"/>
                <w:color w:val="000000"/>
                <w:sz w:val="17"/>
                <w:szCs w:val="17"/>
              </w:rPr>
            </w:pPr>
            <w:r w:rsidRPr="00B710A9">
              <w:rPr>
                <w:rFonts w:cs="Arial"/>
                <w:color w:val="000000"/>
                <w:sz w:val="17"/>
                <w:szCs w:val="17"/>
              </w:rPr>
              <w:t>$ 9.243</w:t>
            </w:r>
          </w:p>
        </w:tc>
        <w:tc>
          <w:tcPr>
            <w:tcW w:w="0" w:type="auto"/>
            <w:tcBorders>
              <w:top w:val="nil"/>
              <w:left w:val="nil"/>
              <w:bottom w:val="single" w:sz="4" w:space="0" w:color="auto"/>
              <w:right w:val="single" w:sz="4" w:space="0" w:color="auto"/>
            </w:tcBorders>
            <w:shd w:val="clear" w:color="auto" w:fill="auto"/>
            <w:noWrap/>
            <w:vAlign w:val="bottom"/>
            <w:hideMark/>
          </w:tcPr>
          <w:p w14:paraId="3C64C724" w14:textId="77777777" w:rsidR="00E2174E" w:rsidRPr="00B710A9" w:rsidRDefault="00E2174E" w:rsidP="00A224C8">
            <w:pPr>
              <w:jc w:val="center"/>
              <w:rPr>
                <w:rFonts w:cs="Arial"/>
                <w:color w:val="000000"/>
                <w:sz w:val="17"/>
                <w:szCs w:val="17"/>
              </w:rPr>
            </w:pPr>
            <w:r w:rsidRPr="00B710A9">
              <w:rPr>
                <w:rFonts w:cs="Arial"/>
                <w:color w:val="000000"/>
                <w:sz w:val="17"/>
                <w:szCs w:val="17"/>
              </w:rPr>
              <w:t>89,44%</w:t>
            </w:r>
          </w:p>
        </w:tc>
        <w:tc>
          <w:tcPr>
            <w:tcW w:w="0" w:type="auto"/>
            <w:tcBorders>
              <w:top w:val="nil"/>
              <w:left w:val="nil"/>
              <w:bottom w:val="single" w:sz="4" w:space="0" w:color="auto"/>
              <w:right w:val="single" w:sz="4" w:space="0" w:color="auto"/>
            </w:tcBorders>
            <w:shd w:val="clear" w:color="auto" w:fill="auto"/>
            <w:noWrap/>
            <w:vAlign w:val="bottom"/>
            <w:hideMark/>
          </w:tcPr>
          <w:p w14:paraId="01388BF2" w14:textId="77777777" w:rsidR="00E2174E" w:rsidRPr="00B710A9" w:rsidRDefault="00E2174E" w:rsidP="00A224C8">
            <w:pPr>
              <w:jc w:val="right"/>
              <w:rPr>
                <w:rFonts w:cs="Arial"/>
                <w:color w:val="000000"/>
                <w:sz w:val="17"/>
                <w:szCs w:val="17"/>
              </w:rPr>
            </w:pPr>
            <w:r w:rsidRPr="00B710A9">
              <w:rPr>
                <w:rFonts w:cs="Arial"/>
                <w:color w:val="000000"/>
                <w:sz w:val="17"/>
                <w:szCs w:val="17"/>
              </w:rPr>
              <w:t>$ 8.813</w:t>
            </w:r>
          </w:p>
        </w:tc>
        <w:tc>
          <w:tcPr>
            <w:tcW w:w="0" w:type="auto"/>
            <w:tcBorders>
              <w:top w:val="nil"/>
              <w:left w:val="nil"/>
              <w:bottom w:val="single" w:sz="4" w:space="0" w:color="auto"/>
              <w:right w:val="single" w:sz="4" w:space="0" w:color="auto"/>
            </w:tcBorders>
            <w:shd w:val="clear" w:color="auto" w:fill="auto"/>
            <w:noWrap/>
            <w:vAlign w:val="bottom"/>
            <w:hideMark/>
          </w:tcPr>
          <w:p w14:paraId="715D6A8C" w14:textId="77777777" w:rsidR="00E2174E" w:rsidRPr="00B710A9" w:rsidRDefault="00E2174E" w:rsidP="00A224C8">
            <w:pPr>
              <w:jc w:val="center"/>
              <w:rPr>
                <w:rFonts w:cs="Arial"/>
                <w:color w:val="000000"/>
                <w:sz w:val="17"/>
                <w:szCs w:val="17"/>
              </w:rPr>
            </w:pPr>
            <w:r w:rsidRPr="00B710A9">
              <w:rPr>
                <w:rFonts w:cs="Arial"/>
                <w:color w:val="000000"/>
                <w:sz w:val="17"/>
                <w:szCs w:val="17"/>
              </w:rPr>
              <w:t>85,28%</w:t>
            </w:r>
          </w:p>
        </w:tc>
        <w:tc>
          <w:tcPr>
            <w:tcW w:w="0" w:type="auto"/>
            <w:tcBorders>
              <w:top w:val="nil"/>
              <w:left w:val="nil"/>
              <w:bottom w:val="single" w:sz="4" w:space="0" w:color="auto"/>
              <w:right w:val="single" w:sz="4" w:space="0" w:color="auto"/>
            </w:tcBorders>
            <w:shd w:val="clear" w:color="auto" w:fill="auto"/>
            <w:noWrap/>
            <w:vAlign w:val="bottom"/>
            <w:hideMark/>
          </w:tcPr>
          <w:p w14:paraId="27CD8070" w14:textId="77777777" w:rsidR="00E2174E" w:rsidRPr="00B710A9" w:rsidRDefault="00E2174E" w:rsidP="00A224C8">
            <w:pPr>
              <w:jc w:val="right"/>
              <w:rPr>
                <w:rFonts w:cs="Arial"/>
                <w:color w:val="000000"/>
                <w:sz w:val="17"/>
                <w:szCs w:val="17"/>
              </w:rPr>
            </w:pPr>
            <w:r w:rsidRPr="00B710A9">
              <w:rPr>
                <w:rFonts w:cs="Arial"/>
                <w:color w:val="000000"/>
                <w:sz w:val="17"/>
                <w:szCs w:val="17"/>
              </w:rPr>
              <w:t>$ 8.800</w:t>
            </w:r>
          </w:p>
        </w:tc>
        <w:tc>
          <w:tcPr>
            <w:tcW w:w="0" w:type="auto"/>
            <w:tcBorders>
              <w:top w:val="nil"/>
              <w:left w:val="nil"/>
              <w:bottom w:val="single" w:sz="4" w:space="0" w:color="auto"/>
              <w:right w:val="single" w:sz="4" w:space="0" w:color="auto"/>
            </w:tcBorders>
            <w:shd w:val="clear" w:color="auto" w:fill="auto"/>
            <w:noWrap/>
            <w:vAlign w:val="bottom"/>
            <w:hideMark/>
          </w:tcPr>
          <w:p w14:paraId="11C50635" w14:textId="77777777" w:rsidR="00E2174E" w:rsidRPr="00B710A9" w:rsidRDefault="00E2174E" w:rsidP="00A224C8">
            <w:pPr>
              <w:jc w:val="center"/>
              <w:rPr>
                <w:rFonts w:cs="Arial"/>
                <w:color w:val="000000"/>
                <w:sz w:val="17"/>
                <w:szCs w:val="17"/>
              </w:rPr>
            </w:pPr>
            <w:r w:rsidRPr="00B710A9">
              <w:rPr>
                <w:rFonts w:cs="Arial"/>
                <w:color w:val="000000"/>
                <w:sz w:val="17"/>
                <w:szCs w:val="17"/>
              </w:rPr>
              <w:t>85,15%</w:t>
            </w:r>
          </w:p>
        </w:tc>
        <w:tc>
          <w:tcPr>
            <w:tcW w:w="0" w:type="auto"/>
            <w:tcBorders>
              <w:top w:val="nil"/>
              <w:left w:val="nil"/>
              <w:bottom w:val="single" w:sz="4" w:space="0" w:color="auto"/>
              <w:right w:val="single" w:sz="4" w:space="0" w:color="auto"/>
            </w:tcBorders>
            <w:shd w:val="clear" w:color="auto" w:fill="auto"/>
            <w:noWrap/>
            <w:vAlign w:val="bottom"/>
            <w:hideMark/>
          </w:tcPr>
          <w:p w14:paraId="4E8BD799" w14:textId="77777777" w:rsidR="00E2174E" w:rsidRPr="00B710A9" w:rsidRDefault="00E2174E" w:rsidP="00A224C8">
            <w:pPr>
              <w:jc w:val="right"/>
              <w:rPr>
                <w:rFonts w:cs="Arial"/>
                <w:color w:val="000000"/>
                <w:sz w:val="17"/>
                <w:szCs w:val="17"/>
              </w:rPr>
            </w:pPr>
            <w:r w:rsidRPr="00B710A9">
              <w:rPr>
                <w:rFonts w:cs="Arial"/>
                <w:color w:val="000000"/>
                <w:sz w:val="17"/>
                <w:szCs w:val="17"/>
              </w:rPr>
              <w:t>$ 249</w:t>
            </w:r>
          </w:p>
        </w:tc>
        <w:tc>
          <w:tcPr>
            <w:tcW w:w="0" w:type="auto"/>
            <w:tcBorders>
              <w:top w:val="nil"/>
              <w:left w:val="nil"/>
              <w:bottom w:val="single" w:sz="4" w:space="0" w:color="auto"/>
              <w:right w:val="single" w:sz="4" w:space="0" w:color="auto"/>
            </w:tcBorders>
            <w:shd w:val="clear" w:color="auto" w:fill="auto"/>
            <w:noWrap/>
            <w:vAlign w:val="bottom"/>
            <w:hideMark/>
          </w:tcPr>
          <w:p w14:paraId="65DAF933" w14:textId="77777777" w:rsidR="00E2174E" w:rsidRPr="00B710A9" w:rsidRDefault="00E2174E" w:rsidP="00A224C8">
            <w:pPr>
              <w:jc w:val="center"/>
              <w:rPr>
                <w:rFonts w:cs="Arial"/>
                <w:color w:val="000000"/>
                <w:sz w:val="17"/>
                <w:szCs w:val="17"/>
              </w:rPr>
            </w:pPr>
            <w:r w:rsidRPr="00B710A9">
              <w:rPr>
                <w:rFonts w:cs="Arial"/>
                <w:color w:val="000000"/>
                <w:sz w:val="17"/>
                <w:szCs w:val="17"/>
              </w:rPr>
              <w:t>2,41%</w:t>
            </w:r>
          </w:p>
        </w:tc>
      </w:tr>
      <w:tr w:rsidR="00E2174E" w:rsidRPr="00B710A9" w14:paraId="139CBE0A" w14:textId="77777777" w:rsidTr="00E35A84">
        <w:trPr>
          <w:cantSplit/>
          <w:trHeight w:val="19"/>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660BCE6E"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auto" w:fill="auto"/>
            <w:noWrap/>
            <w:vAlign w:val="center"/>
            <w:hideMark/>
          </w:tcPr>
          <w:p w14:paraId="6DFB4559" w14:textId="77777777" w:rsidR="00E2174E" w:rsidRPr="00B710A9" w:rsidRDefault="00E2174E" w:rsidP="00A224C8">
            <w:pPr>
              <w:rPr>
                <w:rFonts w:cs="Arial"/>
                <w:color w:val="000000"/>
                <w:sz w:val="17"/>
                <w:szCs w:val="17"/>
              </w:rPr>
            </w:pPr>
            <w:r w:rsidRPr="00B710A9">
              <w:rPr>
                <w:rFonts w:cs="Arial"/>
                <w:color w:val="000000"/>
                <w:sz w:val="17"/>
                <w:szCs w:val="17"/>
              </w:rPr>
              <w:t>Propios</w:t>
            </w:r>
          </w:p>
        </w:tc>
        <w:tc>
          <w:tcPr>
            <w:tcW w:w="0" w:type="auto"/>
            <w:tcBorders>
              <w:top w:val="nil"/>
              <w:left w:val="nil"/>
              <w:bottom w:val="single" w:sz="4" w:space="0" w:color="auto"/>
              <w:right w:val="single" w:sz="4" w:space="0" w:color="auto"/>
            </w:tcBorders>
            <w:shd w:val="clear" w:color="auto" w:fill="auto"/>
            <w:noWrap/>
            <w:vAlign w:val="bottom"/>
            <w:hideMark/>
          </w:tcPr>
          <w:p w14:paraId="5BA05D0B" w14:textId="77777777" w:rsidR="00E2174E" w:rsidRPr="00B710A9" w:rsidRDefault="00E2174E" w:rsidP="00A224C8">
            <w:pPr>
              <w:jc w:val="right"/>
              <w:rPr>
                <w:rFonts w:cs="Arial"/>
                <w:color w:val="000000"/>
                <w:sz w:val="17"/>
                <w:szCs w:val="17"/>
              </w:rPr>
            </w:pPr>
            <w:r w:rsidRPr="00B710A9">
              <w:rPr>
                <w:rFonts w:cs="Arial"/>
                <w:color w:val="000000"/>
                <w:sz w:val="17"/>
                <w:szCs w:val="17"/>
              </w:rPr>
              <w:t>$ 28.515</w:t>
            </w:r>
          </w:p>
        </w:tc>
        <w:tc>
          <w:tcPr>
            <w:tcW w:w="0" w:type="auto"/>
            <w:tcBorders>
              <w:top w:val="nil"/>
              <w:left w:val="nil"/>
              <w:bottom w:val="single" w:sz="4" w:space="0" w:color="auto"/>
              <w:right w:val="single" w:sz="4" w:space="0" w:color="auto"/>
            </w:tcBorders>
            <w:shd w:val="clear" w:color="auto" w:fill="auto"/>
            <w:noWrap/>
            <w:vAlign w:val="bottom"/>
            <w:hideMark/>
          </w:tcPr>
          <w:p w14:paraId="321E56A0" w14:textId="77777777" w:rsidR="00E2174E" w:rsidRPr="00B710A9" w:rsidRDefault="00E2174E" w:rsidP="00A224C8">
            <w:pPr>
              <w:jc w:val="right"/>
              <w:rPr>
                <w:rFonts w:cs="Arial"/>
                <w:color w:val="000000"/>
                <w:sz w:val="17"/>
                <w:szCs w:val="17"/>
              </w:rPr>
            </w:pPr>
            <w:r w:rsidRPr="00B710A9">
              <w:rPr>
                <w:rFonts w:cs="Arial"/>
                <w:color w:val="000000"/>
                <w:sz w:val="17"/>
                <w:szCs w:val="17"/>
              </w:rPr>
              <w:t>$ 17.678</w:t>
            </w:r>
          </w:p>
        </w:tc>
        <w:tc>
          <w:tcPr>
            <w:tcW w:w="0" w:type="auto"/>
            <w:tcBorders>
              <w:top w:val="nil"/>
              <w:left w:val="nil"/>
              <w:bottom w:val="single" w:sz="4" w:space="0" w:color="auto"/>
              <w:right w:val="single" w:sz="4" w:space="0" w:color="auto"/>
            </w:tcBorders>
            <w:shd w:val="clear" w:color="auto" w:fill="auto"/>
            <w:noWrap/>
            <w:vAlign w:val="bottom"/>
            <w:hideMark/>
          </w:tcPr>
          <w:p w14:paraId="50EDF39E" w14:textId="77777777" w:rsidR="00E2174E" w:rsidRPr="00B710A9" w:rsidRDefault="00E2174E" w:rsidP="00A224C8">
            <w:pPr>
              <w:jc w:val="center"/>
              <w:rPr>
                <w:rFonts w:cs="Arial"/>
                <w:color w:val="000000"/>
                <w:sz w:val="17"/>
                <w:szCs w:val="17"/>
              </w:rPr>
            </w:pPr>
            <w:r w:rsidRPr="00B710A9">
              <w:rPr>
                <w:rFonts w:cs="Arial"/>
                <w:color w:val="000000"/>
                <w:sz w:val="17"/>
                <w:szCs w:val="17"/>
              </w:rPr>
              <w:t>62,00%</w:t>
            </w:r>
          </w:p>
        </w:tc>
        <w:tc>
          <w:tcPr>
            <w:tcW w:w="0" w:type="auto"/>
            <w:tcBorders>
              <w:top w:val="nil"/>
              <w:left w:val="nil"/>
              <w:bottom w:val="single" w:sz="4" w:space="0" w:color="auto"/>
              <w:right w:val="single" w:sz="4" w:space="0" w:color="auto"/>
            </w:tcBorders>
            <w:shd w:val="clear" w:color="auto" w:fill="auto"/>
            <w:noWrap/>
            <w:vAlign w:val="bottom"/>
            <w:hideMark/>
          </w:tcPr>
          <w:p w14:paraId="53A7D6C7" w14:textId="77777777" w:rsidR="00E2174E" w:rsidRPr="00B710A9" w:rsidRDefault="00E2174E" w:rsidP="00A224C8">
            <w:pPr>
              <w:jc w:val="right"/>
              <w:rPr>
                <w:rFonts w:cs="Arial"/>
                <w:color w:val="000000"/>
                <w:sz w:val="17"/>
                <w:szCs w:val="17"/>
              </w:rPr>
            </w:pPr>
            <w:r w:rsidRPr="00B710A9">
              <w:rPr>
                <w:rFonts w:cs="Arial"/>
                <w:color w:val="000000"/>
                <w:sz w:val="17"/>
                <w:szCs w:val="17"/>
              </w:rPr>
              <w:t>$ 15.402</w:t>
            </w:r>
          </w:p>
        </w:tc>
        <w:tc>
          <w:tcPr>
            <w:tcW w:w="0" w:type="auto"/>
            <w:tcBorders>
              <w:top w:val="nil"/>
              <w:left w:val="nil"/>
              <w:bottom w:val="single" w:sz="4" w:space="0" w:color="auto"/>
              <w:right w:val="single" w:sz="4" w:space="0" w:color="auto"/>
            </w:tcBorders>
            <w:shd w:val="clear" w:color="auto" w:fill="auto"/>
            <w:noWrap/>
            <w:vAlign w:val="bottom"/>
            <w:hideMark/>
          </w:tcPr>
          <w:p w14:paraId="68E77D16" w14:textId="77777777" w:rsidR="00E2174E" w:rsidRPr="00B710A9" w:rsidRDefault="00E2174E" w:rsidP="00A224C8">
            <w:pPr>
              <w:jc w:val="center"/>
              <w:rPr>
                <w:rFonts w:cs="Arial"/>
                <w:color w:val="000000"/>
                <w:sz w:val="17"/>
                <w:szCs w:val="17"/>
              </w:rPr>
            </w:pPr>
            <w:r w:rsidRPr="00B710A9">
              <w:rPr>
                <w:rFonts w:cs="Arial"/>
                <w:color w:val="000000"/>
                <w:sz w:val="17"/>
                <w:szCs w:val="17"/>
              </w:rPr>
              <w:t>54,02%</w:t>
            </w:r>
          </w:p>
        </w:tc>
        <w:tc>
          <w:tcPr>
            <w:tcW w:w="0" w:type="auto"/>
            <w:tcBorders>
              <w:top w:val="nil"/>
              <w:left w:val="nil"/>
              <w:bottom w:val="single" w:sz="4" w:space="0" w:color="auto"/>
              <w:right w:val="single" w:sz="4" w:space="0" w:color="auto"/>
            </w:tcBorders>
            <w:shd w:val="clear" w:color="auto" w:fill="auto"/>
            <w:noWrap/>
            <w:vAlign w:val="bottom"/>
            <w:hideMark/>
          </w:tcPr>
          <w:p w14:paraId="13B6AB4F" w14:textId="77777777" w:rsidR="00E2174E" w:rsidRPr="00B710A9" w:rsidRDefault="00E2174E" w:rsidP="00A224C8">
            <w:pPr>
              <w:jc w:val="right"/>
              <w:rPr>
                <w:rFonts w:cs="Arial"/>
                <w:color w:val="000000"/>
                <w:sz w:val="17"/>
                <w:szCs w:val="17"/>
              </w:rPr>
            </w:pPr>
            <w:r w:rsidRPr="00B710A9">
              <w:rPr>
                <w:rFonts w:cs="Arial"/>
                <w:color w:val="000000"/>
                <w:sz w:val="17"/>
                <w:szCs w:val="17"/>
              </w:rPr>
              <w:t>$ 14.261</w:t>
            </w:r>
          </w:p>
        </w:tc>
        <w:tc>
          <w:tcPr>
            <w:tcW w:w="0" w:type="auto"/>
            <w:tcBorders>
              <w:top w:val="nil"/>
              <w:left w:val="nil"/>
              <w:bottom w:val="single" w:sz="4" w:space="0" w:color="auto"/>
              <w:right w:val="single" w:sz="4" w:space="0" w:color="auto"/>
            </w:tcBorders>
            <w:shd w:val="clear" w:color="auto" w:fill="auto"/>
            <w:noWrap/>
            <w:vAlign w:val="bottom"/>
            <w:hideMark/>
          </w:tcPr>
          <w:p w14:paraId="61D6A1E8" w14:textId="77777777" w:rsidR="00E2174E" w:rsidRPr="00B710A9" w:rsidRDefault="00E2174E" w:rsidP="00A224C8">
            <w:pPr>
              <w:jc w:val="center"/>
              <w:rPr>
                <w:rFonts w:cs="Arial"/>
                <w:color w:val="000000"/>
                <w:sz w:val="17"/>
                <w:szCs w:val="17"/>
              </w:rPr>
            </w:pPr>
            <w:r w:rsidRPr="00B710A9">
              <w:rPr>
                <w:rFonts w:cs="Arial"/>
                <w:color w:val="000000"/>
                <w:sz w:val="17"/>
                <w:szCs w:val="17"/>
              </w:rPr>
              <w:t>50,01%</w:t>
            </w:r>
          </w:p>
        </w:tc>
        <w:tc>
          <w:tcPr>
            <w:tcW w:w="0" w:type="auto"/>
            <w:tcBorders>
              <w:top w:val="nil"/>
              <w:left w:val="nil"/>
              <w:bottom w:val="single" w:sz="4" w:space="0" w:color="auto"/>
              <w:right w:val="single" w:sz="4" w:space="0" w:color="auto"/>
            </w:tcBorders>
            <w:shd w:val="clear" w:color="auto" w:fill="auto"/>
            <w:noWrap/>
            <w:vAlign w:val="bottom"/>
            <w:hideMark/>
          </w:tcPr>
          <w:p w14:paraId="020E2191" w14:textId="77777777" w:rsidR="00E2174E" w:rsidRPr="00B710A9" w:rsidRDefault="00E2174E" w:rsidP="00A224C8">
            <w:pPr>
              <w:jc w:val="right"/>
              <w:rPr>
                <w:rFonts w:cs="Arial"/>
                <w:color w:val="000000"/>
                <w:sz w:val="17"/>
                <w:szCs w:val="17"/>
              </w:rPr>
            </w:pPr>
            <w:r w:rsidRPr="00B710A9">
              <w:rPr>
                <w:rFonts w:cs="Arial"/>
                <w:color w:val="000000"/>
                <w:sz w:val="17"/>
                <w:szCs w:val="17"/>
              </w:rPr>
              <w:t>$ 13.114</w:t>
            </w:r>
          </w:p>
        </w:tc>
        <w:tc>
          <w:tcPr>
            <w:tcW w:w="0" w:type="auto"/>
            <w:tcBorders>
              <w:top w:val="nil"/>
              <w:left w:val="nil"/>
              <w:bottom w:val="single" w:sz="4" w:space="0" w:color="auto"/>
              <w:right w:val="single" w:sz="4" w:space="0" w:color="auto"/>
            </w:tcBorders>
            <w:shd w:val="clear" w:color="auto" w:fill="auto"/>
            <w:noWrap/>
            <w:vAlign w:val="bottom"/>
            <w:hideMark/>
          </w:tcPr>
          <w:p w14:paraId="732A7ACF" w14:textId="77777777" w:rsidR="00E2174E" w:rsidRPr="00B710A9" w:rsidRDefault="00E2174E" w:rsidP="00A224C8">
            <w:pPr>
              <w:jc w:val="center"/>
              <w:rPr>
                <w:rFonts w:cs="Arial"/>
                <w:color w:val="000000"/>
                <w:sz w:val="17"/>
                <w:szCs w:val="17"/>
              </w:rPr>
            </w:pPr>
            <w:r w:rsidRPr="00B710A9">
              <w:rPr>
                <w:rFonts w:cs="Arial"/>
                <w:color w:val="000000"/>
                <w:sz w:val="17"/>
                <w:szCs w:val="17"/>
              </w:rPr>
              <w:t>45,99%</w:t>
            </w:r>
          </w:p>
        </w:tc>
        <w:tc>
          <w:tcPr>
            <w:tcW w:w="0" w:type="auto"/>
            <w:tcBorders>
              <w:top w:val="nil"/>
              <w:left w:val="nil"/>
              <w:bottom w:val="single" w:sz="4" w:space="0" w:color="auto"/>
              <w:right w:val="single" w:sz="4" w:space="0" w:color="auto"/>
            </w:tcBorders>
            <w:shd w:val="clear" w:color="auto" w:fill="auto"/>
            <w:noWrap/>
            <w:vAlign w:val="bottom"/>
            <w:hideMark/>
          </w:tcPr>
          <w:p w14:paraId="3FB64DD0" w14:textId="77777777" w:rsidR="00E2174E" w:rsidRPr="00B710A9" w:rsidRDefault="00E2174E" w:rsidP="00A224C8">
            <w:pPr>
              <w:jc w:val="right"/>
              <w:rPr>
                <w:rFonts w:cs="Arial"/>
                <w:color w:val="000000"/>
                <w:sz w:val="17"/>
                <w:szCs w:val="17"/>
              </w:rPr>
            </w:pPr>
            <w:r w:rsidRPr="00B710A9">
              <w:rPr>
                <w:rFonts w:cs="Arial"/>
                <w:color w:val="000000"/>
                <w:sz w:val="17"/>
                <w:szCs w:val="17"/>
              </w:rPr>
              <w:t>$ 10.837</w:t>
            </w:r>
          </w:p>
        </w:tc>
        <w:tc>
          <w:tcPr>
            <w:tcW w:w="0" w:type="auto"/>
            <w:tcBorders>
              <w:top w:val="nil"/>
              <w:left w:val="nil"/>
              <w:bottom w:val="single" w:sz="4" w:space="0" w:color="auto"/>
              <w:right w:val="single" w:sz="4" w:space="0" w:color="auto"/>
            </w:tcBorders>
            <w:shd w:val="clear" w:color="auto" w:fill="auto"/>
            <w:noWrap/>
            <w:vAlign w:val="bottom"/>
            <w:hideMark/>
          </w:tcPr>
          <w:p w14:paraId="4FD403A5" w14:textId="77777777" w:rsidR="00E2174E" w:rsidRPr="00B710A9" w:rsidRDefault="00E2174E" w:rsidP="00A224C8">
            <w:pPr>
              <w:jc w:val="center"/>
              <w:rPr>
                <w:rFonts w:cs="Arial"/>
                <w:color w:val="000000"/>
                <w:sz w:val="17"/>
                <w:szCs w:val="17"/>
              </w:rPr>
            </w:pPr>
            <w:r w:rsidRPr="00B710A9">
              <w:rPr>
                <w:rFonts w:cs="Arial"/>
                <w:color w:val="000000"/>
                <w:sz w:val="17"/>
                <w:szCs w:val="17"/>
              </w:rPr>
              <w:t>38,00%</w:t>
            </w:r>
          </w:p>
        </w:tc>
      </w:tr>
      <w:tr w:rsidR="00E2174E" w:rsidRPr="00B710A9" w14:paraId="36BB28B4" w14:textId="77777777" w:rsidTr="00E35A84">
        <w:trPr>
          <w:cantSplit/>
          <w:trHeight w:val="19"/>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7F334B16"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auto" w:fill="auto"/>
            <w:noWrap/>
            <w:vAlign w:val="center"/>
            <w:hideMark/>
          </w:tcPr>
          <w:p w14:paraId="6DD499CE" w14:textId="77777777" w:rsidR="00E2174E" w:rsidRPr="00B710A9" w:rsidRDefault="00E2174E" w:rsidP="00A224C8">
            <w:pPr>
              <w:rPr>
                <w:rFonts w:cs="Arial"/>
                <w:color w:val="000000"/>
                <w:sz w:val="17"/>
                <w:szCs w:val="17"/>
              </w:rPr>
            </w:pPr>
            <w:r w:rsidRPr="00B710A9">
              <w:rPr>
                <w:rFonts w:cs="Arial"/>
                <w:color w:val="000000"/>
                <w:sz w:val="17"/>
                <w:szCs w:val="17"/>
              </w:rPr>
              <w:t>Créditos</w:t>
            </w:r>
          </w:p>
        </w:tc>
        <w:tc>
          <w:tcPr>
            <w:tcW w:w="0" w:type="auto"/>
            <w:tcBorders>
              <w:top w:val="nil"/>
              <w:left w:val="nil"/>
              <w:bottom w:val="single" w:sz="4" w:space="0" w:color="auto"/>
              <w:right w:val="single" w:sz="4" w:space="0" w:color="auto"/>
            </w:tcBorders>
            <w:shd w:val="clear" w:color="auto" w:fill="auto"/>
            <w:noWrap/>
            <w:vAlign w:val="bottom"/>
            <w:hideMark/>
          </w:tcPr>
          <w:p w14:paraId="101D55C5" w14:textId="77777777" w:rsidR="00E2174E" w:rsidRPr="00B710A9" w:rsidRDefault="00E2174E" w:rsidP="00A224C8">
            <w:pPr>
              <w:jc w:val="right"/>
              <w:rPr>
                <w:rFonts w:cs="Arial"/>
                <w:color w:val="000000"/>
                <w:sz w:val="17"/>
                <w:szCs w:val="17"/>
              </w:rPr>
            </w:pPr>
            <w:r w:rsidRPr="00B710A9">
              <w:rPr>
                <w:rFonts w:cs="Arial"/>
                <w:color w:val="000000"/>
                <w:sz w:val="17"/>
                <w:szCs w:val="17"/>
              </w:rPr>
              <w:t>$ 134.446</w:t>
            </w:r>
          </w:p>
        </w:tc>
        <w:tc>
          <w:tcPr>
            <w:tcW w:w="0" w:type="auto"/>
            <w:tcBorders>
              <w:top w:val="nil"/>
              <w:left w:val="nil"/>
              <w:bottom w:val="single" w:sz="4" w:space="0" w:color="auto"/>
              <w:right w:val="single" w:sz="4" w:space="0" w:color="auto"/>
            </w:tcBorders>
            <w:shd w:val="clear" w:color="auto" w:fill="auto"/>
            <w:noWrap/>
            <w:vAlign w:val="bottom"/>
            <w:hideMark/>
          </w:tcPr>
          <w:p w14:paraId="507029A0" w14:textId="77777777" w:rsidR="00E2174E" w:rsidRPr="00B710A9" w:rsidRDefault="00E2174E" w:rsidP="00A224C8">
            <w:pPr>
              <w:jc w:val="right"/>
              <w:rPr>
                <w:rFonts w:cs="Arial"/>
                <w:color w:val="000000"/>
                <w:sz w:val="17"/>
                <w:szCs w:val="17"/>
              </w:rPr>
            </w:pPr>
            <w:r w:rsidRPr="00B710A9">
              <w:rPr>
                <w:rFonts w:cs="Arial"/>
                <w:color w:val="000000"/>
                <w:sz w:val="17"/>
                <w:szCs w:val="17"/>
              </w:rPr>
              <w:t>$ 63.768</w:t>
            </w:r>
          </w:p>
        </w:tc>
        <w:tc>
          <w:tcPr>
            <w:tcW w:w="0" w:type="auto"/>
            <w:tcBorders>
              <w:top w:val="nil"/>
              <w:left w:val="nil"/>
              <w:bottom w:val="single" w:sz="4" w:space="0" w:color="auto"/>
              <w:right w:val="single" w:sz="4" w:space="0" w:color="auto"/>
            </w:tcBorders>
            <w:shd w:val="clear" w:color="auto" w:fill="auto"/>
            <w:noWrap/>
            <w:vAlign w:val="bottom"/>
            <w:hideMark/>
          </w:tcPr>
          <w:p w14:paraId="79F9CEC4" w14:textId="77777777" w:rsidR="00E2174E" w:rsidRPr="00B710A9" w:rsidRDefault="00E2174E" w:rsidP="00A224C8">
            <w:pPr>
              <w:jc w:val="center"/>
              <w:rPr>
                <w:rFonts w:cs="Arial"/>
                <w:color w:val="000000"/>
                <w:sz w:val="17"/>
                <w:szCs w:val="17"/>
              </w:rPr>
            </w:pPr>
            <w:r w:rsidRPr="00B710A9">
              <w:rPr>
                <w:rFonts w:cs="Arial"/>
                <w:color w:val="000000"/>
                <w:sz w:val="17"/>
                <w:szCs w:val="17"/>
              </w:rPr>
              <w:t>47,43%</w:t>
            </w:r>
          </w:p>
        </w:tc>
        <w:tc>
          <w:tcPr>
            <w:tcW w:w="0" w:type="auto"/>
            <w:tcBorders>
              <w:top w:val="nil"/>
              <w:left w:val="nil"/>
              <w:bottom w:val="single" w:sz="4" w:space="0" w:color="auto"/>
              <w:right w:val="single" w:sz="4" w:space="0" w:color="auto"/>
            </w:tcBorders>
            <w:shd w:val="clear" w:color="auto" w:fill="auto"/>
            <w:noWrap/>
            <w:vAlign w:val="bottom"/>
            <w:hideMark/>
          </w:tcPr>
          <w:p w14:paraId="7F7E27C4" w14:textId="77777777" w:rsidR="00E2174E" w:rsidRPr="00B710A9" w:rsidRDefault="00E2174E" w:rsidP="00A224C8">
            <w:pPr>
              <w:jc w:val="right"/>
              <w:rPr>
                <w:rFonts w:cs="Arial"/>
                <w:color w:val="000000"/>
                <w:sz w:val="17"/>
                <w:szCs w:val="17"/>
              </w:rPr>
            </w:pPr>
            <w:r w:rsidRPr="00B710A9">
              <w:rPr>
                <w:rFonts w:cs="Arial"/>
                <w:color w:val="000000"/>
                <w:sz w:val="17"/>
                <w:szCs w:val="17"/>
              </w:rPr>
              <w:t>$ 39.502</w:t>
            </w:r>
          </w:p>
        </w:tc>
        <w:tc>
          <w:tcPr>
            <w:tcW w:w="0" w:type="auto"/>
            <w:tcBorders>
              <w:top w:val="nil"/>
              <w:left w:val="nil"/>
              <w:bottom w:val="single" w:sz="4" w:space="0" w:color="auto"/>
              <w:right w:val="single" w:sz="4" w:space="0" w:color="auto"/>
            </w:tcBorders>
            <w:shd w:val="clear" w:color="auto" w:fill="auto"/>
            <w:noWrap/>
            <w:vAlign w:val="bottom"/>
            <w:hideMark/>
          </w:tcPr>
          <w:p w14:paraId="25C88011" w14:textId="77777777" w:rsidR="00E2174E" w:rsidRPr="00B710A9" w:rsidRDefault="00E2174E" w:rsidP="00A224C8">
            <w:pPr>
              <w:jc w:val="center"/>
              <w:rPr>
                <w:rFonts w:cs="Arial"/>
                <w:color w:val="000000"/>
                <w:sz w:val="17"/>
                <w:szCs w:val="17"/>
              </w:rPr>
            </w:pPr>
            <w:r w:rsidRPr="00B710A9">
              <w:rPr>
                <w:rFonts w:cs="Arial"/>
                <w:color w:val="000000"/>
                <w:sz w:val="17"/>
                <w:szCs w:val="17"/>
              </w:rPr>
              <w:t>29,38%</w:t>
            </w:r>
          </w:p>
        </w:tc>
        <w:tc>
          <w:tcPr>
            <w:tcW w:w="0" w:type="auto"/>
            <w:tcBorders>
              <w:top w:val="nil"/>
              <w:left w:val="nil"/>
              <w:bottom w:val="single" w:sz="4" w:space="0" w:color="auto"/>
              <w:right w:val="single" w:sz="4" w:space="0" w:color="auto"/>
            </w:tcBorders>
            <w:shd w:val="clear" w:color="auto" w:fill="auto"/>
            <w:noWrap/>
            <w:vAlign w:val="bottom"/>
            <w:hideMark/>
          </w:tcPr>
          <w:p w14:paraId="17E5DB61" w14:textId="77777777" w:rsidR="00E2174E" w:rsidRPr="00B710A9" w:rsidRDefault="00E2174E" w:rsidP="00A224C8">
            <w:pPr>
              <w:jc w:val="right"/>
              <w:rPr>
                <w:rFonts w:cs="Arial"/>
                <w:color w:val="000000"/>
                <w:sz w:val="17"/>
                <w:szCs w:val="17"/>
              </w:rPr>
            </w:pPr>
            <w:r w:rsidRPr="00B710A9">
              <w:rPr>
                <w:rFonts w:cs="Arial"/>
                <w:color w:val="000000"/>
                <w:sz w:val="17"/>
                <w:szCs w:val="17"/>
              </w:rPr>
              <w:t>$ 12.157</w:t>
            </w:r>
          </w:p>
        </w:tc>
        <w:tc>
          <w:tcPr>
            <w:tcW w:w="0" w:type="auto"/>
            <w:tcBorders>
              <w:top w:val="nil"/>
              <w:left w:val="nil"/>
              <w:bottom w:val="single" w:sz="4" w:space="0" w:color="auto"/>
              <w:right w:val="single" w:sz="4" w:space="0" w:color="auto"/>
            </w:tcBorders>
            <w:shd w:val="clear" w:color="auto" w:fill="auto"/>
            <w:noWrap/>
            <w:vAlign w:val="bottom"/>
            <w:hideMark/>
          </w:tcPr>
          <w:p w14:paraId="681DCB7D" w14:textId="77777777" w:rsidR="00E2174E" w:rsidRPr="00B710A9" w:rsidRDefault="00E2174E" w:rsidP="00A224C8">
            <w:pPr>
              <w:jc w:val="center"/>
              <w:rPr>
                <w:rFonts w:cs="Arial"/>
                <w:color w:val="000000"/>
                <w:sz w:val="17"/>
                <w:szCs w:val="17"/>
              </w:rPr>
            </w:pPr>
            <w:r w:rsidRPr="00B710A9">
              <w:rPr>
                <w:rFonts w:cs="Arial"/>
                <w:color w:val="000000"/>
                <w:sz w:val="17"/>
                <w:szCs w:val="17"/>
              </w:rPr>
              <w:t>9,04%</w:t>
            </w:r>
          </w:p>
        </w:tc>
        <w:tc>
          <w:tcPr>
            <w:tcW w:w="0" w:type="auto"/>
            <w:tcBorders>
              <w:top w:val="nil"/>
              <w:left w:val="nil"/>
              <w:bottom w:val="single" w:sz="4" w:space="0" w:color="auto"/>
              <w:right w:val="single" w:sz="4" w:space="0" w:color="auto"/>
            </w:tcBorders>
            <w:shd w:val="clear" w:color="auto" w:fill="auto"/>
            <w:noWrap/>
            <w:vAlign w:val="bottom"/>
            <w:hideMark/>
          </w:tcPr>
          <w:p w14:paraId="5A145D8A" w14:textId="77777777" w:rsidR="00E2174E" w:rsidRPr="00B710A9" w:rsidRDefault="00E2174E" w:rsidP="00A224C8">
            <w:pPr>
              <w:jc w:val="right"/>
              <w:rPr>
                <w:rFonts w:cs="Arial"/>
                <w:color w:val="000000"/>
                <w:sz w:val="17"/>
                <w:szCs w:val="17"/>
              </w:rPr>
            </w:pPr>
            <w:r w:rsidRPr="00B710A9">
              <w:rPr>
                <w:rFonts w:cs="Arial"/>
                <w:color w:val="000000"/>
                <w:sz w:val="17"/>
                <w:szCs w:val="17"/>
              </w:rPr>
              <w:t>$ 12.157</w:t>
            </w:r>
          </w:p>
        </w:tc>
        <w:tc>
          <w:tcPr>
            <w:tcW w:w="0" w:type="auto"/>
            <w:tcBorders>
              <w:top w:val="nil"/>
              <w:left w:val="nil"/>
              <w:bottom w:val="single" w:sz="4" w:space="0" w:color="auto"/>
              <w:right w:val="single" w:sz="4" w:space="0" w:color="auto"/>
            </w:tcBorders>
            <w:shd w:val="clear" w:color="auto" w:fill="auto"/>
            <w:noWrap/>
            <w:vAlign w:val="bottom"/>
            <w:hideMark/>
          </w:tcPr>
          <w:p w14:paraId="5A555CE2" w14:textId="77777777" w:rsidR="00E2174E" w:rsidRPr="00B710A9" w:rsidRDefault="00E2174E" w:rsidP="00A224C8">
            <w:pPr>
              <w:jc w:val="center"/>
              <w:rPr>
                <w:rFonts w:cs="Arial"/>
                <w:color w:val="000000"/>
                <w:sz w:val="17"/>
                <w:szCs w:val="17"/>
              </w:rPr>
            </w:pPr>
            <w:r w:rsidRPr="00B710A9">
              <w:rPr>
                <w:rFonts w:cs="Arial"/>
                <w:color w:val="000000"/>
                <w:sz w:val="17"/>
                <w:szCs w:val="17"/>
              </w:rPr>
              <w:t>9,04%</w:t>
            </w:r>
          </w:p>
        </w:tc>
        <w:tc>
          <w:tcPr>
            <w:tcW w:w="0" w:type="auto"/>
            <w:tcBorders>
              <w:top w:val="nil"/>
              <w:left w:val="nil"/>
              <w:bottom w:val="single" w:sz="4" w:space="0" w:color="auto"/>
              <w:right w:val="single" w:sz="4" w:space="0" w:color="auto"/>
            </w:tcBorders>
            <w:shd w:val="clear" w:color="auto" w:fill="auto"/>
            <w:noWrap/>
            <w:vAlign w:val="bottom"/>
            <w:hideMark/>
          </w:tcPr>
          <w:p w14:paraId="17D93D92" w14:textId="77777777" w:rsidR="00E2174E" w:rsidRPr="00B710A9" w:rsidRDefault="00E2174E" w:rsidP="00A224C8">
            <w:pPr>
              <w:jc w:val="right"/>
              <w:rPr>
                <w:rFonts w:cs="Arial"/>
                <w:color w:val="000000"/>
                <w:sz w:val="17"/>
                <w:szCs w:val="17"/>
              </w:rPr>
            </w:pPr>
            <w:r w:rsidRPr="00B710A9">
              <w:rPr>
                <w:rFonts w:cs="Arial"/>
                <w:color w:val="000000"/>
                <w:sz w:val="17"/>
                <w:szCs w:val="17"/>
              </w:rPr>
              <w:t>$ 70.678</w:t>
            </w:r>
          </w:p>
        </w:tc>
        <w:tc>
          <w:tcPr>
            <w:tcW w:w="0" w:type="auto"/>
            <w:tcBorders>
              <w:top w:val="nil"/>
              <w:left w:val="nil"/>
              <w:bottom w:val="single" w:sz="4" w:space="0" w:color="auto"/>
              <w:right w:val="single" w:sz="4" w:space="0" w:color="auto"/>
            </w:tcBorders>
            <w:shd w:val="clear" w:color="auto" w:fill="auto"/>
            <w:noWrap/>
            <w:vAlign w:val="bottom"/>
            <w:hideMark/>
          </w:tcPr>
          <w:p w14:paraId="041BB9FF" w14:textId="77777777" w:rsidR="00E2174E" w:rsidRPr="00B710A9" w:rsidRDefault="00E2174E" w:rsidP="00A224C8">
            <w:pPr>
              <w:jc w:val="center"/>
              <w:rPr>
                <w:rFonts w:cs="Arial"/>
                <w:color w:val="000000"/>
                <w:sz w:val="17"/>
                <w:szCs w:val="17"/>
              </w:rPr>
            </w:pPr>
            <w:r w:rsidRPr="00B710A9">
              <w:rPr>
                <w:rFonts w:cs="Arial"/>
                <w:color w:val="000000"/>
                <w:sz w:val="17"/>
                <w:szCs w:val="17"/>
              </w:rPr>
              <w:t>52,57%</w:t>
            </w:r>
          </w:p>
        </w:tc>
      </w:tr>
      <w:tr w:rsidR="00E2174E" w:rsidRPr="00B710A9" w14:paraId="0BF85B23" w14:textId="77777777" w:rsidTr="00E35A84">
        <w:trPr>
          <w:cantSplit/>
          <w:trHeight w:val="19"/>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45155CA7"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000000" w:fill="ACB9CA"/>
            <w:noWrap/>
            <w:vAlign w:val="bottom"/>
            <w:hideMark/>
          </w:tcPr>
          <w:p w14:paraId="5F9055A6" w14:textId="77777777" w:rsidR="00E2174E" w:rsidRPr="00B710A9" w:rsidRDefault="00E2174E" w:rsidP="00A224C8">
            <w:pPr>
              <w:rPr>
                <w:rFonts w:cs="Arial"/>
                <w:b/>
                <w:bCs/>
                <w:color w:val="000000"/>
                <w:sz w:val="17"/>
                <w:szCs w:val="17"/>
              </w:rPr>
            </w:pPr>
            <w:r w:rsidRPr="00B710A9">
              <w:rPr>
                <w:rFonts w:cs="Arial"/>
                <w:b/>
                <w:bCs/>
                <w:color w:val="000000"/>
                <w:sz w:val="17"/>
                <w:szCs w:val="17"/>
              </w:rPr>
              <w:t>Total</w:t>
            </w:r>
          </w:p>
        </w:tc>
        <w:tc>
          <w:tcPr>
            <w:tcW w:w="0" w:type="auto"/>
            <w:tcBorders>
              <w:top w:val="nil"/>
              <w:left w:val="nil"/>
              <w:bottom w:val="single" w:sz="4" w:space="0" w:color="auto"/>
              <w:right w:val="single" w:sz="4" w:space="0" w:color="auto"/>
            </w:tcBorders>
            <w:shd w:val="clear" w:color="000000" w:fill="ACB9CA"/>
            <w:noWrap/>
            <w:vAlign w:val="bottom"/>
            <w:hideMark/>
          </w:tcPr>
          <w:p w14:paraId="3F32991F"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$ 173.295</w:t>
            </w:r>
          </w:p>
        </w:tc>
        <w:tc>
          <w:tcPr>
            <w:tcW w:w="0" w:type="auto"/>
            <w:tcBorders>
              <w:top w:val="nil"/>
              <w:left w:val="nil"/>
              <w:bottom w:val="single" w:sz="4" w:space="0" w:color="auto"/>
              <w:right w:val="single" w:sz="4" w:space="0" w:color="auto"/>
            </w:tcBorders>
            <w:shd w:val="clear" w:color="000000" w:fill="ACB9CA"/>
            <w:noWrap/>
            <w:vAlign w:val="bottom"/>
            <w:hideMark/>
          </w:tcPr>
          <w:p w14:paraId="13290F9C"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$ 91.531</w:t>
            </w:r>
          </w:p>
        </w:tc>
        <w:tc>
          <w:tcPr>
            <w:tcW w:w="0" w:type="auto"/>
            <w:tcBorders>
              <w:top w:val="nil"/>
              <w:left w:val="nil"/>
              <w:bottom w:val="single" w:sz="4" w:space="0" w:color="auto"/>
              <w:right w:val="single" w:sz="4" w:space="0" w:color="auto"/>
            </w:tcBorders>
            <w:shd w:val="clear" w:color="000000" w:fill="ACB9CA"/>
            <w:noWrap/>
            <w:vAlign w:val="bottom"/>
            <w:hideMark/>
          </w:tcPr>
          <w:p w14:paraId="294882E1"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52,82%</w:t>
            </w:r>
          </w:p>
        </w:tc>
        <w:tc>
          <w:tcPr>
            <w:tcW w:w="0" w:type="auto"/>
            <w:tcBorders>
              <w:top w:val="nil"/>
              <w:left w:val="nil"/>
              <w:bottom w:val="single" w:sz="4" w:space="0" w:color="auto"/>
              <w:right w:val="single" w:sz="4" w:space="0" w:color="auto"/>
            </w:tcBorders>
            <w:shd w:val="clear" w:color="000000" w:fill="ACB9CA"/>
            <w:noWrap/>
            <w:vAlign w:val="bottom"/>
            <w:hideMark/>
          </w:tcPr>
          <w:p w14:paraId="5DD1B5D9"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$ 64.147</w:t>
            </w:r>
          </w:p>
        </w:tc>
        <w:tc>
          <w:tcPr>
            <w:tcW w:w="0" w:type="auto"/>
            <w:tcBorders>
              <w:top w:val="nil"/>
              <w:left w:val="nil"/>
              <w:bottom w:val="single" w:sz="4" w:space="0" w:color="auto"/>
              <w:right w:val="single" w:sz="4" w:space="0" w:color="auto"/>
            </w:tcBorders>
            <w:shd w:val="clear" w:color="000000" w:fill="ACB9CA"/>
            <w:noWrap/>
            <w:vAlign w:val="bottom"/>
            <w:hideMark/>
          </w:tcPr>
          <w:p w14:paraId="513A23F1"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37,02%</w:t>
            </w:r>
          </w:p>
        </w:tc>
        <w:tc>
          <w:tcPr>
            <w:tcW w:w="0" w:type="auto"/>
            <w:tcBorders>
              <w:top w:val="nil"/>
              <w:left w:val="nil"/>
              <w:bottom w:val="single" w:sz="4" w:space="0" w:color="auto"/>
              <w:right w:val="single" w:sz="4" w:space="0" w:color="auto"/>
            </w:tcBorders>
            <w:shd w:val="clear" w:color="000000" w:fill="ACB9CA"/>
            <w:noWrap/>
            <w:vAlign w:val="bottom"/>
            <w:hideMark/>
          </w:tcPr>
          <w:p w14:paraId="3E81B3C9"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$ 35.231</w:t>
            </w:r>
          </w:p>
        </w:tc>
        <w:tc>
          <w:tcPr>
            <w:tcW w:w="0" w:type="auto"/>
            <w:tcBorders>
              <w:top w:val="nil"/>
              <w:left w:val="nil"/>
              <w:bottom w:val="single" w:sz="4" w:space="0" w:color="auto"/>
              <w:right w:val="single" w:sz="4" w:space="0" w:color="auto"/>
            </w:tcBorders>
            <w:shd w:val="clear" w:color="000000" w:fill="ACB9CA"/>
            <w:noWrap/>
            <w:vAlign w:val="bottom"/>
            <w:hideMark/>
          </w:tcPr>
          <w:p w14:paraId="10DAFAB1"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20,33%</w:t>
            </w:r>
          </w:p>
        </w:tc>
        <w:tc>
          <w:tcPr>
            <w:tcW w:w="0" w:type="auto"/>
            <w:tcBorders>
              <w:top w:val="nil"/>
              <w:left w:val="nil"/>
              <w:bottom w:val="single" w:sz="4" w:space="0" w:color="auto"/>
              <w:right w:val="single" w:sz="4" w:space="0" w:color="auto"/>
            </w:tcBorders>
            <w:shd w:val="clear" w:color="000000" w:fill="ACB9CA"/>
            <w:noWrap/>
            <w:vAlign w:val="bottom"/>
            <w:hideMark/>
          </w:tcPr>
          <w:p w14:paraId="3BD01585"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$ 34.070</w:t>
            </w:r>
          </w:p>
        </w:tc>
        <w:tc>
          <w:tcPr>
            <w:tcW w:w="0" w:type="auto"/>
            <w:tcBorders>
              <w:top w:val="nil"/>
              <w:left w:val="nil"/>
              <w:bottom w:val="single" w:sz="4" w:space="0" w:color="auto"/>
              <w:right w:val="single" w:sz="4" w:space="0" w:color="auto"/>
            </w:tcBorders>
            <w:shd w:val="clear" w:color="000000" w:fill="ACB9CA"/>
            <w:noWrap/>
            <w:vAlign w:val="bottom"/>
            <w:hideMark/>
          </w:tcPr>
          <w:p w14:paraId="38D65227"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19,66%</w:t>
            </w:r>
          </w:p>
        </w:tc>
        <w:tc>
          <w:tcPr>
            <w:tcW w:w="0" w:type="auto"/>
            <w:tcBorders>
              <w:top w:val="nil"/>
              <w:left w:val="nil"/>
              <w:bottom w:val="single" w:sz="4" w:space="0" w:color="auto"/>
              <w:right w:val="single" w:sz="4" w:space="0" w:color="auto"/>
            </w:tcBorders>
            <w:shd w:val="clear" w:color="000000" w:fill="ACB9CA"/>
            <w:noWrap/>
            <w:vAlign w:val="bottom"/>
            <w:hideMark/>
          </w:tcPr>
          <w:p w14:paraId="111A7CE9"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$ 81.764</w:t>
            </w:r>
          </w:p>
        </w:tc>
        <w:tc>
          <w:tcPr>
            <w:tcW w:w="0" w:type="auto"/>
            <w:tcBorders>
              <w:top w:val="nil"/>
              <w:left w:val="nil"/>
              <w:bottom w:val="single" w:sz="4" w:space="0" w:color="auto"/>
              <w:right w:val="single" w:sz="4" w:space="0" w:color="auto"/>
            </w:tcBorders>
            <w:shd w:val="clear" w:color="000000" w:fill="ACB9CA"/>
            <w:noWrap/>
            <w:vAlign w:val="bottom"/>
            <w:hideMark/>
          </w:tcPr>
          <w:p w14:paraId="4036A8D9"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47,18%</w:t>
            </w:r>
          </w:p>
        </w:tc>
      </w:tr>
      <w:tr w:rsidR="00E2174E" w:rsidRPr="00B710A9" w14:paraId="71287277" w14:textId="77777777" w:rsidTr="00E35A84">
        <w:trPr>
          <w:cantSplit/>
          <w:trHeight w:val="19"/>
          <w:jc w:val="center"/>
        </w:trPr>
        <w:tc>
          <w:tcPr>
            <w:tcW w:w="373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1CCFA12" w14:textId="4CF03572" w:rsidR="00E2174E" w:rsidRPr="00B710A9" w:rsidRDefault="00E2174E" w:rsidP="00A224C8">
            <w:pPr>
              <w:jc w:val="center"/>
              <w:rPr>
                <w:rFonts w:cs="Arial"/>
                <w:color w:val="000000"/>
                <w:sz w:val="17"/>
                <w:szCs w:val="17"/>
              </w:rPr>
            </w:pPr>
            <w:r w:rsidRPr="00B710A9">
              <w:rPr>
                <w:rFonts w:cs="Arial"/>
                <w:color w:val="000000"/>
                <w:sz w:val="17"/>
                <w:szCs w:val="17"/>
              </w:rPr>
              <w:t>Fortalecimiento de la gestión del conocimiento y la innovación en el ámbito geográfico del territorio</w:t>
            </w:r>
            <w:r w:rsidR="00E35A84" w:rsidRPr="00B710A9">
              <w:rPr>
                <w:rFonts w:cs="Arial"/>
                <w:color w:val="000000"/>
                <w:sz w:val="17"/>
                <w:szCs w:val="17"/>
              </w:rPr>
              <w:t xml:space="preserve"> </w:t>
            </w:r>
            <w:r w:rsidRPr="00B710A9">
              <w:rPr>
                <w:rFonts w:cs="Arial"/>
                <w:color w:val="000000"/>
                <w:sz w:val="17"/>
                <w:szCs w:val="17"/>
              </w:rPr>
              <w:t>nacional</w:t>
            </w:r>
          </w:p>
        </w:tc>
        <w:tc>
          <w:tcPr>
            <w:tcW w:w="0" w:type="auto"/>
            <w:tcBorders>
              <w:top w:val="nil"/>
              <w:left w:val="nil"/>
              <w:bottom w:val="single" w:sz="4" w:space="0" w:color="auto"/>
              <w:right w:val="single" w:sz="4" w:space="0" w:color="auto"/>
            </w:tcBorders>
            <w:shd w:val="clear" w:color="auto" w:fill="auto"/>
            <w:noWrap/>
            <w:vAlign w:val="center"/>
            <w:hideMark/>
          </w:tcPr>
          <w:p w14:paraId="3FA272C2" w14:textId="77777777" w:rsidR="00E2174E" w:rsidRPr="00B710A9" w:rsidRDefault="00E2174E" w:rsidP="00A224C8">
            <w:pPr>
              <w:rPr>
                <w:rFonts w:cs="Arial"/>
                <w:color w:val="000000"/>
                <w:sz w:val="17"/>
                <w:szCs w:val="17"/>
              </w:rPr>
            </w:pPr>
            <w:r w:rsidRPr="00B710A9">
              <w:rPr>
                <w:rFonts w:cs="Arial"/>
                <w:color w:val="000000"/>
                <w:sz w:val="17"/>
                <w:szCs w:val="17"/>
              </w:rPr>
              <w:t>Nación</w:t>
            </w:r>
          </w:p>
        </w:tc>
        <w:tc>
          <w:tcPr>
            <w:tcW w:w="0" w:type="auto"/>
            <w:tcBorders>
              <w:top w:val="nil"/>
              <w:left w:val="nil"/>
              <w:bottom w:val="single" w:sz="4" w:space="0" w:color="auto"/>
              <w:right w:val="single" w:sz="4" w:space="0" w:color="auto"/>
            </w:tcBorders>
            <w:shd w:val="clear" w:color="auto" w:fill="auto"/>
            <w:noWrap/>
            <w:vAlign w:val="bottom"/>
            <w:hideMark/>
          </w:tcPr>
          <w:p w14:paraId="56195DBC" w14:textId="77777777" w:rsidR="00E2174E" w:rsidRPr="00B710A9" w:rsidRDefault="00E2174E" w:rsidP="00A224C8">
            <w:pPr>
              <w:jc w:val="right"/>
              <w:rPr>
                <w:rFonts w:cs="Arial"/>
                <w:color w:val="000000"/>
                <w:sz w:val="17"/>
                <w:szCs w:val="17"/>
              </w:rPr>
            </w:pPr>
            <w:r w:rsidRPr="00B710A9">
              <w:rPr>
                <w:rFonts w:cs="Arial"/>
                <w:color w:val="000000"/>
                <w:sz w:val="17"/>
                <w:szCs w:val="17"/>
              </w:rPr>
              <w:t>$ 118</w:t>
            </w:r>
          </w:p>
        </w:tc>
        <w:tc>
          <w:tcPr>
            <w:tcW w:w="0" w:type="auto"/>
            <w:tcBorders>
              <w:top w:val="nil"/>
              <w:left w:val="nil"/>
              <w:bottom w:val="single" w:sz="4" w:space="0" w:color="auto"/>
              <w:right w:val="single" w:sz="4" w:space="0" w:color="auto"/>
            </w:tcBorders>
            <w:shd w:val="clear" w:color="auto" w:fill="auto"/>
            <w:noWrap/>
            <w:vAlign w:val="bottom"/>
            <w:hideMark/>
          </w:tcPr>
          <w:p w14:paraId="262DC64C" w14:textId="77777777" w:rsidR="00E2174E" w:rsidRPr="00B710A9" w:rsidRDefault="00E2174E" w:rsidP="00A224C8">
            <w:pPr>
              <w:jc w:val="right"/>
              <w:rPr>
                <w:rFonts w:cs="Arial"/>
                <w:color w:val="000000"/>
                <w:sz w:val="17"/>
                <w:szCs w:val="17"/>
              </w:rPr>
            </w:pPr>
            <w:r w:rsidRPr="00B710A9">
              <w:rPr>
                <w:rFonts w:cs="Arial"/>
                <w:color w:val="000000"/>
                <w:sz w:val="17"/>
                <w:szCs w:val="17"/>
              </w:rPr>
              <w:t>$ 118</w:t>
            </w:r>
          </w:p>
        </w:tc>
        <w:tc>
          <w:tcPr>
            <w:tcW w:w="0" w:type="auto"/>
            <w:tcBorders>
              <w:top w:val="nil"/>
              <w:left w:val="nil"/>
              <w:bottom w:val="single" w:sz="4" w:space="0" w:color="auto"/>
              <w:right w:val="single" w:sz="4" w:space="0" w:color="auto"/>
            </w:tcBorders>
            <w:shd w:val="clear" w:color="auto" w:fill="auto"/>
            <w:noWrap/>
            <w:vAlign w:val="bottom"/>
            <w:hideMark/>
          </w:tcPr>
          <w:p w14:paraId="451D12A6" w14:textId="77777777" w:rsidR="00E2174E" w:rsidRPr="00B710A9" w:rsidRDefault="00E2174E" w:rsidP="00A224C8">
            <w:pPr>
              <w:jc w:val="center"/>
              <w:rPr>
                <w:rFonts w:cs="Arial"/>
                <w:color w:val="000000"/>
                <w:sz w:val="17"/>
                <w:szCs w:val="17"/>
              </w:rPr>
            </w:pPr>
            <w:r w:rsidRPr="00B710A9">
              <w:rPr>
                <w:rFonts w:cs="Arial"/>
                <w:color w:val="000000"/>
                <w:sz w:val="17"/>
                <w:szCs w:val="17"/>
              </w:rPr>
              <w:t>99,87%</w:t>
            </w:r>
          </w:p>
        </w:tc>
        <w:tc>
          <w:tcPr>
            <w:tcW w:w="0" w:type="auto"/>
            <w:tcBorders>
              <w:top w:val="nil"/>
              <w:left w:val="nil"/>
              <w:bottom w:val="single" w:sz="4" w:space="0" w:color="auto"/>
              <w:right w:val="single" w:sz="4" w:space="0" w:color="auto"/>
            </w:tcBorders>
            <w:shd w:val="clear" w:color="auto" w:fill="auto"/>
            <w:noWrap/>
            <w:vAlign w:val="bottom"/>
            <w:hideMark/>
          </w:tcPr>
          <w:p w14:paraId="07613743" w14:textId="77777777" w:rsidR="00E2174E" w:rsidRPr="00B710A9" w:rsidRDefault="00E2174E" w:rsidP="00A224C8">
            <w:pPr>
              <w:jc w:val="right"/>
              <w:rPr>
                <w:rFonts w:cs="Arial"/>
                <w:color w:val="000000"/>
                <w:sz w:val="17"/>
                <w:szCs w:val="17"/>
              </w:rPr>
            </w:pPr>
            <w:r w:rsidRPr="00B710A9">
              <w:rPr>
                <w:rFonts w:cs="Arial"/>
                <w:color w:val="000000"/>
                <w:sz w:val="17"/>
                <w:szCs w:val="17"/>
              </w:rPr>
              <w:t>$ 118</w:t>
            </w:r>
          </w:p>
        </w:tc>
        <w:tc>
          <w:tcPr>
            <w:tcW w:w="0" w:type="auto"/>
            <w:tcBorders>
              <w:top w:val="nil"/>
              <w:left w:val="nil"/>
              <w:bottom w:val="single" w:sz="4" w:space="0" w:color="auto"/>
              <w:right w:val="single" w:sz="4" w:space="0" w:color="auto"/>
            </w:tcBorders>
            <w:shd w:val="clear" w:color="auto" w:fill="auto"/>
            <w:noWrap/>
            <w:vAlign w:val="bottom"/>
            <w:hideMark/>
          </w:tcPr>
          <w:p w14:paraId="3791A75C" w14:textId="77777777" w:rsidR="00E2174E" w:rsidRPr="00B710A9" w:rsidRDefault="00E2174E" w:rsidP="00A224C8">
            <w:pPr>
              <w:jc w:val="center"/>
              <w:rPr>
                <w:rFonts w:cs="Arial"/>
                <w:color w:val="000000"/>
                <w:sz w:val="17"/>
                <w:szCs w:val="17"/>
              </w:rPr>
            </w:pPr>
            <w:r w:rsidRPr="00B710A9">
              <w:rPr>
                <w:rFonts w:cs="Arial"/>
                <w:color w:val="000000"/>
                <w:sz w:val="17"/>
                <w:szCs w:val="17"/>
              </w:rPr>
              <w:t>99,66%</w:t>
            </w:r>
          </w:p>
        </w:tc>
        <w:tc>
          <w:tcPr>
            <w:tcW w:w="0" w:type="auto"/>
            <w:tcBorders>
              <w:top w:val="nil"/>
              <w:left w:val="nil"/>
              <w:bottom w:val="single" w:sz="4" w:space="0" w:color="auto"/>
              <w:right w:val="single" w:sz="4" w:space="0" w:color="auto"/>
            </w:tcBorders>
            <w:shd w:val="clear" w:color="auto" w:fill="auto"/>
            <w:noWrap/>
            <w:vAlign w:val="bottom"/>
            <w:hideMark/>
          </w:tcPr>
          <w:p w14:paraId="69CE39BA" w14:textId="77777777" w:rsidR="00E2174E" w:rsidRPr="00B710A9" w:rsidRDefault="00E2174E" w:rsidP="00A224C8">
            <w:pPr>
              <w:jc w:val="right"/>
              <w:rPr>
                <w:rFonts w:cs="Arial"/>
                <w:color w:val="000000"/>
                <w:sz w:val="17"/>
                <w:szCs w:val="17"/>
              </w:rPr>
            </w:pPr>
            <w:r w:rsidRPr="00B710A9">
              <w:rPr>
                <w:rFonts w:cs="Arial"/>
                <w:color w:val="000000"/>
                <w:sz w:val="17"/>
                <w:szCs w:val="17"/>
              </w:rPr>
              <w:t>$ 118</w:t>
            </w:r>
          </w:p>
        </w:tc>
        <w:tc>
          <w:tcPr>
            <w:tcW w:w="0" w:type="auto"/>
            <w:tcBorders>
              <w:top w:val="nil"/>
              <w:left w:val="nil"/>
              <w:bottom w:val="single" w:sz="4" w:space="0" w:color="auto"/>
              <w:right w:val="single" w:sz="4" w:space="0" w:color="auto"/>
            </w:tcBorders>
            <w:shd w:val="clear" w:color="auto" w:fill="auto"/>
            <w:noWrap/>
            <w:vAlign w:val="bottom"/>
            <w:hideMark/>
          </w:tcPr>
          <w:p w14:paraId="27899573" w14:textId="77777777" w:rsidR="00E2174E" w:rsidRPr="00B710A9" w:rsidRDefault="00E2174E" w:rsidP="00A224C8">
            <w:pPr>
              <w:jc w:val="center"/>
              <w:rPr>
                <w:rFonts w:cs="Arial"/>
                <w:color w:val="000000"/>
                <w:sz w:val="17"/>
                <w:szCs w:val="17"/>
              </w:rPr>
            </w:pPr>
            <w:r w:rsidRPr="00B710A9">
              <w:rPr>
                <w:rFonts w:cs="Arial"/>
                <w:color w:val="000000"/>
                <w:sz w:val="17"/>
                <w:szCs w:val="17"/>
              </w:rPr>
              <w:t>99,66%</w:t>
            </w:r>
          </w:p>
        </w:tc>
        <w:tc>
          <w:tcPr>
            <w:tcW w:w="0" w:type="auto"/>
            <w:tcBorders>
              <w:top w:val="nil"/>
              <w:left w:val="nil"/>
              <w:bottom w:val="single" w:sz="4" w:space="0" w:color="auto"/>
              <w:right w:val="single" w:sz="4" w:space="0" w:color="auto"/>
            </w:tcBorders>
            <w:shd w:val="clear" w:color="auto" w:fill="auto"/>
            <w:noWrap/>
            <w:vAlign w:val="bottom"/>
            <w:hideMark/>
          </w:tcPr>
          <w:p w14:paraId="64372070" w14:textId="77777777" w:rsidR="00E2174E" w:rsidRPr="00B710A9" w:rsidRDefault="00E2174E" w:rsidP="00A224C8">
            <w:pPr>
              <w:jc w:val="right"/>
              <w:rPr>
                <w:rFonts w:cs="Arial"/>
                <w:color w:val="000000"/>
                <w:sz w:val="17"/>
                <w:szCs w:val="17"/>
              </w:rPr>
            </w:pPr>
            <w:r w:rsidRPr="00B710A9">
              <w:rPr>
                <w:rFonts w:cs="Arial"/>
                <w:color w:val="000000"/>
                <w:sz w:val="17"/>
                <w:szCs w:val="17"/>
              </w:rPr>
              <w:t>$ 118</w:t>
            </w:r>
          </w:p>
        </w:tc>
        <w:tc>
          <w:tcPr>
            <w:tcW w:w="0" w:type="auto"/>
            <w:tcBorders>
              <w:top w:val="nil"/>
              <w:left w:val="nil"/>
              <w:bottom w:val="single" w:sz="4" w:space="0" w:color="auto"/>
              <w:right w:val="single" w:sz="4" w:space="0" w:color="auto"/>
            </w:tcBorders>
            <w:shd w:val="clear" w:color="auto" w:fill="auto"/>
            <w:noWrap/>
            <w:vAlign w:val="bottom"/>
            <w:hideMark/>
          </w:tcPr>
          <w:p w14:paraId="31E4435A" w14:textId="77777777" w:rsidR="00E2174E" w:rsidRPr="00B710A9" w:rsidRDefault="00E2174E" w:rsidP="00A224C8">
            <w:pPr>
              <w:jc w:val="center"/>
              <w:rPr>
                <w:rFonts w:cs="Arial"/>
                <w:color w:val="000000"/>
                <w:sz w:val="17"/>
                <w:szCs w:val="17"/>
              </w:rPr>
            </w:pPr>
            <w:r w:rsidRPr="00B710A9">
              <w:rPr>
                <w:rFonts w:cs="Arial"/>
                <w:color w:val="000000"/>
                <w:sz w:val="17"/>
                <w:szCs w:val="17"/>
              </w:rPr>
              <w:t>99,66%</w:t>
            </w:r>
          </w:p>
        </w:tc>
        <w:tc>
          <w:tcPr>
            <w:tcW w:w="0" w:type="auto"/>
            <w:tcBorders>
              <w:top w:val="nil"/>
              <w:left w:val="nil"/>
              <w:bottom w:val="single" w:sz="4" w:space="0" w:color="auto"/>
              <w:right w:val="single" w:sz="4" w:space="0" w:color="auto"/>
            </w:tcBorders>
            <w:shd w:val="clear" w:color="auto" w:fill="auto"/>
            <w:noWrap/>
            <w:vAlign w:val="bottom"/>
            <w:hideMark/>
          </w:tcPr>
          <w:p w14:paraId="1CF8A54B" w14:textId="77777777" w:rsidR="00E2174E" w:rsidRPr="00B710A9" w:rsidRDefault="00E2174E" w:rsidP="00A224C8">
            <w:pPr>
              <w:jc w:val="right"/>
              <w:rPr>
                <w:rFonts w:cs="Arial"/>
                <w:color w:val="000000"/>
                <w:sz w:val="17"/>
                <w:szCs w:val="17"/>
              </w:rPr>
            </w:pPr>
            <w:r w:rsidRPr="00B710A9">
              <w:rPr>
                <w:rFonts w:cs="Arial"/>
                <w:color w:val="000000"/>
                <w:sz w:val="17"/>
                <w:szCs w:val="17"/>
              </w:rPr>
              <w:t>$ 0</w:t>
            </w:r>
          </w:p>
        </w:tc>
        <w:tc>
          <w:tcPr>
            <w:tcW w:w="0" w:type="auto"/>
            <w:tcBorders>
              <w:top w:val="nil"/>
              <w:left w:val="nil"/>
              <w:bottom w:val="single" w:sz="4" w:space="0" w:color="auto"/>
              <w:right w:val="single" w:sz="4" w:space="0" w:color="auto"/>
            </w:tcBorders>
            <w:shd w:val="clear" w:color="auto" w:fill="auto"/>
            <w:noWrap/>
            <w:vAlign w:val="bottom"/>
            <w:hideMark/>
          </w:tcPr>
          <w:p w14:paraId="09EA00AC" w14:textId="77777777" w:rsidR="00E2174E" w:rsidRPr="00B710A9" w:rsidRDefault="00E2174E" w:rsidP="00A224C8">
            <w:pPr>
              <w:jc w:val="center"/>
              <w:rPr>
                <w:rFonts w:cs="Arial"/>
                <w:color w:val="000000"/>
                <w:sz w:val="17"/>
                <w:szCs w:val="17"/>
              </w:rPr>
            </w:pPr>
            <w:r w:rsidRPr="00B710A9">
              <w:rPr>
                <w:rFonts w:cs="Arial"/>
                <w:color w:val="000000"/>
                <w:sz w:val="17"/>
                <w:szCs w:val="17"/>
              </w:rPr>
              <w:t>0,13%</w:t>
            </w:r>
          </w:p>
        </w:tc>
      </w:tr>
      <w:tr w:rsidR="00E2174E" w:rsidRPr="00B710A9" w14:paraId="64CF7B9D" w14:textId="77777777" w:rsidTr="00E35A84">
        <w:trPr>
          <w:cantSplit/>
          <w:trHeight w:val="19"/>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37BC30F9"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auto" w:fill="auto"/>
            <w:noWrap/>
            <w:vAlign w:val="center"/>
            <w:hideMark/>
          </w:tcPr>
          <w:p w14:paraId="49AF901B" w14:textId="77777777" w:rsidR="00E2174E" w:rsidRPr="00B710A9" w:rsidRDefault="00E2174E" w:rsidP="00A224C8">
            <w:pPr>
              <w:rPr>
                <w:rFonts w:cs="Arial"/>
                <w:color w:val="000000"/>
                <w:sz w:val="17"/>
                <w:szCs w:val="17"/>
              </w:rPr>
            </w:pPr>
            <w:r w:rsidRPr="00B710A9">
              <w:rPr>
                <w:rFonts w:cs="Arial"/>
                <w:color w:val="000000"/>
                <w:sz w:val="17"/>
                <w:szCs w:val="17"/>
              </w:rPr>
              <w:t>Propios</w:t>
            </w:r>
          </w:p>
        </w:tc>
        <w:tc>
          <w:tcPr>
            <w:tcW w:w="0" w:type="auto"/>
            <w:tcBorders>
              <w:top w:val="nil"/>
              <w:left w:val="nil"/>
              <w:bottom w:val="single" w:sz="4" w:space="0" w:color="auto"/>
              <w:right w:val="single" w:sz="4" w:space="0" w:color="auto"/>
            </w:tcBorders>
            <w:shd w:val="clear" w:color="auto" w:fill="auto"/>
            <w:noWrap/>
            <w:vAlign w:val="bottom"/>
            <w:hideMark/>
          </w:tcPr>
          <w:p w14:paraId="6F3838DE" w14:textId="77777777" w:rsidR="00E2174E" w:rsidRPr="00B710A9" w:rsidRDefault="00E2174E" w:rsidP="00A224C8">
            <w:pPr>
              <w:jc w:val="right"/>
              <w:rPr>
                <w:rFonts w:cs="Arial"/>
                <w:color w:val="000000"/>
                <w:sz w:val="17"/>
                <w:szCs w:val="17"/>
              </w:rPr>
            </w:pPr>
            <w:r w:rsidRPr="00B710A9">
              <w:rPr>
                <w:rFonts w:cs="Arial"/>
                <w:color w:val="000000"/>
                <w:sz w:val="17"/>
                <w:szCs w:val="17"/>
              </w:rPr>
              <w:t>$ 3.674</w:t>
            </w:r>
          </w:p>
        </w:tc>
        <w:tc>
          <w:tcPr>
            <w:tcW w:w="0" w:type="auto"/>
            <w:tcBorders>
              <w:top w:val="nil"/>
              <w:left w:val="nil"/>
              <w:bottom w:val="single" w:sz="4" w:space="0" w:color="auto"/>
              <w:right w:val="single" w:sz="4" w:space="0" w:color="auto"/>
            </w:tcBorders>
            <w:shd w:val="clear" w:color="auto" w:fill="auto"/>
            <w:noWrap/>
            <w:vAlign w:val="bottom"/>
            <w:hideMark/>
          </w:tcPr>
          <w:p w14:paraId="5AEA8D6A" w14:textId="77777777" w:rsidR="00E2174E" w:rsidRPr="00B710A9" w:rsidRDefault="00E2174E" w:rsidP="00A224C8">
            <w:pPr>
              <w:jc w:val="right"/>
              <w:rPr>
                <w:rFonts w:cs="Arial"/>
                <w:color w:val="000000"/>
                <w:sz w:val="17"/>
                <w:szCs w:val="17"/>
              </w:rPr>
            </w:pPr>
            <w:r w:rsidRPr="00B710A9">
              <w:rPr>
                <w:rFonts w:cs="Arial"/>
                <w:color w:val="000000"/>
                <w:sz w:val="17"/>
                <w:szCs w:val="17"/>
              </w:rPr>
              <w:t>$ 1.084</w:t>
            </w:r>
          </w:p>
        </w:tc>
        <w:tc>
          <w:tcPr>
            <w:tcW w:w="0" w:type="auto"/>
            <w:tcBorders>
              <w:top w:val="nil"/>
              <w:left w:val="nil"/>
              <w:bottom w:val="single" w:sz="4" w:space="0" w:color="auto"/>
              <w:right w:val="single" w:sz="4" w:space="0" w:color="auto"/>
            </w:tcBorders>
            <w:shd w:val="clear" w:color="auto" w:fill="auto"/>
            <w:noWrap/>
            <w:vAlign w:val="bottom"/>
            <w:hideMark/>
          </w:tcPr>
          <w:p w14:paraId="73400395" w14:textId="77777777" w:rsidR="00E2174E" w:rsidRPr="00B710A9" w:rsidRDefault="00E2174E" w:rsidP="00A224C8">
            <w:pPr>
              <w:jc w:val="center"/>
              <w:rPr>
                <w:rFonts w:cs="Arial"/>
                <w:color w:val="000000"/>
                <w:sz w:val="17"/>
                <w:szCs w:val="17"/>
              </w:rPr>
            </w:pPr>
            <w:r w:rsidRPr="00B710A9">
              <w:rPr>
                <w:rFonts w:cs="Arial"/>
                <w:color w:val="000000"/>
                <w:sz w:val="17"/>
                <w:szCs w:val="17"/>
              </w:rPr>
              <w:t>29,51%</w:t>
            </w:r>
          </w:p>
        </w:tc>
        <w:tc>
          <w:tcPr>
            <w:tcW w:w="0" w:type="auto"/>
            <w:tcBorders>
              <w:top w:val="nil"/>
              <w:left w:val="nil"/>
              <w:bottom w:val="single" w:sz="4" w:space="0" w:color="auto"/>
              <w:right w:val="single" w:sz="4" w:space="0" w:color="auto"/>
            </w:tcBorders>
            <w:shd w:val="clear" w:color="auto" w:fill="auto"/>
            <w:noWrap/>
            <w:vAlign w:val="bottom"/>
            <w:hideMark/>
          </w:tcPr>
          <w:p w14:paraId="79D6506E" w14:textId="77777777" w:rsidR="00E2174E" w:rsidRPr="00B710A9" w:rsidRDefault="00E2174E" w:rsidP="00A224C8">
            <w:pPr>
              <w:jc w:val="right"/>
              <w:rPr>
                <w:rFonts w:cs="Arial"/>
                <w:color w:val="000000"/>
                <w:sz w:val="17"/>
                <w:szCs w:val="17"/>
              </w:rPr>
            </w:pPr>
            <w:r w:rsidRPr="00B710A9">
              <w:rPr>
                <w:rFonts w:cs="Arial"/>
                <w:color w:val="000000"/>
                <w:sz w:val="17"/>
                <w:szCs w:val="17"/>
              </w:rPr>
              <w:t>$ 1.039</w:t>
            </w:r>
          </w:p>
        </w:tc>
        <w:tc>
          <w:tcPr>
            <w:tcW w:w="0" w:type="auto"/>
            <w:tcBorders>
              <w:top w:val="nil"/>
              <w:left w:val="nil"/>
              <w:bottom w:val="single" w:sz="4" w:space="0" w:color="auto"/>
              <w:right w:val="single" w:sz="4" w:space="0" w:color="auto"/>
            </w:tcBorders>
            <w:shd w:val="clear" w:color="auto" w:fill="auto"/>
            <w:noWrap/>
            <w:vAlign w:val="bottom"/>
            <w:hideMark/>
          </w:tcPr>
          <w:p w14:paraId="2DD87BFB" w14:textId="77777777" w:rsidR="00E2174E" w:rsidRPr="00B710A9" w:rsidRDefault="00E2174E" w:rsidP="00A224C8">
            <w:pPr>
              <w:jc w:val="center"/>
              <w:rPr>
                <w:rFonts w:cs="Arial"/>
                <w:color w:val="000000"/>
                <w:sz w:val="17"/>
                <w:szCs w:val="17"/>
              </w:rPr>
            </w:pPr>
            <w:r w:rsidRPr="00B710A9">
              <w:rPr>
                <w:rFonts w:cs="Arial"/>
                <w:color w:val="000000"/>
                <w:sz w:val="17"/>
                <w:szCs w:val="17"/>
              </w:rPr>
              <w:t>28,29%</w:t>
            </w:r>
          </w:p>
        </w:tc>
        <w:tc>
          <w:tcPr>
            <w:tcW w:w="0" w:type="auto"/>
            <w:tcBorders>
              <w:top w:val="nil"/>
              <w:left w:val="nil"/>
              <w:bottom w:val="single" w:sz="4" w:space="0" w:color="auto"/>
              <w:right w:val="single" w:sz="4" w:space="0" w:color="auto"/>
            </w:tcBorders>
            <w:shd w:val="clear" w:color="auto" w:fill="auto"/>
            <w:noWrap/>
            <w:vAlign w:val="bottom"/>
            <w:hideMark/>
          </w:tcPr>
          <w:p w14:paraId="651914F0" w14:textId="77777777" w:rsidR="00E2174E" w:rsidRPr="00B710A9" w:rsidRDefault="00E2174E" w:rsidP="00A224C8">
            <w:pPr>
              <w:jc w:val="right"/>
              <w:rPr>
                <w:rFonts w:cs="Arial"/>
                <w:color w:val="000000"/>
                <w:sz w:val="17"/>
                <w:szCs w:val="17"/>
              </w:rPr>
            </w:pPr>
            <w:r w:rsidRPr="00B710A9">
              <w:rPr>
                <w:rFonts w:cs="Arial"/>
                <w:color w:val="000000"/>
                <w:sz w:val="17"/>
                <w:szCs w:val="17"/>
              </w:rPr>
              <w:t>$ 978</w:t>
            </w:r>
          </w:p>
        </w:tc>
        <w:tc>
          <w:tcPr>
            <w:tcW w:w="0" w:type="auto"/>
            <w:tcBorders>
              <w:top w:val="nil"/>
              <w:left w:val="nil"/>
              <w:bottom w:val="single" w:sz="4" w:space="0" w:color="auto"/>
              <w:right w:val="single" w:sz="4" w:space="0" w:color="auto"/>
            </w:tcBorders>
            <w:shd w:val="clear" w:color="auto" w:fill="auto"/>
            <w:noWrap/>
            <w:vAlign w:val="bottom"/>
            <w:hideMark/>
          </w:tcPr>
          <w:p w14:paraId="0E452357" w14:textId="77777777" w:rsidR="00E2174E" w:rsidRPr="00B710A9" w:rsidRDefault="00E2174E" w:rsidP="00A224C8">
            <w:pPr>
              <w:jc w:val="center"/>
              <w:rPr>
                <w:rFonts w:cs="Arial"/>
                <w:color w:val="000000"/>
                <w:sz w:val="17"/>
                <w:szCs w:val="17"/>
              </w:rPr>
            </w:pPr>
            <w:r w:rsidRPr="00B710A9">
              <w:rPr>
                <w:rFonts w:cs="Arial"/>
                <w:color w:val="000000"/>
                <w:sz w:val="17"/>
                <w:szCs w:val="17"/>
              </w:rPr>
              <w:t>26,62%</w:t>
            </w:r>
          </w:p>
        </w:tc>
        <w:tc>
          <w:tcPr>
            <w:tcW w:w="0" w:type="auto"/>
            <w:tcBorders>
              <w:top w:val="nil"/>
              <w:left w:val="nil"/>
              <w:bottom w:val="single" w:sz="4" w:space="0" w:color="auto"/>
              <w:right w:val="single" w:sz="4" w:space="0" w:color="auto"/>
            </w:tcBorders>
            <w:shd w:val="clear" w:color="auto" w:fill="auto"/>
            <w:noWrap/>
            <w:vAlign w:val="bottom"/>
            <w:hideMark/>
          </w:tcPr>
          <w:p w14:paraId="0D698684" w14:textId="77777777" w:rsidR="00E2174E" w:rsidRPr="00B710A9" w:rsidRDefault="00E2174E" w:rsidP="00A224C8">
            <w:pPr>
              <w:jc w:val="right"/>
              <w:rPr>
                <w:rFonts w:cs="Arial"/>
                <w:color w:val="000000"/>
                <w:sz w:val="17"/>
                <w:szCs w:val="17"/>
              </w:rPr>
            </w:pPr>
            <w:r w:rsidRPr="00B710A9">
              <w:rPr>
                <w:rFonts w:cs="Arial"/>
                <w:color w:val="000000"/>
                <w:sz w:val="17"/>
                <w:szCs w:val="17"/>
              </w:rPr>
              <w:t>$ 874</w:t>
            </w:r>
          </w:p>
        </w:tc>
        <w:tc>
          <w:tcPr>
            <w:tcW w:w="0" w:type="auto"/>
            <w:tcBorders>
              <w:top w:val="nil"/>
              <w:left w:val="nil"/>
              <w:bottom w:val="single" w:sz="4" w:space="0" w:color="auto"/>
              <w:right w:val="single" w:sz="4" w:space="0" w:color="auto"/>
            </w:tcBorders>
            <w:shd w:val="clear" w:color="auto" w:fill="auto"/>
            <w:noWrap/>
            <w:vAlign w:val="bottom"/>
            <w:hideMark/>
          </w:tcPr>
          <w:p w14:paraId="245A3B7D" w14:textId="77777777" w:rsidR="00E2174E" w:rsidRPr="00B710A9" w:rsidRDefault="00E2174E" w:rsidP="00A224C8">
            <w:pPr>
              <w:jc w:val="center"/>
              <w:rPr>
                <w:rFonts w:cs="Arial"/>
                <w:color w:val="000000"/>
                <w:sz w:val="17"/>
                <w:szCs w:val="17"/>
              </w:rPr>
            </w:pPr>
            <w:r w:rsidRPr="00B710A9">
              <w:rPr>
                <w:rFonts w:cs="Arial"/>
                <w:color w:val="000000"/>
                <w:sz w:val="17"/>
                <w:szCs w:val="17"/>
              </w:rPr>
              <w:t>23,80%</w:t>
            </w:r>
          </w:p>
        </w:tc>
        <w:tc>
          <w:tcPr>
            <w:tcW w:w="0" w:type="auto"/>
            <w:tcBorders>
              <w:top w:val="nil"/>
              <w:left w:val="nil"/>
              <w:bottom w:val="single" w:sz="4" w:space="0" w:color="auto"/>
              <w:right w:val="single" w:sz="4" w:space="0" w:color="auto"/>
            </w:tcBorders>
            <w:shd w:val="clear" w:color="auto" w:fill="auto"/>
            <w:noWrap/>
            <w:vAlign w:val="bottom"/>
            <w:hideMark/>
          </w:tcPr>
          <w:p w14:paraId="34A8F377" w14:textId="77777777" w:rsidR="00E2174E" w:rsidRPr="00B710A9" w:rsidRDefault="00E2174E" w:rsidP="00A224C8">
            <w:pPr>
              <w:jc w:val="right"/>
              <w:rPr>
                <w:rFonts w:cs="Arial"/>
                <w:color w:val="000000"/>
                <w:sz w:val="17"/>
                <w:szCs w:val="17"/>
              </w:rPr>
            </w:pPr>
            <w:r w:rsidRPr="00B710A9">
              <w:rPr>
                <w:rFonts w:cs="Arial"/>
                <w:color w:val="000000"/>
                <w:sz w:val="17"/>
                <w:szCs w:val="17"/>
              </w:rPr>
              <w:t>$ 2.590</w:t>
            </w:r>
          </w:p>
        </w:tc>
        <w:tc>
          <w:tcPr>
            <w:tcW w:w="0" w:type="auto"/>
            <w:tcBorders>
              <w:top w:val="nil"/>
              <w:left w:val="nil"/>
              <w:bottom w:val="single" w:sz="4" w:space="0" w:color="auto"/>
              <w:right w:val="single" w:sz="4" w:space="0" w:color="auto"/>
            </w:tcBorders>
            <w:shd w:val="clear" w:color="auto" w:fill="auto"/>
            <w:noWrap/>
            <w:vAlign w:val="bottom"/>
            <w:hideMark/>
          </w:tcPr>
          <w:p w14:paraId="5090F9E4" w14:textId="77777777" w:rsidR="00E2174E" w:rsidRPr="00B710A9" w:rsidRDefault="00E2174E" w:rsidP="00A224C8">
            <w:pPr>
              <w:jc w:val="center"/>
              <w:rPr>
                <w:rFonts w:cs="Arial"/>
                <w:color w:val="000000"/>
                <w:sz w:val="17"/>
                <w:szCs w:val="17"/>
              </w:rPr>
            </w:pPr>
            <w:r w:rsidRPr="00B710A9">
              <w:rPr>
                <w:rFonts w:cs="Arial"/>
                <w:color w:val="000000"/>
                <w:sz w:val="17"/>
                <w:szCs w:val="17"/>
              </w:rPr>
              <w:t>70,49%</w:t>
            </w:r>
          </w:p>
        </w:tc>
      </w:tr>
      <w:tr w:rsidR="00E2174E" w:rsidRPr="00B710A9" w14:paraId="50E76F59" w14:textId="77777777" w:rsidTr="00E35A84">
        <w:trPr>
          <w:cantSplit/>
          <w:trHeight w:val="177"/>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06C6236F"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000000" w:fill="ACB9CA"/>
            <w:noWrap/>
            <w:vAlign w:val="bottom"/>
            <w:hideMark/>
          </w:tcPr>
          <w:p w14:paraId="7A4A144A" w14:textId="77777777" w:rsidR="00E2174E" w:rsidRPr="00B710A9" w:rsidRDefault="00E2174E" w:rsidP="00A224C8">
            <w:pPr>
              <w:rPr>
                <w:rFonts w:cs="Arial"/>
                <w:b/>
                <w:bCs/>
                <w:color w:val="000000"/>
                <w:sz w:val="17"/>
                <w:szCs w:val="17"/>
              </w:rPr>
            </w:pPr>
            <w:r w:rsidRPr="00B710A9">
              <w:rPr>
                <w:rFonts w:cs="Arial"/>
                <w:b/>
                <w:bCs/>
                <w:color w:val="000000"/>
                <w:sz w:val="17"/>
                <w:szCs w:val="17"/>
              </w:rPr>
              <w:t>Total</w:t>
            </w:r>
          </w:p>
        </w:tc>
        <w:tc>
          <w:tcPr>
            <w:tcW w:w="0" w:type="auto"/>
            <w:tcBorders>
              <w:top w:val="nil"/>
              <w:left w:val="nil"/>
              <w:bottom w:val="single" w:sz="4" w:space="0" w:color="auto"/>
              <w:right w:val="single" w:sz="4" w:space="0" w:color="auto"/>
            </w:tcBorders>
            <w:shd w:val="clear" w:color="000000" w:fill="ACB9CA"/>
            <w:noWrap/>
            <w:vAlign w:val="bottom"/>
            <w:hideMark/>
          </w:tcPr>
          <w:p w14:paraId="06F95937"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$ 3.792</w:t>
            </w:r>
          </w:p>
        </w:tc>
        <w:tc>
          <w:tcPr>
            <w:tcW w:w="0" w:type="auto"/>
            <w:tcBorders>
              <w:top w:val="nil"/>
              <w:left w:val="nil"/>
              <w:bottom w:val="single" w:sz="4" w:space="0" w:color="auto"/>
              <w:right w:val="single" w:sz="4" w:space="0" w:color="auto"/>
            </w:tcBorders>
            <w:shd w:val="clear" w:color="000000" w:fill="ACB9CA"/>
            <w:noWrap/>
            <w:vAlign w:val="bottom"/>
            <w:hideMark/>
          </w:tcPr>
          <w:p w14:paraId="26E0500D"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$ 1.202</w:t>
            </w:r>
          </w:p>
        </w:tc>
        <w:tc>
          <w:tcPr>
            <w:tcW w:w="0" w:type="auto"/>
            <w:tcBorders>
              <w:top w:val="nil"/>
              <w:left w:val="nil"/>
              <w:bottom w:val="single" w:sz="4" w:space="0" w:color="auto"/>
              <w:right w:val="single" w:sz="4" w:space="0" w:color="auto"/>
            </w:tcBorders>
            <w:shd w:val="clear" w:color="000000" w:fill="ACB9CA"/>
            <w:noWrap/>
            <w:vAlign w:val="bottom"/>
            <w:hideMark/>
          </w:tcPr>
          <w:p w14:paraId="066BB7A0"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31,70%</w:t>
            </w:r>
          </w:p>
        </w:tc>
        <w:tc>
          <w:tcPr>
            <w:tcW w:w="0" w:type="auto"/>
            <w:tcBorders>
              <w:top w:val="nil"/>
              <w:left w:val="nil"/>
              <w:bottom w:val="single" w:sz="4" w:space="0" w:color="auto"/>
              <w:right w:val="single" w:sz="4" w:space="0" w:color="auto"/>
            </w:tcBorders>
            <w:shd w:val="clear" w:color="000000" w:fill="ACB9CA"/>
            <w:noWrap/>
            <w:vAlign w:val="bottom"/>
            <w:hideMark/>
          </w:tcPr>
          <w:p w14:paraId="6D7031BD"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$ 1.157</w:t>
            </w:r>
          </w:p>
        </w:tc>
        <w:tc>
          <w:tcPr>
            <w:tcW w:w="0" w:type="auto"/>
            <w:tcBorders>
              <w:top w:val="nil"/>
              <w:left w:val="nil"/>
              <w:bottom w:val="single" w:sz="4" w:space="0" w:color="auto"/>
              <w:right w:val="single" w:sz="4" w:space="0" w:color="auto"/>
            </w:tcBorders>
            <w:shd w:val="clear" w:color="000000" w:fill="ACB9CA"/>
            <w:noWrap/>
            <w:vAlign w:val="bottom"/>
            <w:hideMark/>
          </w:tcPr>
          <w:p w14:paraId="04311DD8"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30,51%</w:t>
            </w:r>
          </w:p>
        </w:tc>
        <w:tc>
          <w:tcPr>
            <w:tcW w:w="0" w:type="auto"/>
            <w:tcBorders>
              <w:top w:val="nil"/>
              <w:left w:val="nil"/>
              <w:bottom w:val="single" w:sz="4" w:space="0" w:color="auto"/>
              <w:right w:val="single" w:sz="4" w:space="0" w:color="auto"/>
            </w:tcBorders>
            <w:shd w:val="clear" w:color="000000" w:fill="ACB9CA"/>
            <w:noWrap/>
            <w:vAlign w:val="bottom"/>
            <w:hideMark/>
          </w:tcPr>
          <w:p w14:paraId="6B529672"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$ 1.095</w:t>
            </w:r>
          </w:p>
        </w:tc>
        <w:tc>
          <w:tcPr>
            <w:tcW w:w="0" w:type="auto"/>
            <w:tcBorders>
              <w:top w:val="nil"/>
              <w:left w:val="nil"/>
              <w:bottom w:val="single" w:sz="4" w:space="0" w:color="auto"/>
              <w:right w:val="single" w:sz="4" w:space="0" w:color="auto"/>
            </w:tcBorders>
            <w:shd w:val="clear" w:color="000000" w:fill="ACB9CA"/>
            <w:noWrap/>
            <w:vAlign w:val="bottom"/>
            <w:hideMark/>
          </w:tcPr>
          <w:p w14:paraId="5A628F58"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28,89%</w:t>
            </w:r>
          </w:p>
        </w:tc>
        <w:tc>
          <w:tcPr>
            <w:tcW w:w="0" w:type="auto"/>
            <w:tcBorders>
              <w:top w:val="nil"/>
              <w:left w:val="nil"/>
              <w:bottom w:val="single" w:sz="4" w:space="0" w:color="auto"/>
              <w:right w:val="single" w:sz="4" w:space="0" w:color="auto"/>
            </w:tcBorders>
            <w:shd w:val="clear" w:color="000000" w:fill="ACB9CA"/>
            <w:noWrap/>
            <w:vAlign w:val="bottom"/>
            <w:hideMark/>
          </w:tcPr>
          <w:p w14:paraId="12220D98"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$ 992</w:t>
            </w:r>
          </w:p>
        </w:tc>
        <w:tc>
          <w:tcPr>
            <w:tcW w:w="0" w:type="auto"/>
            <w:tcBorders>
              <w:top w:val="nil"/>
              <w:left w:val="nil"/>
              <w:bottom w:val="single" w:sz="4" w:space="0" w:color="auto"/>
              <w:right w:val="single" w:sz="4" w:space="0" w:color="auto"/>
            </w:tcBorders>
            <w:shd w:val="clear" w:color="000000" w:fill="ACB9CA"/>
            <w:noWrap/>
            <w:vAlign w:val="bottom"/>
            <w:hideMark/>
          </w:tcPr>
          <w:p w14:paraId="3F7045E7"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26,16%</w:t>
            </w:r>
          </w:p>
        </w:tc>
        <w:tc>
          <w:tcPr>
            <w:tcW w:w="0" w:type="auto"/>
            <w:tcBorders>
              <w:top w:val="nil"/>
              <w:left w:val="nil"/>
              <w:bottom w:val="single" w:sz="4" w:space="0" w:color="auto"/>
              <w:right w:val="single" w:sz="4" w:space="0" w:color="auto"/>
            </w:tcBorders>
            <w:shd w:val="clear" w:color="000000" w:fill="ACB9CA"/>
            <w:noWrap/>
            <w:vAlign w:val="bottom"/>
            <w:hideMark/>
          </w:tcPr>
          <w:p w14:paraId="513685E9"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$ 2.590</w:t>
            </w:r>
          </w:p>
        </w:tc>
        <w:tc>
          <w:tcPr>
            <w:tcW w:w="0" w:type="auto"/>
            <w:tcBorders>
              <w:top w:val="nil"/>
              <w:left w:val="nil"/>
              <w:bottom w:val="single" w:sz="4" w:space="0" w:color="auto"/>
              <w:right w:val="single" w:sz="4" w:space="0" w:color="auto"/>
            </w:tcBorders>
            <w:shd w:val="clear" w:color="000000" w:fill="ACB9CA"/>
            <w:noWrap/>
            <w:vAlign w:val="bottom"/>
            <w:hideMark/>
          </w:tcPr>
          <w:p w14:paraId="33BC1110"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68,30%</w:t>
            </w:r>
          </w:p>
        </w:tc>
      </w:tr>
      <w:tr w:rsidR="00E2174E" w:rsidRPr="00B710A9" w14:paraId="2ED563EB" w14:textId="77777777" w:rsidTr="00E35A84">
        <w:trPr>
          <w:cantSplit/>
          <w:trHeight w:val="19"/>
          <w:jc w:val="center"/>
        </w:trPr>
        <w:tc>
          <w:tcPr>
            <w:tcW w:w="373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9A78FAF" w14:textId="4C7E40D6" w:rsidR="00E2174E" w:rsidRPr="00B710A9" w:rsidRDefault="00E2174E" w:rsidP="00A224C8">
            <w:pPr>
              <w:jc w:val="center"/>
              <w:rPr>
                <w:rFonts w:cs="Arial"/>
                <w:color w:val="000000"/>
                <w:sz w:val="17"/>
                <w:szCs w:val="17"/>
              </w:rPr>
            </w:pPr>
            <w:r w:rsidRPr="00B710A9">
              <w:rPr>
                <w:rFonts w:cs="Arial"/>
                <w:color w:val="000000"/>
                <w:sz w:val="17"/>
                <w:szCs w:val="17"/>
              </w:rPr>
              <w:t xml:space="preserve">Fortalecimiento de la gestión institucional del </w:t>
            </w:r>
            <w:r w:rsidR="00E35A84" w:rsidRPr="00B710A9">
              <w:rPr>
                <w:rFonts w:cs="Arial"/>
                <w:color w:val="000000"/>
                <w:sz w:val="17"/>
                <w:szCs w:val="17"/>
              </w:rPr>
              <w:t>IGAC</w:t>
            </w:r>
            <w:r w:rsidRPr="00B710A9">
              <w:rPr>
                <w:rFonts w:cs="Arial"/>
                <w:color w:val="000000"/>
                <w:sz w:val="17"/>
                <w:szCs w:val="17"/>
              </w:rPr>
              <w:t xml:space="preserve"> a nivel nacional</w:t>
            </w:r>
          </w:p>
        </w:tc>
        <w:tc>
          <w:tcPr>
            <w:tcW w:w="0" w:type="auto"/>
            <w:tcBorders>
              <w:top w:val="nil"/>
              <w:left w:val="nil"/>
              <w:bottom w:val="single" w:sz="4" w:space="0" w:color="auto"/>
              <w:right w:val="single" w:sz="4" w:space="0" w:color="auto"/>
            </w:tcBorders>
            <w:shd w:val="clear" w:color="auto" w:fill="auto"/>
            <w:noWrap/>
            <w:vAlign w:val="center"/>
            <w:hideMark/>
          </w:tcPr>
          <w:p w14:paraId="0C400B10" w14:textId="77777777" w:rsidR="00E2174E" w:rsidRPr="00B710A9" w:rsidRDefault="00E2174E" w:rsidP="00A224C8">
            <w:pPr>
              <w:rPr>
                <w:rFonts w:cs="Arial"/>
                <w:color w:val="000000"/>
                <w:sz w:val="17"/>
                <w:szCs w:val="17"/>
              </w:rPr>
            </w:pPr>
            <w:r w:rsidRPr="00B710A9">
              <w:rPr>
                <w:rFonts w:cs="Arial"/>
                <w:color w:val="000000"/>
                <w:sz w:val="17"/>
                <w:szCs w:val="17"/>
              </w:rPr>
              <w:t>Nación</w:t>
            </w:r>
          </w:p>
        </w:tc>
        <w:tc>
          <w:tcPr>
            <w:tcW w:w="0" w:type="auto"/>
            <w:tcBorders>
              <w:top w:val="nil"/>
              <w:left w:val="nil"/>
              <w:bottom w:val="single" w:sz="4" w:space="0" w:color="auto"/>
              <w:right w:val="single" w:sz="4" w:space="0" w:color="auto"/>
            </w:tcBorders>
            <w:shd w:val="clear" w:color="auto" w:fill="auto"/>
            <w:noWrap/>
            <w:vAlign w:val="bottom"/>
            <w:hideMark/>
          </w:tcPr>
          <w:p w14:paraId="0FF51A2A" w14:textId="77777777" w:rsidR="00E2174E" w:rsidRPr="00B710A9" w:rsidRDefault="00E2174E" w:rsidP="00A224C8">
            <w:pPr>
              <w:jc w:val="right"/>
              <w:rPr>
                <w:rFonts w:cs="Arial"/>
                <w:color w:val="000000"/>
                <w:sz w:val="17"/>
                <w:szCs w:val="17"/>
              </w:rPr>
            </w:pPr>
            <w:r w:rsidRPr="00B710A9">
              <w:rPr>
                <w:rFonts w:cs="Arial"/>
                <w:color w:val="000000"/>
                <w:sz w:val="17"/>
                <w:szCs w:val="17"/>
              </w:rPr>
              <w:t>$ 2.563</w:t>
            </w:r>
          </w:p>
        </w:tc>
        <w:tc>
          <w:tcPr>
            <w:tcW w:w="0" w:type="auto"/>
            <w:tcBorders>
              <w:top w:val="nil"/>
              <w:left w:val="nil"/>
              <w:bottom w:val="single" w:sz="4" w:space="0" w:color="auto"/>
              <w:right w:val="single" w:sz="4" w:space="0" w:color="auto"/>
            </w:tcBorders>
            <w:shd w:val="clear" w:color="auto" w:fill="auto"/>
            <w:noWrap/>
            <w:vAlign w:val="bottom"/>
            <w:hideMark/>
          </w:tcPr>
          <w:p w14:paraId="48F97D52" w14:textId="77777777" w:rsidR="00E2174E" w:rsidRPr="00B710A9" w:rsidRDefault="00E2174E" w:rsidP="00A224C8">
            <w:pPr>
              <w:jc w:val="right"/>
              <w:rPr>
                <w:rFonts w:cs="Arial"/>
                <w:color w:val="000000"/>
                <w:sz w:val="17"/>
                <w:szCs w:val="17"/>
              </w:rPr>
            </w:pPr>
            <w:r w:rsidRPr="00B710A9">
              <w:rPr>
                <w:rFonts w:cs="Arial"/>
                <w:color w:val="000000"/>
                <w:sz w:val="17"/>
                <w:szCs w:val="17"/>
              </w:rPr>
              <w:t>$ 2.487</w:t>
            </w:r>
          </w:p>
        </w:tc>
        <w:tc>
          <w:tcPr>
            <w:tcW w:w="0" w:type="auto"/>
            <w:tcBorders>
              <w:top w:val="nil"/>
              <w:left w:val="nil"/>
              <w:bottom w:val="single" w:sz="4" w:space="0" w:color="auto"/>
              <w:right w:val="single" w:sz="4" w:space="0" w:color="auto"/>
            </w:tcBorders>
            <w:shd w:val="clear" w:color="auto" w:fill="auto"/>
            <w:noWrap/>
            <w:vAlign w:val="bottom"/>
            <w:hideMark/>
          </w:tcPr>
          <w:p w14:paraId="2649983E" w14:textId="77777777" w:rsidR="00E2174E" w:rsidRPr="00B710A9" w:rsidRDefault="00E2174E" w:rsidP="00A224C8">
            <w:pPr>
              <w:jc w:val="center"/>
              <w:rPr>
                <w:rFonts w:cs="Arial"/>
                <w:color w:val="000000"/>
                <w:sz w:val="17"/>
                <w:szCs w:val="17"/>
              </w:rPr>
            </w:pPr>
            <w:r w:rsidRPr="00B710A9">
              <w:rPr>
                <w:rFonts w:cs="Arial"/>
                <w:color w:val="000000"/>
                <w:sz w:val="17"/>
                <w:szCs w:val="17"/>
              </w:rPr>
              <w:t>97,04%</w:t>
            </w:r>
          </w:p>
        </w:tc>
        <w:tc>
          <w:tcPr>
            <w:tcW w:w="0" w:type="auto"/>
            <w:tcBorders>
              <w:top w:val="nil"/>
              <w:left w:val="nil"/>
              <w:bottom w:val="single" w:sz="4" w:space="0" w:color="auto"/>
              <w:right w:val="single" w:sz="4" w:space="0" w:color="auto"/>
            </w:tcBorders>
            <w:shd w:val="clear" w:color="auto" w:fill="auto"/>
            <w:noWrap/>
            <w:vAlign w:val="bottom"/>
            <w:hideMark/>
          </w:tcPr>
          <w:p w14:paraId="70625A1D" w14:textId="77777777" w:rsidR="00E2174E" w:rsidRPr="00B710A9" w:rsidRDefault="00E2174E" w:rsidP="00A224C8">
            <w:pPr>
              <w:jc w:val="right"/>
              <w:rPr>
                <w:rFonts w:cs="Arial"/>
                <w:color w:val="000000"/>
                <w:sz w:val="17"/>
                <w:szCs w:val="17"/>
              </w:rPr>
            </w:pPr>
            <w:r w:rsidRPr="00B710A9">
              <w:rPr>
                <w:rFonts w:cs="Arial"/>
                <w:color w:val="000000"/>
                <w:sz w:val="17"/>
                <w:szCs w:val="17"/>
              </w:rPr>
              <w:t>$ 2.469</w:t>
            </w:r>
          </w:p>
        </w:tc>
        <w:tc>
          <w:tcPr>
            <w:tcW w:w="0" w:type="auto"/>
            <w:tcBorders>
              <w:top w:val="nil"/>
              <w:left w:val="nil"/>
              <w:bottom w:val="single" w:sz="4" w:space="0" w:color="auto"/>
              <w:right w:val="single" w:sz="4" w:space="0" w:color="auto"/>
            </w:tcBorders>
            <w:shd w:val="clear" w:color="auto" w:fill="auto"/>
            <w:noWrap/>
            <w:vAlign w:val="bottom"/>
            <w:hideMark/>
          </w:tcPr>
          <w:p w14:paraId="0827F157" w14:textId="77777777" w:rsidR="00E2174E" w:rsidRPr="00B710A9" w:rsidRDefault="00E2174E" w:rsidP="00A224C8">
            <w:pPr>
              <w:jc w:val="center"/>
              <w:rPr>
                <w:rFonts w:cs="Arial"/>
                <w:color w:val="000000"/>
                <w:sz w:val="17"/>
                <w:szCs w:val="17"/>
              </w:rPr>
            </w:pPr>
            <w:r w:rsidRPr="00B710A9">
              <w:rPr>
                <w:rFonts w:cs="Arial"/>
                <w:color w:val="000000"/>
                <w:sz w:val="17"/>
                <w:szCs w:val="17"/>
              </w:rPr>
              <w:t>96,34%</w:t>
            </w:r>
          </w:p>
        </w:tc>
        <w:tc>
          <w:tcPr>
            <w:tcW w:w="0" w:type="auto"/>
            <w:tcBorders>
              <w:top w:val="nil"/>
              <w:left w:val="nil"/>
              <w:bottom w:val="single" w:sz="4" w:space="0" w:color="auto"/>
              <w:right w:val="single" w:sz="4" w:space="0" w:color="auto"/>
            </w:tcBorders>
            <w:shd w:val="clear" w:color="auto" w:fill="auto"/>
            <w:noWrap/>
            <w:vAlign w:val="bottom"/>
            <w:hideMark/>
          </w:tcPr>
          <w:p w14:paraId="7F62522B" w14:textId="77777777" w:rsidR="00E2174E" w:rsidRPr="00B710A9" w:rsidRDefault="00E2174E" w:rsidP="00A224C8">
            <w:pPr>
              <w:jc w:val="right"/>
              <w:rPr>
                <w:rFonts w:cs="Arial"/>
                <w:color w:val="000000"/>
                <w:sz w:val="17"/>
                <w:szCs w:val="17"/>
              </w:rPr>
            </w:pPr>
            <w:r w:rsidRPr="00B710A9">
              <w:rPr>
                <w:rFonts w:cs="Arial"/>
                <w:color w:val="000000"/>
                <w:sz w:val="17"/>
                <w:szCs w:val="17"/>
              </w:rPr>
              <w:t>$ 2.275</w:t>
            </w:r>
          </w:p>
        </w:tc>
        <w:tc>
          <w:tcPr>
            <w:tcW w:w="0" w:type="auto"/>
            <w:tcBorders>
              <w:top w:val="nil"/>
              <w:left w:val="nil"/>
              <w:bottom w:val="single" w:sz="4" w:space="0" w:color="auto"/>
              <w:right w:val="single" w:sz="4" w:space="0" w:color="auto"/>
            </w:tcBorders>
            <w:shd w:val="clear" w:color="auto" w:fill="auto"/>
            <w:noWrap/>
            <w:vAlign w:val="bottom"/>
            <w:hideMark/>
          </w:tcPr>
          <w:p w14:paraId="79F74B55" w14:textId="77777777" w:rsidR="00E2174E" w:rsidRPr="00B710A9" w:rsidRDefault="00E2174E" w:rsidP="00A224C8">
            <w:pPr>
              <w:jc w:val="center"/>
              <w:rPr>
                <w:rFonts w:cs="Arial"/>
                <w:color w:val="000000"/>
                <w:sz w:val="17"/>
                <w:szCs w:val="17"/>
              </w:rPr>
            </w:pPr>
            <w:r w:rsidRPr="00B710A9">
              <w:rPr>
                <w:rFonts w:cs="Arial"/>
                <w:color w:val="000000"/>
                <w:sz w:val="17"/>
                <w:szCs w:val="17"/>
              </w:rPr>
              <w:t>88,76%</w:t>
            </w:r>
          </w:p>
        </w:tc>
        <w:tc>
          <w:tcPr>
            <w:tcW w:w="0" w:type="auto"/>
            <w:tcBorders>
              <w:top w:val="nil"/>
              <w:left w:val="nil"/>
              <w:bottom w:val="single" w:sz="4" w:space="0" w:color="auto"/>
              <w:right w:val="single" w:sz="4" w:space="0" w:color="auto"/>
            </w:tcBorders>
            <w:shd w:val="clear" w:color="auto" w:fill="auto"/>
            <w:noWrap/>
            <w:vAlign w:val="bottom"/>
            <w:hideMark/>
          </w:tcPr>
          <w:p w14:paraId="1F11E4B5" w14:textId="77777777" w:rsidR="00E2174E" w:rsidRPr="00B710A9" w:rsidRDefault="00E2174E" w:rsidP="00A224C8">
            <w:pPr>
              <w:jc w:val="right"/>
              <w:rPr>
                <w:rFonts w:cs="Arial"/>
                <w:color w:val="000000"/>
                <w:sz w:val="17"/>
                <w:szCs w:val="17"/>
              </w:rPr>
            </w:pPr>
            <w:r w:rsidRPr="00B710A9">
              <w:rPr>
                <w:rFonts w:cs="Arial"/>
                <w:color w:val="000000"/>
                <w:sz w:val="17"/>
                <w:szCs w:val="17"/>
              </w:rPr>
              <w:t>$ 2.262</w:t>
            </w:r>
          </w:p>
        </w:tc>
        <w:tc>
          <w:tcPr>
            <w:tcW w:w="0" w:type="auto"/>
            <w:tcBorders>
              <w:top w:val="nil"/>
              <w:left w:val="nil"/>
              <w:bottom w:val="single" w:sz="4" w:space="0" w:color="auto"/>
              <w:right w:val="single" w:sz="4" w:space="0" w:color="auto"/>
            </w:tcBorders>
            <w:shd w:val="clear" w:color="auto" w:fill="auto"/>
            <w:noWrap/>
            <w:vAlign w:val="bottom"/>
            <w:hideMark/>
          </w:tcPr>
          <w:p w14:paraId="0C7FABBB" w14:textId="77777777" w:rsidR="00E2174E" w:rsidRPr="00B710A9" w:rsidRDefault="00E2174E" w:rsidP="00A224C8">
            <w:pPr>
              <w:jc w:val="center"/>
              <w:rPr>
                <w:rFonts w:cs="Arial"/>
                <w:color w:val="000000"/>
                <w:sz w:val="17"/>
                <w:szCs w:val="17"/>
              </w:rPr>
            </w:pPr>
            <w:r w:rsidRPr="00B710A9">
              <w:rPr>
                <w:rFonts w:cs="Arial"/>
                <w:color w:val="000000"/>
                <w:sz w:val="17"/>
                <w:szCs w:val="17"/>
              </w:rPr>
              <w:t>88,27%</w:t>
            </w:r>
          </w:p>
        </w:tc>
        <w:tc>
          <w:tcPr>
            <w:tcW w:w="0" w:type="auto"/>
            <w:tcBorders>
              <w:top w:val="nil"/>
              <w:left w:val="nil"/>
              <w:bottom w:val="single" w:sz="4" w:space="0" w:color="auto"/>
              <w:right w:val="single" w:sz="4" w:space="0" w:color="auto"/>
            </w:tcBorders>
            <w:shd w:val="clear" w:color="auto" w:fill="auto"/>
            <w:noWrap/>
            <w:vAlign w:val="bottom"/>
            <w:hideMark/>
          </w:tcPr>
          <w:p w14:paraId="18EBCC59" w14:textId="77777777" w:rsidR="00E2174E" w:rsidRPr="00B710A9" w:rsidRDefault="00E2174E" w:rsidP="00A224C8">
            <w:pPr>
              <w:jc w:val="right"/>
              <w:rPr>
                <w:rFonts w:cs="Arial"/>
                <w:color w:val="000000"/>
                <w:sz w:val="17"/>
                <w:szCs w:val="17"/>
              </w:rPr>
            </w:pPr>
            <w:r w:rsidRPr="00B710A9">
              <w:rPr>
                <w:rFonts w:cs="Arial"/>
                <w:color w:val="000000"/>
                <w:sz w:val="17"/>
                <w:szCs w:val="17"/>
              </w:rPr>
              <w:t>$ 76</w:t>
            </w:r>
          </w:p>
        </w:tc>
        <w:tc>
          <w:tcPr>
            <w:tcW w:w="0" w:type="auto"/>
            <w:tcBorders>
              <w:top w:val="nil"/>
              <w:left w:val="nil"/>
              <w:bottom w:val="single" w:sz="4" w:space="0" w:color="auto"/>
              <w:right w:val="single" w:sz="4" w:space="0" w:color="auto"/>
            </w:tcBorders>
            <w:shd w:val="clear" w:color="auto" w:fill="auto"/>
            <w:noWrap/>
            <w:vAlign w:val="bottom"/>
            <w:hideMark/>
          </w:tcPr>
          <w:p w14:paraId="290B3AA4" w14:textId="77777777" w:rsidR="00E2174E" w:rsidRPr="00B710A9" w:rsidRDefault="00E2174E" w:rsidP="00A224C8">
            <w:pPr>
              <w:jc w:val="center"/>
              <w:rPr>
                <w:rFonts w:cs="Arial"/>
                <w:color w:val="000000"/>
                <w:sz w:val="17"/>
                <w:szCs w:val="17"/>
              </w:rPr>
            </w:pPr>
            <w:r w:rsidRPr="00B710A9">
              <w:rPr>
                <w:rFonts w:cs="Arial"/>
                <w:color w:val="000000"/>
                <w:sz w:val="17"/>
                <w:szCs w:val="17"/>
              </w:rPr>
              <w:t>2,96%</w:t>
            </w:r>
          </w:p>
        </w:tc>
      </w:tr>
      <w:tr w:rsidR="00E2174E" w:rsidRPr="00B710A9" w14:paraId="5EBDF3DF" w14:textId="77777777" w:rsidTr="00E35A84">
        <w:trPr>
          <w:cantSplit/>
          <w:trHeight w:val="19"/>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4B670D01"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auto" w:fill="auto"/>
            <w:noWrap/>
            <w:vAlign w:val="center"/>
            <w:hideMark/>
          </w:tcPr>
          <w:p w14:paraId="4B6AC903" w14:textId="77777777" w:rsidR="00E2174E" w:rsidRPr="00B710A9" w:rsidRDefault="00E2174E" w:rsidP="00A224C8">
            <w:pPr>
              <w:rPr>
                <w:rFonts w:cs="Arial"/>
                <w:color w:val="000000"/>
                <w:sz w:val="17"/>
                <w:szCs w:val="17"/>
              </w:rPr>
            </w:pPr>
            <w:r w:rsidRPr="00B710A9">
              <w:rPr>
                <w:rFonts w:cs="Arial"/>
                <w:color w:val="000000"/>
                <w:sz w:val="17"/>
                <w:szCs w:val="17"/>
              </w:rPr>
              <w:t>Propios</w:t>
            </w:r>
          </w:p>
        </w:tc>
        <w:tc>
          <w:tcPr>
            <w:tcW w:w="0" w:type="auto"/>
            <w:tcBorders>
              <w:top w:val="nil"/>
              <w:left w:val="nil"/>
              <w:bottom w:val="single" w:sz="4" w:space="0" w:color="auto"/>
              <w:right w:val="single" w:sz="4" w:space="0" w:color="auto"/>
            </w:tcBorders>
            <w:shd w:val="clear" w:color="auto" w:fill="auto"/>
            <w:noWrap/>
            <w:vAlign w:val="bottom"/>
            <w:hideMark/>
          </w:tcPr>
          <w:p w14:paraId="5AAE5646" w14:textId="77777777" w:rsidR="00E2174E" w:rsidRPr="00B710A9" w:rsidRDefault="00E2174E" w:rsidP="00A224C8">
            <w:pPr>
              <w:jc w:val="right"/>
              <w:rPr>
                <w:rFonts w:cs="Arial"/>
                <w:color w:val="000000"/>
                <w:sz w:val="17"/>
                <w:szCs w:val="17"/>
              </w:rPr>
            </w:pPr>
            <w:r w:rsidRPr="00B710A9">
              <w:rPr>
                <w:rFonts w:cs="Arial"/>
                <w:color w:val="000000"/>
                <w:sz w:val="17"/>
                <w:szCs w:val="17"/>
              </w:rPr>
              <w:t>$ 3.402</w:t>
            </w:r>
          </w:p>
        </w:tc>
        <w:tc>
          <w:tcPr>
            <w:tcW w:w="0" w:type="auto"/>
            <w:tcBorders>
              <w:top w:val="nil"/>
              <w:left w:val="nil"/>
              <w:bottom w:val="single" w:sz="4" w:space="0" w:color="auto"/>
              <w:right w:val="single" w:sz="4" w:space="0" w:color="auto"/>
            </w:tcBorders>
            <w:shd w:val="clear" w:color="auto" w:fill="auto"/>
            <w:noWrap/>
            <w:vAlign w:val="bottom"/>
            <w:hideMark/>
          </w:tcPr>
          <w:p w14:paraId="6D30A1A1" w14:textId="77777777" w:rsidR="00E2174E" w:rsidRPr="00B710A9" w:rsidRDefault="00E2174E" w:rsidP="00A224C8">
            <w:pPr>
              <w:jc w:val="right"/>
              <w:rPr>
                <w:rFonts w:cs="Arial"/>
                <w:color w:val="000000"/>
                <w:sz w:val="17"/>
                <w:szCs w:val="17"/>
              </w:rPr>
            </w:pPr>
            <w:r w:rsidRPr="00B710A9">
              <w:rPr>
                <w:rFonts w:cs="Arial"/>
                <w:color w:val="000000"/>
                <w:sz w:val="17"/>
                <w:szCs w:val="17"/>
              </w:rPr>
              <w:t>$ 3.236</w:t>
            </w:r>
          </w:p>
        </w:tc>
        <w:tc>
          <w:tcPr>
            <w:tcW w:w="0" w:type="auto"/>
            <w:tcBorders>
              <w:top w:val="nil"/>
              <w:left w:val="nil"/>
              <w:bottom w:val="single" w:sz="4" w:space="0" w:color="auto"/>
              <w:right w:val="single" w:sz="4" w:space="0" w:color="auto"/>
            </w:tcBorders>
            <w:shd w:val="clear" w:color="auto" w:fill="auto"/>
            <w:noWrap/>
            <w:vAlign w:val="bottom"/>
            <w:hideMark/>
          </w:tcPr>
          <w:p w14:paraId="7DB59465" w14:textId="77777777" w:rsidR="00E2174E" w:rsidRPr="00B710A9" w:rsidRDefault="00E2174E" w:rsidP="00A224C8">
            <w:pPr>
              <w:jc w:val="center"/>
              <w:rPr>
                <w:rFonts w:cs="Arial"/>
                <w:color w:val="000000"/>
                <w:sz w:val="17"/>
                <w:szCs w:val="17"/>
              </w:rPr>
            </w:pPr>
            <w:r w:rsidRPr="00B710A9">
              <w:rPr>
                <w:rFonts w:cs="Arial"/>
                <w:color w:val="000000"/>
                <w:sz w:val="17"/>
                <w:szCs w:val="17"/>
              </w:rPr>
              <w:t>95,10%</w:t>
            </w:r>
          </w:p>
        </w:tc>
        <w:tc>
          <w:tcPr>
            <w:tcW w:w="0" w:type="auto"/>
            <w:tcBorders>
              <w:top w:val="nil"/>
              <w:left w:val="nil"/>
              <w:bottom w:val="single" w:sz="4" w:space="0" w:color="auto"/>
              <w:right w:val="single" w:sz="4" w:space="0" w:color="auto"/>
            </w:tcBorders>
            <w:shd w:val="clear" w:color="auto" w:fill="auto"/>
            <w:noWrap/>
            <w:vAlign w:val="bottom"/>
            <w:hideMark/>
          </w:tcPr>
          <w:p w14:paraId="3A0AF116" w14:textId="77777777" w:rsidR="00E2174E" w:rsidRPr="00B710A9" w:rsidRDefault="00E2174E" w:rsidP="00A224C8">
            <w:pPr>
              <w:jc w:val="right"/>
              <w:rPr>
                <w:rFonts w:cs="Arial"/>
                <w:color w:val="000000"/>
                <w:sz w:val="17"/>
                <w:szCs w:val="17"/>
              </w:rPr>
            </w:pPr>
            <w:r w:rsidRPr="00B710A9">
              <w:rPr>
                <w:rFonts w:cs="Arial"/>
                <w:color w:val="000000"/>
                <w:sz w:val="17"/>
                <w:szCs w:val="17"/>
              </w:rPr>
              <w:t>$ 3.215</w:t>
            </w:r>
          </w:p>
        </w:tc>
        <w:tc>
          <w:tcPr>
            <w:tcW w:w="0" w:type="auto"/>
            <w:tcBorders>
              <w:top w:val="nil"/>
              <w:left w:val="nil"/>
              <w:bottom w:val="single" w:sz="4" w:space="0" w:color="auto"/>
              <w:right w:val="single" w:sz="4" w:space="0" w:color="auto"/>
            </w:tcBorders>
            <w:shd w:val="clear" w:color="auto" w:fill="auto"/>
            <w:noWrap/>
            <w:vAlign w:val="bottom"/>
            <w:hideMark/>
          </w:tcPr>
          <w:p w14:paraId="50CF9F59" w14:textId="77777777" w:rsidR="00E2174E" w:rsidRPr="00B710A9" w:rsidRDefault="00E2174E" w:rsidP="00A224C8">
            <w:pPr>
              <w:jc w:val="center"/>
              <w:rPr>
                <w:rFonts w:cs="Arial"/>
                <w:color w:val="000000"/>
                <w:sz w:val="17"/>
                <w:szCs w:val="17"/>
              </w:rPr>
            </w:pPr>
            <w:r w:rsidRPr="00B710A9">
              <w:rPr>
                <w:rFonts w:cs="Arial"/>
                <w:color w:val="000000"/>
                <w:sz w:val="17"/>
                <w:szCs w:val="17"/>
              </w:rPr>
              <w:t>94,50%</w:t>
            </w:r>
          </w:p>
        </w:tc>
        <w:tc>
          <w:tcPr>
            <w:tcW w:w="0" w:type="auto"/>
            <w:tcBorders>
              <w:top w:val="nil"/>
              <w:left w:val="nil"/>
              <w:bottom w:val="single" w:sz="4" w:space="0" w:color="auto"/>
              <w:right w:val="single" w:sz="4" w:space="0" w:color="auto"/>
            </w:tcBorders>
            <w:shd w:val="clear" w:color="auto" w:fill="auto"/>
            <w:noWrap/>
            <w:vAlign w:val="bottom"/>
            <w:hideMark/>
          </w:tcPr>
          <w:p w14:paraId="482108AD" w14:textId="77777777" w:rsidR="00E2174E" w:rsidRPr="00B710A9" w:rsidRDefault="00E2174E" w:rsidP="00A224C8">
            <w:pPr>
              <w:jc w:val="right"/>
              <w:rPr>
                <w:rFonts w:cs="Arial"/>
                <w:color w:val="000000"/>
                <w:sz w:val="17"/>
                <w:szCs w:val="17"/>
              </w:rPr>
            </w:pPr>
            <w:r w:rsidRPr="00B710A9">
              <w:rPr>
                <w:rFonts w:cs="Arial"/>
                <w:color w:val="000000"/>
                <w:sz w:val="17"/>
                <w:szCs w:val="17"/>
              </w:rPr>
              <w:t>$ 3.182</w:t>
            </w:r>
          </w:p>
        </w:tc>
        <w:tc>
          <w:tcPr>
            <w:tcW w:w="0" w:type="auto"/>
            <w:tcBorders>
              <w:top w:val="nil"/>
              <w:left w:val="nil"/>
              <w:bottom w:val="single" w:sz="4" w:space="0" w:color="auto"/>
              <w:right w:val="single" w:sz="4" w:space="0" w:color="auto"/>
            </w:tcBorders>
            <w:shd w:val="clear" w:color="auto" w:fill="auto"/>
            <w:noWrap/>
            <w:vAlign w:val="bottom"/>
            <w:hideMark/>
          </w:tcPr>
          <w:p w14:paraId="3656AB8A" w14:textId="77777777" w:rsidR="00E2174E" w:rsidRPr="00B710A9" w:rsidRDefault="00E2174E" w:rsidP="00A224C8">
            <w:pPr>
              <w:jc w:val="center"/>
              <w:rPr>
                <w:rFonts w:cs="Arial"/>
                <w:color w:val="000000"/>
                <w:sz w:val="17"/>
                <w:szCs w:val="17"/>
              </w:rPr>
            </w:pPr>
            <w:r w:rsidRPr="00B710A9">
              <w:rPr>
                <w:rFonts w:cs="Arial"/>
                <w:color w:val="000000"/>
                <w:sz w:val="17"/>
                <w:szCs w:val="17"/>
              </w:rPr>
              <w:t>93,51%</w:t>
            </w:r>
          </w:p>
        </w:tc>
        <w:tc>
          <w:tcPr>
            <w:tcW w:w="0" w:type="auto"/>
            <w:tcBorders>
              <w:top w:val="nil"/>
              <w:left w:val="nil"/>
              <w:bottom w:val="single" w:sz="4" w:space="0" w:color="auto"/>
              <w:right w:val="single" w:sz="4" w:space="0" w:color="auto"/>
            </w:tcBorders>
            <w:shd w:val="clear" w:color="auto" w:fill="auto"/>
            <w:noWrap/>
            <w:vAlign w:val="bottom"/>
            <w:hideMark/>
          </w:tcPr>
          <w:p w14:paraId="35FFAD0B" w14:textId="77777777" w:rsidR="00E2174E" w:rsidRPr="00B710A9" w:rsidRDefault="00E2174E" w:rsidP="00A224C8">
            <w:pPr>
              <w:jc w:val="right"/>
              <w:rPr>
                <w:rFonts w:cs="Arial"/>
                <w:color w:val="000000"/>
                <w:sz w:val="17"/>
                <w:szCs w:val="17"/>
              </w:rPr>
            </w:pPr>
            <w:r w:rsidRPr="00B710A9">
              <w:rPr>
                <w:rFonts w:cs="Arial"/>
                <w:color w:val="000000"/>
                <w:sz w:val="17"/>
                <w:szCs w:val="17"/>
              </w:rPr>
              <w:t>$ 3.049</w:t>
            </w:r>
          </w:p>
        </w:tc>
        <w:tc>
          <w:tcPr>
            <w:tcW w:w="0" w:type="auto"/>
            <w:tcBorders>
              <w:top w:val="nil"/>
              <w:left w:val="nil"/>
              <w:bottom w:val="single" w:sz="4" w:space="0" w:color="auto"/>
              <w:right w:val="single" w:sz="4" w:space="0" w:color="auto"/>
            </w:tcBorders>
            <w:shd w:val="clear" w:color="auto" w:fill="auto"/>
            <w:noWrap/>
            <w:vAlign w:val="bottom"/>
            <w:hideMark/>
          </w:tcPr>
          <w:p w14:paraId="2C9E45A8" w14:textId="77777777" w:rsidR="00E2174E" w:rsidRPr="00B710A9" w:rsidRDefault="00E2174E" w:rsidP="00A224C8">
            <w:pPr>
              <w:jc w:val="center"/>
              <w:rPr>
                <w:rFonts w:cs="Arial"/>
                <w:color w:val="000000"/>
                <w:sz w:val="17"/>
                <w:szCs w:val="17"/>
              </w:rPr>
            </w:pPr>
            <w:r w:rsidRPr="00B710A9">
              <w:rPr>
                <w:rFonts w:cs="Arial"/>
                <w:color w:val="000000"/>
                <w:sz w:val="17"/>
                <w:szCs w:val="17"/>
              </w:rPr>
              <w:t>89,62%</w:t>
            </w:r>
          </w:p>
        </w:tc>
        <w:tc>
          <w:tcPr>
            <w:tcW w:w="0" w:type="auto"/>
            <w:tcBorders>
              <w:top w:val="nil"/>
              <w:left w:val="nil"/>
              <w:bottom w:val="single" w:sz="4" w:space="0" w:color="auto"/>
              <w:right w:val="single" w:sz="4" w:space="0" w:color="auto"/>
            </w:tcBorders>
            <w:shd w:val="clear" w:color="auto" w:fill="auto"/>
            <w:noWrap/>
            <w:vAlign w:val="bottom"/>
            <w:hideMark/>
          </w:tcPr>
          <w:p w14:paraId="4EE2FC85" w14:textId="77777777" w:rsidR="00E2174E" w:rsidRPr="00B710A9" w:rsidRDefault="00E2174E" w:rsidP="00A224C8">
            <w:pPr>
              <w:jc w:val="right"/>
              <w:rPr>
                <w:rFonts w:cs="Arial"/>
                <w:color w:val="000000"/>
                <w:sz w:val="17"/>
                <w:szCs w:val="17"/>
              </w:rPr>
            </w:pPr>
            <w:r w:rsidRPr="00B710A9">
              <w:rPr>
                <w:rFonts w:cs="Arial"/>
                <w:color w:val="000000"/>
                <w:sz w:val="17"/>
                <w:szCs w:val="17"/>
              </w:rPr>
              <w:t>$ 167</w:t>
            </w:r>
          </w:p>
        </w:tc>
        <w:tc>
          <w:tcPr>
            <w:tcW w:w="0" w:type="auto"/>
            <w:tcBorders>
              <w:top w:val="nil"/>
              <w:left w:val="nil"/>
              <w:bottom w:val="single" w:sz="4" w:space="0" w:color="auto"/>
              <w:right w:val="single" w:sz="4" w:space="0" w:color="auto"/>
            </w:tcBorders>
            <w:shd w:val="clear" w:color="auto" w:fill="auto"/>
            <w:noWrap/>
            <w:vAlign w:val="bottom"/>
            <w:hideMark/>
          </w:tcPr>
          <w:p w14:paraId="74FE66E2" w14:textId="77777777" w:rsidR="00E2174E" w:rsidRPr="00B710A9" w:rsidRDefault="00E2174E" w:rsidP="00A224C8">
            <w:pPr>
              <w:jc w:val="center"/>
              <w:rPr>
                <w:rFonts w:cs="Arial"/>
                <w:color w:val="000000"/>
                <w:sz w:val="17"/>
                <w:szCs w:val="17"/>
              </w:rPr>
            </w:pPr>
            <w:r w:rsidRPr="00B710A9">
              <w:rPr>
                <w:rFonts w:cs="Arial"/>
                <w:color w:val="000000"/>
                <w:sz w:val="17"/>
                <w:szCs w:val="17"/>
              </w:rPr>
              <w:t>4,90%</w:t>
            </w:r>
          </w:p>
        </w:tc>
      </w:tr>
      <w:tr w:rsidR="00E2174E" w:rsidRPr="00B710A9" w14:paraId="62B4E4B4" w14:textId="77777777" w:rsidTr="00E35A84">
        <w:trPr>
          <w:cantSplit/>
          <w:trHeight w:val="19"/>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384190F2"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000000" w:fill="ACB9CA"/>
            <w:noWrap/>
            <w:vAlign w:val="bottom"/>
            <w:hideMark/>
          </w:tcPr>
          <w:p w14:paraId="46627313" w14:textId="77777777" w:rsidR="00E2174E" w:rsidRPr="00B710A9" w:rsidRDefault="00E2174E" w:rsidP="00A224C8">
            <w:pPr>
              <w:rPr>
                <w:rFonts w:cs="Arial"/>
                <w:b/>
                <w:bCs/>
                <w:color w:val="000000"/>
                <w:sz w:val="17"/>
                <w:szCs w:val="17"/>
              </w:rPr>
            </w:pPr>
            <w:r w:rsidRPr="00B710A9">
              <w:rPr>
                <w:rFonts w:cs="Arial"/>
                <w:b/>
                <w:bCs/>
                <w:color w:val="000000"/>
                <w:sz w:val="17"/>
                <w:szCs w:val="17"/>
              </w:rPr>
              <w:t>Total</w:t>
            </w:r>
          </w:p>
        </w:tc>
        <w:tc>
          <w:tcPr>
            <w:tcW w:w="0" w:type="auto"/>
            <w:tcBorders>
              <w:top w:val="nil"/>
              <w:left w:val="nil"/>
              <w:bottom w:val="single" w:sz="4" w:space="0" w:color="auto"/>
              <w:right w:val="single" w:sz="4" w:space="0" w:color="auto"/>
            </w:tcBorders>
            <w:shd w:val="clear" w:color="000000" w:fill="ACB9CA"/>
            <w:noWrap/>
            <w:vAlign w:val="bottom"/>
            <w:hideMark/>
          </w:tcPr>
          <w:p w14:paraId="49E56D9A"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$ 5.965</w:t>
            </w:r>
          </w:p>
        </w:tc>
        <w:tc>
          <w:tcPr>
            <w:tcW w:w="0" w:type="auto"/>
            <w:tcBorders>
              <w:top w:val="nil"/>
              <w:left w:val="nil"/>
              <w:bottom w:val="single" w:sz="4" w:space="0" w:color="auto"/>
              <w:right w:val="single" w:sz="4" w:space="0" w:color="auto"/>
            </w:tcBorders>
            <w:shd w:val="clear" w:color="000000" w:fill="ACB9CA"/>
            <w:noWrap/>
            <w:vAlign w:val="bottom"/>
            <w:hideMark/>
          </w:tcPr>
          <w:p w14:paraId="01AA94A6"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$ 5.723</w:t>
            </w:r>
          </w:p>
        </w:tc>
        <w:tc>
          <w:tcPr>
            <w:tcW w:w="0" w:type="auto"/>
            <w:tcBorders>
              <w:top w:val="nil"/>
              <w:left w:val="nil"/>
              <w:bottom w:val="single" w:sz="4" w:space="0" w:color="auto"/>
              <w:right w:val="single" w:sz="4" w:space="0" w:color="auto"/>
            </w:tcBorders>
            <w:shd w:val="clear" w:color="000000" w:fill="ACB9CA"/>
            <w:noWrap/>
            <w:vAlign w:val="bottom"/>
            <w:hideMark/>
          </w:tcPr>
          <w:p w14:paraId="081566C5"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95,93%</w:t>
            </w:r>
          </w:p>
        </w:tc>
        <w:tc>
          <w:tcPr>
            <w:tcW w:w="0" w:type="auto"/>
            <w:tcBorders>
              <w:top w:val="nil"/>
              <w:left w:val="nil"/>
              <w:bottom w:val="single" w:sz="4" w:space="0" w:color="auto"/>
              <w:right w:val="single" w:sz="4" w:space="0" w:color="auto"/>
            </w:tcBorders>
            <w:shd w:val="clear" w:color="000000" w:fill="ACB9CA"/>
            <w:noWrap/>
            <w:vAlign w:val="bottom"/>
            <w:hideMark/>
          </w:tcPr>
          <w:p w14:paraId="38144B77"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$ 5.684</w:t>
            </w:r>
          </w:p>
        </w:tc>
        <w:tc>
          <w:tcPr>
            <w:tcW w:w="0" w:type="auto"/>
            <w:tcBorders>
              <w:top w:val="nil"/>
              <w:left w:val="nil"/>
              <w:bottom w:val="single" w:sz="4" w:space="0" w:color="auto"/>
              <w:right w:val="single" w:sz="4" w:space="0" w:color="auto"/>
            </w:tcBorders>
            <w:shd w:val="clear" w:color="000000" w:fill="ACB9CA"/>
            <w:noWrap/>
            <w:vAlign w:val="bottom"/>
            <w:hideMark/>
          </w:tcPr>
          <w:p w14:paraId="7D9FF207"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95,29%</w:t>
            </w:r>
          </w:p>
        </w:tc>
        <w:tc>
          <w:tcPr>
            <w:tcW w:w="0" w:type="auto"/>
            <w:tcBorders>
              <w:top w:val="nil"/>
              <w:left w:val="nil"/>
              <w:bottom w:val="single" w:sz="4" w:space="0" w:color="auto"/>
              <w:right w:val="single" w:sz="4" w:space="0" w:color="auto"/>
            </w:tcBorders>
            <w:shd w:val="clear" w:color="000000" w:fill="ACB9CA"/>
            <w:noWrap/>
            <w:vAlign w:val="bottom"/>
            <w:hideMark/>
          </w:tcPr>
          <w:p w14:paraId="7C14F757"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$ 5.457</w:t>
            </w:r>
          </w:p>
        </w:tc>
        <w:tc>
          <w:tcPr>
            <w:tcW w:w="0" w:type="auto"/>
            <w:tcBorders>
              <w:top w:val="nil"/>
              <w:left w:val="nil"/>
              <w:bottom w:val="single" w:sz="4" w:space="0" w:color="auto"/>
              <w:right w:val="single" w:sz="4" w:space="0" w:color="auto"/>
            </w:tcBorders>
            <w:shd w:val="clear" w:color="000000" w:fill="ACB9CA"/>
            <w:noWrap/>
            <w:vAlign w:val="bottom"/>
            <w:hideMark/>
          </w:tcPr>
          <w:p w14:paraId="4B61CE19"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91,47%</w:t>
            </w:r>
          </w:p>
        </w:tc>
        <w:tc>
          <w:tcPr>
            <w:tcW w:w="0" w:type="auto"/>
            <w:tcBorders>
              <w:top w:val="nil"/>
              <w:left w:val="nil"/>
              <w:bottom w:val="single" w:sz="4" w:space="0" w:color="auto"/>
              <w:right w:val="single" w:sz="4" w:space="0" w:color="auto"/>
            </w:tcBorders>
            <w:shd w:val="clear" w:color="000000" w:fill="ACB9CA"/>
            <w:noWrap/>
            <w:vAlign w:val="bottom"/>
            <w:hideMark/>
          </w:tcPr>
          <w:p w14:paraId="022C7AEA"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$ 5.312</w:t>
            </w:r>
          </w:p>
        </w:tc>
        <w:tc>
          <w:tcPr>
            <w:tcW w:w="0" w:type="auto"/>
            <w:tcBorders>
              <w:top w:val="nil"/>
              <w:left w:val="nil"/>
              <w:bottom w:val="single" w:sz="4" w:space="0" w:color="auto"/>
              <w:right w:val="single" w:sz="4" w:space="0" w:color="auto"/>
            </w:tcBorders>
            <w:shd w:val="clear" w:color="000000" w:fill="ACB9CA"/>
            <w:noWrap/>
            <w:vAlign w:val="bottom"/>
            <w:hideMark/>
          </w:tcPr>
          <w:p w14:paraId="7F7410B6"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89,04%</w:t>
            </w:r>
          </w:p>
        </w:tc>
        <w:tc>
          <w:tcPr>
            <w:tcW w:w="0" w:type="auto"/>
            <w:tcBorders>
              <w:top w:val="nil"/>
              <w:left w:val="nil"/>
              <w:bottom w:val="single" w:sz="4" w:space="0" w:color="auto"/>
              <w:right w:val="single" w:sz="4" w:space="0" w:color="auto"/>
            </w:tcBorders>
            <w:shd w:val="clear" w:color="000000" w:fill="ACB9CA"/>
            <w:noWrap/>
            <w:vAlign w:val="bottom"/>
            <w:hideMark/>
          </w:tcPr>
          <w:p w14:paraId="22B20EAE"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$ 243</w:t>
            </w:r>
          </w:p>
        </w:tc>
        <w:tc>
          <w:tcPr>
            <w:tcW w:w="0" w:type="auto"/>
            <w:tcBorders>
              <w:top w:val="nil"/>
              <w:left w:val="nil"/>
              <w:bottom w:val="single" w:sz="4" w:space="0" w:color="auto"/>
              <w:right w:val="single" w:sz="4" w:space="0" w:color="auto"/>
            </w:tcBorders>
            <w:shd w:val="clear" w:color="000000" w:fill="ACB9CA"/>
            <w:noWrap/>
            <w:vAlign w:val="bottom"/>
            <w:hideMark/>
          </w:tcPr>
          <w:p w14:paraId="23E9FDA8"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4,07%</w:t>
            </w:r>
          </w:p>
        </w:tc>
      </w:tr>
      <w:tr w:rsidR="00E2174E" w:rsidRPr="00B710A9" w14:paraId="2E01FC47" w14:textId="77777777" w:rsidTr="00E35A84">
        <w:trPr>
          <w:cantSplit/>
          <w:trHeight w:val="19"/>
          <w:jc w:val="center"/>
        </w:trPr>
        <w:tc>
          <w:tcPr>
            <w:tcW w:w="373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0B6C2F4" w14:textId="025B24E9" w:rsidR="00E2174E" w:rsidRPr="00B710A9" w:rsidRDefault="00E2174E" w:rsidP="00A224C8">
            <w:pPr>
              <w:jc w:val="center"/>
              <w:rPr>
                <w:rFonts w:cs="Arial"/>
                <w:color w:val="000000"/>
                <w:sz w:val="17"/>
                <w:szCs w:val="17"/>
              </w:rPr>
            </w:pPr>
            <w:r w:rsidRPr="00B710A9">
              <w:rPr>
                <w:rFonts w:cs="Arial"/>
                <w:color w:val="000000"/>
                <w:sz w:val="17"/>
                <w:szCs w:val="17"/>
              </w:rPr>
              <w:t>Fortalecimiento de la infraestructura física del IGAC a nivel nacional</w:t>
            </w:r>
          </w:p>
        </w:tc>
        <w:tc>
          <w:tcPr>
            <w:tcW w:w="0" w:type="auto"/>
            <w:tcBorders>
              <w:top w:val="nil"/>
              <w:left w:val="nil"/>
              <w:bottom w:val="single" w:sz="4" w:space="0" w:color="auto"/>
              <w:right w:val="single" w:sz="4" w:space="0" w:color="auto"/>
            </w:tcBorders>
            <w:shd w:val="clear" w:color="auto" w:fill="auto"/>
            <w:noWrap/>
            <w:vAlign w:val="center"/>
            <w:hideMark/>
          </w:tcPr>
          <w:p w14:paraId="0E61E442" w14:textId="77777777" w:rsidR="00E2174E" w:rsidRPr="00B710A9" w:rsidRDefault="00E2174E" w:rsidP="00A224C8">
            <w:pPr>
              <w:rPr>
                <w:rFonts w:cs="Arial"/>
                <w:color w:val="000000"/>
                <w:sz w:val="17"/>
                <w:szCs w:val="17"/>
              </w:rPr>
            </w:pPr>
            <w:r w:rsidRPr="00B710A9">
              <w:rPr>
                <w:rFonts w:cs="Arial"/>
                <w:color w:val="000000"/>
                <w:sz w:val="17"/>
                <w:szCs w:val="17"/>
              </w:rPr>
              <w:t>Nación</w:t>
            </w:r>
          </w:p>
        </w:tc>
        <w:tc>
          <w:tcPr>
            <w:tcW w:w="0" w:type="auto"/>
            <w:tcBorders>
              <w:top w:val="nil"/>
              <w:left w:val="nil"/>
              <w:bottom w:val="single" w:sz="4" w:space="0" w:color="auto"/>
              <w:right w:val="single" w:sz="4" w:space="0" w:color="auto"/>
            </w:tcBorders>
            <w:shd w:val="clear" w:color="auto" w:fill="auto"/>
            <w:noWrap/>
            <w:vAlign w:val="bottom"/>
            <w:hideMark/>
          </w:tcPr>
          <w:p w14:paraId="5C7E74BE" w14:textId="77777777" w:rsidR="00E2174E" w:rsidRPr="00B710A9" w:rsidRDefault="00E2174E" w:rsidP="00A224C8">
            <w:pPr>
              <w:jc w:val="right"/>
              <w:rPr>
                <w:rFonts w:cs="Arial"/>
                <w:color w:val="000000"/>
                <w:sz w:val="17"/>
                <w:szCs w:val="17"/>
              </w:rPr>
            </w:pPr>
            <w:r w:rsidRPr="00B710A9">
              <w:rPr>
                <w:rFonts w:cs="Arial"/>
                <w:color w:val="000000"/>
                <w:sz w:val="17"/>
                <w:szCs w:val="17"/>
              </w:rPr>
              <w:t>$ 1.000</w:t>
            </w:r>
          </w:p>
        </w:tc>
        <w:tc>
          <w:tcPr>
            <w:tcW w:w="0" w:type="auto"/>
            <w:tcBorders>
              <w:top w:val="nil"/>
              <w:left w:val="nil"/>
              <w:bottom w:val="single" w:sz="4" w:space="0" w:color="auto"/>
              <w:right w:val="single" w:sz="4" w:space="0" w:color="auto"/>
            </w:tcBorders>
            <w:shd w:val="clear" w:color="auto" w:fill="auto"/>
            <w:noWrap/>
            <w:vAlign w:val="bottom"/>
            <w:hideMark/>
          </w:tcPr>
          <w:p w14:paraId="7A5182C6" w14:textId="77777777" w:rsidR="00E2174E" w:rsidRPr="00B710A9" w:rsidRDefault="00E2174E" w:rsidP="00A224C8">
            <w:pPr>
              <w:jc w:val="right"/>
              <w:rPr>
                <w:rFonts w:cs="Arial"/>
                <w:color w:val="000000"/>
                <w:sz w:val="17"/>
                <w:szCs w:val="17"/>
              </w:rPr>
            </w:pPr>
            <w:r w:rsidRPr="00B710A9">
              <w:rPr>
                <w:rFonts w:cs="Arial"/>
                <w:color w:val="000000"/>
                <w:sz w:val="17"/>
                <w:szCs w:val="17"/>
              </w:rPr>
              <w:t>$ 679</w:t>
            </w:r>
          </w:p>
        </w:tc>
        <w:tc>
          <w:tcPr>
            <w:tcW w:w="0" w:type="auto"/>
            <w:tcBorders>
              <w:top w:val="nil"/>
              <w:left w:val="nil"/>
              <w:bottom w:val="single" w:sz="4" w:space="0" w:color="auto"/>
              <w:right w:val="single" w:sz="4" w:space="0" w:color="auto"/>
            </w:tcBorders>
            <w:shd w:val="clear" w:color="auto" w:fill="auto"/>
            <w:noWrap/>
            <w:vAlign w:val="bottom"/>
            <w:hideMark/>
          </w:tcPr>
          <w:p w14:paraId="2412D965" w14:textId="77777777" w:rsidR="00E2174E" w:rsidRPr="00B710A9" w:rsidRDefault="00E2174E" w:rsidP="00A224C8">
            <w:pPr>
              <w:jc w:val="center"/>
              <w:rPr>
                <w:rFonts w:cs="Arial"/>
                <w:color w:val="000000"/>
                <w:sz w:val="17"/>
                <w:szCs w:val="17"/>
              </w:rPr>
            </w:pPr>
            <w:r w:rsidRPr="00B710A9">
              <w:rPr>
                <w:rFonts w:cs="Arial"/>
                <w:color w:val="000000"/>
                <w:sz w:val="17"/>
                <w:szCs w:val="17"/>
              </w:rPr>
              <w:t>67,88%</w:t>
            </w:r>
          </w:p>
        </w:tc>
        <w:tc>
          <w:tcPr>
            <w:tcW w:w="0" w:type="auto"/>
            <w:tcBorders>
              <w:top w:val="nil"/>
              <w:left w:val="nil"/>
              <w:bottom w:val="single" w:sz="4" w:space="0" w:color="auto"/>
              <w:right w:val="single" w:sz="4" w:space="0" w:color="auto"/>
            </w:tcBorders>
            <w:shd w:val="clear" w:color="auto" w:fill="auto"/>
            <w:noWrap/>
            <w:vAlign w:val="bottom"/>
            <w:hideMark/>
          </w:tcPr>
          <w:p w14:paraId="022ACE16" w14:textId="77777777" w:rsidR="00E2174E" w:rsidRPr="00B710A9" w:rsidRDefault="00E2174E" w:rsidP="00A224C8">
            <w:pPr>
              <w:jc w:val="right"/>
              <w:rPr>
                <w:rFonts w:cs="Arial"/>
                <w:color w:val="000000"/>
                <w:sz w:val="17"/>
                <w:szCs w:val="17"/>
              </w:rPr>
            </w:pPr>
            <w:r w:rsidRPr="00B710A9">
              <w:rPr>
                <w:rFonts w:cs="Arial"/>
                <w:color w:val="000000"/>
                <w:sz w:val="17"/>
                <w:szCs w:val="17"/>
              </w:rPr>
              <w:t>$ 677</w:t>
            </w:r>
          </w:p>
        </w:tc>
        <w:tc>
          <w:tcPr>
            <w:tcW w:w="0" w:type="auto"/>
            <w:tcBorders>
              <w:top w:val="nil"/>
              <w:left w:val="nil"/>
              <w:bottom w:val="single" w:sz="4" w:space="0" w:color="auto"/>
              <w:right w:val="single" w:sz="4" w:space="0" w:color="auto"/>
            </w:tcBorders>
            <w:shd w:val="clear" w:color="auto" w:fill="auto"/>
            <w:noWrap/>
            <w:vAlign w:val="bottom"/>
            <w:hideMark/>
          </w:tcPr>
          <w:p w14:paraId="3F30E607" w14:textId="77777777" w:rsidR="00E2174E" w:rsidRPr="00B710A9" w:rsidRDefault="00E2174E" w:rsidP="00A224C8">
            <w:pPr>
              <w:jc w:val="center"/>
              <w:rPr>
                <w:rFonts w:cs="Arial"/>
                <w:color w:val="000000"/>
                <w:sz w:val="17"/>
                <w:szCs w:val="17"/>
              </w:rPr>
            </w:pPr>
            <w:r w:rsidRPr="00B710A9">
              <w:rPr>
                <w:rFonts w:cs="Arial"/>
                <w:color w:val="000000"/>
                <w:sz w:val="17"/>
                <w:szCs w:val="17"/>
              </w:rPr>
              <w:t>67,67%</w:t>
            </w:r>
          </w:p>
        </w:tc>
        <w:tc>
          <w:tcPr>
            <w:tcW w:w="0" w:type="auto"/>
            <w:tcBorders>
              <w:top w:val="nil"/>
              <w:left w:val="nil"/>
              <w:bottom w:val="single" w:sz="4" w:space="0" w:color="auto"/>
              <w:right w:val="single" w:sz="4" w:space="0" w:color="auto"/>
            </w:tcBorders>
            <w:shd w:val="clear" w:color="auto" w:fill="auto"/>
            <w:noWrap/>
            <w:vAlign w:val="bottom"/>
            <w:hideMark/>
          </w:tcPr>
          <w:p w14:paraId="51F571B0" w14:textId="77777777" w:rsidR="00E2174E" w:rsidRPr="00B710A9" w:rsidRDefault="00E2174E" w:rsidP="00A224C8">
            <w:pPr>
              <w:jc w:val="right"/>
              <w:rPr>
                <w:rFonts w:cs="Arial"/>
                <w:color w:val="000000"/>
                <w:sz w:val="17"/>
                <w:szCs w:val="17"/>
              </w:rPr>
            </w:pPr>
            <w:r w:rsidRPr="00B710A9">
              <w:rPr>
                <w:rFonts w:cs="Arial"/>
                <w:color w:val="000000"/>
                <w:sz w:val="17"/>
                <w:szCs w:val="17"/>
              </w:rPr>
              <w:t>$ 441</w:t>
            </w:r>
          </w:p>
        </w:tc>
        <w:tc>
          <w:tcPr>
            <w:tcW w:w="0" w:type="auto"/>
            <w:tcBorders>
              <w:top w:val="nil"/>
              <w:left w:val="nil"/>
              <w:bottom w:val="single" w:sz="4" w:space="0" w:color="auto"/>
              <w:right w:val="single" w:sz="4" w:space="0" w:color="auto"/>
            </w:tcBorders>
            <w:shd w:val="clear" w:color="auto" w:fill="auto"/>
            <w:noWrap/>
            <w:vAlign w:val="bottom"/>
            <w:hideMark/>
          </w:tcPr>
          <w:p w14:paraId="501740EE" w14:textId="77777777" w:rsidR="00E2174E" w:rsidRPr="00B710A9" w:rsidRDefault="00E2174E" w:rsidP="00A224C8">
            <w:pPr>
              <w:jc w:val="center"/>
              <w:rPr>
                <w:rFonts w:cs="Arial"/>
                <w:color w:val="000000"/>
                <w:sz w:val="17"/>
                <w:szCs w:val="17"/>
              </w:rPr>
            </w:pPr>
            <w:r w:rsidRPr="00B710A9">
              <w:rPr>
                <w:rFonts w:cs="Arial"/>
                <w:color w:val="000000"/>
                <w:sz w:val="17"/>
                <w:szCs w:val="17"/>
              </w:rPr>
              <w:t>44,13%</w:t>
            </w:r>
          </w:p>
        </w:tc>
        <w:tc>
          <w:tcPr>
            <w:tcW w:w="0" w:type="auto"/>
            <w:tcBorders>
              <w:top w:val="nil"/>
              <w:left w:val="nil"/>
              <w:bottom w:val="single" w:sz="4" w:space="0" w:color="auto"/>
              <w:right w:val="single" w:sz="4" w:space="0" w:color="auto"/>
            </w:tcBorders>
            <w:shd w:val="clear" w:color="auto" w:fill="auto"/>
            <w:noWrap/>
            <w:vAlign w:val="bottom"/>
            <w:hideMark/>
          </w:tcPr>
          <w:p w14:paraId="2722DC0E" w14:textId="77777777" w:rsidR="00E2174E" w:rsidRPr="00B710A9" w:rsidRDefault="00E2174E" w:rsidP="00A224C8">
            <w:pPr>
              <w:jc w:val="right"/>
              <w:rPr>
                <w:rFonts w:cs="Arial"/>
                <w:color w:val="000000"/>
                <w:sz w:val="17"/>
                <w:szCs w:val="17"/>
              </w:rPr>
            </w:pPr>
            <w:r w:rsidRPr="00B710A9">
              <w:rPr>
                <w:rFonts w:cs="Arial"/>
                <w:color w:val="000000"/>
                <w:sz w:val="17"/>
                <w:szCs w:val="17"/>
              </w:rPr>
              <w:t>$ 415</w:t>
            </w:r>
          </w:p>
        </w:tc>
        <w:tc>
          <w:tcPr>
            <w:tcW w:w="0" w:type="auto"/>
            <w:tcBorders>
              <w:top w:val="nil"/>
              <w:left w:val="nil"/>
              <w:bottom w:val="single" w:sz="4" w:space="0" w:color="auto"/>
              <w:right w:val="single" w:sz="4" w:space="0" w:color="auto"/>
            </w:tcBorders>
            <w:shd w:val="clear" w:color="auto" w:fill="auto"/>
            <w:noWrap/>
            <w:vAlign w:val="bottom"/>
            <w:hideMark/>
          </w:tcPr>
          <w:p w14:paraId="7F60C6A5" w14:textId="77777777" w:rsidR="00E2174E" w:rsidRPr="00B710A9" w:rsidRDefault="00E2174E" w:rsidP="00A224C8">
            <w:pPr>
              <w:jc w:val="center"/>
              <w:rPr>
                <w:rFonts w:cs="Arial"/>
                <w:color w:val="000000"/>
                <w:sz w:val="17"/>
                <w:szCs w:val="17"/>
              </w:rPr>
            </w:pPr>
            <w:r w:rsidRPr="00B710A9">
              <w:rPr>
                <w:rFonts w:cs="Arial"/>
                <w:color w:val="000000"/>
                <w:sz w:val="17"/>
                <w:szCs w:val="17"/>
              </w:rPr>
              <w:t>41,46%</w:t>
            </w:r>
          </w:p>
        </w:tc>
        <w:tc>
          <w:tcPr>
            <w:tcW w:w="0" w:type="auto"/>
            <w:tcBorders>
              <w:top w:val="nil"/>
              <w:left w:val="nil"/>
              <w:bottom w:val="single" w:sz="4" w:space="0" w:color="auto"/>
              <w:right w:val="single" w:sz="4" w:space="0" w:color="auto"/>
            </w:tcBorders>
            <w:shd w:val="clear" w:color="auto" w:fill="auto"/>
            <w:noWrap/>
            <w:vAlign w:val="bottom"/>
            <w:hideMark/>
          </w:tcPr>
          <w:p w14:paraId="3EB1A5AC" w14:textId="77777777" w:rsidR="00E2174E" w:rsidRPr="00B710A9" w:rsidRDefault="00E2174E" w:rsidP="00A224C8">
            <w:pPr>
              <w:jc w:val="right"/>
              <w:rPr>
                <w:rFonts w:cs="Arial"/>
                <w:color w:val="000000"/>
                <w:sz w:val="17"/>
                <w:szCs w:val="17"/>
              </w:rPr>
            </w:pPr>
            <w:r w:rsidRPr="00B710A9">
              <w:rPr>
                <w:rFonts w:cs="Arial"/>
                <w:color w:val="000000"/>
                <w:sz w:val="17"/>
                <w:szCs w:val="17"/>
              </w:rPr>
              <w:t>$ 321</w:t>
            </w:r>
          </w:p>
        </w:tc>
        <w:tc>
          <w:tcPr>
            <w:tcW w:w="0" w:type="auto"/>
            <w:tcBorders>
              <w:top w:val="nil"/>
              <w:left w:val="nil"/>
              <w:bottom w:val="single" w:sz="4" w:space="0" w:color="auto"/>
              <w:right w:val="single" w:sz="4" w:space="0" w:color="auto"/>
            </w:tcBorders>
            <w:shd w:val="clear" w:color="auto" w:fill="auto"/>
            <w:noWrap/>
            <w:vAlign w:val="bottom"/>
            <w:hideMark/>
          </w:tcPr>
          <w:p w14:paraId="402D8988" w14:textId="77777777" w:rsidR="00E2174E" w:rsidRPr="00B710A9" w:rsidRDefault="00E2174E" w:rsidP="00A224C8">
            <w:pPr>
              <w:jc w:val="center"/>
              <w:rPr>
                <w:rFonts w:cs="Arial"/>
                <w:color w:val="000000"/>
                <w:sz w:val="17"/>
                <w:szCs w:val="17"/>
              </w:rPr>
            </w:pPr>
            <w:r w:rsidRPr="00B710A9">
              <w:rPr>
                <w:rFonts w:cs="Arial"/>
                <w:color w:val="000000"/>
                <w:sz w:val="17"/>
                <w:szCs w:val="17"/>
              </w:rPr>
              <w:t>32,12%</w:t>
            </w:r>
          </w:p>
        </w:tc>
      </w:tr>
      <w:tr w:rsidR="00E2174E" w:rsidRPr="00B710A9" w14:paraId="646D259F" w14:textId="77777777" w:rsidTr="00E35A84">
        <w:trPr>
          <w:cantSplit/>
          <w:trHeight w:val="19"/>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1D37E96A"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auto" w:fill="auto"/>
            <w:noWrap/>
            <w:vAlign w:val="center"/>
            <w:hideMark/>
          </w:tcPr>
          <w:p w14:paraId="05025523" w14:textId="77777777" w:rsidR="00E2174E" w:rsidRPr="00B710A9" w:rsidRDefault="00E2174E" w:rsidP="00A224C8">
            <w:pPr>
              <w:rPr>
                <w:rFonts w:cs="Arial"/>
                <w:color w:val="000000"/>
                <w:sz w:val="17"/>
                <w:szCs w:val="17"/>
              </w:rPr>
            </w:pPr>
            <w:r w:rsidRPr="00B710A9">
              <w:rPr>
                <w:rFonts w:cs="Arial"/>
                <w:color w:val="000000"/>
                <w:sz w:val="17"/>
                <w:szCs w:val="17"/>
              </w:rPr>
              <w:t>Propios</w:t>
            </w:r>
          </w:p>
        </w:tc>
        <w:tc>
          <w:tcPr>
            <w:tcW w:w="0" w:type="auto"/>
            <w:tcBorders>
              <w:top w:val="nil"/>
              <w:left w:val="nil"/>
              <w:bottom w:val="single" w:sz="4" w:space="0" w:color="auto"/>
              <w:right w:val="single" w:sz="4" w:space="0" w:color="auto"/>
            </w:tcBorders>
            <w:shd w:val="clear" w:color="auto" w:fill="auto"/>
            <w:noWrap/>
            <w:vAlign w:val="bottom"/>
            <w:hideMark/>
          </w:tcPr>
          <w:p w14:paraId="4588DA15" w14:textId="77777777" w:rsidR="00E2174E" w:rsidRPr="00B710A9" w:rsidRDefault="00E2174E" w:rsidP="00A224C8">
            <w:pPr>
              <w:jc w:val="right"/>
              <w:rPr>
                <w:rFonts w:cs="Arial"/>
                <w:color w:val="000000"/>
                <w:sz w:val="17"/>
                <w:szCs w:val="17"/>
              </w:rPr>
            </w:pPr>
            <w:r w:rsidRPr="00B710A9">
              <w:rPr>
                <w:rFonts w:cs="Arial"/>
                <w:color w:val="000000"/>
                <w:sz w:val="17"/>
                <w:szCs w:val="17"/>
              </w:rPr>
              <w:t>$ 794</w:t>
            </w:r>
          </w:p>
        </w:tc>
        <w:tc>
          <w:tcPr>
            <w:tcW w:w="0" w:type="auto"/>
            <w:tcBorders>
              <w:top w:val="nil"/>
              <w:left w:val="nil"/>
              <w:bottom w:val="single" w:sz="4" w:space="0" w:color="auto"/>
              <w:right w:val="single" w:sz="4" w:space="0" w:color="auto"/>
            </w:tcBorders>
            <w:shd w:val="clear" w:color="auto" w:fill="auto"/>
            <w:noWrap/>
            <w:vAlign w:val="bottom"/>
            <w:hideMark/>
          </w:tcPr>
          <w:p w14:paraId="2E234493" w14:textId="77777777" w:rsidR="00E2174E" w:rsidRPr="00B710A9" w:rsidRDefault="00E2174E" w:rsidP="00A224C8">
            <w:pPr>
              <w:jc w:val="right"/>
              <w:rPr>
                <w:rFonts w:cs="Arial"/>
                <w:color w:val="000000"/>
                <w:sz w:val="17"/>
                <w:szCs w:val="17"/>
              </w:rPr>
            </w:pPr>
            <w:r w:rsidRPr="00B710A9">
              <w:rPr>
                <w:rFonts w:cs="Arial"/>
                <w:color w:val="000000"/>
                <w:sz w:val="17"/>
                <w:szCs w:val="17"/>
              </w:rPr>
              <w:t>$ 104</w:t>
            </w:r>
          </w:p>
        </w:tc>
        <w:tc>
          <w:tcPr>
            <w:tcW w:w="0" w:type="auto"/>
            <w:tcBorders>
              <w:top w:val="nil"/>
              <w:left w:val="nil"/>
              <w:bottom w:val="single" w:sz="4" w:space="0" w:color="auto"/>
              <w:right w:val="single" w:sz="4" w:space="0" w:color="auto"/>
            </w:tcBorders>
            <w:shd w:val="clear" w:color="auto" w:fill="auto"/>
            <w:noWrap/>
            <w:vAlign w:val="bottom"/>
            <w:hideMark/>
          </w:tcPr>
          <w:p w14:paraId="1A0A994A" w14:textId="77777777" w:rsidR="00E2174E" w:rsidRPr="00B710A9" w:rsidRDefault="00E2174E" w:rsidP="00A224C8">
            <w:pPr>
              <w:jc w:val="center"/>
              <w:rPr>
                <w:rFonts w:cs="Arial"/>
                <w:color w:val="000000"/>
                <w:sz w:val="17"/>
                <w:szCs w:val="17"/>
              </w:rPr>
            </w:pPr>
            <w:r w:rsidRPr="00B710A9">
              <w:rPr>
                <w:rFonts w:cs="Arial"/>
                <w:color w:val="000000"/>
                <w:sz w:val="17"/>
                <w:szCs w:val="17"/>
              </w:rPr>
              <w:t>13,12%</w:t>
            </w:r>
          </w:p>
        </w:tc>
        <w:tc>
          <w:tcPr>
            <w:tcW w:w="0" w:type="auto"/>
            <w:tcBorders>
              <w:top w:val="nil"/>
              <w:left w:val="nil"/>
              <w:bottom w:val="single" w:sz="4" w:space="0" w:color="auto"/>
              <w:right w:val="single" w:sz="4" w:space="0" w:color="auto"/>
            </w:tcBorders>
            <w:shd w:val="clear" w:color="auto" w:fill="auto"/>
            <w:noWrap/>
            <w:vAlign w:val="bottom"/>
            <w:hideMark/>
          </w:tcPr>
          <w:p w14:paraId="23A77637" w14:textId="77777777" w:rsidR="00E2174E" w:rsidRPr="00B710A9" w:rsidRDefault="00E2174E" w:rsidP="00A224C8">
            <w:pPr>
              <w:jc w:val="right"/>
              <w:rPr>
                <w:rFonts w:cs="Arial"/>
                <w:color w:val="000000"/>
                <w:sz w:val="17"/>
                <w:szCs w:val="17"/>
              </w:rPr>
            </w:pPr>
            <w:r w:rsidRPr="00B710A9">
              <w:rPr>
                <w:rFonts w:cs="Arial"/>
                <w:color w:val="000000"/>
                <w:sz w:val="17"/>
                <w:szCs w:val="17"/>
              </w:rPr>
              <w:t>$ 104</w:t>
            </w:r>
          </w:p>
        </w:tc>
        <w:tc>
          <w:tcPr>
            <w:tcW w:w="0" w:type="auto"/>
            <w:tcBorders>
              <w:top w:val="nil"/>
              <w:left w:val="nil"/>
              <w:bottom w:val="single" w:sz="4" w:space="0" w:color="auto"/>
              <w:right w:val="single" w:sz="4" w:space="0" w:color="auto"/>
            </w:tcBorders>
            <w:shd w:val="clear" w:color="auto" w:fill="auto"/>
            <w:noWrap/>
            <w:vAlign w:val="bottom"/>
            <w:hideMark/>
          </w:tcPr>
          <w:p w14:paraId="6A6ED6A6" w14:textId="77777777" w:rsidR="00E2174E" w:rsidRPr="00B710A9" w:rsidRDefault="00E2174E" w:rsidP="00A224C8">
            <w:pPr>
              <w:jc w:val="center"/>
              <w:rPr>
                <w:rFonts w:cs="Arial"/>
                <w:color w:val="000000"/>
                <w:sz w:val="17"/>
                <w:szCs w:val="17"/>
              </w:rPr>
            </w:pPr>
            <w:r w:rsidRPr="00B710A9">
              <w:rPr>
                <w:rFonts w:cs="Arial"/>
                <w:color w:val="000000"/>
                <w:sz w:val="17"/>
                <w:szCs w:val="17"/>
              </w:rPr>
              <w:t>13,12%</w:t>
            </w:r>
          </w:p>
        </w:tc>
        <w:tc>
          <w:tcPr>
            <w:tcW w:w="0" w:type="auto"/>
            <w:tcBorders>
              <w:top w:val="nil"/>
              <w:left w:val="nil"/>
              <w:bottom w:val="single" w:sz="4" w:space="0" w:color="auto"/>
              <w:right w:val="single" w:sz="4" w:space="0" w:color="auto"/>
            </w:tcBorders>
            <w:shd w:val="clear" w:color="auto" w:fill="auto"/>
            <w:noWrap/>
            <w:vAlign w:val="bottom"/>
            <w:hideMark/>
          </w:tcPr>
          <w:p w14:paraId="392D80C3" w14:textId="77777777" w:rsidR="00E2174E" w:rsidRPr="00B710A9" w:rsidRDefault="00E2174E" w:rsidP="00A224C8">
            <w:pPr>
              <w:jc w:val="right"/>
              <w:rPr>
                <w:rFonts w:cs="Arial"/>
                <w:color w:val="000000"/>
                <w:sz w:val="17"/>
                <w:szCs w:val="17"/>
              </w:rPr>
            </w:pPr>
            <w:r w:rsidRPr="00B710A9">
              <w:rPr>
                <w:rFonts w:cs="Arial"/>
                <w:color w:val="000000"/>
                <w:sz w:val="17"/>
                <w:szCs w:val="17"/>
              </w:rPr>
              <w:t>$ 84</w:t>
            </w:r>
          </w:p>
        </w:tc>
        <w:tc>
          <w:tcPr>
            <w:tcW w:w="0" w:type="auto"/>
            <w:tcBorders>
              <w:top w:val="nil"/>
              <w:left w:val="nil"/>
              <w:bottom w:val="single" w:sz="4" w:space="0" w:color="auto"/>
              <w:right w:val="single" w:sz="4" w:space="0" w:color="auto"/>
            </w:tcBorders>
            <w:shd w:val="clear" w:color="auto" w:fill="auto"/>
            <w:noWrap/>
            <w:vAlign w:val="bottom"/>
            <w:hideMark/>
          </w:tcPr>
          <w:p w14:paraId="21B1863E" w14:textId="77777777" w:rsidR="00E2174E" w:rsidRPr="00B710A9" w:rsidRDefault="00E2174E" w:rsidP="00A224C8">
            <w:pPr>
              <w:jc w:val="center"/>
              <w:rPr>
                <w:rFonts w:cs="Arial"/>
                <w:color w:val="000000"/>
                <w:sz w:val="17"/>
                <w:szCs w:val="17"/>
              </w:rPr>
            </w:pPr>
            <w:r w:rsidRPr="00B710A9">
              <w:rPr>
                <w:rFonts w:cs="Arial"/>
                <w:color w:val="000000"/>
                <w:sz w:val="17"/>
                <w:szCs w:val="17"/>
              </w:rPr>
              <w:t>10,53%</w:t>
            </w:r>
          </w:p>
        </w:tc>
        <w:tc>
          <w:tcPr>
            <w:tcW w:w="0" w:type="auto"/>
            <w:tcBorders>
              <w:top w:val="nil"/>
              <w:left w:val="nil"/>
              <w:bottom w:val="single" w:sz="4" w:space="0" w:color="auto"/>
              <w:right w:val="single" w:sz="4" w:space="0" w:color="auto"/>
            </w:tcBorders>
            <w:shd w:val="clear" w:color="auto" w:fill="auto"/>
            <w:noWrap/>
            <w:vAlign w:val="bottom"/>
            <w:hideMark/>
          </w:tcPr>
          <w:p w14:paraId="3277C45A" w14:textId="77777777" w:rsidR="00E2174E" w:rsidRPr="00B710A9" w:rsidRDefault="00E2174E" w:rsidP="00A224C8">
            <w:pPr>
              <w:jc w:val="right"/>
              <w:rPr>
                <w:rFonts w:cs="Arial"/>
                <w:color w:val="000000"/>
                <w:sz w:val="17"/>
                <w:szCs w:val="17"/>
              </w:rPr>
            </w:pPr>
            <w:r w:rsidRPr="00B710A9">
              <w:rPr>
                <w:rFonts w:cs="Arial"/>
                <w:color w:val="000000"/>
                <w:sz w:val="17"/>
                <w:szCs w:val="17"/>
              </w:rPr>
              <w:t>$ 84</w:t>
            </w:r>
          </w:p>
        </w:tc>
        <w:tc>
          <w:tcPr>
            <w:tcW w:w="0" w:type="auto"/>
            <w:tcBorders>
              <w:top w:val="nil"/>
              <w:left w:val="nil"/>
              <w:bottom w:val="single" w:sz="4" w:space="0" w:color="auto"/>
              <w:right w:val="single" w:sz="4" w:space="0" w:color="auto"/>
            </w:tcBorders>
            <w:shd w:val="clear" w:color="auto" w:fill="auto"/>
            <w:noWrap/>
            <w:vAlign w:val="bottom"/>
            <w:hideMark/>
          </w:tcPr>
          <w:p w14:paraId="37B483A4" w14:textId="77777777" w:rsidR="00E2174E" w:rsidRPr="00B710A9" w:rsidRDefault="00E2174E" w:rsidP="00A224C8">
            <w:pPr>
              <w:jc w:val="center"/>
              <w:rPr>
                <w:rFonts w:cs="Arial"/>
                <w:color w:val="000000"/>
                <w:sz w:val="17"/>
                <w:szCs w:val="17"/>
              </w:rPr>
            </w:pPr>
            <w:r w:rsidRPr="00B710A9">
              <w:rPr>
                <w:rFonts w:cs="Arial"/>
                <w:color w:val="000000"/>
                <w:sz w:val="17"/>
                <w:szCs w:val="17"/>
              </w:rPr>
              <w:t>10,53%</w:t>
            </w:r>
          </w:p>
        </w:tc>
        <w:tc>
          <w:tcPr>
            <w:tcW w:w="0" w:type="auto"/>
            <w:tcBorders>
              <w:top w:val="nil"/>
              <w:left w:val="nil"/>
              <w:bottom w:val="single" w:sz="4" w:space="0" w:color="auto"/>
              <w:right w:val="single" w:sz="4" w:space="0" w:color="auto"/>
            </w:tcBorders>
            <w:shd w:val="clear" w:color="auto" w:fill="auto"/>
            <w:noWrap/>
            <w:vAlign w:val="bottom"/>
            <w:hideMark/>
          </w:tcPr>
          <w:p w14:paraId="232B0757" w14:textId="77777777" w:rsidR="00E2174E" w:rsidRPr="00B710A9" w:rsidRDefault="00E2174E" w:rsidP="00A224C8">
            <w:pPr>
              <w:jc w:val="right"/>
              <w:rPr>
                <w:rFonts w:cs="Arial"/>
                <w:color w:val="000000"/>
                <w:sz w:val="17"/>
                <w:szCs w:val="17"/>
              </w:rPr>
            </w:pPr>
            <w:r w:rsidRPr="00B710A9">
              <w:rPr>
                <w:rFonts w:cs="Arial"/>
                <w:color w:val="000000"/>
                <w:sz w:val="17"/>
                <w:szCs w:val="17"/>
              </w:rPr>
              <w:t>$ 689</w:t>
            </w:r>
          </w:p>
        </w:tc>
        <w:tc>
          <w:tcPr>
            <w:tcW w:w="0" w:type="auto"/>
            <w:tcBorders>
              <w:top w:val="nil"/>
              <w:left w:val="nil"/>
              <w:bottom w:val="single" w:sz="4" w:space="0" w:color="auto"/>
              <w:right w:val="single" w:sz="4" w:space="0" w:color="auto"/>
            </w:tcBorders>
            <w:shd w:val="clear" w:color="auto" w:fill="auto"/>
            <w:noWrap/>
            <w:vAlign w:val="bottom"/>
            <w:hideMark/>
          </w:tcPr>
          <w:p w14:paraId="44C56980" w14:textId="77777777" w:rsidR="00E2174E" w:rsidRPr="00B710A9" w:rsidRDefault="00E2174E" w:rsidP="00A224C8">
            <w:pPr>
              <w:jc w:val="center"/>
              <w:rPr>
                <w:rFonts w:cs="Arial"/>
                <w:color w:val="000000"/>
                <w:sz w:val="17"/>
                <w:szCs w:val="17"/>
              </w:rPr>
            </w:pPr>
            <w:r w:rsidRPr="00B710A9">
              <w:rPr>
                <w:rFonts w:cs="Arial"/>
                <w:color w:val="000000"/>
                <w:sz w:val="17"/>
                <w:szCs w:val="17"/>
              </w:rPr>
              <w:t>86,88%</w:t>
            </w:r>
          </w:p>
        </w:tc>
      </w:tr>
      <w:tr w:rsidR="00E2174E" w:rsidRPr="00B710A9" w14:paraId="260B99CE" w14:textId="77777777" w:rsidTr="00E35A84">
        <w:trPr>
          <w:cantSplit/>
          <w:trHeight w:val="19"/>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4A492199"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000000" w:fill="ACB9CA"/>
            <w:noWrap/>
            <w:vAlign w:val="bottom"/>
            <w:hideMark/>
          </w:tcPr>
          <w:p w14:paraId="729AC671" w14:textId="77777777" w:rsidR="00E2174E" w:rsidRPr="00B710A9" w:rsidRDefault="00E2174E" w:rsidP="00A224C8">
            <w:pPr>
              <w:rPr>
                <w:rFonts w:cs="Arial"/>
                <w:b/>
                <w:bCs/>
                <w:color w:val="000000"/>
                <w:sz w:val="17"/>
                <w:szCs w:val="17"/>
              </w:rPr>
            </w:pPr>
            <w:r w:rsidRPr="00B710A9">
              <w:rPr>
                <w:rFonts w:cs="Arial"/>
                <w:b/>
                <w:bCs/>
                <w:color w:val="000000"/>
                <w:sz w:val="17"/>
                <w:szCs w:val="17"/>
              </w:rPr>
              <w:t>Total</w:t>
            </w:r>
          </w:p>
        </w:tc>
        <w:tc>
          <w:tcPr>
            <w:tcW w:w="0" w:type="auto"/>
            <w:tcBorders>
              <w:top w:val="nil"/>
              <w:left w:val="nil"/>
              <w:bottom w:val="single" w:sz="4" w:space="0" w:color="auto"/>
              <w:right w:val="single" w:sz="4" w:space="0" w:color="auto"/>
            </w:tcBorders>
            <w:shd w:val="clear" w:color="000000" w:fill="ACB9CA"/>
            <w:noWrap/>
            <w:vAlign w:val="bottom"/>
            <w:hideMark/>
          </w:tcPr>
          <w:p w14:paraId="36BBD16A"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$ 1.794</w:t>
            </w:r>
          </w:p>
        </w:tc>
        <w:tc>
          <w:tcPr>
            <w:tcW w:w="0" w:type="auto"/>
            <w:tcBorders>
              <w:top w:val="nil"/>
              <w:left w:val="nil"/>
              <w:bottom w:val="single" w:sz="4" w:space="0" w:color="auto"/>
              <w:right w:val="single" w:sz="4" w:space="0" w:color="auto"/>
            </w:tcBorders>
            <w:shd w:val="clear" w:color="000000" w:fill="ACB9CA"/>
            <w:noWrap/>
            <w:vAlign w:val="bottom"/>
            <w:hideMark/>
          </w:tcPr>
          <w:p w14:paraId="5E5DACCB"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$ 783</w:t>
            </w:r>
          </w:p>
        </w:tc>
        <w:tc>
          <w:tcPr>
            <w:tcW w:w="0" w:type="auto"/>
            <w:tcBorders>
              <w:top w:val="nil"/>
              <w:left w:val="nil"/>
              <w:bottom w:val="single" w:sz="4" w:space="0" w:color="auto"/>
              <w:right w:val="single" w:sz="4" w:space="0" w:color="auto"/>
            </w:tcBorders>
            <w:shd w:val="clear" w:color="000000" w:fill="ACB9CA"/>
            <w:noWrap/>
            <w:vAlign w:val="bottom"/>
            <w:hideMark/>
          </w:tcPr>
          <w:p w14:paraId="4ABAC70E"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43,65%</w:t>
            </w:r>
          </w:p>
        </w:tc>
        <w:tc>
          <w:tcPr>
            <w:tcW w:w="0" w:type="auto"/>
            <w:tcBorders>
              <w:top w:val="nil"/>
              <w:left w:val="nil"/>
              <w:bottom w:val="single" w:sz="4" w:space="0" w:color="auto"/>
              <w:right w:val="single" w:sz="4" w:space="0" w:color="auto"/>
            </w:tcBorders>
            <w:shd w:val="clear" w:color="000000" w:fill="ACB9CA"/>
            <w:noWrap/>
            <w:vAlign w:val="bottom"/>
            <w:hideMark/>
          </w:tcPr>
          <w:p w14:paraId="7A733FB8"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$ 781</w:t>
            </w:r>
          </w:p>
        </w:tc>
        <w:tc>
          <w:tcPr>
            <w:tcW w:w="0" w:type="auto"/>
            <w:tcBorders>
              <w:top w:val="nil"/>
              <w:left w:val="nil"/>
              <w:bottom w:val="single" w:sz="4" w:space="0" w:color="auto"/>
              <w:right w:val="single" w:sz="4" w:space="0" w:color="auto"/>
            </w:tcBorders>
            <w:shd w:val="clear" w:color="000000" w:fill="ACB9CA"/>
            <w:noWrap/>
            <w:vAlign w:val="bottom"/>
            <w:hideMark/>
          </w:tcPr>
          <w:p w14:paraId="32607BAB"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43,53%</w:t>
            </w:r>
          </w:p>
        </w:tc>
        <w:tc>
          <w:tcPr>
            <w:tcW w:w="0" w:type="auto"/>
            <w:tcBorders>
              <w:top w:val="nil"/>
              <w:left w:val="nil"/>
              <w:bottom w:val="single" w:sz="4" w:space="0" w:color="auto"/>
              <w:right w:val="single" w:sz="4" w:space="0" w:color="auto"/>
            </w:tcBorders>
            <w:shd w:val="clear" w:color="000000" w:fill="ACB9CA"/>
            <w:noWrap/>
            <w:vAlign w:val="bottom"/>
            <w:hideMark/>
          </w:tcPr>
          <w:p w14:paraId="3A75127B"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$ 525</w:t>
            </w:r>
          </w:p>
        </w:tc>
        <w:tc>
          <w:tcPr>
            <w:tcW w:w="0" w:type="auto"/>
            <w:tcBorders>
              <w:top w:val="nil"/>
              <w:left w:val="nil"/>
              <w:bottom w:val="single" w:sz="4" w:space="0" w:color="auto"/>
              <w:right w:val="single" w:sz="4" w:space="0" w:color="auto"/>
            </w:tcBorders>
            <w:shd w:val="clear" w:color="000000" w:fill="ACB9CA"/>
            <w:noWrap/>
            <w:vAlign w:val="bottom"/>
            <w:hideMark/>
          </w:tcPr>
          <w:p w14:paraId="3852DDD6"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29,27%</w:t>
            </w:r>
          </w:p>
        </w:tc>
        <w:tc>
          <w:tcPr>
            <w:tcW w:w="0" w:type="auto"/>
            <w:tcBorders>
              <w:top w:val="nil"/>
              <w:left w:val="nil"/>
              <w:bottom w:val="single" w:sz="4" w:space="0" w:color="auto"/>
              <w:right w:val="single" w:sz="4" w:space="0" w:color="auto"/>
            </w:tcBorders>
            <w:shd w:val="clear" w:color="000000" w:fill="ACB9CA"/>
            <w:noWrap/>
            <w:vAlign w:val="bottom"/>
            <w:hideMark/>
          </w:tcPr>
          <w:p w14:paraId="5E153CD2"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$ 498</w:t>
            </w:r>
          </w:p>
        </w:tc>
        <w:tc>
          <w:tcPr>
            <w:tcW w:w="0" w:type="auto"/>
            <w:tcBorders>
              <w:top w:val="nil"/>
              <w:left w:val="nil"/>
              <w:bottom w:val="single" w:sz="4" w:space="0" w:color="auto"/>
              <w:right w:val="single" w:sz="4" w:space="0" w:color="auto"/>
            </w:tcBorders>
            <w:shd w:val="clear" w:color="000000" w:fill="ACB9CA"/>
            <w:noWrap/>
            <w:vAlign w:val="bottom"/>
            <w:hideMark/>
          </w:tcPr>
          <w:p w14:paraId="6FCB3B93"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27,77%</w:t>
            </w:r>
          </w:p>
        </w:tc>
        <w:tc>
          <w:tcPr>
            <w:tcW w:w="0" w:type="auto"/>
            <w:tcBorders>
              <w:top w:val="nil"/>
              <w:left w:val="nil"/>
              <w:bottom w:val="single" w:sz="4" w:space="0" w:color="auto"/>
              <w:right w:val="single" w:sz="4" w:space="0" w:color="auto"/>
            </w:tcBorders>
            <w:shd w:val="clear" w:color="000000" w:fill="ACB9CA"/>
            <w:noWrap/>
            <w:vAlign w:val="bottom"/>
            <w:hideMark/>
          </w:tcPr>
          <w:p w14:paraId="62B956D5"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$ 1.011</w:t>
            </w:r>
          </w:p>
        </w:tc>
        <w:tc>
          <w:tcPr>
            <w:tcW w:w="0" w:type="auto"/>
            <w:tcBorders>
              <w:top w:val="nil"/>
              <w:left w:val="nil"/>
              <w:bottom w:val="single" w:sz="4" w:space="0" w:color="auto"/>
              <w:right w:val="single" w:sz="4" w:space="0" w:color="auto"/>
            </w:tcBorders>
            <w:shd w:val="clear" w:color="000000" w:fill="ACB9CA"/>
            <w:noWrap/>
            <w:vAlign w:val="bottom"/>
            <w:hideMark/>
          </w:tcPr>
          <w:p w14:paraId="7B4520E3"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56,35%</w:t>
            </w:r>
          </w:p>
        </w:tc>
      </w:tr>
      <w:tr w:rsidR="00E2174E" w:rsidRPr="00B710A9" w14:paraId="4D492BFF" w14:textId="77777777" w:rsidTr="00E35A84">
        <w:trPr>
          <w:cantSplit/>
          <w:trHeight w:val="19"/>
          <w:jc w:val="center"/>
        </w:trPr>
        <w:tc>
          <w:tcPr>
            <w:tcW w:w="373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61838B2" w14:textId="77777777" w:rsidR="00E2174E" w:rsidRPr="00B710A9" w:rsidRDefault="00E2174E" w:rsidP="00A224C8">
            <w:pPr>
              <w:jc w:val="center"/>
              <w:rPr>
                <w:rFonts w:cs="Arial"/>
                <w:color w:val="000000"/>
                <w:sz w:val="17"/>
                <w:szCs w:val="17"/>
              </w:rPr>
            </w:pPr>
            <w:r w:rsidRPr="00B710A9">
              <w:rPr>
                <w:rFonts w:cs="Arial"/>
                <w:color w:val="000000"/>
                <w:sz w:val="17"/>
                <w:szCs w:val="17"/>
              </w:rPr>
              <w:lastRenderedPageBreak/>
              <w:t>Fortalecimiento de los procesos de difusión y acceso a la información geográfica a nivel   nacional</w:t>
            </w:r>
          </w:p>
        </w:tc>
        <w:tc>
          <w:tcPr>
            <w:tcW w:w="0" w:type="auto"/>
            <w:tcBorders>
              <w:top w:val="nil"/>
              <w:left w:val="nil"/>
              <w:bottom w:val="single" w:sz="4" w:space="0" w:color="auto"/>
              <w:right w:val="single" w:sz="4" w:space="0" w:color="auto"/>
            </w:tcBorders>
            <w:shd w:val="clear" w:color="auto" w:fill="auto"/>
            <w:noWrap/>
            <w:vAlign w:val="center"/>
            <w:hideMark/>
          </w:tcPr>
          <w:p w14:paraId="0A43DBBC" w14:textId="77777777" w:rsidR="00E2174E" w:rsidRPr="00B710A9" w:rsidRDefault="00E2174E" w:rsidP="00A224C8">
            <w:pPr>
              <w:rPr>
                <w:rFonts w:cs="Arial"/>
                <w:color w:val="000000"/>
                <w:sz w:val="17"/>
                <w:szCs w:val="17"/>
              </w:rPr>
            </w:pPr>
            <w:r w:rsidRPr="00B710A9">
              <w:rPr>
                <w:rFonts w:cs="Arial"/>
                <w:color w:val="000000"/>
                <w:sz w:val="17"/>
                <w:szCs w:val="17"/>
              </w:rPr>
              <w:t>Nación</w:t>
            </w:r>
          </w:p>
        </w:tc>
        <w:tc>
          <w:tcPr>
            <w:tcW w:w="0" w:type="auto"/>
            <w:tcBorders>
              <w:top w:val="nil"/>
              <w:left w:val="nil"/>
              <w:bottom w:val="single" w:sz="4" w:space="0" w:color="auto"/>
              <w:right w:val="single" w:sz="4" w:space="0" w:color="auto"/>
            </w:tcBorders>
            <w:shd w:val="clear" w:color="auto" w:fill="auto"/>
            <w:noWrap/>
            <w:vAlign w:val="bottom"/>
            <w:hideMark/>
          </w:tcPr>
          <w:p w14:paraId="68517151" w14:textId="77777777" w:rsidR="00E2174E" w:rsidRPr="00B710A9" w:rsidRDefault="00E2174E" w:rsidP="00A224C8">
            <w:pPr>
              <w:jc w:val="right"/>
              <w:rPr>
                <w:rFonts w:cs="Arial"/>
                <w:color w:val="000000"/>
                <w:sz w:val="17"/>
                <w:szCs w:val="17"/>
              </w:rPr>
            </w:pPr>
            <w:r w:rsidRPr="00B710A9">
              <w:rPr>
                <w:rFonts w:cs="Arial"/>
                <w:color w:val="000000"/>
                <w:sz w:val="17"/>
                <w:szCs w:val="17"/>
              </w:rPr>
              <w:t>$ 54</w:t>
            </w:r>
          </w:p>
        </w:tc>
        <w:tc>
          <w:tcPr>
            <w:tcW w:w="0" w:type="auto"/>
            <w:tcBorders>
              <w:top w:val="nil"/>
              <w:left w:val="nil"/>
              <w:bottom w:val="single" w:sz="4" w:space="0" w:color="auto"/>
              <w:right w:val="single" w:sz="4" w:space="0" w:color="auto"/>
            </w:tcBorders>
            <w:shd w:val="clear" w:color="auto" w:fill="auto"/>
            <w:noWrap/>
            <w:vAlign w:val="bottom"/>
            <w:hideMark/>
          </w:tcPr>
          <w:p w14:paraId="17752F35" w14:textId="77777777" w:rsidR="00E2174E" w:rsidRPr="00B710A9" w:rsidRDefault="00E2174E" w:rsidP="00A224C8">
            <w:pPr>
              <w:jc w:val="right"/>
              <w:rPr>
                <w:rFonts w:cs="Arial"/>
                <w:color w:val="000000"/>
                <w:sz w:val="17"/>
                <w:szCs w:val="17"/>
              </w:rPr>
            </w:pPr>
            <w:r w:rsidRPr="00B710A9">
              <w:rPr>
                <w:rFonts w:cs="Arial"/>
                <w:color w:val="000000"/>
                <w:sz w:val="17"/>
                <w:szCs w:val="17"/>
              </w:rPr>
              <w:t>$ 45</w:t>
            </w:r>
          </w:p>
        </w:tc>
        <w:tc>
          <w:tcPr>
            <w:tcW w:w="0" w:type="auto"/>
            <w:tcBorders>
              <w:top w:val="nil"/>
              <w:left w:val="nil"/>
              <w:bottom w:val="single" w:sz="4" w:space="0" w:color="auto"/>
              <w:right w:val="single" w:sz="4" w:space="0" w:color="auto"/>
            </w:tcBorders>
            <w:shd w:val="clear" w:color="auto" w:fill="auto"/>
            <w:noWrap/>
            <w:vAlign w:val="bottom"/>
            <w:hideMark/>
          </w:tcPr>
          <w:p w14:paraId="05A0C49F" w14:textId="77777777" w:rsidR="00E2174E" w:rsidRPr="00B710A9" w:rsidRDefault="00E2174E" w:rsidP="00A224C8">
            <w:pPr>
              <w:jc w:val="center"/>
              <w:rPr>
                <w:rFonts w:cs="Arial"/>
                <w:color w:val="000000"/>
                <w:sz w:val="17"/>
                <w:szCs w:val="17"/>
              </w:rPr>
            </w:pPr>
            <w:r w:rsidRPr="00B710A9">
              <w:rPr>
                <w:rFonts w:cs="Arial"/>
                <w:color w:val="000000"/>
                <w:sz w:val="17"/>
                <w:szCs w:val="17"/>
              </w:rPr>
              <w:t>83,35%</w:t>
            </w:r>
          </w:p>
        </w:tc>
        <w:tc>
          <w:tcPr>
            <w:tcW w:w="0" w:type="auto"/>
            <w:tcBorders>
              <w:top w:val="nil"/>
              <w:left w:val="nil"/>
              <w:bottom w:val="single" w:sz="4" w:space="0" w:color="auto"/>
              <w:right w:val="single" w:sz="4" w:space="0" w:color="auto"/>
            </w:tcBorders>
            <w:shd w:val="clear" w:color="auto" w:fill="auto"/>
            <w:noWrap/>
            <w:vAlign w:val="bottom"/>
            <w:hideMark/>
          </w:tcPr>
          <w:p w14:paraId="03A3BC5E" w14:textId="77777777" w:rsidR="00E2174E" w:rsidRPr="00B710A9" w:rsidRDefault="00E2174E" w:rsidP="00A224C8">
            <w:pPr>
              <w:jc w:val="right"/>
              <w:rPr>
                <w:rFonts w:cs="Arial"/>
                <w:color w:val="000000"/>
                <w:sz w:val="17"/>
                <w:szCs w:val="17"/>
              </w:rPr>
            </w:pPr>
            <w:r w:rsidRPr="00B710A9">
              <w:rPr>
                <w:rFonts w:cs="Arial"/>
                <w:color w:val="000000"/>
                <w:sz w:val="17"/>
                <w:szCs w:val="17"/>
              </w:rPr>
              <w:t>$ 32</w:t>
            </w:r>
          </w:p>
        </w:tc>
        <w:tc>
          <w:tcPr>
            <w:tcW w:w="0" w:type="auto"/>
            <w:tcBorders>
              <w:top w:val="nil"/>
              <w:left w:val="nil"/>
              <w:bottom w:val="single" w:sz="4" w:space="0" w:color="auto"/>
              <w:right w:val="single" w:sz="4" w:space="0" w:color="auto"/>
            </w:tcBorders>
            <w:shd w:val="clear" w:color="auto" w:fill="auto"/>
            <w:noWrap/>
            <w:vAlign w:val="bottom"/>
            <w:hideMark/>
          </w:tcPr>
          <w:p w14:paraId="3B7E02E5" w14:textId="77777777" w:rsidR="00E2174E" w:rsidRPr="00B710A9" w:rsidRDefault="00E2174E" w:rsidP="00A224C8">
            <w:pPr>
              <w:jc w:val="center"/>
              <w:rPr>
                <w:rFonts w:cs="Arial"/>
                <w:color w:val="000000"/>
                <w:sz w:val="17"/>
                <w:szCs w:val="17"/>
              </w:rPr>
            </w:pPr>
            <w:r w:rsidRPr="00B710A9">
              <w:rPr>
                <w:rFonts w:cs="Arial"/>
                <w:color w:val="000000"/>
                <w:sz w:val="17"/>
                <w:szCs w:val="17"/>
              </w:rPr>
              <w:t>59,07%</w:t>
            </w:r>
          </w:p>
        </w:tc>
        <w:tc>
          <w:tcPr>
            <w:tcW w:w="0" w:type="auto"/>
            <w:tcBorders>
              <w:top w:val="nil"/>
              <w:left w:val="nil"/>
              <w:bottom w:val="single" w:sz="4" w:space="0" w:color="auto"/>
              <w:right w:val="single" w:sz="4" w:space="0" w:color="auto"/>
            </w:tcBorders>
            <w:shd w:val="clear" w:color="auto" w:fill="auto"/>
            <w:noWrap/>
            <w:vAlign w:val="bottom"/>
            <w:hideMark/>
          </w:tcPr>
          <w:p w14:paraId="6C41CD20" w14:textId="77777777" w:rsidR="00E2174E" w:rsidRPr="00B710A9" w:rsidRDefault="00E2174E" w:rsidP="00A224C8">
            <w:pPr>
              <w:jc w:val="right"/>
              <w:rPr>
                <w:rFonts w:cs="Arial"/>
                <w:color w:val="000000"/>
                <w:sz w:val="17"/>
                <w:szCs w:val="17"/>
              </w:rPr>
            </w:pPr>
            <w:r w:rsidRPr="00B710A9">
              <w:rPr>
                <w:rFonts w:cs="Arial"/>
                <w:color w:val="000000"/>
                <w:sz w:val="17"/>
                <w:szCs w:val="17"/>
              </w:rPr>
              <w:t>$ 21</w:t>
            </w:r>
          </w:p>
        </w:tc>
        <w:tc>
          <w:tcPr>
            <w:tcW w:w="0" w:type="auto"/>
            <w:tcBorders>
              <w:top w:val="nil"/>
              <w:left w:val="nil"/>
              <w:bottom w:val="single" w:sz="4" w:space="0" w:color="auto"/>
              <w:right w:val="single" w:sz="4" w:space="0" w:color="auto"/>
            </w:tcBorders>
            <w:shd w:val="clear" w:color="auto" w:fill="auto"/>
            <w:noWrap/>
            <w:vAlign w:val="bottom"/>
            <w:hideMark/>
          </w:tcPr>
          <w:p w14:paraId="33673ED6" w14:textId="77777777" w:rsidR="00E2174E" w:rsidRPr="00B710A9" w:rsidRDefault="00E2174E" w:rsidP="00A224C8">
            <w:pPr>
              <w:jc w:val="center"/>
              <w:rPr>
                <w:rFonts w:cs="Arial"/>
                <w:color w:val="000000"/>
                <w:sz w:val="17"/>
                <w:szCs w:val="17"/>
              </w:rPr>
            </w:pPr>
            <w:r w:rsidRPr="00B710A9">
              <w:rPr>
                <w:rFonts w:cs="Arial"/>
                <w:color w:val="000000"/>
                <w:sz w:val="17"/>
                <w:szCs w:val="17"/>
              </w:rPr>
              <w:t>39,60%</w:t>
            </w:r>
          </w:p>
        </w:tc>
        <w:tc>
          <w:tcPr>
            <w:tcW w:w="0" w:type="auto"/>
            <w:tcBorders>
              <w:top w:val="nil"/>
              <w:left w:val="nil"/>
              <w:bottom w:val="single" w:sz="4" w:space="0" w:color="auto"/>
              <w:right w:val="single" w:sz="4" w:space="0" w:color="auto"/>
            </w:tcBorders>
            <w:shd w:val="clear" w:color="auto" w:fill="auto"/>
            <w:noWrap/>
            <w:vAlign w:val="bottom"/>
            <w:hideMark/>
          </w:tcPr>
          <w:p w14:paraId="1AE2551C" w14:textId="77777777" w:rsidR="00E2174E" w:rsidRPr="00B710A9" w:rsidRDefault="00E2174E" w:rsidP="00A224C8">
            <w:pPr>
              <w:jc w:val="right"/>
              <w:rPr>
                <w:rFonts w:cs="Arial"/>
                <w:color w:val="000000"/>
                <w:sz w:val="17"/>
                <w:szCs w:val="17"/>
              </w:rPr>
            </w:pPr>
            <w:r w:rsidRPr="00B710A9">
              <w:rPr>
                <w:rFonts w:cs="Arial"/>
                <w:color w:val="000000"/>
                <w:sz w:val="17"/>
                <w:szCs w:val="17"/>
              </w:rPr>
              <w:t>$ 21</w:t>
            </w:r>
          </w:p>
        </w:tc>
        <w:tc>
          <w:tcPr>
            <w:tcW w:w="0" w:type="auto"/>
            <w:tcBorders>
              <w:top w:val="nil"/>
              <w:left w:val="nil"/>
              <w:bottom w:val="single" w:sz="4" w:space="0" w:color="auto"/>
              <w:right w:val="single" w:sz="4" w:space="0" w:color="auto"/>
            </w:tcBorders>
            <w:shd w:val="clear" w:color="auto" w:fill="auto"/>
            <w:noWrap/>
            <w:vAlign w:val="bottom"/>
            <w:hideMark/>
          </w:tcPr>
          <w:p w14:paraId="77E7E3F1" w14:textId="77777777" w:rsidR="00E2174E" w:rsidRPr="00B710A9" w:rsidRDefault="00E2174E" w:rsidP="00A224C8">
            <w:pPr>
              <w:jc w:val="center"/>
              <w:rPr>
                <w:rFonts w:cs="Arial"/>
                <w:color w:val="000000"/>
                <w:sz w:val="17"/>
                <w:szCs w:val="17"/>
              </w:rPr>
            </w:pPr>
            <w:r w:rsidRPr="00B710A9">
              <w:rPr>
                <w:rFonts w:cs="Arial"/>
                <w:color w:val="000000"/>
                <w:sz w:val="17"/>
                <w:szCs w:val="17"/>
              </w:rPr>
              <w:t>39,60%</w:t>
            </w:r>
          </w:p>
        </w:tc>
        <w:tc>
          <w:tcPr>
            <w:tcW w:w="0" w:type="auto"/>
            <w:tcBorders>
              <w:top w:val="nil"/>
              <w:left w:val="nil"/>
              <w:bottom w:val="single" w:sz="4" w:space="0" w:color="auto"/>
              <w:right w:val="single" w:sz="4" w:space="0" w:color="auto"/>
            </w:tcBorders>
            <w:shd w:val="clear" w:color="auto" w:fill="auto"/>
            <w:noWrap/>
            <w:vAlign w:val="bottom"/>
            <w:hideMark/>
          </w:tcPr>
          <w:p w14:paraId="16208D6A" w14:textId="77777777" w:rsidR="00E2174E" w:rsidRPr="00B710A9" w:rsidRDefault="00E2174E" w:rsidP="00A224C8">
            <w:pPr>
              <w:jc w:val="right"/>
              <w:rPr>
                <w:rFonts w:cs="Arial"/>
                <w:color w:val="000000"/>
                <w:sz w:val="17"/>
                <w:szCs w:val="17"/>
              </w:rPr>
            </w:pPr>
            <w:r w:rsidRPr="00B710A9">
              <w:rPr>
                <w:rFonts w:cs="Arial"/>
                <w:color w:val="000000"/>
                <w:sz w:val="17"/>
                <w:szCs w:val="17"/>
              </w:rPr>
              <w:t>$ 9</w:t>
            </w:r>
          </w:p>
        </w:tc>
        <w:tc>
          <w:tcPr>
            <w:tcW w:w="0" w:type="auto"/>
            <w:tcBorders>
              <w:top w:val="nil"/>
              <w:left w:val="nil"/>
              <w:bottom w:val="single" w:sz="4" w:space="0" w:color="auto"/>
              <w:right w:val="single" w:sz="4" w:space="0" w:color="auto"/>
            </w:tcBorders>
            <w:shd w:val="clear" w:color="auto" w:fill="auto"/>
            <w:noWrap/>
            <w:vAlign w:val="bottom"/>
            <w:hideMark/>
          </w:tcPr>
          <w:p w14:paraId="79DDCE88" w14:textId="77777777" w:rsidR="00E2174E" w:rsidRPr="00B710A9" w:rsidRDefault="00E2174E" w:rsidP="00A224C8">
            <w:pPr>
              <w:jc w:val="center"/>
              <w:rPr>
                <w:rFonts w:cs="Arial"/>
                <w:color w:val="000000"/>
                <w:sz w:val="17"/>
                <w:szCs w:val="17"/>
              </w:rPr>
            </w:pPr>
            <w:r w:rsidRPr="00B710A9">
              <w:rPr>
                <w:rFonts w:cs="Arial"/>
                <w:color w:val="000000"/>
                <w:sz w:val="17"/>
                <w:szCs w:val="17"/>
              </w:rPr>
              <w:t>16,65%</w:t>
            </w:r>
          </w:p>
        </w:tc>
      </w:tr>
      <w:tr w:rsidR="00E2174E" w:rsidRPr="00B710A9" w14:paraId="3A15201D" w14:textId="77777777" w:rsidTr="00E35A84">
        <w:trPr>
          <w:cantSplit/>
          <w:trHeight w:val="19"/>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0B29A165"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auto" w:fill="auto"/>
            <w:noWrap/>
            <w:vAlign w:val="center"/>
            <w:hideMark/>
          </w:tcPr>
          <w:p w14:paraId="5721454E" w14:textId="77777777" w:rsidR="00E2174E" w:rsidRPr="00B710A9" w:rsidRDefault="00E2174E" w:rsidP="00A224C8">
            <w:pPr>
              <w:rPr>
                <w:rFonts w:cs="Arial"/>
                <w:color w:val="000000"/>
                <w:sz w:val="17"/>
                <w:szCs w:val="17"/>
              </w:rPr>
            </w:pPr>
            <w:r w:rsidRPr="00B710A9">
              <w:rPr>
                <w:rFonts w:cs="Arial"/>
                <w:color w:val="000000"/>
                <w:sz w:val="17"/>
                <w:szCs w:val="17"/>
              </w:rPr>
              <w:t>Propios</w:t>
            </w:r>
          </w:p>
        </w:tc>
        <w:tc>
          <w:tcPr>
            <w:tcW w:w="0" w:type="auto"/>
            <w:tcBorders>
              <w:top w:val="nil"/>
              <w:left w:val="nil"/>
              <w:bottom w:val="single" w:sz="4" w:space="0" w:color="auto"/>
              <w:right w:val="single" w:sz="4" w:space="0" w:color="auto"/>
            </w:tcBorders>
            <w:shd w:val="clear" w:color="auto" w:fill="auto"/>
            <w:noWrap/>
            <w:vAlign w:val="bottom"/>
            <w:hideMark/>
          </w:tcPr>
          <w:p w14:paraId="326CA238" w14:textId="77777777" w:rsidR="00E2174E" w:rsidRPr="00B710A9" w:rsidRDefault="00E2174E" w:rsidP="00A224C8">
            <w:pPr>
              <w:jc w:val="right"/>
              <w:rPr>
                <w:rFonts w:cs="Arial"/>
                <w:color w:val="000000"/>
                <w:sz w:val="17"/>
                <w:szCs w:val="17"/>
              </w:rPr>
            </w:pPr>
            <w:r w:rsidRPr="00B710A9">
              <w:rPr>
                <w:rFonts w:cs="Arial"/>
                <w:color w:val="000000"/>
                <w:sz w:val="17"/>
                <w:szCs w:val="17"/>
              </w:rPr>
              <w:t>$ 969</w:t>
            </w:r>
          </w:p>
        </w:tc>
        <w:tc>
          <w:tcPr>
            <w:tcW w:w="0" w:type="auto"/>
            <w:tcBorders>
              <w:top w:val="nil"/>
              <w:left w:val="nil"/>
              <w:bottom w:val="single" w:sz="4" w:space="0" w:color="auto"/>
              <w:right w:val="single" w:sz="4" w:space="0" w:color="auto"/>
            </w:tcBorders>
            <w:shd w:val="clear" w:color="auto" w:fill="auto"/>
            <w:noWrap/>
            <w:vAlign w:val="bottom"/>
            <w:hideMark/>
          </w:tcPr>
          <w:p w14:paraId="0C9812DE" w14:textId="77777777" w:rsidR="00E2174E" w:rsidRPr="00B710A9" w:rsidRDefault="00E2174E" w:rsidP="00A224C8">
            <w:pPr>
              <w:jc w:val="right"/>
              <w:rPr>
                <w:rFonts w:cs="Arial"/>
                <w:color w:val="000000"/>
                <w:sz w:val="17"/>
                <w:szCs w:val="17"/>
              </w:rPr>
            </w:pPr>
            <w:r w:rsidRPr="00B710A9">
              <w:rPr>
                <w:rFonts w:cs="Arial"/>
                <w:color w:val="000000"/>
                <w:sz w:val="17"/>
                <w:szCs w:val="17"/>
              </w:rPr>
              <w:t>$ 933</w:t>
            </w:r>
          </w:p>
        </w:tc>
        <w:tc>
          <w:tcPr>
            <w:tcW w:w="0" w:type="auto"/>
            <w:tcBorders>
              <w:top w:val="nil"/>
              <w:left w:val="nil"/>
              <w:bottom w:val="single" w:sz="4" w:space="0" w:color="auto"/>
              <w:right w:val="single" w:sz="4" w:space="0" w:color="auto"/>
            </w:tcBorders>
            <w:shd w:val="clear" w:color="auto" w:fill="auto"/>
            <w:noWrap/>
            <w:vAlign w:val="bottom"/>
            <w:hideMark/>
          </w:tcPr>
          <w:p w14:paraId="41187DEE" w14:textId="77777777" w:rsidR="00E2174E" w:rsidRPr="00B710A9" w:rsidRDefault="00E2174E" w:rsidP="00A224C8">
            <w:pPr>
              <w:jc w:val="center"/>
              <w:rPr>
                <w:rFonts w:cs="Arial"/>
                <w:color w:val="000000"/>
                <w:sz w:val="17"/>
                <w:szCs w:val="17"/>
              </w:rPr>
            </w:pPr>
            <w:r w:rsidRPr="00B710A9">
              <w:rPr>
                <w:rFonts w:cs="Arial"/>
                <w:color w:val="000000"/>
                <w:sz w:val="17"/>
                <w:szCs w:val="17"/>
              </w:rPr>
              <w:t>96,25%</w:t>
            </w:r>
          </w:p>
        </w:tc>
        <w:tc>
          <w:tcPr>
            <w:tcW w:w="0" w:type="auto"/>
            <w:tcBorders>
              <w:top w:val="nil"/>
              <w:left w:val="nil"/>
              <w:bottom w:val="single" w:sz="4" w:space="0" w:color="auto"/>
              <w:right w:val="single" w:sz="4" w:space="0" w:color="auto"/>
            </w:tcBorders>
            <w:shd w:val="clear" w:color="auto" w:fill="auto"/>
            <w:noWrap/>
            <w:vAlign w:val="bottom"/>
            <w:hideMark/>
          </w:tcPr>
          <w:p w14:paraId="63A3DE8A" w14:textId="77777777" w:rsidR="00E2174E" w:rsidRPr="00B710A9" w:rsidRDefault="00E2174E" w:rsidP="00A224C8">
            <w:pPr>
              <w:jc w:val="right"/>
              <w:rPr>
                <w:rFonts w:cs="Arial"/>
                <w:color w:val="000000"/>
                <w:sz w:val="17"/>
                <w:szCs w:val="17"/>
              </w:rPr>
            </w:pPr>
            <w:r w:rsidRPr="00B710A9">
              <w:rPr>
                <w:rFonts w:cs="Arial"/>
                <w:color w:val="000000"/>
                <w:sz w:val="17"/>
                <w:szCs w:val="17"/>
              </w:rPr>
              <w:t>$ 904</w:t>
            </w:r>
          </w:p>
        </w:tc>
        <w:tc>
          <w:tcPr>
            <w:tcW w:w="0" w:type="auto"/>
            <w:tcBorders>
              <w:top w:val="nil"/>
              <w:left w:val="nil"/>
              <w:bottom w:val="single" w:sz="4" w:space="0" w:color="auto"/>
              <w:right w:val="single" w:sz="4" w:space="0" w:color="auto"/>
            </w:tcBorders>
            <w:shd w:val="clear" w:color="auto" w:fill="auto"/>
            <w:noWrap/>
            <w:vAlign w:val="bottom"/>
            <w:hideMark/>
          </w:tcPr>
          <w:p w14:paraId="209D2E20" w14:textId="77777777" w:rsidR="00E2174E" w:rsidRPr="00B710A9" w:rsidRDefault="00E2174E" w:rsidP="00A224C8">
            <w:pPr>
              <w:jc w:val="center"/>
              <w:rPr>
                <w:rFonts w:cs="Arial"/>
                <w:color w:val="000000"/>
                <w:sz w:val="17"/>
                <w:szCs w:val="17"/>
              </w:rPr>
            </w:pPr>
            <w:r w:rsidRPr="00B710A9">
              <w:rPr>
                <w:rFonts w:cs="Arial"/>
                <w:color w:val="000000"/>
                <w:sz w:val="17"/>
                <w:szCs w:val="17"/>
              </w:rPr>
              <w:t>93,27%</w:t>
            </w:r>
          </w:p>
        </w:tc>
        <w:tc>
          <w:tcPr>
            <w:tcW w:w="0" w:type="auto"/>
            <w:tcBorders>
              <w:top w:val="nil"/>
              <w:left w:val="nil"/>
              <w:bottom w:val="single" w:sz="4" w:space="0" w:color="auto"/>
              <w:right w:val="single" w:sz="4" w:space="0" w:color="auto"/>
            </w:tcBorders>
            <w:shd w:val="clear" w:color="auto" w:fill="auto"/>
            <w:noWrap/>
            <w:vAlign w:val="bottom"/>
            <w:hideMark/>
          </w:tcPr>
          <w:p w14:paraId="48FF3ADF" w14:textId="77777777" w:rsidR="00E2174E" w:rsidRPr="00B710A9" w:rsidRDefault="00E2174E" w:rsidP="00A224C8">
            <w:pPr>
              <w:jc w:val="right"/>
              <w:rPr>
                <w:rFonts w:cs="Arial"/>
                <w:color w:val="000000"/>
                <w:sz w:val="17"/>
                <w:szCs w:val="17"/>
              </w:rPr>
            </w:pPr>
            <w:r w:rsidRPr="00B710A9">
              <w:rPr>
                <w:rFonts w:cs="Arial"/>
                <w:color w:val="000000"/>
                <w:sz w:val="17"/>
                <w:szCs w:val="17"/>
              </w:rPr>
              <w:t>$ 888</w:t>
            </w:r>
          </w:p>
        </w:tc>
        <w:tc>
          <w:tcPr>
            <w:tcW w:w="0" w:type="auto"/>
            <w:tcBorders>
              <w:top w:val="nil"/>
              <w:left w:val="nil"/>
              <w:bottom w:val="single" w:sz="4" w:space="0" w:color="auto"/>
              <w:right w:val="single" w:sz="4" w:space="0" w:color="auto"/>
            </w:tcBorders>
            <w:shd w:val="clear" w:color="auto" w:fill="auto"/>
            <w:noWrap/>
            <w:vAlign w:val="bottom"/>
            <w:hideMark/>
          </w:tcPr>
          <w:p w14:paraId="02824E2A" w14:textId="77777777" w:rsidR="00E2174E" w:rsidRPr="00B710A9" w:rsidRDefault="00E2174E" w:rsidP="00A224C8">
            <w:pPr>
              <w:jc w:val="center"/>
              <w:rPr>
                <w:rFonts w:cs="Arial"/>
                <w:color w:val="000000"/>
                <w:sz w:val="17"/>
                <w:szCs w:val="17"/>
              </w:rPr>
            </w:pPr>
            <w:r w:rsidRPr="00B710A9">
              <w:rPr>
                <w:rFonts w:cs="Arial"/>
                <w:color w:val="000000"/>
                <w:sz w:val="17"/>
                <w:szCs w:val="17"/>
              </w:rPr>
              <w:t>91,59%</w:t>
            </w:r>
          </w:p>
        </w:tc>
        <w:tc>
          <w:tcPr>
            <w:tcW w:w="0" w:type="auto"/>
            <w:tcBorders>
              <w:top w:val="nil"/>
              <w:left w:val="nil"/>
              <w:bottom w:val="single" w:sz="4" w:space="0" w:color="auto"/>
              <w:right w:val="single" w:sz="4" w:space="0" w:color="auto"/>
            </w:tcBorders>
            <w:shd w:val="clear" w:color="auto" w:fill="auto"/>
            <w:noWrap/>
            <w:vAlign w:val="bottom"/>
            <w:hideMark/>
          </w:tcPr>
          <w:p w14:paraId="5BFD49DE" w14:textId="77777777" w:rsidR="00E2174E" w:rsidRPr="00B710A9" w:rsidRDefault="00E2174E" w:rsidP="00A224C8">
            <w:pPr>
              <w:jc w:val="right"/>
              <w:rPr>
                <w:rFonts w:cs="Arial"/>
                <w:color w:val="000000"/>
                <w:sz w:val="17"/>
                <w:szCs w:val="17"/>
              </w:rPr>
            </w:pPr>
            <w:r w:rsidRPr="00B710A9">
              <w:rPr>
                <w:rFonts w:cs="Arial"/>
                <w:color w:val="000000"/>
                <w:sz w:val="17"/>
                <w:szCs w:val="17"/>
              </w:rPr>
              <w:t>$ 830</w:t>
            </w:r>
          </w:p>
        </w:tc>
        <w:tc>
          <w:tcPr>
            <w:tcW w:w="0" w:type="auto"/>
            <w:tcBorders>
              <w:top w:val="nil"/>
              <w:left w:val="nil"/>
              <w:bottom w:val="single" w:sz="4" w:space="0" w:color="auto"/>
              <w:right w:val="single" w:sz="4" w:space="0" w:color="auto"/>
            </w:tcBorders>
            <w:shd w:val="clear" w:color="auto" w:fill="auto"/>
            <w:noWrap/>
            <w:vAlign w:val="bottom"/>
            <w:hideMark/>
          </w:tcPr>
          <w:p w14:paraId="1F07B4BA" w14:textId="77777777" w:rsidR="00E2174E" w:rsidRPr="00B710A9" w:rsidRDefault="00E2174E" w:rsidP="00A224C8">
            <w:pPr>
              <w:jc w:val="center"/>
              <w:rPr>
                <w:rFonts w:cs="Arial"/>
                <w:color w:val="000000"/>
                <w:sz w:val="17"/>
                <w:szCs w:val="17"/>
              </w:rPr>
            </w:pPr>
            <w:r w:rsidRPr="00B710A9">
              <w:rPr>
                <w:rFonts w:cs="Arial"/>
                <w:color w:val="000000"/>
                <w:sz w:val="17"/>
                <w:szCs w:val="17"/>
              </w:rPr>
              <w:t>85,69%</w:t>
            </w:r>
          </w:p>
        </w:tc>
        <w:tc>
          <w:tcPr>
            <w:tcW w:w="0" w:type="auto"/>
            <w:tcBorders>
              <w:top w:val="nil"/>
              <w:left w:val="nil"/>
              <w:bottom w:val="single" w:sz="4" w:space="0" w:color="auto"/>
              <w:right w:val="single" w:sz="4" w:space="0" w:color="auto"/>
            </w:tcBorders>
            <w:shd w:val="clear" w:color="auto" w:fill="auto"/>
            <w:noWrap/>
            <w:vAlign w:val="bottom"/>
            <w:hideMark/>
          </w:tcPr>
          <w:p w14:paraId="05ACFD58" w14:textId="77777777" w:rsidR="00E2174E" w:rsidRPr="00B710A9" w:rsidRDefault="00E2174E" w:rsidP="00A224C8">
            <w:pPr>
              <w:jc w:val="right"/>
              <w:rPr>
                <w:rFonts w:cs="Arial"/>
                <w:color w:val="000000"/>
                <w:sz w:val="17"/>
                <w:szCs w:val="17"/>
              </w:rPr>
            </w:pPr>
            <w:r w:rsidRPr="00B710A9">
              <w:rPr>
                <w:rFonts w:cs="Arial"/>
                <w:color w:val="000000"/>
                <w:sz w:val="17"/>
                <w:szCs w:val="17"/>
              </w:rPr>
              <w:t>$ 36</w:t>
            </w:r>
          </w:p>
        </w:tc>
        <w:tc>
          <w:tcPr>
            <w:tcW w:w="0" w:type="auto"/>
            <w:tcBorders>
              <w:top w:val="nil"/>
              <w:left w:val="nil"/>
              <w:bottom w:val="single" w:sz="4" w:space="0" w:color="auto"/>
              <w:right w:val="single" w:sz="4" w:space="0" w:color="auto"/>
            </w:tcBorders>
            <w:shd w:val="clear" w:color="auto" w:fill="auto"/>
            <w:noWrap/>
            <w:vAlign w:val="bottom"/>
            <w:hideMark/>
          </w:tcPr>
          <w:p w14:paraId="587FCE2B" w14:textId="77777777" w:rsidR="00E2174E" w:rsidRPr="00B710A9" w:rsidRDefault="00E2174E" w:rsidP="00A224C8">
            <w:pPr>
              <w:jc w:val="center"/>
              <w:rPr>
                <w:rFonts w:cs="Arial"/>
                <w:color w:val="000000"/>
                <w:sz w:val="17"/>
                <w:szCs w:val="17"/>
              </w:rPr>
            </w:pPr>
            <w:r w:rsidRPr="00B710A9">
              <w:rPr>
                <w:rFonts w:cs="Arial"/>
                <w:color w:val="000000"/>
                <w:sz w:val="17"/>
                <w:szCs w:val="17"/>
              </w:rPr>
              <w:t>3,75%</w:t>
            </w:r>
          </w:p>
        </w:tc>
      </w:tr>
      <w:tr w:rsidR="00E2174E" w:rsidRPr="00B710A9" w14:paraId="38326DBD" w14:textId="77777777" w:rsidTr="00E35A84">
        <w:trPr>
          <w:cantSplit/>
          <w:trHeight w:val="19"/>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577DBFDE"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000000" w:fill="ACB9CA"/>
            <w:noWrap/>
            <w:vAlign w:val="bottom"/>
            <w:hideMark/>
          </w:tcPr>
          <w:p w14:paraId="0E367E7E" w14:textId="77777777" w:rsidR="00E2174E" w:rsidRPr="00B710A9" w:rsidRDefault="00E2174E" w:rsidP="00A224C8">
            <w:pPr>
              <w:rPr>
                <w:rFonts w:cs="Arial"/>
                <w:b/>
                <w:bCs/>
                <w:color w:val="000000"/>
                <w:sz w:val="17"/>
                <w:szCs w:val="17"/>
              </w:rPr>
            </w:pPr>
            <w:r w:rsidRPr="00B710A9">
              <w:rPr>
                <w:rFonts w:cs="Arial"/>
                <w:b/>
                <w:bCs/>
                <w:color w:val="000000"/>
                <w:sz w:val="17"/>
                <w:szCs w:val="17"/>
              </w:rPr>
              <w:t>Total</w:t>
            </w:r>
          </w:p>
        </w:tc>
        <w:tc>
          <w:tcPr>
            <w:tcW w:w="0" w:type="auto"/>
            <w:tcBorders>
              <w:top w:val="nil"/>
              <w:left w:val="nil"/>
              <w:bottom w:val="single" w:sz="4" w:space="0" w:color="auto"/>
              <w:right w:val="single" w:sz="4" w:space="0" w:color="auto"/>
            </w:tcBorders>
            <w:shd w:val="clear" w:color="000000" w:fill="ACB9CA"/>
            <w:noWrap/>
            <w:vAlign w:val="bottom"/>
            <w:hideMark/>
          </w:tcPr>
          <w:p w14:paraId="5B9F6F41"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$ 1.023</w:t>
            </w:r>
          </w:p>
        </w:tc>
        <w:tc>
          <w:tcPr>
            <w:tcW w:w="0" w:type="auto"/>
            <w:tcBorders>
              <w:top w:val="nil"/>
              <w:left w:val="nil"/>
              <w:bottom w:val="single" w:sz="4" w:space="0" w:color="auto"/>
              <w:right w:val="single" w:sz="4" w:space="0" w:color="auto"/>
            </w:tcBorders>
            <w:shd w:val="clear" w:color="000000" w:fill="ACB9CA"/>
            <w:noWrap/>
            <w:vAlign w:val="bottom"/>
            <w:hideMark/>
          </w:tcPr>
          <w:p w14:paraId="0E7BF565"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$ 978</w:t>
            </w:r>
          </w:p>
        </w:tc>
        <w:tc>
          <w:tcPr>
            <w:tcW w:w="0" w:type="auto"/>
            <w:tcBorders>
              <w:top w:val="nil"/>
              <w:left w:val="nil"/>
              <w:bottom w:val="single" w:sz="4" w:space="0" w:color="auto"/>
              <w:right w:val="single" w:sz="4" w:space="0" w:color="auto"/>
            </w:tcBorders>
            <w:shd w:val="clear" w:color="000000" w:fill="ACB9CA"/>
            <w:noWrap/>
            <w:vAlign w:val="bottom"/>
            <w:hideMark/>
          </w:tcPr>
          <w:p w14:paraId="4481E2EE"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95,57%</w:t>
            </w:r>
          </w:p>
        </w:tc>
        <w:tc>
          <w:tcPr>
            <w:tcW w:w="0" w:type="auto"/>
            <w:tcBorders>
              <w:top w:val="nil"/>
              <w:left w:val="nil"/>
              <w:bottom w:val="single" w:sz="4" w:space="0" w:color="auto"/>
              <w:right w:val="single" w:sz="4" w:space="0" w:color="auto"/>
            </w:tcBorders>
            <w:shd w:val="clear" w:color="000000" w:fill="ACB9CA"/>
            <w:noWrap/>
            <w:vAlign w:val="bottom"/>
            <w:hideMark/>
          </w:tcPr>
          <w:p w14:paraId="45EBA9FD"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$ 936</w:t>
            </w:r>
          </w:p>
        </w:tc>
        <w:tc>
          <w:tcPr>
            <w:tcW w:w="0" w:type="auto"/>
            <w:tcBorders>
              <w:top w:val="nil"/>
              <w:left w:val="nil"/>
              <w:bottom w:val="single" w:sz="4" w:space="0" w:color="auto"/>
              <w:right w:val="single" w:sz="4" w:space="0" w:color="auto"/>
            </w:tcBorders>
            <w:shd w:val="clear" w:color="000000" w:fill="ACB9CA"/>
            <w:noWrap/>
            <w:vAlign w:val="bottom"/>
            <w:hideMark/>
          </w:tcPr>
          <w:p w14:paraId="7CE52D77"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91,46%</w:t>
            </w:r>
          </w:p>
        </w:tc>
        <w:tc>
          <w:tcPr>
            <w:tcW w:w="0" w:type="auto"/>
            <w:tcBorders>
              <w:top w:val="nil"/>
              <w:left w:val="nil"/>
              <w:bottom w:val="single" w:sz="4" w:space="0" w:color="auto"/>
              <w:right w:val="single" w:sz="4" w:space="0" w:color="auto"/>
            </w:tcBorders>
            <w:shd w:val="clear" w:color="000000" w:fill="ACB9CA"/>
            <w:noWrap/>
            <w:vAlign w:val="bottom"/>
            <w:hideMark/>
          </w:tcPr>
          <w:p w14:paraId="7F0E3745"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$ 909</w:t>
            </w:r>
          </w:p>
        </w:tc>
        <w:tc>
          <w:tcPr>
            <w:tcW w:w="0" w:type="auto"/>
            <w:tcBorders>
              <w:top w:val="nil"/>
              <w:left w:val="nil"/>
              <w:bottom w:val="single" w:sz="4" w:space="0" w:color="auto"/>
              <w:right w:val="single" w:sz="4" w:space="0" w:color="auto"/>
            </w:tcBorders>
            <w:shd w:val="clear" w:color="000000" w:fill="ACB9CA"/>
            <w:noWrap/>
            <w:vAlign w:val="bottom"/>
            <w:hideMark/>
          </w:tcPr>
          <w:p w14:paraId="5F6B5ACF"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88,84%</w:t>
            </w:r>
          </w:p>
        </w:tc>
        <w:tc>
          <w:tcPr>
            <w:tcW w:w="0" w:type="auto"/>
            <w:tcBorders>
              <w:top w:val="nil"/>
              <w:left w:val="nil"/>
              <w:bottom w:val="single" w:sz="4" w:space="0" w:color="auto"/>
              <w:right w:val="single" w:sz="4" w:space="0" w:color="auto"/>
            </w:tcBorders>
            <w:shd w:val="clear" w:color="000000" w:fill="ACB9CA"/>
            <w:noWrap/>
            <w:vAlign w:val="bottom"/>
            <w:hideMark/>
          </w:tcPr>
          <w:p w14:paraId="3487A412"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$ 852</w:t>
            </w:r>
          </w:p>
        </w:tc>
        <w:tc>
          <w:tcPr>
            <w:tcW w:w="0" w:type="auto"/>
            <w:tcBorders>
              <w:top w:val="nil"/>
              <w:left w:val="nil"/>
              <w:bottom w:val="single" w:sz="4" w:space="0" w:color="auto"/>
              <w:right w:val="single" w:sz="4" w:space="0" w:color="auto"/>
            </w:tcBorders>
            <w:shd w:val="clear" w:color="000000" w:fill="ACB9CA"/>
            <w:noWrap/>
            <w:vAlign w:val="bottom"/>
            <w:hideMark/>
          </w:tcPr>
          <w:p w14:paraId="52AE1D74"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83,26%</w:t>
            </w:r>
          </w:p>
        </w:tc>
        <w:tc>
          <w:tcPr>
            <w:tcW w:w="0" w:type="auto"/>
            <w:tcBorders>
              <w:top w:val="nil"/>
              <w:left w:val="nil"/>
              <w:bottom w:val="single" w:sz="4" w:space="0" w:color="auto"/>
              <w:right w:val="single" w:sz="4" w:space="0" w:color="auto"/>
            </w:tcBorders>
            <w:shd w:val="clear" w:color="000000" w:fill="ACB9CA"/>
            <w:noWrap/>
            <w:vAlign w:val="bottom"/>
            <w:hideMark/>
          </w:tcPr>
          <w:p w14:paraId="7CACDFF3"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$ 45</w:t>
            </w:r>
          </w:p>
        </w:tc>
        <w:tc>
          <w:tcPr>
            <w:tcW w:w="0" w:type="auto"/>
            <w:tcBorders>
              <w:top w:val="nil"/>
              <w:left w:val="nil"/>
              <w:bottom w:val="single" w:sz="4" w:space="0" w:color="auto"/>
              <w:right w:val="single" w:sz="4" w:space="0" w:color="auto"/>
            </w:tcBorders>
            <w:shd w:val="clear" w:color="000000" w:fill="ACB9CA"/>
            <w:noWrap/>
            <w:vAlign w:val="bottom"/>
            <w:hideMark/>
          </w:tcPr>
          <w:p w14:paraId="0F18744D"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4,43%</w:t>
            </w:r>
          </w:p>
        </w:tc>
      </w:tr>
      <w:tr w:rsidR="00E2174E" w:rsidRPr="00B710A9" w14:paraId="19E3D949" w14:textId="77777777" w:rsidTr="00E35A84">
        <w:trPr>
          <w:cantSplit/>
          <w:trHeight w:val="107"/>
          <w:jc w:val="center"/>
        </w:trPr>
        <w:tc>
          <w:tcPr>
            <w:tcW w:w="373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1A8B53E" w14:textId="158B349B" w:rsidR="00E2174E" w:rsidRPr="00B710A9" w:rsidRDefault="00E2174E" w:rsidP="00A224C8">
            <w:pPr>
              <w:jc w:val="center"/>
              <w:rPr>
                <w:rFonts w:cs="Arial"/>
                <w:color w:val="000000"/>
                <w:sz w:val="17"/>
                <w:szCs w:val="17"/>
              </w:rPr>
            </w:pPr>
            <w:r w:rsidRPr="00B710A9">
              <w:rPr>
                <w:rFonts w:cs="Arial"/>
                <w:color w:val="000000"/>
                <w:sz w:val="17"/>
                <w:szCs w:val="17"/>
              </w:rPr>
              <w:t>Generación de estudios de suelos, tierras y aplicaciones agrológicas como insumo para el ordenamiento integral y el manejo sostenible del territorio a nivel nacional</w:t>
            </w:r>
          </w:p>
        </w:tc>
        <w:tc>
          <w:tcPr>
            <w:tcW w:w="0" w:type="auto"/>
            <w:tcBorders>
              <w:top w:val="nil"/>
              <w:left w:val="nil"/>
              <w:bottom w:val="single" w:sz="4" w:space="0" w:color="auto"/>
              <w:right w:val="single" w:sz="4" w:space="0" w:color="auto"/>
            </w:tcBorders>
            <w:shd w:val="clear" w:color="auto" w:fill="auto"/>
            <w:noWrap/>
            <w:vAlign w:val="center"/>
            <w:hideMark/>
          </w:tcPr>
          <w:p w14:paraId="403DCD3C" w14:textId="77777777" w:rsidR="00E2174E" w:rsidRPr="00B710A9" w:rsidRDefault="00E2174E" w:rsidP="00A224C8">
            <w:pPr>
              <w:rPr>
                <w:rFonts w:cs="Arial"/>
                <w:color w:val="000000"/>
                <w:sz w:val="17"/>
                <w:szCs w:val="17"/>
              </w:rPr>
            </w:pPr>
            <w:r w:rsidRPr="00B710A9">
              <w:rPr>
                <w:rFonts w:cs="Arial"/>
                <w:color w:val="000000"/>
                <w:sz w:val="17"/>
                <w:szCs w:val="17"/>
              </w:rPr>
              <w:t>Nación</w:t>
            </w:r>
          </w:p>
        </w:tc>
        <w:tc>
          <w:tcPr>
            <w:tcW w:w="0" w:type="auto"/>
            <w:tcBorders>
              <w:top w:val="nil"/>
              <w:left w:val="nil"/>
              <w:bottom w:val="single" w:sz="4" w:space="0" w:color="auto"/>
              <w:right w:val="single" w:sz="4" w:space="0" w:color="auto"/>
            </w:tcBorders>
            <w:shd w:val="clear" w:color="auto" w:fill="auto"/>
            <w:noWrap/>
            <w:vAlign w:val="bottom"/>
            <w:hideMark/>
          </w:tcPr>
          <w:p w14:paraId="1DF75C1A" w14:textId="77777777" w:rsidR="00E2174E" w:rsidRPr="00B710A9" w:rsidRDefault="00E2174E" w:rsidP="00A224C8">
            <w:pPr>
              <w:jc w:val="right"/>
              <w:rPr>
                <w:rFonts w:cs="Arial"/>
                <w:color w:val="000000"/>
                <w:sz w:val="17"/>
                <w:szCs w:val="17"/>
              </w:rPr>
            </w:pPr>
            <w:r w:rsidRPr="00B710A9">
              <w:rPr>
                <w:rFonts w:cs="Arial"/>
                <w:color w:val="000000"/>
                <w:sz w:val="17"/>
                <w:szCs w:val="17"/>
              </w:rPr>
              <w:t>$ 1.171</w:t>
            </w:r>
          </w:p>
        </w:tc>
        <w:tc>
          <w:tcPr>
            <w:tcW w:w="0" w:type="auto"/>
            <w:tcBorders>
              <w:top w:val="nil"/>
              <w:left w:val="nil"/>
              <w:bottom w:val="single" w:sz="4" w:space="0" w:color="auto"/>
              <w:right w:val="single" w:sz="4" w:space="0" w:color="auto"/>
            </w:tcBorders>
            <w:shd w:val="clear" w:color="auto" w:fill="auto"/>
            <w:noWrap/>
            <w:vAlign w:val="bottom"/>
            <w:hideMark/>
          </w:tcPr>
          <w:p w14:paraId="35952691" w14:textId="77777777" w:rsidR="00E2174E" w:rsidRPr="00B710A9" w:rsidRDefault="00E2174E" w:rsidP="00A224C8">
            <w:pPr>
              <w:jc w:val="right"/>
              <w:rPr>
                <w:rFonts w:cs="Arial"/>
                <w:color w:val="000000"/>
                <w:sz w:val="17"/>
                <w:szCs w:val="17"/>
              </w:rPr>
            </w:pPr>
            <w:r w:rsidRPr="00B710A9">
              <w:rPr>
                <w:rFonts w:cs="Arial"/>
                <w:color w:val="000000"/>
                <w:sz w:val="17"/>
                <w:szCs w:val="17"/>
              </w:rPr>
              <w:t>$ 1.169</w:t>
            </w:r>
          </w:p>
        </w:tc>
        <w:tc>
          <w:tcPr>
            <w:tcW w:w="0" w:type="auto"/>
            <w:tcBorders>
              <w:top w:val="nil"/>
              <w:left w:val="nil"/>
              <w:bottom w:val="single" w:sz="4" w:space="0" w:color="auto"/>
              <w:right w:val="single" w:sz="4" w:space="0" w:color="auto"/>
            </w:tcBorders>
            <w:shd w:val="clear" w:color="auto" w:fill="auto"/>
            <w:noWrap/>
            <w:vAlign w:val="bottom"/>
            <w:hideMark/>
          </w:tcPr>
          <w:p w14:paraId="35F54957" w14:textId="77777777" w:rsidR="00E2174E" w:rsidRPr="00B710A9" w:rsidRDefault="00E2174E" w:rsidP="00A224C8">
            <w:pPr>
              <w:jc w:val="center"/>
              <w:rPr>
                <w:rFonts w:cs="Arial"/>
                <w:color w:val="000000"/>
                <w:sz w:val="17"/>
                <w:szCs w:val="17"/>
              </w:rPr>
            </w:pPr>
            <w:r w:rsidRPr="00B710A9">
              <w:rPr>
                <w:rFonts w:cs="Arial"/>
                <w:color w:val="000000"/>
                <w:sz w:val="17"/>
                <w:szCs w:val="17"/>
              </w:rPr>
              <w:t>99,86%</w:t>
            </w:r>
          </w:p>
        </w:tc>
        <w:tc>
          <w:tcPr>
            <w:tcW w:w="0" w:type="auto"/>
            <w:tcBorders>
              <w:top w:val="nil"/>
              <w:left w:val="nil"/>
              <w:bottom w:val="single" w:sz="4" w:space="0" w:color="auto"/>
              <w:right w:val="single" w:sz="4" w:space="0" w:color="auto"/>
            </w:tcBorders>
            <w:shd w:val="clear" w:color="auto" w:fill="auto"/>
            <w:noWrap/>
            <w:vAlign w:val="bottom"/>
            <w:hideMark/>
          </w:tcPr>
          <w:p w14:paraId="1E0B5F15" w14:textId="77777777" w:rsidR="00E2174E" w:rsidRPr="00B710A9" w:rsidRDefault="00E2174E" w:rsidP="00A224C8">
            <w:pPr>
              <w:jc w:val="right"/>
              <w:rPr>
                <w:rFonts w:cs="Arial"/>
                <w:color w:val="000000"/>
                <w:sz w:val="17"/>
                <w:szCs w:val="17"/>
              </w:rPr>
            </w:pPr>
            <w:r w:rsidRPr="00B710A9">
              <w:rPr>
                <w:rFonts w:cs="Arial"/>
                <w:color w:val="000000"/>
                <w:sz w:val="17"/>
                <w:szCs w:val="17"/>
              </w:rPr>
              <w:t>$ 1.167</w:t>
            </w:r>
          </w:p>
        </w:tc>
        <w:tc>
          <w:tcPr>
            <w:tcW w:w="0" w:type="auto"/>
            <w:tcBorders>
              <w:top w:val="nil"/>
              <w:left w:val="nil"/>
              <w:bottom w:val="single" w:sz="4" w:space="0" w:color="auto"/>
              <w:right w:val="single" w:sz="4" w:space="0" w:color="auto"/>
            </w:tcBorders>
            <w:shd w:val="clear" w:color="auto" w:fill="auto"/>
            <w:noWrap/>
            <w:vAlign w:val="bottom"/>
            <w:hideMark/>
          </w:tcPr>
          <w:p w14:paraId="354B5F41" w14:textId="77777777" w:rsidR="00E2174E" w:rsidRPr="00B710A9" w:rsidRDefault="00E2174E" w:rsidP="00A224C8">
            <w:pPr>
              <w:jc w:val="center"/>
              <w:rPr>
                <w:rFonts w:cs="Arial"/>
                <w:color w:val="000000"/>
                <w:sz w:val="17"/>
                <w:szCs w:val="17"/>
              </w:rPr>
            </w:pPr>
            <w:r w:rsidRPr="00B710A9">
              <w:rPr>
                <w:rFonts w:cs="Arial"/>
                <w:color w:val="000000"/>
                <w:sz w:val="17"/>
                <w:szCs w:val="17"/>
              </w:rPr>
              <w:t>99,66%</w:t>
            </w:r>
          </w:p>
        </w:tc>
        <w:tc>
          <w:tcPr>
            <w:tcW w:w="0" w:type="auto"/>
            <w:tcBorders>
              <w:top w:val="nil"/>
              <w:left w:val="nil"/>
              <w:bottom w:val="single" w:sz="4" w:space="0" w:color="auto"/>
              <w:right w:val="single" w:sz="4" w:space="0" w:color="auto"/>
            </w:tcBorders>
            <w:shd w:val="clear" w:color="auto" w:fill="auto"/>
            <w:noWrap/>
            <w:vAlign w:val="bottom"/>
            <w:hideMark/>
          </w:tcPr>
          <w:p w14:paraId="2792040D" w14:textId="77777777" w:rsidR="00E2174E" w:rsidRPr="00B710A9" w:rsidRDefault="00E2174E" w:rsidP="00A224C8">
            <w:pPr>
              <w:jc w:val="right"/>
              <w:rPr>
                <w:rFonts w:cs="Arial"/>
                <w:color w:val="000000"/>
                <w:sz w:val="17"/>
                <w:szCs w:val="17"/>
              </w:rPr>
            </w:pPr>
            <w:r w:rsidRPr="00B710A9">
              <w:rPr>
                <w:rFonts w:cs="Arial"/>
                <w:color w:val="000000"/>
                <w:sz w:val="17"/>
                <w:szCs w:val="17"/>
              </w:rPr>
              <w:t>$ 1.162</w:t>
            </w:r>
          </w:p>
        </w:tc>
        <w:tc>
          <w:tcPr>
            <w:tcW w:w="0" w:type="auto"/>
            <w:tcBorders>
              <w:top w:val="nil"/>
              <w:left w:val="nil"/>
              <w:bottom w:val="single" w:sz="4" w:space="0" w:color="auto"/>
              <w:right w:val="single" w:sz="4" w:space="0" w:color="auto"/>
            </w:tcBorders>
            <w:shd w:val="clear" w:color="auto" w:fill="auto"/>
            <w:noWrap/>
            <w:vAlign w:val="bottom"/>
            <w:hideMark/>
          </w:tcPr>
          <w:p w14:paraId="27B22C7C" w14:textId="77777777" w:rsidR="00E2174E" w:rsidRPr="00B710A9" w:rsidRDefault="00E2174E" w:rsidP="00A224C8">
            <w:pPr>
              <w:jc w:val="center"/>
              <w:rPr>
                <w:rFonts w:cs="Arial"/>
                <w:color w:val="000000"/>
                <w:sz w:val="17"/>
                <w:szCs w:val="17"/>
              </w:rPr>
            </w:pPr>
            <w:r w:rsidRPr="00B710A9">
              <w:rPr>
                <w:rFonts w:cs="Arial"/>
                <w:color w:val="000000"/>
                <w:sz w:val="17"/>
                <w:szCs w:val="17"/>
              </w:rPr>
              <w:t>99,30%</w:t>
            </w:r>
          </w:p>
        </w:tc>
        <w:tc>
          <w:tcPr>
            <w:tcW w:w="0" w:type="auto"/>
            <w:tcBorders>
              <w:top w:val="nil"/>
              <w:left w:val="nil"/>
              <w:bottom w:val="single" w:sz="4" w:space="0" w:color="auto"/>
              <w:right w:val="single" w:sz="4" w:space="0" w:color="auto"/>
            </w:tcBorders>
            <w:shd w:val="clear" w:color="auto" w:fill="auto"/>
            <w:noWrap/>
            <w:vAlign w:val="bottom"/>
            <w:hideMark/>
          </w:tcPr>
          <w:p w14:paraId="796148A4" w14:textId="77777777" w:rsidR="00E2174E" w:rsidRPr="00B710A9" w:rsidRDefault="00E2174E" w:rsidP="00A224C8">
            <w:pPr>
              <w:jc w:val="right"/>
              <w:rPr>
                <w:rFonts w:cs="Arial"/>
                <w:color w:val="000000"/>
                <w:sz w:val="17"/>
                <w:szCs w:val="17"/>
              </w:rPr>
            </w:pPr>
            <w:r w:rsidRPr="00B710A9">
              <w:rPr>
                <w:rFonts w:cs="Arial"/>
                <w:color w:val="000000"/>
                <w:sz w:val="17"/>
                <w:szCs w:val="17"/>
              </w:rPr>
              <w:t>$ 1.162</w:t>
            </w:r>
          </w:p>
        </w:tc>
        <w:tc>
          <w:tcPr>
            <w:tcW w:w="0" w:type="auto"/>
            <w:tcBorders>
              <w:top w:val="nil"/>
              <w:left w:val="nil"/>
              <w:bottom w:val="single" w:sz="4" w:space="0" w:color="auto"/>
              <w:right w:val="single" w:sz="4" w:space="0" w:color="auto"/>
            </w:tcBorders>
            <w:shd w:val="clear" w:color="auto" w:fill="auto"/>
            <w:noWrap/>
            <w:vAlign w:val="bottom"/>
            <w:hideMark/>
          </w:tcPr>
          <w:p w14:paraId="242CB33E" w14:textId="77777777" w:rsidR="00E2174E" w:rsidRPr="00B710A9" w:rsidRDefault="00E2174E" w:rsidP="00A224C8">
            <w:pPr>
              <w:jc w:val="center"/>
              <w:rPr>
                <w:rFonts w:cs="Arial"/>
                <w:color w:val="000000"/>
                <w:sz w:val="17"/>
                <w:szCs w:val="17"/>
              </w:rPr>
            </w:pPr>
            <w:r w:rsidRPr="00B710A9">
              <w:rPr>
                <w:rFonts w:cs="Arial"/>
                <w:color w:val="000000"/>
                <w:sz w:val="17"/>
                <w:szCs w:val="17"/>
              </w:rPr>
              <w:t>99,30%</w:t>
            </w:r>
          </w:p>
        </w:tc>
        <w:tc>
          <w:tcPr>
            <w:tcW w:w="0" w:type="auto"/>
            <w:tcBorders>
              <w:top w:val="nil"/>
              <w:left w:val="nil"/>
              <w:bottom w:val="single" w:sz="4" w:space="0" w:color="auto"/>
              <w:right w:val="single" w:sz="4" w:space="0" w:color="auto"/>
            </w:tcBorders>
            <w:shd w:val="clear" w:color="auto" w:fill="auto"/>
            <w:noWrap/>
            <w:vAlign w:val="bottom"/>
            <w:hideMark/>
          </w:tcPr>
          <w:p w14:paraId="61E50825" w14:textId="77777777" w:rsidR="00E2174E" w:rsidRPr="00B710A9" w:rsidRDefault="00E2174E" w:rsidP="00A224C8">
            <w:pPr>
              <w:jc w:val="right"/>
              <w:rPr>
                <w:rFonts w:cs="Arial"/>
                <w:color w:val="000000"/>
                <w:sz w:val="17"/>
                <w:szCs w:val="17"/>
              </w:rPr>
            </w:pPr>
            <w:r w:rsidRPr="00B710A9">
              <w:rPr>
                <w:rFonts w:cs="Arial"/>
                <w:color w:val="000000"/>
                <w:sz w:val="17"/>
                <w:szCs w:val="17"/>
              </w:rPr>
              <w:t>$ 2</w:t>
            </w:r>
          </w:p>
        </w:tc>
        <w:tc>
          <w:tcPr>
            <w:tcW w:w="0" w:type="auto"/>
            <w:tcBorders>
              <w:top w:val="nil"/>
              <w:left w:val="nil"/>
              <w:bottom w:val="single" w:sz="4" w:space="0" w:color="auto"/>
              <w:right w:val="single" w:sz="4" w:space="0" w:color="auto"/>
            </w:tcBorders>
            <w:shd w:val="clear" w:color="auto" w:fill="auto"/>
            <w:noWrap/>
            <w:vAlign w:val="bottom"/>
            <w:hideMark/>
          </w:tcPr>
          <w:p w14:paraId="2A765D3E" w14:textId="77777777" w:rsidR="00E2174E" w:rsidRPr="00B710A9" w:rsidRDefault="00E2174E" w:rsidP="00A224C8">
            <w:pPr>
              <w:jc w:val="center"/>
              <w:rPr>
                <w:rFonts w:cs="Arial"/>
                <w:color w:val="000000"/>
                <w:sz w:val="17"/>
                <w:szCs w:val="17"/>
              </w:rPr>
            </w:pPr>
            <w:r w:rsidRPr="00B710A9">
              <w:rPr>
                <w:rFonts w:cs="Arial"/>
                <w:color w:val="000000"/>
                <w:sz w:val="17"/>
                <w:szCs w:val="17"/>
              </w:rPr>
              <w:t>0,14%</w:t>
            </w:r>
          </w:p>
        </w:tc>
      </w:tr>
      <w:tr w:rsidR="00E2174E" w:rsidRPr="00B710A9" w14:paraId="2B85DDEA" w14:textId="77777777" w:rsidTr="00E35A84">
        <w:trPr>
          <w:cantSplit/>
          <w:trHeight w:val="19"/>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55137D1E"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auto" w:fill="auto"/>
            <w:noWrap/>
            <w:vAlign w:val="center"/>
            <w:hideMark/>
          </w:tcPr>
          <w:p w14:paraId="67B3B932" w14:textId="77777777" w:rsidR="00E2174E" w:rsidRPr="00B710A9" w:rsidRDefault="00E2174E" w:rsidP="00A224C8">
            <w:pPr>
              <w:rPr>
                <w:rFonts w:cs="Arial"/>
                <w:color w:val="000000"/>
                <w:sz w:val="17"/>
                <w:szCs w:val="17"/>
              </w:rPr>
            </w:pPr>
            <w:r w:rsidRPr="00B710A9">
              <w:rPr>
                <w:rFonts w:cs="Arial"/>
                <w:color w:val="000000"/>
                <w:sz w:val="17"/>
                <w:szCs w:val="17"/>
              </w:rPr>
              <w:t>Propios</w:t>
            </w:r>
          </w:p>
        </w:tc>
        <w:tc>
          <w:tcPr>
            <w:tcW w:w="0" w:type="auto"/>
            <w:tcBorders>
              <w:top w:val="nil"/>
              <w:left w:val="nil"/>
              <w:bottom w:val="single" w:sz="4" w:space="0" w:color="auto"/>
              <w:right w:val="single" w:sz="4" w:space="0" w:color="auto"/>
            </w:tcBorders>
            <w:shd w:val="clear" w:color="auto" w:fill="auto"/>
            <w:noWrap/>
            <w:vAlign w:val="bottom"/>
            <w:hideMark/>
          </w:tcPr>
          <w:p w14:paraId="74D49012" w14:textId="77777777" w:rsidR="00E2174E" w:rsidRPr="00B710A9" w:rsidRDefault="00E2174E" w:rsidP="00A224C8">
            <w:pPr>
              <w:jc w:val="right"/>
              <w:rPr>
                <w:rFonts w:cs="Arial"/>
                <w:color w:val="000000"/>
                <w:sz w:val="17"/>
                <w:szCs w:val="17"/>
              </w:rPr>
            </w:pPr>
            <w:r w:rsidRPr="00B710A9">
              <w:rPr>
                <w:rFonts w:cs="Arial"/>
                <w:color w:val="000000"/>
                <w:sz w:val="17"/>
                <w:szCs w:val="17"/>
              </w:rPr>
              <w:t>$ 11.116</w:t>
            </w:r>
          </w:p>
        </w:tc>
        <w:tc>
          <w:tcPr>
            <w:tcW w:w="0" w:type="auto"/>
            <w:tcBorders>
              <w:top w:val="nil"/>
              <w:left w:val="nil"/>
              <w:bottom w:val="single" w:sz="4" w:space="0" w:color="auto"/>
              <w:right w:val="single" w:sz="4" w:space="0" w:color="auto"/>
            </w:tcBorders>
            <w:shd w:val="clear" w:color="auto" w:fill="auto"/>
            <w:noWrap/>
            <w:vAlign w:val="bottom"/>
            <w:hideMark/>
          </w:tcPr>
          <w:p w14:paraId="19A80BBC" w14:textId="77777777" w:rsidR="00E2174E" w:rsidRPr="00B710A9" w:rsidRDefault="00E2174E" w:rsidP="00A224C8">
            <w:pPr>
              <w:jc w:val="right"/>
              <w:rPr>
                <w:rFonts w:cs="Arial"/>
                <w:color w:val="000000"/>
                <w:sz w:val="17"/>
                <w:szCs w:val="17"/>
              </w:rPr>
            </w:pPr>
            <w:r w:rsidRPr="00B710A9">
              <w:rPr>
                <w:rFonts w:cs="Arial"/>
                <w:color w:val="000000"/>
                <w:sz w:val="17"/>
                <w:szCs w:val="17"/>
              </w:rPr>
              <w:t>$ 404</w:t>
            </w:r>
          </w:p>
        </w:tc>
        <w:tc>
          <w:tcPr>
            <w:tcW w:w="0" w:type="auto"/>
            <w:tcBorders>
              <w:top w:val="nil"/>
              <w:left w:val="nil"/>
              <w:bottom w:val="single" w:sz="4" w:space="0" w:color="auto"/>
              <w:right w:val="single" w:sz="4" w:space="0" w:color="auto"/>
            </w:tcBorders>
            <w:shd w:val="clear" w:color="auto" w:fill="auto"/>
            <w:noWrap/>
            <w:vAlign w:val="bottom"/>
            <w:hideMark/>
          </w:tcPr>
          <w:p w14:paraId="5ED6F540" w14:textId="77777777" w:rsidR="00E2174E" w:rsidRPr="00B710A9" w:rsidRDefault="00E2174E" w:rsidP="00A224C8">
            <w:pPr>
              <w:jc w:val="center"/>
              <w:rPr>
                <w:rFonts w:cs="Arial"/>
                <w:color w:val="000000"/>
                <w:sz w:val="17"/>
                <w:szCs w:val="17"/>
              </w:rPr>
            </w:pPr>
            <w:r w:rsidRPr="00B710A9">
              <w:rPr>
                <w:rFonts w:cs="Arial"/>
                <w:color w:val="000000"/>
                <w:sz w:val="17"/>
                <w:szCs w:val="17"/>
              </w:rPr>
              <w:t>3,63%</w:t>
            </w:r>
          </w:p>
        </w:tc>
        <w:tc>
          <w:tcPr>
            <w:tcW w:w="0" w:type="auto"/>
            <w:tcBorders>
              <w:top w:val="nil"/>
              <w:left w:val="nil"/>
              <w:bottom w:val="single" w:sz="4" w:space="0" w:color="auto"/>
              <w:right w:val="single" w:sz="4" w:space="0" w:color="auto"/>
            </w:tcBorders>
            <w:shd w:val="clear" w:color="auto" w:fill="auto"/>
            <w:noWrap/>
            <w:vAlign w:val="bottom"/>
            <w:hideMark/>
          </w:tcPr>
          <w:p w14:paraId="778B7CCD" w14:textId="77777777" w:rsidR="00E2174E" w:rsidRPr="00B710A9" w:rsidRDefault="00E2174E" w:rsidP="00A224C8">
            <w:pPr>
              <w:jc w:val="right"/>
              <w:rPr>
                <w:rFonts w:cs="Arial"/>
                <w:color w:val="000000"/>
                <w:sz w:val="17"/>
                <w:szCs w:val="17"/>
              </w:rPr>
            </w:pPr>
            <w:r w:rsidRPr="00B710A9">
              <w:rPr>
                <w:rFonts w:cs="Arial"/>
                <w:color w:val="000000"/>
                <w:sz w:val="17"/>
                <w:szCs w:val="17"/>
              </w:rPr>
              <w:t>$ 399</w:t>
            </w:r>
          </w:p>
        </w:tc>
        <w:tc>
          <w:tcPr>
            <w:tcW w:w="0" w:type="auto"/>
            <w:tcBorders>
              <w:top w:val="nil"/>
              <w:left w:val="nil"/>
              <w:bottom w:val="single" w:sz="4" w:space="0" w:color="auto"/>
              <w:right w:val="single" w:sz="4" w:space="0" w:color="auto"/>
            </w:tcBorders>
            <w:shd w:val="clear" w:color="auto" w:fill="auto"/>
            <w:noWrap/>
            <w:vAlign w:val="bottom"/>
            <w:hideMark/>
          </w:tcPr>
          <w:p w14:paraId="3D3FBB89" w14:textId="77777777" w:rsidR="00E2174E" w:rsidRPr="00B710A9" w:rsidRDefault="00E2174E" w:rsidP="00A224C8">
            <w:pPr>
              <w:jc w:val="center"/>
              <w:rPr>
                <w:rFonts w:cs="Arial"/>
                <w:color w:val="000000"/>
                <w:sz w:val="17"/>
                <w:szCs w:val="17"/>
              </w:rPr>
            </w:pPr>
            <w:r w:rsidRPr="00B710A9">
              <w:rPr>
                <w:rFonts w:cs="Arial"/>
                <w:color w:val="000000"/>
                <w:sz w:val="17"/>
                <w:szCs w:val="17"/>
              </w:rPr>
              <w:t>3,59%</w:t>
            </w:r>
          </w:p>
        </w:tc>
        <w:tc>
          <w:tcPr>
            <w:tcW w:w="0" w:type="auto"/>
            <w:tcBorders>
              <w:top w:val="nil"/>
              <w:left w:val="nil"/>
              <w:bottom w:val="single" w:sz="4" w:space="0" w:color="auto"/>
              <w:right w:val="single" w:sz="4" w:space="0" w:color="auto"/>
            </w:tcBorders>
            <w:shd w:val="clear" w:color="auto" w:fill="auto"/>
            <w:noWrap/>
            <w:vAlign w:val="bottom"/>
            <w:hideMark/>
          </w:tcPr>
          <w:p w14:paraId="510A425F" w14:textId="77777777" w:rsidR="00E2174E" w:rsidRPr="00B710A9" w:rsidRDefault="00E2174E" w:rsidP="00A224C8">
            <w:pPr>
              <w:jc w:val="right"/>
              <w:rPr>
                <w:rFonts w:cs="Arial"/>
                <w:color w:val="000000"/>
                <w:sz w:val="17"/>
                <w:szCs w:val="17"/>
              </w:rPr>
            </w:pPr>
            <w:r w:rsidRPr="00B710A9">
              <w:rPr>
                <w:rFonts w:cs="Arial"/>
                <w:color w:val="000000"/>
                <w:sz w:val="17"/>
                <w:szCs w:val="17"/>
              </w:rPr>
              <w:t>$ 368</w:t>
            </w:r>
          </w:p>
        </w:tc>
        <w:tc>
          <w:tcPr>
            <w:tcW w:w="0" w:type="auto"/>
            <w:tcBorders>
              <w:top w:val="nil"/>
              <w:left w:val="nil"/>
              <w:bottom w:val="single" w:sz="4" w:space="0" w:color="auto"/>
              <w:right w:val="single" w:sz="4" w:space="0" w:color="auto"/>
            </w:tcBorders>
            <w:shd w:val="clear" w:color="auto" w:fill="auto"/>
            <w:noWrap/>
            <w:vAlign w:val="bottom"/>
            <w:hideMark/>
          </w:tcPr>
          <w:p w14:paraId="11A11AEB" w14:textId="77777777" w:rsidR="00E2174E" w:rsidRPr="00B710A9" w:rsidRDefault="00E2174E" w:rsidP="00A224C8">
            <w:pPr>
              <w:jc w:val="center"/>
              <w:rPr>
                <w:rFonts w:cs="Arial"/>
                <w:color w:val="000000"/>
                <w:sz w:val="17"/>
                <w:szCs w:val="17"/>
              </w:rPr>
            </w:pPr>
            <w:r w:rsidRPr="00B710A9">
              <w:rPr>
                <w:rFonts w:cs="Arial"/>
                <w:color w:val="000000"/>
                <w:sz w:val="17"/>
                <w:szCs w:val="17"/>
              </w:rPr>
              <w:t>3,31%</w:t>
            </w:r>
          </w:p>
        </w:tc>
        <w:tc>
          <w:tcPr>
            <w:tcW w:w="0" w:type="auto"/>
            <w:tcBorders>
              <w:top w:val="nil"/>
              <w:left w:val="nil"/>
              <w:bottom w:val="single" w:sz="4" w:space="0" w:color="auto"/>
              <w:right w:val="single" w:sz="4" w:space="0" w:color="auto"/>
            </w:tcBorders>
            <w:shd w:val="clear" w:color="auto" w:fill="auto"/>
            <w:noWrap/>
            <w:vAlign w:val="bottom"/>
            <w:hideMark/>
          </w:tcPr>
          <w:p w14:paraId="6C926C21" w14:textId="77777777" w:rsidR="00E2174E" w:rsidRPr="00B710A9" w:rsidRDefault="00E2174E" w:rsidP="00A224C8">
            <w:pPr>
              <w:jc w:val="right"/>
              <w:rPr>
                <w:rFonts w:cs="Arial"/>
                <w:color w:val="000000"/>
                <w:sz w:val="17"/>
                <w:szCs w:val="17"/>
              </w:rPr>
            </w:pPr>
            <w:r w:rsidRPr="00B710A9">
              <w:rPr>
                <w:rFonts w:cs="Arial"/>
                <w:color w:val="000000"/>
                <w:sz w:val="17"/>
                <w:szCs w:val="17"/>
              </w:rPr>
              <w:t>$ 332</w:t>
            </w:r>
          </w:p>
        </w:tc>
        <w:tc>
          <w:tcPr>
            <w:tcW w:w="0" w:type="auto"/>
            <w:tcBorders>
              <w:top w:val="nil"/>
              <w:left w:val="nil"/>
              <w:bottom w:val="single" w:sz="4" w:space="0" w:color="auto"/>
              <w:right w:val="single" w:sz="4" w:space="0" w:color="auto"/>
            </w:tcBorders>
            <w:shd w:val="clear" w:color="auto" w:fill="auto"/>
            <w:noWrap/>
            <w:vAlign w:val="bottom"/>
            <w:hideMark/>
          </w:tcPr>
          <w:p w14:paraId="484B281F" w14:textId="77777777" w:rsidR="00E2174E" w:rsidRPr="00B710A9" w:rsidRDefault="00E2174E" w:rsidP="00A224C8">
            <w:pPr>
              <w:jc w:val="center"/>
              <w:rPr>
                <w:rFonts w:cs="Arial"/>
                <w:color w:val="000000"/>
                <w:sz w:val="17"/>
                <w:szCs w:val="17"/>
              </w:rPr>
            </w:pPr>
            <w:r w:rsidRPr="00B710A9">
              <w:rPr>
                <w:rFonts w:cs="Arial"/>
                <w:color w:val="000000"/>
                <w:sz w:val="17"/>
                <w:szCs w:val="17"/>
              </w:rPr>
              <w:t>2,98%</w:t>
            </w:r>
          </w:p>
        </w:tc>
        <w:tc>
          <w:tcPr>
            <w:tcW w:w="0" w:type="auto"/>
            <w:tcBorders>
              <w:top w:val="nil"/>
              <w:left w:val="nil"/>
              <w:bottom w:val="single" w:sz="4" w:space="0" w:color="auto"/>
              <w:right w:val="single" w:sz="4" w:space="0" w:color="auto"/>
            </w:tcBorders>
            <w:shd w:val="clear" w:color="auto" w:fill="auto"/>
            <w:noWrap/>
            <w:vAlign w:val="bottom"/>
            <w:hideMark/>
          </w:tcPr>
          <w:p w14:paraId="064F0A1A" w14:textId="77777777" w:rsidR="00E2174E" w:rsidRPr="00B710A9" w:rsidRDefault="00E2174E" w:rsidP="00A224C8">
            <w:pPr>
              <w:jc w:val="right"/>
              <w:rPr>
                <w:rFonts w:cs="Arial"/>
                <w:color w:val="000000"/>
                <w:sz w:val="17"/>
                <w:szCs w:val="17"/>
              </w:rPr>
            </w:pPr>
            <w:r w:rsidRPr="00B710A9">
              <w:rPr>
                <w:rFonts w:cs="Arial"/>
                <w:color w:val="000000"/>
                <w:sz w:val="17"/>
                <w:szCs w:val="17"/>
              </w:rPr>
              <w:t>$ 10.713</w:t>
            </w:r>
          </w:p>
        </w:tc>
        <w:tc>
          <w:tcPr>
            <w:tcW w:w="0" w:type="auto"/>
            <w:tcBorders>
              <w:top w:val="nil"/>
              <w:left w:val="nil"/>
              <w:bottom w:val="single" w:sz="4" w:space="0" w:color="auto"/>
              <w:right w:val="single" w:sz="4" w:space="0" w:color="auto"/>
            </w:tcBorders>
            <w:shd w:val="clear" w:color="auto" w:fill="auto"/>
            <w:noWrap/>
            <w:vAlign w:val="bottom"/>
            <w:hideMark/>
          </w:tcPr>
          <w:p w14:paraId="21433CF2" w14:textId="77777777" w:rsidR="00E2174E" w:rsidRPr="00B710A9" w:rsidRDefault="00E2174E" w:rsidP="00A224C8">
            <w:pPr>
              <w:jc w:val="center"/>
              <w:rPr>
                <w:rFonts w:cs="Arial"/>
                <w:color w:val="000000"/>
                <w:sz w:val="17"/>
                <w:szCs w:val="17"/>
              </w:rPr>
            </w:pPr>
            <w:r w:rsidRPr="00B710A9">
              <w:rPr>
                <w:rFonts w:cs="Arial"/>
                <w:color w:val="000000"/>
                <w:sz w:val="17"/>
                <w:szCs w:val="17"/>
              </w:rPr>
              <w:t>96,37%</w:t>
            </w:r>
          </w:p>
        </w:tc>
      </w:tr>
      <w:tr w:rsidR="00E2174E" w:rsidRPr="00B710A9" w14:paraId="60EE5497" w14:textId="77777777" w:rsidTr="00E35A84">
        <w:trPr>
          <w:cantSplit/>
          <w:trHeight w:val="72"/>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499F3738"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000000" w:fill="ACB9CA"/>
            <w:noWrap/>
            <w:vAlign w:val="bottom"/>
            <w:hideMark/>
          </w:tcPr>
          <w:p w14:paraId="7C1637AE" w14:textId="77777777" w:rsidR="00E2174E" w:rsidRPr="00B710A9" w:rsidRDefault="00E2174E" w:rsidP="00A224C8">
            <w:pPr>
              <w:rPr>
                <w:rFonts w:cs="Arial"/>
                <w:b/>
                <w:bCs/>
                <w:color w:val="000000"/>
                <w:sz w:val="17"/>
                <w:szCs w:val="17"/>
              </w:rPr>
            </w:pPr>
            <w:r w:rsidRPr="00B710A9">
              <w:rPr>
                <w:rFonts w:cs="Arial"/>
                <w:b/>
                <w:bCs/>
                <w:color w:val="000000"/>
                <w:sz w:val="17"/>
                <w:szCs w:val="17"/>
              </w:rPr>
              <w:t>Total</w:t>
            </w:r>
          </w:p>
        </w:tc>
        <w:tc>
          <w:tcPr>
            <w:tcW w:w="0" w:type="auto"/>
            <w:tcBorders>
              <w:top w:val="nil"/>
              <w:left w:val="nil"/>
              <w:bottom w:val="single" w:sz="4" w:space="0" w:color="auto"/>
              <w:right w:val="single" w:sz="4" w:space="0" w:color="auto"/>
            </w:tcBorders>
            <w:shd w:val="clear" w:color="000000" w:fill="ACB9CA"/>
            <w:noWrap/>
            <w:vAlign w:val="bottom"/>
            <w:hideMark/>
          </w:tcPr>
          <w:p w14:paraId="7B631454"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$ 12.287</w:t>
            </w:r>
          </w:p>
        </w:tc>
        <w:tc>
          <w:tcPr>
            <w:tcW w:w="0" w:type="auto"/>
            <w:tcBorders>
              <w:top w:val="nil"/>
              <w:left w:val="nil"/>
              <w:bottom w:val="single" w:sz="4" w:space="0" w:color="auto"/>
              <w:right w:val="single" w:sz="4" w:space="0" w:color="auto"/>
            </w:tcBorders>
            <w:shd w:val="clear" w:color="000000" w:fill="ACB9CA"/>
            <w:noWrap/>
            <w:vAlign w:val="bottom"/>
            <w:hideMark/>
          </w:tcPr>
          <w:p w14:paraId="230FE01D"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$ 1.573</w:t>
            </w:r>
          </w:p>
        </w:tc>
        <w:tc>
          <w:tcPr>
            <w:tcW w:w="0" w:type="auto"/>
            <w:tcBorders>
              <w:top w:val="nil"/>
              <w:left w:val="nil"/>
              <w:bottom w:val="single" w:sz="4" w:space="0" w:color="auto"/>
              <w:right w:val="single" w:sz="4" w:space="0" w:color="auto"/>
            </w:tcBorders>
            <w:shd w:val="clear" w:color="000000" w:fill="ACB9CA"/>
            <w:noWrap/>
            <w:vAlign w:val="bottom"/>
            <w:hideMark/>
          </w:tcPr>
          <w:p w14:paraId="33158D48"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12,80%</w:t>
            </w:r>
          </w:p>
        </w:tc>
        <w:tc>
          <w:tcPr>
            <w:tcW w:w="0" w:type="auto"/>
            <w:tcBorders>
              <w:top w:val="nil"/>
              <w:left w:val="nil"/>
              <w:bottom w:val="single" w:sz="4" w:space="0" w:color="auto"/>
              <w:right w:val="single" w:sz="4" w:space="0" w:color="auto"/>
            </w:tcBorders>
            <w:shd w:val="clear" w:color="000000" w:fill="ACB9CA"/>
            <w:noWrap/>
            <w:vAlign w:val="bottom"/>
            <w:hideMark/>
          </w:tcPr>
          <w:p w14:paraId="5CD9C757"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$ 1.566</w:t>
            </w:r>
          </w:p>
        </w:tc>
        <w:tc>
          <w:tcPr>
            <w:tcW w:w="0" w:type="auto"/>
            <w:tcBorders>
              <w:top w:val="nil"/>
              <w:left w:val="nil"/>
              <w:bottom w:val="single" w:sz="4" w:space="0" w:color="auto"/>
              <w:right w:val="single" w:sz="4" w:space="0" w:color="auto"/>
            </w:tcBorders>
            <w:shd w:val="clear" w:color="000000" w:fill="ACB9CA"/>
            <w:noWrap/>
            <w:vAlign w:val="bottom"/>
            <w:hideMark/>
          </w:tcPr>
          <w:p w14:paraId="29C139AF"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12,74%</w:t>
            </w:r>
          </w:p>
        </w:tc>
        <w:tc>
          <w:tcPr>
            <w:tcW w:w="0" w:type="auto"/>
            <w:tcBorders>
              <w:top w:val="nil"/>
              <w:left w:val="nil"/>
              <w:bottom w:val="single" w:sz="4" w:space="0" w:color="auto"/>
              <w:right w:val="single" w:sz="4" w:space="0" w:color="auto"/>
            </w:tcBorders>
            <w:shd w:val="clear" w:color="000000" w:fill="ACB9CA"/>
            <w:noWrap/>
            <w:vAlign w:val="bottom"/>
            <w:hideMark/>
          </w:tcPr>
          <w:p w14:paraId="74CEC9AF"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$ 1.530</w:t>
            </w:r>
          </w:p>
        </w:tc>
        <w:tc>
          <w:tcPr>
            <w:tcW w:w="0" w:type="auto"/>
            <w:tcBorders>
              <w:top w:val="nil"/>
              <w:left w:val="nil"/>
              <w:bottom w:val="single" w:sz="4" w:space="0" w:color="auto"/>
              <w:right w:val="single" w:sz="4" w:space="0" w:color="auto"/>
            </w:tcBorders>
            <w:shd w:val="clear" w:color="000000" w:fill="ACB9CA"/>
            <w:noWrap/>
            <w:vAlign w:val="bottom"/>
            <w:hideMark/>
          </w:tcPr>
          <w:p w14:paraId="3C1C39FB"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12,45%</w:t>
            </w:r>
          </w:p>
        </w:tc>
        <w:tc>
          <w:tcPr>
            <w:tcW w:w="0" w:type="auto"/>
            <w:tcBorders>
              <w:top w:val="nil"/>
              <w:left w:val="nil"/>
              <w:bottom w:val="single" w:sz="4" w:space="0" w:color="auto"/>
              <w:right w:val="single" w:sz="4" w:space="0" w:color="auto"/>
            </w:tcBorders>
            <w:shd w:val="clear" w:color="000000" w:fill="ACB9CA"/>
            <w:noWrap/>
            <w:vAlign w:val="bottom"/>
            <w:hideMark/>
          </w:tcPr>
          <w:p w14:paraId="21E93252"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$ 1.494</w:t>
            </w:r>
          </w:p>
        </w:tc>
        <w:tc>
          <w:tcPr>
            <w:tcW w:w="0" w:type="auto"/>
            <w:tcBorders>
              <w:top w:val="nil"/>
              <w:left w:val="nil"/>
              <w:bottom w:val="single" w:sz="4" w:space="0" w:color="auto"/>
              <w:right w:val="single" w:sz="4" w:space="0" w:color="auto"/>
            </w:tcBorders>
            <w:shd w:val="clear" w:color="000000" w:fill="ACB9CA"/>
            <w:noWrap/>
            <w:vAlign w:val="bottom"/>
            <w:hideMark/>
          </w:tcPr>
          <w:p w14:paraId="0A3C28FE"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12,16%</w:t>
            </w:r>
          </w:p>
        </w:tc>
        <w:tc>
          <w:tcPr>
            <w:tcW w:w="0" w:type="auto"/>
            <w:tcBorders>
              <w:top w:val="nil"/>
              <w:left w:val="nil"/>
              <w:bottom w:val="single" w:sz="4" w:space="0" w:color="auto"/>
              <w:right w:val="single" w:sz="4" w:space="0" w:color="auto"/>
            </w:tcBorders>
            <w:shd w:val="clear" w:color="000000" w:fill="ACB9CA"/>
            <w:noWrap/>
            <w:vAlign w:val="bottom"/>
            <w:hideMark/>
          </w:tcPr>
          <w:p w14:paraId="40FD4A67"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$ 10.714</w:t>
            </w:r>
          </w:p>
        </w:tc>
        <w:tc>
          <w:tcPr>
            <w:tcW w:w="0" w:type="auto"/>
            <w:tcBorders>
              <w:top w:val="nil"/>
              <w:left w:val="nil"/>
              <w:bottom w:val="single" w:sz="4" w:space="0" w:color="auto"/>
              <w:right w:val="single" w:sz="4" w:space="0" w:color="auto"/>
            </w:tcBorders>
            <w:shd w:val="clear" w:color="000000" w:fill="ACB9CA"/>
            <w:noWrap/>
            <w:vAlign w:val="bottom"/>
            <w:hideMark/>
          </w:tcPr>
          <w:p w14:paraId="501C18C0"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87,20%</w:t>
            </w:r>
          </w:p>
        </w:tc>
      </w:tr>
      <w:tr w:rsidR="00E2174E" w:rsidRPr="00B710A9" w14:paraId="73995A1B" w14:textId="77777777" w:rsidTr="00E35A84">
        <w:trPr>
          <w:cantSplit/>
          <w:trHeight w:val="19"/>
          <w:jc w:val="center"/>
        </w:trPr>
        <w:tc>
          <w:tcPr>
            <w:tcW w:w="373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23012B4" w14:textId="77777777" w:rsidR="00E2174E" w:rsidRPr="00B710A9" w:rsidRDefault="00E2174E" w:rsidP="00A224C8">
            <w:pPr>
              <w:jc w:val="center"/>
              <w:rPr>
                <w:rFonts w:cs="Arial"/>
                <w:color w:val="000000"/>
                <w:sz w:val="17"/>
                <w:szCs w:val="17"/>
              </w:rPr>
            </w:pPr>
            <w:r w:rsidRPr="00B710A9">
              <w:rPr>
                <w:rFonts w:cs="Arial"/>
                <w:color w:val="000000"/>
                <w:sz w:val="17"/>
                <w:szCs w:val="17"/>
              </w:rPr>
              <w:t>Generación de estudios geográficos e investigaciones para la caracterización, análisis y delimitación geográfica del territorio nacional</w:t>
            </w:r>
          </w:p>
        </w:tc>
        <w:tc>
          <w:tcPr>
            <w:tcW w:w="0" w:type="auto"/>
            <w:tcBorders>
              <w:top w:val="nil"/>
              <w:left w:val="nil"/>
              <w:bottom w:val="single" w:sz="4" w:space="0" w:color="auto"/>
              <w:right w:val="single" w:sz="4" w:space="0" w:color="auto"/>
            </w:tcBorders>
            <w:shd w:val="clear" w:color="auto" w:fill="auto"/>
            <w:noWrap/>
            <w:vAlign w:val="center"/>
            <w:hideMark/>
          </w:tcPr>
          <w:p w14:paraId="794A41CD" w14:textId="77777777" w:rsidR="00E2174E" w:rsidRPr="00B710A9" w:rsidRDefault="00E2174E" w:rsidP="00A224C8">
            <w:pPr>
              <w:rPr>
                <w:rFonts w:cs="Arial"/>
                <w:color w:val="000000"/>
                <w:sz w:val="17"/>
                <w:szCs w:val="17"/>
              </w:rPr>
            </w:pPr>
            <w:r w:rsidRPr="00B710A9">
              <w:rPr>
                <w:rFonts w:cs="Arial"/>
                <w:color w:val="000000"/>
                <w:sz w:val="17"/>
                <w:szCs w:val="17"/>
              </w:rPr>
              <w:t>Nación</w:t>
            </w:r>
          </w:p>
        </w:tc>
        <w:tc>
          <w:tcPr>
            <w:tcW w:w="0" w:type="auto"/>
            <w:tcBorders>
              <w:top w:val="nil"/>
              <w:left w:val="nil"/>
              <w:bottom w:val="single" w:sz="4" w:space="0" w:color="auto"/>
              <w:right w:val="single" w:sz="4" w:space="0" w:color="auto"/>
            </w:tcBorders>
            <w:shd w:val="clear" w:color="auto" w:fill="auto"/>
            <w:noWrap/>
            <w:vAlign w:val="bottom"/>
            <w:hideMark/>
          </w:tcPr>
          <w:p w14:paraId="30CB6171" w14:textId="77777777" w:rsidR="00E2174E" w:rsidRPr="00B710A9" w:rsidRDefault="00E2174E" w:rsidP="00A224C8">
            <w:pPr>
              <w:jc w:val="right"/>
              <w:rPr>
                <w:rFonts w:cs="Arial"/>
                <w:color w:val="000000"/>
                <w:sz w:val="17"/>
                <w:szCs w:val="17"/>
              </w:rPr>
            </w:pPr>
            <w:r w:rsidRPr="00B710A9">
              <w:rPr>
                <w:rFonts w:cs="Arial"/>
                <w:color w:val="000000"/>
                <w:sz w:val="17"/>
                <w:szCs w:val="17"/>
              </w:rPr>
              <w:t>$ 1.037</w:t>
            </w:r>
          </w:p>
        </w:tc>
        <w:tc>
          <w:tcPr>
            <w:tcW w:w="0" w:type="auto"/>
            <w:tcBorders>
              <w:top w:val="nil"/>
              <w:left w:val="nil"/>
              <w:bottom w:val="single" w:sz="4" w:space="0" w:color="auto"/>
              <w:right w:val="single" w:sz="4" w:space="0" w:color="auto"/>
            </w:tcBorders>
            <w:shd w:val="clear" w:color="auto" w:fill="auto"/>
            <w:noWrap/>
            <w:vAlign w:val="bottom"/>
            <w:hideMark/>
          </w:tcPr>
          <w:p w14:paraId="0565EB38" w14:textId="77777777" w:rsidR="00E2174E" w:rsidRPr="00B710A9" w:rsidRDefault="00E2174E" w:rsidP="00A224C8">
            <w:pPr>
              <w:jc w:val="right"/>
              <w:rPr>
                <w:rFonts w:cs="Arial"/>
                <w:color w:val="000000"/>
                <w:sz w:val="17"/>
                <w:szCs w:val="17"/>
              </w:rPr>
            </w:pPr>
            <w:r w:rsidRPr="00B710A9">
              <w:rPr>
                <w:rFonts w:cs="Arial"/>
                <w:color w:val="000000"/>
                <w:sz w:val="17"/>
                <w:szCs w:val="17"/>
              </w:rPr>
              <w:t>$ 1.033</w:t>
            </w:r>
          </w:p>
        </w:tc>
        <w:tc>
          <w:tcPr>
            <w:tcW w:w="0" w:type="auto"/>
            <w:tcBorders>
              <w:top w:val="nil"/>
              <w:left w:val="nil"/>
              <w:bottom w:val="single" w:sz="4" w:space="0" w:color="auto"/>
              <w:right w:val="single" w:sz="4" w:space="0" w:color="auto"/>
            </w:tcBorders>
            <w:shd w:val="clear" w:color="auto" w:fill="auto"/>
            <w:noWrap/>
            <w:vAlign w:val="bottom"/>
            <w:hideMark/>
          </w:tcPr>
          <w:p w14:paraId="31FD7B8B" w14:textId="77777777" w:rsidR="00E2174E" w:rsidRPr="00B710A9" w:rsidRDefault="00E2174E" w:rsidP="00A224C8">
            <w:pPr>
              <w:jc w:val="center"/>
              <w:rPr>
                <w:rFonts w:cs="Arial"/>
                <w:color w:val="000000"/>
                <w:sz w:val="17"/>
                <w:szCs w:val="17"/>
              </w:rPr>
            </w:pPr>
            <w:r w:rsidRPr="00B710A9">
              <w:rPr>
                <w:rFonts w:cs="Arial"/>
                <w:color w:val="000000"/>
                <w:sz w:val="17"/>
                <w:szCs w:val="17"/>
              </w:rPr>
              <w:t>99,68%</w:t>
            </w:r>
          </w:p>
        </w:tc>
        <w:tc>
          <w:tcPr>
            <w:tcW w:w="0" w:type="auto"/>
            <w:tcBorders>
              <w:top w:val="nil"/>
              <w:left w:val="nil"/>
              <w:bottom w:val="single" w:sz="4" w:space="0" w:color="auto"/>
              <w:right w:val="single" w:sz="4" w:space="0" w:color="auto"/>
            </w:tcBorders>
            <w:shd w:val="clear" w:color="auto" w:fill="auto"/>
            <w:noWrap/>
            <w:vAlign w:val="bottom"/>
            <w:hideMark/>
          </w:tcPr>
          <w:p w14:paraId="64793FD0" w14:textId="77777777" w:rsidR="00E2174E" w:rsidRPr="00B710A9" w:rsidRDefault="00E2174E" w:rsidP="00A224C8">
            <w:pPr>
              <w:jc w:val="right"/>
              <w:rPr>
                <w:rFonts w:cs="Arial"/>
                <w:color w:val="000000"/>
                <w:sz w:val="17"/>
                <w:szCs w:val="17"/>
              </w:rPr>
            </w:pPr>
            <w:r w:rsidRPr="00B710A9">
              <w:rPr>
                <w:rFonts w:cs="Arial"/>
                <w:color w:val="000000"/>
                <w:sz w:val="17"/>
                <w:szCs w:val="17"/>
              </w:rPr>
              <w:t>$ 1.031</w:t>
            </w:r>
          </w:p>
        </w:tc>
        <w:tc>
          <w:tcPr>
            <w:tcW w:w="0" w:type="auto"/>
            <w:tcBorders>
              <w:top w:val="nil"/>
              <w:left w:val="nil"/>
              <w:bottom w:val="single" w:sz="4" w:space="0" w:color="auto"/>
              <w:right w:val="single" w:sz="4" w:space="0" w:color="auto"/>
            </w:tcBorders>
            <w:shd w:val="clear" w:color="auto" w:fill="auto"/>
            <w:noWrap/>
            <w:vAlign w:val="bottom"/>
            <w:hideMark/>
          </w:tcPr>
          <w:p w14:paraId="1A91F0DF" w14:textId="77777777" w:rsidR="00E2174E" w:rsidRPr="00B710A9" w:rsidRDefault="00E2174E" w:rsidP="00A224C8">
            <w:pPr>
              <w:jc w:val="center"/>
              <w:rPr>
                <w:rFonts w:cs="Arial"/>
                <w:color w:val="000000"/>
                <w:sz w:val="17"/>
                <w:szCs w:val="17"/>
              </w:rPr>
            </w:pPr>
            <w:r w:rsidRPr="00B710A9">
              <w:rPr>
                <w:rFonts w:cs="Arial"/>
                <w:color w:val="000000"/>
                <w:sz w:val="17"/>
                <w:szCs w:val="17"/>
              </w:rPr>
              <w:t>99,50%</w:t>
            </w:r>
          </w:p>
        </w:tc>
        <w:tc>
          <w:tcPr>
            <w:tcW w:w="0" w:type="auto"/>
            <w:tcBorders>
              <w:top w:val="nil"/>
              <w:left w:val="nil"/>
              <w:bottom w:val="single" w:sz="4" w:space="0" w:color="auto"/>
              <w:right w:val="single" w:sz="4" w:space="0" w:color="auto"/>
            </w:tcBorders>
            <w:shd w:val="clear" w:color="auto" w:fill="auto"/>
            <w:noWrap/>
            <w:vAlign w:val="bottom"/>
            <w:hideMark/>
          </w:tcPr>
          <w:p w14:paraId="6BD25A79" w14:textId="77777777" w:rsidR="00E2174E" w:rsidRPr="00B710A9" w:rsidRDefault="00E2174E" w:rsidP="00A224C8">
            <w:pPr>
              <w:jc w:val="right"/>
              <w:rPr>
                <w:rFonts w:cs="Arial"/>
                <w:color w:val="000000"/>
                <w:sz w:val="17"/>
                <w:szCs w:val="17"/>
              </w:rPr>
            </w:pPr>
            <w:r w:rsidRPr="00B710A9">
              <w:rPr>
                <w:rFonts w:cs="Arial"/>
                <w:color w:val="000000"/>
                <w:sz w:val="17"/>
                <w:szCs w:val="17"/>
              </w:rPr>
              <w:t>$ 1.031</w:t>
            </w:r>
          </w:p>
        </w:tc>
        <w:tc>
          <w:tcPr>
            <w:tcW w:w="0" w:type="auto"/>
            <w:tcBorders>
              <w:top w:val="nil"/>
              <w:left w:val="nil"/>
              <w:bottom w:val="single" w:sz="4" w:space="0" w:color="auto"/>
              <w:right w:val="single" w:sz="4" w:space="0" w:color="auto"/>
            </w:tcBorders>
            <w:shd w:val="clear" w:color="auto" w:fill="auto"/>
            <w:noWrap/>
            <w:vAlign w:val="bottom"/>
            <w:hideMark/>
          </w:tcPr>
          <w:p w14:paraId="7FE5CE63" w14:textId="77777777" w:rsidR="00E2174E" w:rsidRPr="00B710A9" w:rsidRDefault="00E2174E" w:rsidP="00A224C8">
            <w:pPr>
              <w:jc w:val="center"/>
              <w:rPr>
                <w:rFonts w:cs="Arial"/>
                <w:color w:val="000000"/>
                <w:sz w:val="17"/>
                <w:szCs w:val="17"/>
              </w:rPr>
            </w:pPr>
            <w:r w:rsidRPr="00B710A9">
              <w:rPr>
                <w:rFonts w:cs="Arial"/>
                <w:color w:val="000000"/>
                <w:sz w:val="17"/>
                <w:szCs w:val="17"/>
              </w:rPr>
              <w:t>99,50%</w:t>
            </w:r>
          </w:p>
        </w:tc>
        <w:tc>
          <w:tcPr>
            <w:tcW w:w="0" w:type="auto"/>
            <w:tcBorders>
              <w:top w:val="nil"/>
              <w:left w:val="nil"/>
              <w:bottom w:val="single" w:sz="4" w:space="0" w:color="auto"/>
              <w:right w:val="single" w:sz="4" w:space="0" w:color="auto"/>
            </w:tcBorders>
            <w:shd w:val="clear" w:color="auto" w:fill="auto"/>
            <w:noWrap/>
            <w:vAlign w:val="bottom"/>
            <w:hideMark/>
          </w:tcPr>
          <w:p w14:paraId="2E2BA4AD" w14:textId="77777777" w:rsidR="00E2174E" w:rsidRPr="00B710A9" w:rsidRDefault="00E2174E" w:rsidP="00A224C8">
            <w:pPr>
              <w:jc w:val="right"/>
              <w:rPr>
                <w:rFonts w:cs="Arial"/>
                <w:color w:val="000000"/>
                <w:sz w:val="17"/>
                <w:szCs w:val="17"/>
              </w:rPr>
            </w:pPr>
            <w:r w:rsidRPr="00B710A9">
              <w:rPr>
                <w:rFonts w:cs="Arial"/>
                <w:color w:val="000000"/>
                <w:sz w:val="17"/>
                <w:szCs w:val="17"/>
              </w:rPr>
              <w:t>$ 1.031</w:t>
            </w:r>
          </w:p>
        </w:tc>
        <w:tc>
          <w:tcPr>
            <w:tcW w:w="0" w:type="auto"/>
            <w:tcBorders>
              <w:top w:val="nil"/>
              <w:left w:val="nil"/>
              <w:bottom w:val="single" w:sz="4" w:space="0" w:color="auto"/>
              <w:right w:val="single" w:sz="4" w:space="0" w:color="auto"/>
            </w:tcBorders>
            <w:shd w:val="clear" w:color="auto" w:fill="auto"/>
            <w:noWrap/>
            <w:vAlign w:val="bottom"/>
            <w:hideMark/>
          </w:tcPr>
          <w:p w14:paraId="5B594C4D" w14:textId="77777777" w:rsidR="00E2174E" w:rsidRPr="00B710A9" w:rsidRDefault="00E2174E" w:rsidP="00A224C8">
            <w:pPr>
              <w:jc w:val="center"/>
              <w:rPr>
                <w:rFonts w:cs="Arial"/>
                <w:color w:val="000000"/>
                <w:sz w:val="17"/>
                <w:szCs w:val="17"/>
              </w:rPr>
            </w:pPr>
            <w:r w:rsidRPr="00B710A9">
              <w:rPr>
                <w:rFonts w:cs="Arial"/>
                <w:color w:val="000000"/>
                <w:sz w:val="17"/>
                <w:szCs w:val="17"/>
              </w:rPr>
              <w:t>99,50%</w:t>
            </w:r>
          </w:p>
        </w:tc>
        <w:tc>
          <w:tcPr>
            <w:tcW w:w="0" w:type="auto"/>
            <w:tcBorders>
              <w:top w:val="nil"/>
              <w:left w:val="nil"/>
              <w:bottom w:val="single" w:sz="4" w:space="0" w:color="auto"/>
              <w:right w:val="single" w:sz="4" w:space="0" w:color="auto"/>
            </w:tcBorders>
            <w:shd w:val="clear" w:color="auto" w:fill="auto"/>
            <w:noWrap/>
            <w:vAlign w:val="bottom"/>
            <w:hideMark/>
          </w:tcPr>
          <w:p w14:paraId="0BD0FC72" w14:textId="77777777" w:rsidR="00E2174E" w:rsidRPr="00B710A9" w:rsidRDefault="00E2174E" w:rsidP="00A224C8">
            <w:pPr>
              <w:jc w:val="right"/>
              <w:rPr>
                <w:rFonts w:cs="Arial"/>
                <w:color w:val="000000"/>
                <w:sz w:val="17"/>
                <w:szCs w:val="17"/>
              </w:rPr>
            </w:pPr>
            <w:r w:rsidRPr="00B710A9">
              <w:rPr>
                <w:rFonts w:cs="Arial"/>
                <w:color w:val="000000"/>
                <w:sz w:val="17"/>
                <w:szCs w:val="17"/>
              </w:rPr>
              <w:t>$ 3</w:t>
            </w:r>
          </w:p>
        </w:tc>
        <w:tc>
          <w:tcPr>
            <w:tcW w:w="0" w:type="auto"/>
            <w:tcBorders>
              <w:top w:val="nil"/>
              <w:left w:val="nil"/>
              <w:bottom w:val="single" w:sz="4" w:space="0" w:color="auto"/>
              <w:right w:val="single" w:sz="4" w:space="0" w:color="auto"/>
            </w:tcBorders>
            <w:shd w:val="clear" w:color="auto" w:fill="auto"/>
            <w:noWrap/>
            <w:vAlign w:val="bottom"/>
            <w:hideMark/>
          </w:tcPr>
          <w:p w14:paraId="6B71460D" w14:textId="77777777" w:rsidR="00E2174E" w:rsidRPr="00B710A9" w:rsidRDefault="00E2174E" w:rsidP="00A224C8">
            <w:pPr>
              <w:jc w:val="center"/>
              <w:rPr>
                <w:rFonts w:cs="Arial"/>
                <w:color w:val="000000"/>
                <w:sz w:val="17"/>
                <w:szCs w:val="17"/>
              </w:rPr>
            </w:pPr>
            <w:r w:rsidRPr="00B710A9">
              <w:rPr>
                <w:rFonts w:cs="Arial"/>
                <w:color w:val="000000"/>
                <w:sz w:val="17"/>
                <w:szCs w:val="17"/>
              </w:rPr>
              <w:t>0,32%</w:t>
            </w:r>
          </w:p>
        </w:tc>
      </w:tr>
      <w:tr w:rsidR="00E2174E" w:rsidRPr="00B710A9" w14:paraId="5B42C15B" w14:textId="77777777" w:rsidTr="00E35A84">
        <w:trPr>
          <w:cantSplit/>
          <w:trHeight w:val="19"/>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5D22A189"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auto" w:fill="auto"/>
            <w:noWrap/>
            <w:vAlign w:val="center"/>
            <w:hideMark/>
          </w:tcPr>
          <w:p w14:paraId="149BFBFC" w14:textId="77777777" w:rsidR="00E2174E" w:rsidRPr="00B710A9" w:rsidRDefault="00E2174E" w:rsidP="00A224C8">
            <w:pPr>
              <w:rPr>
                <w:rFonts w:cs="Arial"/>
                <w:color w:val="000000"/>
                <w:sz w:val="17"/>
                <w:szCs w:val="17"/>
              </w:rPr>
            </w:pPr>
            <w:r w:rsidRPr="00B710A9">
              <w:rPr>
                <w:rFonts w:cs="Arial"/>
                <w:color w:val="000000"/>
                <w:sz w:val="17"/>
                <w:szCs w:val="17"/>
              </w:rPr>
              <w:t>Propios</w:t>
            </w:r>
          </w:p>
        </w:tc>
        <w:tc>
          <w:tcPr>
            <w:tcW w:w="0" w:type="auto"/>
            <w:tcBorders>
              <w:top w:val="nil"/>
              <w:left w:val="nil"/>
              <w:bottom w:val="single" w:sz="4" w:space="0" w:color="auto"/>
              <w:right w:val="single" w:sz="4" w:space="0" w:color="auto"/>
            </w:tcBorders>
            <w:shd w:val="clear" w:color="auto" w:fill="auto"/>
            <w:noWrap/>
            <w:vAlign w:val="bottom"/>
            <w:hideMark/>
          </w:tcPr>
          <w:p w14:paraId="3F1EA5A6" w14:textId="77777777" w:rsidR="00E2174E" w:rsidRPr="00B710A9" w:rsidRDefault="00E2174E" w:rsidP="00A224C8">
            <w:pPr>
              <w:jc w:val="right"/>
              <w:rPr>
                <w:rFonts w:cs="Arial"/>
                <w:color w:val="000000"/>
                <w:sz w:val="17"/>
                <w:szCs w:val="17"/>
              </w:rPr>
            </w:pPr>
            <w:r w:rsidRPr="00B710A9">
              <w:rPr>
                <w:rFonts w:cs="Arial"/>
                <w:color w:val="000000"/>
                <w:sz w:val="17"/>
                <w:szCs w:val="17"/>
              </w:rPr>
              <w:t>$ 835</w:t>
            </w:r>
          </w:p>
        </w:tc>
        <w:tc>
          <w:tcPr>
            <w:tcW w:w="0" w:type="auto"/>
            <w:tcBorders>
              <w:top w:val="nil"/>
              <w:left w:val="nil"/>
              <w:bottom w:val="single" w:sz="4" w:space="0" w:color="auto"/>
              <w:right w:val="single" w:sz="4" w:space="0" w:color="auto"/>
            </w:tcBorders>
            <w:shd w:val="clear" w:color="auto" w:fill="auto"/>
            <w:noWrap/>
            <w:vAlign w:val="bottom"/>
            <w:hideMark/>
          </w:tcPr>
          <w:p w14:paraId="15C5A680" w14:textId="77777777" w:rsidR="00E2174E" w:rsidRPr="00B710A9" w:rsidRDefault="00E2174E" w:rsidP="00A224C8">
            <w:pPr>
              <w:jc w:val="right"/>
              <w:rPr>
                <w:rFonts w:cs="Arial"/>
                <w:color w:val="000000"/>
                <w:sz w:val="17"/>
                <w:szCs w:val="17"/>
              </w:rPr>
            </w:pPr>
            <w:r w:rsidRPr="00B710A9">
              <w:rPr>
                <w:rFonts w:cs="Arial"/>
                <w:color w:val="000000"/>
                <w:sz w:val="17"/>
                <w:szCs w:val="17"/>
              </w:rPr>
              <w:t>$ 798</w:t>
            </w:r>
          </w:p>
        </w:tc>
        <w:tc>
          <w:tcPr>
            <w:tcW w:w="0" w:type="auto"/>
            <w:tcBorders>
              <w:top w:val="nil"/>
              <w:left w:val="nil"/>
              <w:bottom w:val="single" w:sz="4" w:space="0" w:color="auto"/>
              <w:right w:val="single" w:sz="4" w:space="0" w:color="auto"/>
            </w:tcBorders>
            <w:shd w:val="clear" w:color="auto" w:fill="auto"/>
            <w:noWrap/>
            <w:vAlign w:val="bottom"/>
            <w:hideMark/>
          </w:tcPr>
          <w:p w14:paraId="5A914421" w14:textId="77777777" w:rsidR="00E2174E" w:rsidRPr="00B710A9" w:rsidRDefault="00E2174E" w:rsidP="00A224C8">
            <w:pPr>
              <w:jc w:val="center"/>
              <w:rPr>
                <w:rFonts w:cs="Arial"/>
                <w:color w:val="000000"/>
                <w:sz w:val="17"/>
                <w:szCs w:val="17"/>
              </w:rPr>
            </w:pPr>
            <w:r w:rsidRPr="00B710A9">
              <w:rPr>
                <w:rFonts w:cs="Arial"/>
                <w:color w:val="000000"/>
                <w:sz w:val="17"/>
                <w:szCs w:val="17"/>
              </w:rPr>
              <w:t>95,55%</w:t>
            </w:r>
          </w:p>
        </w:tc>
        <w:tc>
          <w:tcPr>
            <w:tcW w:w="0" w:type="auto"/>
            <w:tcBorders>
              <w:top w:val="nil"/>
              <w:left w:val="nil"/>
              <w:bottom w:val="single" w:sz="4" w:space="0" w:color="auto"/>
              <w:right w:val="single" w:sz="4" w:space="0" w:color="auto"/>
            </w:tcBorders>
            <w:shd w:val="clear" w:color="auto" w:fill="auto"/>
            <w:noWrap/>
            <w:vAlign w:val="bottom"/>
            <w:hideMark/>
          </w:tcPr>
          <w:p w14:paraId="11EF98B5" w14:textId="77777777" w:rsidR="00E2174E" w:rsidRPr="00B710A9" w:rsidRDefault="00E2174E" w:rsidP="00A224C8">
            <w:pPr>
              <w:jc w:val="right"/>
              <w:rPr>
                <w:rFonts w:cs="Arial"/>
                <w:color w:val="000000"/>
                <w:sz w:val="17"/>
                <w:szCs w:val="17"/>
              </w:rPr>
            </w:pPr>
            <w:r w:rsidRPr="00B710A9">
              <w:rPr>
                <w:rFonts w:cs="Arial"/>
                <w:color w:val="000000"/>
                <w:sz w:val="17"/>
                <w:szCs w:val="17"/>
              </w:rPr>
              <w:t>$ 797</w:t>
            </w:r>
          </w:p>
        </w:tc>
        <w:tc>
          <w:tcPr>
            <w:tcW w:w="0" w:type="auto"/>
            <w:tcBorders>
              <w:top w:val="nil"/>
              <w:left w:val="nil"/>
              <w:bottom w:val="single" w:sz="4" w:space="0" w:color="auto"/>
              <w:right w:val="single" w:sz="4" w:space="0" w:color="auto"/>
            </w:tcBorders>
            <w:shd w:val="clear" w:color="auto" w:fill="auto"/>
            <w:noWrap/>
            <w:vAlign w:val="bottom"/>
            <w:hideMark/>
          </w:tcPr>
          <w:p w14:paraId="2FC20EC1" w14:textId="77777777" w:rsidR="00E2174E" w:rsidRPr="00B710A9" w:rsidRDefault="00E2174E" w:rsidP="00A224C8">
            <w:pPr>
              <w:jc w:val="center"/>
              <w:rPr>
                <w:rFonts w:cs="Arial"/>
                <w:color w:val="000000"/>
                <w:sz w:val="17"/>
                <w:szCs w:val="17"/>
              </w:rPr>
            </w:pPr>
            <w:r w:rsidRPr="00B710A9">
              <w:rPr>
                <w:rFonts w:cs="Arial"/>
                <w:color w:val="000000"/>
                <w:sz w:val="17"/>
                <w:szCs w:val="17"/>
              </w:rPr>
              <w:t>95,50%</w:t>
            </w:r>
          </w:p>
        </w:tc>
        <w:tc>
          <w:tcPr>
            <w:tcW w:w="0" w:type="auto"/>
            <w:tcBorders>
              <w:top w:val="nil"/>
              <w:left w:val="nil"/>
              <w:bottom w:val="single" w:sz="4" w:space="0" w:color="auto"/>
              <w:right w:val="single" w:sz="4" w:space="0" w:color="auto"/>
            </w:tcBorders>
            <w:shd w:val="clear" w:color="auto" w:fill="auto"/>
            <w:noWrap/>
            <w:vAlign w:val="bottom"/>
            <w:hideMark/>
          </w:tcPr>
          <w:p w14:paraId="42BCC207" w14:textId="77777777" w:rsidR="00E2174E" w:rsidRPr="00B710A9" w:rsidRDefault="00E2174E" w:rsidP="00A224C8">
            <w:pPr>
              <w:jc w:val="right"/>
              <w:rPr>
                <w:rFonts w:cs="Arial"/>
                <w:color w:val="000000"/>
                <w:sz w:val="17"/>
                <w:szCs w:val="17"/>
              </w:rPr>
            </w:pPr>
            <w:r w:rsidRPr="00B710A9">
              <w:rPr>
                <w:rFonts w:cs="Arial"/>
                <w:color w:val="000000"/>
                <w:sz w:val="17"/>
                <w:szCs w:val="17"/>
              </w:rPr>
              <w:t>$ 794</w:t>
            </w:r>
          </w:p>
        </w:tc>
        <w:tc>
          <w:tcPr>
            <w:tcW w:w="0" w:type="auto"/>
            <w:tcBorders>
              <w:top w:val="nil"/>
              <w:left w:val="nil"/>
              <w:bottom w:val="single" w:sz="4" w:space="0" w:color="auto"/>
              <w:right w:val="single" w:sz="4" w:space="0" w:color="auto"/>
            </w:tcBorders>
            <w:shd w:val="clear" w:color="auto" w:fill="auto"/>
            <w:noWrap/>
            <w:vAlign w:val="bottom"/>
            <w:hideMark/>
          </w:tcPr>
          <w:p w14:paraId="5E6C5E0F" w14:textId="77777777" w:rsidR="00E2174E" w:rsidRPr="00B710A9" w:rsidRDefault="00E2174E" w:rsidP="00A224C8">
            <w:pPr>
              <w:jc w:val="center"/>
              <w:rPr>
                <w:rFonts w:cs="Arial"/>
                <w:color w:val="000000"/>
                <w:sz w:val="17"/>
                <w:szCs w:val="17"/>
              </w:rPr>
            </w:pPr>
            <w:r w:rsidRPr="00B710A9">
              <w:rPr>
                <w:rFonts w:cs="Arial"/>
                <w:color w:val="000000"/>
                <w:sz w:val="17"/>
                <w:szCs w:val="17"/>
              </w:rPr>
              <w:t>95,11%</w:t>
            </w:r>
          </w:p>
        </w:tc>
        <w:tc>
          <w:tcPr>
            <w:tcW w:w="0" w:type="auto"/>
            <w:tcBorders>
              <w:top w:val="nil"/>
              <w:left w:val="nil"/>
              <w:bottom w:val="single" w:sz="4" w:space="0" w:color="auto"/>
              <w:right w:val="single" w:sz="4" w:space="0" w:color="auto"/>
            </w:tcBorders>
            <w:shd w:val="clear" w:color="auto" w:fill="auto"/>
            <w:noWrap/>
            <w:vAlign w:val="bottom"/>
            <w:hideMark/>
          </w:tcPr>
          <w:p w14:paraId="7E614547" w14:textId="77777777" w:rsidR="00E2174E" w:rsidRPr="00B710A9" w:rsidRDefault="00E2174E" w:rsidP="00A224C8">
            <w:pPr>
              <w:jc w:val="right"/>
              <w:rPr>
                <w:rFonts w:cs="Arial"/>
                <w:color w:val="000000"/>
                <w:sz w:val="17"/>
                <w:szCs w:val="17"/>
              </w:rPr>
            </w:pPr>
            <w:r w:rsidRPr="00B710A9">
              <w:rPr>
                <w:rFonts w:cs="Arial"/>
                <w:color w:val="000000"/>
                <w:sz w:val="17"/>
                <w:szCs w:val="17"/>
              </w:rPr>
              <w:t>$ 742</w:t>
            </w:r>
          </w:p>
        </w:tc>
        <w:tc>
          <w:tcPr>
            <w:tcW w:w="0" w:type="auto"/>
            <w:tcBorders>
              <w:top w:val="nil"/>
              <w:left w:val="nil"/>
              <w:bottom w:val="single" w:sz="4" w:space="0" w:color="auto"/>
              <w:right w:val="single" w:sz="4" w:space="0" w:color="auto"/>
            </w:tcBorders>
            <w:shd w:val="clear" w:color="auto" w:fill="auto"/>
            <w:noWrap/>
            <w:vAlign w:val="bottom"/>
            <w:hideMark/>
          </w:tcPr>
          <w:p w14:paraId="74ABC135" w14:textId="77777777" w:rsidR="00E2174E" w:rsidRPr="00B710A9" w:rsidRDefault="00E2174E" w:rsidP="00A224C8">
            <w:pPr>
              <w:jc w:val="center"/>
              <w:rPr>
                <w:rFonts w:cs="Arial"/>
                <w:color w:val="000000"/>
                <w:sz w:val="17"/>
                <w:szCs w:val="17"/>
              </w:rPr>
            </w:pPr>
            <w:r w:rsidRPr="00B710A9">
              <w:rPr>
                <w:rFonts w:cs="Arial"/>
                <w:color w:val="000000"/>
                <w:sz w:val="17"/>
                <w:szCs w:val="17"/>
              </w:rPr>
              <w:t>88,93%</w:t>
            </w:r>
          </w:p>
        </w:tc>
        <w:tc>
          <w:tcPr>
            <w:tcW w:w="0" w:type="auto"/>
            <w:tcBorders>
              <w:top w:val="nil"/>
              <w:left w:val="nil"/>
              <w:bottom w:val="single" w:sz="4" w:space="0" w:color="auto"/>
              <w:right w:val="single" w:sz="4" w:space="0" w:color="auto"/>
            </w:tcBorders>
            <w:shd w:val="clear" w:color="auto" w:fill="auto"/>
            <w:noWrap/>
            <w:vAlign w:val="bottom"/>
            <w:hideMark/>
          </w:tcPr>
          <w:p w14:paraId="7C1FF760" w14:textId="77777777" w:rsidR="00E2174E" w:rsidRPr="00B710A9" w:rsidRDefault="00E2174E" w:rsidP="00A224C8">
            <w:pPr>
              <w:jc w:val="right"/>
              <w:rPr>
                <w:rFonts w:cs="Arial"/>
                <w:color w:val="000000"/>
                <w:sz w:val="17"/>
                <w:szCs w:val="17"/>
              </w:rPr>
            </w:pPr>
            <w:r w:rsidRPr="00B710A9">
              <w:rPr>
                <w:rFonts w:cs="Arial"/>
                <w:color w:val="000000"/>
                <w:sz w:val="17"/>
                <w:szCs w:val="17"/>
              </w:rPr>
              <w:t>$ 37</w:t>
            </w:r>
          </w:p>
        </w:tc>
        <w:tc>
          <w:tcPr>
            <w:tcW w:w="0" w:type="auto"/>
            <w:tcBorders>
              <w:top w:val="nil"/>
              <w:left w:val="nil"/>
              <w:bottom w:val="single" w:sz="4" w:space="0" w:color="auto"/>
              <w:right w:val="single" w:sz="4" w:space="0" w:color="auto"/>
            </w:tcBorders>
            <w:shd w:val="clear" w:color="auto" w:fill="auto"/>
            <w:noWrap/>
            <w:vAlign w:val="bottom"/>
            <w:hideMark/>
          </w:tcPr>
          <w:p w14:paraId="71621815" w14:textId="77777777" w:rsidR="00E2174E" w:rsidRPr="00B710A9" w:rsidRDefault="00E2174E" w:rsidP="00A224C8">
            <w:pPr>
              <w:jc w:val="center"/>
              <w:rPr>
                <w:rFonts w:cs="Arial"/>
                <w:color w:val="000000"/>
                <w:sz w:val="17"/>
                <w:szCs w:val="17"/>
              </w:rPr>
            </w:pPr>
            <w:r w:rsidRPr="00B710A9">
              <w:rPr>
                <w:rFonts w:cs="Arial"/>
                <w:color w:val="000000"/>
                <w:sz w:val="17"/>
                <w:szCs w:val="17"/>
              </w:rPr>
              <w:t>4,45%</w:t>
            </w:r>
          </w:p>
        </w:tc>
      </w:tr>
      <w:tr w:rsidR="00E2174E" w:rsidRPr="00B710A9" w14:paraId="5F8829F0" w14:textId="77777777" w:rsidTr="00E35A84">
        <w:trPr>
          <w:cantSplit/>
          <w:trHeight w:val="60"/>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2B00B745"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000000" w:fill="ACB9CA"/>
            <w:noWrap/>
            <w:vAlign w:val="bottom"/>
            <w:hideMark/>
          </w:tcPr>
          <w:p w14:paraId="5583AB88" w14:textId="77777777" w:rsidR="00E2174E" w:rsidRPr="00B710A9" w:rsidRDefault="00E2174E" w:rsidP="00A224C8">
            <w:pPr>
              <w:rPr>
                <w:rFonts w:cs="Arial"/>
                <w:b/>
                <w:bCs/>
                <w:color w:val="000000"/>
                <w:sz w:val="17"/>
                <w:szCs w:val="17"/>
              </w:rPr>
            </w:pPr>
            <w:r w:rsidRPr="00B710A9">
              <w:rPr>
                <w:rFonts w:cs="Arial"/>
                <w:b/>
                <w:bCs/>
                <w:color w:val="000000"/>
                <w:sz w:val="17"/>
                <w:szCs w:val="17"/>
              </w:rPr>
              <w:t>Total</w:t>
            </w:r>
          </w:p>
        </w:tc>
        <w:tc>
          <w:tcPr>
            <w:tcW w:w="0" w:type="auto"/>
            <w:tcBorders>
              <w:top w:val="nil"/>
              <w:left w:val="nil"/>
              <w:bottom w:val="single" w:sz="4" w:space="0" w:color="auto"/>
              <w:right w:val="single" w:sz="4" w:space="0" w:color="auto"/>
            </w:tcBorders>
            <w:shd w:val="clear" w:color="000000" w:fill="ACB9CA"/>
            <w:noWrap/>
            <w:vAlign w:val="bottom"/>
            <w:hideMark/>
          </w:tcPr>
          <w:p w14:paraId="3758559A"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$ 1.871</w:t>
            </w:r>
          </w:p>
        </w:tc>
        <w:tc>
          <w:tcPr>
            <w:tcW w:w="0" w:type="auto"/>
            <w:tcBorders>
              <w:top w:val="nil"/>
              <w:left w:val="nil"/>
              <w:bottom w:val="single" w:sz="4" w:space="0" w:color="auto"/>
              <w:right w:val="single" w:sz="4" w:space="0" w:color="auto"/>
            </w:tcBorders>
            <w:shd w:val="clear" w:color="000000" w:fill="ACB9CA"/>
            <w:noWrap/>
            <w:vAlign w:val="bottom"/>
            <w:hideMark/>
          </w:tcPr>
          <w:p w14:paraId="52D8BC93"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$ 1.831</w:t>
            </w:r>
          </w:p>
        </w:tc>
        <w:tc>
          <w:tcPr>
            <w:tcW w:w="0" w:type="auto"/>
            <w:tcBorders>
              <w:top w:val="nil"/>
              <w:left w:val="nil"/>
              <w:bottom w:val="single" w:sz="4" w:space="0" w:color="auto"/>
              <w:right w:val="single" w:sz="4" w:space="0" w:color="auto"/>
            </w:tcBorders>
            <w:shd w:val="clear" w:color="000000" w:fill="ACB9CA"/>
            <w:noWrap/>
            <w:vAlign w:val="bottom"/>
            <w:hideMark/>
          </w:tcPr>
          <w:p w14:paraId="5FC7461E"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97,84%</w:t>
            </w:r>
          </w:p>
        </w:tc>
        <w:tc>
          <w:tcPr>
            <w:tcW w:w="0" w:type="auto"/>
            <w:tcBorders>
              <w:top w:val="nil"/>
              <w:left w:val="nil"/>
              <w:bottom w:val="single" w:sz="4" w:space="0" w:color="auto"/>
              <w:right w:val="single" w:sz="4" w:space="0" w:color="auto"/>
            </w:tcBorders>
            <w:shd w:val="clear" w:color="000000" w:fill="ACB9CA"/>
            <w:noWrap/>
            <w:vAlign w:val="bottom"/>
            <w:hideMark/>
          </w:tcPr>
          <w:p w14:paraId="7AD9CA41"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$ 1.829</w:t>
            </w:r>
          </w:p>
        </w:tc>
        <w:tc>
          <w:tcPr>
            <w:tcW w:w="0" w:type="auto"/>
            <w:tcBorders>
              <w:top w:val="nil"/>
              <w:left w:val="nil"/>
              <w:bottom w:val="single" w:sz="4" w:space="0" w:color="auto"/>
              <w:right w:val="single" w:sz="4" w:space="0" w:color="auto"/>
            </w:tcBorders>
            <w:shd w:val="clear" w:color="000000" w:fill="ACB9CA"/>
            <w:noWrap/>
            <w:vAlign w:val="bottom"/>
            <w:hideMark/>
          </w:tcPr>
          <w:p w14:paraId="10312C42"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97,71%</w:t>
            </w:r>
          </w:p>
        </w:tc>
        <w:tc>
          <w:tcPr>
            <w:tcW w:w="0" w:type="auto"/>
            <w:tcBorders>
              <w:top w:val="nil"/>
              <w:left w:val="nil"/>
              <w:bottom w:val="single" w:sz="4" w:space="0" w:color="auto"/>
              <w:right w:val="single" w:sz="4" w:space="0" w:color="auto"/>
            </w:tcBorders>
            <w:shd w:val="clear" w:color="000000" w:fill="ACB9CA"/>
            <w:noWrap/>
            <w:vAlign w:val="bottom"/>
            <w:hideMark/>
          </w:tcPr>
          <w:p w14:paraId="497B9134"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$ 1.825</w:t>
            </w:r>
          </w:p>
        </w:tc>
        <w:tc>
          <w:tcPr>
            <w:tcW w:w="0" w:type="auto"/>
            <w:tcBorders>
              <w:top w:val="nil"/>
              <w:left w:val="nil"/>
              <w:bottom w:val="single" w:sz="4" w:space="0" w:color="auto"/>
              <w:right w:val="single" w:sz="4" w:space="0" w:color="auto"/>
            </w:tcBorders>
            <w:shd w:val="clear" w:color="000000" w:fill="ACB9CA"/>
            <w:noWrap/>
            <w:vAlign w:val="bottom"/>
            <w:hideMark/>
          </w:tcPr>
          <w:p w14:paraId="247E5EB2"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97,54%</w:t>
            </w:r>
          </w:p>
        </w:tc>
        <w:tc>
          <w:tcPr>
            <w:tcW w:w="0" w:type="auto"/>
            <w:tcBorders>
              <w:top w:val="nil"/>
              <w:left w:val="nil"/>
              <w:bottom w:val="single" w:sz="4" w:space="0" w:color="auto"/>
              <w:right w:val="single" w:sz="4" w:space="0" w:color="auto"/>
            </w:tcBorders>
            <w:shd w:val="clear" w:color="000000" w:fill="ACB9CA"/>
            <w:noWrap/>
            <w:vAlign w:val="bottom"/>
            <w:hideMark/>
          </w:tcPr>
          <w:p w14:paraId="1F038E3C"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$ 1.774</w:t>
            </w:r>
          </w:p>
        </w:tc>
        <w:tc>
          <w:tcPr>
            <w:tcW w:w="0" w:type="auto"/>
            <w:tcBorders>
              <w:top w:val="nil"/>
              <w:left w:val="nil"/>
              <w:bottom w:val="single" w:sz="4" w:space="0" w:color="auto"/>
              <w:right w:val="single" w:sz="4" w:space="0" w:color="auto"/>
            </w:tcBorders>
            <w:shd w:val="clear" w:color="000000" w:fill="ACB9CA"/>
            <w:noWrap/>
            <w:vAlign w:val="bottom"/>
            <w:hideMark/>
          </w:tcPr>
          <w:p w14:paraId="667456C8"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94,79%</w:t>
            </w:r>
          </w:p>
        </w:tc>
        <w:tc>
          <w:tcPr>
            <w:tcW w:w="0" w:type="auto"/>
            <w:tcBorders>
              <w:top w:val="nil"/>
              <w:left w:val="nil"/>
              <w:bottom w:val="single" w:sz="4" w:space="0" w:color="auto"/>
              <w:right w:val="single" w:sz="4" w:space="0" w:color="auto"/>
            </w:tcBorders>
            <w:shd w:val="clear" w:color="000000" w:fill="ACB9CA"/>
            <w:noWrap/>
            <w:vAlign w:val="bottom"/>
            <w:hideMark/>
          </w:tcPr>
          <w:p w14:paraId="18321F55"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$ 40</w:t>
            </w:r>
          </w:p>
        </w:tc>
        <w:tc>
          <w:tcPr>
            <w:tcW w:w="0" w:type="auto"/>
            <w:tcBorders>
              <w:top w:val="nil"/>
              <w:left w:val="nil"/>
              <w:bottom w:val="single" w:sz="4" w:space="0" w:color="auto"/>
              <w:right w:val="single" w:sz="4" w:space="0" w:color="auto"/>
            </w:tcBorders>
            <w:shd w:val="clear" w:color="000000" w:fill="ACB9CA"/>
            <w:noWrap/>
            <w:vAlign w:val="bottom"/>
            <w:hideMark/>
          </w:tcPr>
          <w:p w14:paraId="55E8D033"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2,16%</w:t>
            </w:r>
          </w:p>
        </w:tc>
      </w:tr>
      <w:tr w:rsidR="00E2174E" w:rsidRPr="00B710A9" w14:paraId="2A3F94FA" w14:textId="77777777" w:rsidTr="00E35A84">
        <w:trPr>
          <w:cantSplit/>
          <w:trHeight w:val="19"/>
          <w:jc w:val="center"/>
        </w:trPr>
        <w:tc>
          <w:tcPr>
            <w:tcW w:w="373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5BDCE3B" w14:textId="77777777" w:rsidR="00E2174E" w:rsidRPr="00B710A9" w:rsidRDefault="00E2174E" w:rsidP="00A224C8">
            <w:pPr>
              <w:jc w:val="center"/>
              <w:rPr>
                <w:rFonts w:cs="Arial"/>
                <w:color w:val="000000"/>
                <w:sz w:val="17"/>
                <w:szCs w:val="17"/>
              </w:rPr>
            </w:pPr>
            <w:r w:rsidRPr="00B710A9">
              <w:rPr>
                <w:rFonts w:cs="Arial"/>
                <w:color w:val="000000"/>
                <w:sz w:val="17"/>
                <w:szCs w:val="17"/>
              </w:rPr>
              <w:t>Implementación de un sistema de gestión documental en el IGAC a nivel   nacional</w:t>
            </w:r>
          </w:p>
        </w:tc>
        <w:tc>
          <w:tcPr>
            <w:tcW w:w="0" w:type="auto"/>
            <w:tcBorders>
              <w:top w:val="nil"/>
              <w:left w:val="nil"/>
              <w:bottom w:val="single" w:sz="4" w:space="0" w:color="auto"/>
              <w:right w:val="single" w:sz="4" w:space="0" w:color="auto"/>
            </w:tcBorders>
            <w:shd w:val="clear" w:color="auto" w:fill="auto"/>
            <w:noWrap/>
            <w:vAlign w:val="center"/>
            <w:hideMark/>
          </w:tcPr>
          <w:p w14:paraId="5D9D7271" w14:textId="77777777" w:rsidR="00E2174E" w:rsidRPr="00B710A9" w:rsidRDefault="00E2174E" w:rsidP="00A224C8">
            <w:pPr>
              <w:rPr>
                <w:rFonts w:cs="Arial"/>
                <w:color w:val="000000"/>
                <w:sz w:val="17"/>
                <w:szCs w:val="17"/>
              </w:rPr>
            </w:pPr>
            <w:r w:rsidRPr="00B710A9">
              <w:rPr>
                <w:rFonts w:cs="Arial"/>
                <w:color w:val="000000"/>
                <w:sz w:val="17"/>
                <w:szCs w:val="17"/>
              </w:rPr>
              <w:t>Nación</w:t>
            </w:r>
          </w:p>
        </w:tc>
        <w:tc>
          <w:tcPr>
            <w:tcW w:w="0" w:type="auto"/>
            <w:tcBorders>
              <w:top w:val="nil"/>
              <w:left w:val="nil"/>
              <w:bottom w:val="single" w:sz="4" w:space="0" w:color="auto"/>
              <w:right w:val="single" w:sz="4" w:space="0" w:color="auto"/>
            </w:tcBorders>
            <w:shd w:val="clear" w:color="auto" w:fill="auto"/>
            <w:noWrap/>
            <w:vAlign w:val="bottom"/>
            <w:hideMark/>
          </w:tcPr>
          <w:p w14:paraId="7C3C3E0D" w14:textId="77777777" w:rsidR="00E2174E" w:rsidRPr="00B710A9" w:rsidRDefault="00E2174E" w:rsidP="00A224C8">
            <w:pPr>
              <w:jc w:val="right"/>
              <w:rPr>
                <w:rFonts w:cs="Arial"/>
                <w:color w:val="000000"/>
                <w:sz w:val="17"/>
                <w:szCs w:val="17"/>
              </w:rPr>
            </w:pPr>
            <w:r w:rsidRPr="00B710A9">
              <w:rPr>
                <w:rFonts w:cs="Arial"/>
                <w:color w:val="000000"/>
                <w:sz w:val="17"/>
                <w:szCs w:val="17"/>
              </w:rPr>
              <w:t>$ 207</w:t>
            </w:r>
          </w:p>
        </w:tc>
        <w:tc>
          <w:tcPr>
            <w:tcW w:w="0" w:type="auto"/>
            <w:tcBorders>
              <w:top w:val="nil"/>
              <w:left w:val="nil"/>
              <w:bottom w:val="single" w:sz="4" w:space="0" w:color="auto"/>
              <w:right w:val="single" w:sz="4" w:space="0" w:color="auto"/>
            </w:tcBorders>
            <w:shd w:val="clear" w:color="auto" w:fill="auto"/>
            <w:noWrap/>
            <w:vAlign w:val="bottom"/>
            <w:hideMark/>
          </w:tcPr>
          <w:p w14:paraId="2E25733B" w14:textId="77777777" w:rsidR="00E2174E" w:rsidRPr="00B710A9" w:rsidRDefault="00E2174E" w:rsidP="00A224C8">
            <w:pPr>
              <w:jc w:val="right"/>
              <w:rPr>
                <w:rFonts w:cs="Arial"/>
                <w:color w:val="000000"/>
                <w:sz w:val="17"/>
                <w:szCs w:val="17"/>
              </w:rPr>
            </w:pPr>
            <w:r w:rsidRPr="00B710A9">
              <w:rPr>
                <w:rFonts w:cs="Arial"/>
                <w:color w:val="000000"/>
                <w:sz w:val="17"/>
                <w:szCs w:val="17"/>
              </w:rPr>
              <w:t>$ 204</w:t>
            </w:r>
          </w:p>
        </w:tc>
        <w:tc>
          <w:tcPr>
            <w:tcW w:w="0" w:type="auto"/>
            <w:tcBorders>
              <w:top w:val="nil"/>
              <w:left w:val="nil"/>
              <w:bottom w:val="single" w:sz="4" w:space="0" w:color="auto"/>
              <w:right w:val="single" w:sz="4" w:space="0" w:color="auto"/>
            </w:tcBorders>
            <w:shd w:val="clear" w:color="auto" w:fill="auto"/>
            <w:noWrap/>
            <w:vAlign w:val="bottom"/>
            <w:hideMark/>
          </w:tcPr>
          <w:p w14:paraId="6DC277AC" w14:textId="77777777" w:rsidR="00E2174E" w:rsidRPr="00B710A9" w:rsidRDefault="00E2174E" w:rsidP="00A224C8">
            <w:pPr>
              <w:jc w:val="center"/>
              <w:rPr>
                <w:rFonts w:cs="Arial"/>
                <w:color w:val="000000"/>
                <w:sz w:val="17"/>
                <w:szCs w:val="17"/>
              </w:rPr>
            </w:pPr>
            <w:r w:rsidRPr="00B710A9">
              <w:rPr>
                <w:rFonts w:cs="Arial"/>
                <w:color w:val="000000"/>
                <w:sz w:val="17"/>
                <w:szCs w:val="17"/>
              </w:rPr>
              <w:t>98,80%</w:t>
            </w:r>
          </w:p>
        </w:tc>
        <w:tc>
          <w:tcPr>
            <w:tcW w:w="0" w:type="auto"/>
            <w:tcBorders>
              <w:top w:val="nil"/>
              <w:left w:val="nil"/>
              <w:bottom w:val="single" w:sz="4" w:space="0" w:color="auto"/>
              <w:right w:val="single" w:sz="4" w:space="0" w:color="auto"/>
            </w:tcBorders>
            <w:shd w:val="clear" w:color="auto" w:fill="auto"/>
            <w:noWrap/>
            <w:vAlign w:val="bottom"/>
            <w:hideMark/>
          </w:tcPr>
          <w:p w14:paraId="5875E823" w14:textId="77777777" w:rsidR="00E2174E" w:rsidRPr="00B710A9" w:rsidRDefault="00E2174E" w:rsidP="00A224C8">
            <w:pPr>
              <w:jc w:val="right"/>
              <w:rPr>
                <w:rFonts w:cs="Arial"/>
                <w:color w:val="000000"/>
                <w:sz w:val="17"/>
                <w:szCs w:val="17"/>
              </w:rPr>
            </w:pPr>
            <w:r w:rsidRPr="00B710A9">
              <w:rPr>
                <w:rFonts w:cs="Arial"/>
                <w:color w:val="000000"/>
                <w:sz w:val="17"/>
                <w:szCs w:val="17"/>
              </w:rPr>
              <w:t>$ 204</w:t>
            </w:r>
          </w:p>
        </w:tc>
        <w:tc>
          <w:tcPr>
            <w:tcW w:w="0" w:type="auto"/>
            <w:tcBorders>
              <w:top w:val="nil"/>
              <w:left w:val="nil"/>
              <w:bottom w:val="single" w:sz="4" w:space="0" w:color="auto"/>
              <w:right w:val="single" w:sz="4" w:space="0" w:color="auto"/>
            </w:tcBorders>
            <w:shd w:val="clear" w:color="auto" w:fill="auto"/>
            <w:noWrap/>
            <w:vAlign w:val="bottom"/>
            <w:hideMark/>
          </w:tcPr>
          <w:p w14:paraId="3E575ADC" w14:textId="77777777" w:rsidR="00E2174E" w:rsidRPr="00B710A9" w:rsidRDefault="00E2174E" w:rsidP="00A224C8">
            <w:pPr>
              <w:jc w:val="center"/>
              <w:rPr>
                <w:rFonts w:cs="Arial"/>
                <w:color w:val="000000"/>
                <w:sz w:val="17"/>
                <w:szCs w:val="17"/>
              </w:rPr>
            </w:pPr>
            <w:r w:rsidRPr="00B710A9">
              <w:rPr>
                <w:rFonts w:cs="Arial"/>
                <w:color w:val="000000"/>
                <w:sz w:val="17"/>
                <w:szCs w:val="17"/>
              </w:rPr>
              <w:t>98,80%</w:t>
            </w:r>
          </w:p>
        </w:tc>
        <w:tc>
          <w:tcPr>
            <w:tcW w:w="0" w:type="auto"/>
            <w:tcBorders>
              <w:top w:val="nil"/>
              <w:left w:val="nil"/>
              <w:bottom w:val="single" w:sz="4" w:space="0" w:color="auto"/>
              <w:right w:val="single" w:sz="4" w:space="0" w:color="auto"/>
            </w:tcBorders>
            <w:shd w:val="clear" w:color="auto" w:fill="auto"/>
            <w:noWrap/>
            <w:vAlign w:val="bottom"/>
            <w:hideMark/>
          </w:tcPr>
          <w:p w14:paraId="38458316" w14:textId="77777777" w:rsidR="00E2174E" w:rsidRPr="00B710A9" w:rsidRDefault="00E2174E" w:rsidP="00A224C8">
            <w:pPr>
              <w:jc w:val="right"/>
              <w:rPr>
                <w:rFonts w:cs="Arial"/>
                <w:color w:val="000000"/>
                <w:sz w:val="17"/>
                <w:szCs w:val="17"/>
              </w:rPr>
            </w:pPr>
            <w:r w:rsidRPr="00B710A9">
              <w:rPr>
                <w:rFonts w:cs="Arial"/>
                <w:color w:val="000000"/>
                <w:sz w:val="17"/>
                <w:szCs w:val="17"/>
              </w:rPr>
              <w:t>$ 204</w:t>
            </w:r>
          </w:p>
        </w:tc>
        <w:tc>
          <w:tcPr>
            <w:tcW w:w="0" w:type="auto"/>
            <w:tcBorders>
              <w:top w:val="nil"/>
              <w:left w:val="nil"/>
              <w:bottom w:val="single" w:sz="4" w:space="0" w:color="auto"/>
              <w:right w:val="single" w:sz="4" w:space="0" w:color="auto"/>
            </w:tcBorders>
            <w:shd w:val="clear" w:color="auto" w:fill="auto"/>
            <w:noWrap/>
            <w:vAlign w:val="bottom"/>
            <w:hideMark/>
          </w:tcPr>
          <w:p w14:paraId="5DC2C2AD" w14:textId="77777777" w:rsidR="00E2174E" w:rsidRPr="00B710A9" w:rsidRDefault="00E2174E" w:rsidP="00A224C8">
            <w:pPr>
              <w:jc w:val="center"/>
              <w:rPr>
                <w:rFonts w:cs="Arial"/>
                <w:color w:val="000000"/>
                <w:sz w:val="17"/>
                <w:szCs w:val="17"/>
              </w:rPr>
            </w:pPr>
            <w:r w:rsidRPr="00B710A9">
              <w:rPr>
                <w:rFonts w:cs="Arial"/>
                <w:color w:val="000000"/>
                <w:sz w:val="17"/>
                <w:szCs w:val="17"/>
              </w:rPr>
              <w:t>98,80%</w:t>
            </w:r>
          </w:p>
        </w:tc>
        <w:tc>
          <w:tcPr>
            <w:tcW w:w="0" w:type="auto"/>
            <w:tcBorders>
              <w:top w:val="nil"/>
              <w:left w:val="nil"/>
              <w:bottom w:val="single" w:sz="4" w:space="0" w:color="auto"/>
              <w:right w:val="single" w:sz="4" w:space="0" w:color="auto"/>
            </w:tcBorders>
            <w:shd w:val="clear" w:color="auto" w:fill="auto"/>
            <w:noWrap/>
            <w:vAlign w:val="bottom"/>
            <w:hideMark/>
          </w:tcPr>
          <w:p w14:paraId="13B33EF7" w14:textId="77777777" w:rsidR="00E2174E" w:rsidRPr="00B710A9" w:rsidRDefault="00E2174E" w:rsidP="00A224C8">
            <w:pPr>
              <w:jc w:val="right"/>
              <w:rPr>
                <w:rFonts w:cs="Arial"/>
                <w:color w:val="000000"/>
                <w:sz w:val="17"/>
                <w:szCs w:val="17"/>
              </w:rPr>
            </w:pPr>
            <w:r w:rsidRPr="00B710A9">
              <w:rPr>
                <w:rFonts w:cs="Arial"/>
                <w:color w:val="000000"/>
                <w:sz w:val="17"/>
                <w:szCs w:val="17"/>
              </w:rPr>
              <w:t>$ 204</w:t>
            </w:r>
          </w:p>
        </w:tc>
        <w:tc>
          <w:tcPr>
            <w:tcW w:w="0" w:type="auto"/>
            <w:tcBorders>
              <w:top w:val="nil"/>
              <w:left w:val="nil"/>
              <w:bottom w:val="single" w:sz="4" w:space="0" w:color="auto"/>
              <w:right w:val="single" w:sz="4" w:space="0" w:color="auto"/>
            </w:tcBorders>
            <w:shd w:val="clear" w:color="auto" w:fill="auto"/>
            <w:noWrap/>
            <w:vAlign w:val="bottom"/>
            <w:hideMark/>
          </w:tcPr>
          <w:p w14:paraId="5E835495" w14:textId="77777777" w:rsidR="00E2174E" w:rsidRPr="00B710A9" w:rsidRDefault="00E2174E" w:rsidP="00A224C8">
            <w:pPr>
              <w:jc w:val="center"/>
              <w:rPr>
                <w:rFonts w:cs="Arial"/>
                <w:color w:val="000000"/>
                <w:sz w:val="17"/>
                <w:szCs w:val="17"/>
              </w:rPr>
            </w:pPr>
            <w:r w:rsidRPr="00B710A9">
              <w:rPr>
                <w:rFonts w:cs="Arial"/>
                <w:color w:val="000000"/>
                <w:sz w:val="17"/>
                <w:szCs w:val="17"/>
              </w:rPr>
              <w:t>98,80%</w:t>
            </w:r>
          </w:p>
        </w:tc>
        <w:tc>
          <w:tcPr>
            <w:tcW w:w="0" w:type="auto"/>
            <w:tcBorders>
              <w:top w:val="nil"/>
              <w:left w:val="nil"/>
              <w:bottom w:val="single" w:sz="4" w:space="0" w:color="auto"/>
              <w:right w:val="single" w:sz="4" w:space="0" w:color="auto"/>
            </w:tcBorders>
            <w:shd w:val="clear" w:color="auto" w:fill="auto"/>
            <w:noWrap/>
            <w:vAlign w:val="bottom"/>
            <w:hideMark/>
          </w:tcPr>
          <w:p w14:paraId="6F50C393" w14:textId="77777777" w:rsidR="00E2174E" w:rsidRPr="00B710A9" w:rsidRDefault="00E2174E" w:rsidP="00A224C8">
            <w:pPr>
              <w:jc w:val="right"/>
              <w:rPr>
                <w:rFonts w:cs="Arial"/>
                <w:color w:val="000000"/>
                <w:sz w:val="17"/>
                <w:szCs w:val="17"/>
              </w:rPr>
            </w:pPr>
            <w:r w:rsidRPr="00B710A9">
              <w:rPr>
                <w:rFonts w:cs="Arial"/>
                <w:color w:val="000000"/>
                <w:sz w:val="17"/>
                <w:szCs w:val="17"/>
              </w:rPr>
              <w:t>$ 2</w:t>
            </w:r>
          </w:p>
        </w:tc>
        <w:tc>
          <w:tcPr>
            <w:tcW w:w="0" w:type="auto"/>
            <w:tcBorders>
              <w:top w:val="nil"/>
              <w:left w:val="nil"/>
              <w:bottom w:val="single" w:sz="4" w:space="0" w:color="auto"/>
              <w:right w:val="single" w:sz="4" w:space="0" w:color="auto"/>
            </w:tcBorders>
            <w:shd w:val="clear" w:color="auto" w:fill="auto"/>
            <w:noWrap/>
            <w:vAlign w:val="bottom"/>
            <w:hideMark/>
          </w:tcPr>
          <w:p w14:paraId="086BCA61" w14:textId="77777777" w:rsidR="00E2174E" w:rsidRPr="00B710A9" w:rsidRDefault="00E2174E" w:rsidP="00A224C8">
            <w:pPr>
              <w:jc w:val="center"/>
              <w:rPr>
                <w:rFonts w:cs="Arial"/>
                <w:color w:val="000000"/>
                <w:sz w:val="17"/>
                <w:szCs w:val="17"/>
              </w:rPr>
            </w:pPr>
            <w:r w:rsidRPr="00B710A9">
              <w:rPr>
                <w:rFonts w:cs="Arial"/>
                <w:color w:val="000000"/>
                <w:sz w:val="17"/>
                <w:szCs w:val="17"/>
              </w:rPr>
              <w:t>1,20%</w:t>
            </w:r>
          </w:p>
        </w:tc>
      </w:tr>
      <w:tr w:rsidR="00E2174E" w:rsidRPr="00B710A9" w14:paraId="728CE6E0" w14:textId="77777777" w:rsidTr="00E35A84">
        <w:trPr>
          <w:cantSplit/>
          <w:trHeight w:val="19"/>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6442F4F6"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000000" w:fill="ACB9CA"/>
            <w:noWrap/>
            <w:vAlign w:val="bottom"/>
            <w:hideMark/>
          </w:tcPr>
          <w:p w14:paraId="77BC7FC5" w14:textId="77777777" w:rsidR="00E2174E" w:rsidRPr="00B710A9" w:rsidRDefault="00E2174E" w:rsidP="00A224C8">
            <w:pPr>
              <w:rPr>
                <w:rFonts w:cs="Arial"/>
                <w:b/>
                <w:bCs/>
                <w:color w:val="000000"/>
                <w:sz w:val="17"/>
                <w:szCs w:val="17"/>
              </w:rPr>
            </w:pPr>
            <w:r w:rsidRPr="00B710A9">
              <w:rPr>
                <w:rFonts w:cs="Arial"/>
                <w:b/>
                <w:bCs/>
                <w:color w:val="000000"/>
                <w:sz w:val="17"/>
                <w:szCs w:val="17"/>
              </w:rPr>
              <w:t>Total</w:t>
            </w:r>
          </w:p>
        </w:tc>
        <w:tc>
          <w:tcPr>
            <w:tcW w:w="0" w:type="auto"/>
            <w:tcBorders>
              <w:top w:val="nil"/>
              <w:left w:val="nil"/>
              <w:bottom w:val="single" w:sz="4" w:space="0" w:color="auto"/>
              <w:right w:val="single" w:sz="4" w:space="0" w:color="auto"/>
            </w:tcBorders>
            <w:shd w:val="clear" w:color="000000" w:fill="ACB9CA"/>
            <w:noWrap/>
            <w:vAlign w:val="bottom"/>
            <w:hideMark/>
          </w:tcPr>
          <w:p w14:paraId="157E92D1"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$ 207</w:t>
            </w:r>
          </w:p>
        </w:tc>
        <w:tc>
          <w:tcPr>
            <w:tcW w:w="0" w:type="auto"/>
            <w:tcBorders>
              <w:top w:val="nil"/>
              <w:left w:val="nil"/>
              <w:bottom w:val="single" w:sz="4" w:space="0" w:color="auto"/>
              <w:right w:val="single" w:sz="4" w:space="0" w:color="auto"/>
            </w:tcBorders>
            <w:shd w:val="clear" w:color="000000" w:fill="ACB9CA"/>
            <w:noWrap/>
            <w:vAlign w:val="bottom"/>
            <w:hideMark/>
          </w:tcPr>
          <w:p w14:paraId="33D32548"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$ 204</w:t>
            </w:r>
          </w:p>
        </w:tc>
        <w:tc>
          <w:tcPr>
            <w:tcW w:w="0" w:type="auto"/>
            <w:tcBorders>
              <w:top w:val="nil"/>
              <w:left w:val="nil"/>
              <w:bottom w:val="single" w:sz="4" w:space="0" w:color="auto"/>
              <w:right w:val="single" w:sz="4" w:space="0" w:color="auto"/>
            </w:tcBorders>
            <w:shd w:val="clear" w:color="000000" w:fill="ACB9CA"/>
            <w:noWrap/>
            <w:vAlign w:val="bottom"/>
            <w:hideMark/>
          </w:tcPr>
          <w:p w14:paraId="464A0E54"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98,80%</w:t>
            </w:r>
          </w:p>
        </w:tc>
        <w:tc>
          <w:tcPr>
            <w:tcW w:w="0" w:type="auto"/>
            <w:tcBorders>
              <w:top w:val="nil"/>
              <w:left w:val="nil"/>
              <w:bottom w:val="single" w:sz="4" w:space="0" w:color="auto"/>
              <w:right w:val="single" w:sz="4" w:space="0" w:color="auto"/>
            </w:tcBorders>
            <w:shd w:val="clear" w:color="000000" w:fill="ACB9CA"/>
            <w:noWrap/>
            <w:vAlign w:val="bottom"/>
            <w:hideMark/>
          </w:tcPr>
          <w:p w14:paraId="221477D2"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$ 204</w:t>
            </w:r>
          </w:p>
        </w:tc>
        <w:tc>
          <w:tcPr>
            <w:tcW w:w="0" w:type="auto"/>
            <w:tcBorders>
              <w:top w:val="nil"/>
              <w:left w:val="nil"/>
              <w:bottom w:val="single" w:sz="4" w:space="0" w:color="auto"/>
              <w:right w:val="single" w:sz="4" w:space="0" w:color="auto"/>
            </w:tcBorders>
            <w:shd w:val="clear" w:color="000000" w:fill="ACB9CA"/>
            <w:noWrap/>
            <w:vAlign w:val="bottom"/>
            <w:hideMark/>
          </w:tcPr>
          <w:p w14:paraId="06457BD3"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98,80%</w:t>
            </w:r>
          </w:p>
        </w:tc>
        <w:tc>
          <w:tcPr>
            <w:tcW w:w="0" w:type="auto"/>
            <w:tcBorders>
              <w:top w:val="nil"/>
              <w:left w:val="nil"/>
              <w:bottom w:val="single" w:sz="4" w:space="0" w:color="auto"/>
              <w:right w:val="single" w:sz="4" w:space="0" w:color="auto"/>
            </w:tcBorders>
            <w:shd w:val="clear" w:color="000000" w:fill="ACB9CA"/>
            <w:noWrap/>
            <w:vAlign w:val="bottom"/>
            <w:hideMark/>
          </w:tcPr>
          <w:p w14:paraId="32ABFA89"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$ 204</w:t>
            </w:r>
          </w:p>
        </w:tc>
        <w:tc>
          <w:tcPr>
            <w:tcW w:w="0" w:type="auto"/>
            <w:tcBorders>
              <w:top w:val="nil"/>
              <w:left w:val="nil"/>
              <w:bottom w:val="single" w:sz="4" w:space="0" w:color="auto"/>
              <w:right w:val="single" w:sz="4" w:space="0" w:color="auto"/>
            </w:tcBorders>
            <w:shd w:val="clear" w:color="000000" w:fill="ACB9CA"/>
            <w:noWrap/>
            <w:vAlign w:val="bottom"/>
            <w:hideMark/>
          </w:tcPr>
          <w:p w14:paraId="0AB72C0B"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98,80%</w:t>
            </w:r>
          </w:p>
        </w:tc>
        <w:tc>
          <w:tcPr>
            <w:tcW w:w="0" w:type="auto"/>
            <w:tcBorders>
              <w:top w:val="nil"/>
              <w:left w:val="nil"/>
              <w:bottom w:val="single" w:sz="4" w:space="0" w:color="auto"/>
              <w:right w:val="single" w:sz="4" w:space="0" w:color="auto"/>
            </w:tcBorders>
            <w:shd w:val="clear" w:color="000000" w:fill="ACB9CA"/>
            <w:noWrap/>
            <w:vAlign w:val="bottom"/>
            <w:hideMark/>
          </w:tcPr>
          <w:p w14:paraId="30216668"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$ 204</w:t>
            </w:r>
          </w:p>
        </w:tc>
        <w:tc>
          <w:tcPr>
            <w:tcW w:w="0" w:type="auto"/>
            <w:tcBorders>
              <w:top w:val="nil"/>
              <w:left w:val="nil"/>
              <w:bottom w:val="single" w:sz="4" w:space="0" w:color="auto"/>
              <w:right w:val="single" w:sz="4" w:space="0" w:color="auto"/>
            </w:tcBorders>
            <w:shd w:val="clear" w:color="000000" w:fill="ACB9CA"/>
            <w:noWrap/>
            <w:vAlign w:val="bottom"/>
            <w:hideMark/>
          </w:tcPr>
          <w:p w14:paraId="0C627768"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98,80%</w:t>
            </w:r>
          </w:p>
        </w:tc>
        <w:tc>
          <w:tcPr>
            <w:tcW w:w="0" w:type="auto"/>
            <w:tcBorders>
              <w:top w:val="nil"/>
              <w:left w:val="nil"/>
              <w:bottom w:val="single" w:sz="4" w:space="0" w:color="auto"/>
              <w:right w:val="single" w:sz="4" w:space="0" w:color="auto"/>
            </w:tcBorders>
            <w:shd w:val="clear" w:color="000000" w:fill="ACB9CA"/>
            <w:noWrap/>
            <w:vAlign w:val="bottom"/>
            <w:hideMark/>
          </w:tcPr>
          <w:p w14:paraId="388B792B"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$ 2</w:t>
            </w:r>
          </w:p>
        </w:tc>
        <w:tc>
          <w:tcPr>
            <w:tcW w:w="0" w:type="auto"/>
            <w:tcBorders>
              <w:top w:val="nil"/>
              <w:left w:val="nil"/>
              <w:bottom w:val="single" w:sz="4" w:space="0" w:color="auto"/>
              <w:right w:val="single" w:sz="4" w:space="0" w:color="auto"/>
            </w:tcBorders>
            <w:shd w:val="clear" w:color="000000" w:fill="ACB9CA"/>
            <w:noWrap/>
            <w:vAlign w:val="bottom"/>
            <w:hideMark/>
          </w:tcPr>
          <w:p w14:paraId="59B43CCA"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1,20%</w:t>
            </w:r>
          </w:p>
        </w:tc>
      </w:tr>
      <w:tr w:rsidR="00E2174E" w:rsidRPr="00B710A9" w14:paraId="023F1E72" w14:textId="77777777" w:rsidTr="00E35A84">
        <w:trPr>
          <w:cantSplit/>
          <w:trHeight w:val="19"/>
          <w:jc w:val="center"/>
        </w:trPr>
        <w:tc>
          <w:tcPr>
            <w:tcW w:w="373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28202E2" w14:textId="58998B8B" w:rsidR="00E2174E" w:rsidRPr="00B710A9" w:rsidRDefault="00E2174E" w:rsidP="00A224C8">
            <w:pPr>
              <w:jc w:val="center"/>
              <w:rPr>
                <w:rFonts w:cs="Arial"/>
                <w:color w:val="000000"/>
                <w:sz w:val="17"/>
                <w:szCs w:val="17"/>
              </w:rPr>
            </w:pPr>
            <w:r w:rsidRPr="00B710A9">
              <w:rPr>
                <w:rFonts w:cs="Arial"/>
                <w:color w:val="000000"/>
                <w:sz w:val="17"/>
                <w:szCs w:val="17"/>
              </w:rPr>
              <w:t>Levantamiento, generación y actualización de la red geodésica y la cartografía básica a nivel   nacional</w:t>
            </w:r>
          </w:p>
        </w:tc>
        <w:tc>
          <w:tcPr>
            <w:tcW w:w="0" w:type="auto"/>
            <w:tcBorders>
              <w:top w:val="nil"/>
              <w:left w:val="nil"/>
              <w:bottom w:val="single" w:sz="4" w:space="0" w:color="auto"/>
              <w:right w:val="single" w:sz="4" w:space="0" w:color="auto"/>
            </w:tcBorders>
            <w:shd w:val="clear" w:color="auto" w:fill="auto"/>
            <w:noWrap/>
            <w:vAlign w:val="center"/>
            <w:hideMark/>
          </w:tcPr>
          <w:p w14:paraId="70B553F7" w14:textId="77777777" w:rsidR="00E2174E" w:rsidRPr="00B710A9" w:rsidRDefault="00E2174E" w:rsidP="00A224C8">
            <w:pPr>
              <w:rPr>
                <w:rFonts w:cs="Arial"/>
                <w:color w:val="000000"/>
                <w:sz w:val="17"/>
                <w:szCs w:val="17"/>
              </w:rPr>
            </w:pPr>
            <w:r w:rsidRPr="00B710A9">
              <w:rPr>
                <w:rFonts w:cs="Arial"/>
                <w:color w:val="000000"/>
                <w:sz w:val="17"/>
                <w:szCs w:val="17"/>
              </w:rPr>
              <w:t>Nación</w:t>
            </w:r>
          </w:p>
        </w:tc>
        <w:tc>
          <w:tcPr>
            <w:tcW w:w="0" w:type="auto"/>
            <w:tcBorders>
              <w:top w:val="nil"/>
              <w:left w:val="nil"/>
              <w:bottom w:val="single" w:sz="4" w:space="0" w:color="auto"/>
              <w:right w:val="single" w:sz="4" w:space="0" w:color="auto"/>
            </w:tcBorders>
            <w:shd w:val="clear" w:color="auto" w:fill="auto"/>
            <w:noWrap/>
            <w:vAlign w:val="bottom"/>
            <w:hideMark/>
          </w:tcPr>
          <w:p w14:paraId="77632FF3" w14:textId="77777777" w:rsidR="00E2174E" w:rsidRPr="00B710A9" w:rsidRDefault="00E2174E" w:rsidP="00A224C8">
            <w:pPr>
              <w:jc w:val="right"/>
              <w:rPr>
                <w:rFonts w:cs="Arial"/>
                <w:color w:val="000000"/>
                <w:sz w:val="17"/>
                <w:szCs w:val="17"/>
              </w:rPr>
            </w:pPr>
            <w:r w:rsidRPr="00B710A9">
              <w:rPr>
                <w:rFonts w:cs="Arial"/>
                <w:color w:val="000000"/>
                <w:sz w:val="17"/>
                <w:szCs w:val="17"/>
              </w:rPr>
              <w:t>$ 3.839</w:t>
            </w:r>
          </w:p>
        </w:tc>
        <w:tc>
          <w:tcPr>
            <w:tcW w:w="0" w:type="auto"/>
            <w:tcBorders>
              <w:top w:val="nil"/>
              <w:left w:val="nil"/>
              <w:bottom w:val="single" w:sz="4" w:space="0" w:color="auto"/>
              <w:right w:val="single" w:sz="4" w:space="0" w:color="auto"/>
            </w:tcBorders>
            <w:shd w:val="clear" w:color="auto" w:fill="auto"/>
            <w:noWrap/>
            <w:vAlign w:val="bottom"/>
            <w:hideMark/>
          </w:tcPr>
          <w:p w14:paraId="33337BFB" w14:textId="77777777" w:rsidR="00E2174E" w:rsidRPr="00B710A9" w:rsidRDefault="00E2174E" w:rsidP="00A224C8">
            <w:pPr>
              <w:jc w:val="right"/>
              <w:rPr>
                <w:rFonts w:cs="Arial"/>
                <w:color w:val="000000"/>
                <w:sz w:val="17"/>
                <w:szCs w:val="17"/>
              </w:rPr>
            </w:pPr>
            <w:r w:rsidRPr="00B710A9">
              <w:rPr>
                <w:rFonts w:cs="Arial"/>
                <w:color w:val="000000"/>
                <w:sz w:val="17"/>
                <w:szCs w:val="17"/>
              </w:rPr>
              <w:t>$ 3.812</w:t>
            </w:r>
          </w:p>
        </w:tc>
        <w:tc>
          <w:tcPr>
            <w:tcW w:w="0" w:type="auto"/>
            <w:tcBorders>
              <w:top w:val="nil"/>
              <w:left w:val="nil"/>
              <w:bottom w:val="single" w:sz="4" w:space="0" w:color="auto"/>
              <w:right w:val="single" w:sz="4" w:space="0" w:color="auto"/>
            </w:tcBorders>
            <w:shd w:val="clear" w:color="auto" w:fill="auto"/>
            <w:noWrap/>
            <w:vAlign w:val="bottom"/>
            <w:hideMark/>
          </w:tcPr>
          <w:p w14:paraId="59282C04" w14:textId="77777777" w:rsidR="00E2174E" w:rsidRPr="00B710A9" w:rsidRDefault="00E2174E" w:rsidP="00A224C8">
            <w:pPr>
              <w:jc w:val="center"/>
              <w:rPr>
                <w:rFonts w:cs="Arial"/>
                <w:color w:val="000000"/>
                <w:sz w:val="17"/>
                <w:szCs w:val="17"/>
              </w:rPr>
            </w:pPr>
            <w:r w:rsidRPr="00B710A9">
              <w:rPr>
                <w:rFonts w:cs="Arial"/>
                <w:color w:val="000000"/>
                <w:sz w:val="17"/>
                <w:szCs w:val="17"/>
              </w:rPr>
              <w:t>99,29%</w:t>
            </w:r>
          </w:p>
        </w:tc>
        <w:tc>
          <w:tcPr>
            <w:tcW w:w="0" w:type="auto"/>
            <w:tcBorders>
              <w:top w:val="nil"/>
              <w:left w:val="nil"/>
              <w:bottom w:val="single" w:sz="4" w:space="0" w:color="auto"/>
              <w:right w:val="single" w:sz="4" w:space="0" w:color="auto"/>
            </w:tcBorders>
            <w:shd w:val="clear" w:color="auto" w:fill="auto"/>
            <w:noWrap/>
            <w:vAlign w:val="bottom"/>
            <w:hideMark/>
          </w:tcPr>
          <w:p w14:paraId="752D7B81" w14:textId="77777777" w:rsidR="00E2174E" w:rsidRPr="00B710A9" w:rsidRDefault="00E2174E" w:rsidP="00A224C8">
            <w:pPr>
              <w:jc w:val="right"/>
              <w:rPr>
                <w:rFonts w:cs="Arial"/>
                <w:color w:val="000000"/>
                <w:sz w:val="17"/>
                <w:szCs w:val="17"/>
              </w:rPr>
            </w:pPr>
            <w:r w:rsidRPr="00B710A9">
              <w:rPr>
                <w:rFonts w:cs="Arial"/>
                <w:color w:val="000000"/>
                <w:sz w:val="17"/>
                <w:szCs w:val="17"/>
              </w:rPr>
              <w:t>$ 3.787</w:t>
            </w:r>
          </w:p>
        </w:tc>
        <w:tc>
          <w:tcPr>
            <w:tcW w:w="0" w:type="auto"/>
            <w:tcBorders>
              <w:top w:val="nil"/>
              <w:left w:val="nil"/>
              <w:bottom w:val="single" w:sz="4" w:space="0" w:color="auto"/>
              <w:right w:val="single" w:sz="4" w:space="0" w:color="auto"/>
            </w:tcBorders>
            <w:shd w:val="clear" w:color="auto" w:fill="auto"/>
            <w:noWrap/>
            <w:vAlign w:val="bottom"/>
            <w:hideMark/>
          </w:tcPr>
          <w:p w14:paraId="6CE7ECD6" w14:textId="77777777" w:rsidR="00E2174E" w:rsidRPr="00B710A9" w:rsidRDefault="00E2174E" w:rsidP="00A224C8">
            <w:pPr>
              <w:jc w:val="center"/>
              <w:rPr>
                <w:rFonts w:cs="Arial"/>
                <w:color w:val="000000"/>
                <w:sz w:val="17"/>
                <w:szCs w:val="17"/>
              </w:rPr>
            </w:pPr>
            <w:r w:rsidRPr="00B710A9">
              <w:rPr>
                <w:rFonts w:cs="Arial"/>
                <w:color w:val="000000"/>
                <w:sz w:val="17"/>
                <w:szCs w:val="17"/>
              </w:rPr>
              <w:t>98,65%</w:t>
            </w:r>
          </w:p>
        </w:tc>
        <w:tc>
          <w:tcPr>
            <w:tcW w:w="0" w:type="auto"/>
            <w:tcBorders>
              <w:top w:val="nil"/>
              <w:left w:val="nil"/>
              <w:bottom w:val="single" w:sz="4" w:space="0" w:color="auto"/>
              <w:right w:val="single" w:sz="4" w:space="0" w:color="auto"/>
            </w:tcBorders>
            <w:shd w:val="clear" w:color="auto" w:fill="auto"/>
            <w:noWrap/>
            <w:vAlign w:val="bottom"/>
            <w:hideMark/>
          </w:tcPr>
          <w:p w14:paraId="1875BA04" w14:textId="77777777" w:rsidR="00E2174E" w:rsidRPr="00B710A9" w:rsidRDefault="00E2174E" w:rsidP="00A224C8">
            <w:pPr>
              <w:jc w:val="right"/>
              <w:rPr>
                <w:rFonts w:cs="Arial"/>
                <w:color w:val="000000"/>
                <w:sz w:val="17"/>
                <w:szCs w:val="17"/>
              </w:rPr>
            </w:pPr>
            <w:r w:rsidRPr="00B710A9">
              <w:rPr>
                <w:rFonts w:cs="Arial"/>
                <w:color w:val="000000"/>
                <w:sz w:val="17"/>
                <w:szCs w:val="17"/>
              </w:rPr>
              <w:t>$ 3.698</w:t>
            </w:r>
          </w:p>
        </w:tc>
        <w:tc>
          <w:tcPr>
            <w:tcW w:w="0" w:type="auto"/>
            <w:tcBorders>
              <w:top w:val="nil"/>
              <w:left w:val="nil"/>
              <w:bottom w:val="single" w:sz="4" w:space="0" w:color="auto"/>
              <w:right w:val="single" w:sz="4" w:space="0" w:color="auto"/>
            </w:tcBorders>
            <w:shd w:val="clear" w:color="auto" w:fill="auto"/>
            <w:noWrap/>
            <w:vAlign w:val="bottom"/>
            <w:hideMark/>
          </w:tcPr>
          <w:p w14:paraId="776DF10F" w14:textId="77777777" w:rsidR="00E2174E" w:rsidRPr="00B710A9" w:rsidRDefault="00E2174E" w:rsidP="00A224C8">
            <w:pPr>
              <w:jc w:val="center"/>
              <w:rPr>
                <w:rFonts w:cs="Arial"/>
                <w:color w:val="000000"/>
                <w:sz w:val="17"/>
                <w:szCs w:val="17"/>
              </w:rPr>
            </w:pPr>
            <w:r w:rsidRPr="00B710A9">
              <w:rPr>
                <w:rFonts w:cs="Arial"/>
                <w:color w:val="000000"/>
                <w:sz w:val="17"/>
                <w:szCs w:val="17"/>
              </w:rPr>
              <w:t>96,31%</w:t>
            </w:r>
          </w:p>
        </w:tc>
        <w:tc>
          <w:tcPr>
            <w:tcW w:w="0" w:type="auto"/>
            <w:tcBorders>
              <w:top w:val="nil"/>
              <w:left w:val="nil"/>
              <w:bottom w:val="single" w:sz="4" w:space="0" w:color="auto"/>
              <w:right w:val="single" w:sz="4" w:space="0" w:color="auto"/>
            </w:tcBorders>
            <w:shd w:val="clear" w:color="auto" w:fill="auto"/>
            <w:noWrap/>
            <w:vAlign w:val="bottom"/>
            <w:hideMark/>
          </w:tcPr>
          <w:p w14:paraId="4FC5C2D6" w14:textId="77777777" w:rsidR="00E2174E" w:rsidRPr="00B710A9" w:rsidRDefault="00E2174E" w:rsidP="00A224C8">
            <w:pPr>
              <w:jc w:val="right"/>
              <w:rPr>
                <w:rFonts w:cs="Arial"/>
                <w:color w:val="000000"/>
                <w:sz w:val="17"/>
                <w:szCs w:val="17"/>
              </w:rPr>
            </w:pPr>
            <w:r w:rsidRPr="00B710A9">
              <w:rPr>
                <w:rFonts w:cs="Arial"/>
                <w:color w:val="000000"/>
                <w:sz w:val="17"/>
                <w:szCs w:val="17"/>
              </w:rPr>
              <w:t>$ 3.698</w:t>
            </w:r>
          </w:p>
        </w:tc>
        <w:tc>
          <w:tcPr>
            <w:tcW w:w="0" w:type="auto"/>
            <w:tcBorders>
              <w:top w:val="nil"/>
              <w:left w:val="nil"/>
              <w:bottom w:val="single" w:sz="4" w:space="0" w:color="auto"/>
              <w:right w:val="single" w:sz="4" w:space="0" w:color="auto"/>
            </w:tcBorders>
            <w:shd w:val="clear" w:color="auto" w:fill="auto"/>
            <w:noWrap/>
            <w:vAlign w:val="bottom"/>
            <w:hideMark/>
          </w:tcPr>
          <w:p w14:paraId="70D06547" w14:textId="77777777" w:rsidR="00E2174E" w:rsidRPr="00B710A9" w:rsidRDefault="00E2174E" w:rsidP="00A224C8">
            <w:pPr>
              <w:jc w:val="center"/>
              <w:rPr>
                <w:rFonts w:cs="Arial"/>
                <w:color w:val="000000"/>
                <w:sz w:val="17"/>
                <w:szCs w:val="17"/>
              </w:rPr>
            </w:pPr>
            <w:r w:rsidRPr="00B710A9">
              <w:rPr>
                <w:rFonts w:cs="Arial"/>
                <w:color w:val="000000"/>
                <w:sz w:val="17"/>
                <w:szCs w:val="17"/>
              </w:rPr>
              <w:t>96,31%</w:t>
            </w:r>
          </w:p>
        </w:tc>
        <w:tc>
          <w:tcPr>
            <w:tcW w:w="0" w:type="auto"/>
            <w:tcBorders>
              <w:top w:val="nil"/>
              <w:left w:val="nil"/>
              <w:bottom w:val="single" w:sz="4" w:space="0" w:color="auto"/>
              <w:right w:val="single" w:sz="4" w:space="0" w:color="auto"/>
            </w:tcBorders>
            <w:shd w:val="clear" w:color="auto" w:fill="auto"/>
            <w:noWrap/>
            <w:vAlign w:val="bottom"/>
            <w:hideMark/>
          </w:tcPr>
          <w:p w14:paraId="05CA5752" w14:textId="77777777" w:rsidR="00E2174E" w:rsidRPr="00B710A9" w:rsidRDefault="00E2174E" w:rsidP="00A224C8">
            <w:pPr>
              <w:jc w:val="right"/>
              <w:rPr>
                <w:rFonts w:cs="Arial"/>
                <w:color w:val="000000"/>
                <w:sz w:val="17"/>
                <w:szCs w:val="17"/>
              </w:rPr>
            </w:pPr>
            <w:r w:rsidRPr="00B710A9">
              <w:rPr>
                <w:rFonts w:cs="Arial"/>
                <w:color w:val="000000"/>
                <w:sz w:val="17"/>
                <w:szCs w:val="17"/>
              </w:rPr>
              <w:t>$ 27</w:t>
            </w:r>
          </w:p>
        </w:tc>
        <w:tc>
          <w:tcPr>
            <w:tcW w:w="0" w:type="auto"/>
            <w:tcBorders>
              <w:top w:val="nil"/>
              <w:left w:val="nil"/>
              <w:bottom w:val="single" w:sz="4" w:space="0" w:color="auto"/>
              <w:right w:val="single" w:sz="4" w:space="0" w:color="auto"/>
            </w:tcBorders>
            <w:shd w:val="clear" w:color="auto" w:fill="auto"/>
            <w:noWrap/>
            <w:vAlign w:val="bottom"/>
            <w:hideMark/>
          </w:tcPr>
          <w:p w14:paraId="3E84A873" w14:textId="77777777" w:rsidR="00E2174E" w:rsidRPr="00B710A9" w:rsidRDefault="00E2174E" w:rsidP="00A224C8">
            <w:pPr>
              <w:jc w:val="center"/>
              <w:rPr>
                <w:rFonts w:cs="Arial"/>
                <w:color w:val="000000"/>
                <w:sz w:val="17"/>
                <w:szCs w:val="17"/>
              </w:rPr>
            </w:pPr>
            <w:r w:rsidRPr="00B710A9">
              <w:rPr>
                <w:rFonts w:cs="Arial"/>
                <w:color w:val="000000"/>
                <w:sz w:val="17"/>
                <w:szCs w:val="17"/>
              </w:rPr>
              <w:t>0,71%</w:t>
            </w:r>
          </w:p>
        </w:tc>
      </w:tr>
      <w:tr w:rsidR="00E2174E" w:rsidRPr="00B710A9" w14:paraId="5D5A2EFB" w14:textId="77777777" w:rsidTr="00E35A84">
        <w:trPr>
          <w:cantSplit/>
          <w:trHeight w:val="19"/>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4A7FA6A6"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auto" w:fill="auto"/>
            <w:noWrap/>
            <w:vAlign w:val="center"/>
            <w:hideMark/>
          </w:tcPr>
          <w:p w14:paraId="1E2900BB" w14:textId="77777777" w:rsidR="00E2174E" w:rsidRPr="00B710A9" w:rsidRDefault="00E2174E" w:rsidP="00A224C8">
            <w:pPr>
              <w:rPr>
                <w:rFonts w:cs="Arial"/>
                <w:color w:val="000000"/>
                <w:sz w:val="17"/>
                <w:szCs w:val="17"/>
              </w:rPr>
            </w:pPr>
            <w:r w:rsidRPr="00B710A9">
              <w:rPr>
                <w:rFonts w:cs="Arial"/>
                <w:color w:val="000000"/>
                <w:sz w:val="17"/>
                <w:szCs w:val="17"/>
              </w:rPr>
              <w:t>Propios</w:t>
            </w:r>
          </w:p>
        </w:tc>
        <w:tc>
          <w:tcPr>
            <w:tcW w:w="0" w:type="auto"/>
            <w:tcBorders>
              <w:top w:val="nil"/>
              <w:left w:val="nil"/>
              <w:bottom w:val="single" w:sz="4" w:space="0" w:color="auto"/>
              <w:right w:val="single" w:sz="4" w:space="0" w:color="auto"/>
            </w:tcBorders>
            <w:shd w:val="clear" w:color="auto" w:fill="auto"/>
            <w:noWrap/>
            <w:vAlign w:val="bottom"/>
            <w:hideMark/>
          </w:tcPr>
          <w:p w14:paraId="260DC8EC" w14:textId="77777777" w:rsidR="00E2174E" w:rsidRPr="00B710A9" w:rsidRDefault="00E2174E" w:rsidP="00A224C8">
            <w:pPr>
              <w:jc w:val="right"/>
              <w:rPr>
                <w:rFonts w:cs="Arial"/>
                <w:color w:val="000000"/>
                <w:sz w:val="17"/>
                <w:szCs w:val="17"/>
              </w:rPr>
            </w:pPr>
            <w:r w:rsidRPr="00B710A9">
              <w:rPr>
                <w:rFonts w:cs="Arial"/>
                <w:color w:val="000000"/>
                <w:sz w:val="17"/>
                <w:szCs w:val="17"/>
              </w:rPr>
              <w:t>$ 5.991</w:t>
            </w:r>
          </w:p>
        </w:tc>
        <w:tc>
          <w:tcPr>
            <w:tcW w:w="0" w:type="auto"/>
            <w:tcBorders>
              <w:top w:val="nil"/>
              <w:left w:val="nil"/>
              <w:bottom w:val="single" w:sz="4" w:space="0" w:color="auto"/>
              <w:right w:val="single" w:sz="4" w:space="0" w:color="auto"/>
            </w:tcBorders>
            <w:shd w:val="clear" w:color="auto" w:fill="auto"/>
            <w:noWrap/>
            <w:vAlign w:val="bottom"/>
            <w:hideMark/>
          </w:tcPr>
          <w:p w14:paraId="79E1C80B" w14:textId="77777777" w:rsidR="00E2174E" w:rsidRPr="00B710A9" w:rsidRDefault="00E2174E" w:rsidP="00A224C8">
            <w:pPr>
              <w:jc w:val="right"/>
              <w:rPr>
                <w:rFonts w:cs="Arial"/>
                <w:color w:val="000000"/>
                <w:sz w:val="17"/>
                <w:szCs w:val="17"/>
              </w:rPr>
            </w:pPr>
            <w:r w:rsidRPr="00B710A9">
              <w:rPr>
                <w:rFonts w:cs="Arial"/>
                <w:color w:val="000000"/>
                <w:sz w:val="17"/>
                <w:szCs w:val="17"/>
              </w:rPr>
              <w:t>$ 5.101</w:t>
            </w:r>
          </w:p>
        </w:tc>
        <w:tc>
          <w:tcPr>
            <w:tcW w:w="0" w:type="auto"/>
            <w:tcBorders>
              <w:top w:val="nil"/>
              <w:left w:val="nil"/>
              <w:bottom w:val="single" w:sz="4" w:space="0" w:color="auto"/>
              <w:right w:val="single" w:sz="4" w:space="0" w:color="auto"/>
            </w:tcBorders>
            <w:shd w:val="clear" w:color="auto" w:fill="auto"/>
            <w:noWrap/>
            <w:vAlign w:val="bottom"/>
            <w:hideMark/>
          </w:tcPr>
          <w:p w14:paraId="65C444AE" w14:textId="77777777" w:rsidR="00E2174E" w:rsidRPr="00B710A9" w:rsidRDefault="00E2174E" w:rsidP="00A224C8">
            <w:pPr>
              <w:jc w:val="center"/>
              <w:rPr>
                <w:rFonts w:cs="Arial"/>
                <w:color w:val="000000"/>
                <w:sz w:val="17"/>
                <w:szCs w:val="17"/>
              </w:rPr>
            </w:pPr>
            <w:r w:rsidRPr="00B710A9">
              <w:rPr>
                <w:rFonts w:cs="Arial"/>
                <w:color w:val="000000"/>
                <w:sz w:val="17"/>
                <w:szCs w:val="17"/>
              </w:rPr>
              <w:t>85,14%</w:t>
            </w:r>
          </w:p>
        </w:tc>
        <w:tc>
          <w:tcPr>
            <w:tcW w:w="0" w:type="auto"/>
            <w:tcBorders>
              <w:top w:val="nil"/>
              <w:left w:val="nil"/>
              <w:bottom w:val="single" w:sz="4" w:space="0" w:color="auto"/>
              <w:right w:val="single" w:sz="4" w:space="0" w:color="auto"/>
            </w:tcBorders>
            <w:shd w:val="clear" w:color="auto" w:fill="auto"/>
            <w:noWrap/>
            <w:vAlign w:val="bottom"/>
            <w:hideMark/>
          </w:tcPr>
          <w:p w14:paraId="358BBCA0" w14:textId="77777777" w:rsidR="00E2174E" w:rsidRPr="00B710A9" w:rsidRDefault="00E2174E" w:rsidP="00A224C8">
            <w:pPr>
              <w:jc w:val="right"/>
              <w:rPr>
                <w:rFonts w:cs="Arial"/>
                <w:color w:val="000000"/>
                <w:sz w:val="17"/>
                <w:szCs w:val="17"/>
              </w:rPr>
            </w:pPr>
            <w:r w:rsidRPr="00B710A9">
              <w:rPr>
                <w:rFonts w:cs="Arial"/>
                <w:color w:val="000000"/>
                <w:sz w:val="17"/>
                <w:szCs w:val="17"/>
              </w:rPr>
              <w:t>$ 5.081</w:t>
            </w:r>
          </w:p>
        </w:tc>
        <w:tc>
          <w:tcPr>
            <w:tcW w:w="0" w:type="auto"/>
            <w:tcBorders>
              <w:top w:val="nil"/>
              <w:left w:val="nil"/>
              <w:bottom w:val="single" w:sz="4" w:space="0" w:color="auto"/>
              <w:right w:val="single" w:sz="4" w:space="0" w:color="auto"/>
            </w:tcBorders>
            <w:shd w:val="clear" w:color="auto" w:fill="auto"/>
            <w:noWrap/>
            <w:vAlign w:val="bottom"/>
            <w:hideMark/>
          </w:tcPr>
          <w:p w14:paraId="4CD011CD" w14:textId="77777777" w:rsidR="00E2174E" w:rsidRPr="00B710A9" w:rsidRDefault="00E2174E" w:rsidP="00A224C8">
            <w:pPr>
              <w:jc w:val="center"/>
              <w:rPr>
                <w:rFonts w:cs="Arial"/>
                <w:color w:val="000000"/>
                <w:sz w:val="17"/>
                <w:szCs w:val="17"/>
              </w:rPr>
            </w:pPr>
            <w:r w:rsidRPr="00B710A9">
              <w:rPr>
                <w:rFonts w:cs="Arial"/>
                <w:color w:val="000000"/>
                <w:sz w:val="17"/>
                <w:szCs w:val="17"/>
              </w:rPr>
              <w:t>84,81%</w:t>
            </w:r>
          </w:p>
        </w:tc>
        <w:tc>
          <w:tcPr>
            <w:tcW w:w="0" w:type="auto"/>
            <w:tcBorders>
              <w:top w:val="nil"/>
              <w:left w:val="nil"/>
              <w:bottom w:val="single" w:sz="4" w:space="0" w:color="auto"/>
              <w:right w:val="single" w:sz="4" w:space="0" w:color="auto"/>
            </w:tcBorders>
            <w:shd w:val="clear" w:color="auto" w:fill="auto"/>
            <w:noWrap/>
            <w:vAlign w:val="bottom"/>
            <w:hideMark/>
          </w:tcPr>
          <w:p w14:paraId="6547D0D8" w14:textId="77777777" w:rsidR="00E2174E" w:rsidRPr="00B710A9" w:rsidRDefault="00E2174E" w:rsidP="00A224C8">
            <w:pPr>
              <w:jc w:val="right"/>
              <w:rPr>
                <w:rFonts w:cs="Arial"/>
                <w:color w:val="000000"/>
                <w:sz w:val="17"/>
                <w:szCs w:val="17"/>
              </w:rPr>
            </w:pPr>
            <w:r w:rsidRPr="00B710A9">
              <w:rPr>
                <w:rFonts w:cs="Arial"/>
                <w:color w:val="000000"/>
                <w:sz w:val="17"/>
                <w:szCs w:val="17"/>
              </w:rPr>
              <w:t>$ 4.226</w:t>
            </w:r>
          </w:p>
        </w:tc>
        <w:tc>
          <w:tcPr>
            <w:tcW w:w="0" w:type="auto"/>
            <w:tcBorders>
              <w:top w:val="nil"/>
              <w:left w:val="nil"/>
              <w:bottom w:val="single" w:sz="4" w:space="0" w:color="auto"/>
              <w:right w:val="single" w:sz="4" w:space="0" w:color="auto"/>
            </w:tcBorders>
            <w:shd w:val="clear" w:color="auto" w:fill="auto"/>
            <w:noWrap/>
            <w:vAlign w:val="bottom"/>
            <w:hideMark/>
          </w:tcPr>
          <w:p w14:paraId="0F23D37A" w14:textId="77777777" w:rsidR="00E2174E" w:rsidRPr="00B710A9" w:rsidRDefault="00E2174E" w:rsidP="00A224C8">
            <w:pPr>
              <w:jc w:val="center"/>
              <w:rPr>
                <w:rFonts w:cs="Arial"/>
                <w:color w:val="000000"/>
                <w:sz w:val="17"/>
                <w:szCs w:val="17"/>
              </w:rPr>
            </w:pPr>
            <w:r w:rsidRPr="00B710A9">
              <w:rPr>
                <w:rFonts w:cs="Arial"/>
                <w:color w:val="000000"/>
                <w:sz w:val="17"/>
                <w:szCs w:val="17"/>
              </w:rPr>
              <w:t>70,54%</w:t>
            </w:r>
          </w:p>
        </w:tc>
        <w:tc>
          <w:tcPr>
            <w:tcW w:w="0" w:type="auto"/>
            <w:tcBorders>
              <w:top w:val="nil"/>
              <w:left w:val="nil"/>
              <w:bottom w:val="single" w:sz="4" w:space="0" w:color="auto"/>
              <w:right w:val="single" w:sz="4" w:space="0" w:color="auto"/>
            </w:tcBorders>
            <w:shd w:val="clear" w:color="auto" w:fill="auto"/>
            <w:noWrap/>
            <w:vAlign w:val="bottom"/>
            <w:hideMark/>
          </w:tcPr>
          <w:p w14:paraId="6C749D19" w14:textId="77777777" w:rsidR="00E2174E" w:rsidRPr="00B710A9" w:rsidRDefault="00E2174E" w:rsidP="00A224C8">
            <w:pPr>
              <w:jc w:val="right"/>
              <w:rPr>
                <w:rFonts w:cs="Arial"/>
                <w:color w:val="000000"/>
                <w:sz w:val="17"/>
                <w:szCs w:val="17"/>
              </w:rPr>
            </w:pPr>
            <w:r w:rsidRPr="00B710A9">
              <w:rPr>
                <w:rFonts w:cs="Arial"/>
                <w:color w:val="000000"/>
                <w:sz w:val="17"/>
                <w:szCs w:val="17"/>
              </w:rPr>
              <w:t>$ 3.147</w:t>
            </w:r>
          </w:p>
        </w:tc>
        <w:tc>
          <w:tcPr>
            <w:tcW w:w="0" w:type="auto"/>
            <w:tcBorders>
              <w:top w:val="nil"/>
              <w:left w:val="nil"/>
              <w:bottom w:val="single" w:sz="4" w:space="0" w:color="auto"/>
              <w:right w:val="single" w:sz="4" w:space="0" w:color="auto"/>
            </w:tcBorders>
            <w:shd w:val="clear" w:color="auto" w:fill="auto"/>
            <w:noWrap/>
            <w:vAlign w:val="bottom"/>
            <w:hideMark/>
          </w:tcPr>
          <w:p w14:paraId="50BBC79C" w14:textId="77777777" w:rsidR="00E2174E" w:rsidRPr="00B710A9" w:rsidRDefault="00E2174E" w:rsidP="00A224C8">
            <w:pPr>
              <w:jc w:val="center"/>
              <w:rPr>
                <w:rFonts w:cs="Arial"/>
                <w:color w:val="000000"/>
                <w:sz w:val="17"/>
                <w:szCs w:val="17"/>
              </w:rPr>
            </w:pPr>
            <w:r w:rsidRPr="00B710A9">
              <w:rPr>
                <w:rFonts w:cs="Arial"/>
                <w:color w:val="000000"/>
                <w:sz w:val="17"/>
                <w:szCs w:val="17"/>
              </w:rPr>
              <w:t>52,53%</w:t>
            </w:r>
          </w:p>
        </w:tc>
        <w:tc>
          <w:tcPr>
            <w:tcW w:w="0" w:type="auto"/>
            <w:tcBorders>
              <w:top w:val="nil"/>
              <w:left w:val="nil"/>
              <w:bottom w:val="single" w:sz="4" w:space="0" w:color="auto"/>
              <w:right w:val="single" w:sz="4" w:space="0" w:color="auto"/>
            </w:tcBorders>
            <w:shd w:val="clear" w:color="auto" w:fill="auto"/>
            <w:noWrap/>
            <w:vAlign w:val="bottom"/>
            <w:hideMark/>
          </w:tcPr>
          <w:p w14:paraId="4EE58B81" w14:textId="77777777" w:rsidR="00E2174E" w:rsidRPr="00B710A9" w:rsidRDefault="00E2174E" w:rsidP="00A224C8">
            <w:pPr>
              <w:jc w:val="right"/>
              <w:rPr>
                <w:rFonts w:cs="Arial"/>
                <w:color w:val="000000"/>
                <w:sz w:val="17"/>
                <w:szCs w:val="17"/>
              </w:rPr>
            </w:pPr>
            <w:r w:rsidRPr="00B710A9">
              <w:rPr>
                <w:rFonts w:cs="Arial"/>
                <w:color w:val="000000"/>
                <w:sz w:val="17"/>
                <w:szCs w:val="17"/>
              </w:rPr>
              <w:t>$ 890</w:t>
            </w:r>
          </w:p>
        </w:tc>
        <w:tc>
          <w:tcPr>
            <w:tcW w:w="0" w:type="auto"/>
            <w:tcBorders>
              <w:top w:val="nil"/>
              <w:left w:val="nil"/>
              <w:bottom w:val="single" w:sz="4" w:space="0" w:color="auto"/>
              <w:right w:val="single" w:sz="4" w:space="0" w:color="auto"/>
            </w:tcBorders>
            <w:shd w:val="clear" w:color="auto" w:fill="auto"/>
            <w:noWrap/>
            <w:vAlign w:val="bottom"/>
            <w:hideMark/>
          </w:tcPr>
          <w:p w14:paraId="5725B9EA" w14:textId="77777777" w:rsidR="00E2174E" w:rsidRPr="00B710A9" w:rsidRDefault="00E2174E" w:rsidP="00A224C8">
            <w:pPr>
              <w:jc w:val="center"/>
              <w:rPr>
                <w:rFonts w:cs="Arial"/>
                <w:color w:val="000000"/>
                <w:sz w:val="17"/>
                <w:szCs w:val="17"/>
              </w:rPr>
            </w:pPr>
            <w:r w:rsidRPr="00B710A9">
              <w:rPr>
                <w:rFonts w:cs="Arial"/>
                <w:color w:val="000000"/>
                <w:sz w:val="17"/>
                <w:szCs w:val="17"/>
              </w:rPr>
              <w:t>14,86%</w:t>
            </w:r>
          </w:p>
        </w:tc>
      </w:tr>
      <w:tr w:rsidR="00E2174E" w:rsidRPr="00B710A9" w14:paraId="1657CFBC" w14:textId="77777777" w:rsidTr="00E35A84">
        <w:trPr>
          <w:cantSplit/>
          <w:trHeight w:val="19"/>
          <w:jc w:val="center"/>
        </w:trPr>
        <w:tc>
          <w:tcPr>
            <w:tcW w:w="3732" w:type="dxa"/>
            <w:gridSpan w:val="2"/>
            <w:vMerge/>
            <w:tcBorders>
              <w:top w:val="single" w:sz="4" w:space="0" w:color="auto"/>
              <w:left w:val="single" w:sz="4" w:space="0" w:color="auto"/>
              <w:bottom w:val="single" w:sz="4" w:space="0" w:color="000000"/>
              <w:right w:val="single" w:sz="4" w:space="0" w:color="000000"/>
            </w:tcBorders>
            <w:vAlign w:val="center"/>
            <w:hideMark/>
          </w:tcPr>
          <w:p w14:paraId="67C93F61" w14:textId="77777777" w:rsidR="00E2174E" w:rsidRPr="00B710A9" w:rsidRDefault="00E2174E" w:rsidP="00A224C8">
            <w:pPr>
              <w:rPr>
                <w:rFonts w:cs="Arial"/>
                <w:color w:val="000000"/>
                <w:sz w:val="17"/>
                <w:szCs w:val="17"/>
              </w:rPr>
            </w:pPr>
          </w:p>
        </w:tc>
        <w:tc>
          <w:tcPr>
            <w:tcW w:w="0" w:type="auto"/>
            <w:tcBorders>
              <w:top w:val="nil"/>
              <w:left w:val="nil"/>
              <w:bottom w:val="single" w:sz="4" w:space="0" w:color="auto"/>
              <w:right w:val="single" w:sz="4" w:space="0" w:color="auto"/>
            </w:tcBorders>
            <w:shd w:val="clear" w:color="000000" w:fill="ACB9CA"/>
            <w:noWrap/>
            <w:vAlign w:val="bottom"/>
            <w:hideMark/>
          </w:tcPr>
          <w:p w14:paraId="2E91512B" w14:textId="77777777" w:rsidR="00E2174E" w:rsidRPr="00B710A9" w:rsidRDefault="00E2174E" w:rsidP="00A224C8">
            <w:pPr>
              <w:rPr>
                <w:rFonts w:cs="Arial"/>
                <w:b/>
                <w:bCs/>
                <w:color w:val="000000"/>
                <w:sz w:val="17"/>
                <w:szCs w:val="17"/>
              </w:rPr>
            </w:pPr>
            <w:r w:rsidRPr="00B710A9">
              <w:rPr>
                <w:rFonts w:cs="Arial"/>
                <w:b/>
                <w:bCs/>
                <w:color w:val="000000"/>
                <w:sz w:val="17"/>
                <w:szCs w:val="17"/>
              </w:rPr>
              <w:t>Total</w:t>
            </w:r>
          </w:p>
        </w:tc>
        <w:tc>
          <w:tcPr>
            <w:tcW w:w="0" w:type="auto"/>
            <w:tcBorders>
              <w:top w:val="nil"/>
              <w:left w:val="nil"/>
              <w:bottom w:val="single" w:sz="4" w:space="0" w:color="auto"/>
              <w:right w:val="single" w:sz="4" w:space="0" w:color="auto"/>
            </w:tcBorders>
            <w:shd w:val="clear" w:color="000000" w:fill="ACB9CA"/>
            <w:noWrap/>
            <w:vAlign w:val="bottom"/>
            <w:hideMark/>
          </w:tcPr>
          <w:p w14:paraId="17E3ABCD"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$ 9.830</w:t>
            </w:r>
          </w:p>
        </w:tc>
        <w:tc>
          <w:tcPr>
            <w:tcW w:w="0" w:type="auto"/>
            <w:tcBorders>
              <w:top w:val="nil"/>
              <w:left w:val="nil"/>
              <w:bottom w:val="single" w:sz="4" w:space="0" w:color="auto"/>
              <w:right w:val="single" w:sz="4" w:space="0" w:color="auto"/>
            </w:tcBorders>
            <w:shd w:val="clear" w:color="000000" w:fill="ACB9CA"/>
            <w:noWrap/>
            <w:vAlign w:val="bottom"/>
            <w:hideMark/>
          </w:tcPr>
          <w:p w14:paraId="14428E66"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$ 8.913</w:t>
            </w:r>
          </w:p>
        </w:tc>
        <w:tc>
          <w:tcPr>
            <w:tcW w:w="0" w:type="auto"/>
            <w:tcBorders>
              <w:top w:val="nil"/>
              <w:left w:val="nil"/>
              <w:bottom w:val="single" w:sz="4" w:space="0" w:color="auto"/>
              <w:right w:val="single" w:sz="4" w:space="0" w:color="auto"/>
            </w:tcBorders>
            <w:shd w:val="clear" w:color="000000" w:fill="ACB9CA"/>
            <w:noWrap/>
            <w:vAlign w:val="bottom"/>
            <w:hideMark/>
          </w:tcPr>
          <w:p w14:paraId="585D9800"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90,67%</w:t>
            </w:r>
          </w:p>
        </w:tc>
        <w:tc>
          <w:tcPr>
            <w:tcW w:w="0" w:type="auto"/>
            <w:tcBorders>
              <w:top w:val="nil"/>
              <w:left w:val="nil"/>
              <w:bottom w:val="single" w:sz="4" w:space="0" w:color="auto"/>
              <w:right w:val="single" w:sz="4" w:space="0" w:color="auto"/>
            </w:tcBorders>
            <w:shd w:val="clear" w:color="000000" w:fill="ACB9CA"/>
            <w:noWrap/>
            <w:vAlign w:val="bottom"/>
            <w:hideMark/>
          </w:tcPr>
          <w:p w14:paraId="199D13A4"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$ 8.868</w:t>
            </w:r>
          </w:p>
        </w:tc>
        <w:tc>
          <w:tcPr>
            <w:tcW w:w="0" w:type="auto"/>
            <w:tcBorders>
              <w:top w:val="nil"/>
              <w:left w:val="nil"/>
              <w:bottom w:val="single" w:sz="4" w:space="0" w:color="auto"/>
              <w:right w:val="single" w:sz="4" w:space="0" w:color="auto"/>
            </w:tcBorders>
            <w:shd w:val="clear" w:color="000000" w:fill="ACB9CA"/>
            <w:noWrap/>
            <w:vAlign w:val="bottom"/>
            <w:hideMark/>
          </w:tcPr>
          <w:p w14:paraId="3A0733AD"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90,22%</w:t>
            </w:r>
          </w:p>
        </w:tc>
        <w:tc>
          <w:tcPr>
            <w:tcW w:w="0" w:type="auto"/>
            <w:tcBorders>
              <w:top w:val="nil"/>
              <w:left w:val="nil"/>
              <w:bottom w:val="single" w:sz="4" w:space="0" w:color="auto"/>
              <w:right w:val="single" w:sz="4" w:space="0" w:color="auto"/>
            </w:tcBorders>
            <w:shd w:val="clear" w:color="000000" w:fill="ACB9CA"/>
            <w:noWrap/>
            <w:vAlign w:val="bottom"/>
            <w:hideMark/>
          </w:tcPr>
          <w:p w14:paraId="4156370F"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$ 7.923</w:t>
            </w:r>
          </w:p>
        </w:tc>
        <w:tc>
          <w:tcPr>
            <w:tcW w:w="0" w:type="auto"/>
            <w:tcBorders>
              <w:top w:val="nil"/>
              <w:left w:val="nil"/>
              <w:bottom w:val="single" w:sz="4" w:space="0" w:color="auto"/>
              <w:right w:val="single" w:sz="4" w:space="0" w:color="auto"/>
            </w:tcBorders>
            <w:shd w:val="clear" w:color="000000" w:fill="ACB9CA"/>
            <w:noWrap/>
            <w:vAlign w:val="bottom"/>
            <w:hideMark/>
          </w:tcPr>
          <w:p w14:paraId="238B11AB"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80,60%</w:t>
            </w:r>
          </w:p>
        </w:tc>
        <w:tc>
          <w:tcPr>
            <w:tcW w:w="0" w:type="auto"/>
            <w:tcBorders>
              <w:top w:val="nil"/>
              <w:left w:val="nil"/>
              <w:bottom w:val="single" w:sz="4" w:space="0" w:color="auto"/>
              <w:right w:val="single" w:sz="4" w:space="0" w:color="auto"/>
            </w:tcBorders>
            <w:shd w:val="clear" w:color="000000" w:fill="ACB9CA"/>
            <w:noWrap/>
            <w:vAlign w:val="bottom"/>
            <w:hideMark/>
          </w:tcPr>
          <w:p w14:paraId="29319115"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$ 6.845</w:t>
            </w:r>
          </w:p>
        </w:tc>
        <w:tc>
          <w:tcPr>
            <w:tcW w:w="0" w:type="auto"/>
            <w:tcBorders>
              <w:top w:val="nil"/>
              <w:left w:val="nil"/>
              <w:bottom w:val="single" w:sz="4" w:space="0" w:color="auto"/>
              <w:right w:val="single" w:sz="4" w:space="0" w:color="auto"/>
            </w:tcBorders>
            <w:shd w:val="clear" w:color="000000" w:fill="ACB9CA"/>
            <w:noWrap/>
            <w:vAlign w:val="bottom"/>
            <w:hideMark/>
          </w:tcPr>
          <w:p w14:paraId="6D97A2CD"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69,63%</w:t>
            </w:r>
          </w:p>
        </w:tc>
        <w:tc>
          <w:tcPr>
            <w:tcW w:w="0" w:type="auto"/>
            <w:tcBorders>
              <w:top w:val="nil"/>
              <w:left w:val="nil"/>
              <w:bottom w:val="single" w:sz="4" w:space="0" w:color="auto"/>
              <w:right w:val="single" w:sz="4" w:space="0" w:color="auto"/>
            </w:tcBorders>
            <w:shd w:val="clear" w:color="000000" w:fill="ACB9CA"/>
            <w:noWrap/>
            <w:vAlign w:val="bottom"/>
            <w:hideMark/>
          </w:tcPr>
          <w:p w14:paraId="6D4D79F2"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$ 917</w:t>
            </w:r>
          </w:p>
        </w:tc>
        <w:tc>
          <w:tcPr>
            <w:tcW w:w="0" w:type="auto"/>
            <w:tcBorders>
              <w:top w:val="nil"/>
              <w:left w:val="nil"/>
              <w:bottom w:val="single" w:sz="4" w:space="0" w:color="auto"/>
              <w:right w:val="single" w:sz="4" w:space="0" w:color="auto"/>
            </w:tcBorders>
            <w:shd w:val="clear" w:color="000000" w:fill="ACB9CA"/>
            <w:noWrap/>
            <w:vAlign w:val="bottom"/>
            <w:hideMark/>
          </w:tcPr>
          <w:p w14:paraId="504C3345"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9,33%</w:t>
            </w:r>
          </w:p>
        </w:tc>
      </w:tr>
      <w:tr w:rsidR="00E2174E" w:rsidRPr="00B710A9" w14:paraId="1465E1BA" w14:textId="77777777" w:rsidTr="00E35A84">
        <w:trPr>
          <w:trHeight w:val="237"/>
          <w:jc w:val="center"/>
        </w:trPr>
        <w:tc>
          <w:tcPr>
            <w:tcW w:w="2505" w:type="dxa"/>
            <w:tcBorders>
              <w:top w:val="nil"/>
              <w:left w:val="nil"/>
              <w:bottom w:val="nil"/>
              <w:right w:val="nil"/>
            </w:tcBorders>
            <w:shd w:val="clear" w:color="auto" w:fill="auto"/>
            <w:vAlign w:val="center"/>
            <w:hideMark/>
          </w:tcPr>
          <w:p w14:paraId="41C927D4" w14:textId="77777777" w:rsidR="00E2174E" w:rsidRPr="00B710A9" w:rsidRDefault="00E2174E" w:rsidP="00A224C8">
            <w:pPr>
              <w:jc w:val="center"/>
              <w:rPr>
                <w:rFonts w:cs="Arial"/>
                <w:b/>
                <w:bCs/>
                <w:color w:val="000000"/>
                <w:sz w:val="17"/>
                <w:szCs w:val="17"/>
              </w:rPr>
            </w:pPr>
          </w:p>
        </w:tc>
        <w:tc>
          <w:tcPr>
            <w:tcW w:w="0" w:type="auto"/>
            <w:vMerge w:val="restart"/>
            <w:tcBorders>
              <w:top w:val="nil"/>
              <w:left w:val="single" w:sz="4" w:space="0" w:color="auto"/>
              <w:bottom w:val="nil"/>
              <w:right w:val="single" w:sz="4" w:space="0" w:color="auto"/>
            </w:tcBorders>
            <w:shd w:val="clear" w:color="000000" w:fill="0070C0"/>
            <w:vAlign w:val="center"/>
            <w:hideMark/>
          </w:tcPr>
          <w:p w14:paraId="5D09C342" w14:textId="77777777" w:rsidR="00E2174E" w:rsidRPr="00B710A9" w:rsidRDefault="00E2174E" w:rsidP="00A224C8">
            <w:pPr>
              <w:jc w:val="center"/>
              <w:rPr>
                <w:rFonts w:cs="Arial"/>
                <w:b/>
                <w:bCs/>
                <w:color w:val="FFFFFF"/>
                <w:sz w:val="17"/>
                <w:szCs w:val="17"/>
              </w:rPr>
            </w:pPr>
            <w:proofErr w:type="gramStart"/>
            <w:r w:rsidRPr="00B710A9">
              <w:rPr>
                <w:rFonts w:cs="Arial"/>
                <w:b/>
                <w:bCs/>
                <w:color w:val="FFFFFF"/>
                <w:sz w:val="17"/>
                <w:szCs w:val="17"/>
              </w:rPr>
              <w:t>Total</w:t>
            </w:r>
            <w:proofErr w:type="gramEnd"/>
            <w:r w:rsidRPr="00B710A9">
              <w:rPr>
                <w:rFonts w:cs="Arial"/>
                <w:b/>
                <w:bCs/>
                <w:color w:val="FFFFFF"/>
                <w:sz w:val="17"/>
                <w:szCs w:val="17"/>
              </w:rPr>
              <w:t xml:space="preserve"> General</w:t>
            </w:r>
          </w:p>
        </w:tc>
        <w:tc>
          <w:tcPr>
            <w:tcW w:w="0" w:type="auto"/>
            <w:tcBorders>
              <w:top w:val="nil"/>
              <w:left w:val="nil"/>
              <w:bottom w:val="single" w:sz="4" w:space="0" w:color="auto"/>
              <w:right w:val="single" w:sz="4" w:space="0" w:color="auto"/>
            </w:tcBorders>
            <w:shd w:val="clear" w:color="auto" w:fill="auto"/>
            <w:noWrap/>
            <w:vAlign w:val="bottom"/>
            <w:hideMark/>
          </w:tcPr>
          <w:p w14:paraId="5A94B39C" w14:textId="77777777" w:rsidR="00E2174E" w:rsidRPr="00B710A9" w:rsidRDefault="00E2174E" w:rsidP="00A224C8">
            <w:pPr>
              <w:rPr>
                <w:rFonts w:cs="Arial"/>
                <w:color w:val="000000"/>
                <w:sz w:val="17"/>
                <w:szCs w:val="17"/>
              </w:rPr>
            </w:pPr>
            <w:r w:rsidRPr="00B710A9">
              <w:rPr>
                <w:rFonts w:cs="Arial"/>
                <w:color w:val="000000"/>
                <w:sz w:val="17"/>
                <w:szCs w:val="17"/>
              </w:rPr>
              <w:t>Nación</w:t>
            </w:r>
          </w:p>
        </w:tc>
        <w:tc>
          <w:tcPr>
            <w:tcW w:w="0" w:type="auto"/>
            <w:tcBorders>
              <w:top w:val="nil"/>
              <w:left w:val="nil"/>
              <w:bottom w:val="single" w:sz="4" w:space="0" w:color="auto"/>
              <w:right w:val="single" w:sz="4" w:space="0" w:color="auto"/>
            </w:tcBorders>
            <w:shd w:val="clear" w:color="auto" w:fill="auto"/>
            <w:noWrap/>
            <w:vAlign w:val="bottom"/>
            <w:hideMark/>
          </w:tcPr>
          <w:p w14:paraId="15BB5273" w14:textId="77777777" w:rsidR="00E2174E" w:rsidRPr="00B710A9" w:rsidRDefault="00E2174E" w:rsidP="00A224C8">
            <w:pPr>
              <w:jc w:val="right"/>
              <w:rPr>
                <w:rFonts w:cs="Arial"/>
                <w:color w:val="000000"/>
                <w:sz w:val="17"/>
                <w:szCs w:val="17"/>
              </w:rPr>
            </w:pPr>
            <w:r w:rsidRPr="00B710A9">
              <w:rPr>
                <w:rFonts w:cs="Arial"/>
                <w:color w:val="000000"/>
                <w:sz w:val="17"/>
                <w:szCs w:val="17"/>
              </w:rPr>
              <w:t>$ 20.322</w:t>
            </w:r>
          </w:p>
        </w:tc>
        <w:tc>
          <w:tcPr>
            <w:tcW w:w="0" w:type="auto"/>
            <w:tcBorders>
              <w:top w:val="nil"/>
              <w:left w:val="nil"/>
              <w:bottom w:val="single" w:sz="4" w:space="0" w:color="auto"/>
              <w:right w:val="single" w:sz="4" w:space="0" w:color="auto"/>
            </w:tcBorders>
            <w:shd w:val="clear" w:color="auto" w:fill="auto"/>
            <w:noWrap/>
            <w:vAlign w:val="bottom"/>
            <w:hideMark/>
          </w:tcPr>
          <w:p w14:paraId="4E56B309" w14:textId="77777777" w:rsidR="00E2174E" w:rsidRPr="00B710A9" w:rsidRDefault="00E2174E" w:rsidP="00A224C8">
            <w:pPr>
              <w:jc w:val="right"/>
              <w:rPr>
                <w:rFonts w:cs="Arial"/>
                <w:color w:val="000000"/>
                <w:sz w:val="17"/>
                <w:szCs w:val="17"/>
              </w:rPr>
            </w:pPr>
            <w:r w:rsidRPr="00B710A9">
              <w:rPr>
                <w:rFonts w:cs="Arial"/>
                <w:color w:val="000000"/>
                <w:sz w:val="17"/>
                <w:szCs w:val="17"/>
              </w:rPr>
              <w:t>$ 19.633</w:t>
            </w:r>
          </w:p>
        </w:tc>
        <w:tc>
          <w:tcPr>
            <w:tcW w:w="0" w:type="auto"/>
            <w:tcBorders>
              <w:top w:val="nil"/>
              <w:left w:val="nil"/>
              <w:bottom w:val="single" w:sz="4" w:space="0" w:color="auto"/>
              <w:right w:val="single" w:sz="4" w:space="0" w:color="auto"/>
            </w:tcBorders>
            <w:shd w:val="clear" w:color="auto" w:fill="auto"/>
            <w:noWrap/>
            <w:vAlign w:val="bottom"/>
            <w:hideMark/>
          </w:tcPr>
          <w:p w14:paraId="6F1F2F04" w14:textId="77777777" w:rsidR="00E2174E" w:rsidRPr="00B710A9" w:rsidRDefault="00E2174E" w:rsidP="00A224C8">
            <w:pPr>
              <w:jc w:val="center"/>
              <w:rPr>
                <w:rFonts w:cs="Arial"/>
                <w:color w:val="000000"/>
                <w:sz w:val="17"/>
                <w:szCs w:val="17"/>
              </w:rPr>
            </w:pPr>
            <w:r w:rsidRPr="00B710A9">
              <w:rPr>
                <w:rFonts w:cs="Arial"/>
                <w:color w:val="000000"/>
                <w:sz w:val="17"/>
                <w:szCs w:val="17"/>
              </w:rPr>
              <w:t>96,61%</w:t>
            </w:r>
          </w:p>
        </w:tc>
        <w:tc>
          <w:tcPr>
            <w:tcW w:w="0" w:type="auto"/>
            <w:tcBorders>
              <w:top w:val="nil"/>
              <w:left w:val="nil"/>
              <w:bottom w:val="single" w:sz="4" w:space="0" w:color="auto"/>
              <w:right w:val="single" w:sz="4" w:space="0" w:color="auto"/>
            </w:tcBorders>
            <w:shd w:val="clear" w:color="auto" w:fill="auto"/>
            <w:noWrap/>
            <w:vAlign w:val="bottom"/>
            <w:hideMark/>
          </w:tcPr>
          <w:p w14:paraId="1A5BA8FD" w14:textId="77777777" w:rsidR="00E2174E" w:rsidRPr="00B710A9" w:rsidRDefault="00E2174E" w:rsidP="00A224C8">
            <w:pPr>
              <w:jc w:val="right"/>
              <w:rPr>
                <w:rFonts w:cs="Arial"/>
                <w:color w:val="000000"/>
                <w:sz w:val="17"/>
                <w:szCs w:val="17"/>
              </w:rPr>
            </w:pPr>
            <w:r w:rsidRPr="00B710A9">
              <w:rPr>
                <w:rFonts w:cs="Arial"/>
                <w:color w:val="000000"/>
                <w:sz w:val="17"/>
                <w:szCs w:val="17"/>
              </w:rPr>
              <w:t>$ 18.728</w:t>
            </w:r>
          </w:p>
        </w:tc>
        <w:tc>
          <w:tcPr>
            <w:tcW w:w="0" w:type="auto"/>
            <w:tcBorders>
              <w:top w:val="nil"/>
              <w:left w:val="nil"/>
              <w:bottom w:val="single" w:sz="4" w:space="0" w:color="auto"/>
              <w:right w:val="single" w:sz="4" w:space="0" w:color="auto"/>
            </w:tcBorders>
            <w:shd w:val="clear" w:color="auto" w:fill="auto"/>
            <w:noWrap/>
            <w:vAlign w:val="bottom"/>
            <w:hideMark/>
          </w:tcPr>
          <w:p w14:paraId="496EA131" w14:textId="77777777" w:rsidR="00E2174E" w:rsidRPr="00B710A9" w:rsidRDefault="00E2174E" w:rsidP="00A224C8">
            <w:pPr>
              <w:jc w:val="center"/>
              <w:rPr>
                <w:rFonts w:cs="Arial"/>
                <w:color w:val="000000"/>
                <w:sz w:val="17"/>
                <w:szCs w:val="17"/>
              </w:rPr>
            </w:pPr>
            <w:r w:rsidRPr="00B710A9">
              <w:rPr>
                <w:rFonts w:cs="Arial"/>
                <w:color w:val="000000"/>
                <w:sz w:val="17"/>
                <w:szCs w:val="17"/>
              </w:rPr>
              <w:t>92,15%</w:t>
            </w:r>
          </w:p>
        </w:tc>
        <w:tc>
          <w:tcPr>
            <w:tcW w:w="0" w:type="auto"/>
            <w:tcBorders>
              <w:top w:val="nil"/>
              <w:left w:val="nil"/>
              <w:bottom w:val="single" w:sz="4" w:space="0" w:color="auto"/>
              <w:right w:val="single" w:sz="4" w:space="0" w:color="auto"/>
            </w:tcBorders>
            <w:shd w:val="clear" w:color="auto" w:fill="auto"/>
            <w:noWrap/>
            <w:vAlign w:val="bottom"/>
            <w:hideMark/>
          </w:tcPr>
          <w:p w14:paraId="342A9FE1" w14:textId="77777777" w:rsidR="00E2174E" w:rsidRPr="00B710A9" w:rsidRDefault="00E2174E" w:rsidP="00A224C8">
            <w:pPr>
              <w:jc w:val="right"/>
              <w:rPr>
                <w:rFonts w:cs="Arial"/>
                <w:color w:val="000000"/>
                <w:sz w:val="17"/>
                <w:szCs w:val="17"/>
              </w:rPr>
            </w:pPr>
            <w:r w:rsidRPr="00B710A9">
              <w:rPr>
                <w:rFonts w:cs="Arial"/>
                <w:color w:val="000000"/>
                <w:sz w:val="17"/>
                <w:szCs w:val="17"/>
              </w:rPr>
              <w:t>$ 17.764</w:t>
            </w:r>
          </w:p>
        </w:tc>
        <w:tc>
          <w:tcPr>
            <w:tcW w:w="0" w:type="auto"/>
            <w:tcBorders>
              <w:top w:val="nil"/>
              <w:left w:val="nil"/>
              <w:bottom w:val="single" w:sz="4" w:space="0" w:color="auto"/>
              <w:right w:val="single" w:sz="4" w:space="0" w:color="auto"/>
            </w:tcBorders>
            <w:shd w:val="clear" w:color="auto" w:fill="auto"/>
            <w:noWrap/>
            <w:vAlign w:val="bottom"/>
            <w:hideMark/>
          </w:tcPr>
          <w:p w14:paraId="624454BA" w14:textId="77777777" w:rsidR="00E2174E" w:rsidRPr="00B710A9" w:rsidRDefault="00E2174E" w:rsidP="00A224C8">
            <w:pPr>
              <w:jc w:val="center"/>
              <w:rPr>
                <w:rFonts w:cs="Arial"/>
                <w:color w:val="000000"/>
                <w:sz w:val="17"/>
                <w:szCs w:val="17"/>
              </w:rPr>
            </w:pPr>
            <w:r w:rsidRPr="00B710A9">
              <w:rPr>
                <w:rFonts w:cs="Arial"/>
                <w:color w:val="000000"/>
                <w:sz w:val="17"/>
                <w:szCs w:val="17"/>
              </w:rPr>
              <w:t>87,41%</w:t>
            </w:r>
          </w:p>
        </w:tc>
        <w:tc>
          <w:tcPr>
            <w:tcW w:w="0" w:type="auto"/>
            <w:tcBorders>
              <w:top w:val="nil"/>
              <w:left w:val="nil"/>
              <w:bottom w:val="single" w:sz="4" w:space="0" w:color="auto"/>
              <w:right w:val="single" w:sz="4" w:space="0" w:color="auto"/>
            </w:tcBorders>
            <w:shd w:val="clear" w:color="auto" w:fill="auto"/>
            <w:noWrap/>
            <w:vAlign w:val="bottom"/>
            <w:hideMark/>
          </w:tcPr>
          <w:p w14:paraId="7273432D" w14:textId="77777777" w:rsidR="00E2174E" w:rsidRPr="00B710A9" w:rsidRDefault="00E2174E" w:rsidP="00A224C8">
            <w:pPr>
              <w:jc w:val="right"/>
              <w:rPr>
                <w:rFonts w:cs="Arial"/>
                <w:color w:val="000000"/>
                <w:sz w:val="17"/>
                <w:szCs w:val="17"/>
              </w:rPr>
            </w:pPr>
            <w:r w:rsidRPr="00B710A9">
              <w:rPr>
                <w:rFonts w:cs="Arial"/>
                <w:color w:val="000000"/>
                <w:sz w:val="17"/>
                <w:szCs w:val="17"/>
              </w:rPr>
              <w:t>$ 17.711</w:t>
            </w:r>
          </w:p>
        </w:tc>
        <w:tc>
          <w:tcPr>
            <w:tcW w:w="0" w:type="auto"/>
            <w:tcBorders>
              <w:top w:val="nil"/>
              <w:left w:val="nil"/>
              <w:bottom w:val="single" w:sz="4" w:space="0" w:color="auto"/>
              <w:right w:val="single" w:sz="4" w:space="0" w:color="auto"/>
            </w:tcBorders>
            <w:shd w:val="clear" w:color="auto" w:fill="auto"/>
            <w:noWrap/>
            <w:vAlign w:val="bottom"/>
            <w:hideMark/>
          </w:tcPr>
          <w:p w14:paraId="4AE50CDC" w14:textId="77777777" w:rsidR="00E2174E" w:rsidRPr="00B710A9" w:rsidRDefault="00E2174E" w:rsidP="00A224C8">
            <w:pPr>
              <w:jc w:val="center"/>
              <w:rPr>
                <w:rFonts w:cs="Arial"/>
                <w:color w:val="000000"/>
                <w:sz w:val="17"/>
                <w:szCs w:val="17"/>
              </w:rPr>
            </w:pPr>
            <w:r w:rsidRPr="00B710A9">
              <w:rPr>
                <w:rFonts w:cs="Arial"/>
                <w:color w:val="000000"/>
                <w:sz w:val="17"/>
                <w:szCs w:val="17"/>
              </w:rPr>
              <w:t>87,15%</w:t>
            </w:r>
          </w:p>
        </w:tc>
        <w:tc>
          <w:tcPr>
            <w:tcW w:w="0" w:type="auto"/>
            <w:tcBorders>
              <w:top w:val="nil"/>
              <w:left w:val="nil"/>
              <w:bottom w:val="single" w:sz="4" w:space="0" w:color="auto"/>
              <w:right w:val="single" w:sz="4" w:space="0" w:color="auto"/>
            </w:tcBorders>
            <w:shd w:val="clear" w:color="auto" w:fill="auto"/>
            <w:noWrap/>
            <w:vAlign w:val="bottom"/>
            <w:hideMark/>
          </w:tcPr>
          <w:p w14:paraId="502B22F8" w14:textId="77777777" w:rsidR="00E2174E" w:rsidRPr="00B710A9" w:rsidRDefault="00E2174E" w:rsidP="00A224C8">
            <w:pPr>
              <w:jc w:val="right"/>
              <w:rPr>
                <w:rFonts w:cs="Arial"/>
                <w:color w:val="000000"/>
                <w:sz w:val="17"/>
                <w:szCs w:val="17"/>
              </w:rPr>
            </w:pPr>
            <w:r w:rsidRPr="00B710A9">
              <w:rPr>
                <w:rFonts w:cs="Arial"/>
                <w:color w:val="000000"/>
                <w:sz w:val="17"/>
                <w:szCs w:val="17"/>
              </w:rPr>
              <w:t>$ 690</w:t>
            </w:r>
          </w:p>
        </w:tc>
        <w:tc>
          <w:tcPr>
            <w:tcW w:w="0" w:type="auto"/>
            <w:tcBorders>
              <w:top w:val="nil"/>
              <w:left w:val="nil"/>
              <w:bottom w:val="single" w:sz="4" w:space="0" w:color="auto"/>
              <w:right w:val="single" w:sz="4" w:space="0" w:color="auto"/>
            </w:tcBorders>
            <w:shd w:val="clear" w:color="auto" w:fill="auto"/>
            <w:noWrap/>
            <w:vAlign w:val="bottom"/>
            <w:hideMark/>
          </w:tcPr>
          <w:p w14:paraId="21E97623" w14:textId="77777777" w:rsidR="00E2174E" w:rsidRPr="00B710A9" w:rsidRDefault="00E2174E" w:rsidP="00A224C8">
            <w:pPr>
              <w:jc w:val="center"/>
              <w:rPr>
                <w:rFonts w:cs="Arial"/>
                <w:color w:val="000000"/>
                <w:sz w:val="17"/>
                <w:szCs w:val="17"/>
              </w:rPr>
            </w:pPr>
            <w:r w:rsidRPr="00B710A9">
              <w:rPr>
                <w:rFonts w:cs="Arial"/>
                <w:color w:val="000000"/>
                <w:sz w:val="17"/>
                <w:szCs w:val="17"/>
              </w:rPr>
              <w:t>3,39%</w:t>
            </w:r>
          </w:p>
        </w:tc>
      </w:tr>
      <w:tr w:rsidR="00E2174E" w:rsidRPr="00B710A9" w14:paraId="2C7C21C5" w14:textId="77777777" w:rsidTr="00E35A84">
        <w:trPr>
          <w:trHeight w:val="237"/>
          <w:jc w:val="center"/>
        </w:trPr>
        <w:tc>
          <w:tcPr>
            <w:tcW w:w="2505" w:type="dxa"/>
            <w:tcBorders>
              <w:top w:val="nil"/>
              <w:left w:val="nil"/>
              <w:bottom w:val="nil"/>
              <w:right w:val="nil"/>
            </w:tcBorders>
            <w:shd w:val="clear" w:color="auto" w:fill="auto"/>
            <w:vAlign w:val="center"/>
            <w:hideMark/>
          </w:tcPr>
          <w:p w14:paraId="23915B36" w14:textId="77777777" w:rsidR="00E2174E" w:rsidRPr="00B710A9" w:rsidRDefault="00E2174E" w:rsidP="00A224C8">
            <w:pPr>
              <w:jc w:val="center"/>
              <w:rPr>
                <w:rFonts w:cs="Arial"/>
                <w:color w:val="000000"/>
                <w:sz w:val="17"/>
                <w:szCs w:val="17"/>
              </w:rPr>
            </w:pPr>
          </w:p>
        </w:tc>
        <w:tc>
          <w:tcPr>
            <w:tcW w:w="0" w:type="auto"/>
            <w:vMerge/>
            <w:tcBorders>
              <w:top w:val="nil"/>
              <w:left w:val="single" w:sz="4" w:space="0" w:color="auto"/>
              <w:bottom w:val="nil"/>
              <w:right w:val="single" w:sz="4" w:space="0" w:color="auto"/>
            </w:tcBorders>
            <w:vAlign w:val="center"/>
            <w:hideMark/>
          </w:tcPr>
          <w:p w14:paraId="1A64FAC4" w14:textId="77777777" w:rsidR="00E2174E" w:rsidRPr="00B710A9" w:rsidRDefault="00E2174E" w:rsidP="00A224C8">
            <w:pPr>
              <w:rPr>
                <w:rFonts w:cs="Arial"/>
                <w:b/>
                <w:bCs/>
                <w:color w:val="FFFFFF"/>
                <w:sz w:val="17"/>
                <w:szCs w:val="17"/>
              </w:rPr>
            </w:pPr>
          </w:p>
        </w:tc>
        <w:tc>
          <w:tcPr>
            <w:tcW w:w="0" w:type="auto"/>
            <w:tcBorders>
              <w:top w:val="nil"/>
              <w:left w:val="nil"/>
              <w:bottom w:val="single" w:sz="4" w:space="0" w:color="auto"/>
              <w:right w:val="single" w:sz="4" w:space="0" w:color="auto"/>
            </w:tcBorders>
            <w:shd w:val="clear" w:color="auto" w:fill="auto"/>
            <w:noWrap/>
            <w:vAlign w:val="bottom"/>
            <w:hideMark/>
          </w:tcPr>
          <w:p w14:paraId="2EF4E402" w14:textId="77777777" w:rsidR="00E2174E" w:rsidRPr="00B710A9" w:rsidRDefault="00E2174E" w:rsidP="00A224C8">
            <w:pPr>
              <w:rPr>
                <w:rFonts w:cs="Arial"/>
                <w:color w:val="000000"/>
                <w:sz w:val="17"/>
                <w:szCs w:val="17"/>
              </w:rPr>
            </w:pPr>
            <w:r w:rsidRPr="00B710A9">
              <w:rPr>
                <w:rFonts w:cs="Arial"/>
                <w:color w:val="000000"/>
                <w:sz w:val="17"/>
                <w:szCs w:val="17"/>
              </w:rPr>
              <w:t>Propios</w:t>
            </w:r>
          </w:p>
        </w:tc>
        <w:tc>
          <w:tcPr>
            <w:tcW w:w="0" w:type="auto"/>
            <w:tcBorders>
              <w:top w:val="nil"/>
              <w:left w:val="nil"/>
              <w:bottom w:val="single" w:sz="4" w:space="0" w:color="auto"/>
              <w:right w:val="single" w:sz="4" w:space="0" w:color="auto"/>
            </w:tcBorders>
            <w:shd w:val="clear" w:color="auto" w:fill="auto"/>
            <w:noWrap/>
            <w:vAlign w:val="bottom"/>
            <w:hideMark/>
          </w:tcPr>
          <w:p w14:paraId="03DBDA0D" w14:textId="77777777" w:rsidR="00E2174E" w:rsidRPr="00B710A9" w:rsidRDefault="00E2174E" w:rsidP="00A224C8">
            <w:pPr>
              <w:jc w:val="right"/>
              <w:rPr>
                <w:rFonts w:cs="Arial"/>
                <w:color w:val="000000"/>
                <w:sz w:val="17"/>
                <w:szCs w:val="17"/>
              </w:rPr>
            </w:pPr>
            <w:r w:rsidRPr="00B710A9">
              <w:rPr>
                <w:rFonts w:cs="Arial"/>
                <w:color w:val="000000"/>
                <w:sz w:val="17"/>
                <w:szCs w:val="17"/>
              </w:rPr>
              <w:t>$ 55.295</w:t>
            </w:r>
          </w:p>
        </w:tc>
        <w:tc>
          <w:tcPr>
            <w:tcW w:w="0" w:type="auto"/>
            <w:tcBorders>
              <w:top w:val="nil"/>
              <w:left w:val="nil"/>
              <w:bottom w:val="single" w:sz="4" w:space="0" w:color="auto"/>
              <w:right w:val="single" w:sz="4" w:space="0" w:color="auto"/>
            </w:tcBorders>
            <w:shd w:val="clear" w:color="auto" w:fill="auto"/>
            <w:noWrap/>
            <w:vAlign w:val="bottom"/>
            <w:hideMark/>
          </w:tcPr>
          <w:p w14:paraId="2448D67A" w14:textId="77777777" w:rsidR="00E2174E" w:rsidRPr="00B710A9" w:rsidRDefault="00E2174E" w:rsidP="00A224C8">
            <w:pPr>
              <w:jc w:val="right"/>
              <w:rPr>
                <w:rFonts w:cs="Arial"/>
                <w:color w:val="000000"/>
                <w:sz w:val="17"/>
                <w:szCs w:val="17"/>
              </w:rPr>
            </w:pPr>
            <w:r w:rsidRPr="00B710A9">
              <w:rPr>
                <w:rFonts w:cs="Arial"/>
                <w:color w:val="000000"/>
                <w:sz w:val="17"/>
                <w:szCs w:val="17"/>
              </w:rPr>
              <w:t>$ 29.337</w:t>
            </w:r>
          </w:p>
        </w:tc>
        <w:tc>
          <w:tcPr>
            <w:tcW w:w="0" w:type="auto"/>
            <w:tcBorders>
              <w:top w:val="nil"/>
              <w:left w:val="nil"/>
              <w:bottom w:val="single" w:sz="4" w:space="0" w:color="auto"/>
              <w:right w:val="single" w:sz="4" w:space="0" w:color="auto"/>
            </w:tcBorders>
            <w:shd w:val="clear" w:color="auto" w:fill="auto"/>
            <w:noWrap/>
            <w:vAlign w:val="bottom"/>
            <w:hideMark/>
          </w:tcPr>
          <w:p w14:paraId="1958D12D" w14:textId="77777777" w:rsidR="00E2174E" w:rsidRPr="00B710A9" w:rsidRDefault="00E2174E" w:rsidP="00A224C8">
            <w:pPr>
              <w:jc w:val="center"/>
              <w:rPr>
                <w:rFonts w:cs="Arial"/>
                <w:color w:val="000000"/>
                <w:sz w:val="17"/>
                <w:szCs w:val="17"/>
              </w:rPr>
            </w:pPr>
            <w:r w:rsidRPr="00B710A9">
              <w:rPr>
                <w:rFonts w:cs="Arial"/>
                <w:color w:val="000000"/>
                <w:sz w:val="17"/>
                <w:szCs w:val="17"/>
              </w:rPr>
              <w:t>53,05%</w:t>
            </w:r>
          </w:p>
        </w:tc>
        <w:tc>
          <w:tcPr>
            <w:tcW w:w="0" w:type="auto"/>
            <w:tcBorders>
              <w:top w:val="nil"/>
              <w:left w:val="nil"/>
              <w:bottom w:val="single" w:sz="4" w:space="0" w:color="auto"/>
              <w:right w:val="single" w:sz="4" w:space="0" w:color="auto"/>
            </w:tcBorders>
            <w:shd w:val="clear" w:color="auto" w:fill="auto"/>
            <w:noWrap/>
            <w:vAlign w:val="bottom"/>
            <w:hideMark/>
          </w:tcPr>
          <w:p w14:paraId="7F5D706E" w14:textId="77777777" w:rsidR="00E2174E" w:rsidRPr="00B710A9" w:rsidRDefault="00E2174E" w:rsidP="00A224C8">
            <w:pPr>
              <w:jc w:val="right"/>
              <w:rPr>
                <w:rFonts w:cs="Arial"/>
                <w:color w:val="000000"/>
                <w:sz w:val="17"/>
                <w:szCs w:val="17"/>
              </w:rPr>
            </w:pPr>
            <w:r w:rsidRPr="00B710A9">
              <w:rPr>
                <w:rFonts w:cs="Arial"/>
                <w:color w:val="000000"/>
                <w:sz w:val="17"/>
                <w:szCs w:val="17"/>
              </w:rPr>
              <w:t>$ 26.942</w:t>
            </w:r>
          </w:p>
        </w:tc>
        <w:tc>
          <w:tcPr>
            <w:tcW w:w="0" w:type="auto"/>
            <w:tcBorders>
              <w:top w:val="nil"/>
              <w:left w:val="nil"/>
              <w:bottom w:val="single" w:sz="4" w:space="0" w:color="auto"/>
              <w:right w:val="single" w:sz="4" w:space="0" w:color="auto"/>
            </w:tcBorders>
            <w:shd w:val="clear" w:color="auto" w:fill="auto"/>
            <w:noWrap/>
            <w:vAlign w:val="bottom"/>
            <w:hideMark/>
          </w:tcPr>
          <w:p w14:paraId="3EAF17EF" w14:textId="77777777" w:rsidR="00E2174E" w:rsidRPr="00B710A9" w:rsidRDefault="00E2174E" w:rsidP="00A224C8">
            <w:pPr>
              <w:jc w:val="center"/>
              <w:rPr>
                <w:rFonts w:cs="Arial"/>
                <w:color w:val="000000"/>
                <w:sz w:val="17"/>
                <w:szCs w:val="17"/>
              </w:rPr>
            </w:pPr>
            <w:r w:rsidRPr="00B710A9">
              <w:rPr>
                <w:rFonts w:cs="Arial"/>
                <w:color w:val="000000"/>
                <w:sz w:val="17"/>
                <w:szCs w:val="17"/>
              </w:rPr>
              <w:t>48,72%</w:t>
            </w:r>
          </w:p>
        </w:tc>
        <w:tc>
          <w:tcPr>
            <w:tcW w:w="0" w:type="auto"/>
            <w:tcBorders>
              <w:top w:val="nil"/>
              <w:left w:val="nil"/>
              <w:bottom w:val="single" w:sz="4" w:space="0" w:color="auto"/>
              <w:right w:val="single" w:sz="4" w:space="0" w:color="auto"/>
            </w:tcBorders>
            <w:shd w:val="clear" w:color="auto" w:fill="auto"/>
            <w:noWrap/>
            <w:vAlign w:val="bottom"/>
            <w:hideMark/>
          </w:tcPr>
          <w:p w14:paraId="5E35FBEC" w14:textId="77777777" w:rsidR="00E2174E" w:rsidRPr="00B710A9" w:rsidRDefault="00E2174E" w:rsidP="00A224C8">
            <w:pPr>
              <w:jc w:val="right"/>
              <w:rPr>
                <w:rFonts w:cs="Arial"/>
                <w:color w:val="000000"/>
                <w:sz w:val="17"/>
                <w:szCs w:val="17"/>
              </w:rPr>
            </w:pPr>
            <w:r w:rsidRPr="00B710A9">
              <w:rPr>
                <w:rFonts w:cs="Arial"/>
                <w:color w:val="000000"/>
                <w:sz w:val="17"/>
                <w:szCs w:val="17"/>
              </w:rPr>
              <w:t>$ 24.779</w:t>
            </w:r>
          </w:p>
        </w:tc>
        <w:tc>
          <w:tcPr>
            <w:tcW w:w="0" w:type="auto"/>
            <w:tcBorders>
              <w:top w:val="nil"/>
              <w:left w:val="nil"/>
              <w:bottom w:val="single" w:sz="4" w:space="0" w:color="auto"/>
              <w:right w:val="single" w:sz="4" w:space="0" w:color="auto"/>
            </w:tcBorders>
            <w:shd w:val="clear" w:color="auto" w:fill="auto"/>
            <w:noWrap/>
            <w:vAlign w:val="bottom"/>
            <w:hideMark/>
          </w:tcPr>
          <w:p w14:paraId="580E6D3E" w14:textId="77777777" w:rsidR="00E2174E" w:rsidRPr="00B710A9" w:rsidRDefault="00E2174E" w:rsidP="00A224C8">
            <w:pPr>
              <w:jc w:val="center"/>
              <w:rPr>
                <w:rFonts w:cs="Arial"/>
                <w:color w:val="000000"/>
                <w:sz w:val="17"/>
                <w:szCs w:val="17"/>
              </w:rPr>
            </w:pPr>
            <w:r w:rsidRPr="00B710A9">
              <w:rPr>
                <w:rFonts w:cs="Arial"/>
                <w:color w:val="000000"/>
                <w:sz w:val="17"/>
                <w:szCs w:val="17"/>
              </w:rPr>
              <w:t>44,81%</w:t>
            </w:r>
          </w:p>
        </w:tc>
        <w:tc>
          <w:tcPr>
            <w:tcW w:w="0" w:type="auto"/>
            <w:tcBorders>
              <w:top w:val="nil"/>
              <w:left w:val="nil"/>
              <w:bottom w:val="single" w:sz="4" w:space="0" w:color="auto"/>
              <w:right w:val="single" w:sz="4" w:space="0" w:color="auto"/>
            </w:tcBorders>
            <w:shd w:val="clear" w:color="auto" w:fill="auto"/>
            <w:noWrap/>
            <w:vAlign w:val="bottom"/>
            <w:hideMark/>
          </w:tcPr>
          <w:p w14:paraId="3C81BB91" w14:textId="77777777" w:rsidR="00E2174E" w:rsidRPr="00B710A9" w:rsidRDefault="00E2174E" w:rsidP="00A224C8">
            <w:pPr>
              <w:jc w:val="right"/>
              <w:rPr>
                <w:rFonts w:cs="Arial"/>
                <w:color w:val="000000"/>
                <w:sz w:val="17"/>
                <w:szCs w:val="17"/>
              </w:rPr>
            </w:pPr>
            <w:r w:rsidRPr="00B710A9">
              <w:rPr>
                <w:rFonts w:cs="Arial"/>
                <w:color w:val="000000"/>
                <w:sz w:val="17"/>
                <w:szCs w:val="17"/>
              </w:rPr>
              <w:t>$ 22.172</w:t>
            </w:r>
          </w:p>
        </w:tc>
        <w:tc>
          <w:tcPr>
            <w:tcW w:w="0" w:type="auto"/>
            <w:tcBorders>
              <w:top w:val="nil"/>
              <w:left w:val="nil"/>
              <w:bottom w:val="single" w:sz="4" w:space="0" w:color="auto"/>
              <w:right w:val="single" w:sz="4" w:space="0" w:color="auto"/>
            </w:tcBorders>
            <w:shd w:val="clear" w:color="auto" w:fill="auto"/>
            <w:noWrap/>
            <w:vAlign w:val="bottom"/>
            <w:hideMark/>
          </w:tcPr>
          <w:p w14:paraId="58056D8F" w14:textId="77777777" w:rsidR="00E2174E" w:rsidRPr="00B710A9" w:rsidRDefault="00E2174E" w:rsidP="00A224C8">
            <w:pPr>
              <w:jc w:val="center"/>
              <w:rPr>
                <w:rFonts w:cs="Arial"/>
                <w:color w:val="000000"/>
                <w:sz w:val="17"/>
                <w:szCs w:val="17"/>
              </w:rPr>
            </w:pPr>
            <w:r w:rsidRPr="00B710A9">
              <w:rPr>
                <w:rFonts w:cs="Arial"/>
                <w:color w:val="000000"/>
                <w:sz w:val="17"/>
                <w:szCs w:val="17"/>
              </w:rPr>
              <w:t>40,10%</w:t>
            </w:r>
          </w:p>
        </w:tc>
        <w:tc>
          <w:tcPr>
            <w:tcW w:w="0" w:type="auto"/>
            <w:tcBorders>
              <w:top w:val="nil"/>
              <w:left w:val="nil"/>
              <w:bottom w:val="single" w:sz="4" w:space="0" w:color="auto"/>
              <w:right w:val="single" w:sz="4" w:space="0" w:color="auto"/>
            </w:tcBorders>
            <w:shd w:val="clear" w:color="auto" w:fill="auto"/>
            <w:noWrap/>
            <w:vAlign w:val="bottom"/>
            <w:hideMark/>
          </w:tcPr>
          <w:p w14:paraId="6348F684" w14:textId="77777777" w:rsidR="00E2174E" w:rsidRPr="00B710A9" w:rsidRDefault="00E2174E" w:rsidP="00A224C8">
            <w:pPr>
              <w:jc w:val="right"/>
              <w:rPr>
                <w:rFonts w:cs="Arial"/>
                <w:color w:val="000000"/>
                <w:sz w:val="17"/>
                <w:szCs w:val="17"/>
              </w:rPr>
            </w:pPr>
            <w:r w:rsidRPr="00B710A9">
              <w:rPr>
                <w:rFonts w:cs="Arial"/>
                <w:color w:val="000000"/>
                <w:sz w:val="17"/>
                <w:szCs w:val="17"/>
              </w:rPr>
              <w:t>$ 25.959</w:t>
            </w:r>
          </w:p>
        </w:tc>
        <w:tc>
          <w:tcPr>
            <w:tcW w:w="0" w:type="auto"/>
            <w:tcBorders>
              <w:top w:val="nil"/>
              <w:left w:val="nil"/>
              <w:bottom w:val="single" w:sz="4" w:space="0" w:color="auto"/>
              <w:right w:val="single" w:sz="4" w:space="0" w:color="auto"/>
            </w:tcBorders>
            <w:shd w:val="clear" w:color="auto" w:fill="auto"/>
            <w:noWrap/>
            <w:vAlign w:val="bottom"/>
            <w:hideMark/>
          </w:tcPr>
          <w:p w14:paraId="0126118E" w14:textId="77777777" w:rsidR="00E2174E" w:rsidRPr="00B710A9" w:rsidRDefault="00E2174E" w:rsidP="00A224C8">
            <w:pPr>
              <w:jc w:val="center"/>
              <w:rPr>
                <w:rFonts w:cs="Arial"/>
                <w:color w:val="000000"/>
                <w:sz w:val="17"/>
                <w:szCs w:val="17"/>
              </w:rPr>
            </w:pPr>
            <w:r w:rsidRPr="00B710A9">
              <w:rPr>
                <w:rFonts w:cs="Arial"/>
                <w:color w:val="000000"/>
                <w:sz w:val="17"/>
                <w:szCs w:val="17"/>
              </w:rPr>
              <w:t>46,95%</w:t>
            </w:r>
          </w:p>
        </w:tc>
      </w:tr>
      <w:tr w:rsidR="00E2174E" w:rsidRPr="00B710A9" w14:paraId="7CC3FA5C" w14:textId="77777777" w:rsidTr="00E35A84">
        <w:trPr>
          <w:trHeight w:val="237"/>
          <w:jc w:val="center"/>
        </w:trPr>
        <w:tc>
          <w:tcPr>
            <w:tcW w:w="2505" w:type="dxa"/>
            <w:tcBorders>
              <w:top w:val="nil"/>
              <w:left w:val="nil"/>
              <w:bottom w:val="nil"/>
              <w:right w:val="nil"/>
            </w:tcBorders>
            <w:shd w:val="clear" w:color="auto" w:fill="auto"/>
            <w:vAlign w:val="center"/>
            <w:hideMark/>
          </w:tcPr>
          <w:p w14:paraId="31284A5A" w14:textId="77777777" w:rsidR="00E2174E" w:rsidRPr="00B710A9" w:rsidRDefault="00E2174E" w:rsidP="00A224C8">
            <w:pPr>
              <w:jc w:val="center"/>
              <w:rPr>
                <w:rFonts w:cs="Arial"/>
                <w:color w:val="000000"/>
                <w:sz w:val="17"/>
                <w:szCs w:val="17"/>
              </w:rPr>
            </w:pPr>
          </w:p>
        </w:tc>
        <w:tc>
          <w:tcPr>
            <w:tcW w:w="0" w:type="auto"/>
            <w:vMerge/>
            <w:tcBorders>
              <w:top w:val="nil"/>
              <w:left w:val="single" w:sz="4" w:space="0" w:color="auto"/>
              <w:bottom w:val="nil"/>
              <w:right w:val="single" w:sz="4" w:space="0" w:color="auto"/>
            </w:tcBorders>
            <w:vAlign w:val="center"/>
            <w:hideMark/>
          </w:tcPr>
          <w:p w14:paraId="71B91E1F" w14:textId="77777777" w:rsidR="00E2174E" w:rsidRPr="00B710A9" w:rsidRDefault="00E2174E" w:rsidP="00A224C8">
            <w:pPr>
              <w:rPr>
                <w:rFonts w:cs="Arial"/>
                <w:b/>
                <w:bCs/>
                <w:color w:val="FFFFFF"/>
                <w:sz w:val="17"/>
                <w:szCs w:val="17"/>
              </w:rPr>
            </w:pPr>
          </w:p>
        </w:tc>
        <w:tc>
          <w:tcPr>
            <w:tcW w:w="0" w:type="auto"/>
            <w:tcBorders>
              <w:top w:val="nil"/>
              <w:left w:val="nil"/>
              <w:bottom w:val="single" w:sz="4" w:space="0" w:color="auto"/>
              <w:right w:val="single" w:sz="4" w:space="0" w:color="auto"/>
            </w:tcBorders>
            <w:shd w:val="clear" w:color="auto" w:fill="auto"/>
            <w:noWrap/>
            <w:vAlign w:val="bottom"/>
            <w:hideMark/>
          </w:tcPr>
          <w:p w14:paraId="65C56F07" w14:textId="77777777" w:rsidR="00E2174E" w:rsidRPr="00B710A9" w:rsidRDefault="00E2174E" w:rsidP="00A224C8">
            <w:pPr>
              <w:rPr>
                <w:rFonts w:cs="Arial"/>
                <w:color w:val="000000"/>
                <w:sz w:val="17"/>
                <w:szCs w:val="17"/>
              </w:rPr>
            </w:pPr>
            <w:r w:rsidRPr="00B710A9">
              <w:rPr>
                <w:rFonts w:cs="Arial"/>
                <w:color w:val="000000"/>
                <w:sz w:val="17"/>
                <w:szCs w:val="17"/>
              </w:rPr>
              <w:t>Créditos</w:t>
            </w:r>
          </w:p>
        </w:tc>
        <w:tc>
          <w:tcPr>
            <w:tcW w:w="0" w:type="auto"/>
            <w:tcBorders>
              <w:top w:val="nil"/>
              <w:left w:val="nil"/>
              <w:bottom w:val="single" w:sz="4" w:space="0" w:color="auto"/>
              <w:right w:val="single" w:sz="4" w:space="0" w:color="auto"/>
            </w:tcBorders>
            <w:shd w:val="clear" w:color="auto" w:fill="auto"/>
            <w:noWrap/>
            <w:vAlign w:val="bottom"/>
            <w:hideMark/>
          </w:tcPr>
          <w:p w14:paraId="62414704" w14:textId="77777777" w:rsidR="00E2174E" w:rsidRPr="00B710A9" w:rsidRDefault="00E2174E" w:rsidP="00A224C8">
            <w:pPr>
              <w:jc w:val="right"/>
              <w:rPr>
                <w:rFonts w:cs="Arial"/>
                <w:color w:val="000000"/>
                <w:sz w:val="17"/>
                <w:szCs w:val="17"/>
              </w:rPr>
            </w:pPr>
            <w:r w:rsidRPr="00B710A9">
              <w:rPr>
                <w:rFonts w:cs="Arial"/>
                <w:color w:val="000000"/>
                <w:sz w:val="17"/>
                <w:szCs w:val="17"/>
              </w:rPr>
              <w:t>$ 134.446</w:t>
            </w:r>
          </w:p>
        </w:tc>
        <w:tc>
          <w:tcPr>
            <w:tcW w:w="0" w:type="auto"/>
            <w:tcBorders>
              <w:top w:val="nil"/>
              <w:left w:val="nil"/>
              <w:bottom w:val="single" w:sz="4" w:space="0" w:color="auto"/>
              <w:right w:val="single" w:sz="4" w:space="0" w:color="auto"/>
            </w:tcBorders>
            <w:shd w:val="clear" w:color="auto" w:fill="auto"/>
            <w:noWrap/>
            <w:vAlign w:val="bottom"/>
            <w:hideMark/>
          </w:tcPr>
          <w:p w14:paraId="7D4E5EBC" w14:textId="77777777" w:rsidR="00E2174E" w:rsidRPr="00B710A9" w:rsidRDefault="00E2174E" w:rsidP="00A224C8">
            <w:pPr>
              <w:jc w:val="right"/>
              <w:rPr>
                <w:rFonts w:cs="Arial"/>
                <w:color w:val="000000"/>
                <w:sz w:val="17"/>
                <w:szCs w:val="17"/>
              </w:rPr>
            </w:pPr>
            <w:r w:rsidRPr="00B710A9">
              <w:rPr>
                <w:rFonts w:cs="Arial"/>
                <w:color w:val="000000"/>
                <w:sz w:val="17"/>
                <w:szCs w:val="17"/>
              </w:rPr>
              <w:t>$ 63.768</w:t>
            </w:r>
          </w:p>
        </w:tc>
        <w:tc>
          <w:tcPr>
            <w:tcW w:w="0" w:type="auto"/>
            <w:tcBorders>
              <w:top w:val="nil"/>
              <w:left w:val="nil"/>
              <w:bottom w:val="single" w:sz="4" w:space="0" w:color="auto"/>
              <w:right w:val="single" w:sz="4" w:space="0" w:color="auto"/>
            </w:tcBorders>
            <w:shd w:val="clear" w:color="auto" w:fill="auto"/>
            <w:noWrap/>
            <w:vAlign w:val="bottom"/>
            <w:hideMark/>
          </w:tcPr>
          <w:p w14:paraId="42953CEC" w14:textId="77777777" w:rsidR="00E2174E" w:rsidRPr="00B710A9" w:rsidRDefault="00E2174E" w:rsidP="00A224C8">
            <w:pPr>
              <w:jc w:val="center"/>
              <w:rPr>
                <w:rFonts w:cs="Arial"/>
                <w:color w:val="000000"/>
                <w:sz w:val="17"/>
                <w:szCs w:val="17"/>
              </w:rPr>
            </w:pPr>
            <w:r w:rsidRPr="00B710A9">
              <w:rPr>
                <w:rFonts w:cs="Arial"/>
                <w:color w:val="000000"/>
                <w:sz w:val="17"/>
                <w:szCs w:val="17"/>
              </w:rPr>
              <w:t>47,43%</w:t>
            </w:r>
          </w:p>
        </w:tc>
        <w:tc>
          <w:tcPr>
            <w:tcW w:w="0" w:type="auto"/>
            <w:tcBorders>
              <w:top w:val="nil"/>
              <w:left w:val="nil"/>
              <w:bottom w:val="single" w:sz="4" w:space="0" w:color="auto"/>
              <w:right w:val="single" w:sz="4" w:space="0" w:color="auto"/>
            </w:tcBorders>
            <w:shd w:val="clear" w:color="auto" w:fill="auto"/>
            <w:noWrap/>
            <w:vAlign w:val="bottom"/>
            <w:hideMark/>
          </w:tcPr>
          <w:p w14:paraId="724EEF7D" w14:textId="77777777" w:rsidR="00E2174E" w:rsidRPr="00B710A9" w:rsidRDefault="00E2174E" w:rsidP="00A224C8">
            <w:pPr>
              <w:jc w:val="right"/>
              <w:rPr>
                <w:rFonts w:cs="Arial"/>
                <w:color w:val="000000"/>
                <w:sz w:val="17"/>
                <w:szCs w:val="17"/>
              </w:rPr>
            </w:pPr>
            <w:r w:rsidRPr="00B710A9">
              <w:rPr>
                <w:rFonts w:cs="Arial"/>
                <w:color w:val="000000"/>
                <w:sz w:val="17"/>
                <w:szCs w:val="17"/>
              </w:rPr>
              <w:t>$ 39.502</w:t>
            </w:r>
          </w:p>
        </w:tc>
        <w:tc>
          <w:tcPr>
            <w:tcW w:w="0" w:type="auto"/>
            <w:tcBorders>
              <w:top w:val="nil"/>
              <w:left w:val="nil"/>
              <w:bottom w:val="single" w:sz="4" w:space="0" w:color="auto"/>
              <w:right w:val="single" w:sz="4" w:space="0" w:color="auto"/>
            </w:tcBorders>
            <w:shd w:val="clear" w:color="auto" w:fill="auto"/>
            <w:noWrap/>
            <w:vAlign w:val="bottom"/>
            <w:hideMark/>
          </w:tcPr>
          <w:p w14:paraId="594692BB" w14:textId="77777777" w:rsidR="00E2174E" w:rsidRPr="00B710A9" w:rsidRDefault="00E2174E" w:rsidP="00A224C8">
            <w:pPr>
              <w:jc w:val="center"/>
              <w:rPr>
                <w:rFonts w:cs="Arial"/>
                <w:color w:val="000000"/>
                <w:sz w:val="17"/>
                <w:szCs w:val="17"/>
              </w:rPr>
            </w:pPr>
            <w:r w:rsidRPr="00B710A9">
              <w:rPr>
                <w:rFonts w:cs="Arial"/>
                <w:color w:val="000000"/>
                <w:sz w:val="17"/>
                <w:szCs w:val="17"/>
              </w:rPr>
              <w:t>29,38%</w:t>
            </w:r>
          </w:p>
        </w:tc>
        <w:tc>
          <w:tcPr>
            <w:tcW w:w="0" w:type="auto"/>
            <w:tcBorders>
              <w:top w:val="nil"/>
              <w:left w:val="nil"/>
              <w:bottom w:val="single" w:sz="4" w:space="0" w:color="auto"/>
              <w:right w:val="single" w:sz="4" w:space="0" w:color="auto"/>
            </w:tcBorders>
            <w:shd w:val="clear" w:color="auto" w:fill="auto"/>
            <w:noWrap/>
            <w:vAlign w:val="bottom"/>
            <w:hideMark/>
          </w:tcPr>
          <w:p w14:paraId="037807BF" w14:textId="77777777" w:rsidR="00E2174E" w:rsidRPr="00B710A9" w:rsidRDefault="00E2174E" w:rsidP="00A224C8">
            <w:pPr>
              <w:jc w:val="right"/>
              <w:rPr>
                <w:rFonts w:cs="Arial"/>
                <w:color w:val="000000"/>
                <w:sz w:val="17"/>
                <w:szCs w:val="17"/>
              </w:rPr>
            </w:pPr>
            <w:r w:rsidRPr="00B710A9">
              <w:rPr>
                <w:rFonts w:cs="Arial"/>
                <w:color w:val="000000"/>
                <w:sz w:val="17"/>
                <w:szCs w:val="17"/>
              </w:rPr>
              <w:t>$ 12.157</w:t>
            </w:r>
          </w:p>
        </w:tc>
        <w:tc>
          <w:tcPr>
            <w:tcW w:w="0" w:type="auto"/>
            <w:tcBorders>
              <w:top w:val="nil"/>
              <w:left w:val="nil"/>
              <w:bottom w:val="single" w:sz="4" w:space="0" w:color="auto"/>
              <w:right w:val="single" w:sz="4" w:space="0" w:color="auto"/>
            </w:tcBorders>
            <w:shd w:val="clear" w:color="auto" w:fill="auto"/>
            <w:noWrap/>
            <w:vAlign w:val="bottom"/>
            <w:hideMark/>
          </w:tcPr>
          <w:p w14:paraId="2ECDEEDF" w14:textId="77777777" w:rsidR="00E2174E" w:rsidRPr="00B710A9" w:rsidRDefault="00E2174E" w:rsidP="00A224C8">
            <w:pPr>
              <w:jc w:val="center"/>
              <w:rPr>
                <w:rFonts w:cs="Arial"/>
                <w:color w:val="000000"/>
                <w:sz w:val="17"/>
                <w:szCs w:val="17"/>
              </w:rPr>
            </w:pPr>
            <w:r w:rsidRPr="00B710A9">
              <w:rPr>
                <w:rFonts w:cs="Arial"/>
                <w:color w:val="000000"/>
                <w:sz w:val="17"/>
                <w:szCs w:val="17"/>
              </w:rPr>
              <w:t>9,04%</w:t>
            </w:r>
          </w:p>
        </w:tc>
        <w:tc>
          <w:tcPr>
            <w:tcW w:w="0" w:type="auto"/>
            <w:tcBorders>
              <w:top w:val="nil"/>
              <w:left w:val="nil"/>
              <w:bottom w:val="single" w:sz="4" w:space="0" w:color="auto"/>
              <w:right w:val="single" w:sz="4" w:space="0" w:color="auto"/>
            </w:tcBorders>
            <w:shd w:val="clear" w:color="auto" w:fill="auto"/>
            <w:noWrap/>
            <w:vAlign w:val="bottom"/>
            <w:hideMark/>
          </w:tcPr>
          <w:p w14:paraId="2D51BB9A" w14:textId="77777777" w:rsidR="00E2174E" w:rsidRPr="00B710A9" w:rsidRDefault="00E2174E" w:rsidP="00A224C8">
            <w:pPr>
              <w:jc w:val="right"/>
              <w:rPr>
                <w:rFonts w:cs="Arial"/>
                <w:color w:val="000000"/>
                <w:sz w:val="17"/>
                <w:szCs w:val="17"/>
              </w:rPr>
            </w:pPr>
            <w:r w:rsidRPr="00B710A9">
              <w:rPr>
                <w:rFonts w:cs="Arial"/>
                <w:color w:val="000000"/>
                <w:sz w:val="17"/>
                <w:szCs w:val="17"/>
              </w:rPr>
              <w:t>$ 12.157</w:t>
            </w:r>
          </w:p>
        </w:tc>
        <w:tc>
          <w:tcPr>
            <w:tcW w:w="0" w:type="auto"/>
            <w:tcBorders>
              <w:top w:val="nil"/>
              <w:left w:val="nil"/>
              <w:bottom w:val="single" w:sz="4" w:space="0" w:color="auto"/>
              <w:right w:val="single" w:sz="4" w:space="0" w:color="auto"/>
            </w:tcBorders>
            <w:shd w:val="clear" w:color="auto" w:fill="auto"/>
            <w:noWrap/>
            <w:vAlign w:val="bottom"/>
            <w:hideMark/>
          </w:tcPr>
          <w:p w14:paraId="3396CD93" w14:textId="77777777" w:rsidR="00E2174E" w:rsidRPr="00B710A9" w:rsidRDefault="00E2174E" w:rsidP="00A224C8">
            <w:pPr>
              <w:jc w:val="center"/>
              <w:rPr>
                <w:rFonts w:cs="Arial"/>
                <w:color w:val="000000"/>
                <w:sz w:val="17"/>
                <w:szCs w:val="17"/>
              </w:rPr>
            </w:pPr>
            <w:r w:rsidRPr="00B710A9">
              <w:rPr>
                <w:rFonts w:cs="Arial"/>
                <w:color w:val="000000"/>
                <w:sz w:val="17"/>
                <w:szCs w:val="17"/>
              </w:rPr>
              <w:t>9,04%</w:t>
            </w:r>
          </w:p>
        </w:tc>
        <w:tc>
          <w:tcPr>
            <w:tcW w:w="0" w:type="auto"/>
            <w:tcBorders>
              <w:top w:val="nil"/>
              <w:left w:val="nil"/>
              <w:bottom w:val="single" w:sz="4" w:space="0" w:color="auto"/>
              <w:right w:val="single" w:sz="4" w:space="0" w:color="auto"/>
            </w:tcBorders>
            <w:shd w:val="clear" w:color="auto" w:fill="auto"/>
            <w:noWrap/>
            <w:vAlign w:val="bottom"/>
            <w:hideMark/>
          </w:tcPr>
          <w:p w14:paraId="3B5956F2" w14:textId="77777777" w:rsidR="00E2174E" w:rsidRPr="00B710A9" w:rsidRDefault="00E2174E" w:rsidP="00A224C8">
            <w:pPr>
              <w:jc w:val="right"/>
              <w:rPr>
                <w:rFonts w:cs="Arial"/>
                <w:color w:val="000000"/>
                <w:sz w:val="17"/>
                <w:szCs w:val="17"/>
              </w:rPr>
            </w:pPr>
            <w:r w:rsidRPr="00B710A9">
              <w:rPr>
                <w:rFonts w:cs="Arial"/>
                <w:color w:val="000000"/>
                <w:sz w:val="17"/>
                <w:szCs w:val="17"/>
              </w:rPr>
              <w:t>$ 70.678</w:t>
            </w:r>
          </w:p>
        </w:tc>
        <w:tc>
          <w:tcPr>
            <w:tcW w:w="0" w:type="auto"/>
            <w:tcBorders>
              <w:top w:val="nil"/>
              <w:left w:val="nil"/>
              <w:bottom w:val="single" w:sz="4" w:space="0" w:color="auto"/>
              <w:right w:val="single" w:sz="4" w:space="0" w:color="auto"/>
            </w:tcBorders>
            <w:shd w:val="clear" w:color="auto" w:fill="auto"/>
            <w:noWrap/>
            <w:vAlign w:val="bottom"/>
            <w:hideMark/>
          </w:tcPr>
          <w:p w14:paraId="6D6953E2" w14:textId="77777777" w:rsidR="00E2174E" w:rsidRPr="00B710A9" w:rsidRDefault="00E2174E" w:rsidP="00A224C8">
            <w:pPr>
              <w:jc w:val="center"/>
              <w:rPr>
                <w:rFonts w:cs="Arial"/>
                <w:color w:val="000000"/>
                <w:sz w:val="17"/>
                <w:szCs w:val="17"/>
              </w:rPr>
            </w:pPr>
            <w:r w:rsidRPr="00B710A9">
              <w:rPr>
                <w:rFonts w:cs="Arial"/>
                <w:color w:val="000000"/>
                <w:sz w:val="17"/>
                <w:szCs w:val="17"/>
              </w:rPr>
              <w:t>52,57%</w:t>
            </w:r>
          </w:p>
        </w:tc>
      </w:tr>
      <w:tr w:rsidR="00E2174E" w:rsidRPr="00B710A9" w14:paraId="28CDBD66" w14:textId="77777777" w:rsidTr="00E35A84">
        <w:trPr>
          <w:trHeight w:val="237"/>
          <w:jc w:val="center"/>
        </w:trPr>
        <w:tc>
          <w:tcPr>
            <w:tcW w:w="2505" w:type="dxa"/>
            <w:tcBorders>
              <w:top w:val="nil"/>
              <w:left w:val="nil"/>
              <w:bottom w:val="nil"/>
              <w:right w:val="nil"/>
            </w:tcBorders>
            <w:shd w:val="clear" w:color="auto" w:fill="auto"/>
            <w:noWrap/>
            <w:vAlign w:val="bottom"/>
            <w:hideMark/>
          </w:tcPr>
          <w:p w14:paraId="0568A5F8" w14:textId="77777777" w:rsidR="00E2174E" w:rsidRPr="00B710A9" w:rsidRDefault="00E2174E" w:rsidP="00A224C8">
            <w:pPr>
              <w:jc w:val="center"/>
              <w:rPr>
                <w:rFonts w:cs="Arial"/>
                <w:color w:val="000000"/>
                <w:sz w:val="17"/>
                <w:szCs w:val="17"/>
              </w:rPr>
            </w:pPr>
          </w:p>
        </w:tc>
        <w:tc>
          <w:tcPr>
            <w:tcW w:w="0" w:type="auto"/>
            <w:vMerge/>
            <w:tcBorders>
              <w:top w:val="nil"/>
              <w:left w:val="single" w:sz="4" w:space="0" w:color="auto"/>
              <w:bottom w:val="nil"/>
              <w:right w:val="single" w:sz="4" w:space="0" w:color="auto"/>
            </w:tcBorders>
            <w:vAlign w:val="center"/>
            <w:hideMark/>
          </w:tcPr>
          <w:p w14:paraId="1AB3C907" w14:textId="77777777" w:rsidR="00E2174E" w:rsidRPr="00B710A9" w:rsidRDefault="00E2174E" w:rsidP="00A224C8">
            <w:pPr>
              <w:rPr>
                <w:rFonts w:cs="Arial"/>
                <w:b/>
                <w:bCs/>
                <w:color w:val="FFFFFF"/>
                <w:sz w:val="17"/>
                <w:szCs w:val="17"/>
              </w:rPr>
            </w:pPr>
          </w:p>
        </w:tc>
        <w:tc>
          <w:tcPr>
            <w:tcW w:w="0" w:type="auto"/>
            <w:tcBorders>
              <w:top w:val="nil"/>
              <w:left w:val="nil"/>
              <w:bottom w:val="single" w:sz="4" w:space="0" w:color="auto"/>
              <w:right w:val="single" w:sz="4" w:space="0" w:color="auto"/>
            </w:tcBorders>
            <w:shd w:val="clear" w:color="000000" w:fill="ACB9CA"/>
            <w:noWrap/>
            <w:vAlign w:val="bottom"/>
            <w:hideMark/>
          </w:tcPr>
          <w:p w14:paraId="7E33D247" w14:textId="77777777" w:rsidR="00E2174E" w:rsidRPr="00B710A9" w:rsidRDefault="00E2174E" w:rsidP="00A224C8">
            <w:pPr>
              <w:rPr>
                <w:rFonts w:cs="Arial"/>
                <w:b/>
                <w:bCs/>
                <w:color w:val="000000"/>
                <w:sz w:val="17"/>
                <w:szCs w:val="17"/>
              </w:rPr>
            </w:pPr>
            <w:r w:rsidRPr="00B710A9">
              <w:rPr>
                <w:rFonts w:cs="Arial"/>
                <w:b/>
                <w:bCs/>
                <w:color w:val="000000"/>
                <w:sz w:val="17"/>
                <w:szCs w:val="17"/>
              </w:rPr>
              <w:t>Total</w:t>
            </w:r>
          </w:p>
        </w:tc>
        <w:tc>
          <w:tcPr>
            <w:tcW w:w="0" w:type="auto"/>
            <w:tcBorders>
              <w:top w:val="nil"/>
              <w:left w:val="nil"/>
              <w:bottom w:val="single" w:sz="4" w:space="0" w:color="auto"/>
              <w:right w:val="single" w:sz="4" w:space="0" w:color="auto"/>
            </w:tcBorders>
            <w:shd w:val="clear" w:color="000000" w:fill="ACB9CA"/>
            <w:noWrap/>
            <w:vAlign w:val="bottom"/>
            <w:hideMark/>
          </w:tcPr>
          <w:p w14:paraId="2516EB99"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$ 210.064</w:t>
            </w:r>
          </w:p>
        </w:tc>
        <w:tc>
          <w:tcPr>
            <w:tcW w:w="0" w:type="auto"/>
            <w:tcBorders>
              <w:top w:val="nil"/>
              <w:left w:val="nil"/>
              <w:bottom w:val="single" w:sz="4" w:space="0" w:color="auto"/>
              <w:right w:val="single" w:sz="4" w:space="0" w:color="auto"/>
            </w:tcBorders>
            <w:shd w:val="clear" w:color="000000" w:fill="ACB9CA"/>
            <w:noWrap/>
            <w:vAlign w:val="bottom"/>
            <w:hideMark/>
          </w:tcPr>
          <w:p w14:paraId="7B592585"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$ 112.737</w:t>
            </w:r>
          </w:p>
        </w:tc>
        <w:tc>
          <w:tcPr>
            <w:tcW w:w="0" w:type="auto"/>
            <w:tcBorders>
              <w:top w:val="nil"/>
              <w:left w:val="nil"/>
              <w:bottom w:val="single" w:sz="4" w:space="0" w:color="auto"/>
              <w:right w:val="single" w:sz="4" w:space="0" w:color="auto"/>
            </w:tcBorders>
            <w:shd w:val="clear" w:color="000000" w:fill="ACB9CA"/>
            <w:noWrap/>
            <w:vAlign w:val="bottom"/>
            <w:hideMark/>
          </w:tcPr>
          <w:p w14:paraId="26015076"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53,67%</w:t>
            </w:r>
          </w:p>
        </w:tc>
        <w:tc>
          <w:tcPr>
            <w:tcW w:w="0" w:type="auto"/>
            <w:tcBorders>
              <w:top w:val="nil"/>
              <w:left w:val="nil"/>
              <w:bottom w:val="single" w:sz="4" w:space="0" w:color="auto"/>
              <w:right w:val="single" w:sz="4" w:space="0" w:color="auto"/>
            </w:tcBorders>
            <w:shd w:val="clear" w:color="000000" w:fill="ACB9CA"/>
            <w:noWrap/>
            <w:vAlign w:val="bottom"/>
            <w:hideMark/>
          </w:tcPr>
          <w:p w14:paraId="1B787D23"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$ 85.172</w:t>
            </w:r>
          </w:p>
        </w:tc>
        <w:tc>
          <w:tcPr>
            <w:tcW w:w="0" w:type="auto"/>
            <w:tcBorders>
              <w:top w:val="nil"/>
              <w:left w:val="nil"/>
              <w:bottom w:val="single" w:sz="4" w:space="0" w:color="auto"/>
              <w:right w:val="single" w:sz="4" w:space="0" w:color="auto"/>
            </w:tcBorders>
            <w:shd w:val="clear" w:color="000000" w:fill="ACB9CA"/>
            <w:noWrap/>
            <w:vAlign w:val="bottom"/>
            <w:hideMark/>
          </w:tcPr>
          <w:p w14:paraId="78655904"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40,55%</w:t>
            </w:r>
          </w:p>
        </w:tc>
        <w:tc>
          <w:tcPr>
            <w:tcW w:w="0" w:type="auto"/>
            <w:tcBorders>
              <w:top w:val="nil"/>
              <w:left w:val="nil"/>
              <w:bottom w:val="single" w:sz="4" w:space="0" w:color="auto"/>
              <w:right w:val="single" w:sz="4" w:space="0" w:color="auto"/>
            </w:tcBorders>
            <w:shd w:val="clear" w:color="000000" w:fill="ACB9CA"/>
            <w:noWrap/>
            <w:vAlign w:val="bottom"/>
            <w:hideMark/>
          </w:tcPr>
          <w:p w14:paraId="6314DC39"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$ 54.700</w:t>
            </w:r>
          </w:p>
        </w:tc>
        <w:tc>
          <w:tcPr>
            <w:tcW w:w="0" w:type="auto"/>
            <w:tcBorders>
              <w:top w:val="nil"/>
              <w:left w:val="nil"/>
              <w:bottom w:val="single" w:sz="4" w:space="0" w:color="auto"/>
              <w:right w:val="single" w:sz="4" w:space="0" w:color="auto"/>
            </w:tcBorders>
            <w:shd w:val="clear" w:color="000000" w:fill="ACB9CA"/>
            <w:noWrap/>
            <w:vAlign w:val="bottom"/>
            <w:hideMark/>
          </w:tcPr>
          <w:p w14:paraId="32515498"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26,04%</w:t>
            </w:r>
          </w:p>
        </w:tc>
        <w:tc>
          <w:tcPr>
            <w:tcW w:w="0" w:type="auto"/>
            <w:tcBorders>
              <w:top w:val="nil"/>
              <w:left w:val="nil"/>
              <w:bottom w:val="single" w:sz="4" w:space="0" w:color="auto"/>
              <w:right w:val="single" w:sz="4" w:space="0" w:color="auto"/>
            </w:tcBorders>
            <w:shd w:val="clear" w:color="000000" w:fill="ACB9CA"/>
            <w:noWrap/>
            <w:vAlign w:val="bottom"/>
            <w:hideMark/>
          </w:tcPr>
          <w:p w14:paraId="7527158B"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$ 52.040</w:t>
            </w:r>
          </w:p>
        </w:tc>
        <w:tc>
          <w:tcPr>
            <w:tcW w:w="0" w:type="auto"/>
            <w:tcBorders>
              <w:top w:val="nil"/>
              <w:left w:val="nil"/>
              <w:bottom w:val="single" w:sz="4" w:space="0" w:color="auto"/>
              <w:right w:val="single" w:sz="4" w:space="0" w:color="auto"/>
            </w:tcBorders>
            <w:shd w:val="clear" w:color="000000" w:fill="ACB9CA"/>
            <w:noWrap/>
            <w:vAlign w:val="bottom"/>
            <w:hideMark/>
          </w:tcPr>
          <w:p w14:paraId="77727CE3"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24,77%</w:t>
            </w:r>
          </w:p>
        </w:tc>
        <w:tc>
          <w:tcPr>
            <w:tcW w:w="0" w:type="auto"/>
            <w:tcBorders>
              <w:top w:val="nil"/>
              <w:left w:val="nil"/>
              <w:bottom w:val="single" w:sz="4" w:space="0" w:color="auto"/>
              <w:right w:val="single" w:sz="4" w:space="0" w:color="auto"/>
            </w:tcBorders>
            <w:shd w:val="clear" w:color="000000" w:fill="ACB9CA"/>
            <w:noWrap/>
            <w:vAlign w:val="bottom"/>
            <w:hideMark/>
          </w:tcPr>
          <w:p w14:paraId="7E2E195B" w14:textId="77777777" w:rsidR="00E2174E" w:rsidRPr="00B710A9" w:rsidRDefault="00E2174E" w:rsidP="00A224C8">
            <w:pPr>
              <w:jc w:val="right"/>
              <w:rPr>
                <w:rFonts w:cs="Arial"/>
                <w:b/>
                <w:bCs/>
                <w:color w:val="000000"/>
                <w:sz w:val="17"/>
                <w:szCs w:val="17"/>
              </w:rPr>
            </w:pPr>
            <w:r w:rsidRPr="00B710A9">
              <w:rPr>
                <w:rFonts w:cs="Arial"/>
                <w:b/>
                <w:bCs/>
                <w:color w:val="000000"/>
                <w:sz w:val="17"/>
                <w:szCs w:val="17"/>
              </w:rPr>
              <w:t>$ 97.327</w:t>
            </w:r>
          </w:p>
        </w:tc>
        <w:tc>
          <w:tcPr>
            <w:tcW w:w="0" w:type="auto"/>
            <w:tcBorders>
              <w:top w:val="nil"/>
              <w:left w:val="nil"/>
              <w:bottom w:val="single" w:sz="4" w:space="0" w:color="auto"/>
              <w:right w:val="single" w:sz="4" w:space="0" w:color="auto"/>
            </w:tcBorders>
            <w:shd w:val="clear" w:color="000000" w:fill="ACB9CA"/>
            <w:noWrap/>
            <w:vAlign w:val="bottom"/>
            <w:hideMark/>
          </w:tcPr>
          <w:p w14:paraId="498FB2DE" w14:textId="77777777" w:rsidR="00E2174E" w:rsidRPr="00B710A9" w:rsidRDefault="00E2174E" w:rsidP="00A224C8">
            <w:pPr>
              <w:jc w:val="center"/>
              <w:rPr>
                <w:rFonts w:cs="Arial"/>
                <w:b/>
                <w:bCs/>
                <w:color w:val="000000"/>
                <w:sz w:val="17"/>
                <w:szCs w:val="17"/>
              </w:rPr>
            </w:pPr>
            <w:r w:rsidRPr="00B710A9">
              <w:rPr>
                <w:rFonts w:cs="Arial"/>
                <w:b/>
                <w:bCs/>
                <w:color w:val="000000"/>
                <w:sz w:val="17"/>
                <w:szCs w:val="17"/>
              </w:rPr>
              <w:t>46,33%</w:t>
            </w:r>
          </w:p>
        </w:tc>
      </w:tr>
    </w:tbl>
    <w:p w14:paraId="437F10BC" w14:textId="77777777" w:rsidR="008349A5" w:rsidRPr="00B710A9" w:rsidRDefault="008349A5" w:rsidP="008349A5">
      <w:pPr>
        <w:textAlignment w:val="baseline"/>
        <w:rPr>
          <w:rFonts w:ascii="Arial" w:hAnsi="Arial" w:cs="Arial"/>
          <w:b/>
          <w:bCs/>
          <w:sz w:val="12"/>
          <w:szCs w:val="20"/>
        </w:rPr>
      </w:pPr>
    </w:p>
    <w:p w14:paraId="4E0647A9" w14:textId="77777777" w:rsidR="008349A5" w:rsidRPr="00B710A9" w:rsidRDefault="008349A5" w:rsidP="008349A5">
      <w:pPr>
        <w:spacing w:after="0" w:line="240" w:lineRule="auto"/>
        <w:jc w:val="center"/>
        <w:rPr>
          <w:rFonts w:ascii="Arial" w:eastAsia="Calibri" w:hAnsi="Arial" w:cs="Arial"/>
          <w:b/>
          <w:bCs/>
          <w:color w:val="000000" w:themeColor="text1"/>
          <w:sz w:val="16"/>
          <w:szCs w:val="16"/>
        </w:rPr>
      </w:pPr>
      <w:r w:rsidRPr="00B710A9">
        <w:rPr>
          <w:rFonts w:ascii="Arial" w:eastAsia="Calibri" w:hAnsi="Arial" w:cs="Arial"/>
          <w:b/>
          <w:bCs/>
          <w:color w:val="000000" w:themeColor="text1"/>
          <w:sz w:val="16"/>
          <w:szCs w:val="16"/>
        </w:rPr>
        <w:t>Fuente: Elaboración propia Oficina Asesora de Planeación – SIIF Nación</w:t>
      </w:r>
    </w:p>
    <w:p w14:paraId="11F90834" w14:textId="77777777" w:rsidR="00E2174E" w:rsidRPr="00B710A9" w:rsidRDefault="00E2174E" w:rsidP="00E2174E">
      <w:pPr>
        <w:textAlignment w:val="baseline"/>
        <w:rPr>
          <w:rFonts w:cs="Arial"/>
          <w:sz w:val="16"/>
        </w:rPr>
        <w:sectPr w:rsidR="00E2174E" w:rsidRPr="00B710A9" w:rsidSect="0044335A">
          <w:footnotePr>
            <w:pos w:val="beneathText"/>
          </w:footnotePr>
          <w:pgSz w:w="15840" w:h="12240" w:orient="landscape"/>
          <w:pgMar w:top="1440" w:right="1440" w:bottom="1440" w:left="1440" w:header="0" w:footer="335" w:gutter="0"/>
          <w:cols w:space="720"/>
          <w:docGrid w:linePitch="360"/>
        </w:sectPr>
      </w:pPr>
    </w:p>
    <w:p w14:paraId="34335222" w14:textId="6FB8A1F7" w:rsidR="00525B73" w:rsidRPr="00B710A9" w:rsidRDefault="00525B73" w:rsidP="00525B73">
      <w:pPr>
        <w:numPr>
          <w:ilvl w:val="0"/>
          <w:numId w:val="35"/>
        </w:numPr>
        <w:spacing w:after="0" w:line="240" w:lineRule="auto"/>
        <w:jc w:val="both"/>
        <w:rPr>
          <w:rFonts w:ascii="Arial" w:hAnsi="Arial" w:cs="Arial"/>
          <w:b/>
          <w:bCs/>
          <w:color w:val="000000" w:themeColor="text1"/>
          <w:sz w:val="22"/>
          <w:szCs w:val="22"/>
        </w:rPr>
      </w:pPr>
      <w:r w:rsidRPr="00B710A9">
        <w:rPr>
          <w:rFonts w:ascii="Arial" w:hAnsi="Arial" w:cs="Arial"/>
          <w:b/>
          <w:bCs/>
          <w:color w:val="000000" w:themeColor="text1"/>
          <w:sz w:val="22"/>
          <w:szCs w:val="22"/>
        </w:rPr>
        <w:lastRenderedPageBreak/>
        <w:t>Gastos vigencia 202</w:t>
      </w:r>
      <w:r w:rsidR="002678BE" w:rsidRPr="00B710A9">
        <w:rPr>
          <w:rFonts w:ascii="Arial" w:hAnsi="Arial" w:cs="Arial"/>
          <w:b/>
          <w:bCs/>
          <w:color w:val="000000" w:themeColor="text1"/>
          <w:sz w:val="22"/>
          <w:szCs w:val="22"/>
        </w:rPr>
        <w:t>2</w:t>
      </w:r>
    </w:p>
    <w:p w14:paraId="2FE2B898" w14:textId="77777777" w:rsidR="00525B73" w:rsidRPr="00B710A9" w:rsidRDefault="00525B73" w:rsidP="00525B73">
      <w:pPr>
        <w:spacing w:after="0" w:line="240" w:lineRule="auto"/>
        <w:jc w:val="both"/>
        <w:rPr>
          <w:rFonts w:ascii="Arial" w:hAnsi="Arial" w:cs="Arial"/>
          <w:b/>
          <w:bCs/>
          <w:color w:val="000000" w:themeColor="text1"/>
          <w:sz w:val="22"/>
          <w:szCs w:val="22"/>
        </w:rPr>
      </w:pPr>
    </w:p>
    <w:p w14:paraId="27D07BAF" w14:textId="178CC78B" w:rsidR="00525B73" w:rsidRPr="00B710A9" w:rsidRDefault="00F91E4D" w:rsidP="00525B73">
      <w:pPr>
        <w:spacing w:after="0" w:line="240" w:lineRule="auto"/>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rPr>
        <w:t>El presupuesto del IGAC, según Decreto 1793 del 21 de diciembre de 2021 para la vigencia 2022, está constituido por recursos de funcionamiento e inversión ($402.990 millones), donde el 22,04% de la asignación inicial corresponde a funcionamiento ($88.839 millones) y el 77,95% para inversión ($314.151 millones)</w:t>
      </w:r>
    </w:p>
    <w:p w14:paraId="0425A199" w14:textId="77777777" w:rsidR="00525B73" w:rsidRPr="00B710A9" w:rsidRDefault="00525B73" w:rsidP="00525B73">
      <w:pPr>
        <w:spacing w:after="0" w:line="240" w:lineRule="auto"/>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rPr>
        <w:t xml:space="preserve"> </w:t>
      </w:r>
    </w:p>
    <w:p w14:paraId="19BC701C" w14:textId="42985C40" w:rsidR="00E2174E" w:rsidRPr="00B710A9" w:rsidRDefault="00525B73" w:rsidP="00525B73">
      <w:pPr>
        <w:textAlignment w:val="baseline"/>
        <w:rPr>
          <w:rFonts w:ascii="Arial" w:eastAsia="Calibri" w:hAnsi="Arial" w:cs="Arial"/>
          <w:color w:val="000000" w:themeColor="text1"/>
          <w:sz w:val="22"/>
          <w:szCs w:val="22"/>
        </w:rPr>
      </w:pPr>
      <w:r w:rsidRPr="00B710A9">
        <w:rPr>
          <w:rFonts w:ascii="Arial" w:eastAsia="Calibri" w:hAnsi="Arial" w:cs="Arial"/>
          <w:color w:val="000000" w:themeColor="text1"/>
          <w:sz w:val="22"/>
          <w:szCs w:val="22"/>
        </w:rPr>
        <w:t>A 3</w:t>
      </w:r>
      <w:r w:rsidR="00754230" w:rsidRPr="00B710A9">
        <w:rPr>
          <w:rFonts w:ascii="Arial" w:eastAsia="Calibri" w:hAnsi="Arial" w:cs="Arial"/>
          <w:color w:val="000000" w:themeColor="text1"/>
          <w:sz w:val="22"/>
          <w:szCs w:val="22"/>
        </w:rPr>
        <w:t xml:space="preserve">0 </w:t>
      </w:r>
      <w:r w:rsidRPr="00B710A9">
        <w:rPr>
          <w:rFonts w:ascii="Arial" w:eastAsia="Calibri" w:hAnsi="Arial" w:cs="Arial"/>
          <w:color w:val="000000" w:themeColor="text1"/>
          <w:sz w:val="22"/>
          <w:szCs w:val="22"/>
        </w:rPr>
        <w:t xml:space="preserve">de </w:t>
      </w:r>
      <w:r w:rsidR="00754230" w:rsidRPr="00B710A9">
        <w:rPr>
          <w:rFonts w:ascii="Arial" w:eastAsia="Calibri" w:hAnsi="Arial" w:cs="Arial"/>
          <w:color w:val="000000" w:themeColor="text1"/>
          <w:sz w:val="22"/>
          <w:szCs w:val="22"/>
        </w:rPr>
        <w:t>junio</w:t>
      </w:r>
      <w:r w:rsidRPr="00B710A9">
        <w:rPr>
          <w:rFonts w:ascii="Arial" w:eastAsia="Calibri" w:hAnsi="Arial" w:cs="Arial"/>
          <w:color w:val="000000" w:themeColor="text1"/>
          <w:sz w:val="22"/>
          <w:szCs w:val="22"/>
        </w:rPr>
        <w:t xml:space="preserve"> de 202</w:t>
      </w:r>
      <w:r w:rsidR="00754230" w:rsidRPr="00B710A9">
        <w:rPr>
          <w:rFonts w:ascii="Arial" w:eastAsia="Calibri" w:hAnsi="Arial" w:cs="Arial"/>
          <w:color w:val="000000" w:themeColor="text1"/>
          <w:sz w:val="22"/>
          <w:szCs w:val="22"/>
        </w:rPr>
        <w:t>2</w:t>
      </w:r>
      <w:r w:rsidRPr="00B710A9">
        <w:rPr>
          <w:rFonts w:ascii="Arial" w:eastAsia="Calibri" w:hAnsi="Arial" w:cs="Arial"/>
          <w:color w:val="000000" w:themeColor="text1"/>
          <w:sz w:val="22"/>
          <w:szCs w:val="22"/>
        </w:rPr>
        <w:t>, se cuenta con la siguiente ejecución</w:t>
      </w:r>
      <w:r w:rsidR="00F91E4D" w:rsidRPr="00B710A9">
        <w:rPr>
          <w:rFonts w:ascii="Arial" w:eastAsia="Calibri" w:hAnsi="Arial" w:cs="Arial"/>
          <w:color w:val="000000" w:themeColor="text1"/>
          <w:sz w:val="22"/>
          <w:szCs w:val="22"/>
        </w:rPr>
        <w:t xml:space="preserve"> presupuestal</w:t>
      </w:r>
    </w:p>
    <w:p w14:paraId="32095FC8" w14:textId="77777777" w:rsidR="002678BE" w:rsidRPr="00B710A9" w:rsidRDefault="002678BE" w:rsidP="00525B73">
      <w:pPr>
        <w:textAlignment w:val="baseline"/>
        <w:rPr>
          <w:rFonts w:ascii="Arial" w:eastAsia="Calibri" w:hAnsi="Arial" w:cs="Arial"/>
          <w:color w:val="000000" w:themeColor="text1"/>
          <w:sz w:val="22"/>
          <w:szCs w:val="22"/>
        </w:rPr>
      </w:pPr>
    </w:p>
    <w:p w14:paraId="4D81B714" w14:textId="27929484" w:rsidR="00AD5FD9" w:rsidRPr="00B710A9" w:rsidRDefault="00AD5FD9" w:rsidP="00AD5FD9">
      <w:pPr>
        <w:pStyle w:val="Descripcin"/>
        <w:keepNext/>
        <w:jc w:val="center"/>
        <w:rPr>
          <w:rFonts w:ascii="Arial" w:hAnsi="Arial" w:cs="Arial"/>
          <w:b/>
          <w:bCs/>
          <w:i w:val="0"/>
          <w:iCs w:val="0"/>
          <w:color w:val="000000" w:themeColor="text1"/>
          <w:sz w:val="16"/>
          <w:szCs w:val="16"/>
        </w:rPr>
      </w:pPr>
      <w:bookmarkStart w:id="68" w:name="_Toc109057753"/>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23</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Ejecución de gastos a junio de 2022</w:t>
      </w:r>
      <w:bookmarkEnd w:id="68"/>
    </w:p>
    <w:tbl>
      <w:tblPr>
        <w:tblStyle w:val="Tablaconcuadrcula4-nfasis1"/>
        <w:tblW w:w="0" w:type="auto"/>
        <w:tblLook w:val="04A0" w:firstRow="1" w:lastRow="0" w:firstColumn="1" w:lastColumn="0" w:noHBand="0" w:noVBand="1"/>
      </w:tblPr>
      <w:tblGrid>
        <w:gridCol w:w="2207"/>
        <w:gridCol w:w="2207"/>
        <w:gridCol w:w="2207"/>
        <w:gridCol w:w="2207"/>
      </w:tblGrid>
      <w:tr w:rsidR="00DE0AB0" w:rsidRPr="00B710A9" w14:paraId="3CCE19A7" w14:textId="77777777" w:rsidTr="004F1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63D47122" w14:textId="77777777" w:rsidR="002678BE" w:rsidRPr="00B710A9" w:rsidRDefault="002678BE" w:rsidP="00A224C8">
            <w:pPr>
              <w:autoSpaceDE w:val="0"/>
              <w:autoSpaceDN w:val="0"/>
              <w:adjustRightInd w:val="0"/>
              <w:jc w:val="center"/>
              <w:rPr>
                <w:rFonts w:ascii="Arial" w:hAnsi="Arial" w:cs="Arial"/>
                <w:b w:val="0"/>
                <w:bCs w:val="0"/>
                <w:color w:val="000000" w:themeColor="text1"/>
                <w:sz w:val="18"/>
                <w:szCs w:val="18"/>
              </w:rPr>
            </w:pPr>
            <w:r w:rsidRPr="00B710A9">
              <w:rPr>
                <w:rFonts w:ascii="Arial" w:hAnsi="Arial" w:cs="Arial"/>
                <w:color w:val="000000" w:themeColor="text1"/>
                <w:sz w:val="18"/>
                <w:szCs w:val="18"/>
              </w:rPr>
              <w:t>Concepto del Gasto</w:t>
            </w:r>
          </w:p>
        </w:tc>
        <w:tc>
          <w:tcPr>
            <w:tcW w:w="2207" w:type="dxa"/>
          </w:tcPr>
          <w:p w14:paraId="68050BC7" w14:textId="77777777" w:rsidR="002678BE" w:rsidRPr="00B710A9" w:rsidRDefault="002678BE" w:rsidP="00A224C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B710A9">
              <w:rPr>
                <w:rFonts w:ascii="Arial" w:hAnsi="Arial" w:cs="Arial"/>
                <w:color w:val="000000" w:themeColor="text1"/>
                <w:sz w:val="18"/>
                <w:szCs w:val="18"/>
              </w:rPr>
              <w:t>Valor Presupuestado</w:t>
            </w:r>
          </w:p>
          <w:p w14:paraId="24A1B6BF" w14:textId="77777777" w:rsidR="002678BE" w:rsidRPr="00B710A9" w:rsidRDefault="002678BE" w:rsidP="00A224C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B710A9">
              <w:rPr>
                <w:rFonts w:ascii="Arial" w:hAnsi="Arial" w:cs="Arial"/>
                <w:color w:val="000000" w:themeColor="text1"/>
                <w:sz w:val="18"/>
                <w:szCs w:val="18"/>
              </w:rPr>
              <w:t>(Millones de pesos)</w:t>
            </w:r>
          </w:p>
        </w:tc>
        <w:tc>
          <w:tcPr>
            <w:tcW w:w="2207" w:type="dxa"/>
          </w:tcPr>
          <w:p w14:paraId="6AEC94FA" w14:textId="77777777" w:rsidR="002678BE" w:rsidRPr="00B710A9" w:rsidRDefault="002678BE" w:rsidP="00A224C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B710A9">
              <w:rPr>
                <w:rFonts w:ascii="Arial" w:hAnsi="Arial" w:cs="Arial"/>
                <w:color w:val="000000" w:themeColor="text1"/>
                <w:sz w:val="18"/>
                <w:szCs w:val="18"/>
              </w:rPr>
              <w:t>Valor Comprometido</w:t>
            </w:r>
          </w:p>
          <w:p w14:paraId="111C21A0" w14:textId="77777777" w:rsidR="002678BE" w:rsidRPr="00B710A9" w:rsidRDefault="002678BE" w:rsidP="00A224C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B710A9">
              <w:rPr>
                <w:rFonts w:ascii="Arial" w:hAnsi="Arial" w:cs="Arial"/>
                <w:color w:val="000000" w:themeColor="text1"/>
                <w:sz w:val="18"/>
                <w:szCs w:val="18"/>
              </w:rPr>
              <w:t>(Millones de pesos)</w:t>
            </w:r>
          </w:p>
        </w:tc>
        <w:tc>
          <w:tcPr>
            <w:tcW w:w="2207" w:type="dxa"/>
          </w:tcPr>
          <w:p w14:paraId="7F42B2B1" w14:textId="77777777" w:rsidR="002678BE" w:rsidRPr="00B710A9" w:rsidRDefault="002678BE" w:rsidP="00A224C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B710A9">
              <w:rPr>
                <w:rFonts w:ascii="Arial" w:hAnsi="Arial" w:cs="Arial"/>
                <w:color w:val="000000" w:themeColor="text1"/>
                <w:sz w:val="18"/>
                <w:szCs w:val="18"/>
              </w:rPr>
              <w:t>Porcentaje de ejecución o pago</w:t>
            </w:r>
          </w:p>
        </w:tc>
      </w:tr>
      <w:tr w:rsidR="00DE0AB0" w:rsidRPr="00B710A9" w14:paraId="20E87640" w14:textId="77777777" w:rsidTr="004F1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49BADE21" w14:textId="1F021DF0" w:rsidR="002678BE" w:rsidRPr="00B710A9" w:rsidRDefault="002678BE" w:rsidP="00A224C8">
            <w:pPr>
              <w:autoSpaceDE w:val="0"/>
              <w:autoSpaceDN w:val="0"/>
              <w:adjustRightInd w:val="0"/>
              <w:jc w:val="center"/>
              <w:rPr>
                <w:rFonts w:ascii="Arial" w:hAnsi="Arial" w:cs="Arial"/>
                <w:b w:val="0"/>
                <w:bCs w:val="0"/>
                <w:color w:val="000000" w:themeColor="text1"/>
                <w:sz w:val="18"/>
                <w:szCs w:val="18"/>
              </w:rPr>
            </w:pPr>
            <w:r w:rsidRPr="00B710A9">
              <w:rPr>
                <w:rFonts w:ascii="Arial" w:hAnsi="Arial" w:cs="Arial"/>
                <w:color w:val="000000" w:themeColor="text1"/>
                <w:sz w:val="18"/>
                <w:szCs w:val="18"/>
              </w:rPr>
              <w:t>VIGENCIA FISCAL</w:t>
            </w:r>
            <w:r w:rsidR="004F1567">
              <w:rPr>
                <w:rFonts w:ascii="Arial" w:hAnsi="Arial" w:cs="Arial"/>
                <w:color w:val="000000" w:themeColor="text1"/>
                <w:sz w:val="18"/>
                <w:szCs w:val="18"/>
              </w:rPr>
              <w:t xml:space="preserve"> A</w:t>
            </w:r>
            <w:r w:rsidRPr="00B710A9">
              <w:rPr>
                <w:rFonts w:ascii="Arial" w:hAnsi="Arial" w:cs="Arial"/>
                <w:color w:val="000000" w:themeColor="text1"/>
                <w:sz w:val="18"/>
                <w:szCs w:val="18"/>
              </w:rPr>
              <w:t xml:space="preserve"> </w:t>
            </w:r>
            <w:r w:rsidR="00DE0AB0" w:rsidRPr="00B710A9">
              <w:rPr>
                <w:rFonts w:ascii="Arial" w:hAnsi="Arial" w:cs="Arial"/>
                <w:color w:val="000000" w:themeColor="text1"/>
                <w:sz w:val="18"/>
                <w:szCs w:val="18"/>
              </w:rPr>
              <w:t>JUNIO</w:t>
            </w:r>
            <w:r w:rsidRPr="00B710A9">
              <w:rPr>
                <w:rFonts w:ascii="Arial" w:hAnsi="Arial" w:cs="Arial"/>
                <w:color w:val="000000" w:themeColor="text1"/>
                <w:sz w:val="18"/>
                <w:szCs w:val="18"/>
              </w:rPr>
              <w:t xml:space="preserve"> 2022</w:t>
            </w:r>
          </w:p>
        </w:tc>
      </w:tr>
      <w:tr w:rsidR="00DE0AB0" w:rsidRPr="00B710A9" w14:paraId="69CE71BF" w14:textId="77777777" w:rsidTr="004F1567">
        <w:tc>
          <w:tcPr>
            <w:cnfStyle w:val="001000000000" w:firstRow="0" w:lastRow="0" w:firstColumn="1" w:lastColumn="0" w:oddVBand="0" w:evenVBand="0" w:oddHBand="0" w:evenHBand="0" w:firstRowFirstColumn="0" w:firstRowLastColumn="0" w:lastRowFirstColumn="0" w:lastRowLastColumn="0"/>
            <w:tcW w:w="2207" w:type="dxa"/>
          </w:tcPr>
          <w:p w14:paraId="110D3C0F" w14:textId="77777777" w:rsidR="002678BE" w:rsidRPr="004F1567" w:rsidRDefault="002678BE" w:rsidP="00A224C8">
            <w:pPr>
              <w:autoSpaceDE w:val="0"/>
              <w:autoSpaceDN w:val="0"/>
              <w:adjustRightInd w:val="0"/>
              <w:jc w:val="center"/>
              <w:rPr>
                <w:rFonts w:ascii="Arial" w:hAnsi="Arial" w:cs="Arial"/>
                <w:b w:val="0"/>
                <w:bCs w:val="0"/>
                <w:color w:val="000000" w:themeColor="text1"/>
                <w:sz w:val="18"/>
                <w:szCs w:val="18"/>
              </w:rPr>
            </w:pPr>
            <w:r w:rsidRPr="004F1567">
              <w:rPr>
                <w:rFonts w:ascii="Arial" w:hAnsi="Arial" w:cs="Arial"/>
                <w:b w:val="0"/>
                <w:bCs w:val="0"/>
                <w:color w:val="000000" w:themeColor="text1"/>
                <w:sz w:val="18"/>
                <w:szCs w:val="18"/>
              </w:rPr>
              <w:t>Funcionamiento</w:t>
            </w:r>
          </w:p>
        </w:tc>
        <w:tc>
          <w:tcPr>
            <w:tcW w:w="2207" w:type="dxa"/>
          </w:tcPr>
          <w:p w14:paraId="43C5D7E0" w14:textId="77777777" w:rsidR="002678BE" w:rsidRPr="004F1567" w:rsidRDefault="002678BE" w:rsidP="00A224C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F1567">
              <w:rPr>
                <w:rFonts w:ascii="Arial" w:hAnsi="Arial" w:cs="Arial"/>
                <w:color w:val="000000" w:themeColor="text1"/>
                <w:sz w:val="18"/>
                <w:szCs w:val="18"/>
              </w:rPr>
              <w:t>$88.839</w:t>
            </w:r>
          </w:p>
        </w:tc>
        <w:tc>
          <w:tcPr>
            <w:tcW w:w="2207" w:type="dxa"/>
          </w:tcPr>
          <w:p w14:paraId="17F790B5" w14:textId="3E9DDE70" w:rsidR="002678BE" w:rsidRPr="004F1567" w:rsidRDefault="002678BE" w:rsidP="00A224C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F1567">
              <w:rPr>
                <w:rFonts w:ascii="Arial" w:hAnsi="Arial" w:cs="Arial"/>
                <w:color w:val="000000" w:themeColor="text1"/>
                <w:sz w:val="18"/>
                <w:szCs w:val="18"/>
              </w:rPr>
              <w:t>$</w:t>
            </w:r>
            <w:r w:rsidR="00C93BDB" w:rsidRPr="004F1567">
              <w:rPr>
                <w:rFonts w:ascii="Arial" w:hAnsi="Arial" w:cs="Arial"/>
                <w:color w:val="000000" w:themeColor="text1"/>
                <w:sz w:val="18"/>
                <w:szCs w:val="18"/>
              </w:rPr>
              <w:t>42.439</w:t>
            </w:r>
          </w:p>
        </w:tc>
        <w:tc>
          <w:tcPr>
            <w:tcW w:w="2207" w:type="dxa"/>
          </w:tcPr>
          <w:p w14:paraId="0F772B8D" w14:textId="36E44A05" w:rsidR="002678BE" w:rsidRPr="004F1567" w:rsidRDefault="00B84207" w:rsidP="00A224C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F1567">
              <w:rPr>
                <w:rFonts w:ascii="Arial" w:hAnsi="Arial" w:cs="Arial"/>
                <w:color w:val="000000" w:themeColor="text1"/>
                <w:sz w:val="18"/>
                <w:szCs w:val="18"/>
              </w:rPr>
              <w:t>48</w:t>
            </w:r>
            <w:r w:rsidR="002678BE" w:rsidRPr="004F1567">
              <w:rPr>
                <w:rFonts w:ascii="Arial" w:hAnsi="Arial" w:cs="Arial"/>
                <w:color w:val="000000" w:themeColor="text1"/>
                <w:sz w:val="18"/>
                <w:szCs w:val="18"/>
              </w:rPr>
              <w:t>%</w:t>
            </w:r>
          </w:p>
        </w:tc>
      </w:tr>
      <w:tr w:rsidR="00DE0AB0" w:rsidRPr="00B710A9" w14:paraId="2AC179E5" w14:textId="77777777" w:rsidTr="004F1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2FEEAF10" w14:textId="77777777" w:rsidR="002678BE" w:rsidRPr="004F1567" w:rsidRDefault="002678BE" w:rsidP="00A224C8">
            <w:pPr>
              <w:autoSpaceDE w:val="0"/>
              <w:autoSpaceDN w:val="0"/>
              <w:adjustRightInd w:val="0"/>
              <w:jc w:val="center"/>
              <w:rPr>
                <w:rFonts w:ascii="Arial" w:hAnsi="Arial" w:cs="Arial"/>
                <w:b w:val="0"/>
                <w:bCs w:val="0"/>
                <w:color w:val="000000" w:themeColor="text1"/>
                <w:sz w:val="18"/>
                <w:szCs w:val="18"/>
              </w:rPr>
            </w:pPr>
            <w:r w:rsidRPr="004F1567">
              <w:rPr>
                <w:rFonts w:ascii="Arial" w:hAnsi="Arial" w:cs="Arial"/>
                <w:b w:val="0"/>
                <w:bCs w:val="0"/>
                <w:color w:val="000000" w:themeColor="text1"/>
                <w:sz w:val="18"/>
                <w:szCs w:val="18"/>
              </w:rPr>
              <w:t>Inversión</w:t>
            </w:r>
          </w:p>
        </w:tc>
        <w:tc>
          <w:tcPr>
            <w:tcW w:w="2207" w:type="dxa"/>
          </w:tcPr>
          <w:p w14:paraId="72BECA42" w14:textId="77777777" w:rsidR="002678BE" w:rsidRPr="004F1567" w:rsidRDefault="002678BE" w:rsidP="00A224C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F1567">
              <w:rPr>
                <w:rFonts w:ascii="Arial" w:hAnsi="Arial" w:cs="Arial"/>
                <w:color w:val="000000" w:themeColor="text1"/>
                <w:sz w:val="18"/>
                <w:szCs w:val="18"/>
              </w:rPr>
              <w:t>$314.151</w:t>
            </w:r>
          </w:p>
        </w:tc>
        <w:tc>
          <w:tcPr>
            <w:tcW w:w="2207" w:type="dxa"/>
          </w:tcPr>
          <w:p w14:paraId="1C6230D4" w14:textId="33E55545" w:rsidR="002678BE" w:rsidRPr="004F1567" w:rsidRDefault="002678BE" w:rsidP="00A224C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F1567">
              <w:rPr>
                <w:rFonts w:ascii="Arial" w:hAnsi="Arial" w:cs="Arial"/>
                <w:color w:val="000000" w:themeColor="text1"/>
                <w:sz w:val="18"/>
                <w:szCs w:val="18"/>
              </w:rPr>
              <w:t>$8</w:t>
            </w:r>
            <w:r w:rsidR="00DE0AB0" w:rsidRPr="004F1567">
              <w:rPr>
                <w:rFonts w:ascii="Arial" w:hAnsi="Arial" w:cs="Arial"/>
                <w:color w:val="000000" w:themeColor="text1"/>
                <w:sz w:val="18"/>
                <w:szCs w:val="18"/>
              </w:rPr>
              <w:t>4</w:t>
            </w:r>
            <w:r w:rsidRPr="004F1567">
              <w:rPr>
                <w:rFonts w:ascii="Arial" w:hAnsi="Arial" w:cs="Arial"/>
                <w:color w:val="000000" w:themeColor="text1"/>
                <w:sz w:val="18"/>
                <w:szCs w:val="18"/>
              </w:rPr>
              <w:t>.</w:t>
            </w:r>
            <w:r w:rsidR="00DE0AB0" w:rsidRPr="004F1567">
              <w:rPr>
                <w:rFonts w:ascii="Arial" w:hAnsi="Arial" w:cs="Arial"/>
                <w:color w:val="000000" w:themeColor="text1"/>
                <w:sz w:val="18"/>
                <w:szCs w:val="18"/>
              </w:rPr>
              <w:t>210</w:t>
            </w:r>
          </w:p>
        </w:tc>
        <w:tc>
          <w:tcPr>
            <w:tcW w:w="2207" w:type="dxa"/>
          </w:tcPr>
          <w:p w14:paraId="7DF7E963" w14:textId="4D454696" w:rsidR="002678BE" w:rsidRPr="004F1567" w:rsidRDefault="002678BE" w:rsidP="00A224C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F1567">
              <w:rPr>
                <w:rFonts w:ascii="Arial" w:hAnsi="Arial" w:cs="Arial"/>
                <w:color w:val="000000" w:themeColor="text1"/>
                <w:sz w:val="18"/>
                <w:szCs w:val="18"/>
              </w:rPr>
              <w:t>2</w:t>
            </w:r>
            <w:r w:rsidR="008D3598" w:rsidRPr="004F1567">
              <w:rPr>
                <w:rFonts w:ascii="Arial" w:hAnsi="Arial" w:cs="Arial"/>
                <w:color w:val="000000" w:themeColor="text1"/>
                <w:sz w:val="18"/>
                <w:szCs w:val="18"/>
              </w:rPr>
              <w:t>7</w:t>
            </w:r>
            <w:r w:rsidRPr="004F1567">
              <w:rPr>
                <w:rFonts w:ascii="Arial" w:hAnsi="Arial" w:cs="Arial"/>
                <w:color w:val="000000" w:themeColor="text1"/>
                <w:sz w:val="18"/>
                <w:szCs w:val="18"/>
              </w:rPr>
              <w:t>%</w:t>
            </w:r>
          </w:p>
        </w:tc>
      </w:tr>
    </w:tbl>
    <w:p w14:paraId="328DCE3F" w14:textId="77777777" w:rsidR="002678BE" w:rsidRPr="00B710A9" w:rsidRDefault="002678BE" w:rsidP="002678BE">
      <w:pPr>
        <w:autoSpaceDE w:val="0"/>
        <w:autoSpaceDN w:val="0"/>
        <w:adjustRightInd w:val="0"/>
        <w:spacing w:after="0" w:line="240" w:lineRule="auto"/>
        <w:jc w:val="center"/>
        <w:rPr>
          <w:rFonts w:ascii="Arial" w:hAnsi="Arial" w:cs="Arial"/>
          <w:b/>
          <w:bCs/>
          <w:sz w:val="20"/>
          <w:szCs w:val="20"/>
        </w:rPr>
      </w:pPr>
      <w:r w:rsidRPr="00B710A9">
        <w:rPr>
          <w:rFonts w:ascii="Arial" w:hAnsi="Arial" w:cs="Arial"/>
          <w:b/>
          <w:bCs/>
          <w:sz w:val="20"/>
          <w:szCs w:val="20"/>
        </w:rPr>
        <w:t>Fuente: IGAC</w:t>
      </w:r>
    </w:p>
    <w:p w14:paraId="69EB7FB9" w14:textId="77777777" w:rsidR="002678BE" w:rsidRPr="00B710A9" w:rsidRDefault="002678BE" w:rsidP="00525B73">
      <w:pPr>
        <w:textAlignment w:val="baseline"/>
        <w:rPr>
          <w:rFonts w:ascii="Arial" w:hAnsi="Arial" w:cs="Arial"/>
          <w:sz w:val="22"/>
          <w:szCs w:val="22"/>
        </w:rPr>
      </w:pPr>
    </w:p>
    <w:p w14:paraId="7CC1A576" w14:textId="77777777" w:rsidR="002B3AAB" w:rsidRPr="00B710A9" w:rsidRDefault="002B3AAB" w:rsidP="00525B73">
      <w:pPr>
        <w:textAlignment w:val="baseline"/>
        <w:rPr>
          <w:rFonts w:ascii="Arial" w:hAnsi="Arial" w:cs="Arial"/>
          <w:sz w:val="22"/>
          <w:szCs w:val="22"/>
        </w:rPr>
      </w:pPr>
    </w:p>
    <w:p w14:paraId="2977F345" w14:textId="7F26E13E" w:rsidR="009B6AF5" w:rsidRPr="00F03685" w:rsidRDefault="00F03685" w:rsidP="00F03685">
      <w:pPr>
        <w:pStyle w:val="Prrafodelista"/>
        <w:numPr>
          <w:ilvl w:val="0"/>
          <w:numId w:val="122"/>
        </w:numPr>
        <w:spacing w:line="256" w:lineRule="auto"/>
        <w:rPr>
          <w:rFonts w:ascii="Arial" w:hAnsi="Arial" w:cs="Arial"/>
          <w:sz w:val="22"/>
          <w:szCs w:val="22"/>
        </w:rPr>
      </w:pPr>
      <w:r w:rsidRPr="00F03685">
        <w:rPr>
          <w:rFonts w:ascii="Arial" w:hAnsi="Arial" w:cs="Arial"/>
          <w:b/>
          <w:bCs/>
          <w:sz w:val="22"/>
          <w:szCs w:val="22"/>
        </w:rPr>
        <w:t>Análisis de ingresos 2021</w:t>
      </w:r>
      <w:r w:rsidR="009B6AF5" w:rsidRPr="00F03685">
        <w:rPr>
          <w:rFonts w:ascii="Arial" w:hAnsi="Arial" w:cs="Arial"/>
          <w:sz w:val="22"/>
          <w:szCs w:val="22"/>
        </w:rPr>
        <w:t> </w:t>
      </w:r>
    </w:p>
    <w:p w14:paraId="79BC54D6" w14:textId="77777777" w:rsidR="009B6AF5" w:rsidRPr="00B710A9" w:rsidRDefault="009B6AF5" w:rsidP="00A224C8">
      <w:pPr>
        <w:rPr>
          <w:rFonts w:ascii="Arial" w:hAnsi="Arial" w:cs="Arial"/>
          <w:sz w:val="22"/>
        </w:rPr>
      </w:pPr>
    </w:p>
    <w:p w14:paraId="6C936285" w14:textId="24BF5ADB" w:rsidR="00DE4DE4" w:rsidRPr="00B710A9" w:rsidRDefault="00DE4DE4" w:rsidP="00DE4DE4">
      <w:pPr>
        <w:jc w:val="both"/>
        <w:rPr>
          <w:rFonts w:ascii="Arial" w:hAnsi="Arial" w:cs="Arial"/>
          <w:sz w:val="22"/>
        </w:rPr>
      </w:pPr>
      <w:r w:rsidRPr="00B710A9">
        <w:rPr>
          <w:rFonts w:ascii="Arial" w:hAnsi="Arial" w:cs="Arial"/>
          <w:sz w:val="22"/>
        </w:rPr>
        <w:t>El 21,8% del presupuesto corresponde a recursos propios, los cuales se generan por la venta de contado, contratos y convenios. Para el 2021 la meta de ingresos es de $64.554, de los cuales el 85,6% corresponde a contratos y convenios y el 14,3% a ventas de contado.</w:t>
      </w:r>
    </w:p>
    <w:p w14:paraId="0510186B" w14:textId="77777777" w:rsidR="00DE4DE4" w:rsidRPr="00B710A9" w:rsidRDefault="00DE4DE4" w:rsidP="00DE4DE4">
      <w:pPr>
        <w:jc w:val="both"/>
        <w:rPr>
          <w:rFonts w:ascii="Arial" w:hAnsi="Arial" w:cs="Arial"/>
          <w:sz w:val="22"/>
        </w:rPr>
      </w:pPr>
      <w:r w:rsidRPr="00B710A9">
        <w:rPr>
          <w:rFonts w:ascii="Arial" w:hAnsi="Arial" w:cs="Arial"/>
          <w:sz w:val="22"/>
        </w:rPr>
        <w:t>Los ingresos para el año 2021 con corte a 31 de diciembre fueron de $27.211 millones, discriminados de la siguiente manera: </w:t>
      </w:r>
    </w:p>
    <w:p w14:paraId="26B82E3A" w14:textId="77777777" w:rsidR="00AD5FD9" w:rsidRPr="00B710A9" w:rsidRDefault="00AD5FD9" w:rsidP="00A224C8">
      <w:pPr>
        <w:rPr>
          <w:rFonts w:ascii="Arial" w:hAnsi="Arial" w:cs="Arial"/>
          <w:sz w:val="22"/>
        </w:rPr>
      </w:pPr>
    </w:p>
    <w:p w14:paraId="3F414F70" w14:textId="7297B0E0" w:rsidR="00AD5FD9" w:rsidRPr="00B710A9" w:rsidRDefault="00AD5FD9" w:rsidP="00AD5FD9">
      <w:pPr>
        <w:pStyle w:val="Descripcin"/>
        <w:keepNext/>
        <w:jc w:val="center"/>
        <w:rPr>
          <w:rFonts w:ascii="Arial" w:hAnsi="Arial" w:cs="Arial"/>
          <w:b/>
          <w:bCs/>
          <w:i w:val="0"/>
          <w:iCs w:val="0"/>
          <w:color w:val="000000" w:themeColor="text1"/>
          <w:sz w:val="16"/>
          <w:szCs w:val="16"/>
        </w:rPr>
      </w:pPr>
      <w:bookmarkStart w:id="69" w:name="_Toc109057754"/>
      <w:bookmarkStart w:id="70" w:name="_Toc93939894"/>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24</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Ingresos del IGAC por concepto 2021</w:t>
      </w:r>
      <w:bookmarkEnd w:id="69"/>
    </w:p>
    <w:tbl>
      <w:tblPr>
        <w:tblStyle w:val="Tablaconcuadrcula4-nfasis1"/>
        <w:tblW w:w="7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1743"/>
        <w:gridCol w:w="2080"/>
        <w:gridCol w:w="2080"/>
      </w:tblGrid>
      <w:tr w:rsidR="00DE4DE4" w:rsidRPr="00B710A9" w14:paraId="0CBAD1C7" w14:textId="77777777" w:rsidTr="00DE4DE4">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43" w:type="dxa"/>
            <w:tcBorders>
              <w:top w:val="single" w:sz="4" w:space="0" w:color="8DB3E2"/>
              <w:left w:val="single" w:sz="4" w:space="0" w:color="8DB3E2"/>
              <w:bottom w:val="single" w:sz="4" w:space="0" w:color="8DB3E2"/>
              <w:right w:val="single" w:sz="4" w:space="0" w:color="8DB3E2"/>
            </w:tcBorders>
            <w:hideMark/>
          </w:tcPr>
          <w:p w14:paraId="01778A5E" w14:textId="77777777" w:rsidR="00DE4DE4" w:rsidRPr="00B710A9" w:rsidRDefault="00DE4DE4">
            <w:pPr>
              <w:jc w:val="center"/>
              <w:textAlignment w:val="baseline"/>
              <w:rPr>
                <w:rFonts w:ascii="Arial" w:hAnsi="Arial" w:cs="Arial"/>
                <w:color w:val="FFFFFF"/>
                <w:sz w:val="18"/>
                <w:szCs w:val="18"/>
              </w:rPr>
            </w:pPr>
            <w:r w:rsidRPr="00B710A9">
              <w:rPr>
                <w:rFonts w:cs="Arial"/>
                <w:color w:val="FFFFFF"/>
                <w:sz w:val="18"/>
                <w:szCs w:val="18"/>
              </w:rPr>
              <w:t>CONCEPTO</w:t>
            </w:r>
          </w:p>
        </w:tc>
        <w:tc>
          <w:tcPr>
            <w:tcW w:w="1743" w:type="dxa"/>
            <w:tcBorders>
              <w:top w:val="single" w:sz="4" w:space="0" w:color="8DB3E2"/>
              <w:left w:val="single" w:sz="4" w:space="0" w:color="8DB3E2"/>
              <w:bottom w:val="single" w:sz="4" w:space="0" w:color="8DB3E2"/>
              <w:right w:val="single" w:sz="4" w:space="0" w:color="8DB3E2"/>
            </w:tcBorders>
            <w:hideMark/>
          </w:tcPr>
          <w:p w14:paraId="6203F763" w14:textId="77777777" w:rsidR="00DE4DE4" w:rsidRPr="00B710A9" w:rsidRDefault="00DE4DE4">
            <w:pPr>
              <w:jc w:val="center"/>
              <w:textAlignment w:val="baseline"/>
              <w:cnfStyle w:val="100000000000" w:firstRow="1" w:lastRow="0" w:firstColumn="0" w:lastColumn="0" w:oddVBand="0" w:evenVBand="0" w:oddHBand="0" w:evenHBand="0" w:firstRowFirstColumn="0" w:firstRowLastColumn="0" w:lastRowFirstColumn="0" w:lastRowLastColumn="0"/>
              <w:rPr>
                <w:rFonts w:cs="Arial"/>
                <w:sz w:val="18"/>
                <w:szCs w:val="18"/>
              </w:rPr>
            </w:pPr>
            <w:r w:rsidRPr="00B710A9">
              <w:rPr>
                <w:rFonts w:cs="Arial"/>
                <w:bCs w:val="0"/>
                <w:color w:val="FFFFFF"/>
                <w:sz w:val="18"/>
                <w:szCs w:val="18"/>
              </w:rPr>
              <w:t>VENTAS DE CONTADO</w:t>
            </w:r>
            <w:r w:rsidRPr="00B710A9">
              <w:rPr>
                <w:rFonts w:cs="Arial"/>
                <w:color w:val="FFFFFF"/>
                <w:sz w:val="18"/>
                <w:szCs w:val="18"/>
              </w:rPr>
              <w:t> </w:t>
            </w:r>
          </w:p>
        </w:tc>
        <w:tc>
          <w:tcPr>
            <w:tcW w:w="2080" w:type="dxa"/>
            <w:tcBorders>
              <w:top w:val="single" w:sz="4" w:space="0" w:color="8DB3E2"/>
              <w:left w:val="single" w:sz="4" w:space="0" w:color="8DB3E2"/>
              <w:bottom w:val="single" w:sz="4" w:space="0" w:color="8DB3E2"/>
              <w:right w:val="single" w:sz="4" w:space="0" w:color="8DB3E2"/>
            </w:tcBorders>
            <w:hideMark/>
          </w:tcPr>
          <w:p w14:paraId="4D36767E" w14:textId="77777777" w:rsidR="00DE4DE4" w:rsidRPr="00B710A9" w:rsidRDefault="00DE4DE4">
            <w:pPr>
              <w:jc w:val="center"/>
              <w:textAlignment w:val="baseline"/>
              <w:cnfStyle w:val="100000000000" w:firstRow="1" w:lastRow="0" w:firstColumn="0" w:lastColumn="0" w:oddVBand="0" w:evenVBand="0" w:oddHBand="0" w:evenHBand="0" w:firstRowFirstColumn="0" w:firstRowLastColumn="0" w:lastRowFirstColumn="0" w:lastRowLastColumn="0"/>
              <w:rPr>
                <w:rFonts w:cs="Arial"/>
                <w:sz w:val="18"/>
                <w:szCs w:val="18"/>
              </w:rPr>
            </w:pPr>
            <w:r w:rsidRPr="00B710A9">
              <w:rPr>
                <w:rFonts w:cs="Arial"/>
                <w:bCs w:val="0"/>
                <w:color w:val="FFFFFF"/>
                <w:sz w:val="18"/>
                <w:szCs w:val="18"/>
              </w:rPr>
              <w:t>CONVENIOS Y CONTRATOS</w:t>
            </w:r>
            <w:r w:rsidRPr="00B710A9">
              <w:rPr>
                <w:rFonts w:cs="Arial"/>
                <w:color w:val="FFFFFF"/>
                <w:sz w:val="18"/>
                <w:szCs w:val="18"/>
              </w:rPr>
              <w:t> </w:t>
            </w:r>
          </w:p>
        </w:tc>
        <w:tc>
          <w:tcPr>
            <w:tcW w:w="2080" w:type="dxa"/>
            <w:tcBorders>
              <w:top w:val="single" w:sz="4" w:space="0" w:color="8DB3E2"/>
              <w:left w:val="single" w:sz="4" w:space="0" w:color="8DB3E2"/>
              <w:bottom w:val="single" w:sz="4" w:space="0" w:color="8DB3E2"/>
              <w:right w:val="single" w:sz="4" w:space="0" w:color="8DB3E2"/>
            </w:tcBorders>
            <w:hideMark/>
          </w:tcPr>
          <w:p w14:paraId="3D6CA9CC" w14:textId="77777777" w:rsidR="00DE4DE4" w:rsidRPr="00B710A9" w:rsidRDefault="00DE4DE4">
            <w:pPr>
              <w:jc w:val="center"/>
              <w:textAlignment w:val="baseline"/>
              <w:cnfStyle w:val="100000000000" w:firstRow="1" w:lastRow="0" w:firstColumn="0" w:lastColumn="0" w:oddVBand="0" w:evenVBand="0" w:oddHBand="0" w:evenHBand="0" w:firstRowFirstColumn="0" w:firstRowLastColumn="0" w:lastRowFirstColumn="0" w:lastRowLastColumn="0"/>
              <w:rPr>
                <w:rFonts w:cs="Arial"/>
                <w:color w:val="FFFFFF"/>
                <w:sz w:val="18"/>
                <w:szCs w:val="18"/>
              </w:rPr>
            </w:pPr>
            <w:r w:rsidRPr="00B710A9">
              <w:rPr>
                <w:rFonts w:cs="Arial"/>
                <w:color w:val="FFFFFF"/>
                <w:sz w:val="18"/>
                <w:szCs w:val="18"/>
              </w:rPr>
              <w:t>TOTAL</w:t>
            </w:r>
          </w:p>
        </w:tc>
      </w:tr>
      <w:tr w:rsidR="00DE4DE4" w:rsidRPr="00B710A9" w14:paraId="2C50B9F1" w14:textId="77777777" w:rsidTr="00DE4DE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43" w:type="dxa"/>
            <w:tcBorders>
              <w:top w:val="single" w:sz="4" w:space="0" w:color="8DB3E2"/>
              <w:left w:val="single" w:sz="4" w:space="0" w:color="8DB3E2"/>
              <w:bottom w:val="single" w:sz="4" w:space="0" w:color="8DB3E2"/>
              <w:right w:val="single" w:sz="4" w:space="0" w:color="8DB3E2"/>
            </w:tcBorders>
            <w:hideMark/>
          </w:tcPr>
          <w:p w14:paraId="760E6A86" w14:textId="77777777" w:rsidR="00DE4DE4" w:rsidRPr="00B710A9" w:rsidRDefault="00DE4DE4">
            <w:pPr>
              <w:jc w:val="center"/>
              <w:textAlignment w:val="baseline"/>
              <w:rPr>
                <w:rFonts w:cs="Arial"/>
                <w:color w:val="000000"/>
                <w:sz w:val="18"/>
                <w:szCs w:val="18"/>
              </w:rPr>
            </w:pPr>
            <w:r w:rsidRPr="00B710A9">
              <w:rPr>
                <w:rFonts w:cs="Arial"/>
                <w:b w:val="0"/>
                <w:bCs w:val="0"/>
                <w:color w:val="000000"/>
                <w:sz w:val="18"/>
                <w:szCs w:val="18"/>
              </w:rPr>
              <w:t>INGRESOS</w:t>
            </w:r>
          </w:p>
        </w:tc>
        <w:tc>
          <w:tcPr>
            <w:tcW w:w="1743" w:type="dxa"/>
            <w:tcBorders>
              <w:top w:val="single" w:sz="4" w:space="0" w:color="8DB3E2"/>
              <w:left w:val="single" w:sz="4" w:space="0" w:color="8DB3E2"/>
              <w:bottom w:val="single" w:sz="4" w:space="0" w:color="8DB3E2"/>
              <w:right w:val="single" w:sz="4" w:space="0" w:color="8DB3E2"/>
            </w:tcBorders>
            <w:hideMark/>
          </w:tcPr>
          <w:p w14:paraId="22198F77" w14:textId="77777777" w:rsidR="00DE4DE4" w:rsidRPr="00B710A9" w:rsidRDefault="00DE4DE4">
            <w:pPr>
              <w:jc w:val="cente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710A9">
              <w:rPr>
                <w:rFonts w:cs="Arial"/>
                <w:color w:val="000000"/>
                <w:sz w:val="18"/>
                <w:szCs w:val="18"/>
              </w:rPr>
              <w:t>$4.729</w:t>
            </w:r>
          </w:p>
        </w:tc>
        <w:tc>
          <w:tcPr>
            <w:tcW w:w="2080" w:type="dxa"/>
            <w:tcBorders>
              <w:top w:val="single" w:sz="4" w:space="0" w:color="8DB3E2"/>
              <w:left w:val="single" w:sz="4" w:space="0" w:color="8DB3E2"/>
              <w:bottom w:val="single" w:sz="4" w:space="0" w:color="8DB3E2"/>
              <w:right w:val="single" w:sz="4" w:space="0" w:color="8DB3E2"/>
            </w:tcBorders>
            <w:hideMark/>
          </w:tcPr>
          <w:p w14:paraId="49A19A94" w14:textId="77777777" w:rsidR="00DE4DE4" w:rsidRPr="00B710A9" w:rsidRDefault="00DE4DE4">
            <w:pPr>
              <w:jc w:val="center"/>
              <w:textAlignment w:val="baseline"/>
              <w:cnfStyle w:val="000000100000" w:firstRow="0" w:lastRow="0" w:firstColumn="0" w:lastColumn="0" w:oddVBand="0" w:evenVBand="0" w:oddHBand="1" w:evenHBand="0" w:firstRowFirstColumn="0" w:firstRowLastColumn="0" w:lastRowFirstColumn="0" w:lastRowLastColumn="0"/>
              <w:rPr>
                <w:rFonts w:cs="Arial"/>
                <w:bCs/>
                <w:sz w:val="18"/>
              </w:rPr>
            </w:pPr>
            <w:r w:rsidRPr="00B710A9">
              <w:rPr>
                <w:rFonts w:cs="Arial"/>
                <w:bCs/>
                <w:sz w:val="18"/>
              </w:rPr>
              <w:t>$22.482</w:t>
            </w:r>
          </w:p>
        </w:tc>
        <w:tc>
          <w:tcPr>
            <w:tcW w:w="2080" w:type="dxa"/>
            <w:tcBorders>
              <w:top w:val="single" w:sz="4" w:space="0" w:color="8DB3E2"/>
              <w:left w:val="single" w:sz="4" w:space="0" w:color="8DB3E2"/>
              <w:bottom w:val="single" w:sz="4" w:space="0" w:color="8DB3E2"/>
              <w:right w:val="single" w:sz="4" w:space="0" w:color="8DB3E2"/>
            </w:tcBorders>
            <w:hideMark/>
          </w:tcPr>
          <w:p w14:paraId="57B3EB24" w14:textId="77777777" w:rsidR="00DE4DE4" w:rsidRPr="00B710A9" w:rsidRDefault="00DE4DE4">
            <w:pPr>
              <w:jc w:val="cente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710A9">
              <w:rPr>
                <w:rFonts w:cs="Arial"/>
                <w:color w:val="000000"/>
                <w:sz w:val="18"/>
                <w:szCs w:val="18"/>
              </w:rPr>
              <w:t>$27.211</w:t>
            </w:r>
          </w:p>
        </w:tc>
      </w:tr>
      <w:tr w:rsidR="00DE4DE4" w:rsidRPr="00B710A9" w14:paraId="5E167A92" w14:textId="77777777" w:rsidTr="00DE4DE4">
        <w:trPr>
          <w:trHeight w:val="315"/>
          <w:jc w:val="center"/>
        </w:trPr>
        <w:tc>
          <w:tcPr>
            <w:cnfStyle w:val="001000000000" w:firstRow="0" w:lastRow="0" w:firstColumn="1" w:lastColumn="0" w:oddVBand="0" w:evenVBand="0" w:oddHBand="0" w:evenHBand="0" w:firstRowFirstColumn="0" w:firstRowLastColumn="0" w:lastRowFirstColumn="0" w:lastRowLastColumn="0"/>
            <w:tcW w:w="1743" w:type="dxa"/>
            <w:tcBorders>
              <w:top w:val="single" w:sz="4" w:space="0" w:color="8DB3E2"/>
              <w:left w:val="single" w:sz="4" w:space="0" w:color="8DB3E2"/>
              <w:bottom w:val="single" w:sz="4" w:space="0" w:color="8DB3E2"/>
              <w:right w:val="single" w:sz="4" w:space="0" w:color="8DB3E2"/>
            </w:tcBorders>
            <w:hideMark/>
          </w:tcPr>
          <w:p w14:paraId="2FFA21AD" w14:textId="77777777" w:rsidR="00DE4DE4" w:rsidRPr="00B710A9" w:rsidRDefault="00DE4DE4">
            <w:pPr>
              <w:jc w:val="center"/>
              <w:textAlignment w:val="baseline"/>
              <w:rPr>
                <w:rFonts w:cs="Arial"/>
                <w:b w:val="0"/>
                <w:bCs w:val="0"/>
                <w:color w:val="000000"/>
                <w:sz w:val="18"/>
                <w:szCs w:val="18"/>
              </w:rPr>
            </w:pPr>
            <w:r w:rsidRPr="00B710A9">
              <w:rPr>
                <w:rFonts w:cs="Arial"/>
                <w:b w:val="0"/>
                <w:bCs w:val="0"/>
                <w:color w:val="000000"/>
                <w:sz w:val="18"/>
                <w:szCs w:val="18"/>
              </w:rPr>
              <w:t>META</w:t>
            </w:r>
          </w:p>
        </w:tc>
        <w:tc>
          <w:tcPr>
            <w:tcW w:w="1743" w:type="dxa"/>
            <w:tcBorders>
              <w:top w:val="single" w:sz="4" w:space="0" w:color="8DB3E2"/>
              <w:left w:val="single" w:sz="4" w:space="0" w:color="8DB3E2"/>
              <w:bottom w:val="single" w:sz="4" w:space="0" w:color="8DB3E2"/>
              <w:right w:val="single" w:sz="4" w:space="0" w:color="8DB3E2"/>
            </w:tcBorders>
            <w:hideMark/>
          </w:tcPr>
          <w:p w14:paraId="29EABC7F" w14:textId="77777777" w:rsidR="00DE4DE4" w:rsidRPr="00B710A9" w:rsidRDefault="00DE4DE4">
            <w:pPr>
              <w:jc w:val="center"/>
              <w:textAlignment w:val="baseline"/>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710A9">
              <w:rPr>
                <w:rFonts w:cs="Arial"/>
                <w:color w:val="000000"/>
                <w:sz w:val="18"/>
                <w:szCs w:val="18"/>
              </w:rPr>
              <w:t>$9.259</w:t>
            </w:r>
          </w:p>
        </w:tc>
        <w:tc>
          <w:tcPr>
            <w:tcW w:w="2080" w:type="dxa"/>
            <w:tcBorders>
              <w:top w:val="single" w:sz="4" w:space="0" w:color="8DB3E2"/>
              <w:left w:val="single" w:sz="4" w:space="0" w:color="8DB3E2"/>
              <w:bottom w:val="single" w:sz="4" w:space="0" w:color="8DB3E2"/>
              <w:right w:val="single" w:sz="4" w:space="0" w:color="8DB3E2"/>
            </w:tcBorders>
            <w:hideMark/>
          </w:tcPr>
          <w:p w14:paraId="2D4E1507" w14:textId="77777777" w:rsidR="00DE4DE4" w:rsidRPr="00B710A9" w:rsidRDefault="00DE4DE4">
            <w:pPr>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sz w:val="18"/>
                <w:szCs w:val="18"/>
              </w:rPr>
            </w:pPr>
            <w:r w:rsidRPr="00B710A9">
              <w:rPr>
                <w:rFonts w:cs="Arial"/>
                <w:bCs/>
                <w:color w:val="000000"/>
                <w:sz w:val="18"/>
                <w:szCs w:val="18"/>
              </w:rPr>
              <w:t>$55.295</w:t>
            </w:r>
          </w:p>
        </w:tc>
        <w:tc>
          <w:tcPr>
            <w:tcW w:w="2080" w:type="dxa"/>
            <w:tcBorders>
              <w:top w:val="single" w:sz="4" w:space="0" w:color="8DB3E2"/>
              <w:left w:val="single" w:sz="4" w:space="0" w:color="8DB3E2"/>
              <w:bottom w:val="single" w:sz="4" w:space="0" w:color="8DB3E2"/>
              <w:right w:val="single" w:sz="4" w:space="0" w:color="8DB3E2"/>
            </w:tcBorders>
            <w:hideMark/>
          </w:tcPr>
          <w:p w14:paraId="27896C8F" w14:textId="77777777" w:rsidR="00DE4DE4" w:rsidRPr="00B710A9" w:rsidRDefault="00DE4DE4">
            <w:pPr>
              <w:jc w:val="center"/>
              <w:textAlignment w:val="baseline"/>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710A9">
              <w:rPr>
                <w:rFonts w:cs="Arial"/>
                <w:color w:val="000000"/>
                <w:sz w:val="18"/>
                <w:szCs w:val="18"/>
              </w:rPr>
              <w:t>$64.554</w:t>
            </w:r>
          </w:p>
        </w:tc>
      </w:tr>
      <w:tr w:rsidR="00DE4DE4" w:rsidRPr="00B710A9" w14:paraId="15262986" w14:textId="77777777" w:rsidTr="00DE4DE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43" w:type="dxa"/>
            <w:tcBorders>
              <w:top w:val="single" w:sz="4" w:space="0" w:color="8DB3E2"/>
              <w:left w:val="single" w:sz="4" w:space="0" w:color="8DB3E2"/>
              <w:bottom w:val="single" w:sz="4" w:space="0" w:color="8DB3E2"/>
              <w:right w:val="single" w:sz="4" w:space="0" w:color="8DB3E2"/>
            </w:tcBorders>
            <w:hideMark/>
          </w:tcPr>
          <w:p w14:paraId="1F691DF7" w14:textId="77777777" w:rsidR="00DE4DE4" w:rsidRPr="00B710A9" w:rsidRDefault="00DE4DE4">
            <w:pPr>
              <w:jc w:val="center"/>
              <w:textAlignment w:val="baseline"/>
              <w:rPr>
                <w:rFonts w:cs="Arial"/>
                <w:color w:val="000000"/>
                <w:sz w:val="18"/>
                <w:szCs w:val="18"/>
              </w:rPr>
            </w:pPr>
            <w:r w:rsidRPr="00B710A9">
              <w:rPr>
                <w:rFonts w:cs="Arial"/>
                <w:color w:val="000000"/>
                <w:sz w:val="18"/>
                <w:szCs w:val="18"/>
              </w:rPr>
              <w:t>CUMPLIMIENTO</w:t>
            </w:r>
          </w:p>
        </w:tc>
        <w:tc>
          <w:tcPr>
            <w:tcW w:w="1743" w:type="dxa"/>
            <w:tcBorders>
              <w:top w:val="single" w:sz="4" w:space="0" w:color="8DB3E2"/>
              <w:left w:val="single" w:sz="4" w:space="0" w:color="8DB3E2"/>
              <w:bottom w:val="single" w:sz="4" w:space="0" w:color="8DB3E2"/>
              <w:right w:val="single" w:sz="4" w:space="0" w:color="8DB3E2"/>
            </w:tcBorders>
            <w:hideMark/>
          </w:tcPr>
          <w:p w14:paraId="1EAF47ED" w14:textId="77777777" w:rsidR="00DE4DE4" w:rsidRPr="00B710A9" w:rsidRDefault="00DE4DE4">
            <w:pPr>
              <w:jc w:val="center"/>
              <w:textAlignment w:val="baseline"/>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710A9">
              <w:rPr>
                <w:rFonts w:cs="Arial"/>
                <w:b/>
                <w:bCs/>
                <w:color w:val="000000"/>
                <w:sz w:val="18"/>
                <w:szCs w:val="18"/>
              </w:rPr>
              <w:t>51%</w:t>
            </w:r>
          </w:p>
        </w:tc>
        <w:tc>
          <w:tcPr>
            <w:tcW w:w="2080" w:type="dxa"/>
            <w:tcBorders>
              <w:top w:val="single" w:sz="4" w:space="0" w:color="8DB3E2"/>
              <w:left w:val="single" w:sz="4" w:space="0" w:color="8DB3E2"/>
              <w:bottom w:val="single" w:sz="4" w:space="0" w:color="8DB3E2"/>
              <w:right w:val="single" w:sz="4" w:space="0" w:color="8DB3E2"/>
            </w:tcBorders>
            <w:hideMark/>
          </w:tcPr>
          <w:p w14:paraId="4567159B" w14:textId="77777777" w:rsidR="00DE4DE4" w:rsidRPr="00B710A9" w:rsidRDefault="00DE4DE4">
            <w:pPr>
              <w:jc w:val="center"/>
              <w:textAlignment w:val="baseline"/>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710A9">
              <w:rPr>
                <w:rFonts w:cs="Arial"/>
                <w:b/>
                <w:bCs/>
                <w:color w:val="000000"/>
                <w:sz w:val="18"/>
                <w:szCs w:val="18"/>
              </w:rPr>
              <w:t>41%</w:t>
            </w:r>
          </w:p>
        </w:tc>
        <w:tc>
          <w:tcPr>
            <w:tcW w:w="2080" w:type="dxa"/>
            <w:tcBorders>
              <w:top w:val="single" w:sz="4" w:space="0" w:color="8DB3E2"/>
              <w:left w:val="single" w:sz="4" w:space="0" w:color="8DB3E2"/>
              <w:bottom w:val="single" w:sz="4" w:space="0" w:color="8DB3E2"/>
              <w:right w:val="single" w:sz="4" w:space="0" w:color="8DB3E2"/>
            </w:tcBorders>
            <w:hideMark/>
          </w:tcPr>
          <w:p w14:paraId="1EB4B23A" w14:textId="77777777" w:rsidR="00DE4DE4" w:rsidRPr="00B710A9" w:rsidRDefault="00DE4DE4">
            <w:pPr>
              <w:jc w:val="center"/>
              <w:textAlignment w:val="baseline"/>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710A9">
              <w:rPr>
                <w:rFonts w:cs="Arial"/>
                <w:b/>
                <w:bCs/>
                <w:color w:val="000000"/>
                <w:sz w:val="18"/>
                <w:szCs w:val="18"/>
              </w:rPr>
              <w:t>42%</w:t>
            </w:r>
          </w:p>
        </w:tc>
      </w:tr>
    </w:tbl>
    <w:p w14:paraId="7413B3F9" w14:textId="77777777" w:rsidR="00DE4DE4" w:rsidRPr="00B710A9" w:rsidRDefault="00DE4DE4" w:rsidP="00DE4DE4">
      <w:pPr>
        <w:pStyle w:val="Prrafodelista"/>
        <w:jc w:val="center"/>
        <w:rPr>
          <w:rFonts w:ascii="Arial" w:eastAsia="Times New Roman" w:hAnsi="Arial" w:cs="Arial"/>
          <w:b/>
          <w:sz w:val="16"/>
          <w:szCs w:val="16"/>
          <w:lang w:val="es-ES"/>
        </w:rPr>
      </w:pPr>
      <w:r w:rsidRPr="00B710A9">
        <w:rPr>
          <w:rFonts w:cs="Arial"/>
          <w:b/>
          <w:sz w:val="16"/>
          <w:szCs w:val="16"/>
        </w:rPr>
        <w:t>Fuente: SIIF Nación (cifras expresadas en millones)</w:t>
      </w:r>
    </w:p>
    <w:bookmarkEnd w:id="70"/>
    <w:p w14:paraId="47F2A3D5" w14:textId="77777777" w:rsidR="00DE4DE4" w:rsidRPr="00B710A9" w:rsidRDefault="00DE4DE4" w:rsidP="004146B8">
      <w:pPr>
        <w:pStyle w:val="Descripcin"/>
        <w:keepNext/>
        <w:jc w:val="center"/>
        <w:rPr>
          <w:rFonts w:ascii="Arial" w:hAnsi="Arial" w:cs="Arial"/>
          <w:b/>
          <w:i w:val="0"/>
          <w:iCs w:val="0"/>
          <w:color w:val="000000" w:themeColor="text1"/>
          <w:sz w:val="16"/>
          <w:szCs w:val="16"/>
        </w:rPr>
      </w:pPr>
    </w:p>
    <w:p w14:paraId="7F413A09" w14:textId="019680F4" w:rsidR="007F61B7" w:rsidRPr="00F03685" w:rsidRDefault="00F03685" w:rsidP="00F03685">
      <w:pPr>
        <w:pStyle w:val="Prrafodelista"/>
        <w:numPr>
          <w:ilvl w:val="0"/>
          <w:numId w:val="122"/>
        </w:numPr>
        <w:spacing w:line="254" w:lineRule="auto"/>
        <w:rPr>
          <w:rFonts w:ascii="Arial" w:hAnsi="Arial" w:cs="Arial"/>
          <w:sz w:val="22"/>
          <w:szCs w:val="22"/>
        </w:rPr>
      </w:pPr>
      <w:r w:rsidRPr="00F03685">
        <w:rPr>
          <w:rFonts w:ascii="Arial" w:hAnsi="Arial" w:cs="Arial"/>
          <w:b/>
          <w:bCs/>
          <w:sz w:val="22"/>
          <w:szCs w:val="22"/>
        </w:rPr>
        <w:t>Análisis de ingresos 2022</w:t>
      </w:r>
      <w:r w:rsidR="007F61B7" w:rsidRPr="00F03685">
        <w:rPr>
          <w:rFonts w:ascii="Arial" w:hAnsi="Arial" w:cs="Arial"/>
          <w:sz w:val="22"/>
          <w:szCs w:val="22"/>
        </w:rPr>
        <w:t> </w:t>
      </w:r>
    </w:p>
    <w:p w14:paraId="7E277885" w14:textId="77777777" w:rsidR="00BB692C" w:rsidRPr="00B710A9" w:rsidRDefault="00BB692C" w:rsidP="007F61B7">
      <w:pPr>
        <w:rPr>
          <w:rFonts w:ascii="Arial" w:hAnsi="Arial" w:cs="Arial"/>
          <w:sz w:val="22"/>
        </w:rPr>
      </w:pPr>
    </w:p>
    <w:p w14:paraId="05DEE42D" w14:textId="7BCCE2D8" w:rsidR="007F61B7" w:rsidRPr="00B710A9" w:rsidRDefault="007F61B7" w:rsidP="00343A2B">
      <w:pPr>
        <w:jc w:val="both"/>
        <w:rPr>
          <w:rFonts w:ascii="Arial" w:hAnsi="Arial" w:cs="Arial"/>
          <w:sz w:val="22"/>
        </w:rPr>
      </w:pPr>
      <w:r w:rsidRPr="00B710A9">
        <w:rPr>
          <w:rFonts w:ascii="Arial" w:hAnsi="Arial" w:cs="Arial"/>
          <w:sz w:val="22"/>
        </w:rPr>
        <w:t>El 17,2% del presupuesto corresponde a recursos propios, los cuales se generan por la venta de contado, contratos y convenios. Para el 2022 la meta de ingresos es de $66.325millones, de los cuales el 14,8% corresponde a contratos y convenios y el 85,2% a ventas de contado.</w:t>
      </w:r>
    </w:p>
    <w:p w14:paraId="1885D647" w14:textId="77777777" w:rsidR="007F61B7" w:rsidRPr="00B710A9" w:rsidRDefault="007F61B7" w:rsidP="007F61B7">
      <w:pPr>
        <w:rPr>
          <w:rFonts w:ascii="Arial" w:hAnsi="Arial" w:cs="Arial"/>
          <w:sz w:val="22"/>
        </w:rPr>
      </w:pPr>
      <w:r w:rsidRPr="00B710A9">
        <w:rPr>
          <w:rFonts w:ascii="Arial" w:hAnsi="Arial" w:cs="Arial"/>
          <w:sz w:val="22"/>
        </w:rPr>
        <w:lastRenderedPageBreak/>
        <w:t>Los ingresos para el año 2022 con corte a 31 de mayo</w:t>
      </w:r>
      <w:r w:rsidRPr="00B710A9">
        <w:rPr>
          <w:rFonts w:ascii="Arial" w:hAnsi="Arial" w:cs="Arial"/>
          <w:color w:val="FF0000"/>
          <w:sz w:val="22"/>
        </w:rPr>
        <w:t xml:space="preserve"> </w:t>
      </w:r>
      <w:r w:rsidRPr="00B710A9">
        <w:rPr>
          <w:rFonts w:ascii="Arial" w:hAnsi="Arial" w:cs="Arial"/>
          <w:sz w:val="22"/>
        </w:rPr>
        <w:t>son de $6.929 discriminados de la siguiente manera: </w:t>
      </w:r>
    </w:p>
    <w:p w14:paraId="246C4EC8" w14:textId="77777777" w:rsidR="00BB692C" w:rsidRPr="00B710A9" w:rsidRDefault="00BB692C" w:rsidP="00BB692C">
      <w:pPr>
        <w:pStyle w:val="Descripcin"/>
        <w:keepNext/>
        <w:jc w:val="center"/>
        <w:rPr>
          <w:rFonts w:ascii="Arial" w:hAnsi="Arial" w:cs="Arial"/>
          <w:b/>
          <w:i w:val="0"/>
          <w:iCs w:val="0"/>
          <w:color w:val="000000" w:themeColor="text1"/>
          <w:sz w:val="16"/>
          <w:szCs w:val="16"/>
        </w:rPr>
      </w:pPr>
    </w:p>
    <w:p w14:paraId="6A171C34" w14:textId="77777777" w:rsidR="00BB692C" w:rsidRPr="00B710A9" w:rsidRDefault="00BB692C" w:rsidP="00BB692C">
      <w:pPr>
        <w:pStyle w:val="Descripcin"/>
        <w:keepNext/>
        <w:jc w:val="center"/>
        <w:rPr>
          <w:rFonts w:ascii="Arial" w:hAnsi="Arial" w:cs="Arial"/>
          <w:b/>
          <w:i w:val="0"/>
          <w:iCs w:val="0"/>
          <w:color w:val="000000" w:themeColor="text1"/>
          <w:sz w:val="16"/>
          <w:szCs w:val="16"/>
        </w:rPr>
      </w:pPr>
      <w:bookmarkStart w:id="71" w:name="_Toc109057755"/>
      <w:r w:rsidRPr="00B710A9">
        <w:rPr>
          <w:rFonts w:ascii="Arial" w:hAnsi="Arial" w:cs="Arial"/>
          <w:b/>
          <w:i w:val="0"/>
          <w:iCs w:val="0"/>
          <w:color w:val="000000" w:themeColor="text1"/>
          <w:sz w:val="16"/>
          <w:szCs w:val="16"/>
        </w:rPr>
        <w:t xml:space="preserve">Tabla </w:t>
      </w:r>
      <w:r w:rsidRPr="00B710A9">
        <w:rPr>
          <w:rFonts w:ascii="Arial" w:hAnsi="Arial" w:cs="Arial"/>
          <w:b/>
          <w:i w:val="0"/>
          <w:iCs w:val="0"/>
          <w:color w:val="000000" w:themeColor="text1"/>
          <w:sz w:val="16"/>
          <w:szCs w:val="16"/>
        </w:rPr>
        <w:fldChar w:fldCharType="begin"/>
      </w:r>
      <w:r w:rsidRPr="00B710A9">
        <w:rPr>
          <w:rFonts w:ascii="Arial" w:hAnsi="Arial" w:cs="Arial"/>
          <w:b/>
          <w:i w:val="0"/>
          <w:iCs w:val="0"/>
          <w:color w:val="000000" w:themeColor="text1"/>
          <w:sz w:val="16"/>
          <w:szCs w:val="16"/>
        </w:rPr>
        <w:instrText xml:space="preserve"> SEQ Tabla \* ARABIC </w:instrText>
      </w:r>
      <w:r w:rsidRPr="00B710A9">
        <w:rPr>
          <w:rFonts w:ascii="Arial" w:hAnsi="Arial" w:cs="Arial"/>
          <w:b/>
          <w:i w:val="0"/>
          <w:iCs w:val="0"/>
          <w:color w:val="000000" w:themeColor="text1"/>
          <w:sz w:val="16"/>
          <w:szCs w:val="16"/>
        </w:rPr>
        <w:fldChar w:fldCharType="separate"/>
      </w:r>
      <w:r w:rsidRPr="00B710A9">
        <w:rPr>
          <w:rFonts w:ascii="Arial" w:hAnsi="Arial" w:cs="Arial"/>
          <w:b/>
          <w:i w:val="0"/>
          <w:iCs w:val="0"/>
          <w:noProof/>
          <w:color w:val="000000" w:themeColor="text1"/>
          <w:sz w:val="16"/>
          <w:szCs w:val="16"/>
        </w:rPr>
        <w:t>25</w:t>
      </w:r>
      <w:r w:rsidRPr="00B710A9">
        <w:rPr>
          <w:rFonts w:ascii="Arial" w:hAnsi="Arial" w:cs="Arial"/>
          <w:b/>
          <w:i w:val="0"/>
          <w:iCs w:val="0"/>
          <w:color w:val="000000" w:themeColor="text1"/>
          <w:sz w:val="16"/>
          <w:szCs w:val="16"/>
        </w:rPr>
        <w:fldChar w:fldCharType="end"/>
      </w:r>
      <w:r w:rsidRPr="00B710A9">
        <w:rPr>
          <w:rFonts w:ascii="Arial" w:hAnsi="Arial" w:cs="Arial"/>
          <w:b/>
          <w:i w:val="0"/>
          <w:iCs w:val="0"/>
          <w:color w:val="000000" w:themeColor="text1"/>
          <w:sz w:val="16"/>
          <w:szCs w:val="16"/>
        </w:rPr>
        <w:t>. Ingresos del IGAC por concepto 2022</w:t>
      </w:r>
      <w:bookmarkEnd w:id="71"/>
    </w:p>
    <w:tbl>
      <w:tblPr>
        <w:tblStyle w:val="Tablaconcuadrcula4-nfasis1"/>
        <w:tblW w:w="7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1743"/>
        <w:gridCol w:w="2080"/>
        <w:gridCol w:w="2080"/>
      </w:tblGrid>
      <w:tr w:rsidR="007F61B7" w:rsidRPr="00B710A9" w14:paraId="13192AC0" w14:textId="77777777" w:rsidTr="007F61B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43" w:type="dxa"/>
            <w:tcBorders>
              <w:top w:val="single" w:sz="4" w:space="0" w:color="8DB3E2"/>
              <w:left w:val="single" w:sz="4" w:space="0" w:color="8DB3E2"/>
              <w:bottom w:val="single" w:sz="4" w:space="0" w:color="8DB3E2"/>
              <w:right w:val="single" w:sz="4" w:space="0" w:color="8DB3E2"/>
            </w:tcBorders>
            <w:hideMark/>
          </w:tcPr>
          <w:p w14:paraId="5EE0EB2E" w14:textId="77777777" w:rsidR="007F61B7" w:rsidRPr="00B710A9" w:rsidRDefault="007F61B7">
            <w:pPr>
              <w:jc w:val="center"/>
              <w:textAlignment w:val="baseline"/>
              <w:rPr>
                <w:rFonts w:ascii="Arial" w:hAnsi="Arial" w:cs="Arial"/>
                <w:color w:val="FFFFFF"/>
                <w:sz w:val="18"/>
                <w:szCs w:val="18"/>
              </w:rPr>
            </w:pPr>
            <w:r w:rsidRPr="00B710A9">
              <w:rPr>
                <w:rFonts w:cs="Arial"/>
                <w:color w:val="FFFFFF"/>
                <w:sz w:val="18"/>
                <w:szCs w:val="18"/>
              </w:rPr>
              <w:t>CONCEPTO</w:t>
            </w:r>
          </w:p>
        </w:tc>
        <w:tc>
          <w:tcPr>
            <w:tcW w:w="1743" w:type="dxa"/>
            <w:tcBorders>
              <w:top w:val="single" w:sz="4" w:space="0" w:color="8DB3E2"/>
              <w:left w:val="single" w:sz="4" w:space="0" w:color="8DB3E2"/>
              <w:bottom w:val="single" w:sz="4" w:space="0" w:color="8DB3E2"/>
              <w:right w:val="single" w:sz="4" w:space="0" w:color="8DB3E2"/>
            </w:tcBorders>
            <w:hideMark/>
          </w:tcPr>
          <w:p w14:paraId="75AB3680" w14:textId="77777777" w:rsidR="007F61B7" w:rsidRPr="00B710A9" w:rsidRDefault="007F61B7">
            <w:pPr>
              <w:jc w:val="center"/>
              <w:textAlignment w:val="baseline"/>
              <w:cnfStyle w:val="100000000000" w:firstRow="1" w:lastRow="0" w:firstColumn="0" w:lastColumn="0" w:oddVBand="0" w:evenVBand="0" w:oddHBand="0" w:evenHBand="0" w:firstRowFirstColumn="0" w:firstRowLastColumn="0" w:lastRowFirstColumn="0" w:lastRowLastColumn="0"/>
              <w:rPr>
                <w:rFonts w:cs="Arial"/>
                <w:sz w:val="18"/>
                <w:szCs w:val="18"/>
              </w:rPr>
            </w:pPr>
            <w:r w:rsidRPr="00B710A9">
              <w:rPr>
                <w:rFonts w:cs="Arial"/>
                <w:bCs w:val="0"/>
                <w:color w:val="FFFFFF"/>
                <w:sz w:val="18"/>
                <w:szCs w:val="18"/>
              </w:rPr>
              <w:t>VENTAS DE CONTADO</w:t>
            </w:r>
            <w:r w:rsidRPr="00B710A9">
              <w:rPr>
                <w:rFonts w:cs="Arial"/>
                <w:color w:val="FFFFFF"/>
                <w:sz w:val="18"/>
                <w:szCs w:val="18"/>
              </w:rPr>
              <w:t> </w:t>
            </w:r>
          </w:p>
        </w:tc>
        <w:tc>
          <w:tcPr>
            <w:tcW w:w="2080" w:type="dxa"/>
            <w:tcBorders>
              <w:top w:val="single" w:sz="4" w:space="0" w:color="8DB3E2"/>
              <w:left w:val="single" w:sz="4" w:space="0" w:color="8DB3E2"/>
              <w:bottom w:val="single" w:sz="4" w:space="0" w:color="8DB3E2"/>
              <w:right w:val="single" w:sz="4" w:space="0" w:color="8DB3E2"/>
            </w:tcBorders>
            <w:hideMark/>
          </w:tcPr>
          <w:p w14:paraId="4456B0D4" w14:textId="77777777" w:rsidR="007F61B7" w:rsidRPr="00B710A9" w:rsidRDefault="007F61B7">
            <w:pPr>
              <w:jc w:val="center"/>
              <w:textAlignment w:val="baseline"/>
              <w:cnfStyle w:val="100000000000" w:firstRow="1" w:lastRow="0" w:firstColumn="0" w:lastColumn="0" w:oddVBand="0" w:evenVBand="0" w:oddHBand="0" w:evenHBand="0" w:firstRowFirstColumn="0" w:firstRowLastColumn="0" w:lastRowFirstColumn="0" w:lastRowLastColumn="0"/>
              <w:rPr>
                <w:rFonts w:cs="Arial"/>
                <w:sz w:val="18"/>
                <w:szCs w:val="18"/>
              </w:rPr>
            </w:pPr>
            <w:r w:rsidRPr="00B710A9">
              <w:rPr>
                <w:rFonts w:cs="Arial"/>
                <w:bCs w:val="0"/>
                <w:color w:val="FFFFFF"/>
                <w:sz w:val="18"/>
                <w:szCs w:val="18"/>
              </w:rPr>
              <w:t>CONVENIOS Y CONTRATOS</w:t>
            </w:r>
            <w:r w:rsidRPr="00B710A9">
              <w:rPr>
                <w:rFonts w:cs="Arial"/>
                <w:color w:val="FFFFFF"/>
                <w:sz w:val="18"/>
                <w:szCs w:val="18"/>
              </w:rPr>
              <w:t> </w:t>
            </w:r>
          </w:p>
        </w:tc>
        <w:tc>
          <w:tcPr>
            <w:tcW w:w="2080" w:type="dxa"/>
            <w:tcBorders>
              <w:top w:val="single" w:sz="4" w:space="0" w:color="8DB3E2"/>
              <w:left w:val="single" w:sz="4" w:space="0" w:color="8DB3E2"/>
              <w:bottom w:val="single" w:sz="4" w:space="0" w:color="8DB3E2"/>
              <w:right w:val="single" w:sz="4" w:space="0" w:color="8DB3E2"/>
            </w:tcBorders>
            <w:hideMark/>
          </w:tcPr>
          <w:p w14:paraId="4CCA973F" w14:textId="77777777" w:rsidR="007F61B7" w:rsidRPr="00B710A9" w:rsidRDefault="007F61B7">
            <w:pPr>
              <w:jc w:val="center"/>
              <w:textAlignment w:val="baseline"/>
              <w:cnfStyle w:val="100000000000" w:firstRow="1" w:lastRow="0" w:firstColumn="0" w:lastColumn="0" w:oddVBand="0" w:evenVBand="0" w:oddHBand="0" w:evenHBand="0" w:firstRowFirstColumn="0" w:firstRowLastColumn="0" w:lastRowFirstColumn="0" w:lastRowLastColumn="0"/>
              <w:rPr>
                <w:rFonts w:cs="Arial"/>
                <w:color w:val="FFFFFF"/>
                <w:sz w:val="18"/>
                <w:szCs w:val="18"/>
              </w:rPr>
            </w:pPr>
            <w:r w:rsidRPr="00B710A9">
              <w:rPr>
                <w:rFonts w:cs="Arial"/>
                <w:color w:val="FFFFFF"/>
                <w:sz w:val="18"/>
                <w:szCs w:val="18"/>
              </w:rPr>
              <w:t>TOTAL</w:t>
            </w:r>
          </w:p>
        </w:tc>
      </w:tr>
      <w:tr w:rsidR="007F61B7" w:rsidRPr="00B710A9" w14:paraId="5487FCEE" w14:textId="77777777" w:rsidTr="007F61B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43" w:type="dxa"/>
            <w:tcBorders>
              <w:top w:val="single" w:sz="4" w:space="0" w:color="8DB3E2"/>
              <w:left w:val="single" w:sz="4" w:space="0" w:color="8DB3E2"/>
              <w:bottom w:val="single" w:sz="4" w:space="0" w:color="8DB3E2"/>
              <w:right w:val="single" w:sz="4" w:space="0" w:color="8DB3E2"/>
            </w:tcBorders>
            <w:hideMark/>
          </w:tcPr>
          <w:p w14:paraId="4789B994" w14:textId="77777777" w:rsidR="007F61B7" w:rsidRPr="00B710A9" w:rsidRDefault="007F61B7">
            <w:pPr>
              <w:jc w:val="center"/>
              <w:textAlignment w:val="baseline"/>
              <w:rPr>
                <w:rFonts w:cs="Arial"/>
                <w:color w:val="000000"/>
                <w:sz w:val="18"/>
                <w:szCs w:val="18"/>
              </w:rPr>
            </w:pPr>
            <w:r w:rsidRPr="00B710A9">
              <w:rPr>
                <w:rFonts w:cs="Arial"/>
                <w:b w:val="0"/>
                <w:bCs w:val="0"/>
                <w:color w:val="000000"/>
                <w:sz w:val="18"/>
                <w:szCs w:val="18"/>
              </w:rPr>
              <w:t>INGRESOS</w:t>
            </w:r>
          </w:p>
        </w:tc>
        <w:tc>
          <w:tcPr>
            <w:tcW w:w="1743" w:type="dxa"/>
            <w:tcBorders>
              <w:top w:val="single" w:sz="4" w:space="0" w:color="8DB3E2"/>
              <w:left w:val="single" w:sz="4" w:space="0" w:color="8DB3E2"/>
              <w:bottom w:val="single" w:sz="4" w:space="0" w:color="8DB3E2"/>
              <w:right w:val="single" w:sz="4" w:space="0" w:color="8DB3E2"/>
            </w:tcBorders>
            <w:hideMark/>
          </w:tcPr>
          <w:p w14:paraId="09A13497" w14:textId="77777777" w:rsidR="007F61B7" w:rsidRPr="00B710A9" w:rsidRDefault="007F61B7">
            <w:pPr>
              <w:jc w:val="cente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710A9">
              <w:rPr>
                <w:rFonts w:cs="Arial"/>
                <w:color w:val="000000"/>
                <w:sz w:val="18"/>
                <w:szCs w:val="18"/>
              </w:rPr>
              <w:t>$2.093</w:t>
            </w:r>
          </w:p>
        </w:tc>
        <w:tc>
          <w:tcPr>
            <w:tcW w:w="2080" w:type="dxa"/>
            <w:tcBorders>
              <w:top w:val="single" w:sz="4" w:space="0" w:color="8DB3E2"/>
              <w:left w:val="single" w:sz="4" w:space="0" w:color="8DB3E2"/>
              <w:bottom w:val="single" w:sz="4" w:space="0" w:color="8DB3E2"/>
              <w:right w:val="single" w:sz="4" w:space="0" w:color="8DB3E2"/>
            </w:tcBorders>
            <w:hideMark/>
          </w:tcPr>
          <w:p w14:paraId="086B45D2" w14:textId="77777777" w:rsidR="007F61B7" w:rsidRPr="00B710A9" w:rsidRDefault="007F61B7">
            <w:pPr>
              <w:jc w:val="center"/>
              <w:textAlignment w:val="baseline"/>
              <w:cnfStyle w:val="000000100000" w:firstRow="0" w:lastRow="0" w:firstColumn="0" w:lastColumn="0" w:oddVBand="0" w:evenVBand="0" w:oddHBand="1" w:evenHBand="0" w:firstRowFirstColumn="0" w:firstRowLastColumn="0" w:lastRowFirstColumn="0" w:lastRowLastColumn="0"/>
              <w:rPr>
                <w:rFonts w:cs="Arial"/>
                <w:bCs/>
                <w:sz w:val="18"/>
              </w:rPr>
            </w:pPr>
            <w:r w:rsidRPr="00B710A9">
              <w:rPr>
                <w:rFonts w:cs="Arial"/>
                <w:bCs/>
                <w:sz w:val="18"/>
              </w:rPr>
              <w:t>$4,836</w:t>
            </w:r>
          </w:p>
        </w:tc>
        <w:tc>
          <w:tcPr>
            <w:tcW w:w="2080" w:type="dxa"/>
            <w:tcBorders>
              <w:top w:val="single" w:sz="4" w:space="0" w:color="8DB3E2"/>
              <w:left w:val="single" w:sz="4" w:space="0" w:color="8DB3E2"/>
              <w:bottom w:val="single" w:sz="4" w:space="0" w:color="8DB3E2"/>
              <w:right w:val="single" w:sz="4" w:space="0" w:color="8DB3E2"/>
            </w:tcBorders>
            <w:hideMark/>
          </w:tcPr>
          <w:p w14:paraId="16624F46" w14:textId="77777777" w:rsidR="007F61B7" w:rsidRPr="00B710A9" w:rsidRDefault="007F61B7">
            <w:pPr>
              <w:jc w:val="cente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710A9">
              <w:rPr>
                <w:rFonts w:cs="Arial"/>
                <w:color w:val="000000"/>
                <w:sz w:val="18"/>
                <w:szCs w:val="18"/>
              </w:rPr>
              <w:t>$6.929</w:t>
            </w:r>
          </w:p>
        </w:tc>
      </w:tr>
      <w:tr w:rsidR="007F61B7" w:rsidRPr="00B710A9" w14:paraId="1DECE74D" w14:textId="77777777" w:rsidTr="007F61B7">
        <w:trPr>
          <w:trHeight w:val="315"/>
          <w:jc w:val="center"/>
        </w:trPr>
        <w:tc>
          <w:tcPr>
            <w:cnfStyle w:val="001000000000" w:firstRow="0" w:lastRow="0" w:firstColumn="1" w:lastColumn="0" w:oddVBand="0" w:evenVBand="0" w:oddHBand="0" w:evenHBand="0" w:firstRowFirstColumn="0" w:firstRowLastColumn="0" w:lastRowFirstColumn="0" w:lastRowLastColumn="0"/>
            <w:tcW w:w="1743" w:type="dxa"/>
            <w:tcBorders>
              <w:top w:val="single" w:sz="4" w:space="0" w:color="8DB3E2"/>
              <w:left w:val="single" w:sz="4" w:space="0" w:color="8DB3E2"/>
              <w:bottom w:val="single" w:sz="4" w:space="0" w:color="8DB3E2"/>
              <w:right w:val="single" w:sz="4" w:space="0" w:color="8DB3E2"/>
            </w:tcBorders>
            <w:hideMark/>
          </w:tcPr>
          <w:p w14:paraId="7FFF21C1" w14:textId="77777777" w:rsidR="007F61B7" w:rsidRPr="00B710A9" w:rsidRDefault="007F61B7">
            <w:pPr>
              <w:jc w:val="center"/>
              <w:textAlignment w:val="baseline"/>
              <w:rPr>
                <w:rFonts w:cs="Arial"/>
                <w:b w:val="0"/>
                <w:bCs w:val="0"/>
                <w:color w:val="000000"/>
                <w:sz w:val="18"/>
                <w:szCs w:val="18"/>
              </w:rPr>
            </w:pPr>
            <w:r w:rsidRPr="00B710A9">
              <w:rPr>
                <w:rFonts w:cs="Arial"/>
                <w:b w:val="0"/>
                <w:bCs w:val="0"/>
                <w:color w:val="000000"/>
                <w:sz w:val="18"/>
                <w:szCs w:val="18"/>
              </w:rPr>
              <w:t>META</w:t>
            </w:r>
          </w:p>
        </w:tc>
        <w:tc>
          <w:tcPr>
            <w:tcW w:w="1743" w:type="dxa"/>
            <w:tcBorders>
              <w:top w:val="single" w:sz="4" w:space="0" w:color="8DB3E2"/>
              <w:left w:val="single" w:sz="4" w:space="0" w:color="8DB3E2"/>
              <w:bottom w:val="single" w:sz="4" w:space="0" w:color="8DB3E2"/>
              <w:right w:val="single" w:sz="4" w:space="0" w:color="8DB3E2"/>
            </w:tcBorders>
            <w:hideMark/>
          </w:tcPr>
          <w:p w14:paraId="79BEED82" w14:textId="77777777" w:rsidR="007F61B7" w:rsidRPr="00B710A9" w:rsidRDefault="007F61B7">
            <w:pPr>
              <w:jc w:val="center"/>
              <w:textAlignment w:val="baseline"/>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710A9">
              <w:rPr>
                <w:rFonts w:cs="Arial"/>
                <w:color w:val="000000"/>
                <w:sz w:val="18"/>
                <w:szCs w:val="18"/>
              </w:rPr>
              <w:t>$9.798</w:t>
            </w:r>
          </w:p>
        </w:tc>
        <w:tc>
          <w:tcPr>
            <w:tcW w:w="2080" w:type="dxa"/>
            <w:tcBorders>
              <w:top w:val="single" w:sz="4" w:space="0" w:color="8DB3E2"/>
              <w:left w:val="single" w:sz="4" w:space="0" w:color="8DB3E2"/>
              <w:bottom w:val="single" w:sz="4" w:space="0" w:color="8DB3E2"/>
              <w:right w:val="single" w:sz="4" w:space="0" w:color="8DB3E2"/>
            </w:tcBorders>
            <w:hideMark/>
          </w:tcPr>
          <w:p w14:paraId="2CAA92EF" w14:textId="77777777" w:rsidR="007F61B7" w:rsidRPr="00B710A9" w:rsidRDefault="007F61B7">
            <w:pPr>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sz w:val="18"/>
                <w:szCs w:val="18"/>
              </w:rPr>
            </w:pPr>
            <w:r w:rsidRPr="00B710A9">
              <w:rPr>
                <w:rFonts w:cs="Arial"/>
                <w:bCs/>
                <w:color w:val="000000"/>
                <w:sz w:val="18"/>
                <w:szCs w:val="18"/>
              </w:rPr>
              <w:t>$56.527</w:t>
            </w:r>
          </w:p>
        </w:tc>
        <w:tc>
          <w:tcPr>
            <w:tcW w:w="2080" w:type="dxa"/>
            <w:tcBorders>
              <w:top w:val="single" w:sz="4" w:space="0" w:color="8DB3E2"/>
              <w:left w:val="single" w:sz="4" w:space="0" w:color="8DB3E2"/>
              <w:bottom w:val="single" w:sz="4" w:space="0" w:color="8DB3E2"/>
              <w:right w:val="single" w:sz="4" w:space="0" w:color="8DB3E2"/>
            </w:tcBorders>
            <w:hideMark/>
          </w:tcPr>
          <w:p w14:paraId="26D3944C" w14:textId="77777777" w:rsidR="007F61B7" w:rsidRPr="00B710A9" w:rsidRDefault="007F61B7">
            <w:pPr>
              <w:jc w:val="center"/>
              <w:textAlignment w:val="baseline"/>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710A9">
              <w:rPr>
                <w:rFonts w:cs="Arial"/>
                <w:color w:val="000000"/>
                <w:sz w:val="18"/>
                <w:szCs w:val="18"/>
              </w:rPr>
              <w:t>$66.325</w:t>
            </w:r>
          </w:p>
        </w:tc>
      </w:tr>
      <w:tr w:rsidR="007F61B7" w:rsidRPr="00B710A9" w14:paraId="1A978A20" w14:textId="77777777" w:rsidTr="007F61B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43" w:type="dxa"/>
            <w:tcBorders>
              <w:top w:val="single" w:sz="4" w:space="0" w:color="8DB3E2"/>
              <w:left w:val="single" w:sz="4" w:space="0" w:color="8DB3E2"/>
              <w:bottom w:val="single" w:sz="4" w:space="0" w:color="8DB3E2"/>
              <w:right w:val="single" w:sz="4" w:space="0" w:color="8DB3E2"/>
            </w:tcBorders>
            <w:hideMark/>
          </w:tcPr>
          <w:p w14:paraId="24723796" w14:textId="77777777" w:rsidR="007F61B7" w:rsidRPr="00B710A9" w:rsidRDefault="007F61B7">
            <w:pPr>
              <w:jc w:val="center"/>
              <w:textAlignment w:val="baseline"/>
              <w:rPr>
                <w:rFonts w:cs="Arial"/>
                <w:color w:val="000000"/>
                <w:sz w:val="18"/>
                <w:szCs w:val="18"/>
              </w:rPr>
            </w:pPr>
            <w:r w:rsidRPr="00B710A9">
              <w:rPr>
                <w:rFonts w:cs="Arial"/>
                <w:color w:val="000000"/>
                <w:sz w:val="18"/>
                <w:szCs w:val="18"/>
              </w:rPr>
              <w:t>AVANCE</w:t>
            </w:r>
          </w:p>
        </w:tc>
        <w:tc>
          <w:tcPr>
            <w:tcW w:w="1743" w:type="dxa"/>
            <w:tcBorders>
              <w:top w:val="single" w:sz="4" w:space="0" w:color="8DB3E2"/>
              <w:left w:val="single" w:sz="4" w:space="0" w:color="8DB3E2"/>
              <w:bottom w:val="single" w:sz="4" w:space="0" w:color="8DB3E2"/>
              <w:right w:val="single" w:sz="4" w:space="0" w:color="8DB3E2"/>
            </w:tcBorders>
            <w:hideMark/>
          </w:tcPr>
          <w:p w14:paraId="4CCB3B53" w14:textId="77777777" w:rsidR="007F61B7" w:rsidRPr="00B710A9" w:rsidRDefault="007F61B7">
            <w:pPr>
              <w:jc w:val="center"/>
              <w:textAlignment w:val="baseline"/>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710A9">
              <w:rPr>
                <w:rFonts w:cs="Arial"/>
                <w:b/>
                <w:bCs/>
                <w:color w:val="000000"/>
                <w:sz w:val="18"/>
                <w:szCs w:val="18"/>
              </w:rPr>
              <w:t>21%</w:t>
            </w:r>
          </w:p>
        </w:tc>
        <w:tc>
          <w:tcPr>
            <w:tcW w:w="2080" w:type="dxa"/>
            <w:tcBorders>
              <w:top w:val="single" w:sz="4" w:space="0" w:color="8DB3E2"/>
              <w:left w:val="single" w:sz="4" w:space="0" w:color="8DB3E2"/>
              <w:bottom w:val="single" w:sz="4" w:space="0" w:color="8DB3E2"/>
              <w:right w:val="single" w:sz="4" w:space="0" w:color="8DB3E2"/>
            </w:tcBorders>
            <w:hideMark/>
          </w:tcPr>
          <w:p w14:paraId="2BAFC415" w14:textId="77777777" w:rsidR="007F61B7" w:rsidRPr="00B710A9" w:rsidRDefault="007F61B7">
            <w:pPr>
              <w:jc w:val="center"/>
              <w:textAlignment w:val="baseline"/>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710A9">
              <w:rPr>
                <w:rFonts w:cs="Arial"/>
                <w:b/>
                <w:bCs/>
                <w:color w:val="000000"/>
                <w:sz w:val="18"/>
                <w:szCs w:val="18"/>
              </w:rPr>
              <w:t>8,5%</w:t>
            </w:r>
          </w:p>
        </w:tc>
        <w:tc>
          <w:tcPr>
            <w:tcW w:w="2080" w:type="dxa"/>
            <w:tcBorders>
              <w:top w:val="single" w:sz="4" w:space="0" w:color="8DB3E2"/>
              <w:left w:val="single" w:sz="4" w:space="0" w:color="8DB3E2"/>
              <w:bottom w:val="single" w:sz="4" w:space="0" w:color="8DB3E2"/>
              <w:right w:val="single" w:sz="4" w:space="0" w:color="8DB3E2"/>
            </w:tcBorders>
            <w:hideMark/>
          </w:tcPr>
          <w:p w14:paraId="110226CF" w14:textId="77777777" w:rsidR="007F61B7" w:rsidRPr="00B710A9" w:rsidRDefault="007F61B7">
            <w:pPr>
              <w:jc w:val="center"/>
              <w:textAlignment w:val="baseline"/>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710A9">
              <w:rPr>
                <w:rFonts w:cs="Arial"/>
                <w:b/>
                <w:bCs/>
                <w:color w:val="000000"/>
                <w:sz w:val="18"/>
                <w:szCs w:val="18"/>
              </w:rPr>
              <w:t>10,4%</w:t>
            </w:r>
          </w:p>
        </w:tc>
      </w:tr>
    </w:tbl>
    <w:p w14:paraId="429AA692" w14:textId="77777777" w:rsidR="007F61B7" w:rsidRPr="00B710A9" w:rsidRDefault="007F61B7" w:rsidP="007F61B7">
      <w:pPr>
        <w:pStyle w:val="Prrafodelista"/>
        <w:jc w:val="center"/>
        <w:rPr>
          <w:rFonts w:ascii="Arial" w:eastAsia="Times New Roman" w:hAnsi="Arial" w:cs="Arial"/>
          <w:b/>
          <w:sz w:val="16"/>
          <w:szCs w:val="16"/>
          <w:lang w:val="es-ES"/>
        </w:rPr>
      </w:pPr>
      <w:r w:rsidRPr="00B710A9">
        <w:rPr>
          <w:rFonts w:cs="Arial"/>
          <w:b/>
          <w:sz w:val="16"/>
          <w:szCs w:val="16"/>
        </w:rPr>
        <w:t>Fuente: SIIF Nación (cifras expresadas en millones)</w:t>
      </w:r>
    </w:p>
    <w:p w14:paraId="16B1B6D5" w14:textId="77777777" w:rsidR="00BB692C" w:rsidRPr="00B710A9" w:rsidRDefault="00BB692C" w:rsidP="007F61B7">
      <w:pPr>
        <w:pStyle w:val="Prrafodelista"/>
        <w:rPr>
          <w:rFonts w:cs="Arial"/>
          <w:sz w:val="22"/>
          <w:szCs w:val="22"/>
        </w:rPr>
      </w:pPr>
    </w:p>
    <w:p w14:paraId="1D4E061C" w14:textId="5EB78FCA" w:rsidR="00ED7F05" w:rsidRPr="00B710A9" w:rsidRDefault="003C0098" w:rsidP="00ED7F05">
      <w:pPr>
        <w:spacing w:after="0" w:line="240" w:lineRule="auto"/>
        <w:jc w:val="both"/>
        <w:rPr>
          <w:rFonts w:ascii="Arial" w:eastAsia="Calibri" w:hAnsi="Arial" w:cs="Arial"/>
          <w:color w:val="000000" w:themeColor="text1"/>
          <w:sz w:val="22"/>
          <w:szCs w:val="22"/>
          <w:lang w:val="es"/>
        </w:rPr>
      </w:pPr>
      <w:r w:rsidRPr="00B710A9">
        <w:rPr>
          <w:rFonts w:ascii="Arial" w:eastAsia="Calibri" w:hAnsi="Arial" w:cs="Arial"/>
          <w:color w:val="000000" w:themeColor="text1"/>
          <w:sz w:val="22"/>
          <w:szCs w:val="22"/>
          <w:lang w:val="es"/>
        </w:rPr>
        <w:t>Al me</w:t>
      </w:r>
      <w:r w:rsidR="00ED7F05" w:rsidRPr="00B710A9">
        <w:rPr>
          <w:rFonts w:ascii="Arial" w:eastAsia="Calibri" w:hAnsi="Arial" w:cs="Arial"/>
          <w:color w:val="000000" w:themeColor="text1"/>
          <w:sz w:val="22"/>
          <w:szCs w:val="22"/>
          <w:lang w:val="es"/>
        </w:rPr>
        <w:t>s de mayo de 2022 se ha logrado el 10</w:t>
      </w:r>
      <w:r w:rsidR="004052B8" w:rsidRPr="00B710A9">
        <w:rPr>
          <w:rFonts w:ascii="Arial" w:eastAsia="Calibri" w:hAnsi="Arial" w:cs="Arial"/>
          <w:color w:val="000000" w:themeColor="text1"/>
          <w:sz w:val="22"/>
          <w:szCs w:val="22"/>
          <w:lang w:val="es"/>
        </w:rPr>
        <w:t>,4</w:t>
      </w:r>
      <w:r w:rsidR="00ED7F05" w:rsidRPr="00B710A9">
        <w:rPr>
          <w:rFonts w:ascii="Arial" w:eastAsia="Calibri" w:hAnsi="Arial" w:cs="Arial"/>
          <w:color w:val="000000" w:themeColor="text1"/>
          <w:sz w:val="22"/>
          <w:szCs w:val="22"/>
          <w:lang w:val="es"/>
        </w:rPr>
        <w:t xml:space="preserve">% de la meta, de acuerdo con el presupuesto de recursos propios asignado, </w:t>
      </w:r>
      <w:r w:rsidRPr="00B710A9">
        <w:rPr>
          <w:rFonts w:ascii="Arial" w:eastAsia="Calibri" w:hAnsi="Arial" w:cs="Arial"/>
          <w:color w:val="000000" w:themeColor="text1"/>
          <w:sz w:val="22"/>
          <w:szCs w:val="22"/>
          <w:lang w:val="es"/>
        </w:rPr>
        <w:t>según el Decreto 1793 del 21 de diciembre de 2021.</w:t>
      </w:r>
    </w:p>
    <w:p w14:paraId="41F50AAD" w14:textId="3BE63A75" w:rsidR="007F61B7" w:rsidRPr="00B710A9" w:rsidRDefault="007F61B7" w:rsidP="00ED7F05">
      <w:pPr>
        <w:rPr>
          <w:rFonts w:cs="Arial"/>
          <w:sz w:val="22"/>
          <w:szCs w:val="22"/>
        </w:rPr>
      </w:pPr>
    </w:p>
    <w:p w14:paraId="1CFF1D4D" w14:textId="06F9BC02" w:rsidR="009B6AF5" w:rsidRPr="00B710A9" w:rsidRDefault="00311B1A" w:rsidP="007C5264">
      <w:pPr>
        <w:pStyle w:val="Prrafodelista"/>
        <w:numPr>
          <w:ilvl w:val="0"/>
          <w:numId w:val="115"/>
        </w:numPr>
        <w:jc w:val="both"/>
        <w:textAlignment w:val="baseline"/>
        <w:rPr>
          <w:rFonts w:ascii="Arial" w:eastAsia="MS Mincho" w:hAnsi="Arial" w:cs="Arial"/>
          <w:b/>
          <w:bCs/>
          <w:sz w:val="22"/>
          <w:szCs w:val="22"/>
        </w:rPr>
      </w:pPr>
      <w:r w:rsidRPr="00B710A9">
        <w:rPr>
          <w:rFonts w:ascii="Arial" w:eastAsia="MS Mincho" w:hAnsi="Arial" w:cs="Arial"/>
          <w:b/>
          <w:bCs/>
          <w:sz w:val="22"/>
          <w:szCs w:val="22"/>
        </w:rPr>
        <w:t>Reservas presupuestales 2021</w:t>
      </w:r>
    </w:p>
    <w:p w14:paraId="6BA5884C" w14:textId="0B9CC2ED" w:rsidR="007C5264" w:rsidRPr="00B710A9" w:rsidRDefault="00A15BA2" w:rsidP="007C5264">
      <w:pPr>
        <w:spacing w:after="0" w:line="240" w:lineRule="auto"/>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rPr>
        <w:t>D</w:t>
      </w:r>
      <w:r w:rsidR="007C5264" w:rsidRPr="00B710A9">
        <w:rPr>
          <w:rFonts w:ascii="Arial" w:eastAsia="Calibri" w:hAnsi="Arial" w:cs="Arial"/>
          <w:color w:val="000000" w:themeColor="text1"/>
          <w:sz w:val="22"/>
          <w:szCs w:val="22"/>
        </w:rPr>
        <w:t>urante la vigencia 20</w:t>
      </w:r>
      <w:r w:rsidR="00961B1D" w:rsidRPr="00B710A9">
        <w:rPr>
          <w:rFonts w:ascii="Arial" w:eastAsia="Calibri" w:hAnsi="Arial" w:cs="Arial"/>
          <w:color w:val="000000" w:themeColor="text1"/>
          <w:sz w:val="22"/>
          <w:szCs w:val="22"/>
        </w:rPr>
        <w:t>20</w:t>
      </w:r>
      <w:r w:rsidR="007C5264" w:rsidRPr="00B710A9">
        <w:rPr>
          <w:rFonts w:ascii="Arial" w:eastAsia="Calibri" w:hAnsi="Arial" w:cs="Arial"/>
          <w:color w:val="000000" w:themeColor="text1"/>
          <w:sz w:val="22"/>
          <w:szCs w:val="22"/>
        </w:rPr>
        <w:t xml:space="preserve"> se constituyeron reservas para funcionamiento e inversión que se ejecutaron en el 202</w:t>
      </w:r>
      <w:r w:rsidR="00961B1D" w:rsidRPr="00B710A9">
        <w:rPr>
          <w:rFonts w:ascii="Arial" w:eastAsia="Calibri" w:hAnsi="Arial" w:cs="Arial"/>
          <w:color w:val="000000" w:themeColor="text1"/>
          <w:sz w:val="22"/>
          <w:szCs w:val="22"/>
        </w:rPr>
        <w:t>1</w:t>
      </w:r>
      <w:r w:rsidR="007C5264" w:rsidRPr="00B710A9">
        <w:rPr>
          <w:rFonts w:ascii="Arial" w:eastAsia="Calibri" w:hAnsi="Arial" w:cs="Arial"/>
          <w:color w:val="000000" w:themeColor="text1"/>
          <w:sz w:val="22"/>
          <w:szCs w:val="22"/>
        </w:rPr>
        <w:t xml:space="preserve"> de acuerdo con el siguiente comportamiento:</w:t>
      </w:r>
    </w:p>
    <w:p w14:paraId="0213E207" w14:textId="77777777" w:rsidR="009B6AF5" w:rsidRPr="00B710A9" w:rsidRDefault="009B6AF5" w:rsidP="00244BC3">
      <w:pPr>
        <w:jc w:val="center"/>
        <w:textAlignment w:val="baseline"/>
        <w:rPr>
          <w:rFonts w:ascii="Arial" w:eastAsia="MS Mincho" w:hAnsi="Arial" w:cs="Arial"/>
          <w:b/>
          <w:bCs/>
          <w:color w:val="000000" w:themeColor="text1"/>
          <w:sz w:val="20"/>
          <w:szCs w:val="20"/>
        </w:rPr>
      </w:pPr>
    </w:p>
    <w:p w14:paraId="2DC87712" w14:textId="759E554F" w:rsidR="00244BC3" w:rsidRPr="00B710A9" w:rsidRDefault="00244BC3" w:rsidP="00244BC3">
      <w:pPr>
        <w:pStyle w:val="Descripcin"/>
        <w:jc w:val="center"/>
        <w:rPr>
          <w:rFonts w:ascii="Arial" w:eastAsia="MS Mincho" w:hAnsi="Arial" w:cs="Arial"/>
          <w:b/>
          <w:bCs/>
          <w:i w:val="0"/>
          <w:iCs w:val="0"/>
          <w:color w:val="000000" w:themeColor="text1"/>
          <w:sz w:val="20"/>
          <w:szCs w:val="20"/>
        </w:rPr>
      </w:pPr>
      <w:bookmarkStart w:id="72" w:name="_Toc109057756"/>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26</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Reservas presupuestales 2021</w:t>
      </w:r>
      <w:bookmarkEnd w:id="72"/>
    </w:p>
    <w:tbl>
      <w:tblPr>
        <w:tblStyle w:val="Tablaconcuadrcula5oscura-nfasis5"/>
        <w:tblW w:w="0" w:type="auto"/>
        <w:tblLook w:val="04A0" w:firstRow="1" w:lastRow="0" w:firstColumn="1" w:lastColumn="0" w:noHBand="0" w:noVBand="1"/>
      </w:tblPr>
      <w:tblGrid>
        <w:gridCol w:w="1355"/>
        <w:gridCol w:w="3151"/>
        <w:gridCol w:w="2063"/>
        <w:gridCol w:w="1888"/>
      </w:tblGrid>
      <w:tr w:rsidR="007C5264" w:rsidRPr="00B710A9" w14:paraId="20BF3090" w14:textId="77777777" w:rsidTr="00471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D2A44B" w14:textId="77777777" w:rsidR="007C5264" w:rsidRPr="00B710A9" w:rsidRDefault="007C5264" w:rsidP="00A224C8">
            <w:pPr>
              <w:jc w:val="center"/>
              <w:rPr>
                <w:rFonts w:ascii="Arial" w:hAnsi="Arial" w:cs="Arial"/>
                <w:b w:val="0"/>
                <w:bCs w:val="0"/>
                <w:sz w:val="16"/>
                <w:szCs w:val="16"/>
              </w:rPr>
            </w:pPr>
            <w:r w:rsidRPr="00B710A9">
              <w:rPr>
                <w:rFonts w:ascii="Arial" w:hAnsi="Arial" w:cs="Arial"/>
                <w:sz w:val="16"/>
                <w:szCs w:val="16"/>
              </w:rPr>
              <w:t>Tipo de gasto</w:t>
            </w:r>
          </w:p>
        </w:tc>
        <w:tc>
          <w:tcPr>
            <w:tcW w:w="3151" w:type="dxa"/>
          </w:tcPr>
          <w:p w14:paraId="4EF5D45F" w14:textId="52292636" w:rsidR="007C5264" w:rsidRPr="00B710A9" w:rsidRDefault="007C5264" w:rsidP="00A224C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proofErr w:type="gramStart"/>
            <w:r w:rsidRPr="00B710A9">
              <w:rPr>
                <w:rFonts w:ascii="Arial" w:hAnsi="Arial" w:cs="Arial"/>
                <w:sz w:val="16"/>
                <w:szCs w:val="16"/>
              </w:rPr>
              <w:t>Total</w:t>
            </w:r>
            <w:proofErr w:type="gramEnd"/>
            <w:r w:rsidRPr="00B710A9">
              <w:rPr>
                <w:rFonts w:ascii="Arial" w:hAnsi="Arial" w:cs="Arial"/>
                <w:sz w:val="16"/>
                <w:szCs w:val="16"/>
              </w:rPr>
              <w:t xml:space="preserve"> reserva constituida </w:t>
            </w:r>
          </w:p>
          <w:p w14:paraId="47E1158E" w14:textId="77777777" w:rsidR="007C5264" w:rsidRPr="00B710A9" w:rsidRDefault="007C5264" w:rsidP="00A224C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B710A9">
              <w:rPr>
                <w:rFonts w:ascii="Arial" w:hAnsi="Arial" w:cs="Arial"/>
                <w:sz w:val="16"/>
                <w:szCs w:val="16"/>
              </w:rPr>
              <w:t>(en millones de $)</w:t>
            </w:r>
          </w:p>
        </w:tc>
        <w:tc>
          <w:tcPr>
            <w:tcW w:w="2063" w:type="dxa"/>
          </w:tcPr>
          <w:p w14:paraId="2104C8A5" w14:textId="77777777" w:rsidR="007C5264" w:rsidRPr="00B710A9" w:rsidRDefault="007C5264" w:rsidP="00A224C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B710A9">
              <w:rPr>
                <w:rFonts w:ascii="Arial" w:hAnsi="Arial" w:cs="Arial"/>
                <w:sz w:val="16"/>
                <w:szCs w:val="16"/>
              </w:rPr>
              <w:t xml:space="preserve">Obligado </w:t>
            </w:r>
          </w:p>
          <w:p w14:paraId="4F923689" w14:textId="77777777" w:rsidR="007C5264" w:rsidRPr="00B710A9" w:rsidRDefault="007C5264" w:rsidP="00A224C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B710A9">
              <w:rPr>
                <w:rFonts w:ascii="Arial" w:hAnsi="Arial" w:cs="Arial"/>
                <w:sz w:val="16"/>
                <w:szCs w:val="16"/>
              </w:rPr>
              <w:t>(en millones de $)</w:t>
            </w:r>
          </w:p>
        </w:tc>
        <w:tc>
          <w:tcPr>
            <w:tcW w:w="0" w:type="auto"/>
          </w:tcPr>
          <w:p w14:paraId="37430262" w14:textId="77777777" w:rsidR="007C5264" w:rsidRPr="00B710A9" w:rsidRDefault="007C5264" w:rsidP="00A224C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B710A9">
              <w:rPr>
                <w:rFonts w:ascii="Arial" w:hAnsi="Arial" w:cs="Arial"/>
                <w:sz w:val="16"/>
                <w:szCs w:val="16"/>
              </w:rPr>
              <w:t>% de ejecución pagos</w:t>
            </w:r>
          </w:p>
        </w:tc>
      </w:tr>
      <w:tr w:rsidR="007C5264" w:rsidRPr="00B710A9" w14:paraId="67188431" w14:textId="77777777" w:rsidTr="0047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B6B850" w14:textId="77777777" w:rsidR="007C5264" w:rsidRPr="00B710A9" w:rsidRDefault="007C5264" w:rsidP="00A224C8">
            <w:pPr>
              <w:rPr>
                <w:rFonts w:ascii="Arial" w:hAnsi="Arial" w:cs="Arial"/>
                <w:b w:val="0"/>
                <w:bCs w:val="0"/>
                <w:sz w:val="16"/>
                <w:szCs w:val="16"/>
              </w:rPr>
            </w:pPr>
            <w:r w:rsidRPr="00B710A9">
              <w:rPr>
                <w:rFonts w:ascii="Arial" w:hAnsi="Arial" w:cs="Arial"/>
                <w:b w:val="0"/>
                <w:bCs w:val="0"/>
                <w:sz w:val="16"/>
                <w:szCs w:val="16"/>
              </w:rPr>
              <w:t>Funcionamiento</w:t>
            </w:r>
          </w:p>
        </w:tc>
        <w:tc>
          <w:tcPr>
            <w:tcW w:w="3151" w:type="dxa"/>
          </w:tcPr>
          <w:p w14:paraId="39C9B126" w14:textId="77777777" w:rsidR="007C5264" w:rsidRPr="00B710A9" w:rsidRDefault="007C5264" w:rsidP="00A224C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B710A9">
              <w:rPr>
                <w:rFonts w:ascii="Arial" w:hAnsi="Arial" w:cs="Arial"/>
                <w:bCs/>
                <w:sz w:val="16"/>
                <w:szCs w:val="16"/>
              </w:rPr>
              <w:t>$897</w:t>
            </w:r>
          </w:p>
        </w:tc>
        <w:tc>
          <w:tcPr>
            <w:tcW w:w="2063" w:type="dxa"/>
          </w:tcPr>
          <w:p w14:paraId="099DE1B7" w14:textId="77777777" w:rsidR="007C5264" w:rsidRPr="00B710A9" w:rsidRDefault="007C5264" w:rsidP="00A224C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B710A9">
              <w:rPr>
                <w:rFonts w:ascii="Arial" w:hAnsi="Arial" w:cs="Arial"/>
                <w:bCs/>
                <w:sz w:val="16"/>
                <w:szCs w:val="16"/>
              </w:rPr>
              <w:t>$897</w:t>
            </w:r>
          </w:p>
        </w:tc>
        <w:tc>
          <w:tcPr>
            <w:tcW w:w="0" w:type="auto"/>
          </w:tcPr>
          <w:p w14:paraId="08E8D3F8" w14:textId="77777777" w:rsidR="007C5264" w:rsidRPr="00B710A9" w:rsidRDefault="007C5264" w:rsidP="00A224C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B710A9">
              <w:rPr>
                <w:rFonts w:ascii="Arial" w:hAnsi="Arial" w:cs="Arial"/>
                <w:bCs/>
                <w:sz w:val="16"/>
                <w:szCs w:val="16"/>
              </w:rPr>
              <w:t>100%</w:t>
            </w:r>
          </w:p>
        </w:tc>
      </w:tr>
      <w:tr w:rsidR="007C5264" w:rsidRPr="00B710A9" w14:paraId="13A97983" w14:textId="77777777" w:rsidTr="00471D52">
        <w:tc>
          <w:tcPr>
            <w:cnfStyle w:val="001000000000" w:firstRow="0" w:lastRow="0" w:firstColumn="1" w:lastColumn="0" w:oddVBand="0" w:evenVBand="0" w:oddHBand="0" w:evenHBand="0" w:firstRowFirstColumn="0" w:firstRowLastColumn="0" w:lastRowFirstColumn="0" w:lastRowLastColumn="0"/>
            <w:tcW w:w="0" w:type="auto"/>
          </w:tcPr>
          <w:p w14:paraId="3294475C" w14:textId="77777777" w:rsidR="007C5264" w:rsidRPr="00B710A9" w:rsidRDefault="007C5264" w:rsidP="00A224C8">
            <w:pPr>
              <w:jc w:val="center"/>
              <w:rPr>
                <w:rFonts w:ascii="Arial" w:hAnsi="Arial" w:cs="Arial"/>
                <w:b w:val="0"/>
                <w:bCs w:val="0"/>
                <w:sz w:val="16"/>
                <w:szCs w:val="16"/>
              </w:rPr>
            </w:pPr>
            <w:r w:rsidRPr="00B710A9">
              <w:rPr>
                <w:rFonts w:ascii="Arial" w:hAnsi="Arial" w:cs="Arial"/>
                <w:b w:val="0"/>
                <w:bCs w:val="0"/>
                <w:sz w:val="16"/>
                <w:szCs w:val="16"/>
              </w:rPr>
              <w:t xml:space="preserve">Inversión </w:t>
            </w:r>
          </w:p>
        </w:tc>
        <w:tc>
          <w:tcPr>
            <w:tcW w:w="3151" w:type="dxa"/>
          </w:tcPr>
          <w:p w14:paraId="7D825C0D" w14:textId="77777777" w:rsidR="007C5264" w:rsidRPr="00B710A9" w:rsidRDefault="007C5264" w:rsidP="00A224C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B710A9">
              <w:rPr>
                <w:rFonts w:ascii="Arial" w:hAnsi="Arial" w:cs="Arial"/>
                <w:bCs/>
                <w:sz w:val="16"/>
                <w:szCs w:val="16"/>
              </w:rPr>
              <w:t>$13.399</w:t>
            </w:r>
          </w:p>
        </w:tc>
        <w:tc>
          <w:tcPr>
            <w:tcW w:w="2063" w:type="dxa"/>
          </w:tcPr>
          <w:p w14:paraId="0D125171" w14:textId="77777777" w:rsidR="007C5264" w:rsidRPr="00B710A9" w:rsidRDefault="007C5264" w:rsidP="00A224C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B710A9">
              <w:rPr>
                <w:rFonts w:ascii="Arial" w:hAnsi="Arial" w:cs="Arial"/>
                <w:bCs/>
                <w:sz w:val="16"/>
                <w:szCs w:val="16"/>
              </w:rPr>
              <w:t>$13.399</w:t>
            </w:r>
          </w:p>
        </w:tc>
        <w:tc>
          <w:tcPr>
            <w:tcW w:w="0" w:type="auto"/>
          </w:tcPr>
          <w:p w14:paraId="12CB1320" w14:textId="77777777" w:rsidR="007C5264" w:rsidRPr="00B710A9" w:rsidRDefault="007C5264" w:rsidP="00A224C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B710A9">
              <w:rPr>
                <w:rFonts w:ascii="Arial" w:hAnsi="Arial" w:cs="Arial"/>
                <w:bCs/>
                <w:sz w:val="16"/>
                <w:szCs w:val="16"/>
              </w:rPr>
              <w:t>100%</w:t>
            </w:r>
          </w:p>
        </w:tc>
      </w:tr>
      <w:tr w:rsidR="007C5264" w:rsidRPr="00B710A9" w14:paraId="374C43D8" w14:textId="77777777" w:rsidTr="0047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A7439F" w14:textId="77777777" w:rsidR="007C5264" w:rsidRPr="00B710A9" w:rsidRDefault="007C5264" w:rsidP="00A224C8">
            <w:pPr>
              <w:jc w:val="center"/>
              <w:rPr>
                <w:rFonts w:ascii="Arial" w:hAnsi="Arial" w:cs="Arial"/>
                <w:b w:val="0"/>
                <w:bCs w:val="0"/>
                <w:sz w:val="16"/>
                <w:szCs w:val="16"/>
              </w:rPr>
            </w:pPr>
            <w:r w:rsidRPr="00B710A9">
              <w:rPr>
                <w:rFonts w:ascii="Arial" w:hAnsi="Arial" w:cs="Arial"/>
                <w:sz w:val="16"/>
                <w:szCs w:val="16"/>
              </w:rPr>
              <w:t>Total</w:t>
            </w:r>
          </w:p>
        </w:tc>
        <w:tc>
          <w:tcPr>
            <w:tcW w:w="3151" w:type="dxa"/>
          </w:tcPr>
          <w:p w14:paraId="16DA0AF9" w14:textId="77777777" w:rsidR="007C5264" w:rsidRPr="00B710A9" w:rsidRDefault="007C5264" w:rsidP="00A224C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B710A9">
              <w:rPr>
                <w:rFonts w:ascii="Arial" w:hAnsi="Arial" w:cs="Arial"/>
                <w:b/>
                <w:bCs/>
                <w:sz w:val="16"/>
                <w:szCs w:val="16"/>
              </w:rPr>
              <w:t>$14.296</w:t>
            </w:r>
          </w:p>
        </w:tc>
        <w:tc>
          <w:tcPr>
            <w:tcW w:w="2063" w:type="dxa"/>
          </w:tcPr>
          <w:p w14:paraId="45E3AEA0" w14:textId="77777777" w:rsidR="007C5264" w:rsidRPr="00B710A9" w:rsidRDefault="007C5264" w:rsidP="00A224C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B710A9">
              <w:rPr>
                <w:rFonts w:ascii="Arial" w:hAnsi="Arial" w:cs="Arial"/>
                <w:b/>
                <w:bCs/>
                <w:sz w:val="16"/>
                <w:szCs w:val="16"/>
              </w:rPr>
              <w:t>$14.296</w:t>
            </w:r>
          </w:p>
        </w:tc>
        <w:tc>
          <w:tcPr>
            <w:tcW w:w="0" w:type="auto"/>
          </w:tcPr>
          <w:p w14:paraId="4AAF047E" w14:textId="77777777" w:rsidR="007C5264" w:rsidRPr="00B710A9" w:rsidRDefault="007C5264" w:rsidP="00A224C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B710A9">
              <w:rPr>
                <w:rFonts w:ascii="Arial" w:hAnsi="Arial" w:cs="Arial"/>
                <w:b/>
                <w:bCs/>
                <w:sz w:val="16"/>
                <w:szCs w:val="16"/>
              </w:rPr>
              <w:t>100%</w:t>
            </w:r>
          </w:p>
        </w:tc>
      </w:tr>
    </w:tbl>
    <w:p w14:paraId="03D388CB" w14:textId="77777777" w:rsidR="007C5264" w:rsidRPr="00B710A9" w:rsidRDefault="007C5264" w:rsidP="007C5264">
      <w:pPr>
        <w:jc w:val="center"/>
        <w:rPr>
          <w:rFonts w:ascii="Arial" w:hAnsi="Arial" w:cs="Arial"/>
          <w:b/>
          <w:sz w:val="16"/>
          <w:szCs w:val="16"/>
        </w:rPr>
      </w:pPr>
      <w:r w:rsidRPr="00B710A9">
        <w:rPr>
          <w:rFonts w:ascii="Arial" w:hAnsi="Arial" w:cs="Arial"/>
          <w:b/>
          <w:sz w:val="16"/>
          <w:szCs w:val="16"/>
        </w:rPr>
        <w:t>Fuente: IGAC</w:t>
      </w:r>
    </w:p>
    <w:p w14:paraId="71F370A2" w14:textId="77777777" w:rsidR="00A15BA2" w:rsidRPr="00B710A9" w:rsidRDefault="00A15BA2" w:rsidP="007C5264">
      <w:pPr>
        <w:jc w:val="center"/>
        <w:rPr>
          <w:rFonts w:ascii="Arial" w:hAnsi="Arial" w:cs="Arial"/>
          <w:b/>
          <w:sz w:val="20"/>
          <w:szCs w:val="20"/>
        </w:rPr>
      </w:pPr>
    </w:p>
    <w:p w14:paraId="7D4319DB" w14:textId="3ED3A0A7" w:rsidR="00A15BA2" w:rsidRPr="00B710A9" w:rsidRDefault="00A15BA2" w:rsidP="00A15BA2">
      <w:pPr>
        <w:pStyle w:val="Prrafodelista"/>
        <w:numPr>
          <w:ilvl w:val="0"/>
          <w:numId w:val="115"/>
        </w:numPr>
        <w:jc w:val="both"/>
        <w:textAlignment w:val="baseline"/>
        <w:rPr>
          <w:rFonts w:ascii="Arial" w:eastAsia="MS Mincho" w:hAnsi="Arial" w:cs="Arial"/>
          <w:b/>
          <w:bCs/>
          <w:sz w:val="22"/>
          <w:szCs w:val="22"/>
        </w:rPr>
      </w:pPr>
      <w:r w:rsidRPr="00B710A9">
        <w:rPr>
          <w:rFonts w:ascii="Arial" w:eastAsia="MS Mincho" w:hAnsi="Arial" w:cs="Arial"/>
          <w:b/>
          <w:bCs/>
          <w:sz w:val="22"/>
          <w:szCs w:val="22"/>
        </w:rPr>
        <w:t>Reservas presupuestales 2022</w:t>
      </w:r>
    </w:p>
    <w:p w14:paraId="1243D06F" w14:textId="5643F067" w:rsidR="00A15BA2" w:rsidRPr="00B710A9" w:rsidRDefault="00A15BA2" w:rsidP="00A15BA2">
      <w:pPr>
        <w:spacing w:after="0" w:line="240" w:lineRule="auto"/>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rPr>
        <w:t>Durante la vigencia 2021 se constituyeron reservas para funcionamiento e inversión</w:t>
      </w:r>
      <w:r w:rsidR="00F306F0" w:rsidRPr="00B710A9">
        <w:rPr>
          <w:rFonts w:ascii="Arial" w:eastAsia="Calibri" w:hAnsi="Arial" w:cs="Arial"/>
          <w:color w:val="000000" w:themeColor="text1"/>
          <w:sz w:val="22"/>
          <w:szCs w:val="22"/>
        </w:rPr>
        <w:t>, las cuales presentan la siguiente ejecución a 30 de mayo de 2022</w:t>
      </w:r>
      <w:r w:rsidRPr="00B710A9">
        <w:rPr>
          <w:rFonts w:ascii="Arial" w:eastAsia="Calibri" w:hAnsi="Arial" w:cs="Arial"/>
          <w:color w:val="000000" w:themeColor="text1"/>
          <w:sz w:val="22"/>
          <w:szCs w:val="22"/>
        </w:rPr>
        <w:t>:</w:t>
      </w:r>
    </w:p>
    <w:p w14:paraId="6533869F" w14:textId="1447A8F4" w:rsidR="007C5264" w:rsidRPr="00B710A9" w:rsidRDefault="007C5264" w:rsidP="007C5264">
      <w:pPr>
        <w:pStyle w:val="Descripcin"/>
        <w:jc w:val="center"/>
        <w:rPr>
          <w:rFonts w:ascii="Arial" w:hAnsi="Arial" w:cs="Arial"/>
          <w:b/>
          <w:bCs/>
          <w:color w:val="404040" w:themeColor="text1" w:themeTint="BF"/>
        </w:rPr>
      </w:pPr>
    </w:p>
    <w:p w14:paraId="4958AEA2" w14:textId="5D98677B" w:rsidR="00244BC3" w:rsidRPr="00B710A9" w:rsidRDefault="00244BC3" w:rsidP="00244BC3">
      <w:pPr>
        <w:pStyle w:val="Descripcin"/>
        <w:jc w:val="center"/>
        <w:rPr>
          <w:rFonts w:ascii="Arial" w:hAnsi="Arial" w:cs="Arial"/>
          <w:b/>
          <w:bCs/>
          <w:i w:val="0"/>
          <w:iCs w:val="0"/>
          <w:color w:val="000000" w:themeColor="text1"/>
          <w:sz w:val="16"/>
          <w:szCs w:val="16"/>
        </w:rPr>
      </w:pPr>
      <w:bookmarkStart w:id="73" w:name="_Toc109057757"/>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27</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Reservas presupuestales 2022</w:t>
      </w:r>
      <w:bookmarkEnd w:id="73"/>
    </w:p>
    <w:tbl>
      <w:tblPr>
        <w:tblStyle w:val="Tablaconcuadrcula5oscura-nfasis5"/>
        <w:tblW w:w="0" w:type="auto"/>
        <w:tblLook w:val="04A0" w:firstRow="1" w:lastRow="0" w:firstColumn="1" w:lastColumn="0" w:noHBand="0" w:noVBand="1"/>
      </w:tblPr>
      <w:tblGrid>
        <w:gridCol w:w="1355"/>
        <w:gridCol w:w="3151"/>
        <w:gridCol w:w="2063"/>
        <w:gridCol w:w="1888"/>
      </w:tblGrid>
      <w:tr w:rsidR="007C5264" w:rsidRPr="00B710A9" w14:paraId="7CE5CFC7" w14:textId="77777777" w:rsidTr="00F306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BE618" w14:textId="77777777" w:rsidR="007C5264" w:rsidRPr="00B710A9" w:rsidRDefault="007C5264" w:rsidP="00A224C8">
            <w:pPr>
              <w:jc w:val="center"/>
              <w:rPr>
                <w:rFonts w:ascii="Arial" w:hAnsi="Arial" w:cs="Arial"/>
                <w:b w:val="0"/>
                <w:bCs w:val="0"/>
                <w:sz w:val="16"/>
                <w:szCs w:val="16"/>
              </w:rPr>
            </w:pPr>
            <w:r w:rsidRPr="00B710A9">
              <w:rPr>
                <w:rFonts w:ascii="Arial" w:hAnsi="Arial" w:cs="Arial"/>
                <w:sz w:val="16"/>
                <w:szCs w:val="16"/>
              </w:rPr>
              <w:t>Tipo de gasto</w:t>
            </w:r>
          </w:p>
        </w:tc>
        <w:tc>
          <w:tcPr>
            <w:tcW w:w="3151" w:type="dxa"/>
          </w:tcPr>
          <w:p w14:paraId="2166E848" w14:textId="77777777" w:rsidR="007C5264" w:rsidRPr="00B710A9" w:rsidRDefault="007C5264" w:rsidP="00A224C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proofErr w:type="gramStart"/>
            <w:r w:rsidRPr="00B710A9">
              <w:rPr>
                <w:rFonts w:ascii="Arial" w:hAnsi="Arial" w:cs="Arial"/>
                <w:sz w:val="16"/>
                <w:szCs w:val="16"/>
              </w:rPr>
              <w:t>Total</w:t>
            </w:r>
            <w:proofErr w:type="gramEnd"/>
            <w:r w:rsidRPr="00B710A9">
              <w:rPr>
                <w:rFonts w:ascii="Arial" w:hAnsi="Arial" w:cs="Arial"/>
                <w:sz w:val="16"/>
                <w:szCs w:val="16"/>
              </w:rPr>
              <w:t xml:space="preserve"> reserva constituida </w:t>
            </w:r>
          </w:p>
          <w:p w14:paraId="03E9E987" w14:textId="77777777" w:rsidR="007C5264" w:rsidRPr="00B710A9" w:rsidRDefault="007C5264" w:rsidP="00A224C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B710A9">
              <w:rPr>
                <w:rFonts w:ascii="Arial" w:hAnsi="Arial" w:cs="Arial"/>
                <w:sz w:val="16"/>
                <w:szCs w:val="16"/>
              </w:rPr>
              <w:t>(en millones de $)</w:t>
            </w:r>
          </w:p>
        </w:tc>
        <w:tc>
          <w:tcPr>
            <w:tcW w:w="2063" w:type="dxa"/>
          </w:tcPr>
          <w:p w14:paraId="3FB08B94" w14:textId="77777777" w:rsidR="007C5264" w:rsidRPr="00B710A9" w:rsidRDefault="007C5264" w:rsidP="00A224C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B710A9">
              <w:rPr>
                <w:rFonts w:ascii="Arial" w:hAnsi="Arial" w:cs="Arial"/>
                <w:sz w:val="16"/>
                <w:szCs w:val="16"/>
              </w:rPr>
              <w:t xml:space="preserve">Obligado </w:t>
            </w:r>
          </w:p>
          <w:p w14:paraId="72E774B2" w14:textId="77777777" w:rsidR="007C5264" w:rsidRPr="00B710A9" w:rsidRDefault="007C5264" w:rsidP="00A224C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B710A9">
              <w:rPr>
                <w:rFonts w:ascii="Arial" w:hAnsi="Arial" w:cs="Arial"/>
                <w:sz w:val="16"/>
                <w:szCs w:val="16"/>
              </w:rPr>
              <w:t>(en millones de $)</w:t>
            </w:r>
          </w:p>
        </w:tc>
        <w:tc>
          <w:tcPr>
            <w:tcW w:w="0" w:type="auto"/>
          </w:tcPr>
          <w:p w14:paraId="3474B8E4" w14:textId="77777777" w:rsidR="007C5264" w:rsidRPr="00B710A9" w:rsidRDefault="007C5264" w:rsidP="00A224C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B710A9">
              <w:rPr>
                <w:rFonts w:ascii="Arial" w:hAnsi="Arial" w:cs="Arial"/>
                <w:sz w:val="16"/>
                <w:szCs w:val="16"/>
              </w:rPr>
              <w:t>% de ejecución pagos</w:t>
            </w:r>
          </w:p>
        </w:tc>
      </w:tr>
      <w:tr w:rsidR="007C5264" w:rsidRPr="00B710A9" w14:paraId="155A3F8E" w14:textId="77777777" w:rsidTr="00F30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0F40A" w14:textId="77777777" w:rsidR="007C5264" w:rsidRPr="00B710A9" w:rsidRDefault="007C5264" w:rsidP="00A224C8">
            <w:pPr>
              <w:rPr>
                <w:rFonts w:ascii="Arial" w:hAnsi="Arial" w:cs="Arial"/>
                <w:b w:val="0"/>
                <w:bCs w:val="0"/>
                <w:sz w:val="16"/>
                <w:szCs w:val="16"/>
              </w:rPr>
            </w:pPr>
            <w:r w:rsidRPr="00B710A9">
              <w:rPr>
                <w:rFonts w:ascii="Arial" w:hAnsi="Arial" w:cs="Arial"/>
                <w:b w:val="0"/>
                <w:bCs w:val="0"/>
                <w:sz w:val="16"/>
                <w:szCs w:val="16"/>
              </w:rPr>
              <w:t>Funcionamiento</w:t>
            </w:r>
          </w:p>
        </w:tc>
        <w:tc>
          <w:tcPr>
            <w:tcW w:w="3151" w:type="dxa"/>
          </w:tcPr>
          <w:p w14:paraId="7D7EE917" w14:textId="77777777" w:rsidR="007C5264" w:rsidRPr="00B710A9" w:rsidRDefault="007C5264" w:rsidP="00A224C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B710A9">
              <w:rPr>
                <w:rFonts w:ascii="Arial" w:hAnsi="Arial" w:cs="Arial"/>
                <w:bCs/>
                <w:sz w:val="16"/>
                <w:szCs w:val="16"/>
              </w:rPr>
              <w:t>$1.452</w:t>
            </w:r>
          </w:p>
        </w:tc>
        <w:tc>
          <w:tcPr>
            <w:tcW w:w="2063" w:type="dxa"/>
          </w:tcPr>
          <w:p w14:paraId="08C0FFCF" w14:textId="77777777" w:rsidR="007C5264" w:rsidRPr="00B710A9" w:rsidRDefault="007C5264" w:rsidP="00A224C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B710A9">
              <w:rPr>
                <w:rFonts w:ascii="Arial" w:hAnsi="Arial" w:cs="Arial"/>
                <w:bCs/>
                <w:sz w:val="16"/>
                <w:szCs w:val="16"/>
              </w:rPr>
              <w:t>$1.122</w:t>
            </w:r>
          </w:p>
        </w:tc>
        <w:tc>
          <w:tcPr>
            <w:tcW w:w="0" w:type="auto"/>
          </w:tcPr>
          <w:p w14:paraId="6F2263C4" w14:textId="77777777" w:rsidR="007C5264" w:rsidRPr="00B710A9" w:rsidRDefault="007C5264" w:rsidP="00A224C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B710A9">
              <w:rPr>
                <w:rFonts w:ascii="Arial" w:hAnsi="Arial" w:cs="Arial"/>
                <w:bCs/>
                <w:sz w:val="16"/>
                <w:szCs w:val="16"/>
              </w:rPr>
              <w:t>77%</w:t>
            </w:r>
          </w:p>
        </w:tc>
      </w:tr>
      <w:tr w:rsidR="007C5264" w:rsidRPr="00B710A9" w14:paraId="678E4B8F" w14:textId="77777777" w:rsidTr="00F306F0">
        <w:tc>
          <w:tcPr>
            <w:cnfStyle w:val="001000000000" w:firstRow="0" w:lastRow="0" w:firstColumn="1" w:lastColumn="0" w:oddVBand="0" w:evenVBand="0" w:oddHBand="0" w:evenHBand="0" w:firstRowFirstColumn="0" w:firstRowLastColumn="0" w:lastRowFirstColumn="0" w:lastRowLastColumn="0"/>
            <w:tcW w:w="0" w:type="auto"/>
          </w:tcPr>
          <w:p w14:paraId="4244ED0C" w14:textId="77777777" w:rsidR="007C5264" w:rsidRPr="00B710A9" w:rsidRDefault="007C5264" w:rsidP="00A224C8">
            <w:pPr>
              <w:jc w:val="center"/>
              <w:rPr>
                <w:rFonts w:ascii="Arial" w:hAnsi="Arial" w:cs="Arial"/>
                <w:b w:val="0"/>
                <w:bCs w:val="0"/>
                <w:sz w:val="16"/>
                <w:szCs w:val="16"/>
              </w:rPr>
            </w:pPr>
            <w:r w:rsidRPr="00B710A9">
              <w:rPr>
                <w:rFonts w:ascii="Arial" w:hAnsi="Arial" w:cs="Arial"/>
                <w:b w:val="0"/>
                <w:bCs w:val="0"/>
                <w:sz w:val="16"/>
                <w:szCs w:val="16"/>
              </w:rPr>
              <w:t xml:space="preserve">Inversión </w:t>
            </w:r>
          </w:p>
        </w:tc>
        <w:tc>
          <w:tcPr>
            <w:tcW w:w="3151" w:type="dxa"/>
          </w:tcPr>
          <w:p w14:paraId="6946C39E" w14:textId="77777777" w:rsidR="007C5264" w:rsidRPr="00B710A9" w:rsidRDefault="007C5264" w:rsidP="00A224C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B710A9">
              <w:rPr>
                <w:rFonts w:ascii="Arial" w:hAnsi="Arial" w:cs="Arial"/>
                <w:bCs/>
                <w:sz w:val="16"/>
                <w:szCs w:val="16"/>
              </w:rPr>
              <w:t>$30.469</w:t>
            </w:r>
          </w:p>
        </w:tc>
        <w:tc>
          <w:tcPr>
            <w:tcW w:w="2063" w:type="dxa"/>
          </w:tcPr>
          <w:p w14:paraId="5ACB7191" w14:textId="77777777" w:rsidR="007C5264" w:rsidRPr="00B710A9" w:rsidRDefault="007C5264" w:rsidP="00A224C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B710A9">
              <w:rPr>
                <w:rFonts w:ascii="Arial" w:hAnsi="Arial" w:cs="Arial"/>
                <w:bCs/>
                <w:sz w:val="16"/>
                <w:szCs w:val="16"/>
              </w:rPr>
              <w:t>$13.340</w:t>
            </w:r>
          </w:p>
        </w:tc>
        <w:tc>
          <w:tcPr>
            <w:tcW w:w="0" w:type="auto"/>
          </w:tcPr>
          <w:p w14:paraId="49D0BA77" w14:textId="77777777" w:rsidR="007C5264" w:rsidRPr="00B710A9" w:rsidRDefault="007C5264" w:rsidP="00A224C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B710A9">
              <w:rPr>
                <w:rFonts w:ascii="Arial" w:hAnsi="Arial" w:cs="Arial"/>
                <w:bCs/>
                <w:sz w:val="16"/>
                <w:szCs w:val="16"/>
              </w:rPr>
              <w:t>44%</w:t>
            </w:r>
          </w:p>
        </w:tc>
      </w:tr>
      <w:tr w:rsidR="007C5264" w:rsidRPr="00B710A9" w14:paraId="18000193" w14:textId="77777777" w:rsidTr="00F30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F58F1B" w14:textId="77777777" w:rsidR="007C5264" w:rsidRPr="00B710A9" w:rsidRDefault="007C5264" w:rsidP="00A224C8">
            <w:pPr>
              <w:jc w:val="center"/>
              <w:rPr>
                <w:rFonts w:ascii="Arial" w:hAnsi="Arial" w:cs="Arial"/>
                <w:b w:val="0"/>
                <w:bCs w:val="0"/>
                <w:sz w:val="16"/>
                <w:szCs w:val="16"/>
              </w:rPr>
            </w:pPr>
            <w:r w:rsidRPr="00B710A9">
              <w:rPr>
                <w:rFonts w:ascii="Arial" w:hAnsi="Arial" w:cs="Arial"/>
                <w:sz w:val="16"/>
                <w:szCs w:val="16"/>
              </w:rPr>
              <w:t>Total</w:t>
            </w:r>
          </w:p>
        </w:tc>
        <w:tc>
          <w:tcPr>
            <w:tcW w:w="3151" w:type="dxa"/>
          </w:tcPr>
          <w:p w14:paraId="5F7FD6B3" w14:textId="77777777" w:rsidR="007C5264" w:rsidRPr="00B710A9" w:rsidRDefault="007C5264" w:rsidP="00A224C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B710A9">
              <w:rPr>
                <w:rFonts w:ascii="Arial" w:hAnsi="Arial" w:cs="Arial"/>
                <w:b/>
                <w:bCs/>
                <w:sz w:val="16"/>
                <w:szCs w:val="16"/>
              </w:rPr>
              <w:t>$31.922</w:t>
            </w:r>
          </w:p>
        </w:tc>
        <w:tc>
          <w:tcPr>
            <w:tcW w:w="2063" w:type="dxa"/>
          </w:tcPr>
          <w:p w14:paraId="465C6D57" w14:textId="77777777" w:rsidR="007C5264" w:rsidRPr="00B710A9" w:rsidRDefault="007C5264" w:rsidP="00A224C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B710A9">
              <w:rPr>
                <w:rFonts w:ascii="Arial" w:hAnsi="Arial" w:cs="Arial"/>
                <w:b/>
                <w:bCs/>
                <w:sz w:val="16"/>
                <w:szCs w:val="16"/>
              </w:rPr>
              <w:t>$14.462</w:t>
            </w:r>
          </w:p>
        </w:tc>
        <w:tc>
          <w:tcPr>
            <w:tcW w:w="0" w:type="auto"/>
          </w:tcPr>
          <w:p w14:paraId="62DB740D" w14:textId="77777777" w:rsidR="007C5264" w:rsidRPr="00B710A9" w:rsidRDefault="007C5264" w:rsidP="00A224C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B710A9">
              <w:rPr>
                <w:rFonts w:ascii="Arial" w:hAnsi="Arial" w:cs="Arial"/>
                <w:b/>
                <w:bCs/>
                <w:sz w:val="16"/>
                <w:szCs w:val="16"/>
              </w:rPr>
              <w:t>45%</w:t>
            </w:r>
          </w:p>
        </w:tc>
      </w:tr>
    </w:tbl>
    <w:p w14:paraId="534918A0" w14:textId="77777777" w:rsidR="007C5264" w:rsidRPr="00B710A9" w:rsidRDefault="007C5264" w:rsidP="007C5264">
      <w:pPr>
        <w:jc w:val="center"/>
        <w:rPr>
          <w:rFonts w:ascii="Arial" w:hAnsi="Arial" w:cs="Arial"/>
          <w:b/>
          <w:sz w:val="16"/>
          <w:szCs w:val="16"/>
        </w:rPr>
      </w:pPr>
      <w:r w:rsidRPr="00B710A9">
        <w:rPr>
          <w:rFonts w:ascii="Arial" w:hAnsi="Arial" w:cs="Arial"/>
          <w:b/>
          <w:sz w:val="16"/>
          <w:szCs w:val="16"/>
        </w:rPr>
        <w:t>Fuente: IGAC</w:t>
      </w:r>
    </w:p>
    <w:p w14:paraId="21D9A7AD" w14:textId="77777777" w:rsidR="009B6AF5" w:rsidRDefault="009B6AF5" w:rsidP="00A224C8">
      <w:pPr>
        <w:jc w:val="both"/>
        <w:textAlignment w:val="baseline"/>
        <w:rPr>
          <w:rFonts w:eastAsia="MS Mincho" w:cs="Arial"/>
          <w:sz w:val="22"/>
          <w:szCs w:val="22"/>
        </w:rPr>
      </w:pPr>
    </w:p>
    <w:p w14:paraId="28016157" w14:textId="77777777" w:rsidR="00F03685" w:rsidRPr="00B710A9" w:rsidRDefault="00F03685" w:rsidP="00A224C8">
      <w:pPr>
        <w:jc w:val="both"/>
        <w:textAlignment w:val="baseline"/>
        <w:rPr>
          <w:rFonts w:eastAsia="MS Mincho" w:cs="Arial"/>
          <w:sz w:val="22"/>
          <w:szCs w:val="22"/>
        </w:rPr>
      </w:pPr>
    </w:p>
    <w:p w14:paraId="15575A9F" w14:textId="77777777" w:rsidR="00824C97" w:rsidRPr="00B710A9" w:rsidRDefault="00824C97" w:rsidP="009D279A">
      <w:pPr>
        <w:spacing w:after="0" w:line="240" w:lineRule="auto"/>
        <w:jc w:val="both"/>
        <w:rPr>
          <w:rFonts w:ascii="Arial" w:eastAsia="Calibri" w:hAnsi="Arial" w:cs="Arial"/>
          <w:color w:val="000000" w:themeColor="text1"/>
          <w:sz w:val="22"/>
          <w:szCs w:val="22"/>
          <w:lang w:val="es"/>
        </w:rPr>
      </w:pPr>
    </w:p>
    <w:p w14:paraId="6E92FC83" w14:textId="3A2EC3BA" w:rsidR="00980F73" w:rsidRPr="00B710A9" w:rsidRDefault="00526830" w:rsidP="00B4645B">
      <w:pPr>
        <w:pStyle w:val="Ttulo2"/>
        <w:numPr>
          <w:ilvl w:val="1"/>
          <w:numId w:val="44"/>
        </w:numPr>
        <w:spacing w:before="0" w:after="0" w:line="240" w:lineRule="auto"/>
        <w:rPr>
          <w:rFonts w:ascii="Arial" w:hAnsi="Arial" w:cs="Arial"/>
          <w:color w:val="000000" w:themeColor="text1"/>
          <w:sz w:val="22"/>
          <w:szCs w:val="22"/>
        </w:rPr>
      </w:pPr>
      <w:bookmarkStart w:id="74" w:name="_Toc111485517"/>
      <w:r w:rsidRPr="00B710A9">
        <w:rPr>
          <w:rFonts w:ascii="Arial" w:hAnsi="Arial" w:cs="Arial"/>
          <w:color w:val="000000" w:themeColor="text1"/>
          <w:sz w:val="22"/>
          <w:szCs w:val="22"/>
        </w:rPr>
        <w:lastRenderedPageBreak/>
        <w:t>Gestión contable y estados financieros</w:t>
      </w:r>
      <w:bookmarkEnd w:id="74"/>
    </w:p>
    <w:p w14:paraId="233CE7C7" w14:textId="084C6355" w:rsidR="00980F73" w:rsidRPr="00B710A9" w:rsidRDefault="00526830" w:rsidP="009D279A">
      <w:pPr>
        <w:pStyle w:val="Ttulo2"/>
        <w:spacing w:before="0" w:after="0" w:line="240" w:lineRule="auto"/>
        <w:rPr>
          <w:rFonts w:ascii="Arial" w:hAnsi="Arial" w:cs="Arial"/>
          <w:color w:val="000000" w:themeColor="text1"/>
          <w:sz w:val="22"/>
          <w:szCs w:val="22"/>
        </w:rPr>
      </w:pPr>
      <w:r w:rsidRPr="00B710A9">
        <w:rPr>
          <w:rFonts w:ascii="Arial" w:hAnsi="Arial" w:cs="Arial"/>
          <w:color w:val="000000" w:themeColor="text1"/>
          <w:sz w:val="22"/>
          <w:szCs w:val="22"/>
        </w:rPr>
        <w:t xml:space="preserve"> </w:t>
      </w:r>
    </w:p>
    <w:p w14:paraId="0212A07D" w14:textId="77777777" w:rsidR="00932E42" w:rsidRPr="00B710A9" w:rsidRDefault="00932E42" w:rsidP="009D279A">
      <w:pPr>
        <w:spacing w:after="0" w:line="240" w:lineRule="auto"/>
        <w:jc w:val="both"/>
        <w:rPr>
          <w:rFonts w:ascii="Arial" w:eastAsia="Calibri" w:hAnsi="Arial" w:cs="Arial"/>
          <w:color w:val="000000" w:themeColor="text1"/>
          <w:sz w:val="22"/>
          <w:szCs w:val="22"/>
          <w:lang w:val="es"/>
        </w:rPr>
      </w:pPr>
    </w:p>
    <w:p w14:paraId="25AA9F80" w14:textId="2937BF3C" w:rsidR="0006537D" w:rsidRPr="00B710A9" w:rsidRDefault="0006537D" w:rsidP="005558D1">
      <w:pPr>
        <w:spacing w:after="0" w:line="240" w:lineRule="auto"/>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lang w:val="es"/>
        </w:rPr>
        <w:t>Los estados financieros, estado de resultados, acta de publicación y certificación</w:t>
      </w:r>
      <w:r w:rsidR="00AE58DA" w:rsidRPr="00B710A9">
        <w:rPr>
          <w:rFonts w:ascii="Arial" w:eastAsia="Calibri" w:hAnsi="Arial" w:cs="Arial"/>
          <w:color w:val="000000" w:themeColor="text1"/>
          <w:sz w:val="22"/>
          <w:szCs w:val="22"/>
          <w:lang w:val="es"/>
        </w:rPr>
        <w:t xml:space="preserve"> se encuentran publicados en la página web del instituto, link: </w:t>
      </w:r>
      <w:r w:rsidR="005558D1" w:rsidRPr="00B710A9">
        <w:rPr>
          <w:rFonts w:ascii="Arial" w:eastAsia="Calibri" w:hAnsi="Arial" w:cs="Arial"/>
          <w:color w:val="000000" w:themeColor="text1"/>
          <w:sz w:val="22"/>
          <w:szCs w:val="22"/>
          <w:lang w:val="es"/>
        </w:rPr>
        <w:t>https://www.igac.gov.co/es/transparencia-y-acceso-a-informacion-publica/estados-contables</w:t>
      </w:r>
    </w:p>
    <w:p w14:paraId="3AFE6A89" w14:textId="77777777" w:rsidR="009D279A" w:rsidRPr="00B710A9" w:rsidRDefault="009D279A" w:rsidP="009D279A">
      <w:pPr>
        <w:spacing w:after="0" w:line="240" w:lineRule="auto"/>
        <w:jc w:val="both"/>
        <w:rPr>
          <w:rFonts w:ascii="Arial" w:eastAsia="Calibri" w:hAnsi="Arial" w:cs="Arial"/>
          <w:color w:val="000000" w:themeColor="text1"/>
          <w:sz w:val="22"/>
          <w:szCs w:val="22"/>
          <w:lang w:val="es"/>
        </w:rPr>
      </w:pPr>
    </w:p>
    <w:p w14:paraId="74B2FC88" w14:textId="49D797B2" w:rsidR="005553DB" w:rsidRPr="00B710A9" w:rsidRDefault="00FD6F1E" w:rsidP="009D279A">
      <w:pPr>
        <w:spacing w:after="0" w:line="240" w:lineRule="auto"/>
        <w:jc w:val="both"/>
        <w:rPr>
          <w:rFonts w:ascii="Arial" w:eastAsia="Calibri" w:hAnsi="Arial" w:cs="Arial"/>
          <w:color w:val="000000" w:themeColor="text1"/>
          <w:sz w:val="22"/>
          <w:szCs w:val="22"/>
          <w:lang w:val="es"/>
        </w:rPr>
      </w:pPr>
      <w:r w:rsidRPr="00B710A9">
        <w:rPr>
          <w:rFonts w:ascii="Arial" w:eastAsia="Calibri" w:hAnsi="Arial" w:cs="Arial"/>
          <w:color w:val="000000" w:themeColor="text1"/>
          <w:sz w:val="22"/>
          <w:szCs w:val="22"/>
          <w:lang w:val="es"/>
        </w:rPr>
        <w:t>A continuación,</w:t>
      </w:r>
      <w:r w:rsidR="2A2BE432" w:rsidRPr="00B710A9">
        <w:rPr>
          <w:rFonts w:ascii="Arial" w:eastAsia="Calibri" w:hAnsi="Arial" w:cs="Arial"/>
          <w:color w:val="000000" w:themeColor="text1"/>
          <w:sz w:val="22"/>
          <w:szCs w:val="22"/>
          <w:lang w:val="es"/>
        </w:rPr>
        <w:t xml:space="preserve"> se puede observar la situación financiera y de resultados del IGAC</w:t>
      </w:r>
      <w:r w:rsidRPr="00B710A9">
        <w:rPr>
          <w:rFonts w:ascii="Arial" w:eastAsia="Calibri" w:hAnsi="Arial" w:cs="Arial"/>
          <w:color w:val="000000" w:themeColor="text1"/>
          <w:sz w:val="22"/>
          <w:szCs w:val="22"/>
          <w:lang w:val="es"/>
        </w:rPr>
        <w:t xml:space="preserve"> desde el año 2019 </w:t>
      </w:r>
      <w:r w:rsidR="005553DB" w:rsidRPr="00B710A9">
        <w:rPr>
          <w:rFonts w:ascii="Arial" w:eastAsia="Calibri" w:hAnsi="Arial" w:cs="Arial"/>
          <w:color w:val="000000" w:themeColor="text1"/>
          <w:sz w:val="22"/>
          <w:szCs w:val="22"/>
          <w:lang w:val="es"/>
        </w:rPr>
        <w:t>a 30 de mayo</w:t>
      </w:r>
      <w:r w:rsidR="005F06C3" w:rsidRPr="00B710A9">
        <w:rPr>
          <w:rFonts w:ascii="Arial" w:eastAsia="Calibri" w:hAnsi="Arial" w:cs="Arial"/>
          <w:color w:val="000000" w:themeColor="text1"/>
          <w:sz w:val="22"/>
          <w:szCs w:val="22"/>
          <w:lang w:val="es"/>
        </w:rPr>
        <w:t xml:space="preserve"> del año 2022: </w:t>
      </w:r>
    </w:p>
    <w:p w14:paraId="25762569" w14:textId="46CD4BE5" w:rsidR="19B98323" w:rsidRPr="00B710A9" w:rsidRDefault="19B98323" w:rsidP="009D279A">
      <w:pPr>
        <w:spacing w:after="0" w:line="240" w:lineRule="auto"/>
        <w:jc w:val="both"/>
        <w:rPr>
          <w:rFonts w:ascii="Arial" w:hAnsi="Arial" w:cs="Arial"/>
          <w:color w:val="000000" w:themeColor="text1"/>
          <w:sz w:val="22"/>
          <w:szCs w:val="22"/>
        </w:rPr>
      </w:pPr>
    </w:p>
    <w:p w14:paraId="40375417" w14:textId="77777777" w:rsidR="006A1BCB" w:rsidRPr="00B710A9" w:rsidRDefault="006A1BCB" w:rsidP="70A85943">
      <w:pPr>
        <w:spacing w:after="0" w:line="240" w:lineRule="auto"/>
        <w:jc w:val="both"/>
        <w:rPr>
          <w:rFonts w:ascii="Arial" w:hAnsi="Arial" w:cs="Arial"/>
          <w:color w:val="000000" w:themeColor="text1"/>
          <w:sz w:val="22"/>
          <w:szCs w:val="22"/>
        </w:rPr>
      </w:pPr>
    </w:p>
    <w:p w14:paraId="4DB6C913" w14:textId="5D9AFD80" w:rsidR="006A1BCB" w:rsidRPr="00B710A9" w:rsidRDefault="006A1BCB" w:rsidP="00CD253D">
      <w:pPr>
        <w:pStyle w:val="Prrafodelista"/>
        <w:numPr>
          <w:ilvl w:val="0"/>
          <w:numId w:val="115"/>
        </w:numPr>
        <w:spacing w:after="0" w:line="240" w:lineRule="auto"/>
        <w:jc w:val="both"/>
        <w:rPr>
          <w:rFonts w:ascii="Arial" w:hAnsi="Arial" w:cs="Arial"/>
          <w:b/>
          <w:bCs/>
          <w:color w:val="000000" w:themeColor="text1"/>
          <w:sz w:val="22"/>
          <w:szCs w:val="22"/>
        </w:rPr>
      </w:pPr>
      <w:r w:rsidRPr="00B710A9">
        <w:rPr>
          <w:rFonts w:ascii="Arial" w:hAnsi="Arial" w:cs="Arial"/>
          <w:b/>
          <w:bCs/>
          <w:color w:val="000000" w:themeColor="text1"/>
          <w:sz w:val="22"/>
          <w:szCs w:val="22"/>
        </w:rPr>
        <w:t>Estado de Resultados</w:t>
      </w:r>
    </w:p>
    <w:p w14:paraId="3F38244E" w14:textId="77777777" w:rsidR="0078237A" w:rsidRPr="00B710A9" w:rsidRDefault="0078237A" w:rsidP="70A85943">
      <w:pPr>
        <w:spacing w:after="0" w:line="240" w:lineRule="auto"/>
        <w:jc w:val="both"/>
        <w:rPr>
          <w:color w:val="000000" w:themeColor="text1"/>
        </w:rPr>
      </w:pPr>
    </w:p>
    <w:p w14:paraId="05D7BBEA" w14:textId="2FD2C0D1" w:rsidR="0078237A" w:rsidRPr="00B710A9" w:rsidRDefault="00813EE0" w:rsidP="00813EE0">
      <w:pPr>
        <w:pStyle w:val="Descripcin"/>
        <w:jc w:val="center"/>
        <w:rPr>
          <w:rFonts w:ascii="Arial" w:hAnsi="Arial" w:cs="Arial"/>
          <w:b/>
          <w:bCs/>
          <w:i w:val="0"/>
          <w:iCs w:val="0"/>
          <w:color w:val="000000" w:themeColor="text1"/>
          <w:sz w:val="16"/>
          <w:szCs w:val="16"/>
        </w:rPr>
      </w:pPr>
      <w:bookmarkStart w:id="75" w:name="_Toc109057758"/>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28</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Estado de resultados situación financiera 2019-2022</w:t>
      </w:r>
      <w:bookmarkEnd w:id="75"/>
    </w:p>
    <w:tbl>
      <w:tblPr>
        <w:tblStyle w:val="Tablaconcuadrcula4-nfasis1"/>
        <w:tblW w:w="9500" w:type="dxa"/>
        <w:jc w:val="center"/>
        <w:tblLook w:val="04A0" w:firstRow="1" w:lastRow="0" w:firstColumn="1" w:lastColumn="0" w:noHBand="0" w:noVBand="1"/>
      </w:tblPr>
      <w:tblGrid>
        <w:gridCol w:w="2520"/>
        <w:gridCol w:w="1840"/>
        <w:gridCol w:w="2100"/>
        <w:gridCol w:w="1360"/>
        <w:gridCol w:w="1680"/>
      </w:tblGrid>
      <w:tr w:rsidR="0078237A" w:rsidRPr="00B710A9" w14:paraId="7DD0CDFF" w14:textId="77777777" w:rsidTr="00D21DA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2A1691EC" w14:textId="77777777" w:rsidR="0078237A" w:rsidRPr="00B710A9" w:rsidRDefault="0078237A" w:rsidP="0078237A">
            <w:pPr>
              <w:jc w:val="center"/>
              <w:rPr>
                <w:rFonts w:ascii="Arial" w:eastAsia="Times New Roman" w:hAnsi="Arial" w:cs="Arial"/>
                <w:b w:val="0"/>
                <w:bCs w:val="0"/>
                <w:sz w:val="20"/>
                <w:szCs w:val="20"/>
              </w:rPr>
            </w:pPr>
            <w:r w:rsidRPr="00B710A9">
              <w:rPr>
                <w:rFonts w:ascii="Arial" w:eastAsia="Times New Roman" w:hAnsi="Arial" w:cs="Arial"/>
                <w:sz w:val="20"/>
                <w:szCs w:val="20"/>
              </w:rPr>
              <w:t>VIGENCIA</w:t>
            </w:r>
          </w:p>
          <w:p w14:paraId="33E90A64" w14:textId="665D14EB" w:rsidR="00C0393B" w:rsidRPr="00B710A9" w:rsidRDefault="00C0393B" w:rsidP="0078237A">
            <w:pPr>
              <w:jc w:val="center"/>
              <w:rPr>
                <w:rFonts w:ascii="Arial" w:eastAsia="Times New Roman" w:hAnsi="Arial" w:cs="Arial"/>
                <w:sz w:val="20"/>
                <w:szCs w:val="20"/>
              </w:rPr>
            </w:pPr>
            <w:r w:rsidRPr="00B710A9">
              <w:rPr>
                <w:rFonts w:ascii="Arial" w:eastAsia="Times New Roman" w:hAnsi="Arial" w:cs="Arial"/>
                <w:sz w:val="20"/>
                <w:szCs w:val="20"/>
              </w:rPr>
              <w:t>FISCAL</w:t>
            </w:r>
          </w:p>
        </w:tc>
        <w:tc>
          <w:tcPr>
            <w:tcW w:w="1840" w:type="dxa"/>
            <w:vAlign w:val="center"/>
            <w:hideMark/>
          </w:tcPr>
          <w:p w14:paraId="0E406178" w14:textId="77777777" w:rsidR="0078237A" w:rsidRPr="00B710A9" w:rsidRDefault="0078237A" w:rsidP="007823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710A9">
              <w:rPr>
                <w:rFonts w:ascii="Arial" w:eastAsia="Times New Roman" w:hAnsi="Arial" w:cs="Arial"/>
                <w:sz w:val="20"/>
                <w:szCs w:val="20"/>
              </w:rPr>
              <w:t>2019</w:t>
            </w:r>
          </w:p>
        </w:tc>
        <w:tc>
          <w:tcPr>
            <w:tcW w:w="2100" w:type="dxa"/>
            <w:vAlign w:val="center"/>
            <w:hideMark/>
          </w:tcPr>
          <w:p w14:paraId="56E7E27A" w14:textId="77777777" w:rsidR="0078237A" w:rsidRPr="00B710A9" w:rsidRDefault="0078237A" w:rsidP="007823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710A9">
              <w:rPr>
                <w:rFonts w:ascii="Arial" w:eastAsia="Times New Roman" w:hAnsi="Arial" w:cs="Arial"/>
                <w:sz w:val="20"/>
                <w:szCs w:val="20"/>
              </w:rPr>
              <w:t>2020</w:t>
            </w:r>
          </w:p>
        </w:tc>
        <w:tc>
          <w:tcPr>
            <w:tcW w:w="1360" w:type="dxa"/>
            <w:vAlign w:val="center"/>
            <w:hideMark/>
          </w:tcPr>
          <w:p w14:paraId="18E850C4" w14:textId="77777777" w:rsidR="0078237A" w:rsidRPr="00B710A9" w:rsidRDefault="0078237A" w:rsidP="007823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710A9">
              <w:rPr>
                <w:rFonts w:ascii="Arial" w:eastAsia="Times New Roman" w:hAnsi="Arial" w:cs="Arial"/>
                <w:sz w:val="20"/>
                <w:szCs w:val="20"/>
              </w:rPr>
              <w:t>2021</w:t>
            </w:r>
          </w:p>
        </w:tc>
        <w:tc>
          <w:tcPr>
            <w:tcW w:w="1680" w:type="dxa"/>
            <w:vAlign w:val="center"/>
            <w:hideMark/>
          </w:tcPr>
          <w:p w14:paraId="236F3F01" w14:textId="5BD7108E" w:rsidR="0078237A" w:rsidRPr="00B710A9" w:rsidRDefault="0078237A" w:rsidP="007823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710A9">
              <w:rPr>
                <w:rFonts w:ascii="Arial" w:eastAsia="Times New Roman" w:hAnsi="Arial" w:cs="Arial"/>
                <w:sz w:val="20"/>
                <w:szCs w:val="20"/>
              </w:rPr>
              <w:t>2022</w:t>
            </w:r>
            <w:r w:rsidR="00B86A17" w:rsidRPr="00B710A9">
              <w:rPr>
                <w:rFonts w:ascii="Arial" w:eastAsia="Times New Roman" w:hAnsi="Arial" w:cs="Arial"/>
                <w:sz w:val="20"/>
                <w:szCs w:val="20"/>
              </w:rPr>
              <w:t xml:space="preserve"> (Corte Mayo)</w:t>
            </w:r>
          </w:p>
        </w:tc>
      </w:tr>
      <w:tr w:rsidR="0078237A" w:rsidRPr="00B710A9" w14:paraId="7B14B7C2" w14:textId="77777777" w:rsidTr="00D21D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0" w:type="dxa"/>
            <w:vMerge w:val="restart"/>
            <w:vAlign w:val="center"/>
            <w:hideMark/>
          </w:tcPr>
          <w:p w14:paraId="4E7B9829" w14:textId="77777777" w:rsidR="0078237A" w:rsidRPr="00B710A9" w:rsidRDefault="0078237A" w:rsidP="0078237A">
            <w:pPr>
              <w:jc w:val="center"/>
              <w:rPr>
                <w:rFonts w:ascii="Arial" w:eastAsia="Times New Roman" w:hAnsi="Arial" w:cs="Arial"/>
                <w:color w:val="000000" w:themeColor="text1"/>
                <w:sz w:val="18"/>
                <w:szCs w:val="18"/>
              </w:rPr>
            </w:pPr>
            <w:r w:rsidRPr="00B710A9">
              <w:rPr>
                <w:rFonts w:ascii="Arial" w:eastAsia="Times New Roman" w:hAnsi="Arial" w:cs="Arial"/>
                <w:color w:val="000000" w:themeColor="text1"/>
                <w:sz w:val="18"/>
                <w:szCs w:val="18"/>
              </w:rPr>
              <w:t>CONCEPTO</w:t>
            </w:r>
          </w:p>
        </w:tc>
        <w:tc>
          <w:tcPr>
            <w:tcW w:w="1840" w:type="dxa"/>
            <w:vAlign w:val="center"/>
            <w:hideMark/>
          </w:tcPr>
          <w:p w14:paraId="768945B7" w14:textId="77777777" w:rsidR="0078237A" w:rsidRPr="00B710A9" w:rsidRDefault="0078237A" w:rsidP="007823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rPr>
            </w:pPr>
            <w:r w:rsidRPr="00B710A9">
              <w:rPr>
                <w:rFonts w:ascii="Arial" w:eastAsia="Times New Roman" w:hAnsi="Arial" w:cs="Arial"/>
                <w:b/>
                <w:bCs/>
                <w:color w:val="000000" w:themeColor="text1"/>
                <w:sz w:val="20"/>
                <w:szCs w:val="20"/>
              </w:rPr>
              <w:t>VALOR</w:t>
            </w:r>
          </w:p>
        </w:tc>
        <w:tc>
          <w:tcPr>
            <w:tcW w:w="2100" w:type="dxa"/>
            <w:vAlign w:val="center"/>
            <w:hideMark/>
          </w:tcPr>
          <w:p w14:paraId="0B44821B" w14:textId="77777777" w:rsidR="0078237A" w:rsidRPr="00B710A9" w:rsidRDefault="0078237A" w:rsidP="007823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rPr>
            </w:pPr>
            <w:r w:rsidRPr="00B710A9">
              <w:rPr>
                <w:rFonts w:ascii="Arial" w:eastAsia="Times New Roman" w:hAnsi="Arial" w:cs="Arial"/>
                <w:b/>
                <w:bCs/>
                <w:color w:val="000000" w:themeColor="text1"/>
                <w:sz w:val="20"/>
                <w:szCs w:val="20"/>
              </w:rPr>
              <w:t>VALOR</w:t>
            </w:r>
          </w:p>
        </w:tc>
        <w:tc>
          <w:tcPr>
            <w:tcW w:w="1360" w:type="dxa"/>
            <w:vAlign w:val="center"/>
            <w:hideMark/>
          </w:tcPr>
          <w:p w14:paraId="5E400CC4" w14:textId="77777777" w:rsidR="0078237A" w:rsidRPr="00B710A9" w:rsidRDefault="0078237A" w:rsidP="007823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rPr>
            </w:pPr>
            <w:r w:rsidRPr="00B710A9">
              <w:rPr>
                <w:rFonts w:ascii="Arial" w:eastAsia="Times New Roman" w:hAnsi="Arial" w:cs="Arial"/>
                <w:b/>
                <w:bCs/>
                <w:color w:val="000000" w:themeColor="text1"/>
                <w:sz w:val="20"/>
                <w:szCs w:val="20"/>
              </w:rPr>
              <w:t>VALOR</w:t>
            </w:r>
          </w:p>
        </w:tc>
        <w:tc>
          <w:tcPr>
            <w:tcW w:w="1680" w:type="dxa"/>
            <w:vAlign w:val="center"/>
            <w:hideMark/>
          </w:tcPr>
          <w:p w14:paraId="5A369591" w14:textId="77777777" w:rsidR="0078237A" w:rsidRPr="00B710A9" w:rsidRDefault="0078237A" w:rsidP="007823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rPr>
            </w:pPr>
            <w:r w:rsidRPr="00B710A9">
              <w:rPr>
                <w:rFonts w:ascii="Arial" w:eastAsia="Times New Roman" w:hAnsi="Arial" w:cs="Arial"/>
                <w:b/>
                <w:bCs/>
                <w:color w:val="000000" w:themeColor="text1"/>
                <w:sz w:val="20"/>
                <w:szCs w:val="20"/>
              </w:rPr>
              <w:t>VALOR</w:t>
            </w:r>
          </w:p>
        </w:tc>
      </w:tr>
      <w:tr w:rsidR="0078237A" w:rsidRPr="00B710A9" w14:paraId="6E5686C4" w14:textId="77777777" w:rsidTr="00D21DAF">
        <w:trPr>
          <w:trHeight w:val="510"/>
          <w:jc w:val="center"/>
        </w:trPr>
        <w:tc>
          <w:tcPr>
            <w:cnfStyle w:val="001000000000" w:firstRow="0" w:lastRow="0" w:firstColumn="1" w:lastColumn="0" w:oddVBand="0" w:evenVBand="0" w:oddHBand="0" w:evenHBand="0" w:firstRowFirstColumn="0" w:firstRowLastColumn="0" w:lastRowFirstColumn="0" w:lastRowLastColumn="0"/>
            <w:tcW w:w="2520" w:type="dxa"/>
            <w:vMerge/>
            <w:vAlign w:val="center"/>
            <w:hideMark/>
          </w:tcPr>
          <w:p w14:paraId="64DA96BE" w14:textId="77777777" w:rsidR="0078237A" w:rsidRPr="00B710A9" w:rsidRDefault="0078237A" w:rsidP="0078237A">
            <w:pPr>
              <w:rPr>
                <w:rFonts w:ascii="Arial" w:eastAsia="Times New Roman" w:hAnsi="Arial" w:cs="Arial"/>
                <w:color w:val="000000" w:themeColor="text1"/>
                <w:sz w:val="18"/>
                <w:szCs w:val="18"/>
              </w:rPr>
            </w:pPr>
          </w:p>
        </w:tc>
        <w:tc>
          <w:tcPr>
            <w:tcW w:w="1840" w:type="dxa"/>
            <w:vAlign w:val="center"/>
            <w:hideMark/>
          </w:tcPr>
          <w:p w14:paraId="30D5EE3C" w14:textId="77777777" w:rsidR="0078237A" w:rsidRPr="00B710A9" w:rsidRDefault="0078237A" w:rsidP="007823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rPr>
            </w:pPr>
            <w:r w:rsidRPr="00B710A9">
              <w:rPr>
                <w:rFonts w:ascii="Arial" w:eastAsia="Times New Roman" w:hAnsi="Arial" w:cs="Arial"/>
                <w:b/>
                <w:bCs/>
                <w:color w:val="000000" w:themeColor="text1"/>
                <w:sz w:val="20"/>
                <w:szCs w:val="20"/>
              </w:rPr>
              <w:t>(en millones de pesos)</w:t>
            </w:r>
          </w:p>
        </w:tc>
        <w:tc>
          <w:tcPr>
            <w:tcW w:w="2100" w:type="dxa"/>
            <w:vAlign w:val="center"/>
            <w:hideMark/>
          </w:tcPr>
          <w:p w14:paraId="1A214D44" w14:textId="77777777" w:rsidR="0078237A" w:rsidRPr="00B710A9" w:rsidRDefault="0078237A" w:rsidP="007823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rPr>
            </w:pPr>
            <w:r w:rsidRPr="00B710A9">
              <w:rPr>
                <w:rFonts w:ascii="Arial" w:eastAsia="Times New Roman" w:hAnsi="Arial" w:cs="Arial"/>
                <w:b/>
                <w:bCs/>
                <w:color w:val="000000" w:themeColor="text1"/>
                <w:sz w:val="20"/>
                <w:szCs w:val="20"/>
              </w:rPr>
              <w:t>(en millones de pesos)</w:t>
            </w:r>
          </w:p>
        </w:tc>
        <w:tc>
          <w:tcPr>
            <w:tcW w:w="1360" w:type="dxa"/>
            <w:vAlign w:val="center"/>
            <w:hideMark/>
          </w:tcPr>
          <w:p w14:paraId="0A9DD889" w14:textId="77777777" w:rsidR="0078237A" w:rsidRPr="00B710A9" w:rsidRDefault="0078237A" w:rsidP="007823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rPr>
            </w:pPr>
            <w:r w:rsidRPr="00B710A9">
              <w:rPr>
                <w:rFonts w:ascii="Arial" w:eastAsia="Times New Roman" w:hAnsi="Arial" w:cs="Arial"/>
                <w:b/>
                <w:bCs/>
                <w:color w:val="000000" w:themeColor="text1"/>
                <w:sz w:val="20"/>
                <w:szCs w:val="20"/>
              </w:rPr>
              <w:t>(en millones de pesos)</w:t>
            </w:r>
          </w:p>
        </w:tc>
        <w:tc>
          <w:tcPr>
            <w:tcW w:w="1680" w:type="dxa"/>
            <w:vAlign w:val="center"/>
            <w:hideMark/>
          </w:tcPr>
          <w:p w14:paraId="6488C766" w14:textId="77777777" w:rsidR="0078237A" w:rsidRPr="00B710A9" w:rsidRDefault="0078237A" w:rsidP="007823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rPr>
            </w:pPr>
            <w:r w:rsidRPr="00B710A9">
              <w:rPr>
                <w:rFonts w:ascii="Arial" w:eastAsia="Times New Roman" w:hAnsi="Arial" w:cs="Arial"/>
                <w:b/>
                <w:bCs/>
                <w:color w:val="000000" w:themeColor="text1"/>
                <w:sz w:val="20"/>
                <w:szCs w:val="20"/>
              </w:rPr>
              <w:t>(en millones de pesos)</w:t>
            </w:r>
          </w:p>
        </w:tc>
      </w:tr>
      <w:tr w:rsidR="0078237A" w:rsidRPr="00B710A9" w14:paraId="6BB1B5A0" w14:textId="77777777" w:rsidTr="00D21D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087D10EE" w14:textId="77777777" w:rsidR="0078237A" w:rsidRPr="00B710A9" w:rsidRDefault="0078237A" w:rsidP="0078237A">
            <w:pPr>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Ingresos Operacionales</w:t>
            </w:r>
          </w:p>
        </w:tc>
        <w:tc>
          <w:tcPr>
            <w:tcW w:w="1840" w:type="dxa"/>
            <w:vAlign w:val="center"/>
            <w:hideMark/>
          </w:tcPr>
          <w:p w14:paraId="40FF3A86" w14:textId="77777777" w:rsidR="0078237A" w:rsidRPr="00B710A9" w:rsidRDefault="0078237A" w:rsidP="007823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126.340</w:t>
            </w:r>
          </w:p>
        </w:tc>
        <w:tc>
          <w:tcPr>
            <w:tcW w:w="2100" w:type="dxa"/>
            <w:vAlign w:val="center"/>
            <w:hideMark/>
          </w:tcPr>
          <w:p w14:paraId="1A750C23" w14:textId="77777777" w:rsidR="0078237A" w:rsidRPr="00B710A9" w:rsidRDefault="0078237A" w:rsidP="007823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165.385</w:t>
            </w:r>
          </w:p>
        </w:tc>
        <w:tc>
          <w:tcPr>
            <w:tcW w:w="1360" w:type="dxa"/>
            <w:vAlign w:val="center"/>
            <w:hideMark/>
          </w:tcPr>
          <w:p w14:paraId="175F4BF2" w14:textId="77777777" w:rsidR="0078237A" w:rsidRPr="00B710A9" w:rsidRDefault="0078237A" w:rsidP="007823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127.768</w:t>
            </w:r>
          </w:p>
        </w:tc>
        <w:tc>
          <w:tcPr>
            <w:tcW w:w="1680" w:type="dxa"/>
            <w:vAlign w:val="center"/>
            <w:hideMark/>
          </w:tcPr>
          <w:p w14:paraId="3DF1435A" w14:textId="77777777" w:rsidR="0078237A" w:rsidRPr="00B710A9" w:rsidRDefault="0078237A" w:rsidP="007823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54.047   </w:t>
            </w:r>
          </w:p>
        </w:tc>
      </w:tr>
      <w:tr w:rsidR="0078237A" w:rsidRPr="00B710A9" w14:paraId="5B5C0A0B" w14:textId="77777777" w:rsidTr="00D21DAF">
        <w:trPr>
          <w:trHeight w:val="300"/>
          <w:jc w:val="center"/>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1B91A47A" w14:textId="77777777" w:rsidR="0078237A" w:rsidRPr="00B710A9" w:rsidRDefault="0078237A" w:rsidP="0078237A">
            <w:pPr>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Gastos Operacionales</w:t>
            </w:r>
          </w:p>
        </w:tc>
        <w:tc>
          <w:tcPr>
            <w:tcW w:w="1840" w:type="dxa"/>
            <w:vAlign w:val="center"/>
            <w:hideMark/>
          </w:tcPr>
          <w:p w14:paraId="3D5F9EC8" w14:textId="77777777" w:rsidR="0078237A" w:rsidRPr="00B710A9" w:rsidRDefault="0078237A" w:rsidP="007823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124.000</w:t>
            </w:r>
          </w:p>
        </w:tc>
        <w:tc>
          <w:tcPr>
            <w:tcW w:w="2100" w:type="dxa"/>
            <w:vAlign w:val="center"/>
            <w:hideMark/>
          </w:tcPr>
          <w:p w14:paraId="185B3CEB" w14:textId="77777777" w:rsidR="0078237A" w:rsidRPr="00B710A9" w:rsidRDefault="0078237A" w:rsidP="007823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118.097</w:t>
            </w:r>
          </w:p>
        </w:tc>
        <w:tc>
          <w:tcPr>
            <w:tcW w:w="1360" w:type="dxa"/>
            <w:vAlign w:val="center"/>
            <w:hideMark/>
          </w:tcPr>
          <w:p w14:paraId="7F3CCA2D" w14:textId="77777777" w:rsidR="0078237A" w:rsidRPr="00B710A9" w:rsidRDefault="0078237A" w:rsidP="007823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129.560</w:t>
            </w:r>
          </w:p>
        </w:tc>
        <w:tc>
          <w:tcPr>
            <w:tcW w:w="1680" w:type="dxa"/>
            <w:vAlign w:val="center"/>
            <w:hideMark/>
          </w:tcPr>
          <w:p w14:paraId="5A251323" w14:textId="77777777" w:rsidR="0078237A" w:rsidRPr="00B710A9" w:rsidRDefault="0078237A" w:rsidP="007823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 47.708   </w:t>
            </w:r>
          </w:p>
        </w:tc>
      </w:tr>
      <w:tr w:rsidR="0078237A" w:rsidRPr="00B710A9" w14:paraId="16DDC2F1" w14:textId="77777777" w:rsidTr="00D21D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74FA2A26" w14:textId="77777777" w:rsidR="0078237A" w:rsidRPr="00B710A9" w:rsidRDefault="0078237A" w:rsidP="0078237A">
            <w:pPr>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Costos de Venta y Operación</w:t>
            </w:r>
          </w:p>
        </w:tc>
        <w:tc>
          <w:tcPr>
            <w:tcW w:w="1840" w:type="dxa"/>
            <w:vAlign w:val="center"/>
            <w:hideMark/>
          </w:tcPr>
          <w:p w14:paraId="3C2FF20F" w14:textId="77777777" w:rsidR="0078237A" w:rsidRPr="00B710A9" w:rsidRDefault="0078237A" w:rsidP="007823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90</w:t>
            </w:r>
          </w:p>
        </w:tc>
        <w:tc>
          <w:tcPr>
            <w:tcW w:w="2100" w:type="dxa"/>
            <w:vAlign w:val="center"/>
            <w:hideMark/>
          </w:tcPr>
          <w:p w14:paraId="166605D7" w14:textId="77777777" w:rsidR="0078237A" w:rsidRPr="00B710A9" w:rsidRDefault="0078237A" w:rsidP="007823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39</w:t>
            </w:r>
          </w:p>
        </w:tc>
        <w:tc>
          <w:tcPr>
            <w:tcW w:w="1360" w:type="dxa"/>
            <w:vAlign w:val="center"/>
            <w:hideMark/>
          </w:tcPr>
          <w:p w14:paraId="62FABB28" w14:textId="77777777" w:rsidR="0078237A" w:rsidRPr="00B710A9" w:rsidRDefault="0078237A" w:rsidP="007823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38</w:t>
            </w:r>
          </w:p>
        </w:tc>
        <w:tc>
          <w:tcPr>
            <w:tcW w:w="1680" w:type="dxa"/>
            <w:vAlign w:val="center"/>
            <w:hideMark/>
          </w:tcPr>
          <w:p w14:paraId="47EAD442" w14:textId="77777777" w:rsidR="0078237A" w:rsidRPr="00B710A9" w:rsidRDefault="0078237A" w:rsidP="007823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 113   </w:t>
            </w:r>
          </w:p>
        </w:tc>
      </w:tr>
      <w:tr w:rsidR="0078237A" w:rsidRPr="00B710A9" w14:paraId="08C107FA" w14:textId="77777777" w:rsidTr="00D21DAF">
        <w:trPr>
          <w:trHeight w:val="300"/>
          <w:jc w:val="center"/>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548C5EA8" w14:textId="77777777" w:rsidR="0078237A" w:rsidRPr="00B710A9" w:rsidRDefault="0078237A" w:rsidP="0078237A">
            <w:pPr>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Resultado Operacional</w:t>
            </w:r>
          </w:p>
        </w:tc>
        <w:tc>
          <w:tcPr>
            <w:tcW w:w="1840" w:type="dxa"/>
            <w:vAlign w:val="center"/>
            <w:hideMark/>
          </w:tcPr>
          <w:p w14:paraId="28183B55" w14:textId="77777777" w:rsidR="0078237A" w:rsidRPr="00B710A9" w:rsidRDefault="0078237A" w:rsidP="007823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2.250</w:t>
            </w:r>
          </w:p>
        </w:tc>
        <w:tc>
          <w:tcPr>
            <w:tcW w:w="2100" w:type="dxa"/>
            <w:vAlign w:val="center"/>
            <w:hideMark/>
          </w:tcPr>
          <w:p w14:paraId="44A8FFB9" w14:textId="77777777" w:rsidR="0078237A" w:rsidRPr="00B710A9" w:rsidRDefault="0078237A" w:rsidP="007823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47.249</w:t>
            </w:r>
          </w:p>
        </w:tc>
        <w:tc>
          <w:tcPr>
            <w:tcW w:w="1360" w:type="dxa"/>
            <w:vAlign w:val="center"/>
            <w:hideMark/>
          </w:tcPr>
          <w:p w14:paraId="22673FDD" w14:textId="77777777" w:rsidR="0078237A" w:rsidRPr="00B710A9" w:rsidRDefault="0078237A" w:rsidP="007823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-1.830</w:t>
            </w:r>
          </w:p>
        </w:tc>
        <w:tc>
          <w:tcPr>
            <w:tcW w:w="1680" w:type="dxa"/>
            <w:vAlign w:val="center"/>
            <w:hideMark/>
          </w:tcPr>
          <w:p w14:paraId="6E09CB16" w14:textId="77777777" w:rsidR="0078237A" w:rsidRPr="00B710A9" w:rsidRDefault="0078237A" w:rsidP="007823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 6.226   </w:t>
            </w:r>
          </w:p>
        </w:tc>
      </w:tr>
      <w:tr w:rsidR="0078237A" w:rsidRPr="00B710A9" w14:paraId="62DC19E4" w14:textId="77777777" w:rsidTr="00D21D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705BB465" w14:textId="77777777" w:rsidR="0078237A" w:rsidRPr="00B710A9" w:rsidRDefault="0078237A" w:rsidP="0078237A">
            <w:pPr>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Ingresos Extraordinarios</w:t>
            </w:r>
          </w:p>
        </w:tc>
        <w:tc>
          <w:tcPr>
            <w:tcW w:w="1840" w:type="dxa"/>
            <w:vAlign w:val="center"/>
            <w:hideMark/>
          </w:tcPr>
          <w:p w14:paraId="092477D6" w14:textId="77777777" w:rsidR="0078237A" w:rsidRPr="00B710A9" w:rsidRDefault="0078237A" w:rsidP="007823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6928</w:t>
            </w:r>
          </w:p>
        </w:tc>
        <w:tc>
          <w:tcPr>
            <w:tcW w:w="2100" w:type="dxa"/>
            <w:vAlign w:val="center"/>
            <w:hideMark/>
          </w:tcPr>
          <w:p w14:paraId="57160B02" w14:textId="77777777" w:rsidR="0078237A" w:rsidRPr="00B710A9" w:rsidRDefault="0078237A" w:rsidP="007823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663</w:t>
            </w:r>
          </w:p>
        </w:tc>
        <w:tc>
          <w:tcPr>
            <w:tcW w:w="1360" w:type="dxa"/>
            <w:vAlign w:val="center"/>
            <w:hideMark/>
          </w:tcPr>
          <w:p w14:paraId="03B12366" w14:textId="77777777" w:rsidR="0078237A" w:rsidRPr="00B710A9" w:rsidRDefault="0078237A" w:rsidP="007823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2298</w:t>
            </w:r>
          </w:p>
        </w:tc>
        <w:tc>
          <w:tcPr>
            <w:tcW w:w="1680" w:type="dxa"/>
            <w:vAlign w:val="center"/>
            <w:hideMark/>
          </w:tcPr>
          <w:p w14:paraId="3DA7A119" w14:textId="77777777" w:rsidR="0078237A" w:rsidRPr="00B710A9" w:rsidRDefault="0078237A" w:rsidP="007823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 0   </w:t>
            </w:r>
          </w:p>
        </w:tc>
      </w:tr>
      <w:tr w:rsidR="0078237A" w:rsidRPr="00B710A9" w14:paraId="1408B47B" w14:textId="77777777" w:rsidTr="00D21DAF">
        <w:trPr>
          <w:trHeight w:val="300"/>
          <w:jc w:val="center"/>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30DA298E" w14:textId="77777777" w:rsidR="0078237A" w:rsidRPr="00B710A9" w:rsidRDefault="0078237A" w:rsidP="0078237A">
            <w:pPr>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Gastos No Operacionales</w:t>
            </w:r>
          </w:p>
        </w:tc>
        <w:tc>
          <w:tcPr>
            <w:tcW w:w="1840" w:type="dxa"/>
            <w:vAlign w:val="center"/>
            <w:hideMark/>
          </w:tcPr>
          <w:p w14:paraId="3C78EB60" w14:textId="77777777" w:rsidR="0078237A" w:rsidRPr="00B710A9" w:rsidRDefault="0078237A" w:rsidP="007823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5016</w:t>
            </w:r>
          </w:p>
        </w:tc>
        <w:tc>
          <w:tcPr>
            <w:tcW w:w="2100" w:type="dxa"/>
            <w:vAlign w:val="center"/>
            <w:hideMark/>
          </w:tcPr>
          <w:p w14:paraId="05EAA3F6" w14:textId="77777777" w:rsidR="0078237A" w:rsidRPr="00B710A9" w:rsidRDefault="0078237A" w:rsidP="007823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1478</w:t>
            </w:r>
          </w:p>
        </w:tc>
        <w:tc>
          <w:tcPr>
            <w:tcW w:w="1360" w:type="dxa"/>
            <w:vAlign w:val="center"/>
            <w:hideMark/>
          </w:tcPr>
          <w:p w14:paraId="15A0BEEE" w14:textId="77777777" w:rsidR="0078237A" w:rsidRPr="00B710A9" w:rsidRDefault="0078237A" w:rsidP="007823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2444</w:t>
            </w:r>
          </w:p>
        </w:tc>
        <w:tc>
          <w:tcPr>
            <w:tcW w:w="1680" w:type="dxa"/>
            <w:vAlign w:val="center"/>
            <w:hideMark/>
          </w:tcPr>
          <w:p w14:paraId="52C96A88" w14:textId="77777777" w:rsidR="0078237A" w:rsidRPr="00B710A9" w:rsidRDefault="0078237A" w:rsidP="007823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 19   </w:t>
            </w:r>
          </w:p>
        </w:tc>
      </w:tr>
      <w:tr w:rsidR="0078237A" w:rsidRPr="00B710A9" w14:paraId="7FB5A110" w14:textId="77777777" w:rsidTr="00D21D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2D009AB1" w14:textId="77777777" w:rsidR="0078237A" w:rsidRPr="00B710A9" w:rsidRDefault="0078237A" w:rsidP="0078237A">
            <w:pPr>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Resultado No Operacional</w:t>
            </w:r>
          </w:p>
        </w:tc>
        <w:tc>
          <w:tcPr>
            <w:tcW w:w="1840" w:type="dxa"/>
            <w:vAlign w:val="center"/>
            <w:hideMark/>
          </w:tcPr>
          <w:p w14:paraId="0B3B4122" w14:textId="77777777" w:rsidR="0078237A" w:rsidRPr="00B710A9" w:rsidRDefault="0078237A" w:rsidP="007823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1912</w:t>
            </w:r>
          </w:p>
        </w:tc>
        <w:tc>
          <w:tcPr>
            <w:tcW w:w="2100" w:type="dxa"/>
            <w:vAlign w:val="center"/>
            <w:hideMark/>
          </w:tcPr>
          <w:p w14:paraId="7B3E7E1B" w14:textId="77777777" w:rsidR="0078237A" w:rsidRPr="00B710A9" w:rsidRDefault="0078237A" w:rsidP="007823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-814</w:t>
            </w:r>
          </w:p>
        </w:tc>
        <w:tc>
          <w:tcPr>
            <w:tcW w:w="1360" w:type="dxa"/>
            <w:vAlign w:val="center"/>
            <w:hideMark/>
          </w:tcPr>
          <w:p w14:paraId="2778B9F6" w14:textId="77777777" w:rsidR="0078237A" w:rsidRPr="00B710A9" w:rsidRDefault="0078237A" w:rsidP="007823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-146</w:t>
            </w:r>
          </w:p>
        </w:tc>
        <w:tc>
          <w:tcPr>
            <w:tcW w:w="1680" w:type="dxa"/>
            <w:vAlign w:val="center"/>
            <w:hideMark/>
          </w:tcPr>
          <w:p w14:paraId="5D82D86C" w14:textId="77777777" w:rsidR="0078237A" w:rsidRPr="00B710A9" w:rsidRDefault="0078237A" w:rsidP="007823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 19   </w:t>
            </w:r>
          </w:p>
        </w:tc>
      </w:tr>
      <w:tr w:rsidR="0078237A" w:rsidRPr="00B710A9" w14:paraId="25D4BCA1" w14:textId="77777777" w:rsidTr="00D21DAF">
        <w:trPr>
          <w:trHeight w:val="300"/>
          <w:jc w:val="center"/>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75F0F059" w14:textId="77777777" w:rsidR="0078237A" w:rsidRPr="00B710A9" w:rsidRDefault="0078237A" w:rsidP="0078237A">
            <w:pPr>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Resultado Neto</w:t>
            </w:r>
          </w:p>
        </w:tc>
        <w:tc>
          <w:tcPr>
            <w:tcW w:w="1840" w:type="dxa"/>
            <w:vAlign w:val="center"/>
            <w:hideMark/>
          </w:tcPr>
          <w:p w14:paraId="37418B2E" w14:textId="77777777" w:rsidR="0078237A" w:rsidRPr="00B710A9" w:rsidRDefault="0078237A" w:rsidP="007823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4.162</w:t>
            </w:r>
          </w:p>
        </w:tc>
        <w:tc>
          <w:tcPr>
            <w:tcW w:w="2100" w:type="dxa"/>
            <w:vAlign w:val="center"/>
            <w:hideMark/>
          </w:tcPr>
          <w:p w14:paraId="68853F7F" w14:textId="77777777" w:rsidR="0078237A" w:rsidRPr="00B710A9" w:rsidRDefault="0078237A" w:rsidP="007823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46.435</w:t>
            </w:r>
          </w:p>
        </w:tc>
        <w:tc>
          <w:tcPr>
            <w:tcW w:w="1360" w:type="dxa"/>
            <w:vAlign w:val="center"/>
            <w:hideMark/>
          </w:tcPr>
          <w:p w14:paraId="5AE1D888" w14:textId="77777777" w:rsidR="0078237A" w:rsidRPr="00B710A9" w:rsidRDefault="0078237A" w:rsidP="007823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-1.976</w:t>
            </w:r>
          </w:p>
        </w:tc>
        <w:tc>
          <w:tcPr>
            <w:tcW w:w="1680" w:type="dxa"/>
            <w:vAlign w:val="center"/>
            <w:hideMark/>
          </w:tcPr>
          <w:p w14:paraId="253CBABD" w14:textId="77777777" w:rsidR="0078237A" w:rsidRPr="00B710A9" w:rsidRDefault="0078237A" w:rsidP="007823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710A9">
              <w:rPr>
                <w:rFonts w:ascii="Arial" w:eastAsia="Times New Roman" w:hAnsi="Arial" w:cs="Arial"/>
                <w:color w:val="000000" w:themeColor="text1"/>
                <w:sz w:val="20"/>
                <w:szCs w:val="20"/>
              </w:rPr>
              <w:t> 6.207   </w:t>
            </w:r>
          </w:p>
        </w:tc>
      </w:tr>
    </w:tbl>
    <w:p w14:paraId="17F2E052" w14:textId="1130BA3D" w:rsidR="00CD253D" w:rsidRPr="00B710A9" w:rsidRDefault="00813EE0" w:rsidP="00A55FFE">
      <w:pPr>
        <w:spacing w:after="0" w:line="240" w:lineRule="auto"/>
        <w:jc w:val="center"/>
        <w:rPr>
          <w:rFonts w:ascii="Arial" w:hAnsi="Arial" w:cs="Arial"/>
          <w:b/>
          <w:bCs/>
          <w:color w:val="000000" w:themeColor="text1"/>
          <w:sz w:val="16"/>
          <w:szCs w:val="16"/>
        </w:rPr>
      </w:pPr>
      <w:r w:rsidRPr="00B710A9">
        <w:rPr>
          <w:rFonts w:ascii="Arial" w:hAnsi="Arial" w:cs="Arial"/>
          <w:b/>
          <w:bCs/>
          <w:color w:val="000000" w:themeColor="text1"/>
          <w:sz w:val="16"/>
          <w:szCs w:val="16"/>
        </w:rPr>
        <w:t xml:space="preserve">Fuente: IGAC </w:t>
      </w:r>
      <w:r w:rsidR="00677714" w:rsidRPr="00B710A9">
        <w:rPr>
          <w:rFonts w:ascii="Arial" w:hAnsi="Arial" w:cs="Arial"/>
          <w:b/>
          <w:bCs/>
          <w:color w:val="000000" w:themeColor="text1"/>
          <w:sz w:val="16"/>
          <w:szCs w:val="16"/>
        </w:rPr>
        <w:t>–</w:t>
      </w:r>
      <w:r w:rsidRPr="00B710A9">
        <w:rPr>
          <w:rFonts w:ascii="Arial" w:hAnsi="Arial" w:cs="Arial"/>
          <w:b/>
          <w:bCs/>
          <w:color w:val="000000" w:themeColor="text1"/>
          <w:sz w:val="16"/>
          <w:szCs w:val="16"/>
        </w:rPr>
        <w:t xml:space="preserve"> </w:t>
      </w:r>
      <w:r w:rsidR="00677714" w:rsidRPr="00B710A9">
        <w:rPr>
          <w:rFonts w:ascii="Arial" w:hAnsi="Arial" w:cs="Arial"/>
          <w:b/>
          <w:bCs/>
          <w:color w:val="000000" w:themeColor="text1"/>
          <w:sz w:val="16"/>
          <w:szCs w:val="16"/>
        </w:rPr>
        <w:t>Subdirección Administrativa y Financiera</w:t>
      </w:r>
    </w:p>
    <w:p w14:paraId="0D35D168" w14:textId="77777777" w:rsidR="00CD253D" w:rsidRPr="00B710A9" w:rsidRDefault="00CD253D" w:rsidP="70A85943">
      <w:pPr>
        <w:spacing w:after="0" w:line="240" w:lineRule="auto"/>
        <w:jc w:val="both"/>
        <w:rPr>
          <w:rFonts w:ascii="Arial" w:hAnsi="Arial" w:cs="Arial"/>
          <w:b/>
          <w:bCs/>
          <w:color w:val="000000" w:themeColor="text1"/>
          <w:sz w:val="22"/>
          <w:szCs w:val="22"/>
        </w:rPr>
      </w:pPr>
    </w:p>
    <w:p w14:paraId="329E7E2E" w14:textId="77777777" w:rsidR="00CD253D" w:rsidRPr="00B710A9" w:rsidRDefault="00CD253D" w:rsidP="70A85943">
      <w:pPr>
        <w:spacing w:after="0" w:line="240" w:lineRule="auto"/>
        <w:jc w:val="both"/>
        <w:rPr>
          <w:rFonts w:ascii="Arial" w:hAnsi="Arial" w:cs="Arial"/>
          <w:b/>
          <w:bCs/>
          <w:color w:val="000000" w:themeColor="text1"/>
          <w:sz w:val="22"/>
          <w:szCs w:val="22"/>
        </w:rPr>
      </w:pPr>
    </w:p>
    <w:p w14:paraId="70D3DD3A" w14:textId="3659392A" w:rsidR="0078237A" w:rsidRPr="00B710A9" w:rsidRDefault="00C0393B" w:rsidP="00CD253D">
      <w:pPr>
        <w:pStyle w:val="Prrafodelista"/>
        <w:numPr>
          <w:ilvl w:val="0"/>
          <w:numId w:val="115"/>
        </w:numPr>
        <w:spacing w:after="0" w:line="240" w:lineRule="auto"/>
        <w:jc w:val="both"/>
        <w:rPr>
          <w:rFonts w:ascii="Arial" w:hAnsi="Arial" w:cs="Arial"/>
          <w:b/>
          <w:bCs/>
          <w:color w:val="000000" w:themeColor="text1"/>
          <w:sz w:val="22"/>
          <w:szCs w:val="22"/>
        </w:rPr>
      </w:pPr>
      <w:r w:rsidRPr="00B710A9">
        <w:rPr>
          <w:rFonts w:ascii="Arial" w:hAnsi="Arial" w:cs="Arial"/>
          <w:b/>
          <w:bCs/>
          <w:color w:val="000000" w:themeColor="text1"/>
          <w:sz w:val="22"/>
          <w:szCs w:val="22"/>
        </w:rPr>
        <w:t>Situación Financiera</w:t>
      </w:r>
    </w:p>
    <w:p w14:paraId="6B08CAB0" w14:textId="1A23ADAA" w:rsidR="70A85943" w:rsidRPr="00B710A9" w:rsidRDefault="70A85943" w:rsidP="70A85943">
      <w:pPr>
        <w:spacing w:after="0" w:line="240" w:lineRule="auto"/>
        <w:jc w:val="both"/>
        <w:rPr>
          <w:color w:val="000000" w:themeColor="text1"/>
        </w:rPr>
      </w:pPr>
    </w:p>
    <w:p w14:paraId="63C8C23C" w14:textId="77777777" w:rsidR="00813EE0" w:rsidRPr="00B710A9" w:rsidRDefault="00813EE0" w:rsidP="70A85943">
      <w:pPr>
        <w:spacing w:after="0" w:line="240" w:lineRule="auto"/>
        <w:jc w:val="both"/>
        <w:rPr>
          <w:color w:val="000000" w:themeColor="text1"/>
        </w:rPr>
      </w:pPr>
    </w:p>
    <w:p w14:paraId="720CA97F" w14:textId="3FEF6BD4" w:rsidR="00A55FFE" w:rsidRPr="00B710A9" w:rsidRDefault="00A55FFE" w:rsidP="00A55FFE">
      <w:pPr>
        <w:pStyle w:val="Descripcin"/>
        <w:keepNext/>
        <w:jc w:val="center"/>
        <w:rPr>
          <w:rFonts w:ascii="Arial" w:hAnsi="Arial" w:cs="Arial"/>
          <w:b/>
          <w:bCs/>
          <w:i w:val="0"/>
          <w:iCs w:val="0"/>
          <w:color w:val="000000" w:themeColor="text1"/>
          <w:sz w:val="16"/>
          <w:szCs w:val="16"/>
        </w:rPr>
      </w:pPr>
      <w:bookmarkStart w:id="76" w:name="_Toc109057759"/>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29</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Situación financiera IGAC 2019-2022</w:t>
      </w:r>
      <w:bookmarkEnd w:id="76"/>
    </w:p>
    <w:tbl>
      <w:tblPr>
        <w:tblStyle w:val="Tablaconcuadrcula4-nfasis1"/>
        <w:tblW w:w="7650" w:type="dxa"/>
        <w:jc w:val="center"/>
        <w:tblLook w:val="04A0" w:firstRow="1" w:lastRow="0" w:firstColumn="1" w:lastColumn="0" w:noHBand="0" w:noVBand="1"/>
      </w:tblPr>
      <w:tblGrid>
        <w:gridCol w:w="1720"/>
        <w:gridCol w:w="1536"/>
        <w:gridCol w:w="1417"/>
        <w:gridCol w:w="1418"/>
        <w:gridCol w:w="1559"/>
      </w:tblGrid>
      <w:tr w:rsidR="00C0393B" w:rsidRPr="00B710A9" w14:paraId="188FCDDC" w14:textId="77777777" w:rsidTr="004C5175">
        <w:trPr>
          <w:cnfStyle w:val="100000000000" w:firstRow="1" w:lastRow="0" w:firstColumn="0" w:lastColumn="0" w:oddVBand="0" w:evenVBand="0" w:oddHBand="0" w:evenHBand="0" w:firstRowFirstColumn="0" w:firstRowLastColumn="0" w:lastRowFirstColumn="0" w:lastRowLastColumn="0"/>
          <w:trHeight w:val="480"/>
          <w:tblHeader/>
          <w:jc w:val="center"/>
        </w:trPr>
        <w:tc>
          <w:tcPr>
            <w:cnfStyle w:val="001000000000" w:firstRow="0" w:lastRow="0" w:firstColumn="1" w:lastColumn="0" w:oddVBand="0" w:evenVBand="0" w:oddHBand="0" w:evenHBand="0" w:firstRowFirstColumn="0" w:firstRowLastColumn="0" w:lastRowFirstColumn="0" w:lastRowLastColumn="0"/>
            <w:tcW w:w="1720" w:type="dxa"/>
            <w:hideMark/>
          </w:tcPr>
          <w:p w14:paraId="50C80EC0" w14:textId="77777777" w:rsidR="00C0393B" w:rsidRPr="00B710A9" w:rsidRDefault="00C0393B" w:rsidP="00C0393B">
            <w:pPr>
              <w:jc w:val="center"/>
              <w:rPr>
                <w:rFonts w:ascii="Arial" w:eastAsia="Times New Roman" w:hAnsi="Arial" w:cs="Arial"/>
                <w:sz w:val="16"/>
                <w:szCs w:val="16"/>
              </w:rPr>
            </w:pPr>
            <w:r w:rsidRPr="00B710A9">
              <w:rPr>
                <w:rFonts w:ascii="Arial" w:eastAsia="Times New Roman" w:hAnsi="Arial" w:cs="Arial"/>
                <w:sz w:val="16"/>
                <w:szCs w:val="16"/>
              </w:rPr>
              <w:t>VIGENCIA FISCAL</w:t>
            </w:r>
          </w:p>
        </w:tc>
        <w:tc>
          <w:tcPr>
            <w:tcW w:w="1536" w:type="dxa"/>
            <w:hideMark/>
          </w:tcPr>
          <w:p w14:paraId="25EAB3F1" w14:textId="77777777" w:rsidR="00C0393B" w:rsidRPr="00B710A9" w:rsidRDefault="00C0393B" w:rsidP="00C0393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B710A9">
              <w:rPr>
                <w:rFonts w:ascii="Arial" w:eastAsia="Times New Roman" w:hAnsi="Arial" w:cs="Arial"/>
                <w:sz w:val="16"/>
                <w:szCs w:val="16"/>
              </w:rPr>
              <w:t>2019</w:t>
            </w:r>
          </w:p>
        </w:tc>
        <w:tc>
          <w:tcPr>
            <w:tcW w:w="1417" w:type="dxa"/>
            <w:hideMark/>
          </w:tcPr>
          <w:p w14:paraId="3805F660" w14:textId="77777777" w:rsidR="00C0393B" w:rsidRPr="00B710A9" w:rsidRDefault="00C0393B" w:rsidP="00C0393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B710A9">
              <w:rPr>
                <w:rFonts w:ascii="Arial" w:eastAsia="Times New Roman" w:hAnsi="Arial" w:cs="Arial"/>
                <w:sz w:val="16"/>
                <w:szCs w:val="16"/>
              </w:rPr>
              <w:t>2020</w:t>
            </w:r>
          </w:p>
        </w:tc>
        <w:tc>
          <w:tcPr>
            <w:tcW w:w="1418" w:type="dxa"/>
            <w:hideMark/>
          </w:tcPr>
          <w:p w14:paraId="57C981D6" w14:textId="77777777" w:rsidR="00C0393B" w:rsidRPr="00B710A9" w:rsidRDefault="00C0393B" w:rsidP="00C0393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B710A9">
              <w:rPr>
                <w:rFonts w:ascii="Arial" w:eastAsia="Times New Roman" w:hAnsi="Arial" w:cs="Arial"/>
                <w:sz w:val="16"/>
                <w:szCs w:val="16"/>
              </w:rPr>
              <w:t>2021</w:t>
            </w:r>
          </w:p>
        </w:tc>
        <w:tc>
          <w:tcPr>
            <w:tcW w:w="1559" w:type="dxa"/>
            <w:hideMark/>
          </w:tcPr>
          <w:p w14:paraId="6886DB16" w14:textId="77777777" w:rsidR="00C0393B" w:rsidRPr="00B710A9" w:rsidRDefault="00C0393B" w:rsidP="00C0393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B710A9">
              <w:rPr>
                <w:rFonts w:ascii="Arial" w:eastAsia="Times New Roman" w:hAnsi="Arial" w:cs="Arial"/>
                <w:sz w:val="16"/>
                <w:szCs w:val="16"/>
              </w:rPr>
              <w:t>2022 (Corte Mayo)</w:t>
            </w:r>
          </w:p>
        </w:tc>
      </w:tr>
      <w:tr w:rsidR="00C0393B" w:rsidRPr="00B710A9" w14:paraId="18875482" w14:textId="77777777" w:rsidTr="00CD25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0" w:type="dxa"/>
            <w:vMerge w:val="restart"/>
            <w:hideMark/>
          </w:tcPr>
          <w:p w14:paraId="5FD935DB" w14:textId="77777777" w:rsidR="00C0393B" w:rsidRPr="00B710A9" w:rsidRDefault="00C0393B" w:rsidP="00C0393B">
            <w:pPr>
              <w:jc w:val="center"/>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CONCEPTO </w:t>
            </w:r>
          </w:p>
        </w:tc>
        <w:tc>
          <w:tcPr>
            <w:tcW w:w="1536" w:type="dxa"/>
            <w:hideMark/>
          </w:tcPr>
          <w:p w14:paraId="2AF3F098" w14:textId="77777777" w:rsidR="00C0393B" w:rsidRPr="00B710A9" w:rsidRDefault="00C0393B" w:rsidP="00C039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6"/>
                <w:szCs w:val="16"/>
              </w:rPr>
            </w:pPr>
            <w:r w:rsidRPr="00B710A9">
              <w:rPr>
                <w:rFonts w:ascii="Arial" w:eastAsia="Times New Roman" w:hAnsi="Arial" w:cs="Arial"/>
                <w:b/>
                <w:bCs/>
                <w:color w:val="000000" w:themeColor="text1"/>
                <w:sz w:val="16"/>
                <w:szCs w:val="16"/>
              </w:rPr>
              <w:t>VALOR</w:t>
            </w:r>
            <w:r w:rsidRPr="00B710A9">
              <w:rPr>
                <w:rFonts w:ascii="Arial" w:eastAsia="Times New Roman" w:hAnsi="Arial" w:cs="Arial"/>
                <w:color w:val="000000" w:themeColor="text1"/>
                <w:sz w:val="16"/>
                <w:szCs w:val="16"/>
              </w:rPr>
              <w:t> </w:t>
            </w:r>
          </w:p>
        </w:tc>
        <w:tc>
          <w:tcPr>
            <w:tcW w:w="1417" w:type="dxa"/>
            <w:hideMark/>
          </w:tcPr>
          <w:p w14:paraId="6B61CF7B" w14:textId="77777777" w:rsidR="00C0393B" w:rsidRPr="00B710A9" w:rsidRDefault="00C0393B" w:rsidP="00C039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6"/>
                <w:szCs w:val="16"/>
              </w:rPr>
            </w:pPr>
            <w:r w:rsidRPr="00B710A9">
              <w:rPr>
                <w:rFonts w:ascii="Arial" w:eastAsia="Times New Roman" w:hAnsi="Arial" w:cs="Arial"/>
                <w:b/>
                <w:bCs/>
                <w:color w:val="000000" w:themeColor="text1"/>
                <w:sz w:val="16"/>
                <w:szCs w:val="16"/>
              </w:rPr>
              <w:t>VALOR</w:t>
            </w:r>
            <w:r w:rsidRPr="00B710A9">
              <w:rPr>
                <w:rFonts w:ascii="Arial" w:eastAsia="Times New Roman" w:hAnsi="Arial" w:cs="Arial"/>
                <w:color w:val="000000" w:themeColor="text1"/>
                <w:sz w:val="16"/>
                <w:szCs w:val="16"/>
              </w:rPr>
              <w:t> </w:t>
            </w:r>
          </w:p>
        </w:tc>
        <w:tc>
          <w:tcPr>
            <w:tcW w:w="1418" w:type="dxa"/>
            <w:hideMark/>
          </w:tcPr>
          <w:p w14:paraId="2261A0D7" w14:textId="77777777" w:rsidR="00C0393B" w:rsidRPr="00B710A9" w:rsidRDefault="00C0393B" w:rsidP="00C039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6"/>
                <w:szCs w:val="16"/>
              </w:rPr>
            </w:pPr>
            <w:r w:rsidRPr="00B710A9">
              <w:rPr>
                <w:rFonts w:ascii="Arial" w:eastAsia="Times New Roman" w:hAnsi="Arial" w:cs="Arial"/>
                <w:b/>
                <w:bCs/>
                <w:color w:val="000000" w:themeColor="text1"/>
                <w:sz w:val="16"/>
                <w:szCs w:val="16"/>
              </w:rPr>
              <w:t>VALOR</w:t>
            </w:r>
            <w:r w:rsidRPr="00B710A9">
              <w:rPr>
                <w:rFonts w:ascii="Arial" w:eastAsia="Times New Roman" w:hAnsi="Arial" w:cs="Arial"/>
                <w:color w:val="000000" w:themeColor="text1"/>
                <w:sz w:val="16"/>
                <w:szCs w:val="16"/>
              </w:rPr>
              <w:t> </w:t>
            </w:r>
          </w:p>
        </w:tc>
        <w:tc>
          <w:tcPr>
            <w:tcW w:w="1559" w:type="dxa"/>
            <w:hideMark/>
          </w:tcPr>
          <w:p w14:paraId="16641506" w14:textId="77777777" w:rsidR="00C0393B" w:rsidRPr="00B710A9" w:rsidRDefault="00C0393B" w:rsidP="00C039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6"/>
                <w:szCs w:val="16"/>
              </w:rPr>
            </w:pPr>
            <w:r w:rsidRPr="00B710A9">
              <w:rPr>
                <w:rFonts w:ascii="Arial" w:eastAsia="Times New Roman" w:hAnsi="Arial" w:cs="Arial"/>
                <w:b/>
                <w:bCs/>
                <w:color w:val="000000" w:themeColor="text1"/>
                <w:sz w:val="16"/>
                <w:szCs w:val="16"/>
              </w:rPr>
              <w:t>VALOR</w:t>
            </w:r>
            <w:r w:rsidRPr="00B710A9">
              <w:rPr>
                <w:rFonts w:ascii="Arial" w:eastAsia="Times New Roman" w:hAnsi="Arial" w:cs="Arial"/>
                <w:color w:val="000000" w:themeColor="text1"/>
                <w:sz w:val="16"/>
                <w:szCs w:val="16"/>
              </w:rPr>
              <w:t> </w:t>
            </w:r>
          </w:p>
        </w:tc>
      </w:tr>
      <w:tr w:rsidR="00C0393B" w:rsidRPr="00B710A9" w14:paraId="28EF37F1" w14:textId="77777777" w:rsidTr="00CD253D">
        <w:trPr>
          <w:trHeight w:val="765"/>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14:paraId="1AC1C417" w14:textId="77777777" w:rsidR="00C0393B" w:rsidRPr="00B710A9" w:rsidRDefault="00C0393B" w:rsidP="00C0393B">
            <w:pPr>
              <w:rPr>
                <w:rFonts w:ascii="Arial" w:eastAsia="Times New Roman" w:hAnsi="Arial" w:cs="Arial"/>
                <w:color w:val="000000" w:themeColor="text1"/>
                <w:sz w:val="16"/>
                <w:szCs w:val="16"/>
              </w:rPr>
            </w:pPr>
          </w:p>
        </w:tc>
        <w:tc>
          <w:tcPr>
            <w:tcW w:w="1536" w:type="dxa"/>
            <w:hideMark/>
          </w:tcPr>
          <w:p w14:paraId="168C5710" w14:textId="77777777" w:rsidR="00C0393B" w:rsidRPr="00B710A9" w:rsidRDefault="00C0393B" w:rsidP="00C0393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6"/>
                <w:szCs w:val="16"/>
              </w:rPr>
            </w:pPr>
            <w:r w:rsidRPr="00B710A9">
              <w:rPr>
                <w:rFonts w:ascii="Arial" w:eastAsia="Times New Roman" w:hAnsi="Arial" w:cs="Arial"/>
                <w:b/>
                <w:bCs/>
                <w:color w:val="000000" w:themeColor="text1"/>
                <w:sz w:val="16"/>
                <w:szCs w:val="16"/>
              </w:rPr>
              <w:t>(en millones de pesos)</w:t>
            </w:r>
            <w:r w:rsidRPr="00B710A9">
              <w:rPr>
                <w:rFonts w:ascii="Arial" w:eastAsia="Times New Roman" w:hAnsi="Arial" w:cs="Arial"/>
                <w:color w:val="000000" w:themeColor="text1"/>
                <w:sz w:val="16"/>
                <w:szCs w:val="16"/>
              </w:rPr>
              <w:t> </w:t>
            </w:r>
          </w:p>
        </w:tc>
        <w:tc>
          <w:tcPr>
            <w:tcW w:w="1417" w:type="dxa"/>
            <w:hideMark/>
          </w:tcPr>
          <w:p w14:paraId="20F4B6D7" w14:textId="77777777" w:rsidR="00C0393B" w:rsidRPr="00B710A9" w:rsidRDefault="00C0393B" w:rsidP="00C0393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6"/>
                <w:szCs w:val="16"/>
              </w:rPr>
            </w:pPr>
            <w:r w:rsidRPr="00B710A9">
              <w:rPr>
                <w:rFonts w:ascii="Arial" w:eastAsia="Times New Roman" w:hAnsi="Arial" w:cs="Arial"/>
                <w:b/>
                <w:bCs/>
                <w:color w:val="000000" w:themeColor="text1"/>
                <w:sz w:val="16"/>
                <w:szCs w:val="16"/>
              </w:rPr>
              <w:t>(en millones de pesos)</w:t>
            </w:r>
            <w:r w:rsidRPr="00B710A9">
              <w:rPr>
                <w:rFonts w:ascii="Arial" w:eastAsia="Times New Roman" w:hAnsi="Arial" w:cs="Arial"/>
                <w:color w:val="000000" w:themeColor="text1"/>
                <w:sz w:val="16"/>
                <w:szCs w:val="16"/>
              </w:rPr>
              <w:t> </w:t>
            </w:r>
          </w:p>
        </w:tc>
        <w:tc>
          <w:tcPr>
            <w:tcW w:w="1418" w:type="dxa"/>
            <w:hideMark/>
          </w:tcPr>
          <w:p w14:paraId="67170828" w14:textId="77777777" w:rsidR="00C0393B" w:rsidRPr="00B710A9" w:rsidRDefault="00C0393B" w:rsidP="00C0393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6"/>
                <w:szCs w:val="16"/>
              </w:rPr>
            </w:pPr>
            <w:r w:rsidRPr="00B710A9">
              <w:rPr>
                <w:rFonts w:ascii="Arial" w:eastAsia="Times New Roman" w:hAnsi="Arial" w:cs="Arial"/>
                <w:b/>
                <w:bCs/>
                <w:color w:val="000000" w:themeColor="text1"/>
                <w:sz w:val="16"/>
                <w:szCs w:val="16"/>
              </w:rPr>
              <w:t>(en millones de pesos)</w:t>
            </w:r>
            <w:r w:rsidRPr="00B710A9">
              <w:rPr>
                <w:rFonts w:ascii="Arial" w:eastAsia="Times New Roman" w:hAnsi="Arial" w:cs="Arial"/>
                <w:color w:val="000000" w:themeColor="text1"/>
                <w:sz w:val="16"/>
                <w:szCs w:val="16"/>
              </w:rPr>
              <w:t> </w:t>
            </w:r>
          </w:p>
        </w:tc>
        <w:tc>
          <w:tcPr>
            <w:tcW w:w="1559" w:type="dxa"/>
            <w:hideMark/>
          </w:tcPr>
          <w:p w14:paraId="79A0CD41" w14:textId="77777777" w:rsidR="00C0393B" w:rsidRPr="00B710A9" w:rsidRDefault="00C0393B" w:rsidP="00C0393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6"/>
                <w:szCs w:val="16"/>
              </w:rPr>
            </w:pPr>
            <w:r w:rsidRPr="00B710A9">
              <w:rPr>
                <w:rFonts w:ascii="Arial" w:eastAsia="Times New Roman" w:hAnsi="Arial" w:cs="Arial"/>
                <w:b/>
                <w:bCs/>
                <w:color w:val="000000" w:themeColor="text1"/>
                <w:sz w:val="16"/>
                <w:szCs w:val="16"/>
              </w:rPr>
              <w:t>(en millones de pesos)</w:t>
            </w:r>
            <w:r w:rsidRPr="00B710A9">
              <w:rPr>
                <w:rFonts w:ascii="Arial" w:eastAsia="Times New Roman" w:hAnsi="Arial" w:cs="Arial"/>
                <w:color w:val="000000" w:themeColor="text1"/>
                <w:sz w:val="16"/>
                <w:szCs w:val="16"/>
              </w:rPr>
              <w:t> </w:t>
            </w:r>
          </w:p>
        </w:tc>
      </w:tr>
      <w:tr w:rsidR="00C0393B" w:rsidRPr="00B710A9" w14:paraId="5BEA9B31" w14:textId="77777777" w:rsidTr="00CD25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0" w:type="dxa"/>
            <w:hideMark/>
          </w:tcPr>
          <w:p w14:paraId="7C41DFCE" w14:textId="77777777" w:rsidR="00C0393B" w:rsidRPr="00B710A9" w:rsidRDefault="00C0393B" w:rsidP="00C0393B">
            <w:pPr>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Activo total </w:t>
            </w:r>
          </w:p>
        </w:tc>
        <w:tc>
          <w:tcPr>
            <w:tcW w:w="1536" w:type="dxa"/>
            <w:hideMark/>
          </w:tcPr>
          <w:p w14:paraId="0633D814" w14:textId="77777777" w:rsidR="00C0393B" w:rsidRPr="00B710A9" w:rsidRDefault="00C0393B" w:rsidP="00C039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167.343  </w:t>
            </w:r>
          </w:p>
        </w:tc>
        <w:tc>
          <w:tcPr>
            <w:tcW w:w="1417" w:type="dxa"/>
            <w:hideMark/>
          </w:tcPr>
          <w:p w14:paraId="0DF51CA9" w14:textId="77777777" w:rsidR="00C0393B" w:rsidRPr="00B710A9" w:rsidRDefault="00C0393B" w:rsidP="00C039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219.800  </w:t>
            </w:r>
          </w:p>
        </w:tc>
        <w:tc>
          <w:tcPr>
            <w:tcW w:w="1418" w:type="dxa"/>
            <w:hideMark/>
          </w:tcPr>
          <w:p w14:paraId="0F592503" w14:textId="77777777" w:rsidR="00C0393B" w:rsidRPr="00B710A9" w:rsidRDefault="00C0393B" w:rsidP="00C039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209.416  </w:t>
            </w:r>
          </w:p>
        </w:tc>
        <w:tc>
          <w:tcPr>
            <w:tcW w:w="1559" w:type="dxa"/>
            <w:hideMark/>
          </w:tcPr>
          <w:p w14:paraId="69ED9E9B" w14:textId="77777777" w:rsidR="00C0393B" w:rsidRPr="00B710A9" w:rsidRDefault="00C0393B" w:rsidP="00C039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202.256   </w:t>
            </w:r>
          </w:p>
        </w:tc>
      </w:tr>
      <w:tr w:rsidR="00C0393B" w:rsidRPr="00B710A9" w14:paraId="5BBE23D5" w14:textId="77777777" w:rsidTr="00CD253D">
        <w:trPr>
          <w:trHeight w:val="300"/>
          <w:jc w:val="center"/>
        </w:trPr>
        <w:tc>
          <w:tcPr>
            <w:cnfStyle w:val="001000000000" w:firstRow="0" w:lastRow="0" w:firstColumn="1" w:lastColumn="0" w:oddVBand="0" w:evenVBand="0" w:oddHBand="0" w:evenHBand="0" w:firstRowFirstColumn="0" w:firstRowLastColumn="0" w:lastRowFirstColumn="0" w:lastRowLastColumn="0"/>
            <w:tcW w:w="1720" w:type="dxa"/>
            <w:hideMark/>
          </w:tcPr>
          <w:p w14:paraId="52507C71" w14:textId="0715978F" w:rsidR="00C0393B" w:rsidRPr="00B710A9" w:rsidRDefault="00C0393B" w:rsidP="00C0393B">
            <w:pPr>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 xml:space="preserve"> Corriente </w:t>
            </w:r>
          </w:p>
        </w:tc>
        <w:tc>
          <w:tcPr>
            <w:tcW w:w="1536" w:type="dxa"/>
            <w:hideMark/>
          </w:tcPr>
          <w:p w14:paraId="74C2EC7D" w14:textId="77777777" w:rsidR="00C0393B" w:rsidRPr="00B710A9" w:rsidRDefault="00C0393B" w:rsidP="00C039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46.720  </w:t>
            </w:r>
          </w:p>
        </w:tc>
        <w:tc>
          <w:tcPr>
            <w:tcW w:w="1417" w:type="dxa"/>
            <w:hideMark/>
          </w:tcPr>
          <w:p w14:paraId="74F777C2" w14:textId="77777777" w:rsidR="00C0393B" w:rsidRPr="00B710A9" w:rsidRDefault="00C0393B" w:rsidP="00C039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45.197  </w:t>
            </w:r>
          </w:p>
        </w:tc>
        <w:tc>
          <w:tcPr>
            <w:tcW w:w="1418" w:type="dxa"/>
            <w:hideMark/>
          </w:tcPr>
          <w:p w14:paraId="54BA5386" w14:textId="77777777" w:rsidR="00C0393B" w:rsidRPr="00B710A9" w:rsidRDefault="00C0393B" w:rsidP="00C039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57.954  </w:t>
            </w:r>
          </w:p>
        </w:tc>
        <w:tc>
          <w:tcPr>
            <w:tcW w:w="1559" w:type="dxa"/>
            <w:hideMark/>
          </w:tcPr>
          <w:p w14:paraId="0B2313E0" w14:textId="77777777" w:rsidR="00C0393B" w:rsidRPr="00B710A9" w:rsidRDefault="00C0393B" w:rsidP="00C039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 50.522   </w:t>
            </w:r>
          </w:p>
        </w:tc>
      </w:tr>
      <w:tr w:rsidR="00C0393B" w:rsidRPr="00B710A9" w14:paraId="339C2002" w14:textId="77777777" w:rsidTr="00CD25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0" w:type="dxa"/>
            <w:hideMark/>
          </w:tcPr>
          <w:p w14:paraId="287189B5" w14:textId="186742C1" w:rsidR="00C0393B" w:rsidRPr="00B710A9" w:rsidRDefault="00C0393B" w:rsidP="00C0393B">
            <w:pPr>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lastRenderedPageBreak/>
              <w:t xml:space="preserve"> No corriente </w:t>
            </w:r>
          </w:p>
        </w:tc>
        <w:tc>
          <w:tcPr>
            <w:tcW w:w="1536" w:type="dxa"/>
            <w:hideMark/>
          </w:tcPr>
          <w:p w14:paraId="26BCAABD" w14:textId="77777777" w:rsidR="00C0393B" w:rsidRPr="00B710A9" w:rsidRDefault="00C0393B" w:rsidP="00C039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120.623  </w:t>
            </w:r>
          </w:p>
        </w:tc>
        <w:tc>
          <w:tcPr>
            <w:tcW w:w="1417" w:type="dxa"/>
            <w:hideMark/>
          </w:tcPr>
          <w:p w14:paraId="2EEEE12A" w14:textId="77777777" w:rsidR="00C0393B" w:rsidRPr="00B710A9" w:rsidRDefault="00C0393B" w:rsidP="00C039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174.603  </w:t>
            </w:r>
          </w:p>
        </w:tc>
        <w:tc>
          <w:tcPr>
            <w:tcW w:w="1418" w:type="dxa"/>
            <w:hideMark/>
          </w:tcPr>
          <w:p w14:paraId="1D40CD32" w14:textId="77777777" w:rsidR="00C0393B" w:rsidRPr="00B710A9" w:rsidRDefault="00C0393B" w:rsidP="00C039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151.462  </w:t>
            </w:r>
          </w:p>
        </w:tc>
        <w:tc>
          <w:tcPr>
            <w:tcW w:w="1559" w:type="dxa"/>
            <w:hideMark/>
          </w:tcPr>
          <w:p w14:paraId="5A0CAED6" w14:textId="77777777" w:rsidR="00C0393B" w:rsidRPr="00B710A9" w:rsidRDefault="00C0393B" w:rsidP="00C039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 151.734   </w:t>
            </w:r>
          </w:p>
        </w:tc>
      </w:tr>
      <w:tr w:rsidR="00C0393B" w:rsidRPr="00B710A9" w14:paraId="27109CA1" w14:textId="77777777" w:rsidTr="00CD253D">
        <w:trPr>
          <w:trHeight w:val="300"/>
          <w:jc w:val="center"/>
        </w:trPr>
        <w:tc>
          <w:tcPr>
            <w:cnfStyle w:val="001000000000" w:firstRow="0" w:lastRow="0" w:firstColumn="1" w:lastColumn="0" w:oddVBand="0" w:evenVBand="0" w:oddHBand="0" w:evenHBand="0" w:firstRowFirstColumn="0" w:firstRowLastColumn="0" w:lastRowFirstColumn="0" w:lastRowLastColumn="0"/>
            <w:tcW w:w="1720" w:type="dxa"/>
            <w:hideMark/>
          </w:tcPr>
          <w:p w14:paraId="0784C585" w14:textId="77777777" w:rsidR="00C0393B" w:rsidRPr="00B710A9" w:rsidRDefault="00C0393B" w:rsidP="00C0393B">
            <w:pPr>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Pasivo total </w:t>
            </w:r>
          </w:p>
        </w:tc>
        <w:tc>
          <w:tcPr>
            <w:tcW w:w="1536" w:type="dxa"/>
            <w:hideMark/>
          </w:tcPr>
          <w:p w14:paraId="0B9A3C29" w14:textId="77777777" w:rsidR="00C0393B" w:rsidRPr="00B710A9" w:rsidRDefault="00C0393B" w:rsidP="00C039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29.231  </w:t>
            </w:r>
          </w:p>
        </w:tc>
        <w:tc>
          <w:tcPr>
            <w:tcW w:w="1417" w:type="dxa"/>
            <w:hideMark/>
          </w:tcPr>
          <w:p w14:paraId="3702B741" w14:textId="77777777" w:rsidR="00C0393B" w:rsidRPr="00B710A9" w:rsidRDefault="00C0393B" w:rsidP="00C039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24.880  </w:t>
            </w:r>
          </w:p>
        </w:tc>
        <w:tc>
          <w:tcPr>
            <w:tcW w:w="1418" w:type="dxa"/>
            <w:hideMark/>
          </w:tcPr>
          <w:p w14:paraId="7E3D0197" w14:textId="77777777" w:rsidR="00C0393B" w:rsidRPr="00B710A9" w:rsidRDefault="00C0393B" w:rsidP="00C039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28.071  </w:t>
            </w:r>
          </w:p>
        </w:tc>
        <w:tc>
          <w:tcPr>
            <w:tcW w:w="1559" w:type="dxa"/>
            <w:hideMark/>
          </w:tcPr>
          <w:p w14:paraId="0572FAEA" w14:textId="77777777" w:rsidR="00C0393B" w:rsidRPr="00B710A9" w:rsidRDefault="00C0393B" w:rsidP="00C039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27.664  </w:t>
            </w:r>
          </w:p>
        </w:tc>
      </w:tr>
      <w:tr w:rsidR="00C0393B" w:rsidRPr="00B710A9" w14:paraId="61CAE6F7" w14:textId="77777777" w:rsidTr="00CD25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0" w:type="dxa"/>
            <w:hideMark/>
          </w:tcPr>
          <w:p w14:paraId="43559A1D" w14:textId="76CF521D" w:rsidR="00C0393B" w:rsidRPr="00B710A9" w:rsidRDefault="00C0393B" w:rsidP="00C0393B">
            <w:pPr>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Corriente </w:t>
            </w:r>
          </w:p>
        </w:tc>
        <w:tc>
          <w:tcPr>
            <w:tcW w:w="1536" w:type="dxa"/>
            <w:hideMark/>
          </w:tcPr>
          <w:p w14:paraId="46062B44" w14:textId="77777777" w:rsidR="00C0393B" w:rsidRPr="00B710A9" w:rsidRDefault="00C0393B" w:rsidP="00C039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29.231  </w:t>
            </w:r>
          </w:p>
        </w:tc>
        <w:tc>
          <w:tcPr>
            <w:tcW w:w="1417" w:type="dxa"/>
            <w:hideMark/>
          </w:tcPr>
          <w:p w14:paraId="75B6BCA5" w14:textId="77777777" w:rsidR="00C0393B" w:rsidRPr="00B710A9" w:rsidRDefault="00C0393B" w:rsidP="00C039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24.880  </w:t>
            </w:r>
          </w:p>
        </w:tc>
        <w:tc>
          <w:tcPr>
            <w:tcW w:w="1418" w:type="dxa"/>
            <w:hideMark/>
          </w:tcPr>
          <w:p w14:paraId="7E700A30" w14:textId="77777777" w:rsidR="00C0393B" w:rsidRPr="00B710A9" w:rsidRDefault="00C0393B" w:rsidP="00C039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28.071  </w:t>
            </w:r>
          </w:p>
        </w:tc>
        <w:tc>
          <w:tcPr>
            <w:tcW w:w="1559" w:type="dxa"/>
            <w:hideMark/>
          </w:tcPr>
          <w:p w14:paraId="2B43C435" w14:textId="77777777" w:rsidR="00C0393B" w:rsidRPr="00B710A9" w:rsidRDefault="00C0393B" w:rsidP="00C039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 27.664  </w:t>
            </w:r>
          </w:p>
        </w:tc>
      </w:tr>
      <w:tr w:rsidR="00C0393B" w:rsidRPr="00B710A9" w14:paraId="7F47BFDA" w14:textId="77777777" w:rsidTr="00CD253D">
        <w:trPr>
          <w:trHeight w:val="300"/>
          <w:jc w:val="center"/>
        </w:trPr>
        <w:tc>
          <w:tcPr>
            <w:cnfStyle w:val="001000000000" w:firstRow="0" w:lastRow="0" w:firstColumn="1" w:lastColumn="0" w:oddVBand="0" w:evenVBand="0" w:oddHBand="0" w:evenHBand="0" w:firstRowFirstColumn="0" w:firstRowLastColumn="0" w:lastRowFirstColumn="0" w:lastRowLastColumn="0"/>
            <w:tcW w:w="1720" w:type="dxa"/>
            <w:hideMark/>
          </w:tcPr>
          <w:p w14:paraId="400B7709" w14:textId="7536AFE4" w:rsidR="00C0393B" w:rsidRPr="00B710A9" w:rsidRDefault="00C0393B" w:rsidP="00C0393B">
            <w:pPr>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No corriente </w:t>
            </w:r>
          </w:p>
        </w:tc>
        <w:tc>
          <w:tcPr>
            <w:tcW w:w="1536" w:type="dxa"/>
            <w:hideMark/>
          </w:tcPr>
          <w:p w14:paraId="12E25DED" w14:textId="77777777" w:rsidR="00C0393B" w:rsidRPr="00B710A9" w:rsidRDefault="00C0393B" w:rsidP="00C039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0  </w:t>
            </w:r>
          </w:p>
        </w:tc>
        <w:tc>
          <w:tcPr>
            <w:tcW w:w="1417" w:type="dxa"/>
            <w:hideMark/>
          </w:tcPr>
          <w:p w14:paraId="113A15C8" w14:textId="77777777" w:rsidR="00C0393B" w:rsidRPr="00B710A9" w:rsidRDefault="00C0393B" w:rsidP="00C039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0  </w:t>
            </w:r>
          </w:p>
        </w:tc>
        <w:tc>
          <w:tcPr>
            <w:tcW w:w="1418" w:type="dxa"/>
            <w:hideMark/>
          </w:tcPr>
          <w:p w14:paraId="7C625479" w14:textId="77777777" w:rsidR="00C0393B" w:rsidRPr="00B710A9" w:rsidRDefault="00C0393B" w:rsidP="00C039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0  </w:t>
            </w:r>
          </w:p>
        </w:tc>
        <w:tc>
          <w:tcPr>
            <w:tcW w:w="1559" w:type="dxa"/>
            <w:hideMark/>
          </w:tcPr>
          <w:p w14:paraId="634F9659" w14:textId="77777777" w:rsidR="00C0393B" w:rsidRPr="00B710A9" w:rsidRDefault="00C0393B" w:rsidP="00C039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0   </w:t>
            </w:r>
          </w:p>
        </w:tc>
      </w:tr>
      <w:tr w:rsidR="00C0393B" w:rsidRPr="00B710A9" w14:paraId="6BE7ADAD" w14:textId="77777777" w:rsidTr="00CD25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0" w:type="dxa"/>
            <w:hideMark/>
          </w:tcPr>
          <w:p w14:paraId="7E980122" w14:textId="77777777" w:rsidR="00C0393B" w:rsidRPr="00B710A9" w:rsidRDefault="00C0393B" w:rsidP="00C0393B">
            <w:pPr>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Patrimonio </w:t>
            </w:r>
          </w:p>
        </w:tc>
        <w:tc>
          <w:tcPr>
            <w:tcW w:w="1536" w:type="dxa"/>
            <w:hideMark/>
          </w:tcPr>
          <w:p w14:paraId="287067C5" w14:textId="77777777" w:rsidR="00C0393B" w:rsidRPr="00B710A9" w:rsidRDefault="00C0393B" w:rsidP="00C039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138.112  </w:t>
            </w:r>
          </w:p>
        </w:tc>
        <w:tc>
          <w:tcPr>
            <w:tcW w:w="1417" w:type="dxa"/>
            <w:hideMark/>
          </w:tcPr>
          <w:p w14:paraId="7B49B220" w14:textId="77777777" w:rsidR="00C0393B" w:rsidRPr="00B710A9" w:rsidRDefault="00C0393B" w:rsidP="00C039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194.920  </w:t>
            </w:r>
          </w:p>
        </w:tc>
        <w:tc>
          <w:tcPr>
            <w:tcW w:w="1418" w:type="dxa"/>
            <w:hideMark/>
          </w:tcPr>
          <w:p w14:paraId="5543735B" w14:textId="77777777" w:rsidR="00C0393B" w:rsidRPr="00B710A9" w:rsidRDefault="00C0393B" w:rsidP="00C039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181.345  </w:t>
            </w:r>
          </w:p>
        </w:tc>
        <w:tc>
          <w:tcPr>
            <w:tcW w:w="1559" w:type="dxa"/>
            <w:hideMark/>
          </w:tcPr>
          <w:p w14:paraId="17AD3C1C" w14:textId="77777777" w:rsidR="00C0393B" w:rsidRPr="00B710A9" w:rsidRDefault="00C0393B" w:rsidP="00C039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B710A9">
              <w:rPr>
                <w:rFonts w:ascii="Arial" w:eastAsia="Times New Roman" w:hAnsi="Arial" w:cs="Arial"/>
                <w:color w:val="000000" w:themeColor="text1"/>
                <w:sz w:val="16"/>
                <w:szCs w:val="16"/>
              </w:rPr>
              <w:t> 174.591 </w:t>
            </w:r>
          </w:p>
        </w:tc>
      </w:tr>
    </w:tbl>
    <w:p w14:paraId="4DD7E48D" w14:textId="77777777" w:rsidR="00371859" w:rsidRPr="00B710A9" w:rsidRDefault="00371859" w:rsidP="00371859">
      <w:pPr>
        <w:spacing w:after="0" w:line="240" w:lineRule="auto"/>
        <w:jc w:val="center"/>
        <w:rPr>
          <w:rFonts w:ascii="Arial" w:hAnsi="Arial" w:cs="Arial"/>
          <w:b/>
          <w:bCs/>
          <w:color w:val="000000" w:themeColor="text1"/>
          <w:sz w:val="16"/>
          <w:szCs w:val="16"/>
        </w:rPr>
      </w:pPr>
      <w:r w:rsidRPr="00B710A9">
        <w:rPr>
          <w:rFonts w:ascii="Arial" w:hAnsi="Arial" w:cs="Arial"/>
          <w:b/>
          <w:bCs/>
          <w:color w:val="000000" w:themeColor="text1"/>
          <w:sz w:val="16"/>
          <w:szCs w:val="16"/>
        </w:rPr>
        <w:t>Fuente: IGAC – Subdirección Administrativa y Financiera</w:t>
      </w:r>
    </w:p>
    <w:p w14:paraId="2573A142" w14:textId="77777777" w:rsidR="00B86A17" w:rsidRPr="00B710A9" w:rsidRDefault="00B86A17" w:rsidP="70A85943">
      <w:pPr>
        <w:spacing w:after="0" w:line="240" w:lineRule="auto"/>
        <w:jc w:val="both"/>
        <w:rPr>
          <w:color w:val="000000" w:themeColor="text1"/>
        </w:rPr>
      </w:pPr>
    </w:p>
    <w:p w14:paraId="6ED7DE47" w14:textId="77777777" w:rsidR="00C0393B" w:rsidRPr="00B710A9" w:rsidRDefault="00C0393B" w:rsidP="70A85943">
      <w:pPr>
        <w:spacing w:after="0" w:line="240" w:lineRule="auto"/>
        <w:jc w:val="both"/>
        <w:rPr>
          <w:color w:val="000000" w:themeColor="text1"/>
        </w:rPr>
      </w:pPr>
    </w:p>
    <w:p w14:paraId="5F5234A5" w14:textId="580549DB" w:rsidR="00D20E63" w:rsidRPr="00B710A9" w:rsidRDefault="002379BF" w:rsidP="009D279A">
      <w:pPr>
        <w:spacing w:after="0" w:line="240" w:lineRule="auto"/>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lang w:val="es"/>
        </w:rPr>
        <w:t xml:space="preserve">Nota: </w:t>
      </w:r>
      <w:r w:rsidR="64DA7BAA" w:rsidRPr="00B710A9">
        <w:rPr>
          <w:rFonts w:ascii="Arial" w:eastAsia="Calibri" w:hAnsi="Arial" w:cs="Arial"/>
          <w:color w:val="000000" w:themeColor="text1"/>
          <w:sz w:val="22"/>
          <w:szCs w:val="22"/>
          <w:lang w:val="es"/>
        </w:rPr>
        <w:t xml:space="preserve">Para la vigencia </w:t>
      </w:r>
      <w:r w:rsidR="004E6420" w:rsidRPr="00B710A9">
        <w:rPr>
          <w:rFonts w:ascii="Arial" w:eastAsia="Calibri" w:hAnsi="Arial" w:cs="Arial"/>
          <w:color w:val="000000" w:themeColor="text1"/>
          <w:sz w:val="22"/>
          <w:szCs w:val="22"/>
          <w:lang w:val="es"/>
        </w:rPr>
        <w:t>2022</w:t>
      </w:r>
      <w:r w:rsidR="64DA7BAA" w:rsidRPr="00B710A9">
        <w:rPr>
          <w:rFonts w:ascii="Arial" w:eastAsia="Calibri" w:hAnsi="Arial" w:cs="Arial"/>
          <w:color w:val="000000" w:themeColor="text1"/>
          <w:sz w:val="22"/>
          <w:szCs w:val="22"/>
          <w:lang w:val="es"/>
        </w:rPr>
        <w:t xml:space="preserve">, de acuerdo con el artículo 16 de la Resolución 706 de 2016 expedida por la Contaduría General de la Nación, el plazo para presentar esta información contable es el 31 de julio. Por esta razón se presenta esta información con corte mayo 31 de </w:t>
      </w:r>
      <w:r w:rsidR="004E6420" w:rsidRPr="00B710A9">
        <w:rPr>
          <w:rFonts w:ascii="Arial" w:eastAsia="Calibri" w:hAnsi="Arial" w:cs="Arial"/>
          <w:color w:val="000000" w:themeColor="text1"/>
          <w:sz w:val="22"/>
          <w:szCs w:val="22"/>
          <w:lang w:val="es"/>
        </w:rPr>
        <w:t>2022</w:t>
      </w:r>
      <w:r w:rsidR="64DA7BAA" w:rsidRPr="00B710A9">
        <w:rPr>
          <w:rFonts w:ascii="Arial" w:eastAsia="Calibri" w:hAnsi="Arial" w:cs="Arial"/>
          <w:color w:val="000000" w:themeColor="text1"/>
          <w:sz w:val="22"/>
          <w:szCs w:val="22"/>
          <w:lang w:val="es"/>
        </w:rPr>
        <w:t>.</w:t>
      </w:r>
    </w:p>
    <w:p w14:paraId="24EAFD50" w14:textId="77777777" w:rsidR="004E6420" w:rsidRDefault="004E6420" w:rsidP="004E6420">
      <w:pPr>
        <w:pStyle w:val="Ttulo2"/>
        <w:spacing w:before="0" w:after="0" w:line="240" w:lineRule="auto"/>
        <w:ind w:left="360"/>
        <w:rPr>
          <w:rFonts w:ascii="Arial" w:hAnsi="Arial" w:cs="Arial"/>
          <w:color w:val="000000" w:themeColor="text1"/>
          <w:sz w:val="22"/>
          <w:szCs w:val="22"/>
        </w:rPr>
      </w:pPr>
    </w:p>
    <w:p w14:paraId="7DCB81C7" w14:textId="77777777" w:rsidR="004C5175" w:rsidRPr="004C5175" w:rsidRDefault="004C5175" w:rsidP="004C5175"/>
    <w:p w14:paraId="5E515D74" w14:textId="77777777" w:rsidR="004E6420" w:rsidRPr="00B710A9" w:rsidRDefault="004E6420" w:rsidP="004E6420">
      <w:pPr>
        <w:pStyle w:val="Ttulo2"/>
        <w:spacing w:before="0" w:after="0" w:line="240" w:lineRule="auto"/>
        <w:ind w:left="360"/>
        <w:rPr>
          <w:rFonts w:asciiTheme="minorHAnsi" w:hAnsiTheme="minorHAnsi" w:cstheme="minorBidi"/>
          <w:color w:val="000000" w:themeColor="text1"/>
          <w:sz w:val="24"/>
          <w:szCs w:val="24"/>
        </w:rPr>
      </w:pPr>
    </w:p>
    <w:p w14:paraId="23EE363B" w14:textId="727B056D" w:rsidR="005E2924" w:rsidRPr="00B710A9" w:rsidRDefault="00526830" w:rsidP="00B4645B">
      <w:pPr>
        <w:pStyle w:val="Ttulo2"/>
        <w:numPr>
          <w:ilvl w:val="1"/>
          <w:numId w:val="44"/>
        </w:numPr>
        <w:spacing w:before="0" w:after="0" w:line="240" w:lineRule="auto"/>
        <w:rPr>
          <w:rFonts w:ascii="Arial" w:hAnsi="Arial" w:cs="Arial"/>
          <w:color w:val="000000" w:themeColor="text1"/>
          <w:sz w:val="22"/>
          <w:szCs w:val="22"/>
        </w:rPr>
      </w:pPr>
      <w:bookmarkStart w:id="77" w:name="_Toc111485518"/>
      <w:r w:rsidRPr="00B710A9">
        <w:rPr>
          <w:rFonts w:ascii="Arial" w:hAnsi="Arial" w:cs="Arial"/>
          <w:color w:val="000000" w:themeColor="text1"/>
          <w:sz w:val="22"/>
          <w:szCs w:val="22"/>
        </w:rPr>
        <w:t>Gestión Contractual</w:t>
      </w:r>
      <w:bookmarkEnd w:id="77"/>
    </w:p>
    <w:p w14:paraId="6161645B" w14:textId="02EEA254" w:rsidR="19B98323" w:rsidRPr="00B710A9" w:rsidRDefault="19B98323" w:rsidP="009D279A">
      <w:pPr>
        <w:spacing w:after="0" w:line="240" w:lineRule="auto"/>
        <w:rPr>
          <w:rFonts w:ascii="Arial" w:hAnsi="Arial" w:cs="Arial"/>
          <w:sz w:val="22"/>
          <w:szCs w:val="22"/>
        </w:rPr>
      </w:pPr>
    </w:p>
    <w:p w14:paraId="0E3AE0D9" w14:textId="3F5047D6" w:rsidR="00FD6EF7" w:rsidRPr="00B710A9" w:rsidRDefault="00526830" w:rsidP="00356A3E">
      <w:pPr>
        <w:numPr>
          <w:ilvl w:val="0"/>
          <w:numId w:val="34"/>
        </w:numPr>
        <w:spacing w:after="0" w:line="240" w:lineRule="auto"/>
        <w:jc w:val="both"/>
        <w:rPr>
          <w:rFonts w:ascii="Arial" w:hAnsi="Arial" w:cs="Arial"/>
          <w:b/>
          <w:bCs/>
          <w:color w:val="000000" w:themeColor="text1"/>
          <w:sz w:val="22"/>
          <w:szCs w:val="22"/>
        </w:rPr>
      </w:pPr>
      <w:r w:rsidRPr="00B710A9">
        <w:rPr>
          <w:rFonts w:ascii="Arial" w:hAnsi="Arial" w:cs="Arial"/>
          <w:b/>
          <w:bCs/>
          <w:color w:val="000000" w:themeColor="text1"/>
          <w:sz w:val="22"/>
          <w:szCs w:val="22"/>
        </w:rPr>
        <w:t>Modalidades de contratación vigencia 20</w:t>
      </w:r>
      <w:r w:rsidR="0024001A" w:rsidRPr="00B710A9">
        <w:rPr>
          <w:rFonts w:ascii="Arial" w:hAnsi="Arial" w:cs="Arial"/>
          <w:b/>
          <w:bCs/>
          <w:color w:val="000000" w:themeColor="text1"/>
          <w:sz w:val="22"/>
          <w:szCs w:val="22"/>
        </w:rPr>
        <w:t>21</w:t>
      </w:r>
    </w:p>
    <w:p w14:paraId="005FDC05" w14:textId="7888619D" w:rsidR="00221AFB" w:rsidRPr="00B710A9" w:rsidRDefault="00221AFB" w:rsidP="00221AFB">
      <w:pPr>
        <w:spacing w:after="0" w:line="240" w:lineRule="auto"/>
        <w:jc w:val="both"/>
        <w:rPr>
          <w:rFonts w:ascii="Arial" w:hAnsi="Arial" w:cs="Arial"/>
          <w:b/>
          <w:bCs/>
          <w:color w:val="000000" w:themeColor="text1"/>
          <w:sz w:val="22"/>
          <w:szCs w:val="22"/>
        </w:rPr>
      </w:pPr>
    </w:p>
    <w:p w14:paraId="11BD9ED6" w14:textId="11012F11" w:rsidR="00221AFB" w:rsidRPr="00B710A9" w:rsidRDefault="00221AFB" w:rsidP="00221AFB">
      <w:pPr>
        <w:keepNext/>
        <w:spacing w:after="0" w:line="240" w:lineRule="auto"/>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lang w:val="es"/>
        </w:rPr>
        <w:t>Durante la vigencia 202</w:t>
      </w:r>
      <w:r w:rsidR="0024001A" w:rsidRPr="00B710A9">
        <w:rPr>
          <w:rFonts w:ascii="Arial" w:eastAsia="Calibri" w:hAnsi="Arial" w:cs="Arial"/>
          <w:color w:val="000000" w:themeColor="text1"/>
          <w:sz w:val="22"/>
          <w:szCs w:val="22"/>
          <w:lang w:val="es"/>
        </w:rPr>
        <w:t>1</w:t>
      </w:r>
      <w:r w:rsidRPr="00B710A9">
        <w:rPr>
          <w:rFonts w:ascii="Arial" w:eastAsia="Calibri" w:hAnsi="Arial" w:cs="Arial"/>
          <w:color w:val="000000" w:themeColor="text1"/>
          <w:sz w:val="22"/>
          <w:szCs w:val="22"/>
          <w:lang w:val="es"/>
        </w:rPr>
        <w:t xml:space="preserve">, la Entidad suscribió </w:t>
      </w:r>
      <w:r w:rsidR="00645AD1" w:rsidRPr="00B710A9">
        <w:rPr>
          <w:rFonts w:ascii="Arial" w:eastAsia="Calibri" w:hAnsi="Arial" w:cs="Arial"/>
          <w:color w:val="000000" w:themeColor="text1"/>
          <w:sz w:val="22"/>
          <w:szCs w:val="22"/>
          <w:lang w:val="es"/>
        </w:rPr>
        <w:t>1.803</w:t>
      </w:r>
      <w:r w:rsidRPr="00B710A9">
        <w:rPr>
          <w:rFonts w:ascii="Arial" w:eastAsia="Calibri" w:hAnsi="Arial" w:cs="Arial"/>
          <w:color w:val="000000" w:themeColor="text1"/>
          <w:sz w:val="22"/>
          <w:szCs w:val="22"/>
          <w:lang w:val="es"/>
        </w:rPr>
        <w:t xml:space="preserve"> contratos. A continuación, se relacionan los diferentes tipos de contratación:</w:t>
      </w:r>
    </w:p>
    <w:p w14:paraId="2315ADEA" w14:textId="6DEF3A11" w:rsidR="00221AFB" w:rsidRPr="00B710A9" w:rsidRDefault="00221AFB" w:rsidP="009A357D">
      <w:pPr>
        <w:spacing w:after="0" w:line="240" w:lineRule="auto"/>
        <w:jc w:val="both"/>
        <w:rPr>
          <w:rFonts w:asciiTheme="minorHAnsi" w:hAnsiTheme="minorHAnsi" w:cstheme="minorBidi"/>
          <w:b/>
          <w:bCs/>
          <w:color w:val="000000" w:themeColor="text1"/>
        </w:rPr>
      </w:pPr>
    </w:p>
    <w:p w14:paraId="68CA8822" w14:textId="64E9C9B5" w:rsidR="002D6072" w:rsidRPr="00B710A9" w:rsidRDefault="002D6072" w:rsidP="002D6072">
      <w:pPr>
        <w:pStyle w:val="Descripcin"/>
        <w:keepNext/>
        <w:jc w:val="center"/>
        <w:rPr>
          <w:rFonts w:ascii="Arial" w:hAnsi="Arial" w:cs="Arial"/>
          <w:b/>
          <w:bCs/>
          <w:i w:val="0"/>
          <w:iCs w:val="0"/>
          <w:color w:val="000000" w:themeColor="text1"/>
          <w:sz w:val="16"/>
          <w:szCs w:val="16"/>
        </w:rPr>
      </w:pPr>
      <w:bookmarkStart w:id="78" w:name="_Toc109057760"/>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30</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Contratos suscritos vigencia 2021</w:t>
      </w:r>
      <w:bookmarkEnd w:id="78"/>
    </w:p>
    <w:tbl>
      <w:tblPr>
        <w:tblStyle w:val="Tablaconcuadrcula4-nfasis1"/>
        <w:tblW w:w="8496" w:type="dxa"/>
        <w:tblLook w:val="04A0" w:firstRow="1" w:lastRow="0" w:firstColumn="1" w:lastColumn="0" w:noHBand="0" w:noVBand="1"/>
      </w:tblPr>
      <w:tblGrid>
        <w:gridCol w:w="2685"/>
        <w:gridCol w:w="1815"/>
        <w:gridCol w:w="3996"/>
      </w:tblGrid>
      <w:tr w:rsidR="002379BF" w:rsidRPr="00B710A9" w14:paraId="35C0F1C4" w14:textId="77777777" w:rsidTr="002379B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5" w:type="dxa"/>
            <w:hideMark/>
          </w:tcPr>
          <w:p w14:paraId="03705A0C" w14:textId="77777777" w:rsidR="00A16659" w:rsidRPr="00B710A9" w:rsidRDefault="00A16659" w:rsidP="00A16659">
            <w:pPr>
              <w:jc w:val="center"/>
              <w:textAlignment w:val="baseline"/>
              <w:rPr>
                <w:rFonts w:ascii="Arial" w:eastAsia="Arial" w:hAnsi="Arial" w:cs="Arial"/>
                <w:sz w:val="18"/>
                <w:szCs w:val="18"/>
              </w:rPr>
            </w:pPr>
            <w:r w:rsidRPr="00B710A9">
              <w:rPr>
                <w:rFonts w:ascii="Arial" w:eastAsia="Arial" w:hAnsi="Arial" w:cs="Arial"/>
                <w:sz w:val="18"/>
                <w:szCs w:val="18"/>
              </w:rPr>
              <w:t>MODALIDAD DE CONTRATACION </w:t>
            </w:r>
          </w:p>
        </w:tc>
        <w:tc>
          <w:tcPr>
            <w:tcW w:w="1815" w:type="dxa"/>
            <w:hideMark/>
          </w:tcPr>
          <w:p w14:paraId="083B22DA" w14:textId="77777777" w:rsidR="00A16659" w:rsidRPr="00B710A9" w:rsidRDefault="00A16659" w:rsidP="00A16659">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CANTIDAD DE CONTRATOS </w:t>
            </w:r>
          </w:p>
        </w:tc>
        <w:tc>
          <w:tcPr>
            <w:tcW w:w="3996" w:type="dxa"/>
            <w:hideMark/>
          </w:tcPr>
          <w:p w14:paraId="5FB4CA47" w14:textId="77777777" w:rsidR="00A16659" w:rsidRPr="00B710A9" w:rsidRDefault="00A16659" w:rsidP="00A16659">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VALOR TOTAL </w:t>
            </w:r>
          </w:p>
        </w:tc>
      </w:tr>
      <w:tr w:rsidR="002379BF" w:rsidRPr="00B710A9" w14:paraId="5610A740" w14:textId="77777777" w:rsidTr="002379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5" w:type="dxa"/>
            <w:hideMark/>
          </w:tcPr>
          <w:p w14:paraId="4607BC3A" w14:textId="77777777" w:rsidR="00A16659" w:rsidRPr="00B710A9" w:rsidRDefault="00A16659" w:rsidP="00A16659">
            <w:pPr>
              <w:jc w:val="center"/>
              <w:textAlignment w:val="baseline"/>
              <w:rPr>
                <w:rFonts w:ascii="Arial" w:eastAsia="Arial" w:hAnsi="Arial" w:cs="Arial"/>
                <w:sz w:val="18"/>
                <w:szCs w:val="18"/>
              </w:rPr>
            </w:pPr>
            <w:r w:rsidRPr="00B710A9">
              <w:rPr>
                <w:rFonts w:ascii="Arial" w:eastAsia="Arial" w:hAnsi="Arial" w:cs="Arial"/>
                <w:sz w:val="18"/>
                <w:szCs w:val="18"/>
              </w:rPr>
              <w:t>CONTRATACIÓN DIRECTA </w:t>
            </w:r>
          </w:p>
        </w:tc>
        <w:tc>
          <w:tcPr>
            <w:tcW w:w="1815" w:type="dxa"/>
            <w:hideMark/>
          </w:tcPr>
          <w:p w14:paraId="31CCD69C" w14:textId="77777777" w:rsidR="00A16659" w:rsidRPr="00B710A9" w:rsidRDefault="00A16659" w:rsidP="00A1665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1.705 </w:t>
            </w:r>
          </w:p>
        </w:tc>
        <w:tc>
          <w:tcPr>
            <w:tcW w:w="3996" w:type="dxa"/>
            <w:hideMark/>
          </w:tcPr>
          <w:p w14:paraId="1A51FAD6" w14:textId="34808FD8" w:rsidR="00A16659" w:rsidRPr="00B710A9" w:rsidRDefault="00A16659" w:rsidP="00A1665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$ 80.383.631.250,35 </w:t>
            </w:r>
          </w:p>
        </w:tc>
      </w:tr>
      <w:tr w:rsidR="002379BF" w:rsidRPr="00B710A9" w14:paraId="5E2B5461" w14:textId="77777777" w:rsidTr="002379BF">
        <w:trPr>
          <w:trHeight w:val="300"/>
        </w:trPr>
        <w:tc>
          <w:tcPr>
            <w:cnfStyle w:val="001000000000" w:firstRow="0" w:lastRow="0" w:firstColumn="1" w:lastColumn="0" w:oddVBand="0" w:evenVBand="0" w:oddHBand="0" w:evenHBand="0" w:firstRowFirstColumn="0" w:firstRowLastColumn="0" w:lastRowFirstColumn="0" w:lastRowLastColumn="0"/>
            <w:tcW w:w="2685" w:type="dxa"/>
            <w:hideMark/>
          </w:tcPr>
          <w:p w14:paraId="57ED3557" w14:textId="77777777" w:rsidR="00A16659" w:rsidRPr="00B710A9" w:rsidRDefault="00A16659" w:rsidP="00A16659">
            <w:pPr>
              <w:jc w:val="center"/>
              <w:textAlignment w:val="baseline"/>
              <w:rPr>
                <w:rFonts w:ascii="Arial" w:eastAsia="Arial" w:hAnsi="Arial" w:cs="Arial"/>
                <w:sz w:val="18"/>
                <w:szCs w:val="18"/>
              </w:rPr>
            </w:pPr>
            <w:r w:rsidRPr="00B710A9">
              <w:rPr>
                <w:rFonts w:ascii="Arial" w:eastAsia="Arial" w:hAnsi="Arial" w:cs="Arial"/>
                <w:sz w:val="18"/>
                <w:szCs w:val="18"/>
              </w:rPr>
              <w:t>LICITACION PUBLICA </w:t>
            </w:r>
          </w:p>
        </w:tc>
        <w:tc>
          <w:tcPr>
            <w:tcW w:w="1815" w:type="dxa"/>
            <w:hideMark/>
          </w:tcPr>
          <w:p w14:paraId="42242472" w14:textId="77777777" w:rsidR="00A16659" w:rsidRPr="00B710A9" w:rsidRDefault="00A16659" w:rsidP="00A1665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5 </w:t>
            </w:r>
          </w:p>
        </w:tc>
        <w:tc>
          <w:tcPr>
            <w:tcW w:w="3996" w:type="dxa"/>
            <w:hideMark/>
          </w:tcPr>
          <w:p w14:paraId="7F96FB15" w14:textId="431B25EA" w:rsidR="00A16659" w:rsidRPr="00B710A9" w:rsidRDefault="00A16659" w:rsidP="00A1665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$ 20.345.434.308,00 </w:t>
            </w:r>
          </w:p>
        </w:tc>
      </w:tr>
      <w:tr w:rsidR="002379BF" w:rsidRPr="00B710A9" w14:paraId="497D8795" w14:textId="77777777" w:rsidTr="002379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5" w:type="dxa"/>
            <w:hideMark/>
          </w:tcPr>
          <w:p w14:paraId="3F5101E7" w14:textId="77777777" w:rsidR="00A16659" w:rsidRPr="00B710A9" w:rsidRDefault="00A16659" w:rsidP="00A16659">
            <w:pPr>
              <w:jc w:val="center"/>
              <w:textAlignment w:val="baseline"/>
              <w:rPr>
                <w:rFonts w:ascii="Arial" w:eastAsia="Arial" w:hAnsi="Arial" w:cs="Arial"/>
                <w:sz w:val="18"/>
                <w:szCs w:val="18"/>
              </w:rPr>
            </w:pPr>
            <w:r w:rsidRPr="00B710A9">
              <w:rPr>
                <w:rFonts w:ascii="Arial" w:eastAsia="Arial" w:hAnsi="Arial" w:cs="Arial"/>
                <w:sz w:val="18"/>
                <w:szCs w:val="18"/>
              </w:rPr>
              <w:t>MINIMA CUANTIA </w:t>
            </w:r>
          </w:p>
        </w:tc>
        <w:tc>
          <w:tcPr>
            <w:tcW w:w="1815" w:type="dxa"/>
            <w:hideMark/>
          </w:tcPr>
          <w:p w14:paraId="21C2CDA4" w14:textId="77777777" w:rsidR="00A16659" w:rsidRPr="00B710A9" w:rsidRDefault="00A16659" w:rsidP="00A1665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60 </w:t>
            </w:r>
          </w:p>
        </w:tc>
        <w:tc>
          <w:tcPr>
            <w:tcW w:w="3996" w:type="dxa"/>
            <w:hideMark/>
          </w:tcPr>
          <w:p w14:paraId="4957D46F" w14:textId="5C4DEC3B" w:rsidR="00A16659" w:rsidRPr="00B710A9" w:rsidRDefault="00A16659" w:rsidP="00A1665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$ 471.067.304,89 </w:t>
            </w:r>
          </w:p>
        </w:tc>
      </w:tr>
      <w:tr w:rsidR="002379BF" w:rsidRPr="00B710A9" w14:paraId="38CE2085" w14:textId="77777777" w:rsidTr="002379BF">
        <w:trPr>
          <w:trHeight w:val="300"/>
        </w:trPr>
        <w:tc>
          <w:tcPr>
            <w:cnfStyle w:val="001000000000" w:firstRow="0" w:lastRow="0" w:firstColumn="1" w:lastColumn="0" w:oddVBand="0" w:evenVBand="0" w:oddHBand="0" w:evenHBand="0" w:firstRowFirstColumn="0" w:firstRowLastColumn="0" w:lastRowFirstColumn="0" w:lastRowLastColumn="0"/>
            <w:tcW w:w="2685" w:type="dxa"/>
            <w:hideMark/>
          </w:tcPr>
          <w:p w14:paraId="6FC73020" w14:textId="44A89ABA" w:rsidR="00A16659" w:rsidRPr="00B710A9" w:rsidRDefault="00A16659" w:rsidP="00A16659">
            <w:pPr>
              <w:jc w:val="center"/>
              <w:textAlignment w:val="baseline"/>
              <w:rPr>
                <w:rFonts w:ascii="Arial" w:eastAsia="Arial" w:hAnsi="Arial" w:cs="Arial"/>
                <w:sz w:val="18"/>
                <w:szCs w:val="18"/>
              </w:rPr>
            </w:pPr>
            <w:r w:rsidRPr="00B710A9">
              <w:rPr>
                <w:rFonts w:ascii="Arial" w:eastAsia="Arial" w:hAnsi="Arial" w:cs="Arial"/>
                <w:sz w:val="18"/>
                <w:szCs w:val="18"/>
              </w:rPr>
              <w:t>SELECCION ABREVIADA - ACUERDO MARCO DE PRECIOS </w:t>
            </w:r>
          </w:p>
        </w:tc>
        <w:tc>
          <w:tcPr>
            <w:tcW w:w="1815" w:type="dxa"/>
            <w:hideMark/>
          </w:tcPr>
          <w:p w14:paraId="478E2307" w14:textId="77777777" w:rsidR="00A16659" w:rsidRPr="00B710A9" w:rsidRDefault="00A16659" w:rsidP="00A1665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29 </w:t>
            </w:r>
          </w:p>
        </w:tc>
        <w:tc>
          <w:tcPr>
            <w:tcW w:w="3996" w:type="dxa"/>
            <w:hideMark/>
          </w:tcPr>
          <w:p w14:paraId="32E2907F" w14:textId="51E06B3E" w:rsidR="00A16659" w:rsidRPr="00B710A9" w:rsidRDefault="00A16659" w:rsidP="00A1665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$ 3.418.291.202,42 </w:t>
            </w:r>
          </w:p>
        </w:tc>
      </w:tr>
      <w:tr w:rsidR="002379BF" w:rsidRPr="00B710A9" w14:paraId="2532E312" w14:textId="77777777" w:rsidTr="002379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5" w:type="dxa"/>
            <w:hideMark/>
          </w:tcPr>
          <w:p w14:paraId="6DCFCC31" w14:textId="77777777" w:rsidR="00A16659" w:rsidRPr="00B710A9" w:rsidRDefault="00A16659" w:rsidP="00A16659">
            <w:pPr>
              <w:jc w:val="center"/>
              <w:textAlignment w:val="baseline"/>
              <w:rPr>
                <w:rFonts w:ascii="Arial" w:eastAsia="Arial" w:hAnsi="Arial" w:cs="Arial"/>
                <w:sz w:val="18"/>
                <w:szCs w:val="18"/>
              </w:rPr>
            </w:pPr>
            <w:r w:rsidRPr="00B710A9">
              <w:rPr>
                <w:rFonts w:ascii="Arial" w:eastAsia="Arial" w:hAnsi="Arial" w:cs="Arial"/>
                <w:sz w:val="18"/>
                <w:szCs w:val="18"/>
              </w:rPr>
              <w:t>SELECCION ABREVIADA - SUBASTA INVERSA ELECTRONICA </w:t>
            </w:r>
          </w:p>
        </w:tc>
        <w:tc>
          <w:tcPr>
            <w:tcW w:w="1815" w:type="dxa"/>
            <w:hideMark/>
          </w:tcPr>
          <w:p w14:paraId="57D96F6E" w14:textId="77777777" w:rsidR="00A16659" w:rsidRPr="00B710A9" w:rsidRDefault="00A16659" w:rsidP="00A1665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3 </w:t>
            </w:r>
          </w:p>
        </w:tc>
        <w:tc>
          <w:tcPr>
            <w:tcW w:w="3996" w:type="dxa"/>
            <w:hideMark/>
          </w:tcPr>
          <w:p w14:paraId="4B94C413" w14:textId="611BE922" w:rsidR="00A16659" w:rsidRPr="00B710A9" w:rsidRDefault="00A16659" w:rsidP="00A1665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$ 1.881.509.979,00 </w:t>
            </w:r>
          </w:p>
        </w:tc>
      </w:tr>
      <w:tr w:rsidR="002379BF" w:rsidRPr="00B710A9" w14:paraId="3BAFE8BC" w14:textId="77777777" w:rsidTr="002379BF">
        <w:trPr>
          <w:trHeight w:val="315"/>
        </w:trPr>
        <w:tc>
          <w:tcPr>
            <w:cnfStyle w:val="001000000000" w:firstRow="0" w:lastRow="0" w:firstColumn="1" w:lastColumn="0" w:oddVBand="0" w:evenVBand="0" w:oddHBand="0" w:evenHBand="0" w:firstRowFirstColumn="0" w:firstRowLastColumn="0" w:lastRowFirstColumn="0" w:lastRowLastColumn="0"/>
            <w:tcW w:w="2685" w:type="dxa"/>
            <w:hideMark/>
          </w:tcPr>
          <w:p w14:paraId="2C3DFF09" w14:textId="77777777" w:rsidR="00A16659" w:rsidRPr="00B710A9" w:rsidRDefault="00A16659" w:rsidP="00A16659">
            <w:pPr>
              <w:jc w:val="center"/>
              <w:textAlignment w:val="baseline"/>
              <w:rPr>
                <w:rFonts w:ascii="Arial" w:eastAsia="Arial" w:hAnsi="Arial" w:cs="Arial"/>
                <w:sz w:val="18"/>
                <w:szCs w:val="18"/>
              </w:rPr>
            </w:pPr>
            <w:r w:rsidRPr="00B710A9">
              <w:rPr>
                <w:rFonts w:ascii="Arial" w:eastAsia="Arial" w:hAnsi="Arial" w:cs="Arial"/>
                <w:sz w:val="18"/>
                <w:szCs w:val="18"/>
              </w:rPr>
              <w:t>SUBASTA INVERSA-MENOR CUANTIA </w:t>
            </w:r>
          </w:p>
        </w:tc>
        <w:tc>
          <w:tcPr>
            <w:tcW w:w="1815" w:type="dxa"/>
            <w:hideMark/>
          </w:tcPr>
          <w:p w14:paraId="616DB969" w14:textId="77777777" w:rsidR="00A16659" w:rsidRPr="00B710A9" w:rsidRDefault="00A16659" w:rsidP="00A1665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1 </w:t>
            </w:r>
          </w:p>
        </w:tc>
        <w:tc>
          <w:tcPr>
            <w:tcW w:w="3996" w:type="dxa"/>
            <w:hideMark/>
          </w:tcPr>
          <w:p w14:paraId="496ED360" w14:textId="2C414AC9" w:rsidR="00A16659" w:rsidRPr="00B710A9" w:rsidRDefault="00A16659" w:rsidP="00A1665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w:t>
            </w:r>
            <w:r w:rsidR="00C876E0" w:rsidRPr="00B710A9">
              <w:rPr>
                <w:rFonts w:ascii="Arial" w:eastAsia="Arial" w:hAnsi="Arial" w:cs="Arial"/>
                <w:sz w:val="18"/>
                <w:szCs w:val="18"/>
              </w:rPr>
              <w:t xml:space="preserve"> </w:t>
            </w:r>
            <w:r w:rsidRPr="00B710A9">
              <w:rPr>
                <w:rFonts w:ascii="Arial" w:eastAsia="Arial" w:hAnsi="Arial" w:cs="Arial"/>
                <w:sz w:val="18"/>
                <w:szCs w:val="18"/>
              </w:rPr>
              <w:t>401.769.590,00 </w:t>
            </w:r>
          </w:p>
        </w:tc>
      </w:tr>
      <w:tr w:rsidR="002379BF" w:rsidRPr="00B710A9" w14:paraId="560435D2" w14:textId="77777777" w:rsidTr="002379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5" w:type="dxa"/>
            <w:hideMark/>
          </w:tcPr>
          <w:p w14:paraId="66804C7C" w14:textId="77777777" w:rsidR="00A16659" w:rsidRPr="00B710A9" w:rsidRDefault="00A16659" w:rsidP="00A16659">
            <w:pPr>
              <w:jc w:val="center"/>
              <w:textAlignment w:val="baseline"/>
              <w:rPr>
                <w:rFonts w:ascii="Arial" w:eastAsia="Arial" w:hAnsi="Arial" w:cs="Arial"/>
                <w:sz w:val="18"/>
                <w:szCs w:val="18"/>
              </w:rPr>
            </w:pPr>
            <w:proofErr w:type="gramStart"/>
            <w:r w:rsidRPr="00B710A9">
              <w:rPr>
                <w:rFonts w:ascii="Arial" w:eastAsia="Arial" w:hAnsi="Arial" w:cs="Arial"/>
                <w:sz w:val="18"/>
                <w:szCs w:val="18"/>
              </w:rPr>
              <w:t>TOTAL</w:t>
            </w:r>
            <w:proofErr w:type="gramEnd"/>
            <w:r w:rsidRPr="00B710A9">
              <w:rPr>
                <w:rFonts w:ascii="Arial" w:eastAsia="Arial" w:hAnsi="Arial" w:cs="Arial"/>
                <w:sz w:val="18"/>
                <w:szCs w:val="18"/>
              </w:rPr>
              <w:t xml:space="preserve"> GENERAL </w:t>
            </w:r>
          </w:p>
        </w:tc>
        <w:tc>
          <w:tcPr>
            <w:tcW w:w="1815" w:type="dxa"/>
            <w:hideMark/>
          </w:tcPr>
          <w:p w14:paraId="6303293B" w14:textId="77777777" w:rsidR="00A16659" w:rsidRPr="00B710A9" w:rsidRDefault="00A16659" w:rsidP="00A1665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B710A9">
              <w:rPr>
                <w:rFonts w:ascii="Arial" w:eastAsia="Arial" w:hAnsi="Arial" w:cs="Arial"/>
                <w:b/>
                <w:sz w:val="18"/>
                <w:szCs w:val="18"/>
              </w:rPr>
              <w:t>1.803</w:t>
            </w:r>
            <w:r w:rsidRPr="00B710A9">
              <w:rPr>
                <w:rFonts w:ascii="Arial" w:eastAsia="Arial" w:hAnsi="Arial" w:cs="Arial"/>
                <w:sz w:val="18"/>
                <w:szCs w:val="18"/>
              </w:rPr>
              <w:t> </w:t>
            </w:r>
          </w:p>
        </w:tc>
        <w:tc>
          <w:tcPr>
            <w:tcW w:w="3996" w:type="dxa"/>
            <w:hideMark/>
          </w:tcPr>
          <w:p w14:paraId="0B51A3C3" w14:textId="570B77E5" w:rsidR="00A16659" w:rsidRPr="00B710A9" w:rsidRDefault="00A16659" w:rsidP="00A1665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B710A9">
              <w:rPr>
                <w:rFonts w:ascii="Arial" w:eastAsia="Arial" w:hAnsi="Arial" w:cs="Arial"/>
                <w:b/>
                <w:sz w:val="18"/>
                <w:szCs w:val="18"/>
              </w:rPr>
              <w:t>$ 106.901.703.634,66</w:t>
            </w:r>
            <w:r w:rsidRPr="00B710A9">
              <w:rPr>
                <w:rFonts w:ascii="Arial" w:eastAsia="Arial" w:hAnsi="Arial" w:cs="Arial"/>
                <w:sz w:val="18"/>
                <w:szCs w:val="18"/>
              </w:rPr>
              <w:t> </w:t>
            </w:r>
          </w:p>
        </w:tc>
      </w:tr>
    </w:tbl>
    <w:p w14:paraId="347353F9" w14:textId="77777777" w:rsidR="004E6420" w:rsidRPr="00B710A9" w:rsidRDefault="004E6420" w:rsidP="00261E81">
      <w:pPr>
        <w:keepNext/>
        <w:spacing w:after="0" w:line="240" w:lineRule="auto"/>
        <w:jc w:val="center"/>
        <w:rPr>
          <w:rFonts w:ascii="Calibri" w:eastAsia="Calibri" w:hAnsi="Calibri" w:cs="Calibri"/>
          <w:color w:val="000000" w:themeColor="text1"/>
        </w:rPr>
      </w:pPr>
    </w:p>
    <w:p w14:paraId="082DB38F" w14:textId="53195B35" w:rsidR="009313A0" w:rsidRPr="00B710A9" w:rsidRDefault="009313A0" w:rsidP="75FAD099">
      <w:pPr>
        <w:keepNext/>
        <w:spacing w:after="0" w:line="240" w:lineRule="auto"/>
        <w:rPr>
          <w:rFonts w:ascii="Arial" w:eastAsia="Arial" w:hAnsi="Arial" w:cs="Arial"/>
          <w:sz w:val="16"/>
          <w:szCs w:val="16"/>
        </w:rPr>
      </w:pPr>
      <w:r w:rsidRPr="00B710A9">
        <w:rPr>
          <w:rFonts w:ascii="Arial" w:eastAsia="Arial" w:hAnsi="Arial" w:cs="Arial"/>
          <w:sz w:val="16"/>
          <w:szCs w:val="16"/>
        </w:rPr>
        <w:t>Nota: No se encuentran incluidos contratos de obra pública</w:t>
      </w:r>
    </w:p>
    <w:p w14:paraId="0D938D4C" w14:textId="77777777" w:rsidR="00261E81" w:rsidRPr="00B710A9" w:rsidRDefault="00261E81" w:rsidP="009A357D">
      <w:pPr>
        <w:spacing w:after="0" w:line="240" w:lineRule="auto"/>
        <w:jc w:val="both"/>
        <w:rPr>
          <w:rFonts w:ascii="Arial" w:hAnsi="Arial" w:cs="Arial"/>
          <w:b/>
          <w:bCs/>
          <w:color w:val="000000" w:themeColor="text1"/>
          <w:sz w:val="22"/>
          <w:szCs w:val="22"/>
        </w:rPr>
      </w:pPr>
    </w:p>
    <w:p w14:paraId="1FC40BE0" w14:textId="77777777" w:rsidR="007F2FBF" w:rsidRPr="00B710A9" w:rsidRDefault="007F2FBF" w:rsidP="009A357D">
      <w:pPr>
        <w:spacing w:after="0" w:line="240" w:lineRule="auto"/>
        <w:jc w:val="both"/>
        <w:rPr>
          <w:rFonts w:ascii="Arial" w:hAnsi="Arial" w:cs="Arial"/>
          <w:b/>
          <w:bCs/>
          <w:color w:val="000000" w:themeColor="text1"/>
          <w:sz w:val="22"/>
          <w:szCs w:val="22"/>
        </w:rPr>
      </w:pPr>
    </w:p>
    <w:p w14:paraId="3CBDC13F" w14:textId="77777777" w:rsidR="007F2FBF" w:rsidRPr="00B710A9" w:rsidRDefault="007F2FBF" w:rsidP="009A357D">
      <w:pPr>
        <w:spacing w:after="0" w:line="240" w:lineRule="auto"/>
        <w:jc w:val="both"/>
        <w:rPr>
          <w:rFonts w:ascii="Arial" w:hAnsi="Arial" w:cs="Arial"/>
          <w:b/>
          <w:bCs/>
          <w:color w:val="000000" w:themeColor="text1"/>
          <w:sz w:val="22"/>
          <w:szCs w:val="22"/>
        </w:rPr>
      </w:pPr>
    </w:p>
    <w:p w14:paraId="41EDB519" w14:textId="7E79F89B" w:rsidR="006948A6" w:rsidRPr="00B710A9" w:rsidRDefault="006948A6" w:rsidP="00356A3E">
      <w:pPr>
        <w:pStyle w:val="Prrafodelista"/>
        <w:keepNext/>
        <w:numPr>
          <w:ilvl w:val="0"/>
          <w:numId w:val="29"/>
        </w:numPr>
        <w:spacing w:after="0" w:line="240" w:lineRule="auto"/>
        <w:jc w:val="both"/>
        <w:rPr>
          <w:rFonts w:ascii="Arial" w:eastAsia="Arial" w:hAnsi="Arial" w:cs="Arial"/>
          <w:b/>
          <w:color w:val="000000" w:themeColor="text1"/>
          <w:sz w:val="22"/>
          <w:szCs w:val="22"/>
        </w:rPr>
      </w:pPr>
      <w:r w:rsidRPr="00B710A9">
        <w:rPr>
          <w:rFonts w:ascii="Arial" w:eastAsia="Arial" w:hAnsi="Arial" w:cs="Arial"/>
          <w:b/>
          <w:color w:val="000000" w:themeColor="text1"/>
          <w:sz w:val="22"/>
          <w:szCs w:val="22"/>
        </w:rPr>
        <w:lastRenderedPageBreak/>
        <w:t>Modalidades de c</w:t>
      </w:r>
      <w:r w:rsidR="0024001A" w:rsidRPr="00B710A9">
        <w:rPr>
          <w:rFonts w:ascii="Arial" w:eastAsia="Arial" w:hAnsi="Arial" w:cs="Arial"/>
          <w:b/>
          <w:color w:val="000000" w:themeColor="text1"/>
          <w:sz w:val="22"/>
          <w:szCs w:val="22"/>
        </w:rPr>
        <w:t>ontratación primer semestre 2022</w:t>
      </w:r>
    </w:p>
    <w:p w14:paraId="6E60E6BA" w14:textId="0B7BAF66" w:rsidR="3C4977BC" w:rsidRPr="00B710A9" w:rsidRDefault="3C4977BC" w:rsidP="3C4977BC">
      <w:pPr>
        <w:keepNext/>
        <w:spacing w:after="0" w:line="240" w:lineRule="auto"/>
        <w:jc w:val="both"/>
        <w:rPr>
          <w:rFonts w:ascii="Arial" w:eastAsia="Arial" w:hAnsi="Arial" w:cs="Arial"/>
          <w:bCs/>
          <w:color w:val="000000" w:themeColor="text1"/>
          <w:sz w:val="22"/>
          <w:szCs w:val="22"/>
        </w:rPr>
      </w:pPr>
    </w:p>
    <w:p w14:paraId="58F0B170" w14:textId="25906624" w:rsidR="3C4977BC" w:rsidRPr="00B710A9" w:rsidRDefault="3C4977BC" w:rsidP="3C4977BC">
      <w:pPr>
        <w:keepNext/>
        <w:spacing w:after="0" w:line="240" w:lineRule="auto"/>
        <w:jc w:val="both"/>
        <w:rPr>
          <w:rFonts w:ascii="Arial" w:eastAsia="Arial" w:hAnsi="Arial" w:cs="Arial"/>
          <w:bCs/>
          <w:color w:val="000000" w:themeColor="text1"/>
          <w:sz w:val="22"/>
          <w:szCs w:val="22"/>
        </w:rPr>
      </w:pPr>
    </w:p>
    <w:p w14:paraId="31BB5F0C" w14:textId="2D9EBBE9" w:rsidR="006948A6" w:rsidRPr="00B710A9" w:rsidRDefault="006948A6" w:rsidP="006948A6">
      <w:pPr>
        <w:keepNext/>
        <w:spacing w:after="0" w:line="240" w:lineRule="auto"/>
        <w:jc w:val="both"/>
        <w:rPr>
          <w:rFonts w:ascii="Arial" w:eastAsia="Arial" w:hAnsi="Arial" w:cs="Arial"/>
          <w:bCs/>
          <w:color w:val="000000" w:themeColor="text1"/>
          <w:sz w:val="22"/>
          <w:szCs w:val="22"/>
        </w:rPr>
      </w:pPr>
      <w:r w:rsidRPr="00B710A9">
        <w:rPr>
          <w:rFonts w:ascii="Arial" w:eastAsia="Arial" w:hAnsi="Arial" w:cs="Arial"/>
          <w:bCs/>
          <w:color w:val="000000" w:themeColor="text1"/>
          <w:sz w:val="22"/>
          <w:szCs w:val="22"/>
        </w:rPr>
        <w:t xml:space="preserve">Durante el primer semestre del año </w:t>
      </w:r>
      <w:r w:rsidR="00645AD1" w:rsidRPr="00B710A9">
        <w:rPr>
          <w:rFonts w:ascii="Arial" w:eastAsia="Arial" w:hAnsi="Arial" w:cs="Arial"/>
          <w:bCs/>
          <w:color w:val="000000" w:themeColor="text1"/>
          <w:sz w:val="22"/>
          <w:szCs w:val="22"/>
        </w:rPr>
        <w:t xml:space="preserve">2022 </w:t>
      </w:r>
      <w:r w:rsidR="00A146C7" w:rsidRPr="00B710A9">
        <w:rPr>
          <w:rFonts w:ascii="Arial" w:eastAsia="Arial" w:hAnsi="Arial" w:cs="Arial"/>
          <w:bCs/>
          <w:color w:val="000000" w:themeColor="text1"/>
          <w:sz w:val="22"/>
          <w:szCs w:val="22"/>
        </w:rPr>
        <w:t>el Instituto</w:t>
      </w:r>
      <w:r w:rsidR="4D535E79" w:rsidRPr="00B710A9">
        <w:rPr>
          <w:rFonts w:ascii="Arial" w:eastAsia="Arial" w:hAnsi="Arial" w:cs="Arial"/>
          <w:bCs/>
          <w:color w:val="000000" w:themeColor="text1"/>
          <w:sz w:val="22"/>
          <w:szCs w:val="22"/>
        </w:rPr>
        <w:t xml:space="preserve"> suscribi</w:t>
      </w:r>
      <w:r w:rsidR="00A146C7" w:rsidRPr="00B710A9">
        <w:rPr>
          <w:rFonts w:ascii="Arial" w:eastAsia="Arial" w:hAnsi="Arial" w:cs="Arial"/>
          <w:bCs/>
          <w:color w:val="000000" w:themeColor="text1"/>
          <w:sz w:val="22"/>
          <w:szCs w:val="22"/>
        </w:rPr>
        <w:t>ó</w:t>
      </w:r>
      <w:r w:rsidRPr="00B710A9">
        <w:rPr>
          <w:rFonts w:ascii="Arial" w:eastAsia="Arial" w:hAnsi="Arial" w:cs="Arial"/>
          <w:bCs/>
          <w:color w:val="000000" w:themeColor="text1"/>
          <w:sz w:val="22"/>
          <w:szCs w:val="22"/>
        </w:rPr>
        <w:t xml:space="preserve"> 1.</w:t>
      </w:r>
      <w:r w:rsidR="4D535E79" w:rsidRPr="00B710A9">
        <w:rPr>
          <w:rFonts w:ascii="Arial" w:eastAsia="Arial" w:hAnsi="Arial" w:cs="Arial"/>
          <w:bCs/>
          <w:color w:val="000000" w:themeColor="text1"/>
          <w:sz w:val="22"/>
          <w:szCs w:val="22"/>
        </w:rPr>
        <w:t>278</w:t>
      </w:r>
      <w:r w:rsidRPr="00B710A9">
        <w:rPr>
          <w:rFonts w:ascii="Arial" w:eastAsia="Arial" w:hAnsi="Arial" w:cs="Arial"/>
          <w:bCs/>
          <w:color w:val="000000" w:themeColor="text1"/>
          <w:sz w:val="22"/>
          <w:szCs w:val="22"/>
        </w:rPr>
        <w:t xml:space="preserve"> contratos</w:t>
      </w:r>
      <w:r w:rsidR="00A146C7" w:rsidRPr="00B710A9">
        <w:rPr>
          <w:rFonts w:ascii="Arial" w:eastAsia="Arial" w:hAnsi="Arial" w:cs="Arial"/>
          <w:bCs/>
          <w:color w:val="000000" w:themeColor="text1"/>
          <w:sz w:val="22"/>
          <w:szCs w:val="22"/>
        </w:rPr>
        <w:t>.</w:t>
      </w:r>
      <w:r w:rsidRPr="00B710A9">
        <w:rPr>
          <w:rFonts w:ascii="Arial" w:eastAsia="Arial" w:hAnsi="Arial" w:cs="Arial"/>
          <w:bCs/>
          <w:color w:val="000000" w:themeColor="text1"/>
          <w:sz w:val="22"/>
          <w:szCs w:val="22"/>
          <w:lang w:val="es"/>
        </w:rPr>
        <w:t xml:space="preserve"> A continuación, se relacionan los diferentes tipos de contratación:</w:t>
      </w:r>
    </w:p>
    <w:p w14:paraId="7C3A2DB1" w14:textId="7292AED8" w:rsidR="006948A6" w:rsidRPr="00B710A9" w:rsidRDefault="006948A6" w:rsidP="006948A6">
      <w:pPr>
        <w:keepNext/>
        <w:spacing w:after="0" w:line="240" w:lineRule="auto"/>
        <w:jc w:val="both"/>
        <w:rPr>
          <w:rFonts w:ascii="Arial" w:eastAsia="Arial" w:hAnsi="Arial" w:cs="Arial"/>
          <w:b/>
          <w:color w:val="000000" w:themeColor="text1"/>
          <w:sz w:val="22"/>
          <w:szCs w:val="22"/>
          <w:lang w:val="es"/>
        </w:rPr>
      </w:pPr>
      <w:r w:rsidRPr="00B710A9">
        <w:rPr>
          <w:rFonts w:ascii="Arial" w:eastAsia="Arial" w:hAnsi="Arial" w:cs="Arial"/>
          <w:b/>
          <w:color w:val="000000" w:themeColor="text1"/>
          <w:sz w:val="22"/>
          <w:szCs w:val="22"/>
          <w:lang w:val="es"/>
        </w:rPr>
        <w:t xml:space="preserve"> </w:t>
      </w:r>
    </w:p>
    <w:p w14:paraId="1802E87F" w14:textId="77777777" w:rsidR="00645AD1" w:rsidRPr="00B710A9" w:rsidRDefault="00645AD1" w:rsidP="009D279A">
      <w:pPr>
        <w:keepNext/>
        <w:spacing w:after="0" w:line="240" w:lineRule="auto"/>
        <w:jc w:val="center"/>
        <w:rPr>
          <w:rFonts w:ascii="Arial" w:eastAsia="Arial" w:hAnsi="Arial" w:cs="Arial"/>
          <w:sz w:val="22"/>
          <w:szCs w:val="22"/>
        </w:rPr>
      </w:pPr>
    </w:p>
    <w:p w14:paraId="0EB23EEF" w14:textId="1B1105DD" w:rsidR="007F2FBF" w:rsidRPr="00B710A9" w:rsidRDefault="007F2FBF" w:rsidP="007F2FBF">
      <w:pPr>
        <w:pStyle w:val="Descripcin"/>
        <w:keepNext/>
        <w:jc w:val="center"/>
        <w:rPr>
          <w:rFonts w:ascii="Arial" w:hAnsi="Arial" w:cs="Arial"/>
          <w:b/>
          <w:bCs/>
          <w:i w:val="0"/>
          <w:iCs w:val="0"/>
          <w:color w:val="000000" w:themeColor="text1"/>
          <w:sz w:val="16"/>
          <w:szCs w:val="16"/>
        </w:rPr>
      </w:pPr>
      <w:bookmarkStart w:id="79" w:name="_Toc109057761"/>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31</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Contratos suscritos a junio de 2022</w:t>
      </w:r>
      <w:bookmarkEnd w:id="79"/>
    </w:p>
    <w:tbl>
      <w:tblPr>
        <w:tblStyle w:val="Tablaconcuadrcula4-nfasis1"/>
        <w:tblW w:w="8670" w:type="dxa"/>
        <w:tblLook w:val="04A0" w:firstRow="1" w:lastRow="0" w:firstColumn="1" w:lastColumn="0" w:noHBand="0" w:noVBand="1"/>
      </w:tblPr>
      <w:tblGrid>
        <w:gridCol w:w="2670"/>
        <w:gridCol w:w="1980"/>
        <w:gridCol w:w="4020"/>
      </w:tblGrid>
      <w:tr w:rsidR="009313A0" w:rsidRPr="00B710A9" w14:paraId="52CCAA3D" w14:textId="77777777" w:rsidTr="007F2FB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70" w:type="dxa"/>
            <w:gridSpan w:val="3"/>
            <w:hideMark/>
          </w:tcPr>
          <w:p w14:paraId="7E4C5E5A" w14:textId="570C917A" w:rsidR="009313A0" w:rsidRPr="00B710A9" w:rsidRDefault="00263A22" w:rsidP="00E10BEF">
            <w:pPr>
              <w:jc w:val="center"/>
              <w:textAlignment w:val="baseline"/>
              <w:divId w:val="1852796476"/>
            </w:pPr>
            <w:r w:rsidRPr="00B710A9">
              <w:rPr>
                <w:rFonts w:ascii="Arial" w:eastAsia="Arial" w:hAnsi="Arial" w:cs="Arial"/>
                <w:color w:val="auto"/>
                <w:sz w:val="20"/>
                <w:szCs w:val="20"/>
              </w:rPr>
              <w:t xml:space="preserve">VIGENCIA 2022 </w:t>
            </w:r>
            <w:r w:rsidR="00E10BEF" w:rsidRPr="00B710A9">
              <w:rPr>
                <w:rFonts w:ascii="Arial" w:eastAsia="Arial" w:hAnsi="Arial" w:cs="Arial"/>
                <w:color w:val="auto"/>
                <w:sz w:val="20"/>
                <w:szCs w:val="20"/>
              </w:rPr>
              <w:t>–</w:t>
            </w:r>
            <w:r w:rsidRPr="00B710A9">
              <w:rPr>
                <w:rFonts w:ascii="Arial" w:eastAsia="Arial" w:hAnsi="Arial" w:cs="Arial"/>
                <w:color w:val="auto"/>
                <w:sz w:val="20"/>
                <w:szCs w:val="20"/>
              </w:rPr>
              <w:t xml:space="preserve"> </w:t>
            </w:r>
            <w:r w:rsidR="00E10BEF" w:rsidRPr="00B710A9">
              <w:rPr>
                <w:rFonts w:ascii="Arial" w:eastAsia="Arial" w:hAnsi="Arial" w:cs="Arial"/>
                <w:color w:val="auto"/>
                <w:sz w:val="20"/>
                <w:szCs w:val="20"/>
              </w:rPr>
              <w:t>Corte junio 2022</w:t>
            </w:r>
          </w:p>
        </w:tc>
      </w:tr>
      <w:tr w:rsidR="009313A0" w:rsidRPr="00B710A9" w14:paraId="7B8E98D5" w14:textId="77777777" w:rsidTr="007F2F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0" w:type="dxa"/>
            <w:hideMark/>
          </w:tcPr>
          <w:p w14:paraId="10ABD6A1" w14:textId="77777777" w:rsidR="009313A0" w:rsidRPr="00B710A9" w:rsidRDefault="009313A0" w:rsidP="009313A0">
            <w:pPr>
              <w:jc w:val="center"/>
              <w:textAlignment w:val="baseline"/>
              <w:rPr>
                <w:rFonts w:ascii="Arial" w:eastAsia="Arial" w:hAnsi="Arial" w:cs="Arial"/>
                <w:sz w:val="20"/>
                <w:szCs w:val="20"/>
              </w:rPr>
            </w:pPr>
            <w:r w:rsidRPr="00B710A9">
              <w:rPr>
                <w:rFonts w:ascii="Arial" w:eastAsia="Arial" w:hAnsi="Arial" w:cs="Arial"/>
                <w:sz w:val="20"/>
                <w:szCs w:val="20"/>
              </w:rPr>
              <w:t>MODALIDAD DE CONTRATACION </w:t>
            </w:r>
          </w:p>
        </w:tc>
        <w:tc>
          <w:tcPr>
            <w:tcW w:w="1980" w:type="dxa"/>
            <w:hideMark/>
          </w:tcPr>
          <w:p w14:paraId="2B55AA9E" w14:textId="77777777" w:rsidR="009313A0" w:rsidRPr="00B710A9" w:rsidRDefault="009313A0" w:rsidP="009313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r w:rsidRPr="00B710A9">
              <w:rPr>
                <w:rFonts w:ascii="Arial" w:eastAsia="Arial" w:hAnsi="Arial" w:cs="Arial"/>
                <w:b/>
                <w:sz w:val="20"/>
                <w:szCs w:val="20"/>
              </w:rPr>
              <w:t>CANTIDAD DE CONTRATOS </w:t>
            </w:r>
          </w:p>
        </w:tc>
        <w:tc>
          <w:tcPr>
            <w:tcW w:w="4020" w:type="dxa"/>
            <w:hideMark/>
          </w:tcPr>
          <w:p w14:paraId="107F37DB" w14:textId="77777777" w:rsidR="009313A0" w:rsidRPr="00B710A9" w:rsidRDefault="009313A0" w:rsidP="009313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r w:rsidRPr="00B710A9">
              <w:rPr>
                <w:rFonts w:ascii="Arial" w:eastAsia="Arial" w:hAnsi="Arial" w:cs="Arial"/>
                <w:b/>
                <w:sz w:val="20"/>
                <w:szCs w:val="20"/>
              </w:rPr>
              <w:t>VALOR TOTAL </w:t>
            </w:r>
          </w:p>
        </w:tc>
      </w:tr>
      <w:tr w:rsidR="009313A0" w:rsidRPr="00B710A9" w14:paraId="330B5613" w14:textId="77777777" w:rsidTr="007F2FBF">
        <w:trPr>
          <w:trHeight w:val="315"/>
        </w:trPr>
        <w:tc>
          <w:tcPr>
            <w:cnfStyle w:val="001000000000" w:firstRow="0" w:lastRow="0" w:firstColumn="1" w:lastColumn="0" w:oddVBand="0" w:evenVBand="0" w:oddHBand="0" w:evenHBand="0" w:firstRowFirstColumn="0" w:firstRowLastColumn="0" w:lastRowFirstColumn="0" w:lastRowLastColumn="0"/>
            <w:tcW w:w="2670" w:type="dxa"/>
            <w:hideMark/>
          </w:tcPr>
          <w:p w14:paraId="288A2023" w14:textId="77777777" w:rsidR="009313A0" w:rsidRPr="00B710A9" w:rsidRDefault="009313A0" w:rsidP="009313A0">
            <w:pPr>
              <w:jc w:val="center"/>
              <w:textAlignment w:val="baseline"/>
              <w:rPr>
                <w:rFonts w:ascii="Arial" w:eastAsia="Arial" w:hAnsi="Arial" w:cs="Arial"/>
                <w:sz w:val="20"/>
                <w:szCs w:val="20"/>
              </w:rPr>
            </w:pPr>
            <w:r w:rsidRPr="00B710A9">
              <w:rPr>
                <w:rFonts w:ascii="Arial" w:eastAsia="Arial" w:hAnsi="Arial" w:cs="Arial"/>
                <w:sz w:val="20"/>
                <w:szCs w:val="20"/>
              </w:rPr>
              <w:t>CONTRATACIÓN DIRECTA </w:t>
            </w:r>
          </w:p>
        </w:tc>
        <w:tc>
          <w:tcPr>
            <w:tcW w:w="1980" w:type="dxa"/>
            <w:hideMark/>
          </w:tcPr>
          <w:p w14:paraId="55FFA2D3" w14:textId="77777777" w:rsidR="009313A0" w:rsidRPr="00B710A9" w:rsidRDefault="009313A0" w:rsidP="009313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B710A9">
              <w:rPr>
                <w:rFonts w:ascii="Arial" w:eastAsia="Arial" w:hAnsi="Arial" w:cs="Arial"/>
                <w:b/>
                <w:sz w:val="20"/>
                <w:szCs w:val="20"/>
              </w:rPr>
              <w:t>1.216 </w:t>
            </w:r>
          </w:p>
        </w:tc>
        <w:tc>
          <w:tcPr>
            <w:tcW w:w="4020" w:type="dxa"/>
            <w:hideMark/>
          </w:tcPr>
          <w:p w14:paraId="4B1656C3" w14:textId="7F7790AE" w:rsidR="009313A0" w:rsidRPr="00B710A9" w:rsidRDefault="009313A0" w:rsidP="009313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0"/>
                <w:szCs w:val="20"/>
              </w:rPr>
            </w:pPr>
            <w:r w:rsidRPr="00B710A9">
              <w:rPr>
                <w:rFonts w:ascii="Arial" w:eastAsia="Arial" w:hAnsi="Arial" w:cs="Arial"/>
                <w:bCs/>
                <w:sz w:val="20"/>
                <w:szCs w:val="20"/>
              </w:rPr>
              <w:t>$ 59.609.768.753,09 </w:t>
            </w:r>
          </w:p>
        </w:tc>
      </w:tr>
      <w:tr w:rsidR="009313A0" w:rsidRPr="00B710A9" w14:paraId="7403C151" w14:textId="77777777" w:rsidTr="007F2F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hideMark/>
          </w:tcPr>
          <w:p w14:paraId="54F1EB92" w14:textId="77777777" w:rsidR="009313A0" w:rsidRPr="00B710A9" w:rsidRDefault="009313A0" w:rsidP="009313A0">
            <w:pPr>
              <w:jc w:val="center"/>
              <w:textAlignment w:val="baseline"/>
              <w:rPr>
                <w:rFonts w:ascii="Arial" w:eastAsia="Arial" w:hAnsi="Arial" w:cs="Arial"/>
                <w:sz w:val="20"/>
                <w:szCs w:val="20"/>
              </w:rPr>
            </w:pPr>
            <w:r w:rsidRPr="00B710A9">
              <w:rPr>
                <w:rFonts w:ascii="Arial" w:eastAsia="Arial" w:hAnsi="Arial" w:cs="Arial"/>
                <w:sz w:val="20"/>
                <w:szCs w:val="20"/>
              </w:rPr>
              <w:t>LICITACION </w:t>
            </w:r>
          </w:p>
        </w:tc>
        <w:tc>
          <w:tcPr>
            <w:tcW w:w="1980" w:type="dxa"/>
            <w:hideMark/>
          </w:tcPr>
          <w:p w14:paraId="5FE7239E" w14:textId="77777777" w:rsidR="009313A0" w:rsidRPr="00B710A9" w:rsidRDefault="009313A0" w:rsidP="009313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20"/>
                <w:szCs w:val="20"/>
              </w:rPr>
            </w:pPr>
            <w:r w:rsidRPr="00B710A9">
              <w:rPr>
                <w:rFonts w:ascii="Arial" w:eastAsia="Arial" w:hAnsi="Arial" w:cs="Arial"/>
                <w:bCs/>
                <w:sz w:val="20"/>
                <w:szCs w:val="20"/>
              </w:rPr>
              <w:t>4 </w:t>
            </w:r>
          </w:p>
        </w:tc>
        <w:tc>
          <w:tcPr>
            <w:tcW w:w="4020" w:type="dxa"/>
            <w:hideMark/>
          </w:tcPr>
          <w:p w14:paraId="414E4D99" w14:textId="7F202C62" w:rsidR="009313A0" w:rsidRPr="00B710A9" w:rsidRDefault="009313A0" w:rsidP="009313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20"/>
                <w:szCs w:val="20"/>
              </w:rPr>
            </w:pPr>
            <w:r w:rsidRPr="00B710A9">
              <w:rPr>
                <w:rFonts w:ascii="Arial" w:eastAsia="Arial" w:hAnsi="Arial" w:cs="Arial"/>
                <w:bCs/>
                <w:sz w:val="20"/>
                <w:szCs w:val="20"/>
              </w:rPr>
              <w:t>$ 24.147.316,72 </w:t>
            </w:r>
          </w:p>
        </w:tc>
      </w:tr>
      <w:tr w:rsidR="009313A0" w:rsidRPr="00B710A9" w14:paraId="6966C714" w14:textId="77777777" w:rsidTr="007F2FBF">
        <w:trPr>
          <w:trHeight w:val="300"/>
        </w:trPr>
        <w:tc>
          <w:tcPr>
            <w:cnfStyle w:val="001000000000" w:firstRow="0" w:lastRow="0" w:firstColumn="1" w:lastColumn="0" w:oddVBand="0" w:evenVBand="0" w:oddHBand="0" w:evenHBand="0" w:firstRowFirstColumn="0" w:firstRowLastColumn="0" w:lastRowFirstColumn="0" w:lastRowLastColumn="0"/>
            <w:tcW w:w="2670" w:type="dxa"/>
            <w:hideMark/>
          </w:tcPr>
          <w:p w14:paraId="4F1C3F5B" w14:textId="77777777" w:rsidR="009313A0" w:rsidRPr="00B710A9" w:rsidRDefault="009313A0" w:rsidP="009313A0">
            <w:pPr>
              <w:jc w:val="center"/>
              <w:textAlignment w:val="baseline"/>
              <w:rPr>
                <w:rFonts w:ascii="Arial" w:eastAsia="Arial" w:hAnsi="Arial" w:cs="Arial"/>
                <w:sz w:val="20"/>
                <w:szCs w:val="20"/>
              </w:rPr>
            </w:pPr>
            <w:r w:rsidRPr="00B710A9">
              <w:rPr>
                <w:rFonts w:ascii="Arial" w:eastAsia="Arial" w:hAnsi="Arial" w:cs="Arial"/>
                <w:sz w:val="20"/>
                <w:szCs w:val="20"/>
              </w:rPr>
              <w:t>MINIMA CUANTIA </w:t>
            </w:r>
          </w:p>
        </w:tc>
        <w:tc>
          <w:tcPr>
            <w:tcW w:w="1980" w:type="dxa"/>
            <w:hideMark/>
          </w:tcPr>
          <w:p w14:paraId="09B75483" w14:textId="77777777" w:rsidR="009313A0" w:rsidRPr="00B710A9" w:rsidRDefault="009313A0" w:rsidP="009313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0"/>
                <w:szCs w:val="20"/>
              </w:rPr>
            </w:pPr>
            <w:r w:rsidRPr="00B710A9">
              <w:rPr>
                <w:rFonts w:ascii="Arial" w:eastAsia="Arial" w:hAnsi="Arial" w:cs="Arial"/>
                <w:bCs/>
                <w:sz w:val="20"/>
                <w:szCs w:val="20"/>
              </w:rPr>
              <w:t>12 </w:t>
            </w:r>
          </w:p>
        </w:tc>
        <w:tc>
          <w:tcPr>
            <w:tcW w:w="4020" w:type="dxa"/>
            <w:hideMark/>
          </w:tcPr>
          <w:p w14:paraId="5931DFE2" w14:textId="716C313A" w:rsidR="009313A0" w:rsidRPr="00B710A9" w:rsidRDefault="009313A0" w:rsidP="009313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0"/>
                <w:szCs w:val="20"/>
              </w:rPr>
            </w:pPr>
            <w:r w:rsidRPr="00B710A9">
              <w:rPr>
                <w:rFonts w:ascii="Arial" w:eastAsia="Arial" w:hAnsi="Arial" w:cs="Arial"/>
                <w:bCs/>
                <w:sz w:val="20"/>
                <w:szCs w:val="20"/>
              </w:rPr>
              <w:t>$ 322.511.360,7 </w:t>
            </w:r>
          </w:p>
        </w:tc>
      </w:tr>
      <w:tr w:rsidR="009313A0" w:rsidRPr="00B710A9" w14:paraId="22D22E3B" w14:textId="77777777" w:rsidTr="007F2F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hideMark/>
          </w:tcPr>
          <w:p w14:paraId="26F02C46" w14:textId="3A36FFE6" w:rsidR="009313A0" w:rsidRPr="00B710A9" w:rsidRDefault="009313A0" w:rsidP="009313A0">
            <w:pPr>
              <w:jc w:val="center"/>
              <w:textAlignment w:val="baseline"/>
              <w:rPr>
                <w:rFonts w:ascii="Arial" w:eastAsia="Arial" w:hAnsi="Arial" w:cs="Arial"/>
                <w:sz w:val="20"/>
                <w:szCs w:val="20"/>
              </w:rPr>
            </w:pPr>
            <w:r w:rsidRPr="00B710A9">
              <w:rPr>
                <w:rFonts w:ascii="Arial" w:eastAsia="Arial" w:hAnsi="Arial" w:cs="Arial"/>
                <w:sz w:val="20"/>
                <w:szCs w:val="20"/>
              </w:rPr>
              <w:t xml:space="preserve">SELECCION </w:t>
            </w:r>
            <w:r w:rsidR="00D555FF" w:rsidRPr="00B710A9">
              <w:rPr>
                <w:rFonts w:ascii="Arial" w:eastAsia="Arial" w:hAnsi="Arial" w:cs="Arial"/>
                <w:sz w:val="20"/>
                <w:szCs w:val="20"/>
              </w:rPr>
              <w:t>ABREVIADA -</w:t>
            </w:r>
            <w:r w:rsidRPr="00B710A9">
              <w:rPr>
                <w:rFonts w:ascii="Arial" w:eastAsia="Arial" w:hAnsi="Arial" w:cs="Arial"/>
                <w:sz w:val="20"/>
                <w:szCs w:val="20"/>
              </w:rPr>
              <w:t xml:space="preserve"> ACUERDO MARCO DE PRECIOS </w:t>
            </w:r>
          </w:p>
        </w:tc>
        <w:tc>
          <w:tcPr>
            <w:tcW w:w="1980" w:type="dxa"/>
            <w:hideMark/>
          </w:tcPr>
          <w:p w14:paraId="66DF4362" w14:textId="77777777" w:rsidR="009313A0" w:rsidRPr="00B710A9" w:rsidRDefault="009313A0" w:rsidP="009313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20"/>
                <w:szCs w:val="20"/>
              </w:rPr>
            </w:pPr>
            <w:r w:rsidRPr="00B710A9">
              <w:rPr>
                <w:rFonts w:ascii="Arial" w:eastAsia="Arial" w:hAnsi="Arial" w:cs="Arial"/>
                <w:bCs/>
                <w:sz w:val="20"/>
                <w:szCs w:val="20"/>
              </w:rPr>
              <w:t>25 </w:t>
            </w:r>
          </w:p>
        </w:tc>
        <w:tc>
          <w:tcPr>
            <w:tcW w:w="4020" w:type="dxa"/>
            <w:hideMark/>
          </w:tcPr>
          <w:p w14:paraId="1E28EB28" w14:textId="2802FEA2" w:rsidR="009313A0" w:rsidRPr="00B710A9" w:rsidRDefault="009313A0" w:rsidP="009313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20"/>
                <w:szCs w:val="20"/>
              </w:rPr>
            </w:pPr>
            <w:r w:rsidRPr="00B710A9">
              <w:rPr>
                <w:rFonts w:ascii="Arial" w:eastAsia="Arial" w:hAnsi="Arial" w:cs="Arial"/>
                <w:bCs/>
                <w:sz w:val="20"/>
                <w:szCs w:val="20"/>
              </w:rPr>
              <w:t>$ 12.015.050.596,88 </w:t>
            </w:r>
          </w:p>
        </w:tc>
      </w:tr>
      <w:tr w:rsidR="009313A0" w:rsidRPr="00B710A9" w14:paraId="7CF6F92E" w14:textId="77777777" w:rsidTr="007F2FBF">
        <w:trPr>
          <w:trHeight w:val="300"/>
        </w:trPr>
        <w:tc>
          <w:tcPr>
            <w:cnfStyle w:val="001000000000" w:firstRow="0" w:lastRow="0" w:firstColumn="1" w:lastColumn="0" w:oddVBand="0" w:evenVBand="0" w:oddHBand="0" w:evenHBand="0" w:firstRowFirstColumn="0" w:firstRowLastColumn="0" w:lastRowFirstColumn="0" w:lastRowLastColumn="0"/>
            <w:tcW w:w="2670" w:type="dxa"/>
            <w:hideMark/>
          </w:tcPr>
          <w:p w14:paraId="744458F5" w14:textId="77777777" w:rsidR="009313A0" w:rsidRPr="00B710A9" w:rsidRDefault="009313A0" w:rsidP="009313A0">
            <w:pPr>
              <w:jc w:val="center"/>
              <w:textAlignment w:val="baseline"/>
              <w:rPr>
                <w:rFonts w:ascii="Arial" w:eastAsia="Arial" w:hAnsi="Arial" w:cs="Arial"/>
                <w:sz w:val="20"/>
                <w:szCs w:val="20"/>
              </w:rPr>
            </w:pPr>
            <w:r w:rsidRPr="00B710A9">
              <w:rPr>
                <w:rFonts w:ascii="Arial" w:eastAsia="Arial" w:hAnsi="Arial" w:cs="Arial"/>
                <w:sz w:val="20"/>
                <w:szCs w:val="20"/>
              </w:rPr>
              <w:t>SELECCION ABREVIADA - MENOR CUANTIA </w:t>
            </w:r>
          </w:p>
        </w:tc>
        <w:tc>
          <w:tcPr>
            <w:tcW w:w="1980" w:type="dxa"/>
            <w:hideMark/>
          </w:tcPr>
          <w:p w14:paraId="7D15B2CD" w14:textId="77777777" w:rsidR="009313A0" w:rsidRPr="00B710A9" w:rsidRDefault="009313A0" w:rsidP="009313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0"/>
                <w:szCs w:val="20"/>
              </w:rPr>
            </w:pPr>
            <w:r w:rsidRPr="00B710A9">
              <w:rPr>
                <w:rFonts w:ascii="Arial" w:eastAsia="Arial" w:hAnsi="Arial" w:cs="Arial"/>
                <w:bCs/>
                <w:sz w:val="20"/>
                <w:szCs w:val="20"/>
              </w:rPr>
              <w:t>5 </w:t>
            </w:r>
          </w:p>
        </w:tc>
        <w:tc>
          <w:tcPr>
            <w:tcW w:w="4020" w:type="dxa"/>
            <w:hideMark/>
          </w:tcPr>
          <w:p w14:paraId="44794FCB" w14:textId="7A072457" w:rsidR="009313A0" w:rsidRPr="00B710A9" w:rsidRDefault="009313A0" w:rsidP="009313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0"/>
                <w:szCs w:val="20"/>
              </w:rPr>
            </w:pPr>
            <w:r w:rsidRPr="00B710A9">
              <w:rPr>
                <w:rFonts w:ascii="Arial" w:eastAsia="Arial" w:hAnsi="Arial" w:cs="Arial"/>
                <w:bCs/>
                <w:sz w:val="20"/>
                <w:szCs w:val="20"/>
              </w:rPr>
              <w:t>$ 771.284.999</w:t>
            </w:r>
          </w:p>
        </w:tc>
      </w:tr>
      <w:tr w:rsidR="009313A0" w:rsidRPr="00B710A9" w14:paraId="424CF787" w14:textId="77777777" w:rsidTr="007F2F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0" w:type="dxa"/>
            <w:hideMark/>
          </w:tcPr>
          <w:p w14:paraId="29C26322" w14:textId="77777777" w:rsidR="009313A0" w:rsidRPr="00B710A9" w:rsidRDefault="009313A0" w:rsidP="009313A0">
            <w:pPr>
              <w:jc w:val="center"/>
              <w:textAlignment w:val="baseline"/>
              <w:rPr>
                <w:rFonts w:ascii="Arial" w:eastAsia="Arial" w:hAnsi="Arial" w:cs="Arial"/>
                <w:sz w:val="20"/>
                <w:szCs w:val="20"/>
              </w:rPr>
            </w:pPr>
            <w:r w:rsidRPr="00B710A9">
              <w:rPr>
                <w:rFonts w:ascii="Arial" w:eastAsia="Arial" w:hAnsi="Arial" w:cs="Arial"/>
                <w:sz w:val="20"/>
                <w:szCs w:val="20"/>
              </w:rPr>
              <w:t>SELECCION ABREVIADA - SUBASTA INVERSA ELECTRONICA </w:t>
            </w:r>
          </w:p>
        </w:tc>
        <w:tc>
          <w:tcPr>
            <w:tcW w:w="1980" w:type="dxa"/>
            <w:hideMark/>
          </w:tcPr>
          <w:p w14:paraId="2161C7ED" w14:textId="77777777" w:rsidR="009313A0" w:rsidRPr="00B710A9" w:rsidRDefault="009313A0" w:rsidP="009313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20"/>
                <w:szCs w:val="20"/>
              </w:rPr>
            </w:pPr>
            <w:r w:rsidRPr="00B710A9">
              <w:rPr>
                <w:rFonts w:ascii="Arial" w:eastAsia="Arial" w:hAnsi="Arial" w:cs="Arial"/>
                <w:bCs/>
                <w:sz w:val="20"/>
                <w:szCs w:val="20"/>
              </w:rPr>
              <w:t>16 </w:t>
            </w:r>
          </w:p>
        </w:tc>
        <w:tc>
          <w:tcPr>
            <w:tcW w:w="4020" w:type="dxa"/>
            <w:hideMark/>
          </w:tcPr>
          <w:p w14:paraId="3F3F87E5" w14:textId="31C3B926" w:rsidR="009313A0" w:rsidRPr="00B710A9" w:rsidRDefault="009313A0" w:rsidP="009313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20"/>
                <w:szCs w:val="20"/>
              </w:rPr>
            </w:pPr>
            <w:r w:rsidRPr="00B710A9">
              <w:rPr>
                <w:rFonts w:ascii="Arial" w:eastAsia="Arial" w:hAnsi="Arial" w:cs="Arial"/>
                <w:bCs/>
                <w:sz w:val="20"/>
                <w:szCs w:val="20"/>
              </w:rPr>
              <w:t>$ 1.131.117.481,00 </w:t>
            </w:r>
          </w:p>
          <w:p w14:paraId="034D29E5" w14:textId="77777777" w:rsidR="009313A0" w:rsidRPr="00B710A9" w:rsidRDefault="009313A0" w:rsidP="009313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20"/>
                <w:szCs w:val="20"/>
              </w:rPr>
            </w:pPr>
            <w:r w:rsidRPr="00B710A9">
              <w:rPr>
                <w:rFonts w:ascii="Arial" w:eastAsia="Arial" w:hAnsi="Arial" w:cs="Arial"/>
                <w:bCs/>
                <w:sz w:val="20"/>
                <w:szCs w:val="20"/>
              </w:rPr>
              <w:t> </w:t>
            </w:r>
          </w:p>
        </w:tc>
      </w:tr>
      <w:tr w:rsidR="009313A0" w:rsidRPr="00B710A9" w14:paraId="4EAF8000" w14:textId="77777777" w:rsidTr="007F2FBF">
        <w:trPr>
          <w:trHeight w:val="315"/>
        </w:trPr>
        <w:tc>
          <w:tcPr>
            <w:cnfStyle w:val="001000000000" w:firstRow="0" w:lastRow="0" w:firstColumn="1" w:lastColumn="0" w:oddVBand="0" w:evenVBand="0" w:oddHBand="0" w:evenHBand="0" w:firstRowFirstColumn="0" w:firstRowLastColumn="0" w:lastRowFirstColumn="0" w:lastRowLastColumn="0"/>
            <w:tcW w:w="2670" w:type="dxa"/>
            <w:hideMark/>
          </w:tcPr>
          <w:p w14:paraId="1DC0DEDF" w14:textId="77777777" w:rsidR="009313A0" w:rsidRPr="00B710A9" w:rsidRDefault="009313A0" w:rsidP="009313A0">
            <w:pPr>
              <w:jc w:val="center"/>
              <w:textAlignment w:val="baseline"/>
              <w:rPr>
                <w:rFonts w:ascii="Arial" w:eastAsia="Arial" w:hAnsi="Arial" w:cs="Arial"/>
                <w:sz w:val="20"/>
                <w:szCs w:val="20"/>
              </w:rPr>
            </w:pPr>
            <w:proofErr w:type="gramStart"/>
            <w:r w:rsidRPr="00B710A9">
              <w:rPr>
                <w:rFonts w:ascii="Arial" w:eastAsia="Arial" w:hAnsi="Arial" w:cs="Arial"/>
                <w:sz w:val="20"/>
                <w:szCs w:val="20"/>
              </w:rPr>
              <w:t>TOTAL</w:t>
            </w:r>
            <w:proofErr w:type="gramEnd"/>
            <w:r w:rsidRPr="00B710A9">
              <w:rPr>
                <w:rFonts w:ascii="Arial" w:eastAsia="Arial" w:hAnsi="Arial" w:cs="Arial"/>
                <w:sz w:val="20"/>
                <w:szCs w:val="20"/>
              </w:rPr>
              <w:t xml:space="preserve"> GENERAL </w:t>
            </w:r>
          </w:p>
        </w:tc>
        <w:tc>
          <w:tcPr>
            <w:tcW w:w="1980" w:type="dxa"/>
            <w:hideMark/>
          </w:tcPr>
          <w:p w14:paraId="0B32DFEA" w14:textId="77777777" w:rsidR="009313A0" w:rsidRPr="00B710A9" w:rsidRDefault="009313A0" w:rsidP="009313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B710A9">
              <w:rPr>
                <w:rFonts w:ascii="Arial" w:eastAsia="Arial" w:hAnsi="Arial" w:cs="Arial"/>
                <w:b/>
                <w:sz w:val="20"/>
                <w:szCs w:val="20"/>
              </w:rPr>
              <w:t>1.278 </w:t>
            </w:r>
          </w:p>
        </w:tc>
        <w:tc>
          <w:tcPr>
            <w:tcW w:w="4020" w:type="dxa"/>
            <w:hideMark/>
          </w:tcPr>
          <w:p w14:paraId="39C4D1C0" w14:textId="5FDD4BD3" w:rsidR="009313A0" w:rsidRPr="00B710A9" w:rsidRDefault="009313A0" w:rsidP="009313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B710A9">
              <w:rPr>
                <w:rFonts w:ascii="Arial" w:eastAsia="Arial" w:hAnsi="Arial" w:cs="Arial"/>
                <w:b/>
                <w:sz w:val="20"/>
                <w:szCs w:val="20"/>
              </w:rPr>
              <w:t>$</w:t>
            </w:r>
            <w:r w:rsidR="00E10BEF" w:rsidRPr="00B710A9">
              <w:rPr>
                <w:rFonts w:ascii="Arial" w:eastAsia="Arial" w:hAnsi="Arial" w:cs="Arial"/>
                <w:b/>
                <w:sz w:val="20"/>
                <w:szCs w:val="20"/>
              </w:rPr>
              <w:t xml:space="preserve"> </w:t>
            </w:r>
            <w:r w:rsidRPr="00B710A9">
              <w:rPr>
                <w:rFonts w:ascii="Arial" w:eastAsia="Arial" w:hAnsi="Arial" w:cs="Arial"/>
                <w:b/>
                <w:sz w:val="20"/>
                <w:szCs w:val="20"/>
              </w:rPr>
              <w:t>73.873.880.507,39 </w:t>
            </w:r>
          </w:p>
        </w:tc>
      </w:tr>
    </w:tbl>
    <w:p w14:paraId="3DCE6441" w14:textId="77777777" w:rsidR="009313A0" w:rsidRPr="00B710A9" w:rsidRDefault="009313A0" w:rsidP="009313A0">
      <w:pPr>
        <w:spacing w:after="0" w:line="240" w:lineRule="auto"/>
        <w:jc w:val="center"/>
        <w:textAlignment w:val="baseline"/>
        <w:rPr>
          <w:rFonts w:ascii="Arial" w:eastAsia="Arial" w:hAnsi="Arial" w:cs="Arial"/>
          <w:b/>
          <w:sz w:val="16"/>
          <w:szCs w:val="16"/>
        </w:rPr>
      </w:pPr>
      <w:r w:rsidRPr="00B710A9">
        <w:rPr>
          <w:rFonts w:ascii="Arial" w:eastAsia="Arial" w:hAnsi="Arial" w:cs="Arial"/>
          <w:b/>
          <w:sz w:val="16"/>
          <w:szCs w:val="16"/>
        </w:rPr>
        <w:t>Fuente: IGAC </w:t>
      </w:r>
    </w:p>
    <w:p w14:paraId="5566C43F" w14:textId="77777777" w:rsidR="00645AD1" w:rsidRPr="00B710A9" w:rsidRDefault="00645AD1" w:rsidP="009D279A">
      <w:pPr>
        <w:keepNext/>
        <w:spacing w:after="0" w:line="240" w:lineRule="auto"/>
        <w:jc w:val="center"/>
        <w:rPr>
          <w:rFonts w:ascii="Arial" w:eastAsia="Arial" w:hAnsi="Arial" w:cs="Arial"/>
          <w:sz w:val="22"/>
          <w:szCs w:val="22"/>
        </w:rPr>
      </w:pPr>
    </w:p>
    <w:p w14:paraId="263F178B" w14:textId="63F9B2AB" w:rsidR="009313A0" w:rsidRPr="00B710A9" w:rsidRDefault="009313A0" w:rsidP="75FAD099">
      <w:pPr>
        <w:keepNext/>
        <w:spacing w:after="0" w:line="240" w:lineRule="auto"/>
        <w:rPr>
          <w:rFonts w:ascii="Arial" w:eastAsia="Arial" w:hAnsi="Arial" w:cs="Arial"/>
          <w:sz w:val="18"/>
          <w:szCs w:val="18"/>
        </w:rPr>
      </w:pPr>
      <w:r w:rsidRPr="00B710A9">
        <w:rPr>
          <w:rFonts w:ascii="Arial" w:eastAsia="Arial" w:hAnsi="Arial" w:cs="Arial"/>
          <w:sz w:val="18"/>
          <w:szCs w:val="18"/>
        </w:rPr>
        <w:t>Nota: No se encuentran incluidos contratos de obra pública</w:t>
      </w:r>
    </w:p>
    <w:p w14:paraId="6B36C501" w14:textId="77777777" w:rsidR="00645AD1" w:rsidRPr="00B710A9" w:rsidRDefault="00645AD1" w:rsidP="009D279A">
      <w:pPr>
        <w:keepNext/>
        <w:spacing w:after="0" w:line="240" w:lineRule="auto"/>
        <w:jc w:val="center"/>
        <w:rPr>
          <w:rFonts w:ascii="Arial" w:eastAsia="Arial" w:hAnsi="Arial" w:cs="Arial"/>
          <w:sz w:val="22"/>
          <w:szCs w:val="22"/>
        </w:rPr>
      </w:pPr>
    </w:p>
    <w:p w14:paraId="7A1631F8" w14:textId="77777777" w:rsidR="00645AD1" w:rsidRPr="00B710A9" w:rsidRDefault="00645AD1" w:rsidP="009D279A">
      <w:pPr>
        <w:keepNext/>
        <w:spacing w:after="0" w:line="240" w:lineRule="auto"/>
        <w:jc w:val="center"/>
        <w:rPr>
          <w:rFonts w:ascii="Arial" w:eastAsia="Arial" w:hAnsi="Arial" w:cs="Arial"/>
          <w:sz w:val="22"/>
          <w:szCs w:val="22"/>
        </w:rPr>
      </w:pPr>
    </w:p>
    <w:p w14:paraId="2F5A6AC6" w14:textId="0D023072" w:rsidR="008C4A23" w:rsidRPr="00B710A9" w:rsidRDefault="00526830" w:rsidP="009D279A">
      <w:pPr>
        <w:pStyle w:val="Ttulo2"/>
        <w:spacing w:before="0" w:after="0" w:line="240" w:lineRule="auto"/>
        <w:rPr>
          <w:rFonts w:ascii="Arial" w:hAnsi="Arial" w:cs="Arial"/>
          <w:color w:val="000000" w:themeColor="text1"/>
          <w:sz w:val="22"/>
          <w:szCs w:val="22"/>
        </w:rPr>
      </w:pPr>
      <w:bookmarkStart w:id="80" w:name="_Toc111485519"/>
      <w:r w:rsidRPr="00B710A9">
        <w:rPr>
          <w:rFonts w:ascii="Arial" w:hAnsi="Arial" w:cs="Arial"/>
          <w:color w:val="000000" w:themeColor="text1"/>
          <w:sz w:val="22"/>
          <w:szCs w:val="22"/>
        </w:rPr>
        <w:t>3.4</w:t>
      </w:r>
      <w:r w:rsidRPr="00B710A9">
        <w:rPr>
          <w:rFonts w:ascii="Arial" w:hAnsi="Arial" w:cs="Arial"/>
          <w:sz w:val="22"/>
          <w:szCs w:val="22"/>
        </w:rPr>
        <w:tab/>
      </w:r>
      <w:r w:rsidRPr="00B710A9">
        <w:rPr>
          <w:rFonts w:ascii="Arial" w:hAnsi="Arial" w:cs="Arial"/>
          <w:color w:val="000000" w:themeColor="text1"/>
          <w:sz w:val="22"/>
          <w:szCs w:val="22"/>
        </w:rPr>
        <w:t>Gestión del Talento Humano</w:t>
      </w:r>
      <w:bookmarkEnd w:id="80"/>
      <w:r w:rsidR="00423171" w:rsidRPr="00B710A9">
        <w:rPr>
          <w:rFonts w:ascii="Arial" w:hAnsi="Arial" w:cs="Arial"/>
          <w:color w:val="000000" w:themeColor="text1"/>
          <w:sz w:val="22"/>
          <w:szCs w:val="22"/>
        </w:rPr>
        <w:t xml:space="preserve"> </w:t>
      </w:r>
    </w:p>
    <w:p w14:paraId="1B4DC7DD" w14:textId="77777777" w:rsidR="00A0287C" w:rsidRPr="00B710A9" w:rsidRDefault="00A0287C" w:rsidP="009D279A">
      <w:pPr>
        <w:spacing w:after="0" w:line="240" w:lineRule="auto"/>
        <w:rPr>
          <w:rFonts w:ascii="Arial" w:hAnsi="Arial" w:cs="Arial"/>
          <w:color w:val="000000" w:themeColor="text1"/>
          <w:sz w:val="22"/>
          <w:szCs w:val="22"/>
        </w:rPr>
      </w:pPr>
    </w:p>
    <w:p w14:paraId="3ABEF663" w14:textId="1FB53BC9" w:rsidR="008C4A23" w:rsidRPr="00B710A9" w:rsidRDefault="00526830" w:rsidP="009D279A">
      <w:pPr>
        <w:spacing w:after="0" w:line="240" w:lineRule="auto"/>
        <w:ind w:left="360"/>
        <w:jc w:val="both"/>
        <w:rPr>
          <w:rFonts w:ascii="Arial" w:hAnsi="Arial" w:cs="Arial"/>
          <w:b/>
          <w:bCs/>
          <w:color w:val="000000" w:themeColor="text1"/>
          <w:sz w:val="22"/>
          <w:szCs w:val="22"/>
        </w:rPr>
      </w:pPr>
      <w:r w:rsidRPr="00B710A9">
        <w:rPr>
          <w:rFonts w:ascii="Arial" w:hAnsi="Arial" w:cs="Arial"/>
          <w:b/>
          <w:bCs/>
          <w:color w:val="000000" w:themeColor="text1"/>
          <w:sz w:val="22"/>
          <w:szCs w:val="22"/>
        </w:rPr>
        <w:t xml:space="preserve">3.4.1 Capacitación, bienestar e incentivos </w:t>
      </w:r>
    </w:p>
    <w:p w14:paraId="5EAF5D1E" w14:textId="77777777" w:rsidR="00A0287C" w:rsidRPr="00B710A9" w:rsidRDefault="00A0287C" w:rsidP="009D279A">
      <w:pPr>
        <w:spacing w:after="0" w:line="240" w:lineRule="auto"/>
        <w:ind w:left="360"/>
        <w:jc w:val="both"/>
        <w:rPr>
          <w:rFonts w:ascii="Arial" w:hAnsi="Arial" w:cs="Arial"/>
          <w:b/>
          <w:color w:val="000000" w:themeColor="text1"/>
          <w:sz w:val="22"/>
          <w:szCs w:val="22"/>
        </w:rPr>
      </w:pPr>
    </w:p>
    <w:p w14:paraId="4AFF003E" w14:textId="25F78EF6" w:rsidR="008C4A23" w:rsidRPr="00B710A9" w:rsidRDefault="00526830" w:rsidP="00356A3E">
      <w:pPr>
        <w:numPr>
          <w:ilvl w:val="0"/>
          <w:numId w:val="36"/>
        </w:numP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 xml:space="preserve"> </w:t>
      </w:r>
      <w:r w:rsidRPr="00B710A9">
        <w:rPr>
          <w:rFonts w:ascii="Arial" w:hAnsi="Arial" w:cs="Arial"/>
          <w:b/>
          <w:bCs/>
          <w:color w:val="000000" w:themeColor="text1"/>
          <w:sz w:val="22"/>
          <w:szCs w:val="22"/>
        </w:rPr>
        <w:t>Plan Institucional de Capacitación</w:t>
      </w:r>
      <w:r w:rsidR="00595C9B" w:rsidRPr="00B710A9">
        <w:rPr>
          <w:rFonts w:ascii="Arial" w:hAnsi="Arial" w:cs="Arial"/>
          <w:b/>
          <w:bCs/>
          <w:color w:val="000000" w:themeColor="text1"/>
          <w:sz w:val="22"/>
          <w:szCs w:val="22"/>
        </w:rPr>
        <w:t xml:space="preserve"> - PIC</w:t>
      </w:r>
    </w:p>
    <w:p w14:paraId="688457F8" w14:textId="2D6EE026" w:rsidR="19B98323" w:rsidRPr="00B710A9" w:rsidRDefault="19B98323" w:rsidP="009D279A">
      <w:pPr>
        <w:spacing w:after="0" w:line="240" w:lineRule="auto"/>
        <w:jc w:val="both"/>
        <w:rPr>
          <w:rFonts w:ascii="Arial" w:hAnsi="Arial" w:cs="Arial"/>
          <w:b/>
          <w:bCs/>
          <w:color w:val="000000" w:themeColor="text1"/>
          <w:sz w:val="22"/>
          <w:szCs w:val="22"/>
        </w:rPr>
      </w:pPr>
    </w:p>
    <w:p w14:paraId="199DCC6A" w14:textId="77777777" w:rsidR="00446F5D" w:rsidRPr="00B710A9" w:rsidRDefault="00446F5D" w:rsidP="009D279A">
      <w:pPr>
        <w:spacing w:after="0" w:line="240" w:lineRule="auto"/>
        <w:jc w:val="both"/>
        <w:rPr>
          <w:rFonts w:ascii="Arial" w:eastAsia="Segoe UI" w:hAnsi="Arial" w:cs="Arial"/>
          <w:color w:val="000000" w:themeColor="text1"/>
          <w:sz w:val="22"/>
          <w:szCs w:val="22"/>
        </w:rPr>
      </w:pPr>
    </w:p>
    <w:p w14:paraId="57E97FF2" w14:textId="10933256" w:rsidR="00446F5D" w:rsidRPr="00B710A9" w:rsidRDefault="00446F5D" w:rsidP="004C5175">
      <w:pPr>
        <w:spacing w:line="276" w:lineRule="auto"/>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En lo relacionado con las actividades del Plan Institucional de Capacitación, se reporta </w:t>
      </w:r>
      <w:r w:rsidR="005C7390" w:rsidRPr="00B710A9">
        <w:rPr>
          <w:rFonts w:ascii="Arial" w:eastAsia="Arial" w:hAnsi="Arial" w:cs="Arial"/>
          <w:color w:val="000000" w:themeColor="text1"/>
          <w:sz w:val="22"/>
          <w:szCs w:val="22"/>
          <w:lang w:val="es"/>
        </w:rPr>
        <w:t xml:space="preserve">un </w:t>
      </w:r>
      <w:r w:rsidRPr="00B710A9">
        <w:rPr>
          <w:rFonts w:ascii="Arial" w:eastAsia="Arial" w:hAnsi="Arial" w:cs="Arial"/>
          <w:color w:val="000000" w:themeColor="text1"/>
          <w:sz w:val="22"/>
          <w:szCs w:val="22"/>
          <w:lang w:val="es"/>
        </w:rPr>
        <w:t>porcentaje de cumplimiento en ejecución de actividades</w:t>
      </w:r>
      <w:r w:rsidR="00FB4A7D" w:rsidRPr="00B710A9">
        <w:rPr>
          <w:rFonts w:ascii="Arial" w:eastAsia="Arial" w:hAnsi="Arial" w:cs="Arial"/>
          <w:color w:val="000000" w:themeColor="text1"/>
          <w:sz w:val="22"/>
          <w:szCs w:val="22"/>
          <w:lang w:val="es"/>
        </w:rPr>
        <w:t xml:space="preserve"> </w:t>
      </w:r>
      <w:r w:rsidRPr="00B710A9">
        <w:rPr>
          <w:rFonts w:ascii="Arial" w:eastAsia="Arial" w:hAnsi="Arial" w:cs="Arial"/>
          <w:color w:val="000000" w:themeColor="text1"/>
          <w:sz w:val="22"/>
          <w:szCs w:val="22"/>
          <w:lang w:val="es"/>
        </w:rPr>
        <w:t xml:space="preserve">en 2021 </w:t>
      </w:r>
      <w:r w:rsidR="005C7390" w:rsidRPr="00B710A9">
        <w:rPr>
          <w:rFonts w:ascii="Arial" w:eastAsia="Arial" w:hAnsi="Arial" w:cs="Arial"/>
          <w:color w:val="000000" w:themeColor="text1"/>
          <w:sz w:val="22"/>
          <w:szCs w:val="22"/>
          <w:lang w:val="es"/>
        </w:rPr>
        <w:t>del</w:t>
      </w:r>
      <w:r w:rsidRPr="00B710A9">
        <w:rPr>
          <w:rFonts w:ascii="Arial" w:eastAsia="Arial" w:hAnsi="Arial" w:cs="Arial"/>
          <w:color w:val="000000" w:themeColor="text1"/>
          <w:sz w:val="22"/>
          <w:szCs w:val="22"/>
          <w:lang w:val="es"/>
        </w:rPr>
        <w:t xml:space="preserve"> 95%. Referente a la participación del talento humano del Instituto en las actividades de capacitación proyectadas, se resaltan las siguientes:</w:t>
      </w:r>
    </w:p>
    <w:p w14:paraId="06CE98B5" w14:textId="77777777" w:rsidR="00446F5D" w:rsidRPr="00B710A9" w:rsidRDefault="00446F5D" w:rsidP="009D279A">
      <w:pPr>
        <w:spacing w:after="0" w:line="240" w:lineRule="auto"/>
        <w:jc w:val="both"/>
        <w:rPr>
          <w:rFonts w:ascii="Arial" w:eastAsia="Segoe UI" w:hAnsi="Arial" w:cs="Arial"/>
          <w:color w:val="000000" w:themeColor="text1"/>
          <w:sz w:val="22"/>
          <w:szCs w:val="22"/>
        </w:rPr>
      </w:pPr>
    </w:p>
    <w:p w14:paraId="489A535B" w14:textId="7DB6B4FB" w:rsidR="00D05773" w:rsidRPr="00B710A9" w:rsidRDefault="007F2FBF" w:rsidP="007F2FBF">
      <w:pPr>
        <w:pStyle w:val="Descripcin"/>
        <w:keepNext/>
        <w:jc w:val="center"/>
        <w:rPr>
          <w:rFonts w:ascii="Arial" w:hAnsi="Arial" w:cs="Arial"/>
          <w:b/>
          <w:bCs/>
          <w:i w:val="0"/>
          <w:iCs w:val="0"/>
          <w:color w:val="000000" w:themeColor="text1"/>
          <w:sz w:val="16"/>
          <w:szCs w:val="16"/>
        </w:rPr>
      </w:pPr>
      <w:bookmarkStart w:id="81" w:name="_Toc107995503"/>
      <w:bookmarkStart w:id="82" w:name="_Toc109057762"/>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32</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Participación en capacitaciones realizadas 2021</w:t>
      </w:r>
      <w:bookmarkEnd w:id="81"/>
      <w:bookmarkEnd w:id="82"/>
    </w:p>
    <w:tbl>
      <w:tblPr>
        <w:tblStyle w:val="Tablaconcuadrcula4-nfasis1"/>
        <w:tblpPr w:leftFromText="141" w:rightFromText="141" w:vertAnchor="text" w:tblpXSpec="center" w:tblpY="1"/>
        <w:tblOverlap w:val="never"/>
        <w:tblW w:w="0" w:type="auto"/>
        <w:tblLayout w:type="fixed"/>
        <w:tblLook w:val="06A0" w:firstRow="1" w:lastRow="0" w:firstColumn="1" w:lastColumn="0" w:noHBand="1" w:noVBand="1"/>
      </w:tblPr>
      <w:tblGrid>
        <w:gridCol w:w="5355"/>
        <w:gridCol w:w="1335"/>
      </w:tblGrid>
      <w:tr w:rsidR="00D05773" w:rsidRPr="00B710A9" w14:paraId="150514F2" w14:textId="77777777" w:rsidTr="004915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5" w:type="dxa"/>
          </w:tcPr>
          <w:p w14:paraId="637CA0D3" w14:textId="77777777" w:rsidR="00D05773" w:rsidRPr="00B710A9" w:rsidRDefault="00D05773" w:rsidP="00491526">
            <w:pPr>
              <w:jc w:val="center"/>
              <w:rPr>
                <w:rFonts w:ascii="Arial" w:eastAsia="Arial" w:hAnsi="Arial" w:cs="Arial"/>
                <w:sz w:val="16"/>
                <w:szCs w:val="16"/>
              </w:rPr>
            </w:pPr>
            <w:r w:rsidRPr="00B710A9">
              <w:rPr>
                <w:rFonts w:ascii="Arial" w:eastAsia="Arial" w:hAnsi="Arial" w:cs="Arial"/>
                <w:sz w:val="16"/>
                <w:szCs w:val="16"/>
              </w:rPr>
              <w:t>Año / Actividad</w:t>
            </w:r>
          </w:p>
        </w:tc>
        <w:tc>
          <w:tcPr>
            <w:tcW w:w="1335" w:type="dxa"/>
          </w:tcPr>
          <w:p w14:paraId="3F32A587" w14:textId="77777777" w:rsidR="00D05773" w:rsidRPr="00B710A9" w:rsidRDefault="00D05773" w:rsidP="0049152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6"/>
                <w:szCs w:val="16"/>
              </w:rPr>
            </w:pPr>
            <w:r w:rsidRPr="00B710A9">
              <w:rPr>
                <w:rFonts w:ascii="Arial" w:eastAsia="Arial" w:hAnsi="Arial" w:cs="Arial"/>
                <w:sz w:val="16"/>
                <w:szCs w:val="16"/>
              </w:rPr>
              <w:t>Registro</w:t>
            </w:r>
          </w:p>
        </w:tc>
      </w:tr>
      <w:tr w:rsidR="00D05773" w:rsidRPr="00B710A9" w14:paraId="218E57DD" w14:textId="77777777" w:rsidTr="00491526">
        <w:trPr>
          <w:trHeight w:val="300"/>
        </w:trPr>
        <w:tc>
          <w:tcPr>
            <w:cnfStyle w:val="001000000000" w:firstRow="0" w:lastRow="0" w:firstColumn="1" w:lastColumn="0" w:oddVBand="0" w:evenVBand="0" w:oddHBand="0" w:evenHBand="0" w:firstRowFirstColumn="0" w:firstRowLastColumn="0" w:lastRowFirstColumn="0" w:lastRowLastColumn="0"/>
            <w:tcW w:w="6690" w:type="dxa"/>
            <w:gridSpan w:val="2"/>
          </w:tcPr>
          <w:p w14:paraId="78A3089D" w14:textId="77777777" w:rsidR="00D05773" w:rsidRPr="00B710A9" w:rsidRDefault="00D05773" w:rsidP="00491526">
            <w:pPr>
              <w:rPr>
                <w:rFonts w:ascii="Arial" w:eastAsia="Arial" w:hAnsi="Arial" w:cs="Arial"/>
                <w:color w:val="000000" w:themeColor="text1"/>
                <w:sz w:val="16"/>
                <w:szCs w:val="16"/>
              </w:rPr>
            </w:pPr>
            <w:r w:rsidRPr="00B710A9">
              <w:rPr>
                <w:rFonts w:ascii="Arial" w:eastAsia="Arial" w:hAnsi="Arial" w:cs="Arial"/>
                <w:color w:val="000000" w:themeColor="text1"/>
                <w:sz w:val="16"/>
                <w:szCs w:val="16"/>
              </w:rPr>
              <w:t>2021</w:t>
            </w:r>
          </w:p>
        </w:tc>
      </w:tr>
      <w:tr w:rsidR="00D05773" w:rsidRPr="00B710A9" w14:paraId="3968BA92" w14:textId="77777777" w:rsidTr="00491526">
        <w:trPr>
          <w:trHeight w:val="300"/>
        </w:trPr>
        <w:tc>
          <w:tcPr>
            <w:cnfStyle w:val="001000000000" w:firstRow="0" w:lastRow="0" w:firstColumn="1" w:lastColumn="0" w:oddVBand="0" w:evenVBand="0" w:oddHBand="0" w:evenHBand="0" w:firstRowFirstColumn="0" w:firstRowLastColumn="0" w:lastRowFirstColumn="0" w:lastRowLastColumn="0"/>
            <w:tcW w:w="5355" w:type="dxa"/>
          </w:tcPr>
          <w:p w14:paraId="6CCD7141" w14:textId="77777777" w:rsidR="00D05773" w:rsidRPr="00B710A9" w:rsidRDefault="00D05773" w:rsidP="00491526">
            <w:pPr>
              <w:rPr>
                <w:rFonts w:ascii="Arial" w:eastAsia="Arial" w:hAnsi="Arial" w:cs="Arial"/>
                <w:b w:val="0"/>
                <w:bCs w:val="0"/>
                <w:color w:val="000000" w:themeColor="text1"/>
                <w:sz w:val="16"/>
                <w:szCs w:val="16"/>
              </w:rPr>
            </w:pPr>
            <w:r w:rsidRPr="00B710A9">
              <w:rPr>
                <w:rFonts w:ascii="Arial" w:eastAsia="Arial" w:hAnsi="Arial" w:cs="Arial"/>
                <w:b w:val="0"/>
                <w:bCs w:val="0"/>
                <w:color w:val="000000" w:themeColor="text1"/>
                <w:sz w:val="16"/>
                <w:szCs w:val="16"/>
              </w:rPr>
              <w:t xml:space="preserve">Cursos realizados en la plataforma Telecentro </w:t>
            </w:r>
          </w:p>
        </w:tc>
        <w:tc>
          <w:tcPr>
            <w:tcW w:w="1335" w:type="dxa"/>
          </w:tcPr>
          <w:p w14:paraId="207EBEC1" w14:textId="77777777" w:rsidR="00D05773" w:rsidRPr="00B710A9" w:rsidRDefault="00D05773" w:rsidP="0049152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rPr>
            </w:pPr>
            <w:r w:rsidRPr="00B710A9">
              <w:rPr>
                <w:rFonts w:ascii="Arial" w:eastAsia="Arial" w:hAnsi="Arial" w:cs="Arial"/>
                <w:color w:val="000000" w:themeColor="text1"/>
                <w:sz w:val="16"/>
                <w:szCs w:val="16"/>
              </w:rPr>
              <w:t>668</w:t>
            </w:r>
          </w:p>
        </w:tc>
      </w:tr>
      <w:tr w:rsidR="00D05773" w:rsidRPr="00B710A9" w14:paraId="61832853" w14:textId="77777777" w:rsidTr="00491526">
        <w:trPr>
          <w:trHeight w:val="300"/>
        </w:trPr>
        <w:tc>
          <w:tcPr>
            <w:cnfStyle w:val="001000000000" w:firstRow="0" w:lastRow="0" w:firstColumn="1" w:lastColumn="0" w:oddVBand="0" w:evenVBand="0" w:oddHBand="0" w:evenHBand="0" w:firstRowFirstColumn="0" w:firstRowLastColumn="0" w:lastRowFirstColumn="0" w:lastRowLastColumn="0"/>
            <w:tcW w:w="5355" w:type="dxa"/>
          </w:tcPr>
          <w:p w14:paraId="01CA3F52" w14:textId="77777777" w:rsidR="00D05773" w:rsidRPr="00B710A9" w:rsidRDefault="00D05773" w:rsidP="00491526">
            <w:pPr>
              <w:rPr>
                <w:rFonts w:ascii="Arial" w:eastAsia="Arial" w:hAnsi="Arial" w:cs="Arial"/>
                <w:b w:val="0"/>
                <w:bCs w:val="0"/>
                <w:color w:val="000000" w:themeColor="text1"/>
                <w:sz w:val="16"/>
                <w:szCs w:val="16"/>
              </w:rPr>
            </w:pPr>
            <w:r w:rsidRPr="00B710A9">
              <w:rPr>
                <w:rFonts w:ascii="Arial" w:eastAsia="Arial" w:hAnsi="Arial" w:cs="Arial"/>
                <w:b w:val="0"/>
                <w:bCs w:val="0"/>
                <w:color w:val="000000" w:themeColor="text1"/>
                <w:sz w:val="16"/>
                <w:szCs w:val="16"/>
              </w:rPr>
              <w:t>Integridad, transparencia y lucha contra la corrupción</w:t>
            </w:r>
          </w:p>
        </w:tc>
        <w:tc>
          <w:tcPr>
            <w:tcW w:w="1335" w:type="dxa"/>
          </w:tcPr>
          <w:p w14:paraId="46EBDCD1" w14:textId="77777777" w:rsidR="00D05773" w:rsidRPr="00B710A9" w:rsidRDefault="00D05773" w:rsidP="0049152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rPr>
            </w:pPr>
            <w:r w:rsidRPr="00B710A9">
              <w:rPr>
                <w:rFonts w:ascii="Arial" w:eastAsia="Arial" w:hAnsi="Arial" w:cs="Arial"/>
                <w:color w:val="000000" w:themeColor="text1"/>
                <w:sz w:val="16"/>
                <w:szCs w:val="16"/>
              </w:rPr>
              <w:t>354</w:t>
            </w:r>
          </w:p>
        </w:tc>
      </w:tr>
      <w:tr w:rsidR="00D05773" w:rsidRPr="00B710A9" w14:paraId="062C0BC1" w14:textId="77777777" w:rsidTr="00491526">
        <w:trPr>
          <w:trHeight w:val="300"/>
        </w:trPr>
        <w:tc>
          <w:tcPr>
            <w:cnfStyle w:val="001000000000" w:firstRow="0" w:lastRow="0" w:firstColumn="1" w:lastColumn="0" w:oddVBand="0" w:evenVBand="0" w:oddHBand="0" w:evenHBand="0" w:firstRowFirstColumn="0" w:firstRowLastColumn="0" w:lastRowFirstColumn="0" w:lastRowLastColumn="0"/>
            <w:tcW w:w="5355" w:type="dxa"/>
          </w:tcPr>
          <w:p w14:paraId="7FAEE64B" w14:textId="77777777" w:rsidR="00D05773" w:rsidRPr="00B710A9" w:rsidRDefault="00D05773" w:rsidP="00491526">
            <w:pPr>
              <w:rPr>
                <w:rFonts w:ascii="Arial" w:eastAsia="Arial" w:hAnsi="Arial" w:cs="Arial"/>
                <w:b w:val="0"/>
                <w:bCs w:val="0"/>
                <w:color w:val="000000" w:themeColor="text1"/>
                <w:sz w:val="16"/>
                <w:szCs w:val="16"/>
              </w:rPr>
            </w:pPr>
            <w:r w:rsidRPr="00B710A9">
              <w:rPr>
                <w:rFonts w:ascii="Arial" w:eastAsia="Arial" w:hAnsi="Arial" w:cs="Arial"/>
                <w:b w:val="0"/>
                <w:bCs w:val="0"/>
                <w:color w:val="000000" w:themeColor="text1"/>
                <w:sz w:val="16"/>
                <w:szCs w:val="16"/>
              </w:rPr>
              <w:t>Programación en Python y R Studio Cloud</w:t>
            </w:r>
          </w:p>
        </w:tc>
        <w:tc>
          <w:tcPr>
            <w:tcW w:w="1335" w:type="dxa"/>
          </w:tcPr>
          <w:p w14:paraId="73C5CBE5" w14:textId="77777777" w:rsidR="00D05773" w:rsidRPr="00B710A9" w:rsidRDefault="00D05773" w:rsidP="0049152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6"/>
                <w:szCs w:val="16"/>
              </w:rPr>
            </w:pPr>
            <w:r w:rsidRPr="00B710A9">
              <w:rPr>
                <w:rFonts w:ascii="Arial" w:eastAsia="Arial" w:hAnsi="Arial" w:cs="Arial"/>
                <w:color w:val="000000" w:themeColor="text1"/>
                <w:sz w:val="16"/>
                <w:szCs w:val="16"/>
              </w:rPr>
              <w:t>17</w:t>
            </w:r>
          </w:p>
        </w:tc>
      </w:tr>
    </w:tbl>
    <w:p w14:paraId="62CB8C74" w14:textId="77777777" w:rsidR="00D05773" w:rsidRPr="00B710A9" w:rsidRDefault="00D05773" w:rsidP="00D05773">
      <w:pPr>
        <w:jc w:val="center"/>
        <w:rPr>
          <w:rFonts w:ascii="Arial" w:hAnsi="Arial" w:cs="Arial"/>
          <w:b/>
          <w:sz w:val="16"/>
          <w:szCs w:val="16"/>
        </w:rPr>
      </w:pPr>
    </w:p>
    <w:p w14:paraId="35D837D3" w14:textId="77777777" w:rsidR="00D05773" w:rsidRPr="00B710A9" w:rsidRDefault="00D05773" w:rsidP="00D05773">
      <w:pPr>
        <w:jc w:val="center"/>
        <w:rPr>
          <w:rFonts w:ascii="Arial" w:hAnsi="Arial" w:cs="Arial"/>
          <w:b/>
          <w:sz w:val="16"/>
          <w:szCs w:val="16"/>
        </w:rPr>
      </w:pPr>
    </w:p>
    <w:p w14:paraId="42E272E4" w14:textId="77777777" w:rsidR="00D05773" w:rsidRPr="00B710A9" w:rsidRDefault="00D05773" w:rsidP="00D05773">
      <w:pPr>
        <w:jc w:val="center"/>
        <w:rPr>
          <w:rFonts w:ascii="Arial" w:hAnsi="Arial" w:cs="Arial"/>
          <w:b/>
          <w:sz w:val="16"/>
          <w:szCs w:val="16"/>
        </w:rPr>
      </w:pPr>
      <w:r w:rsidRPr="00B710A9">
        <w:rPr>
          <w:rFonts w:ascii="Arial" w:hAnsi="Arial" w:cs="Arial"/>
          <w:b/>
          <w:sz w:val="16"/>
          <w:szCs w:val="16"/>
        </w:rPr>
        <w:br w:type="textWrapping" w:clear="all"/>
        <w:t>Fuente: Subdirección Talento Humano- IGAC</w:t>
      </w:r>
    </w:p>
    <w:p w14:paraId="045E7B7C" w14:textId="77777777" w:rsidR="00D05773" w:rsidRPr="00B710A9" w:rsidRDefault="00D05773" w:rsidP="00D05773">
      <w:pPr>
        <w:jc w:val="both"/>
        <w:rPr>
          <w:rFonts w:ascii="Arial" w:eastAsia="Arial" w:hAnsi="Arial" w:cs="Arial"/>
          <w:sz w:val="22"/>
          <w:szCs w:val="22"/>
          <w:lang w:val="es"/>
        </w:rPr>
      </w:pPr>
    </w:p>
    <w:p w14:paraId="0D4B6B71" w14:textId="003A9F8D" w:rsidR="00D05773" w:rsidRPr="00B710A9" w:rsidRDefault="00D05773" w:rsidP="00D05773">
      <w:pPr>
        <w:spacing w:line="276" w:lineRule="auto"/>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rPr>
        <w:t>Durante lo corrido de 2022, se ha logrado un avance del 51% con respecto a lo proyectado en el Plan Institucional de Capacitación: </w:t>
      </w:r>
      <w:r w:rsidR="007B7893" w:rsidRPr="00B710A9">
        <w:rPr>
          <w:rFonts w:ascii="Arial" w:eastAsia="Arial" w:hAnsi="Arial" w:cs="Arial"/>
          <w:color w:val="000000" w:themeColor="text1"/>
          <w:sz w:val="22"/>
          <w:szCs w:val="22"/>
        </w:rPr>
        <w:tab/>
      </w:r>
    </w:p>
    <w:p w14:paraId="000D87EE" w14:textId="77777777" w:rsidR="007F2FBF" w:rsidRPr="00B710A9" w:rsidRDefault="007F2FBF" w:rsidP="00D05773">
      <w:pPr>
        <w:spacing w:line="276" w:lineRule="auto"/>
        <w:jc w:val="both"/>
        <w:rPr>
          <w:rFonts w:ascii="Arial" w:eastAsia="Arial" w:hAnsi="Arial" w:cs="Arial"/>
          <w:color w:val="000000" w:themeColor="text1"/>
          <w:sz w:val="22"/>
          <w:szCs w:val="22"/>
        </w:rPr>
      </w:pPr>
    </w:p>
    <w:p w14:paraId="5E946994" w14:textId="5B401CB8" w:rsidR="007F2FBF" w:rsidRPr="00B710A9" w:rsidRDefault="007F2FBF" w:rsidP="007F2FBF">
      <w:pPr>
        <w:pStyle w:val="Descripcin"/>
        <w:keepNext/>
        <w:jc w:val="center"/>
        <w:rPr>
          <w:rFonts w:ascii="Arial" w:hAnsi="Arial" w:cs="Arial"/>
          <w:b/>
          <w:bCs/>
          <w:i w:val="0"/>
          <w:iCs w:val="0"/>
          <w:color w:val="000000" w:themeColor="text1"/>
          <w:sz w:val="16"/>
          <w:szCs w:val="16"/>
        </w:rPr>
      </w:pPr>
      <w:bookmarkStart w:id="83" w:name="_Toc109057763"/>
      <w:bookmarkStart w:id="84" w:name="_Toc107995504"/>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33</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Participación en capacitaciones realizadas 2022</w:t>
      </w:r>
      <w:bookmarkEnd w:id="83"/>
    </w:p>
    <w:tbl>
      <w:tblPr>
        <w:tblStyle w:val="Tablaconcuadrcula4-nfasis1"/>
        <w:tblW w:w="5655" w:type="dxa"/>
        <w:jc w:val="center"/>
        <w:tblLook w:val="04A0" w:firstRow="1" w:lastRow="0" w:firstColumn="1" w:lastColumn="0" w:noHBand="0" w:noVBand="1"/>
      </w:tblPr>
      <w:tblGrid>
        <w:gridCol w:w="4095"/>
        <w:gridCol w:w="1560"/>
      </w:tblGrid>
      <w:tr w:rsidR="00D05773" w:rsidRPr="00B710A9" w14:paraId="35CE8849" w14:textId="77777777" w:rsidTr="00491526">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4095" w:type="dxa"/>
            <w:hideMark/>
          </w:tcPr>
          <w:bookmarkEnd w:id="84"/>
          <w:p w14:paraId="4196AE51" w14:textId="77777777" w:rsidR="00D05773" w:rsidRPr="00B710A9" w:rsidRDefault="00D05773" w:rsidP="00491526">
            <w:pPr>
              <w:jc w:val="center"/>
              <w:textAlignment w:val="baseline"/>
              <w:rPr>
                <w:rFonts w:ascii="Arial" w:eastAsia="Arial" w:hAnsi="Arial" w:cs="Arial"/>
                <w:sz w:val="18"/>
                <w:szCs w:val="18"/>
                <w:lang w:val="es"/>
              </w:rPr>
            </w:pPr>
            <w:r w:rsidRPr="00B710A9">
              <w:rPr>
                <w:rFonts w:ascii="Arial" w:eastAsia="Arial" w:hAnsi="Arial" w:cs="Arial"/>
                <w:sz w:val="18"/>
                <w:szCs w:val="18"/>
                <w:lang w:val="es"/>
              </w:rPr>
              <w:t>Actividad </w:t>
            </w:r>
          </w:p>
        </w:tc>
        <w:tc>
          <w:tcPr>
            <w:tcW w:w="1560" w:type="dxa"/>
            <w:hideMark/>
          </w:tcPr>
          <w:p w14:paraId="4CAA215B" w14:textId="77777777" w:rsidR="00D05773" w:rsidRPr="00B710A9" w:rsidRDefault="00D05773" w:rsidP="00491526">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Registro </w:t>
            </w:r>
          </w:p>
        </w:tc>
      </w:tr>
      <w:tr w:rsidR="00D05773" w:rsidRPr="00B710A9" w14:paraId="6C3F7405" w14:textId="77777777" w:rsidTr="00491526">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095" w:type="dxa"/>
            <w:hideMark/>
          </w:tcPr>
          <w:p w14:paraId="4F4F2565" w14:textId="77777777" w:rsidR="00D05773" w:rsidRPr="00B710A9" w:rsidRDefault="00D05773" w:rsidP="00491526">
            <w:pPr>
              <w:textAlignment w:val="baseline"/>
              <w:rPr>
                <w:rFonts w:ascii="Arial" w:eastAsia="Arial" w:hAnsi="Arial" w:cs="Arial"/>
                <w:b w:val="0"/>
                <w:bCs w:val="0"/>
                <w:sz w:val="18"/>
                <w:szCs w:val="18"/>
                <w:lang w:val="es"/>
              </w:rPr>
            </w:pPr>
            <w:r w:rsidRPr="00B710A9">
              <w:rPr>
                <w:rFonts w:ascii="Arial" w:eastAsia="Arial" w:hAnsi="Arial" w:cs="Arial"/>
                <w:b w:val="0"/>
                <w:bCs w:val="0"/>
                <w:sz w:val="18"/>
                <w:szCs w:val="18"/>
                <w:lang w:val="es"/>
              </w:rPr>
              <w:t>Desarrollo de competencias blandas </w:t>
            </w:r>
          </w:p>
        </w:tc>
        <w:tc>
          <w:tcPr>
            <w:tcW w:w="1560" w:type="dxa"/>
            <w:hideMark/>
          </w:tcPr>
          <w:p w14:paraId="2A5A7B78" w14:textId="77777777" w:rsidR="00D05773" w:rsidRPr="00B710A9" w:rsidRDefault="00D05773"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368</w:t>
            </w:r>
          </w:p>
        </w:tc>
      </w:tr>
      <w:tr w:rsidR="00D05773" w:rsidRPr="00B710A9" w14:paraId="1C18CD3C" w14:textId="77777777" w:rsidTr="00491526">
        <w:trPr>
          <w:trHeight w:val="345"/>
          <w:jc w:val="center"/>
        </w:trPr>
        <w:tc>
          <w:tcPr>
            <w:cnfStyle w:val="001000000000" w:firstRow="0" w:lastRow="0" w:firstColumn="1" w:lastColumn="0" w:oddVBand="0" w:evenVBand="0" w:oddHBand="0" w:evenHBand="0" w:firstRowFirstColumn="0" w:firstRowLastColumn="0" w:lastRowFirstColumn="0" w:lastRowLastColumn="0"/>
            <w:tcW w:w="4095" w:type="dxa"/>
            <w:hideMark/>
          </w:tcPr>
          <w:p w14:paraId="5952E451" w14:textId="77777777" w:rsidR="00D05773" w:rsidRPr="00B710A9" w:rsidRDefault="00D05773" w:rsidP="00491526">
            <w:pPr>
              <w:textAlignment w:val="baseline"/>
              <w:rPr>
                <w:rFonts w:ascii="Arial" w:eastAsia="Arial" w:hAnsi="Arial" w:cs="Arial"/>
                <w:b w:val="0"/>
                <w:bCs w:val="0"/>
                <w:sz w:val="18"/>
                <w:szCs w:val="18"/>
                <w:lang w:val="es"/>
              </w:rPr>
            </w:pPr>
            <w:r w:rsidRPr="00B710A9">
              <w:rPr>
                <w:rFonts w:ascii="Arial" w:eastAsia="Arial" w:hAnsi="Arial" w:cs="Arial"/>
                <w:b w:val="0"/>
                <w:bCs w:val="0"/>
                <w:sz w:val="18"/>
                <w:szCs w:val="18"/>
                <w:lang w:val="es"/>
              </w:rPr>
              <w:t>Principios Básicos de Gestión Documental </w:t>
            </w:r>
          </w:p>
        </w:tc>
        <w:tc>
          <w:tcPr>
            <w:tcW w:w="1560" w:type="dxa"/>
            <w:hideMark/>
          </w:tcPr>
          <w:p w14:paraId="5C0DE50B" w14:textId="77777777" w:rsidR="00D05773" w:rsidRPr="00B710A9" w:rsidRDefault="00D05773" w:rsidP="0049152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45 </w:t>
            </w:r>
          </w:p>
        </w:tc>
      </w:tr>
      <w:tr w:rsidR="00D05773" w:rsidRPr="00B710A9" w14:paraId="572C9CA1" w14:textId="77777777" w:rsidTr="00491526">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095" w:type="dxa"/>
            <w:hideMark/>
          </w:tcPr>
          <w:p w14:paraId="7E864265" w14:textId="77777777" w:rsidR="00D05773" w:rsidRPr="00B710A9" w:rsidRDefault="00D05773" w:rsidP="00491526">
            <w:pPr>
              <w:textAlignment w:val="baseline"/>
              <w:rPr>
                <w:rFonts w:ascii="Arial" w:eastAsia="Arial" w:hAnsi="Arial" w:cs="Arial"/>
                <w:b w:val="0"/>
                <w:bCs w:val="0"/>
                <w:sz w:val="18"/>
                <w:szCs w:val="18"/>
                <w:lang w:val="es"/>
              </w:rPr>
            </w:pPr>
            <w:r w:rsidRPr="00B710A9">
              <w:rPr>
                <w:rFonts w:ascii="Arial" w:eastAsia="Arial" w:hAnsi="Arial" w:cs="Arial"/>
                <w:b w:val="0"/>
                <w:bCs w:val="0"/>
                <w:sz w:val="18"/>
                <w:szCs w:val="18"/>
                <w:lang w:val="es"/>
              </w:rPr>
              <w:t>Actualización Normativa y Regulatoria del Servicio Público de Gestión Catastral </w:t>
            </w:r>
          </w:p>
        </w:tc>
        <w:tc>
          <w:tcPr>
            <w:tcW w:w="1560" w:type="dxa"/>
            <w:hideMark/>
          </w:tcPr>
          <w:p w14:paraId="7FAE2774" w14:textId="77777777" w:rsidR="00D05773" w:rsidRPr="00B710A9" w:rsidRDefault="00D05773"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30 </w:t>
            </w:r>
          </w:p>
        </w:tc>
      </w:tr>
      <w:tr w:rsidR="00D05773" w:rsidRPr="00B710A9" w14:paraId="07171194" w14:textId="77777777" w:rsidTr="00491526">
        <w:trPr>
          <w:trHeight w:val="345"/>
          <w:jc w:val="center"/>
        </w:trPr>
        <w:tc>
          <w:tcPr>
            <w:cnfStyle w:val="001000000000" w:firstRow="0" w:lastRow="0" w:firstColumn="1" w:lastColumn="0" w:oddVBand="0" w:evenVBand="0" w:oddHBand="0" w:evenHBand="0" w:firstRowFirstColumn="0" w:firstRowLastColumn="0" w:lastRowFirstColumn="0" w:lastRowLastColumn="0"/>
            <w:tcW w:w="4095" w:type="dxa"/>
            <w:hideMark/>
          </w:tcPr>
          <w:p w14:paraId="6581A055" w14:textId="77777777" w:rsidR="00D05773" w:rsidRPr="00B710A9" w:rsidRDefault="00D05773" w:rsidP="00491526">
            <w:pPr>
              <w:textAlignment w:val="baseline"/>
              <w:rPr>
                <w:rFonts w:ascii="Arial" w:eastAsia="Arial" w:hAnsi="Arial" w:cs="Arial"/>
                <w:b w:val="0"/>
                <w:bCs w:val="0"/>
                <w:sz w:val="18"/>
                <w:szCs w:val="18"/>
                <w:lang w:val="es"/>
              </w:rPr>
            </w:pPr>
            <w:r w:rsidRPr="00B710A9">
              <w:rPr>
                <w:rFonts w:ascii="Arial" w:eastAsia="Arial" w:hAnsi="Arial" w:cs="Arial"/>
                <w:b w:val="0"/>
                <w:bCs w:val="0"/>
                <w:sz w:val="18"/>
                <w:szCs w:val="18"/>
                <w:lang w:val="es"/>
              </w:rPr>
              <w:t>Encuentro de saberes </w:t>
            </w:r>
          </w:p>
        </w:tc>
        <w:tc>
          <w:tcPr>
            <w:tcW w:w="1560" w:type="dxa"/>
            <w:hideMark/>
          </w:tcPr>
          <w:p w14:paraId="38F0C089" w14:textId="77777777" w:rsidR="00D05773" w:rsidRPr="00B710A9" w:rsidRDefault="00D05773" w:rsidP="0049152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26 </w:t>
            </w:r>
          </w:p>
        </w:tc>
      </w:tr>
      <w:tr w:rsidR="00D05773" w:rsidRPr="00B710A9" w14:paraId="4DABB841" w14:textId="77777777" w:rsidTr="00491526">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095" w:type="dxa"/>
            <w:hideMark/>
          </w:tcPr>
          <w:p w14:paraId="1B0A0B06" w14:textId="77777777" w:rsidR="00D05773" w:rsidRPr="00B710A9" w:rsidRDefault="00D05773" w:rsidP="00491526">
            <w:pPr>
              <w:textAlignment w:val="baseline"/>
              <w:rPr>
                <w:rFonts w:ascii="Arial" w:eastAsia="Arial" w:hAnsi="Arial" w:cs="Arial"/>
                <w:b w:val="0"/>
                <w:bCs w:val="0"/>
                <w:sz w:val="18"/>
                <w:szCs w:val="18"/>
                <w:lang w:val="es"/>
              </w:rPr>
            </w:pPr>
            <w:r w:rsidRPr="00B710A9">
              <w:rPr>
                <w:rFonts w:ascii="Arial" w:eastAsia="Arial" w:hAnsi="Arial" w:cs="Arial"/>
                <w:b w:val="0"/>
                <w:bCs w:val="0"/>
                <w:sz w:val="18"/>
                <w:szCs w:val="18"/>
                <w:lang w:val="es"/>
              </w:rPr>
              <w:t>Nuevo régimen de Control Disciplinario </w:t>
            </w:r>
          </w:p>
        </w:tc>
        <w:tc>
          <w:tcPr>
            <w:tcW w:w="1560" w:type="dxa"/>
            <w:hideMark/>
          </w:tcPr>
          <w:p w14:paraId="6B5597C1" w14:textId="77777777" w:rsidR="00D05773" w:rsidRPr="00B710A9" w:rsidRDefault="00D05773"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30 </w:t>
            </w:r>
          </w:p>
        </w:tc>
      </w:tr>
      <w:tr w:rsidR="00D05773" w:rsidRPr="00B710A9" w14:paraId="67A44335" w14:textId="77777777" w:rsidTr="00491526">
        <w:trPr>
          <w:trHeight w:val="345"/>
          <w:jc w:val="center"/>
        </w:trPr>
        <w:tc>
          <w:tcPr>
            <w:cnfStyle w:val="001000000000" w:firstRow="0" w:lastRow="0" w:firstColumn="1" w:lastColumn="0" w:oddVBand="0" w:evenVBand="0" w:oddHBand="0" w:evenHBand="0" w:firstRowFirstColumn="0" w:firstRowLastColumn="0" w:lastRowFirstColumn="0" w:lastRowLastColumn="0"/>
            <w:tcW w:w="4095" w:type="dxa"/>
            <w:hideMark/>
          </w:tcPr>
          <w:p w14:paraId="4FC87A3E" w14:textId="77777777" w:rsidR="00D05773" w:rsidRPr="00B710A9" w:rsidRDefault="00D05773" w:rsidP="00491526">
            <w:pPr>
              <w:textAlignment w:val="baseline"/>
              <w:rPr>
                <w:rFonts w:ascii="Arial" w:eastAsia="Arial" w:hAnsi="Arial" w:cs="Arial"/>
                <w:b w:val="0"/>
                <w:bCs w:val="0"/>
                <w:sz w:val="18"/>
                <w:szCs w:val="18"/>
                <w:lang w:val="es"/>
              </w:rPr>
            </w:pPr>
            <w:r w:rsidRPr="00B710A9">
              <w:rPr>
                <w:rFonts w:ascii="Arial" w:eastAsia="Arial" w:hAnsi="Arial" w:cs="Arial"/>
                <w:b w:val="0"/>
                <w:bCs w:val="0"/>
                <w:sz w:val="18"/>
                <w:szCs w:val="18"/>
                <w:lang w:val="es"/>
              </w:rPr>
              <w:t>Metrología </w:t>
            </w:r>
          </w:p>
        </w:tc>
        <w:tc>
          <w:tcPr>
            <w:tcW w:w="1560" w:type="dxa"/>
            <w:hideMark/>
          </w:tcPr>
          <w:p w14:paraId="59067430" w14:textId="77777777" w:rsidR="00D05773" w:rsidRPr="00B710A9" w:rsidRDefault="00D05773" w:rsidP="0049152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5 </w:t>
            </w:r>
          </w:p>
        </w:tc>
      </w:tr>
      <w:tr w:rsidR="00D05773" w:rsidRPr="00B710A9" w14:paraId="5A21F5EC" w14:textId="77777777" w:rsidTr="00491526">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095" w:type="dxa"/>
            <w:hideMark/>
          </w:tcPr>
          <w:p w14:paraId="23B32611" w14:textId="77777777" w:rsidR="00D05773" w:rsidRPr="00B710A9" w:rsidRDefault="00D05773" w:rsidP="00491526">
            <w:pPr>
              <w:textAlignment w:val="baseline"/>
              <w:rPr>
                <w:rFonts w:ascii="Arial" w:eastAsia="Arial" w:hAnsi="Arial" w:cs="Arial"/>
                <w:b w:val="0"/>
                <w:bCs w:val="0"/>
                <w:sz w:val="18"/>
                <w:szCs w:val="18"/>
                <w:lang w:val="es"/>
              </w:rPr>
            </w:pPr>
            <w:r w:rsidRPr="00B710A9">
              <w:rPr>
                <w:rFonts w:ascii="Arial" w:eastAsia="Arial" w:hAnsi="Arial" w:cs="Arial"/>
                <w:b w:val="0"/>
                <w:bCs w:val="0"/>
                <w:sz w:val="18"/>
                <w:szCs w:val="18"/>
                <w:lang w:val="es"/>
              </w:rPr>
              <w:t>Excel </w:t>
            </w:r>
          </w:p>
        </w:tc>
        <w:tc>
          <w:tcPr>
            <w:tcW w:w="1560" w:type="dxa"/>
            <w:hideMark/>
          </w:tcPr>
          <w:p w14:paraId="2AC81D8A" w14:textId="77777777" w:rsidR="00D05773" w:rsidRPr="00B710A9" w:rsidRDefault="00D05773"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182 </w:t>
            </w:r>
          </w:p>
        </w:tc>
      </w:tr>
      <w:tr w:rsidR="00D05773" w:rsidRPr="00B710A9" w14:paraId="38B7FF44" w14:textId="77777777" w:rsidTr="00491526">
        <w:trPr>
          <w:trHeight w:val="345"/>
          <w:jc w:val="center"/>
        </w:trPr>
        <w:tc>
          <w:tcPr>
            <w:cnfStyle w:val="001000000000" w:firstRow="0" w:lastRow="0" w:firstColumn="1" w:lastColumn="0" w:oddVBand="0" w:evenVBand="0" w:oddHBand="0" w:evenHBand="0" w:firstRowFirstColumn="0" w:firstRowLastColumn="0" w:lastRowFirstColumn="0" w:lastRowLastColumn="0"/>
            <w:tcW w:w="4095" w:type="dxa"/>
            <w:hideMark/>
          </w:tcPr>
          <w:p w14:paraId="63E440D0" w14:textId="77777777" w:rsidR="00D05773" w:rsidRPr="00B710A9" w:rsidRDefault="00D05773" w:rsidP="00491526">
            <w:pPr>
              <w:textAlignment w:val="baseline"/>
              <w:rPr>
                <w:rFonts w:ascii="Arial" w:eastAsia="Arial" w:hAnsi="Arial" w:cs="Arial"/>
                <w:b w:val="0"/>
                <w:bCs w:val="0"/>
                <w:sz w:val="18"/>
                <w:szCs w:val="18"/>
                <w:lang w:val="es"/>
              </w:rPr>
            </w:pPr>
            <w:r w:rsidRPr="00B710A9">
              <w:rPr>
                <w:rFonts w:ascii="Arial" w:eastAsia="Arial" w:hAnsi="Arial" w:cs="Arial"/>
                <w:b w:val="0"/>
                <w:bCs w:val="0"/>
                <w:sz w:val="18"/>
                <w:szCs w:val="18"/>
                <w:lang w:val="es"/>
              </w:rPr>
              <w:t>Actualización normativa Código de Procedimiento Administrativo y de lo Contencioso Administrativo </w:t>
            </w:r>
          </w:p>
        </w:tc>
        <w:tc>
          <w:tcPr>
            <w:tcW w:w="1560" w:type="dxa"/>
            <w:hideMark/>
          </w:tcPr>
          <w:p w14:paraId="469762D9" w14:textId="77777777" w:rsidR="00D05773" w:rsidRPr="00B710A9" w:rsidRDefault="00D05773" w:rsidP="0049152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29 </w:t>
            </w:r>
          </w:p>
        </w:tc>
      </w:tr>
      <w:tr w:rsidR="00D05773" w:rsidRPr="00B710A9" w14:paraId="540B08CD" w14:textId="77777777" w:rsidTr="00491526">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095" w:type="dxa"/>
            <w:hideMark/>
          </w:tcPr>
          <w:p w14:paraId="05C8A4C8" w14:textId="77777777" w:rsidR="00D05773" w:rsidRPr="00B710A9" w:rsidRDefault="00D05773" w:rsidP="00491526">
            <w:pPr>
              <w:textAlignment w:val="baseline"/>
              <w:rPr>
                <w:rFonts w:ascii="Arial" w:eastAsia="Arial" w:hAnsi="Arial" w:cs="Arial"/>
                <w:b w:val="0"/>
                <w:bCs w:val="0"/>
                <w:sz w:val="18"/>
                <w:szCs w:val="18"/>
                <w:lang w:val="es"/>
              </w:rPr>
            </w:pPr>
            <w:r w:rsidRPr="00B710A9">
              <w:rPr>
                <w:rFonts w:ascii="Arial" w:eastAsia="Arial" w:hAnsi="Arial" w:cs="Arial"/>
                <w:b w:val="0"/>
                <w:bCs w:val="0"/>
                <w:sz w:val="18"/>
                <w:szCs w:val="18"/>
                <w:lang w:val="es"/>
              </w:rPr>
              <w:t>Negociación colectiva </w:t>
            </w:r>
          </w:p>
        </w:tc>
        <w:tc>
          <w:tcPr>
            <w:tcW w:w="1560" w:type="dxa"/>
            <w:hideMark/>
          </w:tcPr>
          <w:p w14:paraId="7D662E4C" w14:textId="77777777" w:rsidR="00D05773" w:rsidRPr="00B710A9" w:rsidRDefault="00D05773"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24 </w:t>
            </w:r>
          </w:p>
        </w:tc>
      </w:tr>
      <w:tr w:rsidR="00D05773" w:rsidRPr="00B710A9" w14:paraId="40541EA3" w14:textId="77777777" w:rsidTr="00491526">
        <w:trPr>
          <w:trHeight w:val="345"/>
          <w:jc w:val="center"/>
        </w:trPr>
        <w:tc>
          <w:tcPr>
            <w:cnfStyle w:val="001000000000" w:firstRow="0" w:lastRow="0" w:firstColumn="1" w:lastColumn="0" w:oddVBand="0" w:evenVBand="0" w:oddHBand="0" w:evenHBand="0" w:firstRowFirstColumn="0" w:firstRowLastColumn="0" w:lastRowFirstColumn="0" w:lastRowLastColumn="0"/>
            <w:tcW w:w="4095" w:type="dxa"/>
            <w:hideMark/>
          </w:tcPr>
          <w:p w14:paraId="465D8F97" w14:textId="77777777" w:rsidR="00D05773" w:rsidRPr="00B710A9" w:rsidRDefault="00D05773" w:rsidP="00491526">
            <w:pPr>
              <w:textAlignment w:val="baseline"/>
              <w:rPr>
                <w:rFonts w:ascii="Arial" w:eastAsia="Arial" w:hAnsi="Arial" w:cs="Arial"/>
                <w:b w:val="0"/>
                <w:bCs w:val="0"/>
                <w:sz w:val="18"/>
                <w:szCs w:val="18"/>
                <w:lang w:val="es"/>
              </w:rPr>
            </w:pPr>
            <w:r w:rsidRPr="00B710A9">
              <w:rPr>
                <w:rFonts w:ascii="Arial" w:eastAsia="Arial" w:hAnsi="Arial" w:cs="Arial"/>
                <w:b w:val="0"/>
                <w:bCs w:val="0"/>
                <w:sz w:val="18"/>
                <w:szCs w:val="18"/>
                <w:lang w:val="es"/>
              </w:rPr>
              <w:t>Procedimiento conservación catastral </w:t>
            </w:r>
          </w:p>
        </w:tc>
        <w:tc>
          <w:tcPr>
            <w:tcW w:w="1560" w:type="dxa"/>
            <w:hideMark/>
          </w:tcPr>
          <w:p w14:paraId="0E5A7C02" w14:textId="77777777" w:rsidR="00D05773" w:rsidRPr="00B710A9" w:rsidRDefault="00D05773" w:rsidP="0049152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239 </w:t>
            </w:r>
          </w:p>
        </w:tc>
      </w:tr>
      <w:tr w:rsidR="00D05773" w:rsidRPr="00B710A9" w14:paraId="6B8B2A92" w14:textId="77777777" w:rsidTr="00491526">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095" w:type="dxa"/>
            <w:hideMark/>
          </w:tcPr>
          <w:p w14:paraId="762818BF" w14:textId="77777777" w:rsidR="00D05773" w:rsidRPr="00B710A9" w:rsidRDefault="00D05773" w:rsidP="00491526">
            <w:pPr>
              <w:textAlignment w:val="baseline"/>
              <w:rPr>
                <w:rFonts w:ascii="Arial" w:eastAsia="Arial" w:hAnsi="Arial" w:cs="Arial"/>
                <w:b w:val="0"/>
                <w:bCs w:val="0"/>
                <w:sz w:val="18"/>
                <w:szCs w:val="18"/>
                <w:lang w:val="es"/>
              </w:rPr>
            </w:pPr>
            <w:r w:rsidRPr="00B710A9">
              <w:rPr>
                <w:rFonts w:ascii="Arial" w:eastAsia="Arial" w:hAnsi="Arial" w:cs="Arial"/>
                <w:b w:val="0"/>
                <w:bCs w:val="0"/>
                <w:sz w:val="18"/>
                <w:szCs w:val="18"/>
                <w:lang w:val="es"/>
              </w:rPr>
              <w:t>Geoestadística y estadística descriptiva </w:t>
            </w:r>
          </w:p>
        </w:tc>
        <w:tc>
          <w:tcPr>
            <w:tcW w:w="1560" w:type="dxa"/>
            <w:hideMark/>
          </w:tcPr>
          <w:p w14:paraId="7B4A46CD" w14:textId="77777777" w:rsidR="00D05773" w:rsidRPr="00B710A9" w:rsidRDefault="00D05773"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10 </w:t>
            </w:r>
          </w:p>
        </w:tc>
      </w:tr>
      <w:tr w:rsidR="00D05773" w:rsidRPr="00B710A9" w14:paraId="3C7CB949" w14:textId="77777777" w:rsidTr="00491526">
        <w:trPr>
          <w:trHeight w:val="345"/>
          <w:jc w:val="center"/>
        </w:trPr>
        <w:tc>
          <w:tcPr>
            <w:cnfStyle w:val="001000000000" w:firstRow="0" w:lastRow="0" w:firstColumn="1" w:lastColumn="0" w:oddVBand="0" w:evenVBand="0" w:oddHBand="0" w:evenHBand="0" w:firstRowFirstColumn="0" w:firstRowLastColumn="0" w:lastRowFirstColumn="0" w:lastRowLastColumn="0"/>
            <w:tcW w:w="4095" w:type="dxa"/>
            <w:hideMark/>
          </w:tcPr>
          <w:p w14:paraId="54ED05DE" w14:textId="77777777" w:rsidR="00D05773" w:rsidRPr="00B710A9" w:rsidRDefault="00D05773" w:rsidP="00491526">
            <w:pPr>
              <w:textAlignment w:val="baseline"/>
              <w:rPr>
                <w:rFonts w:ascii="Arial" w:eastAsia="Arial" w:hAnsi="Arial" w:cs="Arial"/>
                <w:b w:val="0"/>
                <w:bCs w:val="0"/>
                <w:sz w:val="18"/>
                <w:szCs w:val="18"/>
                <w:lang w:val="es"/>
              </w:rPr>
            </w:pPr>
            <w:r w:rsidRPr="00B710A9">
              <w:rPr>
                <w:rFonts w:ascii="Arial" w:eastAsia="Arial" w:hAnsi="Arial" w:cs="Arial"/>
                <w:b w:val="0"/>
                <w:bCs w:val="0"/>
                <w:sz w:val="18"/>
                <w:szCs w:val="18"/>
                <w:lang w:val="es"/>
              </w:rPr>
              <w:t>Gestión del riesgo </w:t>
            </w:r>
          </w:p>
        </w:tc>
        <w:tc>
          <w:tcPr>
            <w:tcW w:w="1560" w:type="dxa"/>
            <w:hideMark/>
          </w:tcPr>
          <w:p w14:paraId="240705F8" w14:textId="77777777" w:rsidR="00D05773" w:rsidRPr="00B710A9" w:rsidRDefault="00D05773" w:rsidP="0049152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26 </w:t>
            </w:r>
          </w:p>
        </w:tc>
      </w:tr>
      <w:tr w:rsidR="00D05773" w:rsidRPr="00B710A9" w14:paraId="7EF58172" w14:textId="77777777" w:rsidTr="00491526">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095" w:type="dxa"/>
            <w:hideMark/>
          </w:tcPr>
          <w:p w14:paraId="17DCF638" w14:textId="77777777" w:rsidR="00D05773" w:rsidRPr="00B710A9" w:rsidRDefault="00D05773" w:rsidP="00491526">
            <w:pPr>
              <w:textAlignment w:val="baseline"/>
              <w:rPr>
                <w:rFonts w:ascii="Arial" w:eastAsia="Arial" w:hAnsi="Arial" w:cs="Arial"/>
                <w:b w:val="0"/>
                <w:bCs w:val="0"/>
                <w:sz w:val="18"/>
                <w:szCs w:val="18"/>
                <w:lang w:val="es"/>
              </w:rPr>
            </w:pPr>
            <w:r w:rsidRPr="00B710A9">
              <w:rPr>
                <w:rFonts w:ascii="Arial" w:eastAsia="Arial" w:hAnsi="Arial" w:cs="Arial"/>
                <w:b w:val="0"/>
                <w:bCs w:val="0"/>
                <w:sz w:val="18"/>
                <w:szCs w:val="18"/>
                <w:lang w:val="es"/>
              </w:rPr>
              <w:t>Geomorfología aplicada a los levantamientos de suelos </w:t>
            </w:r>
          </w:p>
        </w:tc>
        <w:tc>
          <w:tcPr>
            <w:tcW w:w="1560" w:type="dxa"/>
            <w:hideMark/>
          </w:tcPr>
          <w:p w14:paraId="12DE8DE0" w14:textId="77777777" w:rsidR="00D05773" w:rsidRPr="00B710A9" w:rsidRDefault="00D05773"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14 </w:t>
            </w:r>
          </w:p>
        </w:tc>
      </w:tr>
      <w:tr w:rsidR="00D05773" w:rsidRPr="00B710A9" w14:paraId="2C4DCA55" w14:textId="77777777" w:rsidTr="00491526">
        <w:trPr>
          <w:trHeight w:val="345"/>
          <w:jc w:val="center"/>
        </w:trPr>
        <w:tc>
          <w:tcPr>
            <w:cnfStyle w:val="001000000000" w:firstRow="0" w:lastRow="0" w:firstColumn="1" w:lastColumn="0" w:oddVBand="0" w:evenVBand="0" w:oddHBand="0" w:evenHBand="0" w:firstRowFirstColumn="0" w:firstRowLastColumn="0" w:lastRowFirstColumn="0" w:lastRowLastColumn="0"/>
            <w:tcW w:w="4095" w:type="dxa"/>
          </w:tcPr>
          <w:p w14:paraId="2B73DFA9" w14:textId="77777777" w:rsidR="00D05773" w:rsidRPr="00B710A9" w:rsidRDefault="00D05773" w:rsidP="00491526">
            <w:pPr>
              <w:textAlignment w:val="baseline"/>
              <w:rPr>
                <w:rFonts w:ascii="Arial" w:eastAsia="Arial" w:hAnsi="Arial" w:cs="Arial"/>
                <w:b w:val="0"/>
                <w:bCs w:val="0"/>
                <w:sz w:val="18"/>
                <w:szCs w:val="18"/>
                <w:lang w:val="es"/>
              </w:rPr>
            </w:pPr>
            <w:r w:rsidRPr="00B710A9">
              <w:rPr>
                <w:rFonts w:ascii="Arial" w:eastAsia="Arial" w:hAnsi="Arial" w:cs="Arial"/>
                <w:b w:val="0"/>
                <w:bCs w:val="0"/>
                <w:sz w:val="18"/>
                <w:szCs w:val="18"/>
                <w:lang w:val="es"/>
              </w:rPr>
              <w:t>Actualización normativa en Contratación Estatal</w:t>
            </w:r>
            <w:r w:rsidRPr="00B710A9">
              <w:rPr>
                <w:rFonts w:ascii="Arial" w:eastAsia="Arial" w:hAnsi="Arial" w:cs="Arial"/>
                <w:sz w:val="18"/>
                <w:szCs w:val="18"/>
                <w:lang w:val="es"/>
              </w:rPr>
              <w:t> </w:t>
            </w:r>
          </w:p>
        </w:tc>
        <w:tc>
          <w:tcPr>
            <w:tcW w:w="1560" w:type="dxa"/>
          </w:tcPr>
          <w:p w14:paraId="175829F1" w14:textId="77777777" w:rsidR="00D05773" w:rsidRPr="00B710A9" w:rsidRDefault="00D05773" w:rsidP="0049152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30</w:t>
            </w:r>
          </w:p>
        </w:tc>
      </w:tr>
      <w:tr w:rsidR="00D05773" w:rsidRPr="00B710A9" w14:paraId="437528B0" w14:textId="77777777" w:rsidTr="00491526">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095" w:type="dxa"/>
          </w:tcPr>
          <w:p w14:paraId="3F57F92B" w14:textId="77777777" w:rsidR="00D05773" w:rsidRPr="00B710A9" w:rsidRDefault="00D05773" w:rsidP="00491526">
            <w:pPr>
              <w:textAlignment w:val="baseline"/>
              <w:rPr>
                <w:rFonts w:ascii="Arial" w:eastAsia="Arial" w:hAnsi="Arial" w:cs="Arial"/>
                <w:b w:val="0"/>
                <w:bCs w:val="0"/>
                <w:sz w:val="18"/>
                <w:szCs w:val="18"/>
                <w:lang w:val="es"/>
              </w:rPr>
            </w:pPr>
            <w:r w:rsidRPr="00B710A9">
              <w:rPr>
                <w:rFonts w:ascii="Arial" w:eastAsia="Arial" w:hAnsi="Arial" w:cs="Arial"/>
                <w:b w:val="0"/>
                <w:bCs w:val="0"/>
                <w:sz w:val="18"/>
                <w:szCs w:val="18"/>
                <w:lang w:val="es"/>
              </w:rPr>
              <w:t>Registro público de la propiedad e interpretación de títulos y certificados de libertad</w:t>
            </w:r>
            <w:r w:rsidRPr="00B710A9">
              <w:rPr>
                <w:rFonts w:ascii="Arial" w:eastAsia="Arial" w:hAnsi="Arial" w:cs="Arial"/>
                <w:sz w:val="18"/>
                <w:szCs w:val="18"/>
                <w:lang w:val="es"/>
              </w:rPr>
              <w:t> </w:t>
            </w:r>
          </w:p>
        </w:tc>
        <w:tc>
          <w:tcPr>
            <w:tcW w:w="1560" w:type="dxa"/>
          </w:tcPr>
          <w:p w14:paraId="2CFEBBBE" w14:textId="77777777" w:rsidR="00D05773" w:rsidRPr="00B710A9" w:rsidRDefault="00D05773"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
              </w:rPr>
            </w:pPr>
            <w:r w:rsidRPr="00B710A9">
              <w:rPr>
                <w:rFonts w:ascii="Arial" w:eastAsia="Arial" w:hAnsi="Arial" w:cs="Arial"/>
                <w:sz w:val="18"/>
                <w:szCs w:val="18"/>
                <w:lang w:val="es"/>
              </w:rPr>
              <w:t>197</w:t>
            </w:r>
          </w:p>
        </w:tc>
      </w:tr>
    </w:tbl>
    <w:p w14:paraId="16FD7122" w14:textId="77777777" w:rsidR="00D05773" w:rsidRPr="00B710A9" w:rsidRDefault="00D05773" w:rsidP="00D05773">
      <w:pPr>
        <w:jc w:val="center"/>
        <w:rPr>
          <w:rFonts w:ascii="Arial" w:hAnsi="Arial" w:cs="Arial"/>
          <w:b/>
          <w:bCs/>
          <w:sz w:val="16"/>
          <w:szCs w:val="16"/>
          <w:lang w:val="es"/>
        </w:rPr>
      </w:pPr>
      <w:r w:rsidRPr="00B710A9">
        <w:rPr>
          <w:rFonts w:ascii="Arial" w:hAnsi="Arial" w:cs="Arial"/>
          <w:b/>
          <w:bCs/>
          <w:sz w:val="16"/>
          <w:szCs w:val="16"/>
          <w:lang w:val="es"/>
        </w:rPr>
        <w:t>Fuente: Subdirección de Talento Humano- IGAC</w:t>
      </w:r>
    </w:p>
    <w:p w14:paraId="5CA2B044" w14:textId="77777777" w:rsidR="00446F5D" w:rsidRPr="00B710A9" w:rsidRDefault="00446F5D" w:rsidP="009D279A">
      <w:pPr>
        <w:spacing w:after="0" w:line="240" w:lineRule="auto"/>
        <w:jc w:val="both"/>
        <w:rPr>
          <w:rFonts w:ascii="Arial" w:eastAsia="Segoe UI" w:hAnsi="Arial" w:cs="Arial"/>
          <w:color w:val="000000" w:themeColor="text1"/>
          <w:sz w:val="22"/>
          <w:szCs w:val="22"/>
        </w:rPr>
      </w:pPr>
    </w:p>
    <w:p w14:paraId="32C34DC0" w14:textId="77777777" w:rsidR="007B7893" w:rsidRPr="00B710A9" w:rsidRDefault="007B7893" w:rsidP="007B7893">
      <w:pPr>
        <w:jc w:val="both"/>
        <w:rPr>
          <w:rFonts w:ascii="Arial" w:hAnsi="Arial" w:cs="Arial"/>
          <w:sz w:val="22"/>
          <w:szCs w:val="22"/>
        </w:rPr>
      </w:pPr>
      <w:r w:rsidRPr="00B710A9">
        <w:rPr>
          <w:rFonts w:ascii="Arial" w:eastAsia="Arial" w:hAnsi="Arial" w:cs="Arial"/>
          <w:sz w:val="22"/>
          <w:szCs w:val="22"/>
          <w:lang w:val="es"/>
        </w:rPr>
        <w:t xml:space="preserve">En el año 2021, a través de estrategias de transferencia de conocimientos se adelantaron 4 sesiones de la actividad Café misional - encuentro de saberes, permitiendo la divulgación del quehacer de las áreas misionales de la entidad, con un registro de 149 asistentes. Además, se adelantaron 4 sesiones de Análisis Jurisprudencial para permitir el encuentro de profesionales en derecho a nivel nacional, contando con un registro de 55 participantes. </w:t>
      </w:r>
    </w:p>
    <w:p w14:paraId="2DFE1A4C" w14:textId="76839D86" w:rsidR="004C47E9" w:rsidRPr="00B710A9" w:rsidRDefault="004C47E9" w:rsidP="004C47E9">
      <w:pPr>
        <w:jc w:val="both"/>
        <w:rPr>
          <w:rFonts w:ascii="Arial" w:eastAsia="Arial" w:hAnsi="Arial" w:cs="Arial"/>
          <w:sz w:val="22"/>
          <w:szCs w:val="22"/>
        </w:rPr>
      </w:pPr>
      <w:r w:rsidRPr="00B710A9">
        <w:rPr>
          <w:rFonts w:ascii="Arial" w:eastAsia="Arial" w:hAnsi="Arial" w:cs="Arial"/>
          <w:sz w:val="22"/>
          <w:szCs w:val="22"/>
          <w:lang w:val="es"/>
        </w:rPr>
        <w:t xml:space="preserve">Por otro lado, de diciembre 2019 a noviembre 2021, en el marco del Proyecto de Inversión Fortalecimiento de la Gestión Institucional del IGAC a nivel Nacional, atendiendo al producto: </w:t>
      </w:r>
      <w:r w:rsidRPr="00B710A9">
        <w:rPr>
          <w:rFonts w:ascii="Arial" w:eastAsia="Arial" w:hAnsi="Arial" w:cs="Arial"/>
          <w:color w:val="000000" w:themeColor="text1"/>
          <w:sz w:val="22"/>
          <w:szCs w:val="22"/>
          <w:lang w:val="es"/>
        </w:rPr>
        <w:t>Servicio de Educación informal para la gestión Administrativa,</w:t>
      </w:r>
      <w:r w:rsidRPr="00B710A9">
        <w:rPr>
          <w:rFonts w:ascii="Arial" w:eastAsia="Arial" w:hAnsi="Arial" w:cs="Arial"/>
          <w:sz w:val="22"/>
          <w:szCs w:val="22"/>
          <w:lang w:val="es"/>
        </w:rPr>
        <w:t xml:space="preserve"> se han realizado dos contratos interadministrativos con la Universidad Nacional de Colombia y la Universidad Distrital Francisco José de Caldas, adicional, con  un contrato con la Caja de Compensación Familiar Compensar, con el propósito de llevar a cabo las actividades proyectadas en el Plan Institucional de Capacitación de la entidad y, de esta manera, orientar el fortalecimiento de las </w:t>
      </w:r>
      <w:r w:rsidRPr="00B710A9">
        <w:rPr>
          <w:rFonts w:ascii="Arial" w:eastAsia="Arial" w:hAnsi="Arial" w:cs="Arial"/>
          <w:color w:val="000000" w:themeColor="text1"/>
          <w:sz w:val="22"/>
          <w:szCs w:val="22"/>
          <w:lang w:val="es"/>
        </w:rPr>
        <w:t>competencias laborales y socioemocionales de los funcionarios.</w:t>
      </w:r>
    </w:p>
    <w:p w14:paraId="22B259DF" w14:textId="77777777" w:rsidR="004C47E9" w:rsidRPr="00B710A9" w:rsidRDefault="004C47E9" w:rsidP="004C47E9">
      <w:pPr>
        <w:jc w:val="both"/>
        <w:rPr>
          <w:rFonts w:ascii="Arial" w:hAnsi="Arial" w:cs="Arial"/>
          <w:sz w:val="22"/>
          <w:szCs w:val="22"/>
        </w:rPr>
      </w:pPr>
      <w:r w:rsidRPr="00B710A9">
        <w:rPr>
          <w:rFonts w:ascii="Arial" w:eastAsia="Arial" w:hAnsi="Arial" w:cs="Arial"/>
          <w:color w:val="000000" w:themeColor="text1"/>
          <w:sz w:val="22"/>
          <w:szCs w:val="22"/>
          <w:lang w:val="es"/>
        </w:rPr>
        <w:lastRenderedPageBreak/>
        <w:t xml:space="preserve">En la vigencia 2022 </w:t>
      </w:r>
      <w:r w:rsidRPr="00B710A9">
        <w:rPr>
          <w:rFonts w:ascii="Arial" w:eastAsia="Arial" w:hAnsi="Arial" w:cs="Arial"/>
          <w:sz w:val="22"/>
          <w:szCs w:val="22"/>
          <w:lang w:val="es"/>
        </w:rPr>
        <w:t>se realizaron dos contratos de prestación de servicios para orientar el fortalecimiento de las competencias laborales y blandas de los funcionarios de la entidad, así:</w:t>
      </w:r>
    </w:p>
    <w:p w14:paraId="27FF66D2" w14:textId="77777777" w:rsidR="004C47E9" w:rsidRPr="00B710A9" w:rsidRDefault="004C47E9" w:rsidP="004C47E9">
      <w:pPr>
        <w:jc w:val="both"/>
        <w:rPr>
          <w:rFonts w:ascii="Arial" w:hAnsi="Arial" w:cs="Arial"/>
          <w:sz w:val="22"/>
          <w:szCs w:val="22"/>
        </w:rPr>
      </w:pPr>
      <w:r w:rsidRPr="00B710A9">
        <w:rPr>
          <w:rFonts w:ascii="Arial" w:eastAsia="Arial" w:hAnsi="Arial" w:cs="Arial"/>
          <w:sz w:val="22"/>
          <w:szCs w:val="22"/>
          <w:lang w:val="es"/>
        </w:rPr>
        <w:t>-Contrato con la Universidad Nacional de Colombia para llevar a cabo los programas y proyectos del Plan Institucional de Capacitación en temas misionales y transversales.</w:t>
      </w:r>
    </w:p>
    <w:p w14:paraId="0C1848C1" w14:textId="77777777" w:rsidR="004C47E9" w:rsidRPr="00B710A9" w:rsidRDefault="004C47E9" w:rsidP="004C47E9">
      <w:pPr>
        <w:jc w:val="both"/>
        <w:rPr>
          <w:rFonts w:ascii="Arial" w:eastAsia="Arial" w:hAnsi="Arial" w:cs="Arial"/>
          <w:sz w:val="22"/>
          <w:szCs w:val="22"/>
          <w:lang w:val="es"/>
        </w:rPr>
      </w:pPr>
      <w:r w:rsidRPr="00B710A9">
        <w:rPr>
          <w:rFonts w:ascii="Arial" w:eastAsia="Arial" w:hAnsi="Arial" w:cs="Arial"/>
          <w:sz w:val="22"/>
          <w:szCs w:val="22"/>
          <w:lang w:val="es"/>
        </w:rPr>
        <w:t>-Contrato de prestación de servicios con un profesional para el desarrollo de las habilidades blandas de los funcionarios del instituto a nivel nacional, a través de talleres personalizados, aplicables y participativos, en modalidad presencial y virtual.</w:t>
      </w:r>
    </w:p>
    <w:p w14:paraId="2DF5A8A8" w14:textId="77777777" w:rsidR="00032D12" w:rsidRPr="00B710A9" w:rsidRDefault="00032D12" w:rsidP="004C47E9">
      <w:pPr>
        <w:jc w:val="both"/>
        <w:rPr>
          <w:rFonts w:ascii="Arial" w:eastAsia="Arial" w:hAnsi="Arial" w:cs="Arial"/>
          <w:sz w:val="22"/>
          <w:szCs w:val="22"/>
          <w:lang w:val="es"/>
        </w:rPr>
      </w:pPr>
    </w:p>
    <w:p w14:paraId="2DCA7A1E" w14:textId="77777777" w:rsidR="00F628F6" w:rsidRPr="00B710A9" w:rsidRDefault="00F628F6" w:rsidP="00356A3E">
      <w:pPr>
        <w:numPr>
          <w:ilvl w:val="0"/>
          <w:numId w:val="43"/>
        </w:numPr>
        <w:spacing w:after="0" w:line="240" w:lineRule="auto"/>
        <w:jc w:val="both"/>
        <w:rPr>
          <w:rFonts w:ascii="Arial" w:eastAsia="Calibri" w:hAnsi="Arial" w:cs="Arial"/>
          <w:color w:val="000000" w:themeColor="text1"/>
          <w:sz w:val="22"/>
          <w:szCs w:val="22"/>
        </w:rPr>
      </w:pPr>
      <w:r w:rsidRPr="00B710A9">
        <w:rPr>
          <w:rFonts w:ascii="Arial" w:hAnsi="Arial" w:cs="Arial"/>
          <w:color w:val="000000" w:themeColor="text1"/>
          <w:sz w:val="22"/>
          <w:szCs w:val="22"/>
        </w:rPr>
        <w:t xml:space="preserve"> </w:t>
      </w:r>
      <w:r w:rsidRPr="00B710A9">
        <w:rPr>
          <w:rFonts w:ascii="Arial" w:hAnsi="Arial" w:cs="Arial"/>
          <w:b/>
          <w:bCs/>
          <w:color w:val="000000" w:themeColor="text1"/>
          <w:sz w:val="22"/>
          <w:szCs w:val="22"/>
        </w:rPr>
        <w:t>Programa de bienestar e incentivos</w:t>
      </w:r>
    </w:p>
    <w:p w14:paraId="409D6CE7" w14:textId="77777777" w:rsidR="005E5B4A" w:rsidRPr="00B710A9" w:rsidRDefault="005E5B4A" w:rsidP="005F5A09">
      <w:pPr>
        <w:jc w:val="both"/>
        <w:textAlignment w:val="baseline"/>
        <w:rPr>
          <w:rFonts w:cs="Arial"/>
          <w:sz w:val="22"/>
          <w:szCs w:val="22"/>
        </w:rPr>
      </w:pPr>
    </w:p>
    <w:p w14:paraId="63E046F9" w14:textId="6E80071A" w:rsidR="005F5A09" w:rsidRPr="00B710A9" w:rsidRDefault="005F5A09" w:rsidP="005F5A09">
      <w:pPr>
        <w:jc w:val="both"/>
        <w:textAlignment w:val="baseline"/>
        <w:rPr>
          <w:rFonts w:ascii="Arial" w:hAnsi="Arial" w:cs="Arial"/>
          <w:sz w:val="20"/>
          <w:szCs w:val="20"/>
        </w:rPr>
      </w:pPr>
      <w:r w:rsidRPr="00B710A9">
        <w:rPr>
          <w:rFonts w:ascii="Arial" w:hAnsi="Arial" w:cs="Arial"/>
          <w:sz w:val="22"/>
          <w:szCs w:val="22"/>
        </w:rPr>
        <w:t>De junio 2020 a diciembre 2021, se han realizado dos contratos con la Caja de Compensación Familiar Compensar y la Caja de Compensación Familiar Cafam con el propósito de llevar a cabo las actividades proyectadas en el Plan de Bienestar e Incentivos, de igual manera atendiendo los resultados de la encuesta de clima organizacional, aplicada en el 2020, se generó el plan de intervención para el 2021, dando cumplimiento y de esta manera generar bienestar en los funcionarios y sus familias. </w:t>
      </w:r>
    </w:p>
    <w:p w14:paraId="78CF2D24" w14:textId="5CA35D93" w:rsidR="00D902C9" w:rsidRPr="00B710A9" w:rsidRDefault="00D902C9" w:rsidP="00D902C9">
      <w:pPr>
        <w:jc w:val="both"/>
        <w:textAlignment w:val="baseline"/>
        <w:rPr>
          <w:rFonts w:ascii="Arial" w:eastAsia="Arial" w:hAnsi="Arial" w:cs="Arial"/>
          <w:sz w:val="22"/>
          <w:szCs w:val="22"/>
          <w:lang w:val="es"/>
        </w:rPr>
      </w:pPr>
      <w:r w:rsidRPr="00B710A9">
        <w:rPr>
          <w:rFonts w:ascii="Arial" w:eastAsia="Arial" w:hAnsi="Arial" w:cs="Arial"/>
          <w:sz w:val="22"/>
          <w:szCs w:val="22"/>
          <w:lang w:val="es"/>
        </w:rPr>
        <w:t>De enero a junio de 2022 se ejecutaron 62 de las 68 actividades programadas en el Plan de Bienestar e Incentivos, obteniendo un 91% de cumplimiento, con lo cual se han generado espacios de esparcimiento, recreativos, deportivos, culturales, formativos, de beneficios, reconocimientos e incentivos. </w:t>
      </w:r>
    </w:p>
    <w:p w14:paraId="0ACD82C1" w14:textId="73087C76" w:rsidR="00D902C9" w:rsidRPr="00B710A9" w:rsidRDefault="00D902C9" w:rsidP="00D902C9">
      <w:pPr>
        <w:jc w:val="both"/>
        <w:textAlignment w:val="baseline"/>
        <w:rPr>
          <w:rFonts w:ascii="Arial" w:eastAsia="Arial" w:hAnsi="Arial" w:cs="Arial"/>
          <w:sz w:val="22"/>
          <w:szCs w:val="22"/>
          <w:lang w:val="es"/>
        </w:rPr>
      </w:pPr>
    </w:p>
    <w:p w14:paraId="3CCE12A8" w14:textId="77777777" w:rsidR="002B631C" w:rsidRPr="00B710A9" w:rsidRDefault="002B631C" w:rsidP="009D279A">
      <w:pPr>
        <w:spacing w:after="0" w:line="240" w:lineRule="auto"/>
        <w:jc w:val="center"/>
        <w:rPr>
          <w:rFonts w:ascii="Arial" w:eastAsia="Calibri" w:hAnsi="Arial" w:cs="Arial"/>
          <w:color w:val="000000" w:themeColor="text1"/>
          <w:sz w:val="22"/>
          <w:szCs w:val="22"/>
        </w:rPr>
      </w:pPr>
    </w:p>
    <w:p w14:paraId="18702E90" w14:textId="6273ACDA" w:rsidR="002B631C" w:rsidRPr="00B710A9" w:rsidRDefault="002B631C" w:rsidP="00356A3E">
      <w:pPr>
        <w:pStyle w:val="Prrafodelista"/>
        <w:numPr>
          <w:ilvl w:val="0"/>
          <w:numId w:val="27"/>
        </w:numPr>
        <w:spacing w:line="276" w:lineRule="auto"/>
        <w:jc w:val="both"/>
        <w:rPr>
          <w:rFonts w:ascii="Arial" w:hAnsi="Arial" w:cs="Arial"/>
          <w:b/>
          <w:bCs/>
          <w:color w:val="000000" w:themeColor="text1"/>
          <w:sz w:val="22"/>
          <w:szCs w:val="22"/>
        </w:rPr>
      </w:pPr>
      <w:r w:rsidRPr="00B710A9">
        <w:rPr>
          <w:rFonts w:ascii="Arial" w:hAnsi="Arial" w:cs="Arial"/>
          <w:b/>
          <w:bCs/>
          <w:color w:val="000000" w:themeColor="text1"/>
          <w:sz w:val="22"/>
          <w:szCs w:val="22"/>
        </w:rPr>
        <w:t>Administración de personal y provisión de planta</w:t>
      </w:r>
    </w:p>
    <w:p w14:paraId="22B6FAA5" w14:textId="77777777" w:rsidR="002B631C" w:rsidRPr="00B710A9" w:rsidRDefault="002B631C" w:rsidP="002B631C">
      <w:pPr>
        <w:spacing w:line="276" w:lineRule="auto"/>
        <w:ind w:firstLine="360"/>
        <w:jc w:val="both"/>
        <w:rPr>
          <w:rFonts w:ascii="Arial" w:eastAsia="Arial" w:hAnsi="Arial" w:cs="Arial"/>
          <w:b/>
          <w:bCs/>
          <w:sz w:val="22"/>
          <w:szCs w:val="22"/>
          <w:lang w:val="es"/>
        </w:rPr>
      </w:pPr>
    </w:p>
    <w:p w14:paraId="60BA457C" w14:textId="77777777" w:rsidR="002B631C" w:rsidRPr="00B710A9" w:rsidRDefault="002B631C" w:rsidP="002B631C">
      <w:pPr>
        <w:spacing w:line="276" w:lineRule="auto"/>
        <w:jc w:val="both"/>
        <w:rPr>
          <w:rFonts w:ascii="Arial" w:eastAsia="Arial" w:hAnsi="Arial" w:cs="Arial"/>
          <w:sz w:val="22"/>
          <w:szCs w:val="22"/>
          <w:lang w:val="es"/>
        </w:rPr>
      </w:pPr>
      <w:r w:rsidRPr="00B710A9">
        <w:rPr>
          <w:rFonts w:ascii="Arial" w:eastAsia="Arial" w:hAnsi="Arial" w:cs="Arial"/>
          <w:sz w:val="22"/>
          <w:szCs w:val="22"/>
          <w:lang w:val="es"/>
        </w:rPr>
        <w:t xml:space="preserve">Entre 2018 y 2020 se efectuaron 1.131 nombramientos en periodo de prueba, haciendo uso de la lista de elegible resultante de la convocatoria 337 de 2016 de la Comisión Nacional de Servicio Civil – CNSC.  </w:t>
      </w:r>
    </w:p>
    <w:p w14:paraId="14FED808" w14:textId="4D5D851A" w:rsidR="002B631C" w:rsidRPr="00B710A9" w:rsidRDefault="002B631C" w:rsidP="002B631C">
      <w:pPr>
        <w:jc w:val="both"/>
        <w:rPr>
          <w:rFonts w:ascii="Arial" w:eastAsia="Arial" w:hAnsi="Arial" w:cs="Arial"/>
          <w:sz w:val="22"/>
          <w:szCs w:val="22"/>
          <w:lang w:val="es"/>
        </w:rPr>
      </w:pPr>
      <w:r w:rsidRPr="00B710A9">
        <w:rPr>
          <w:rFonts w:ascii="Arial" w:eastAsia="Arial" w:hAnsi="Arial" w:cs="Arial"/>
          <w:sz w:val="22"/>
          <w:szCs w:val="22"/>
          <w:lang w:val="es"/>
        </w:rPr>
        <w:t>Antes de</w:t>
      </w:r>
      <w:r w:rsidR="00735F5D" w:rsidRPr="00B710A9">
        <w:rPr>
          <w:rFonts w:ascii="Arial" w:eastAsia="Arial" w:hAnsi="Arial" w:cs="Arial"/>
          <w:sz w:val="22"/>
          <w:szCs w:val="22"/>
          <w:lang w:val="es"/>
        </w:rPr>
        <w:t xml:space="preserve"> la</w:t>
      </w:r>
      <w:r w:rsidRPr="00B710A9">
        <w:rPr>
          <w:rFonts w:ascii="Arial" w:eastAsia="Arial" w:hAnsi="Arial" w:cs="Arial"/>
          <w:sz w:val="22"/>
          <w:szCs w:val="22"/>
          <w:lang w:val="es"/>
        </w:rPr>
        <w:t xml:space="preserve"> modernización</w:t>
      </w:r>
      <w:r w:rsidR="00735F5D" w:rsidRPr="00B710A9">
        <w:rPr>
          <w:rFonts w:ascii="Arial" w:eastAsia="Arial" w:hAnsi="Arial" w:cs="Arial"/>
          <w:sz w:val="22"/>
          <w:szCs w:val="22"/>
          <w:lang w:val="es"/>
        </w:rPr>
        <w:t>,</w:t>
      </w:r>
      <w:r w:rsidRPr="00B710A9">
        <w:rPr>
          <w:rFonts w:ascii="Arial" w:eastAsia="Arial" w:hAnsi="Arial" w:cs="Arial"/>
          <w:sz w:val="22"/>
          <w:szCs w:val="22"/>
          <w:lang w:val="es"/>
        </w:rPr>
        <w:t xml:space="preserve"> la planta estaba conformada por 1.054 empleos, con el Decreto 846 de 2021 se amplió la planta de personal a 1.125 empleos. Por lo anterior fue necesario dar por terminada la vinculación como provisionales a 258 funcionarios y se realizaron encargos para cubrir los empleos vacantes con funcionarios de carrera administrativa, según se observa a continuación: </w:t>
      </w:r>
    </w:p>
    <w:p w14:paraId="0FB2711E" w14:textId="77777777" w:rsidR="002B631C" w:rsidRDefault="002B631C" w:rsidP="002B631C">
      <w:pPr>
        <w:jc w:val="both"/>
        <w:rPr>
          <w:rFonts w:ascii="Arial" w:hAnsi="Arial" w:cs="Arial"/>
          <w:sz w:val="22"/>
          <w:szCs w:val="22"/>
        </w:rPr>
      </w:pPr>
    </w:p>
    <w:p w14:paraId="243215D6" w14:textId="77777777" w:rsidR="00330D6E" w:rsidRDefault="00330D6E" w:rsidP="002B631C">
      <w:pPr>
        <w:jc w:val="both"/>
        <w:rPr>
          <w:rFonts w:ascii="Arial" w:hAnsi="Arial" w:cs="Arial"/>
          <w:sz w:val="22"/>
          <w:szCs w:val="22"/>
        </w:rPr>
      </w:pPr>
    </w:p>
    <w:p w14:paraId="338EF44C" w14:textId="77777777" w:rsidR="00330D6E" w:rsidRDefault="00330D6E" w:rsidP="002B631C">
      <w:pPr>
        <w:jc w:val="both"/>
        <w:rPr>
          <w:rFonts w:ascii="Arial" w:hAnsi="Arial" w:cs="Arial"/>
          <w:sz w:val="22"/>
          <w:szCs w:val="22"/>
        </w:rPr>
      </w:pPr>
    </w:p>
    <w:p w14:paraId="290E2754" w14:textId="77777777" w:rsidR="00330D6E" w:rsidRDefault="00330D6E" w:rsidP="002B631C">
      <w:pPr>
        <w:jc w:val="both"/>
        <w:rPr>
          <w:rFonts w:ascii="Arial" w:hAnsi="Arial" w:cs="Arial"/>
          <w:sz w:val="22"/>
          <w:szCs w:val="22"/>
        </w:rPr>
      </w:pPr>
    </w:p>
    <w:p w14:paraId="7E92C9F2" w14:textId="77777777" w:rsidR="00330D6E" w:rsidRDefault="00330D6E" w:rsidP="00735F5D">
      <w:pPr>
        <w:pStyle w:val="Descripcin"/>
        <w:jc w:val="center"/>
        <w:rPr>
          <w:rFonts w:ascii="Arial" w:hAnsi="Arial" w:cs="Arial"/>
          <w:b/>
          <w:bCs/>
          <w:i w:val="0"/>
          <w:iCs w:val="0"/>
          <w:color w:val="000000" w:themeColor="text1"/>
          <w:sz w:val="16"/>
          <w:szCs w:val="16"/>
        </w:rPr>
      </w:pPr>
      <w:bookmarkStart w:id="85" w:name="_Toc109057784"/>
    </w:p>
    <w:p w14:paraId="19B1F635" w14:textId="58E905DD" w:rsidR="002B631C" w:rsidRPr="00B710A9" w:rsidRDefault="00735F5D" w:rsidP="00735F5D">
      <w:pPr>
        <w:pStyle w:val="Descripcin"/>
        <w:jc w:val="center"/>
        <w:rPr>
          <w:rFonts w:ascii="Arial" w:hAnsi="Arial" w:cs="Arial"/>
          <w:b/>
          <w:bCs/>
          <w:i w:val="0"/>
          <w:iCs w:val="0"/>
          <w:sz w:val="22"/>
          <w:szCs w:val="22"/>
        </w:rPr>
      </w:pPr>
      <w:r w:rsidRPr="00B710A9">
        <w:rPr>
          <w:rFonts w:ascii="Arial" w:hAnsi="Arial" w:cs="Arial"/>
          <w:b/>
          <w:bCs/>
          <w:i w:val="0"/>
          <w:iCs w:val="0"/>
          <w:color w:val="000000" w:themeColor="text1"/>
          <w:sz w:val="16"/>
          <w:szCs w:val="16"/>
        </w:rPr>
        <w:lastRenderedPageBreak/>
        <w:t xml:space="preserve">Ilustración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Ilustración \* ARABIC </w:instrText>
      </w:r>
      <w:r w:rsidRPr="00B710A9">
        <w:rPr>
          <w:rFonts w:ascii="Arial" w:hAnsi="Arial" w:cs="Arial"/>
          <w:b/>
          <w:bCs/>
          <w:i w:val="0"/>
          <w:iCs w:val="0"/>
          <w:color w:val="000000" w:themeColor="text1"/>
          <w:sz w:val="16"/>
          <w:szCs w:val="16"/>
        </w:rPr>
        <w:fldChar w:fldCharType="separate"/>
      </w:r>
      <w:r w:rsidRPr="00B710A9">
        <w:rPr>
          <w:rFonts w:ascii="Arial" w:hAnsi="Arial" w:cs="Arial"/>
          <w:b/>
          <w:bCs/>
          <w:i w:val="0"/>
          <w:iCs w:val="0"/>
          <w:noProof/>
          <w:color w:val="000000" w:themeColor="text1"/>
          <w:sz w:val="16"/>
          <w:szCs w:val="16"/>
        </w:rPr>
        <w:t>15</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Implementación de la modernización institucional</w:t>
      </w:r>
      <w:bookmarkEnd w:id="85"/>
    </w:p>
    <w:p w14:paraId="5B3F1CF4" w14:textId="77777777" w:rsidR="002B631C" w:rsidRPr="00B710A9" w:rsidRDefault="002B631C" w:rsidP="002B631C">
      <w:pPr>
        <w:spacing w:line="276" w:lineRule="auto"/>
        <w:jc w:val="both"/>
        <w:rPr>
          <w:rFonts w:ascii="Arial" w:hAnsi="Arial" w:cs="Arial"/>
          <w:color w:val="000000" w:themeColor="text1"/>
          <w:sz w:val="22"/>
          <w:szCs w:val="22"/>
          <w:lang w:val="es"/>
        </w:rPr>
      </w:pPr>
    </w:p>
    <w:p w14:paraId="1F46A458" w14:textId="77777777" w:rsidR="002B631C" w:rsidRPr="00B710A9" w:rsidRDefault="002B631C" w:rsidP="002B631C">
      <w:pPr>
        <w:spacing w:line="276" w:lineRule="auto"/>
        <w:jc w:val="center"/>
        <w:rPr>
          <w:rFonts w:ascii="Arial" w:hAnsi="Arial" w:cs="Arial"/>
          <w:b/>
          <w:bCs/>
          <w:color w:val="000000" w:themeColor="text1"/>
          <w:sz w:val="22"/>
          <w:szCs w:val="22"/>
        </w:rPr>
      </w:pPr>
      <w:r w:rsidRPr="00B710A9">
        <w:rPr>
          <w:rFonts w:ascii="Arial" w:hAnsi="Arial" w:cs="Arial"/>
          <w:sz w:val="22"/>
          <w:szCs w:val="22"/>
        </w:rPr>
        <w:t xml:space="preserve">        </w:t>
      </w:r>
      <w:r w:rsidRPr="00B710A9">
        <w:rPr>
          <w:rFonts w:ascii="Arial" w:hAnsi="Arial" w:cs="Arial"/>
          <w:noProof/>
          <w:sz w:val="22"/>
          <w:szCs w:val="22"/>
        </w:rPr>
        <w:drawing>
          <wp:inline distT="0" distB="0" distL="0" distR="0" wp14:anchorId="10744E7D" wp14:editId="58F3CDF3">
            <wp:extent cx="4572000" cy="2019300"/>
            <wp:effectExtent l="0" t="0" r="0" b="0"/>
            <wp:docPr id="25" name="Imagen 25"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11576" name="Imagen 2046511576" descr="Escala de tiempo&#10;&#10;Descripción generada automáticamente"/>
                    <pic:cNvPicPr/>
                  </pic:nvPicPr>
                  <pic:blipFill>
                    <a:blip r:embed="rId38" cstate="email">
                      <a:extLst>
                        <a:ext uri="{28A0092B-C50C-407E-A947-70E740481C1C}">
                          <a14:useLocalDpi xmlns:a14="http://schemas.microsoft.com/office/drawing/2010/main"/>
                        </a:ext>
                      </a:extLst>
                    </a:blip>
                    <a:stretch>
                      <a:fillRect/>
                    </a:stretch>
                  </pic:blipFill>
                  <pic:spPr>
                    <a:xfrm>
                      <a:off x="0" y="0"/>
                      <a:ext cx="4572000" cy="2019300"/>
                    </a:xfrm>
                    <a:prstGeom prst="rect">
                      <a:avLst/>
                    </a:prstGeom>
                  </pic:spPr>
                </pic:pic>
              </a:graphicData>
            </a:graphic>
          </wp:inline>
        </w:drawing>
      </w:r>
      <w:r w:rsidRPr="00B710A9">
        <w:rPr>
          <w:rFonts w:ascii="Arial" w:hAnsi="Arial" w:cs="Arial"/>
          <w:color w:val="000000" w:themeColor="text1"/>
          <w:sz w:val="22"/>
          <w:szCs w:val="22"/>
        </w:rPr>
        <w:t xml:space="preserve">              </w:t>
      </w:r>
    </w:p>
    <w:p w14:paraId="741B866D" w14:textId="77777777" w:rsidR="002B631C" w:rsidRPr="00B710A9" w:rsidRDefault="002B631C" w:rsidP="002B631C">
      <w:pPr>
        <w:spacing w:line="276" w:lineRule="auto"/>
        <w:jc w:val="center"/>
        <w:rPr>
          <w:rFonts w:ascii="Arial" w:hAnsi="Arial" w:cs="Arial"/>
          <w:sz w:val="22"/>
          <w:szCs w:val="22"/>
        </w:rPr>
      </w:pPr>
      <w:r w:rsidRPr="00B710A9">
        <w:rPr>
          <w:rFonts w:ascii="Arial" w:hAnsi="Arial" w:cs="Arial"/>
          <w:noProof/>
          <w:sz w:val="22"/>
          <w:szCs w:val="22"/>
        </w:rPr>
        <w:drawing>
          <wp:inline distT="0" distB="0" distL="0" distR="0" wp14:anchorId="1C30DA7E" wp14:editId="193AC6E1">
            <wp:extent cx="4735902" cy="1809750"/>
            <wp:effectExtent l="0" t="0" r="7620" b="0"/>
            <wp:docPr id="48" name="Imagen 48"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15570" name="Imagen 1720515570" descr="Escala de tiempo&#10;&#10;Descripción generada automáticamente"/>
                    <pic:cNvPicPr/>
                  </pic:nvPicPr>
                  <pic:blipFill>
                    <a:blip r:embed="rId39" cstate="email">
                      <a:extLst>
                        <a:ext uri="{28A0092B-C50C-407E-A947-70E740481C1C}">
                          <a14:useLocalDpi xmlns:a14="http://schemas.microsoft.com/office/drawing/2010/main"/>
                        </a:ext>
                      </a:extLst>
                    </a:blip>
                    <a:stretch>
                      <a:fillRect/>
                    </a:stretch>
                  </pic:blipFill>
                  <pic:spPr>
                    <a:xfrm>
                      <a:off x="0" y="0"/>
                      <a:ext cx="4737529" cy="1810372"/>
                    </a:xfrm>
                    <a:prstGeom prst="rect">
                      <a:avLst/>
                    </a:prstGeom>
                  </pic:spPr>
                </pic:pic>
              </a:graphicData>
            </a:graphic>
          </wp:inline>
        </w:drawing>
      </w:r>
    </w:p>
    <w:p w14:paraId="5F010838" w14:textId="77777777" w:rsidR="002B631C" w:rsidRPr="00B710A9" w:rsidRDefault="002B631C" w:rsidP="002B631C">
      <w:pPr>
        <w:pStyle w:val="Estilo5"/>
      </w:pPr>
      <w:r w:rsidRPr="00B710A9">
        <w:t>Fuente: Subdirección de Talento Humano - IGAC</w:t>
      </w:r>
    </w:p>
    <w:p w14:paraId="45A539AA" w14:textId="77777777" w:rsidR="002B631C" w:rsidRPr="00B710A9" w:rsidRDefault="002B631C" w:rsidP="002B631C">
      <w:pPr>
        <w:pStyle w:val="Estilo5"/>
        <w:rPr>
          <w:rFonts w:eastAsia="Arial"/>
          <w:sz w:val="22"/>
          <w:szCs w:val="22"/>
        </w:rPr>
      </w:pPr>
    </w:p>
    <w:p w14:paraId="785F3014" w14:textId="77777777" w:rsidR="002B631C" w:rsidRPr="00B710A9" w:rsidRDefault="002B631C" w:rsidP="002B631C">
      <w:pPr>
        <w:jc w:val="both"/>
        <w:textAlignment w:val="baseline"/>
        <w:rPr>
          <w:rFonts w:ascii="Arial" w:hAnsi="Arial" w:cs="Arial"/>
          <w:sz w:val="22"/>
          <w:szCs w:val="22"/>
        </w:rPr>
      </w:pPr>
      <w:r w:rsidRPr="00B710A9">
        <w:rPr>
          <w:rFonts w:ascii="Arial" w:hAnsi="Arial" w:cs="Arial"/>
          <w:sz w:val="22"/>
          <w:szCs w:val="22"/>
        </w:rPr>
        <w:t>Con corte a junio 30 de 2022, la provisión de la planta de personal de 1.125 empleos está provista en un 79% (889 empleos cubiertos), mediante titularidad, modalidad de encargo y en nombramiento provisional. </w:t>
      </w:r>
    </w:p>
    <w:p w14:paraId="68542795" w14:textId="6CCAE8BD" w:rsidR="002B631C" w:rsidRPr="00B710A9" w:rsidRDefault="002B631C" w:rsidP="002B631C">
      <w:pPr>
        <w:jc w:val="both"/>
        <w:textAlignment w:val="baseline"/>
        <w:rPr>
          <w:rFonts w:ascii="Arial" w:hAnsi="Arial" w:cs="Arial"/>
          <w:sz w:val="22"/>
          <w:szCs w:val="22"/>
        </w:rPr>
      </w:pPr>
      <w:r w:rsidRPr="00B710A9">
        <w:rPr>
          <w:rFonts w:ascii="Arial" w:hAnsi="Arial" w:cs="Arial"/>
          <w:sz w:val="22"/>
          <w:szCs w:val="22"/>
        </w:rPr>
        <w:t> En el mes de mayo año 2022 se remitieron a la C</w:t>
      </w:r>
      <w:r w:rsidR="00CD5259" w:rsidRPr="00B710A9">
        <w:rPr>
          <w:rFonts w:ascii="Arial" w:hAnsi="Arial" w:cs="Arial"/>
          <w:sz w:val="22"/>
          <w:szCs w:val="22"/>
        </w:rPr>
        <w:t xml:space="preserve">omisión </w:t>
      </w:r>
      <w:r w:rsidRPr="00B710A9">
        <w:rPr>
          <w:rFonts w:ascii="Arial" w:hAnsi="Arial" w:cs="Arial"/>
          <w:sz w:val="22"/>
          <w:szCs w:val="22"/>
        </w:rPr>
        <w:t>N</w:t>
      </w:r>
      <w:r w:rsidR="00CD5259" w:rsidRPr="00B710A9">
        <w:rPr>
          <w:rFonts w:ascii="Arial" w:hAnsi="Arial" w:cs="Arial"/>
          <w:sz w:val="22"/>
          <w:szCs w:val="22"/>
        </w:rPr>
        <w:t xml:space="preserve">acional del </w:t>
      </w:r>
      <w:r w:rsidRPr="00B710A9">
        <w:rPr>
          <w:rFonts w:ascii="Arial" w:hAnsi="Arial" w:cs="Arial"/>
          <w:sz w:val="22"/>
          <w:szCs w:val="22"/>
        </w:rPr>
        <w:t>S</w:t>
      </w:r>
      <w:r w:rsidR="00CD5259" w:rsidRPr="00B710A9">
        <w:rPr>
          <w:rFonts w:ascii="Arial" w:hAnsi="Arial" w:cs="Arial"/>
          <w:sz w:val="22"/>
          <w:szCs w:val="22"/>
        </w:rPr>
        <w:t xml:space="preserve">ervicio </w:t>
      </w:r>
      <w:r w:rsidRPr="00B710A9">
        <w:rPr>
          <w:rFonts w:ascii="Arial" w:hAnsi="Arial" w:cs="Arial"/>
          <w:sz w:val="22"/>
          <w:szCs w:val="22"/>
        </w:rPr>
        <w:t>C</w:t>
      </w:r>
      <w:r w:rsidR="00CD5259" w:rsidRPr="00B710A9">
        <w:rPr>
          <w:rFonts w:ascii="Arial" w:hAnsi="Arial" w:cs="Arial"/>
          <w:sz w:val="22"/>
          <w:szCs w:val="22"/>
        </w:rPr>
        <w:t>ivil (CNSC)</w:t>
      </w:r>
      <w:r w:rsidRPr="00B710A9">
        <w:rPr>
          <w:rFonts w:ascii="Arial" w:hAnsi="Arial" w:cs="Arial"/>
          <w:sz w:val="22"/>
          <w:szCs w:val="22"/>
        </w:rPr>
        <w:t xml:space="preserve"> los formatos actualizados de que trata la Circular 006 de 2020: certificación de cumplimiento de requisitos-servidores de carrera administrativa para concurso de ascenso (actualizado a 13 de mayo de 2022) y reporte de servidores que ostentan derechos de carrera administrativa en el IGAC (actualizado a 13 de mayo de 2022).   </w:t>
      </w:r>
    </w:p>
    <w:p w14:paraId="5498E759" w14:textId="4B98336B" w:rsidR="002B631C" w:rsidRPr="00B710A9" w:rsidRDefault="002B631C" w:rsidP="002B631C">
      <w:pPr>
        <w:jc w:val="both"/>
        <w:textAlignment w:val="baseline"/>
        <w:rPr>
          <w:rFonts w:ascii="Arial" w:hAnsi="Arial" w:cs="Arial"/>
          <w:sz w:val="22"/>
          <w:szCs w:val="22"/>
        </w:rPr>
      </w:pPr>
      <w:r w:rsidRPr="00B710A9">
        <w:rPr>
          <w:rFonts w:ascii="Arial" w:hAnsi="Arial" w:cs="Arial"/>
          <w:sz w:val="22"/>
          <w:szCs w:val="22"/>
        </w:rPr>
        <w:t>En el mes de marzo de 2022 se divulgó en la página web de la CNSC y del IGAC el Acuerdo No. 57 de fecha 10 de marzo de 2022, “Por el cual se convoca y se establecen las reglas del Proceso de Selección, en las modalidades de Ascenso y Abierto, para proveer los empleos en vacancia definitiva pertenecientes al Sistema General de Carrera Administrativa de la planta de personal del I</w:t>
      </w:r>
      <w:r w:rsidR="00DC1E55" w:rsidRPr="00B710A9">
        <w:rPr>
          <w:rFonts w:ascii="Arial" w:hAnsi="Arial" w:cs="Arial"/>
          <w:sz w:val="22"/>
          <w:szCs w:val="22"/>
        </w:rPr>
        <w:t xml:space="preserve">nstituto </w:t>
      </w:r>
      <w:r w:rsidRPr="00B710A9">
        <w:rPr>
          <w:rFonts w:ascii="Arial" w:hAnsi="Arial" w:cs="Arial"/>
          <w:sz w:val="22"/>
          <w:szCs w:val="22"/>
        </w:rPr>
        <w:t>G</w:t>
      </w:r>
      <w:r w:rsidR="00DC1E55" w:rsidRPr="00B710A9">
        <w:rPr>
          <w:rFonts w:ascii="Arial" w:hAnsi="Arial" w:cs="Arial"/>
          <w:sz w:val="22"/>
          <w:szCs w:val="22"/>
        </w:rPr>
        <w:t xml:space="preserve">eográfico </w:t>
      </w:r>
      <w:r w:rsidRPr="00B710A9">
        <w:rPr>
          <w:rFonts w:ascii="Arial" w:hAnsi="Arial" w:cs="Arial"/>
          <w:sz w:val="22"/>
          <w:szCs w:val="22"/>
        </w:rPr>
        <w:t>A</w:t>
      </w:r>
      <w:r w:rsidR="00DC1E55" w:rsidRPr="00B710A9">
        <w:rPr>
          <w:rFonts w:ascii="Arial" w:hAnsi="Arial" w:cs="Arial"/>
          <w:sz w:val="22"/>
          <w:szCs w:val="22"/>
        </w:rPr>
        <w:t xml:space="preserve">gustín </w:t>
      </w:r>
      <w:r w:rsidRPr="00B710A9">
        <w:rPr>
          <w:rFonts w:ascii="Arial" w:hAnsi="Arial" w:cs="Arial"/>
          <w:sz w:val="22"/>
          <w:szCs w:val="22"/>
        </w:rPr>
        <w:t>C</w:t>
      </w:r>
      <w:r w:rsidR="00DC1E55" w:rsidRPr="00B710A9">
        <w:rPr>
          <w:rFonts w:ascii="Arial" w:hAnsi="Arial" w:cs="Arial"/>
          <w:sz w:val="22"/>
          <w:szCs w:val="22"/>
        </w:rPr>
        <w:t>odazzi</w:t>
      </w:r>
      <w:r w:rsidRPr="00B710A9">
        <w:rPr>
          <w:rFonts w:ascii="Arial" w:hAnsi="Arial" w:cs="Arial"/>
          <w:sz w:val="22"/>
          <w:szCs w:val="22"/>
        </w:rPr>
        <w:t xml:space="preserve">-IGAC, Proceso de Selección Entidades del Orden Nacional No. 2246 de 2022”.  </w:t>
      </w:r>
      <w:hyperlink r:id="rId40" w:tgtFrame="_blank" w:history="1">
        <w:r w:rsidRPr="00B710A9">
          <w:rPr>
            <w:rFonts w:ascii="Arial" w:hAnsi="Arial" w:cs="Arial"/>
            <w:color w:val="0000FF"/>
            <w:sz w:val="22"/>
            <w:szCs w:val="22"/>
            <w:u w:val="single"/>
          </w:rPr>
          <w:t>https://historico.cnsc.gov.co/index.php/conv-orden-nacional-2022</w:t>
        </w:r>
      </w:hyperlink>
      <w:r w:rsidRPr="00B710A9">
        <w:rPr>
          <w:rFonts w:ascii="Arial" w:hAnsi="Arial" w:cs="Arial"/>
          <w:sz w:val="22"/>
          <w:szCs w:val="22"/>
        </w:rPr>
        <w:t>. </w:t>
      </w:r>
    </w:p>
    <w:p w14:paraId="27F55060" w14:textId="6BC42440" w:rsidR="002B631C" w:rsidRPr="00B710A9" w:rsidRDefault="002B631C" w:rsidP="002B631C">
      <w:pPr>
        <w:jc w:val="both"/>
        <w:textAlignment w:val="baseline"/>
        <w:rPr>
          <w:rFonts w:cs="Segoe UI"/>
          <w:sz w:val="18"/>
          <w:szCs w:val="18"/>
        </w:rPr>
      </w:pPr>
      <w:r w:rsidRPr="00B710A9">
        <w:rPr>
          <w:rFonts w:ascii="Arial" w:hAnsi="Arial" w:cs="Arial"/>
          <w:sz w:val="22"/>
          <w:szCs w:val="22"/>
        </w:rPr>
        <w:lastRenderedPageBreak/>
        <w:t>En el proceso de selección en la modalidad abierto, se ofertarán 360 vacantes definitivas de empleos de carrera administrativa, las cuales se detallan a continuación: </w:t>
      </w:r>
      <w:r w:rsidRPr="00B710A9">
        <w:rPr>
          <w:rFonts w:cs="Arial"/>
          <w:sz w:val="22"/>
          <w:szCs w:val="22"/>
        </w:rPr>
        <w:t> </w:t>
      </w:r>
    </w:p>
    <w:p w14:paraId="1B6F91BB" w14:textId="77777777" w:rsidR="00330D6E" w:rsidRDefault="00330D6E" w:rsidP="00330D6E">
      <w:pPr>
        <w:jc w:val="center"/>
        <w:textAlignment w:val="baseline"/>
        <w:rPr>
          <w:rFonts w:cs="Arial"/>
          <w:sz w:val="22"/>
          <w:szCs w:val="22"/>
        </w:rPr>
      </w:pPr>
      <w:bookmarkStart w:id="86" w:name="_Toc109057764"/>
      <w:bookmarkStart w:id="87" w:name="_Toc107995501"/>
    </w:p>
    <w:p w14:paraId="119F5B4F" w14:textId="4A64E344" w:rsidR="00CD5259" w:rsidRPr="00B710A9" w:rsidRDefault="00CD5259" w:rsidP="00330D6E">
      <w:pPr>
        <w:jc w:val="center"/>
        <w:textAlignment w:val="baseline"/>
        <w:rPr>
          <w:rFonts w:ascii="Arial" w:hAnsi="Arial" w:cs="Arial"/>
          <w:b/>
          <w:bCs/>
          <w:color w:val="000000" w:themeColor="text1"/>
          <w:sz w:val="16"/>
          <w:szCs w:val="16"/>
        </w:rPr>
      </w:pPr>
      <w:r w:rsidRPr="00B710A9">
        <w:rPr>
          <w:rFonts w:ascii="Arial" w:hAnsi="Arial" w:cs="Arial"/>
          <w:b/>
          <w:bCs/>
          <w:color w:val="000000" w:themeColor="text1"/>
          <w:sz w:val="16"/>
          <w:szCs w:val="16"/>
        </w:rPr>
        <w:t xml:space="preserve">Tabla </w:t>
      </w:r>
      <w:r w:rsidRPr="00B710A9">
        <w:rPr>
          <w:rFonts w:ascii="Arial" w:hAnsi="Arial" w:cs="Arial"/>
          <w:b/>
          <w:bCs/>
          <w:color w:val="000000" w:themeColor="text1"/>
          <w:sz w:val="16"/>
          <w:szCs w:val="16"/>
        </w:rPr>
        <w:fldChar w:fldCharType="begin"/>
      </w:r>
      <w:r w:rsidRPr="00B710A9">
        <w:rPr>
          <w:rFonts w:ascii="Arial" w:hAnsi="Arial" w:cs="Arial"/>
          <w:b/>
          <w:bCs/>
          <w:color w:val="000000" w:themeColor="text1"/>
          <w:sz w:val="16"/>
          <w:szCs w:val="16"/>
        </w:rPr>
        <w:instrText xml:space="preserve"> SEQ Tabla \* ARABIC </w:instrText>
      </w:r>
      <w:r w:rsidRPr="00B710A9">
        <w:rPr>
          <w:rFonts w:ascii="Arial" w:hAnsi="Arial" w:cs="Arial"/>
          <w:b/>
          <w:bCs/>
          <w:color w:val="000000" w:themeColor="text1"/>
          <w:sz w:val="16"/>
          <w:szCs w:val="16"/>
        </w:rPr>
        <w:fldChar w:fldCharType="separate"/>
      </w:r>
      <w:r w:rsidR="00801DF8" w:rsidRPr="00B710A9">
        <w:rPr>
          <w:rFonts w:ascii="Arial" w:hAnsi="Arial" w:cs="Arial"/>
          <w:b/>
          <w:bCs/>
          <w:i/>
          <w:iCs/>
          <w:noProof/>
          <w:color w:val="000000" w:themeColor="text1"/>
          <w:sz w:val="16"/>
          <w:szCs w:val="16"/>
        </w:rPr>
        <w:t>34</w:t>
      </w:r>
      <w:r w:rsidRPr="00B710A9">
        <w:rPr>
          <w:rFonts w:ascii="Arial" w:hAnsi="Arial" w:cs="Arial"/>
          <w:b/>
          <w:bCs/>
          <w:color w:val="000000" w:themeColor="text1"/>
          <w:sz w:val="16"/>
          <w:szCs w:val="16"/>
        </w:rPr>
        <w:fldChar w:fldCharType="end"/>
      </w:r>
      <w:r w:rsidRPr="00B710A9">
        <w:rPr>
          <w:rFonts w:ascii="Arial" w:hAnsi="Arial" w:cs="Arial"/>
          <w:b/>
          <w:bCs/>
          <w:color w:val="000000" w:themeColor="text1"/>
          <w:sz w:val="16"/>
          <w:szCs w:val="16"/>
        </w:rPr>
        <w:t>. Empleos vacantes por nivel jerárquico que se ofertaran por modalidad abierto</w:t>
      </w:r>
      <w:bookmarkEnd w:id="86"/>
    </w:p>
    <w:tbl>
      <w:tblPr>
        <w:tblStyle w:val="Tablaconcuadrcula4-nfasis1"/>
        <w:tblW w:w="6690" w:type="dxa"/>
        <w:jc w:val="center"/>
        <w:tblLook w:val="04A0" w:firstRow="1" w:lastRow="0" w:firstColumn="1" w:lastColumn="0" w:noHBand="0" w:noVBand="1"/>
      </w:tblPr>
      <w:tblGrid>
        <w:gridCol w:w="2536"/>
        <w:gridCol w:w="1982"/>
        <w:gridCol w:w="2172"/>
      </w:tblGrid>
      <w:tr w:rsidR="002B631C" w:rsidRPr="00B710A9" w14:paraId="04CDEAE2" w14:textId="77777777" w:rsidTr="00CD525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6" w:type="dxa"/>
            <w:hideMark/>
          </w:tcPr>
          <w:bookmarkEnd w:id="87"/>
          <w:p w14:paraId="5DDBA1BA" w14:textId="77777777" w:rsidR="002B631C" w:rsidRPr="00B710A9" w:rsidRDefault="002B631C" w:rsidP="00491526">
            <w:pPr>
              <w:jc w:val="center"/>
              <w:textAlignment w:val="baseline"/>
              <w:rPr>
                <w:rFonts w:ascii="Arial" w:eastAsia="Arial" w:hAnsi="Arial" w:cs="Arial"/>
                <w:b w:val="0"/>
                <w:bCs w:val="0"/>
                <w:sz w:val="18"/>
                <w:szCs w:val="18"/>
              </w:rPr>
            </w:pPr>
            <w:r w:rsidRPr="00B710A9">
              <w:rPr>
                <w:rFonts w:ascii="Arial" w:eastAsia="Arial" w:hAnsi="Arial" w:cs="Arial"/>
                <w:sz w:val="18"/>
                <w:szCs w:val="18"/>
              </w:rPr>
              <w:t>NIVEL JERÁRQUICO </w:t>
            </w:r>
          </w:p>
        </w:tc>
        <w:tc>
          <w:tcPr>
            <w:tcW w:w="1982" w:type="dxa"/>
            <w:hideMark/>
          </w:tcPr>
          <w:p w14:paraId="4DD83B81" w14:textId="77777777" w:rsidR="002B631C" w:rsidRPr="00B710A9" w:rsidRDefault="002B631C" w:rsidP="00491526">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B710A9">
              <w:rPr>
                <w:rFonts w:ascii="Arial" w:eastAsia="Arial" w:hAnsi="Arial" w:cs="Arial"/>
                <w:sz w:val="18"/>
                <w:szCs w:val="18"/>
              </w:rPr>
              <w:t>NÚMERO DE EMPLEOS </w:t>
            </w:r>
          </w:p>
        </w:tc>
        <w:tc>
          <w:tcPr>
            <w:tcW w:w="2172" w:type="dxa"/>
            <w:hideMark/>
          </w:tcPr>
          <w:p w14:paraId="7B6FA305" w14:textId="77777777" w:rsidR="002B631C" w:rsidRPr="00B710A9" w:rsidRDefault="002B631C" w:rsidP="00491526">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B710A9">
              <w:rPr>
                <w:rFonts w:ascii="Arial" w:eastAsia="Arial" w:hAnsi="Arial" w:cs="Arial"/>
                <w:sz w:val="18"/>
                <w:szCs w:val="18"/>
              </w:rPr>
              <w:t>NÚMERO DE VACANTES </w:t>
            </w:r>
          </w:p>
        </w:tc>
      </w:tr>
      <w:tr w:rsidR="002B631C" w:rsidRPr="00B710A9" w14:paraId="17820335" w14:textId="77777777" w:rsidTr="00CD525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6" w:type="dxa"/>
            <w:hideMark/>
          </w:tcPr>
          <w:p w14:paraId="6AB8A183" w14:textId="77777777" w:rsidR="002B631C" w:rsidRPr="00B710A9" w:rsidRDefault="002B631C" w:rsidP="00491526">
            <w:pPr>
              <w:textAlignment w:val="baseline"/>
              <w:rPr>
                <w:rFonts w:ascii="Arial" w:eastAsia="Arial" w:hAnsi="Arial" w:cs="Arial"/>
                <w:b w:val="0"/>
                <w:bCs w:val="0"/>
                <w:sz w:val="18"/>
                <w:szCs w:val="18"/>
              </w:rPr>
            </w:pPr>
            <w:r w:rsidRPr="00B710A9">
              <w:rPr>
                <w:rFonts w:ascii="Arial" w:eastAsia="Arial" w:hAnsi="Arial" w:cs="Arial"/>
                <w:sz w:val="18"/>
                <w:szCs w:val="18"/>
              </w:rPr>
              <w:t>Asesor </w:t>
            </w:r>
          </w:p>
        </w:tc>
        <w:tc>
          <w:tcPr>
            <w:tcW w:w="1982" w:type="dxa"/>
            <w:hideMark/>
          </w:tcPr>
          <w:p w14:paraId="48190E62" w14:textId="77777777" w:rsidR="002B631C" w:rsidRPr="00B710A9" w:rsidRDefault="002B631C"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0 </w:t>
            </w:r>
          </w:p>
        </w:tc>
        <w:tc>
          <w:tcPr>
            <w:tcW w:w="2172" w:type="dxa"/>
            <w:hideMark/>
          </w:tcPr>
          <w:p w14:paraId="04499FBF" w14:textId="77777777" w:rsidR="002B631C" w:rsidRPr="00B710A9" w:rsidRDefault="002B631C"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0 </w:t>
            </w:r>
          </w:p>
        </w:tc>
      </w:tr>
      <w:tr w:rsidR="002B631C" w:rsidRPr="00B710A9" w14:paraId="1802983F" w14:textId="77777777" w:rsidTr="00CD5259">
        <w:trPr>
          <w:trHeight w:val="300"/>
          <w:jc w:val="center"/>
        </w:trPr>
        <w:tc>
          <w:tcPr>
            <w:cnfStyle w:val="001000000000" w:firstRow="0" w:lastRow="0" w:firstColumn="1" w:lastColumn="0" w:oddVBand="0" w:evenVBand="0" w:oddHBand="0" w:evenHBand="0" w:firstRowFirstColumn="0" w:firstRowLastColumn="0" w:lastRowFirstColumn="0" w:lastRowLastColumn="0"/>
            <w:tcW w:w="2536" w:type="dxa"/>
            <w:hideMark/>
          </w:tcPr>
          <w:p w14:paraId="71C1D128" w14:textId="77777777" w:rsidR="002B631C" w:rsidRPr="00B710A9" w:rsidRDefault="002B631C" w:rsidP="00491526">
            <w:pPr>
              <w:textAlignment w:val="baseline"/>
              <w:rPr>
                <w:rFonts w:ascii="Arial" w:eastAsia="Arial" w:hAnsi="Arial" w:cs="Arial"/>
                <w:b w:val="0"/>
                <w:bCs w:val="0"/>
                <w:sz w:val="18"/>
                <w:szCs w:val="18"/>
              </w:rPr>
            </w:pPr>
            <w:r w:rsidRPr="00B710A9">
              <w:rPr>
                <w:rFonts w:ascii="Arial" w:eastAsia="Arial" w:hAnsi="Arial" w:cs="Arial"/>
                <w:sz w:val="18"/>
                <w:szCs w:val="18"/>
              </w:rPr>
              <w:t>Profesional </w:t>
            </w:r>
          </w:p>
        </w:tc>
        <w:tc>
          <w:tcPr>
            <w:tcW w:w="1982" w:type="dxa"/>
            <w:hideMark/>
          </w:tcPr>
          <w:p w14:paraId="3381E19F" w14:textId="77777777" w:rsidR="002B631C" w:rsidRPr="00B710A9" w:rsidRDefault="002B631C" w:rsidP="0049152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69 </w:t>
            </w:r>
          </w:p>
        </w:tc>
        <w:tc>
          <w:tcPr>
            <w:tcW w:w="2172" w:type="dxa"/>
            <w:hideMark/>
          </w:tcPr>
          <w:p w14:paraId="18B94E6E" w14:textId="77777777" w:rsidR="002B631C" w:rsidRPr="00B710A9" w:rsidRDefault="002B631C" w:rsidP="0049152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149 </w:t>
            </w:r>
          </w:p>
        </w:tc>
      </w:tr>
      <w:tr w:rsidR="002B631C" w:rsidRPr="00B710A9" w14:paraId="23C678C1" w14:textId="77777777" w:rsidTr="00CD525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6" w:type="dxa"/>
            <w:hideMark/>
          </w:tcPr>
          <w:p w14:paraId="36976AE6" w14:textId="77777777" w:rsidR="002B631C" w:rsidRPr="00B710A9" w:rsidRDefault="002B631C" w:rsidP="00491526">
            <w:pPr>
              <w:textAlignment w:val="baseline"/>
              <w:rPr>
                <w:rFonts w:ascii="Arial" w:eastAsia="Arial" w:hAnsi="Arial" w:cs="Arial"/>
                <w:b w:val="0"/>
                <w:bCs w:val="0"/>
                <w:sz w:val="18"/>
                <w:szCs w:val="18"/>
              </w:rPr>
            </w:pPr>
            <w:r w:rsidRPr="00B710A9">
              <w:rPr>
                <w:rFonts w:ascii="Arial" w:eastAsia="Arial" w:hAnsi="Arial" w:cs="Arial"/>
                <w:sz w:val="18"/>
                <w:szCs w:val="18"/>
              </w:rPr>
              <w:t>Técnico </w:t>
            </w:r>
          </w:p>
        </w:tc>
        <w:tc>
          <w:tcPr>
            <w:tcW w:w="1982" w:type="dxa"/>
            <w:hideMark/>
          </w:tcPr>
          <w:p w14:paraId="69ECD45E" w14:textId="77777777" w:rsidR="002B631C" w:rsidRPr="00B710A9" w:rsidRDefault="002B631C"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18 </w:t>
            </w:r>
          </w:p>
        </w:tc>
        <w:tc>
          <w:tcPr>
            <w:tcW w:w="2172" w:type="dxa"/>
            <w:hideMark/>
          </w:tcPr>
          <w:p w14:paraId="3D9BF9AF" w14:textId="77777777" w:rsidR="002B631C" w:rsidRPr="00B710A9" w:rsidRDefault="002B631C"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58 </w:t>
            </w:r>
          </w:p>
        </w:tc>
      </w:tr>
      <w:tr w:rsidR="002B631C" w:rsidRPr="00B710A9" w14:paraId="7F3C7F1D" w14:textId="77777777" w:rsidTr="00CD5259">
        <w:trPr>
          <w:trHeight w:val="300"/>
          <w:jc w:val="center"/>
        </w:trPr>
        <w:tc>
          <w:tcPr>
            <w:cnfStyle w:val="001000000000" w:firstRow="0" w:lastRow="0" w:firstColumn="1" w:lastColumn="0" w:oddVBand="0" w:evenVBand="0" w:oddHBand="0" w:evenHBand="0" w:firstRowFirstColumn="0" w:firstRowLastColumn="0" w:lastRowFirstColumn="0" w:lastRowLastColumn="0"/>
            <w:tcW w:w="2536" w:type="dxa"/>
            <w:hideMark/>
          </w:tcPr>
          <w:p w14:paraId="10135736" w14:textId="77777777" w:rsidR="002B631C" w:rsidRPr="00B710A9" w:rsidRDefault="002B631C" w:rsidP="00491526">
            <w:pPr>
              <w:textAlignment w:val="baseline"/>
              <w:rPr>
                <w:rFonts w:ascii="Arial" w:eastAsia="Arial" w:hAnsi="Arial" w:cs="Arial"/>
                <w:b w:val="0"/>
                <w:bCs w:val="0"/>
                <w:sz w:val="18"/>
                <w:szCs w:val="18"/>
              </w:rPr>
            </w:pPr>
            <w:r w:rsidRPr="00B710A9">
              <w:rPr>
                <w:rFonts w:ascii="Arial" w:eastAsia="Arial" w:hAnsi="Arial" w:cs="Arial"/>
                <w:sz w:val="18"/>
                <w:szCs w:val="18"/>
              </w:rPr>
              <w:t>Asistencial </w:t>
            </w:r>
          </w:p>
        </w:tc>
        <w:tc>
          <w:tcPr>
            <w:tcW w:w="1982" w:type="dxa"/>
            <w:hideMark/>
          </w:tcPr>
          <w:p w14:paraId="510576F3" w14:textId="77777777" w:rsidR="002B631C" w:rsidRPr="00B710A9" w:rsidRDefault="002B631C" w:rsidP="0049152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12 </w:t>
            </w:r>
          </w:p>
        </w:tc>
        <w:tc>
          <w:tcPr>
            <w:tcW w:w="2172" w:type="dxa"/>
            <w:hideMark/>
          </w:tcPr>
          <w:p w14:paraId="59B13B4B" w14:textId="77777777" w:rsidR="002B631C" w:rsidRPr="00B710A9" w:rsidRDefault="002B631C" w:rsidP="0049152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B710A9">
              <w:rPr>
                <w:rFonts w:ascii="Arial" w:eastAsia="Arial" w:hAnsi="Arial" w:cs="Arial"/>
                <w:sz w:val="18"/>
                <w:szCs w:val="18"/>
              </w:rPr>
              <w:t>153 </w:t>
            </w:r>
          </w:p>
        </w:tc>
      </w:tr>
      <w:tr w:rsidR="002B631C" w:rsidRPr="00B710A9" w14:paraId="3E48CD3C" w14:textId="77777777" w:rsidTr="00CD525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6" w:type="dxa"/>
            <w:hideMark/>
          </w:tcPr>
          <w:p w14:paraId="4EE577B1" w14:textId="77777777" w:rsidR="002B631C" w:rsidRPr="00B710A9" w:rsidRDefault="002B631C" w:rsidP="00491526">
            <w:pPr>
              <w:jc w:val="center"/>
              <w:textAlignment w:val="baseline"/>
              <w:rPr>
                <w:rFonts w:ascii="Arial" w:eastAsia="Arial" w:hAnsi="Arial" w:cs="Arial"/>
                <w:sz w:val="18"/>
                <w:szCs w:val="18"/>
              </w:rPr>
            </w:pPr>
            <w:r w:rsidRPr="00B710A9">
              <w:rPr>
                <w:rFonts w:ascii="Arial" w:eastAsia="Arial" w:hAnsi="Arial" w:cs="Arial"/>
                <w:sz w:val="18"/>
                <w:szCs w:val="18"/>
              </w:rPr>
              <w:t>TOTAL</w:t>
            </w:r>
          </w:p>
        </w:tc>
        <w:tc>
          <w:tcPr>
            <w:tcW w:w="1982" w:type="dxa"/>
            <w:hideMark/>
          </w:tcPr>
          <w:p w14:paraId="542D9A64" w14:textId="77777777" w:rsidR="002B631C" w:rsidRPr="00B710A9" w:rsidRDefault="002B631C"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B710A9">
              <w:rPr>
                <w:rFonts w:ascii="Arial" w:eastAsia="Arial" w:hAnsi="Arial" w:cs="Arial"/>
                <w:b/>
                <w:bCs/>
                <w:sz w:val="18"/>
                <w:szCs w:val="18"/>
              </w:rPr>
              <w:t>99</w:t>
            </w:r>
          </w:p>
        </w:tc>
        <w:tc>
          <w:tcPr>
            <w:tcW w:w="2172" w:type="dxa"/>
            <w:hideMark/>
          </w:tcPr>
          <w:p w14:paraId="7488C70A" w14:textId="77777777" w:rsidR="002B631C" w:rsidRPr="00B710A9" w:rsidRDefault="002B631C"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B710A9">
              <w:rPr>
                <w:rFonts w:ascii="Arial" w:eastAsia="Arial" w:hAnsi="Arial" w:cs="Arial"/>
                <w:b/>
                <w:bCs/>
                <w:sz w:val="18"/>
                <w:szCs w:val="18"/>
              </w:rPr>
              <w:t>360</w:t>
            </w:r>
          </w:p>
        </w:tc>
      </w:tr>
    </w:tbl>
    <w:p w14:paraId="09F6415B" w14:textId="77777777" w:rsidR="002B631C" w:rsidRPr="00B710A9" w:rsidRDefault="002B631C" w:rsidP="002B631C">
      <w:pPr>
        <w:pStyle w:val="Estilo5"/>
      </w:pPr>
      <w:r w:rsidRPr="00B710A9">
        <w:t>Fuente: Subdirección de Talento Humano - IGAC</w:t>
      </w:r>
    </w:p>
    <w:p w14:paraId="4735E945" w14:textId="77777777" w:rsidR="002B631C" w:rsidRPr="00B710A9" w:rsidRDefault="002B631C" w:rsidP="002B631C">
      <w:pPr>
        <w:jc w:val="both"/>
        <w:rPr>
          <w:rFonts w:eastAsia="Arial"/>
          <w:sz w:val="22"/>
          <w:szCs w:val="22"/>
        </w:rPr>
      </w:pPr>
    </w:p>
    <w:p w14:paraId="7A42D228" w14:textId="77777777" w:rsidR="002B631C" w:rsidRPr="00B710A9" w:rsidRDefault="002B631C" w:rsidP="002B631C">
      <w:pPr>
        <w:jc w:val="both"/>
        <w:rPr>
          <w:rFonts w:ascii="Arial" w:eastAsia="Arial" w:hAnsi="Arial" w:cs="Arial"/>
          <w:sz w:val="22"/>
          <w:szCs w:val="22"/>
        </w:rPr>
      </w:pPr>
      <w:r w:rsidRPr="00B710A9">
        <w:rPr>
          <w:rFonts w:ascii="Arial" w:eastAsia="Arial" w:hAnsi="Arial" w:cs="Arial"/>
          <w:sz w:val="22"/>
          <w:szCs w:val="22"/>
        </w:rPr>
        <w:t>En el proceso de selección en la modalidad ascenso, se ofertarán 154 vacantes definitivas de empleos de carrera administrativa, las cuales se detallan a continuación: </w:t>
      </w:r>
    </w:p>
    <w:p w14:paraId="70853D6B" w14:textId="77777777" w:rsidR="002B631C" w:rsidRPr="00B710A9" w:rsidRDefault="002B631C" w:rsidP="002B631C">
      <w:pPr>
        <w:jc w:val="both"/>
        <w:rPr>
          <w:rFonts w:ascii="Arial" w:eastAsia="Arial" w:hAnsi="Arial" w:cs="Arial"/>
          <w:b/>
          <w:bCs/>
          <w:color w:val="000000" w:themeColor="text1"/>
          <w:sz w:val="20"/>
          <w:szCs w:val="20"/>
        </w:rPr>
      </w:pPr>
    </w:p>
    <w:p w14:paraId="6233AA04" w14:textId="4856F69C" w:rsidR="00CD5259" w:rsidRPr="00B710A9" w:rsidRDefault="00CD5259" w:rsidP="00CD5259">
      <w:pPr>
        <w:pStyle w:val="Descripcin"/>
        <w:keepNext/>
        <w:jc w:val="center"/>
        <w:rPr>
          <w:rFonts w:ascii="Arial" w:hAnsi="Arial" w:cs="Arial"/>
          <w:b/>
          <w:bCs/>
          <w:i w:val="0"/>
          <w:iCs w:val="0"/>
          <w:color w:val="000000" w:themeColor="text1"/>
          <w:sz w:val="16"/>
          <w:szCs w:val="16"/>
        </w:rPr>
      </w:pPr>
      <w:bookmarkStart w:id="88" w:name="_Toc109057765"/>
      <w:bookmarkStart w:id="89" w:name="_Toc107995502"/>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00801DF8" w:rsidRPr="00B710A9">
        <w:rPr>
          <w:rFonts w:ascii="Arial" w:hAnsi="Arial" w:cs="Arial"/>
          <w:b/>
          <w:bCs/>
          <w:i w:val="0"/>
          <w:iCs w:val="0"/>
          <w:noProof/>
          <w:color w:val="000000" w:themeColor="text1"/>
          <w:sz w:val="16"/>
          <w:szCs w:val="16"/>
        </w:rPr>
        <w:t>35</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Empleos vacantes por nivel jerárquico que se ofertaran por modalidad ascenso</w:t>
      </w:r>
      <w:bookmarkEnd w:id="88"/>
    </w:p>
    <w:tbl>
      <w:tblPr>
        <w:tblStyle w:val="Tablaconcuadrcula4-nfasis1"/>
        <w:tblW w:w="3512" w:type="dxa"/>
        <w:jc w:val="center"/>
        <w:tblLook w:val="04A0" w:firstRow="1" w:lastRow="0" w:firstColumn="1" w:lastColumn="0" w:noHBand="0" w:noVBand="1"/>
      </w:tblPr>
      <w:tblGrid>
        <w:gridCol w:w="1328"/>
        <w:gridCol w:w="1043"/>
        <w:gridCol w:w="1141"/>
      </w:tblGrid>
      <w:tr w:rsidR="002B631C" w:rsidRPr="00B710A9" w14:paraId="64F2F432" w14:textId="77777777" w:rsidTr="00CD525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28" w:type="dxa"/>
            <w:hideMark/>
          </w:tcPr>
          <w:bookmarkEnd w:id="89"/>
          <w:p w14:paraId="79E8FF11" w14:textId="77777777" w:rsidR="002B631C" w:rsidRPr="00B710A9" w:rsidRDefault="002B631C" w:rsidP="00491526">
            <w:pPr>
              <w:jc w:val="center"/>
              <w:textAlignment w:val="baseline"/>
              <w:rPr>
                <w:rFonts w:ascii="Arial" w:hAnsi="Arial" w:cs="Arial"/>
                <w:sz w:val="16"/>
                <w:szCs w:val="16"/>
              </w:rPr>
            </w:pPr>
            <w:r w:rsidRPr="00B710A9">
              <w:rPr>
                <w:rFonts w:ascii="Arial" w:hAnsi="Arial" w:cs="Arial"/>
                <w:sz w:val="16"/>
                <w:szCs w:val="16"/>
              </w:rPr>
              <w:t>NIVEL JERÁRQUICO </w:t>
            </w:r>
          </w:p>
        </w:tc>
        <w:tc>
          <w:tcPr>
            <w:tcW w:w="1043" w:type="dxa"/>
            <w:hideMark/>
          </w:tcPr>
          <w:p w14:paraId="7A8E1886" w14:textId="77777777" w:rsidR="002B631C" w:rsidRPr="00B710A9" w:rsidRDefault="002B631C" w:rsidP="00491526">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NÚMERO DE EMPLEOS </w:t>
            </w:r>
          </w:p>
        </w:tc>
        <w:tc>
          <w:tcPr>
            <w:tcW w:w="1141" w:type="dxa"/>
            <w:hideMark/>
          </w:tcPr>
          <w:p w14:paraId="384FB581" w14:textId="77777777" w:rsidR="002B631C" w:rsidRPr="00B710A9" w:rsidRDefault="002B631C" w:rsidP="00491526">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710A9">
              <w:rPr>
                <w:rFonts w:ascii="Arial" w:hAnsi="Arial" w:cs="Arial"/>
                <w:sz w:val="16"/>
                <w:szCs w:val="16"/>
              </w:rPr>
              <w:t>NÚMERO DE VACANTES </w:t>
            </w:r>
          </w:p>
        </w:tc>
      </w:tr>
      <w:tr w:rsidR="002B631C" w:rsidRPr="00B710A9" w14:paraId="074DE6CB" w14:textId="77777777" w:rsidTr="00CD525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28" w:type="dxa"/>
            <w:hideMark/>
          </w:tcPr>
          <w:p w14:paraId="578F164D" w14:textId="77777777" w:rsidR="002B631C" w:rsidRPr="00B710A9" w:rsidRDefault="002B631C" w:rsidP="00491526">
            <w:pPr>
              <w:textAlignment w:val="baseline"/>
              <w:rPr>
                <w:rFonts w:ascii="Arial" w:hAnsi="Arial" w:cs="Arial"/>
                <w:b w:val="0"/>
                <w:bCs w:val="0"/>
                <w:color w:val="000000" w:themeColor="text1"/>
                <w:sz w:val="16"/>
                <w:szCs w:val="16"/>
              </w:rPr>
            </w:pPr>
            <w:r w:rsidRPr="00B710A9">
              <w:rPr>
                <w:rFonts w:ascii="Arial" w:hAnsi="Arial" w:cs="Arial"/>
                <w:color w:val="000000" w:themeColor="text1"/>
                <w:sz w:val="16"/>
                <w:szCs w:val="16"/>
              </w:rPr>
              <w:t>Asesor </w:t>
            </w:r>
          </w:p>
        </w:tc>
        <w:tc>
          <w:tcPr>
            <w:tcW w:w="1043" w:type="dxa"/>
            <w:hideMark/>
          </w:tcPr>
          <w:p w14:paraId="275776A5" w14:textId="77777777" w:rsidR="002B631C" w:rsidRPr="00B710A9" w:rsidRDefault="002B631C"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B710A9">
              <w:rPr>
                <w:rFonts w:ascii="Arial" w:hAnsi="Arial" w:cs="Arial"/>
                <w:color w:val="000000" w:themeColor="text1"/>
                <w:sz w:val="16"/>
                <w:szCs w:val="16"/>
              </w:rPr>
              <w:t>0 </w:t>
            </w:r>
          </w:p>
        </w:tc>
        <w:tc>
          <w:tcPr>
            <w:tcW w:w="1141" w:type="dxa"/>
            <w:hideMark/>
          </w:tcPr>
          <w:p w14:paraId="616F5648" w14:textId="77777777" w:rsidR="002B631C" w:rsidRPr="00B710A9" w:rsidRDefault="002B631C"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B710A9">
              <w:rPr>
                <w:rFonts w:ascii="Arial" w:hAnsi="Arial" w:cs="Arial"/>
                <w:color w:val="000000" w:themeColor="text1"/>
                <w:sz w:val="16"/>
                <w:szCs w:val="16"/>
              </w:rPr>
              <w:t>0 </w:t>
            </w:r>
          </w:p>
        </w:tc>
      </w:tr>
      <w:tr w:rsidR="002B631C" w:rsidRPr="00B710A9" w14:paraId="3C6D407F" w14:textId="77777777" w:rsidTr="00CD5259">
        <w:trPr>
          <w:trHeight w:val="300"/>
          <w:jc w:val="center"/>
        </w:trPr>
        <w:tc>
          <w:tcPr>
            <w:cnfStyle w:val="001000000000" w:firstRow="0" w:lastRow="0" w:firstColumn="1" w:lastColumn="0" w:oddVBand="0" w:evenVBand="0" w:oddHBand="0" w:evenHBand="0" w:firstRowFirstColumn="0" w:firstRowLastColumn="0" w:lastRowFirstColumn="0" w:lastRowLastColumn="0"/>
            <w:tcW w:w="1328" w:type="dxa"/>
            <w:hideMark/>
          </w:tcPr>
          <w:p w14:paraId="529BBD08" w14:textId="77777777" w:rsidR="002B631C" w:rsidRPr="00B710A9" w:rsidRDefault="002B631C" w:rsidP="00491526">
            <w:pPr>
              <w:textAlignment w:val="baseline"/>
              <w:rPr>
                <w:rFonts w:ascii="Arial" w:hAnsi="Arial" w:cs="Arial"/>
                <w:b w:val="0"/>
                <w:bCs w:val="0"/>
                <w:color w:val="000000" w:themeColor="text1"/>
                <w:sz w:val="16"/>
                <w:szCs w:val="16"/>
              </w:rPr>
            </w:pPr>
            <w:r w:rsidRPr="00B710A9">
              <w:rPr>
                <w:rFonts w:ascii="Arial" w:hAnsi="Arial" w:cs="Arial"/>
                <w:color w:val="000000" w:themeColor="text1"/>
                <w:sz w:val="16"/>
                <w:szCs w:val="16"/>
              </w:rPr>
              <w:t>Profesional </w:t>
            </w:r>
          </w:p>
        </w:tc>
        <w:tc>
          <w:tcPr>
            <w:tcW w:w="1043" w:type="dxa"/>
            <w:hideMark/>
          </w:tcPr>
          <w:p w14:paraId="3BAFBA17" w14:textId="77777777" w:rsidR="002B631C" w:rsidRPr="00B710A9" w:rsidRDefault="002B631C" w:rsidP="0049152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B710A9">
              <w:rPr>
                <w:rFonts w:ascii="Arial" w:hAnsi="Arial" w:cs="Arial"/>
                <w:color w:val="000000" w:themeColor="text1"/>
                <w:sz w:val="16"/>
                <w:szCs w:val="16"/>
              </w:rPr>
              <w:t>51 </w:t>
            </w:r>
          </w:p>
        </w:tc>
        <w:tc>
          <w:tcPr>
            <w:tcW w:w="1141" w:type="dxa"/>
            <w:hideMark/>
          </w:tcPr>
          <w:p w14:paraId="5F82EA8E" w14:textId="77777777" w:rsidR="002B631C" w:rsidRPr="00B710A9" w:rsidRDefault="002B631C" w:rsidP="0049152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B710A9">
              <w:rPr>
                <w:rFonts w:ascii="Arial" w:hAnsi="Arial" w:cs="Arial"/>
                <w:color w:val="000000" w:themeColor="text1"/>
                <w:sz w:val="16"/>
                <w:szCs w:val="16"/>
              </w:rPr>
              <w:t>64 </w:t>
            </w:r>
          </w:p>
        </w:tc>
      </w:tr>
      <w:tr w:rsidR="002B631C" w:rsidRPr="00B710A9" w14:paraId="469580DB" w14:textId="77777777" w:rsidTr="00CD525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28" w:type="dxa"/>
            <w:hideMark/>
          </w:tcPr>
          <w:p w14:paraId="46502C17" w14:textId="77777777" w:rsidR="002B631C" w:rsidRPr="00B710A9" w:rsidRDefault="002B631C" w:rsidP="00491526">
            <w:pPr>
              <w:textAlignment w:val="baseline"/>
              <w:rPr>
                <w:rFonts w:ascii="Arial" w:hAnsi="Arial" w:cs="Arial"/>
                <w:b w:val="0"/>
                <w:bCs w:val="0"/>
                <w:color w:val="000000" w:themeColor="text1"/>
                <w:sz w:val="16"/>
                <w:szCs w:val="16"/>
              </w:rPr>
            </w:pPr>
            <w:r w:rsidRPr="00B710A9">
              <w:rPr>
                <w:rFonts w:ascii="Arial" w:hAnsi="Arial" w:cs="Arial"/>
                <w:color w:val="000000" w:themeColor="text1"/>
                <w:sz w:val="16"/>
                <w:szCs w:val="16"/>
              </w:rPr>
              <w:t>Técnico </w:t>
            </w:r>
          </w:p>
        </w:tc>
        <w:tc>
          <w:tcPr>
            <w:tcW w:w="1043" w:type="dxa"/>
            <w:hideMark/>
          </w:tcPr>
          <w:p w14:paraId="0CB85409" w14:textId="77777777" w:rsidR="002B631C" w:rsidRPr="00B710A9" w:rsidRDefault="002B631C"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B710A9">
              <w:rPr>
                <w:rFonts w:ascii="Arial" w:hAnsi="Arial" w:cs="Arial"/>
                <w:color w:val="000000" w:themeColor="text1"/>
                <w:sz w:val="16"/>
                <w:szCs w:val="16"/>
              </w:rPr>
              <w:t>17 </w:t>
            </w:r>
          </w:p>
        </w:tc>
        <w:tc>
          <w:tcPr>
            <w:tcW w:w="1141" w:type="dxa"/>
            <w:hideMark/>
          </w:tcPr>
          <w:p w14:paraId="167CA368" w14:textId="77777777" w:rsidR="002B631C" w:rsidRPr="00B710A9" w:rsidRDefault="002B631C"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B710A9">
              <w:rPr>
                <w:rFonts w:ascii="Arial" w:hAnsi="Arial" w:cs="Arial"/>
                <w:color w:val="000000" w:themeColor="text1"/>
                <w:sz w:val="16"/>
                <w:szCs w:val="16"/>
              </w:rPr>
              <w:t>25 </w:t>
            </w:r>
          </w:p>
        </w:tc>
      </w:tr>
      <w:tr w:rsidR="002B631C" w:rsidRPr="00B710A9" w14:paraId="75462D66" w14:textId="77777777" w:rsidTr="00CD5259">
        <w:trPr>
          <w:trHeight w:val="300"/>
          <w:jc w:val="center"/>
        </w:trPr>
        <w:tc>
          <w:tcPr>
            <w:cnfStyle w:val="001000000000" w:firstRow="0" w:lastRow="0" w:firstColumn="1" w:lastColumn="0" w:oddVBand="0" w:evenVBand="0" w:oddHBand="0" w:evenHBand="0" w:firstRowFirstColumn="0" w:firstRowLastColumn="0" w:lastRowFirstColumn="0" w:lastRowLastColumn="0"/>
            <w:tcW w:w="1328" w:type="dxa"/>
            <w:hideMark/>
          </w:tcPr>
          <w:p w14:paraId="707D349C" w14:textId="77777777" w:rsidR="002B631C" w:rsidRPr="00B710A9" w:rsidRDefault="002B631C" w:rsidP="00491526">
            <w:pPr>
              <w:textAlignment w:val="baseline"/>
              <w:rPr>
                <w:rFonts w:ascii="Arial" w:hAnsi="Arial" w:cs="Arial"/>
                <w:b w:val="0"/>
                <w:bCs w:val="0"/>
                <w:color w:val="000000" w:themeColor="text1"/>
                <w:sz w:val="16"/>
                <w:szCs w:val="16"/>
              </w:rPr>
            </w:pPr>
            <w:r w:rsidRPr="00B710A9">
              <w:rPr>
                <w:rFonts w:ascii="Arial" w:hAnsi="Arial" w:cs="Arial"/>
                <w:color w:val="000000" w:themeColor="text1"/>
                <w:sz w:val="16"/>
                <w:szCs w:val="16"/>
              </w:rPr>
              <w:t>Asistencial </w:t>
            </w:r>
          </w:p>
        </w:tc>
        <w:tc>
          <w:tcPr>
            <w:tcW w:w="1043" w:type="dxa"/>
            <w:hideMark/>
          </w:tcPr>
          <w:p w14:paraId="0E5849D3" w14:textId="77777777" w:rsidR="002B631C" w:rsidRPr="00B710A9" w:rsidRDefault="002B631C" w:rsidP="0049152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B710A9">
              <w:rPr>
                <w:rFonts w:ascii="Arial" w:hAnsi="Arial" w:cs="Arial"/>
                <w:color w:val="000000" w:themeColor="text1"/>
                <w:sz w:val="16"/>
                <w:szCs w:val="16"/>
              </w:rPr>
              <w:t>10 </w:t>
            </w:r>
          </w:p>
        </w:tc>
        <w:tc>
          <w:tcPr>
            <w:tcW w:w="1141" w:type="dxa"/>
            <w:hideMark/>
          </w:tcPr>
          <w:p w14:paraId="6C14CE95" w14:textId="77777777" w:rsidR="002B631C" w:rsidRPr="00B710A9" w:rsidRDefault="002B631C" w:rsidP="0049152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B710A9">
              <w:rPr>
                <w:rFonts w:ascii="Arial" w:hAnsi="Arial" w:cs="Arial"/>
                <w:color w:val="000000" w:themeColor="text1"/>
                <w:sz w:val="16"/>
                <w:szCs w:val="16"/>
              </w:rPr>
              <w:t>65 </w:t>
            </w:r>
          </w:p>
        </w:tc>
      </w:tr>
      <w:tr w:rsidR="002B631C" w:rsidRPr="00B710A9" w14:paraId="04CDF91E" w14:textId="77777777" w:rsidTr="00CD525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28" w:type="dxa"/>
            <w:hideMark/>
          </w:tcPr>
          <w:p w14:paraId="2048AB40" w14:textId="77777777" w:rsidR="002B631C" w:rsidRPr="00B710A9" w:rsidRDefault="002B631C" w:rsidP="00491526">
            <w:pPr>
              <w:jc w:val="center"/>
              <w:textAlignment w:val="baseline"/>
              <w:rPr>
                <w:rFonts w:ascii="Arial" w:hAnsi="Arial" w:cs="Arial"/>
                <w:color w:val="000000" w:themeColor="text1"/>
                <w:sz w:val="16"/>
                <w:szCs w:val="16"/>
              </w:rPr>
            </w:pPr>
            <w:r w:rsidRPr="00B710A9">
              <w:rPr>
                <w:rFonts w:ascii="Arial" w:hAnsi="Arial" w:cs="Arial"/>
                <w:color w:val="000000" w:themeColor="text1"/>
                <w:sz w:val="16"/>
                <w:szCs w:val="16"/>
              </w:rPr>
              <w:t>TOTAL</w:t>
            </w:r>
          </w:p>
        </w:tc>
        <w:tc>
          <w:tcPr>
            <w:tcW w:w="1043" w:type="dxa"/>
            <w:hideMark/>
          </w:tcPr>
          <w:p w14:paraId="1EDE8035" w14:textId="77777777" w:rsidR="002B631C" w:rsidRPr="00B710A9" w:rsidRDefault="002B631C"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6"/>
                <w:szCs w:val="16"/>
              </w:rPr>
            </w:pPr>
            <w:r w:rsidRPr="00B710A9">
              <w:rPr>
                <w:rFonts w:ascii="Arial" w:hAnsi="Arial" w:cs="Arial"/>
                <w:b/>
                <w:bCs/>
                <w:color w:val="000000" w:themeColor="text1"/>
                <w:sz w:val="16"/>
                <w:szCs w:val="16"/>
              </w:rPr>
              <w:t>78</w:t>
            </w:r>
          </w:p>
        </w:tc>
        <w:tc>
          <w:tcPr>
            <w:tcW w:w="1141" w:type="dxa"/>
            <w:hideMark/>
          </w:tcPr>
          <w:p w14:paraId="58E92F71" w14:textId="77777777" w:rsidR="002B631C" w:rsidRPr="00B710A9" w:rsidRDefault="002B631C" w:rsidP="0049152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6"/>
                <w:szCs w:val="16"/>
              </w:rPr>
            </w:pPr>
            <w:r w:rsidRPr="00B710A9">
              <w:rPr>
                <w:rFonts w:ascii="Arial" w:hAnsi="Arial" w:cs="Arial"/>
                <w:b/>
                <w:bCs/>
                <w:color w:val="000000" w:themeColor="text1"/>
                <w:sz w:val="16"/>
                <w:szCs w:val="16"/>
              </w:rPr>
              <w:t>154</w:t>
            </w:r>
          </w:p>
        </w:tc>
      </w:tr>
    </w:tbl>
    <w:p w14:paraId="6CDA990F" w14:textId="77777777" w:rsidR="002B631C" w:rsidRPr="00B710A9" w:rsidRDefault="002B631C" w:rsidP="002B631C">
      <w:pPr>
        <w:pStyle w:val="Estilo5"/>
      </w:pPr>
      <w:r w:rsidRPr="00B710A9">
        <w:t>Fuente: Subdirección de Talento Humano - IGAC</w:t>
      </w:r>
    </w:p>
    <w:p w14:paraId="192ED840" w14:textId="77777777" w:rsidR="002B631C" w:rsidRPr="00B710A9" w:rsidRDefault="002B631C" w:rsidP="002B631C">
      <w:pPr>
        <w:pStyle w:val="Estilo5"/>
        <w:rPr>
          <w:rFonts w:eastAsia="Arial"/>
          <w:sz w:val="22"/>
          <w:szCs w:val="22"/>
        </w:rPr>
      </w:pPr>
    </w:p>
    <w:p w14:paraId="4768899E" w14:textId="77777777" w:rsidR="002B631C" w:rsidRPr="00B710A9" w:rsidRDefault="002B631C" w:rsidP="002B631C">
      <w:pPr>
        <w:jc w:val="both"/>
        <w:rPr>
          <w:rFonts w:ascii="Arial" w:eastAsia="Arial" w:hAnsi="Arial" w:cs="Arial"/>
          <w:sz w:val="22"/>
          <w:szCs w:val="22"/>
        </w:rPr>
      </w:pPr>
      <w:r w:rsidRPr="00B710A9">
        <w:rPr>
          <w:rFonts w:ascii="Arial" w:eastAsia="Arial" w:hAnsi="Arial" w:cs="Arial"/>
          <w:sz w:val="22"/>
          <w:szCs w:val="22"/>
        </w:rPr>
        <w:t>Mediante la Resolución 1849 del 20 de diciembre de 2021 se realizó la modificación del Manual Específico de Funciones y Competencias Laborales del IGAC. Para el año 2022, se convocó la participación de jefes y funcionarios del IGAC para la construcción del nuevo manual de funciones para responder a los retos misionales y transversales producto de la nueva estructura; es así como con la Resolución No. 565 del 09 de mayo de 2022 se adoptó el nuevo Manual Específico de Funciones y Competencias Laborales del IGAC. </w:t>
      </w:r>
    </w:p>
    <w:p w14:paraId="693B2C3D" w14:textId="77777777" w:rsidR="002B631C" w:rsidRPr="00B710A9" w:rsidRDefault="002B631C" w:rsidP="009D279A">
      <w:pPr>
        <w:spacing w:after="0" w:line="240" w:lineRule="auto"/>
        <w:jc w:val="center"/>
        <w:rPr>
          <w:rFonts w:ascii="Arial" w:eastAsia="Calibri" w:hAnsi="Arial" w:cs="Arial"/>
          <w:color w:val="000000" w:themeColor="text1"/>
          <w:sz w:val="20"/>
          <w:szCs w:val="20"/>
        </w:rPr>
      </w:pPr>
    </w:p>
    <w:p w14:paraId="78F4539A" w14:textId="063AA035" w:rsidR="00801DF8" w:rsidRPr="00B710A9" w:rsidRDefault="0035120E" w:rsidP="0035120E">
      <w:pPr>
        <w:spacing w:after="0" w:line="240" w:lineRule="auto"/>
        <w:jc w:val="center"/>
        <w:textAlignment w:val="baseline"/>
        <w:rPr>
          <w:rFonts w:ascii="Arial" w:hAnsi="Arial" w:cs="Arial"/>
          <w:b/>
          <w:bCs/>
          <w:color w:val="000000" w:themeColor="text1"/>
          <w:sz w:val="22"/>
          <w:szCs w:val="22"/>
        </w:rPr>
      </w:pPr>
      <w:r w:rsidRPr="00B710A9">
        <w:rPr>
          <w:rFonts w:ascii="Arial" w:eastAsia="Times New Roman" w:hAnsi="Arial" w:cs="Arial"/>
          <w:b/>
          <w:bCs/>
          <w:color w:val="000000" w:themeColor="text1"/>
          <w:sz w:val="18"/>
          <w:szCs w:val="18"/>
        </w:rPr>
        <w:t> </w:t>
      </w:r>
    </w:p>
    <w:p w14:paraId="50382A4A" w14:textId="1047F9E7" w:rsidR="00801DF8" w:rsidRPr="00B710A9" w:rsidRDefault="00801DF8" w:rsidP="00801DF8">
      <w:pPr>
        <w:pStyle w:val="Descripcin"/>
        <w:keepNext/>
        <w:jc w:val="center"/>
        <w:rPr>
          <w:rFonts w:ascii="Arial" w:hAnsi="Arial" w:cs="Arial"/>
          <w:b/>
          <w:bCs/>
          <w:i w:val="0"/>
          <w:iCs w:val="0"/>
          <w:color w:val="000000" w:themeColor="text1"/>
          <w:sz w:val="16"/>
          <w:szCs w:val="16"/>
        </w:rPr>
      </w:pPr>
      <w:bookmarkStart w:id="90" w:name="_Toc109057766"/>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Pr="00B710A9">
        <w:rPr>
          <w:rFonts w:ascii="Arial" w:hAnsi="Arial" w:cs="Arial"/>
          <w:b/>
          <w:bCs/>
          <w:i w:val="0"/>
          <w:iCs w:val="0"/>
          <w:noProof/>
          <w:color w:val="000000" w:themeColor="text1"/>
          <w:sz w:val="16"/>
          <w:szCs w:val="16"/>
        </w:rPr>
        <w:t>36</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Detalle de planta de personal</w:t>
      </w:r>
      <w:bookmarkEnd w:id="90"/>
    </w:p>
    <w:tbl>
      <w:tblPr>
        <w:tblStyle w:val="Tablaconcuadrcula4-nfasis1"/>
        <w:tblW w:w="8820" w:type="dxa"/>
        <w:tblLook w:val="04A0" w:firstRow="1" w:lastRow="0" w:firstColumn="1" w:lastColumn="0" w:noHBand="0" w:noVBand="1"/>
      </w:tblPr>
      <w:tblGrid>
        <w:gridCol w:w="2385"/>
        <w:gridCol w:w="2460"/>
        <w:gridCol w:w="2070"/>
        <w:gridCol w:w="1905"/>
      </w:tblGrid>
      <w:tr w:rsidR="0035120E" w:rsidRPr="00B710A9" w14:paraId="36C532DA" w14:textId="77777777" w:rsidTr="00330D6E">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385" w:type="dxa"/>
            <w:vAlign w:val="center"/>
            <w:hideMark/>
          </w:tcPr>
          <w:p w14:paraId="79FE58FC" w14:textId="77777777" w:rsidR="0035120E" w:rsidRPr="00B710A9" w:rsidRDefault="0035120E" w:rsidP="0035120E">
            <w:pPr>
              <w:jc w:val="center"/>
              <w:textAlignment w:val="baseline"/>
              <w:rPr>
                <w:rFonts w:ascii="Arial" w:eastAsia="Times New Roman" w:hAnsi="Arial" w:cs="Arial"/>
                <w:sz w:val="18"/>
                <w:szCs w:val="18"/>
              </w:rPr>
            </w:pPr>
            <w:r w:rsidRPr="00B710A9">
              <w:rPr>
                <w:rFonts w:ascii="Arial" w:eastAsia="Times New Roman" w:hAnsi="Arial" w:cs="Arial"/>
                <w:sz w:val="18"/>
                <w:szCs w:val="18"/>
              </w:rPr>
              <w:t>CONCEPTO  </w:t>
            </w:r>
          </w:p>
        </w:tc>
        <w:tc>
          <w:tcPr>
            <w:tcW w:w="2460" w:type="dxa"/>
            <w:vAlign w:val="center"/>
            <w:hideMark/>
          </w:tcPr>
          <w:p w14:paraId="2DA8BEF9" w14:textId="77777777" w:rsidR="0035120E" w:rsidRPr="00B710A9" w:rsidRDefault="0035120E" w:rsidP="0035120E">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710A9">
              <w:rPr>
                <w:rFonts w:ascii="Arial" w:eastAsia="Times New Roman" w:hAnsi="Arial" w:cs="Arial"/>
                <w:sz w:val="18"/>
                <w:szCs w:val="18"/>
              </w:rPr>
              <w:t>NUMERO TOTAL DE CARGOS DE LA PLANTA  </w:t>
            </w:r>
          </w:p>
        </w:tc>
        <w:tc>
          <w:tcPr>
            <w:tcW w:w="2070" w:type="dxa"/>
            <w:vAlign w:val="center"/>
            <w:hideMark/>
          </w:tcPr>
          <w:p w14:paraId="3DB32103" w14:textId="77777777" w:rsidR="0035120E" w:rsidRPr="00B710A9" w:rsidRDefault="0035120E" w:rsidP="0035120E">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710A9">
              <w:rPr>
                <w:rFonts w:ascii="Arial" w:eastAsia="Times New Roman" w:hAnsi="Arial" w:cs="Arial"/>
                <w:sz w:val="18"/>
                <w:szCs w:val="18"/>
              </w:rPr>
              <w:t>NUMERO DE CARGOS PROVISTOS  </w:t>
            </w:r>
          </w:p>
        </w:tc>
        <w:tc>
          <w:tcPr>
            <w:tcW w:w="1905" w:type="dxa"/>
            <w:vAlign w:val="center"/>
            <w:hideMark/>
          </w:tcPr>
          <w:p w14:paraId="1C063FAB" w14:textId="77777777" w:rsidR="0035120E" w:rsidRPr="00B710A9" w:rsidRDefault="0035120E" w:rsidP="0035120E">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710A9">
              <w:rPr>
                <w:rFonts w:ascii="Arial" w:eastAsia="Times New Roman" w:hAnsi="Arial" w:cs="Arial"/>
                <w:sz w:val="18"/>
                <w:szCs w:val="18"/>
              </w:rPr>
              <w:t>NUMERO DE CARGOS VACANTES  </w:t>
            </w:r>
          </w:p>
        </w:tc>
      </w:tr>
      <w:tr w:rsidR="0035120E" w:rsidRPr="00B710A9" w14:paraId="1F61B179" w14:textId="77777777" w:rsidTr="00801D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820" w:type="dxa"/>
            <w:gridSpan w:val="4"/>
            <w:vAlign w:val="center"/>
            <w:hideMark/>
          </w:tcPr>
          <w:p w14:paraId="463CA3B8" w14:textId="77777777" w:rsidR="0035120E" w:rsidRPr="00B710A9" w:rsidRDefault="0035120E" w:rsidP="0035120E">
            <w:pPr>
              <w:textAlignment w:val="baseline"/>
              <w:rPr>
                <w:rFonts w:ascii="Arial" w:eastAsia="Times New Roman" w:hAnsi="Arial" w:cs="Arial"/>
                <w:color w:val="000000" w:themeColor="text1"/>
                <w:sz w:val="18"/>
                <w:szCs w:val="18"/>
              </w:rPr>
            </w:pPr>
            <w:r w:rsidRPr="00B710A9">
              <w:rPr>
                <w:rFonts w:ascii="Arial" w:eastAsia="Times New Roman" w:hAnsi="Arial" w:cs="Arial"/>
                <w:color w:val="000000" w:themeColor="text1"/>
                <w:sz w:val="18"/>
                <w:szCs w:val="18"/>
              </w:rPr>
              <w:t>CARGOS DE LIBRE NOMBRAMIENTO Y REMOCION  </w:t>
            </w:r>
          </w:p>
        </w:tc>
      </w:tr>
      <w:tr w:rsidR="0035120E" w:rsidRPr="00B710A9" w14:paraId="5BD99119" w14:textId="77777777" w:rsidTr="00801DF8">
        <w:trPr>
          <w:trHeight w:val="255"/>
        </w:trPr>
        <w:tc>
          <w:tcPr>
            <w:cnfStyle w:val="001000000000" w:firstRow="0" w:lastRow="0" w:firstColumn="1" w:lastColumn="0" w:oddVBand="0" w:evenVBand="0" w:oddHBand="0" w:evenHBand="0" w:firstRowFirstColumn="0" w:firstRowLastColumn="0" w:lastRowFirstColumn="0" w:lastRowLastColumn="0"/>
            <w:tcW w:w="2385" w:type="dxa"/>
            <w:vAlign w:val="center"/>
            <w:hideMark/>
          </w:tcPr>
          <w:p w14:paraId="01E22A74" w14:textId="5D7325E9" w:rsidR="0035120E" w:rsidRPr="00B710A9" w:rsidRDefault="0035120E" w:rsidP="0035120E">
            <w:pPr>
              <w:textAlignment w:val="baseline"/>
              <w:rPr>
                <w:rFonts w:ascii="Arial" w:eastAsia="Times New Roman" w:hAnsi="Arial" w:cs="Arial"/>
                <w:color w:val="000000" w:themeColor="text1"/>
                <w:sz w:val="18"/>
                <w:szCs w:val="18"/>
              </w:rPr>
            </w:pPr>
            <w:r w:rsidRPr="00B710A9">
              <w:rPr>
                <w:rFonts w:ascii="Arial" w:eastAsia="Times New Roman" w:hAnsi="Arial" w:cs="Arial"/>
                <w:color w:val="000000" w:themeColor="text1"/>
                <w:sz w:val="18"/>
                <w:szCs w:val="18"/>
              </w:rPr>
              <w:t>A la fecha de inicio de la gestión  </w:t>
            </w:r>
          </w:p>
        </w:tc>
        <w:tc>
          <w:tcPr>
            <w:tcW w:w="2460" w:type="dxa"/>
            <w:vAlign w:val="center"/>
            <w:hideMark/>
          </w:tcPr>
          <w:p w14:paraId="5C836028" w14:textId="77777777" w:rsidR="0035120E" w:rsidRPr="00B710A9" w:rsidRDefault="0035120E" w:rsidP="0035120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42</w:t>
            </w:r>
            <w:r w:rsidRPr="00B710A9">
              <w:rPr>
                <w:rFonts w:ascii="Arial" w:eastAsia="Times New Roman" w:hAnsi="Arial" w:cs="Arial"/>
                <w:color w:val="000000" w:themeColor="text1"/>
                <w:sz w:val="18"/>
                <w:szCs w:val="18"/>
              </w:rPr>
              <w:t>  </w:t>
            </w:r>
          </w:p>
        </w:tc>
        <w:tc>
          <w:tcPr>
            <w:tcW w:w="2070" w:type="dxa"/>
            <w:vAlign w:val="center"/>
            <w:hideMark/>
          </w:tcPr>
          <w:p w14:paraId="370CCB55" w14:textId="77777777" w:rsidR="0035120E" w:rsidRPr="00B710A9" w:rsidRDefault="0035120E" w:rsidP="0035120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40</w:t>
            </w:r>
            <w:r w:rsidRPr="00B710A9">
              <w:rPr>
                <w:rFonts w:ascii="Arial" w:eastAsia="Times New Roman" w:hAnsi="Arial" w:cs="Arial"/>
                <w:color w:val="000000" w:themeColor="text1"/>
                <w:sz w:val="18"/>
                <w:szCs w:val="18"/>
              </w:rPr>
              <w:t>  </w:t>
            </w:r>
          </w:p>
        </w:tc>
        <w:tc>
          <w:tcPr>
            <w:tcW w:w="1905" w:type="dxa"/>
            <w:vAlign w:val="center"/>
            <w:hideMark/>
          </w:tcPr>
          <w:p w14:paraId="00E13C79" w14:textId="77777777" w:rsidR="0035120E" w:rsidRPr="00B710A9" w:rsidRDefault="0035120E" w:rsidP="0035120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2</w:t>
            </w:r>
            <w:r w:rsidRPr="00B710A9">
              <w:rPr>
                <w:rFonts w:ascii="Arial" w:eastAsia="Times New Roman" w:hAnsi="Arial" w:cs="Arial"/>
                <w:color w:val="000000" w:themeColor="text1"/>
                <w:sz w:val="18"/>
                <w:szCs w:val="18"/>
              </w:rPr>
              <w:t>  </w:t>
            </w:r>
          </w:p>
        </w:tc>
      </w:tr>
      <w:tr w:rsidR="0035120E" w:rsidRPr="00B710A9" w14:paraId="725CE22F" w14:textId="77777777" w:rsidTr="00801D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5" w:type="dxa"/>
            <w:vAlign w:val="center"/>
            <w:hideMark/>
          </w:tcPr>
          <w:p w14:paraId="44A04D31" w14:textId="468BB000" w:rsidR="0035120E" w:rsidRPr="00B710A9" w:rsidRDefault="0035120E" w:rsidP="0035120E">
            <w:pPr>
              <w:textAlignment w:val="baseline"/>
              <w:rPr>
                <w:rFonts w:ascii="Arial" w:eastAsia="Times New Roman" w:hAnsi="Arial" w:cs="Arial"/>
                <w:color w:val="000000" w:themeColor="text1"/>
                <w:sz w:val="18"/>
                <w:szCs w:val="18"/>
              </w:rPr>
            </w:pPr>
            <w:r w:rsidRPr="00B710A9">
              <w:rPr>
                <w:rFonts w:ascii="Arial" w:eastAsia="Times New Roman" w:hAnsi="Arial" w:cs="Arial"/>
                <w:color w:val="000000" w:themeColor="text1"/>
                <w:sz w:val="18"/>
                <w:szCs w:val="18"/>
              </w:rPr>
              <w:lastRenderedPageBreak/>
              <w:t>A la fecha de finalización de gobierno  </w:t>
            </w:r>
          </w:p>
        </w:tc>
        <w:tc>
          <w:tcPr>
            <w:tcW w:w="2460" w:type="dxa"/>
            <w:vAlign w:val="center"/>
            <w:hideMark/>
          </w:tcPr>
          <w:p w14:paraId="54BE1F53" w14:textId="77777777" w:rsidR="0035120E" w:rsidRPr="00B710A9" w:rsidRDefault="0035120E" w:rsidP="0035120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59</w:t>
            </w:r>
            <w:r w:rsidRPr="00B710A9">
              <w:rPr>
                <w:rFonts w:ascii="Arial" w:eastAsia="Times New Roman" w:hAnsi="Arial" w:cs="Arial"/>
                <w:color w:val="000000" w:themeColor="text1"/>
                <w:sz w:val="18"/>
                <w:szCs w:val="18"/>
              </w:rPr>
              <w:t>  </w:t>
            </w:r>
          </w:p>
        </w:tc>
        <w:tc>
          <w:tcPr>
            <w:tcW w:w="2070" w:type="dxa"/>
            <w:vAlign w:val="center"/>
            <w:hideMark/>
          </w:tcPr>
          <w:p w14:paraId="1CC49AC8" w14:textId="77777777" w:rsidR="0035120E" w:rsidRPr="00B710A9" w:rsidRDefault="0035120E" w:rsidP="0035120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51</w:t>
            </w:r>
            <w:r w:rsidRPr="00B710A9">
              <w:rPr>
                <w:rFonts w:ascii="Arial" w:eastAsia="Times New Roman" w:hAnsi="Arial" w:cs="Arial"/>
                <w:color w:val="000000" w:themeColor="text1"/>
                <w:sz w:val="18"/>
                <w:szCs w:val="18"/>
              </w:rPr>
              <w:t> </w:t>
            </w:r>
          </w:p>
        </w:tc>
        <w:tc>
          <w:tcPr>
            <w:tcW w:w="1905" w:type="dxa"/>
            <w:vAlign w:val="center"/>
            <w:hideMark/>
          </w:tcPr>
          <w:p w14:paraId="3D72A626" w14:textId="77777777" w:rsidR="0035120E" w:rsidRPr="00B710A9" w:rsidRDefault="0035120E" w:rsidP="0035120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8</w:t>
            </w:r>
            <w:r w:rsidRPr="00B710A9">
              <w:rPr>
                <w:rFonts w:ascii="Arial" w:eastAsia="Times New Roman" w:hAnsi="Arial" w:cs="Arial"/>
                <w:color w:val="000000" w:themeColor="text1"/>
                <w:sz w:val="18"/>
                <w:szCs w:val="18"/>
              </w:rPr>
              <w:t> </w:t>
            </w:r>
          </w:p>
        </w:tc>
      </w:tr>
      <w:tr w:rsidR="0035120E" w:rsidRPr="00B710A9" w14:paraId="6C1CD3FB" w14:textId="77777777" w:rsidTr="00801DF8">
        <w:trPr>
          <w:trHeight w:val="255"/>
        </w:trPr>
        <w:tc>
          <w:tcPr>
            <w:cnfStyle w:val="001000000000" w:firstRow="0" w:lastRow="0" w:firstColumn="1" w:lastColumn="0" w:oddVBand="0" w:evenVBand="0" w:oddHBand="0" w:evenHBand="0" w:firstRowFirstColumn="0" w:firstRowLastColumn="0" w:lastRowFirstColumn="0" w:lastRowLastColumn="0"/>
            <w:tcW w:w="2385" w:type="dxa"/>
            <w:vAlign w:val="center"/>
            <w:hideMark/>
          </w:tcPr>
          <w:p w14:paraId="705E11DE" w14:textId="3013644F" w:rsidR="0035120E" w:rsidRPr="00B710A9" w:rsidRDefault="0035120E" w:rsidP="0035120E">
            <w:pPr>
              <w:textAlignment w:val="baseline"/>
              <w:rPr>
                <w:rFonts w:ascii="Arial" w:eastAsia="Times New Roman" w:hAnsi="Arial" w:cs="Arial"/>
                <w:color w:val="000000" w:themeColor="text1"/>
                <w:sz w:val="18"/>
                <w:szCs w:val="18"/>
              </w:rPr>
            </w:pPr>
            <w:r w:rsidRPr="00B710A9">
              <w:rPr>
                <w:rFonts w:ascii="Arial" w:eastAsia="Times New Roman" w:hAnsi="Arial" w:cs="Arial"/>
                <w:color w:val="000000" w:themeColor="text1"/>
                <w:sz w:val="18"/>
                <w:szCs w:val="18"/>
              </w:rPr>
              <w:t>Variación porcentual  </w:t>
            </w:r>
          </w:p>
        </w:tc>
        <w:tc>
          <w:tcPr>
            <w:tcW w:w="2460" w:type="dxa"/>
            <w:vAlign w:val="center"/>
            <w:hideMark/>
          </w:tcPr>
          <w:p w14:paraId="63E067F5" w14:textId="77777777" w:rsidR="0035120E" w:rsidRPr="00B710A9" w:rsidRDefault="0035120E" w:rsidP="0035120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40,48%</w:t>
            </w:r>
            <w:r w:rsidRPr="00B710A9">
              <w:rPr>
                <w:rFonts w:ascii="Arial" w:eastAsia="Times New Roman" w:hAnsi="Arial" w:cs="Arial"/>
                <w:color w:val="000000" w:themeColor="text1"/>
                <w:sz w:val="18"/>
                <w:szCs w:val="18"/>
              </w:rPr>
              <w:t> </w:t>
            </w:r>
          </w:p>
        </w:tc>
        <w:tc>
          <w:tcPr>
            <w:tcW w:w="2070" w:type="dxa"/>
            <w:vAlign w:val="center"/>
            <w:hideMark/>
          </w:tcPr>
          <w:p w14:paraId="33011B04" w14:textId="77777777" w:rsidR="0035120E" w:rsidRPr="00B710A9" w:rsidRDefault="0035120E" w:rsidP="0035120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27,50%</w:t>
            </w:r>
            <w:r w:rsidRPr="00B710A9">
              <w:rPr>
                <w:rFonts w:ascii="Arial" w:eastAsia="Times New Roman" w:hAnsi="Arial" w:cs="Arial"/>
                <w:color w:val="000000" w:themeColor="text1"/>
                <w:sz w:val="18"/>
                <w:szCs w:val="18"/>
              </w:rPr>
              <w:t> </w:t>
            </w:r>
          </w:p>
        </w:tc>
        <w:tc>
          <w:tcPr>
            <w:tcW w:w="1905" w:type="dxa"/>
            <w:vAlign w:val="center"/>
            <w:hideMark/>
          </w:tcPr>
          <w:p w14:paraId="4C762957" w14:textId="77777777" w:rsidR="0035120E" w:rsidRPr="00B710A9" w:rsidRDefault="0035120E" w:rsidP="0035120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300,00%</w:t>
            </w:r>
            <w:r w:rsidRPr="00B710A9">
              <w:rPr>
                <w:rFonts w:ascii="Arial" w:eastAsia="Times New Roman" w:hAnsi="Arial" w:cs="Arial"/>
                <w:color w:val="000000" w:themeColor="text1"/>
                <w:sz w:val="18"/>
                <w:szCs w:val="18"/>
              </w:rPr>
              <w:t> </w:t>
            </w:r>
          </w:p>
        </w:tc>
      </w:tr>
      <w:tr w:rsidR="0035120E" w:rsidRPr="00B710A9" w14:paraId="15D3CB8C" w14:textId="77777777" w:rsidTr="00801D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820" w:type="dxa"/>
            <w:gridSpan w:val="4"/>
            <w:vAlign w:val="center"/>
            <w:hideMark/>
          </w:tcPr>
          <w:p w14:paraId="28FD3B2C" w14:textId="77777777" w:rsidR="0035120E" w:rsidRPr="00B710A9" w:rsidRDefault="0035120E" w:rsidP="0035120E">
            <w:pPr>
              <w:jc w:val="center"/>
              <w:textAlignment w:val="baseline"/>
              <w:rPr>
                <w:rFonts w:ascii="Arial" w:eastAsia="Times New Roman" w:hAnsi="Arial" w:cs="Arial"/>
                <w:color w:val="000000" w:themeColor="text1"/>
                <w:sz w:val="18"/>
                <w:szCs w:val="18"/>
              </w:rPr>
            </w:pPr>
            <w:r w:rsidRPr="00B710A9">
              <w:rPr>
                <w:rFonts w:ascii="Arial" w:eastAsia="Times New Roman" w:hAnsi="Arial" w:cs="Arial"/>
                <w:color w:val="000000" w:themeColor="text1"/>
                <w:sz w:val="18"/>
                <w:szCs w:val="18"/>
              </w:rPr>
              <w:t>CARGOS DE CARRERA ADMINISTRATIVA  </w:t>
            </w:r>
          </w:p>
        </w:tc>
      </w:tr>
      <w:tr w:rsidR="0035120E" w:rsidRPr="00B710A9" w14:paraId="2ADF1CAE" w14:textId="77777777" w:rsidTr="00801DF8">
        <w:trPr>
          <w:trHeight w:val="255"/>
        </w:trPr>
        <w:tc>
          <w:tcPr>
            <w:cnfStyle w:val="001000000000" w:firstRow="0" w:lastRow="0" w:firstColumn="1" w:lastColumn="0" w:oddVBand="0" w:evenVBand="0" w:oddHBand="0" w:evenHBand="0" w:firstRowFirstColumn="0" w:firstRowLastColumn="0" w:lastRowFirstColumn="0" w:lastRowLastColumn="0"/>
            <w:tcW w:w="2385" w:type="dxa"/>
            <w:vAlign w:val="center"/>
            <w:hideMark/>
          </w:tcPr>
          <w:p w14:paraId="7934750D" w14:textId="68956258" w:rsidR="0035120E" w:rsidRPr="00B710A9" w:rsidRDefault="0035120E" w:rsidP="0035120E">
            <w:pPr>
              <w:textAlignment w:val="baseline"/>
              <w:rPr>
                <w:rFonts w:ascii="Arial" w:eastAsia="Times New Roman" w:hAnsi="Arial" w:cs="Arial"/>
                <w:color w:val="000000" w:themeColor="text1"/>
                <w:sz w:val="18"/>
                <w:szCs w:val="18"/>
              </w:rPr>
            </w:pPr>
            <w:r w:rsidRPr="00B710A9">
              <w:rPr>
                <w:rFonts w:ascii="Arial" w:eastAsia="Times New Roman" w:hAnsi="Arial" w:cs="Arial"/>
                <w:color w:val="000000" w:themeColor="text1"/>
                <w:sz w:val="18"/>
                <w:szCs w:val="18"/>
              </w:rPr>
              <w:t>A la fecha de inicio de la gestión  </w:t>
            </w:r>
          </w:p>
        </w:tc>
        <w:tc>
          <w:tcPr>
            <w:tcW w:w="2460" w:type="dxa"/>
            <w:vAlign w:val="center"/>
            <w:hideMark/>
          </w:tcPr>
          <w:p w14:paraId="6C7B6097" w14:textId="77777777" w:rsidR="0035120E" w:rsidRPr="00B710A9" w:rsidRDefault="0035120E" w:rsidP="0035120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1012</w:t>
            </w:r>
            <w:r w:rsidRPr="00B710A9">
              <w:rPr>
                <w:rFonts w:ascii="Arial" w:eastAsia="Times New Roman" w:hAnsi="Arial" w:cs="Arial"/>
                <w:color w:val="000000" w:themeColor="text1"/>
                <w:sz w:val="18"/>
                <w:szCs w:val="18"/>
              </w:rPr>
              <w:t>  </w:t>
            </w:r>
          </w:p>
        </w:tc>
        <w:tc>
          <w:tcPr>
            <w:tcW w:w="2070" w:type="dxa"/>
            <w:vAlign w:val="center"/>
            <w:hideMark/>
          </w:tcPr>
          <w:p w14:paraId="54357E36" w14:textId="77777777" w:rsidR="0035120E" w:rsidRPr="00B710A9" w:rsidRDefault="0035120E" w:rsidP="0035120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928</w:t>
            </w:r>
            <w:r w:rsidRPr="00B710A9">
              <w:rPr>
                <w:rFonts w:ascii="Arial" w:eastAsia="Times New Roman" w:hAnsi="Arial" w:cs="Arial"/>
                <w:color w:val="000000" w:themeColor="text1"/>
                <w:sz w:val="18"/>
                <w:szCs w:val="18"/>
              </w:rPr>
              <w:t>  </w:t>
            </w:r>
          </w:p>
        </w:tc>
        <w:tc>
          <w:tcPr>
            <w:tcW w:w="1905" w:type="dxa"/>
            <w:vAlign w:val="center"/>
            <w:hideMark/>
          </w:tcPr>
          <w:p w14:paraId="2337B31D" w14:textId="77777777" w:rsidR="0035120E" w:rsidRPr="00B710A9" w:rsidRDefault="0035120E" w:rsidP="0035120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84</w:t>
            </w:r>
            <w:r w:rsidRPr="00B710A9">
              <w:rPr>
                <w:rFonts w:ascii="Arial" w:eastAsia="Times New Roman" w:hAnsi="Arial" w:cs="Arial"/>
                <w:color w:val="000000" w:themeColor="text1"/>
                <w:sz w:val="18"/>
                <w:szCs w:val="18"/>
              </w:rPr>
              <w:t>  </w:t>
            </w:r>
          </w:p>
        </w:tc>
      </w:tr>
      <w:tr w:rsidR="0035120E" w:rsidRPr="00B710A9" w14:paraId="0A6B59A9" w14:textId="77777777" w:rsidTr="00801D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5" w:type="dxa"/>
            <w:vAlign w:val="center"/>
            <w:hideMark/>
          </w:tcPr>
          <w:p w14:paraId="4C5BFB14" w14:textId="7092274A" w:rsidR="0035120E" w:rsidRPr="00B710A9" w:rsidRDefault="0035120E" w:rsidP="0035120E">
            <w:pPr>
              <w:textAlignment w:val="baseline"/>
              <w:rPr>
                <w:rFonts w:ascii="Arial" w:eastAsia="Times New Roman" w:hAnsi="Arial" w:cs="Arial"/>
                <w:color w:val="000000" w:themeColor="text1"/>
                <w:sz w:val="18"/>
                <w:szCs w:val="18"/>
              </w:rPr>
            </w:pPr>
            <w:r w:rsidRPr="00B710A9">
              <w:rPr>
                <w:rFonts w:ascii="Arial" w:eastAsia="Times New Roman" w:hAnsi="Arial" w:cs="Arial"/>
                <w:color w:val="000000" w:themeColor="text1"/>
                <w:sz w:val="18"/>
                <w:szCs w:val="18"/>
              </w:rPr>
              <w:t>A la fecha de finalización de gobierno  </w:t>
            </w:r>
          </w:p>
        </w:tc>
        <w:tc>
          <w:tcPr>
            <w:tcW w:w="2460" w:type="dxa"/>
            <w:vAlign w:val="center"/>
            <w:hideMark/>
          </w:tcPr>
          <w:p w14:paraId="7FBC0D1F" w14:textId="77777777" w:rsidR="0035120E" w:rsidRPr="00B710A9" w:rsidRDefault="0035120E" w:rsidP="0035120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1066</w:t>
            </w:r>
            <w:r w:rsidRPr="00B710A9">
              <w:rPr>
                <w:rFonts w:ascii="Arial" w:eastAsia="Times New Roman" w:hAnsi="Arial" w:cs="Arial"/>
                <w:color w:val="000000" w:themeColor="text1"/>
                <w:sz w:val="18"/>
                <w:szCs w:val="18"/>
              </w:rPr>
              <w:t>  </w:t>
            </w:r>
          </w:p>
        </w:tc>
        <w:tc>
          <w:tcPr>
            <w:tcW w:w="2070" w:type="dxa"/>
            <w:vAlign w:val="center"/>
            <w:hideMark/>
          </w:tcPr>
          <w:p w14:paraId="6C505CD0" w14:textId="77777777" w:rsidR="0035120E" w:rsidRPr="00B710A9" w:rsidRDefault="0035120E" w:rsidP="0035120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846</w:t>
            </w:r>
            <w:r w:rsidRPr="00B710A9">
              <w:rPr>
                <w:rFonts w:ascii="Arial" w:eastAsia="Times New Roman" w:hAnsi="Arial" w:cs="Arial"/>
                <w:color w:val="000000" w:themeColor="text1"/>
                <w:sz w:val="18"/>
                <w:szCs w:val="18"/>
              </w:rPr>
              <w:t> </w:t>
            </w:r>
          </w:p>
        </w:tc>
        <w:tc>
          <w:tcPr>
            <w:tcW w:w="1905" w:type="dxa"/>
            <w:vAlign w:val="center"/>
            <w:hideMark/>
          </w:tcPr>
          <w:p w14:paraId="62058FD2" w14:textId="77777777" w:rsidR="0035120E" w:rsidRPr="00B710A9" w:rsidRDefault="0035120E" w:rsidP="0035120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220</w:t>
            </w:r>
            <w:r w:rsidRPr="00B710A9">
              <w:rPr>
                <w:rFonts w:ascii="Arial" w:eastAsia="Times New Roman" w:hAnsi="Arial" w:cs="Arial"/>
                <w:color w:val="000000" w:themeColor="text1"/>
                <w:sz w:val="18"/>
                <w:szCs w:val="18"/>
              </w:rPr>
              <w:t> </w:t>
            </w:r>
          </w:p>
        </w:tc>
      </w:tr>
      <w:tr w:rsidR="0035120E" w:rsidRPr="00B710A9" w14:paraId="24568CAA" w14:textId="77777777" w:rsidTr="00801DF8">
        <w:trPr>
          <w:trHeight w:val="255"/>
        </w:trPr>
        <w:tc>
          <w:tcPr>
            <w:cnfStyle w:val="001000000000" w:firstRow="0" w:lastRow="0" w:firstColumn="1" w:lastColumn="0" w:oddVBand="0" w:evenVBand="0" w:oddHBand="0" w:evenHBand="0" w:firstRowFirstColumn="0" w:firstRowLastColumn="0" w:lastRowFirstColumn="0" w:lastRowLastColumn="0"/>
            <w:tcW w:w="2385" w:type="dxa"/>
            <w:vAlign w:val="center"/>
            <w:hideMark/>
          </w:tcPr>
          <w:p w14:paraId="535B7139" w14:textId="24CD321D" w:rsidR="0035120E" w:rsidRPr="00B710A9" w:rsidRDefault="0035120E" w:rsidP="0035120E">
            <w:pPr>
              <w:textAlignment w:val="baseline"/>
              <w:rPr>
                <w:rFonts w:ascii="Arial" w:eastAsia="Times New Roman" w:hAnsi="Arial" w:cs="Arial"/>
                <w:color w:val="000000" w:themeColor="text1"/>
                <w:sz w:val="18"/>
                <w:szCs w:val="18"/>
              </w:rPr>
            </w:pPr>
            <w:r w:rsidRPr="00B710A9">
              <w:rPr>
                <w:rFonts w:ascii="Arial" w:eastAsia="Times New Roman" w:hAnsi="Arial" w:cs="Arial"/>
                <w:color w:val="000000" w:themeColor="text1"/>
                <w:sz w:val="18"/>
                <w:szCs w:val="18"/>
              </w:rPr>
              <w:t>Variación porcentual  </w:t>
            </w:r>
          </w:p>
        </w:tc>
        <w:tc>
          <w:tcPr>
            <w:tcW w:w="2460" w:type="dxa"/>
            <w:vAlign w:val="center"/>
            <w:hideMark/>
          </w:tcPr>
          <w:p w14:paraId="761386D3" w14:textId="77777777" w:rsidR="0035120E" w:rsidRPr="00B710A9" w:rsidRDefault="0035120E" w:rsidP="0035120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5,34%</w:t>
            </w:r>
            <w:r w:rsidRPr="00B710A9">
              <w:rPr>
                <w:rFonts w:ascii="Arial" w:eastAsia="Times New Roman" w:hAnsi="Arial" w:cs="Arial"/>
                <w:color w:val="000000" w:themeColor="text1"/>
                <w:sz w:val="18"/>
                <w:szCs w:val="18"/>
              </w:rPr>
              <w:t> </w:t>
            </w:r>
          </w:p>
        </w:tc>
        <w:tc>
          <w:tcPr>
            <w:tcW w:w="2070" w:type="dxa"/>
            <w:vAlign w:val="center"/>
            <w:hideMark/>
          </w:tcPr>
          <w:p w14:paraId="662834CD" w14:textId="77777777" w:rsidR="0035120E" w:rsidRPr="00B710A9" w:rsidRDefault="0035120E" w:rsidP="0035120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-8,84%</w:t>
            </w:r>
            <w:r w:rsidRPr="00B710A9">
              <w:rPr>
                <w:rFonts w:ascii="Arial" w:eastAsia="Times New Roman" w:hAnsi="Arial" w:cs="Arial"/>
                <w:color w:val="000000" w:themeColor="text1"/>
                <w:sz w:val="18"/>
                <w:szCs w:val="18"/>
              </w:rPr>
              <w:t> </w:t>
            </w:r>
          </w:p>
        </w:tc>
        <w:tc>
          <w:tcPr>
            <w:tcW w:w="1905" w:type="dxa"/>
            <w:vAlign w:val="center"/>
            <w:hideMark/>
          </w:tcPr>
          <w:p w14:paraId="2F7E88E5" w14:textId="77777777" w:rsidR="0035120E" w:rsidRPr="00B710A9" w:rsidRDefault="0035120E" w:rsidP="0035120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B710A9">
              <w:rPr>
                <w:rFonts w:ascii="Arial" w:eastAsia="Times New Roman" w:hAnsi="Arial" w:cs="Arial"/>
                <w:b/>
                <w:bCs/>
                <w:color w:val="000000" w:themeColor="text1"/>
                <w:sz w:val="18"/>
                <w:szCs w:val="18"/>
              </w:rPr>
              <w:t>161,90%</w:t>
            </w:r>
            <w:r w:rsidRPr="00B710A9">
              <w:rPr>
                <w:rFonts w:ascii="Arial" w:eastAsia="Times New Roman" w:hAnsi="Arial" w:cs="Arial"/>
                <w:color w:val="000000" w:themeColor="text1"/>
                <w:sz w:val="18"/>
                <w:szCs w:val="18"/>
              </w:rPr>
              <w:t> </w:t>
            </w:r>
          </w:p>
        </w:tc>
      </w:tr>
    </w:tbl>
    <w:p w14:paraId="275F1693" w14:textId="77777777" w:rsidR="0035120E" w:rsidRPr="00B710A9" w:rsidRDefault="0035120E" w:rsidP="0035120E">
      <w:pPr>
        <w:spacing w:after="0" w:line="240" w:lineRule="auto"/>
        <w:ind w:left="720"/>
        <w:jc w:val="center"/>
        <w:textAlignment w:val="baseline"/>
        <w:rPr>
          <w:rFonts w:ascii="Arial" w:eastAsia="Times New Roman" w:hAnsi="Arial" w:cs="Arial"/>
          <w:sz w:val="18"/>
          <w:szCs w:val="18"/>
        </w:rPr>
      </w:pPr>
      <w:r w:rsidRPr="00B710A9">
        <w:rPr>
          <w:rFonts w:ascii="Arial" w:eastAsia="Times New Roman" w:hAnsi="Arial" w:cs="Arial"/>
          <w:b/>
          <w:bCs/>
          <w:sz w:val="18"/>
          <w:szCs w:val="18"/>
        </w:rPr>
        <w:t>Fuente: IGAC</w:t>
      </w:r>
      <w:r w:rsidRPr="00B710A9">
        <w:rPr>
          <w:rFonts w:ascii="Arial" w:eastAsia="Times New Roman" w:hAnsi="Arial" w:cs="Arial"/>
          <w:sz w:val="18"/>
          <w:szCs w:val="18"/>
        </w:rPr>
        <w:t> </w:t>
      </w:r>
    </w:p>
    <w:p w14:paraId="05F1BD74" w14:textId="77777777" w:rsidR="0035120E" w:rsidRPr="00B710A9" w:rsidRDefault="0035120E" w:rsidP="0035120E">
      <w:pPr>
        <w:spacing w:after="0" w:line="240" w:lineRule="auto"/>
        <w:textAlignment w:val="baseline"/>
        <w:rPr>
          <w:rFonts w:eastAsia="Times New Roman" w:cs="Segoe UI"/>
          <w:sz w:val="18"/>
          <w:szCs w:val="18"/>
        </w:rPr>
      </w:pPr>
      <w:r w:rsidRPr="00B710A9">
        <w:rPr>
          <w:rFonts w:ascii="Arial" w:eastAsia="Times New Roman" w:hAnsi="Arial" w:cs="Arial"/>
          <w:sz w:val="20"/>
          <w:szCs w:val="20"/>
        </w:rPr>
        <w:t> </w:t>
      </w:r>
    </w:p>
    <w:p w14:paraId="25FDB986" w14:textId="71F3B934" w:rsidR="0035120E" w:rsidRPr="00B710A9" w:rsidRDefault="0035120E" w:rsidP="0035120E">
      <w:pPr>
        <w:spacing w:after="0" w:line="240" w:lineRule="auto"/>
        <w:textAlignment w:val="baseline"/>
        <w:rPr>
          <w:rFonts w:eastAsia="Times New Roman" w:cs="Segoe UI"/>
          <w:sz w:val="18"/>
          <w:szCs w:val="18"/>
        </w:rPr>
      </w:pPr>
      <w:r w:rsidRPr="00B710A9">
        <w:rPr>
          <w:rFonts w:ascii="Arial" w:eastAsia="Times New Roman" w:hAnsi="Arial" w:cs="Arial"/>
          <w:sz w:val="18"/>
          <w:szCs w:val="18"/>
        </w:rPr>
        <w:t xml:space="preserve">Fecha de Corte: </w:t>
      </w:r>
      <w:r w:rsidR="00E10BEF" w:rsidRPr="00B710A9">
        <w:rPr>
          <w:rFonts w:ascii="Arial" w:eastAsia="Times New Roman" w:hAnsi="Arial" w:cs="Arial"/>
          <w:sz w:val="18"/>
          <w:szCs w:val="18"/>
        </w:rPr>
        <w:t>j</w:t>
      </w:r>
      <w:r w:rsidRPr="00B710A9">
        <w:rPr>
          <w:rFonts w:ascii="Arial" w:eastAsia="Times New Roman" w:hAnsi="Arial" w:cs="Arial"/>
          <w:sz w:val="18"/>
          <w:szCs w:val="18"/>
        </w:rPr>
        <w:t>unio 30 de 2022 </w:t>
      </w:r>
    </w:p>
    <w:p w14:paraId="11C30DDE" w14:textId="77777777" w:rsidR="0035120E" w:rsidRPr="00B710A9" w:rsidRDefault="0035120E" w:rsidP="0035120E">
      <w:pPr>
        <w:spacing w:after="0" w:line="240" w:lineRule="auto"/>
        <w:textAlignment w:val="baseline"/>
        <w:rPr>
          <w:rFonts w:ascii="Arial" w:eastAsia="Times New Roman" w:hAnsi="Arial" w:cs="Arial"/>
          <w:sz w:val="20"/>
          <w:szCs w:val="20"/>
        </w:rPr>
      </w:pPr>
      <w:r w:rsidRPr="00B710A9">
        <w:rPr>
          <w:rFonts w:ascii="Arial" w:eastAsia="Times New Roman" w:hAnsi="Arial" w:cs="Arial"/>
          <w:sz w:val="20"/>
          <w:szCs w:val="20"/>
        </w:rPr>
        <w:t> </w:t>
      </w:r>
    </w:p>
    <w:p w14:paraId="769D4B4B" w14:textId="77777777" w:rsidR="00E10BEF" w:rsidRPr="00B710A9" w:rsidRDefault="00E10BEF" w:rsidP="0035120E">
      <w:pPr>
        <w:spacing w:after="0" w:line="240" w:lineRule="auto"/>
        <w:textAlignment w:val="baseline"/>
        <w:rPr>
          <w:rFonts w:ascii="Arial" w:eastAsia="Times New Roman" w:hAnsi="Arial" w:cs="Arial"/>
          <w:sz w:val="20"/>
          <w:szCs w:val="20"/>
        </w:rPr>
      </w:pPr>
    </w:p>
    <w:p w14:paraId="415ACACD" w14:textId="77777777" w:rsidR="00E10BEF" w:rsidRPr="00B710A9" w:rsidRDefault="00E10BEF" w:rsidP="0035120E">
      <w:pPr>
        <w:spacing w:after="0" w:line="240" w:lineRule="auto"/>
        <w:textAlignment w:val="baseline"/>
        <w:rPr>
          <w:rFonts w:ascii="Arial" w:eastAsia="Times New Roman" w:hAnsi="Arial" w:cs="Arial"/>
          <w:sz w:val="20"/>
          <w:szCs w:val="20"/>
        </w:rPr>
      </w:pPr>
    </w:p>
    <w:p w14:paraId="00848BA8" w14:textId="77777777" w:rsidR="00E10BEF" w:rsidRPr="00B710A9" w:rsidRDefault="00E10BEF" w:rsidP="0035120E">
      <w:pPr>
        <w:spacing w:after="0" w:line="240" w:lineRule="auto"/>
        <w:textAlignment w:val="baseline"/>
        <w:rPr>
          <w:rFonts w:ascii="Arial" w:eastAsia="Times New Roman" w:hAnsi="Arial" w:cs="Arial"/>
          <w:sz w:val="20"/>
          <w:szCs w:val="20"/>
        </w:rPr>
      </w:pPr>
    </w:p>
    <w:p w14:paraId="6503AA93" w14:textId="27F0CB5C" w:rsidR="00422542" w:rsidRPr="00B710A9" w:rsidRDefault="00FB0495" w:rsidP="009D279A">
      <w:pPr>
        <w:pStyle w:val="Ttulo1"/>
        <w:spacing w:before="0" w:after="0" w:line="240" w:lineRule="auto"/>
        <w:jc w:val="both"/>
        <w:rPr>
          <w:rFonts w:ascii="Arial" w:hAnsi="Arial" w:cs="Arial"/>
          <w:color w:val="000000" w:themeColor="text1"/>
          <w:sz w:val="22"/>
          <w:szCs w:val="22"/>
        </w:rPr>
      </w:pPr>
      <w:bookmarkStart w:id="91" w:name="_Toc46347939"/>
      <w:bookmarkStart w:id="92" w:name="_Toc111485520"/>
      <w:r w:rsidRPr="00B710A9">
        <w:rPr>
          <w:rFonts w:ascii="Arial" w:hAnsi="Arial" w:cs="Arial"/>
          <w:color w:val="000000" w:themeColor="text1"/>
          <w:sz w:val="22"/>
          <w:szCs w:val="22"/>
        </w:rPr>
        <w:t>4. GESTIÓN DEL CONOCIMIENTO PARA LA INVESTIGACIÓN, INNOVACIÓN Y DESARROLLO DE LA INFORMACIÓN CATASTRAL, GEODÉSICA, GEOGRÁFICA Y AGROLÓGICA</w:t>
      </w:r>
      <w:bookmarkEnd w:id="91"/>
      <w:bookmarkEnd w:id="92"/>
    </w:p>
    <w:p w14:paraId="58B3A736" w14:textId="77777777" w:rsidR="00422542" w:rsidRPr="00B710A9" w:rsidRDefault="00422542" w:rsidP="00FB0495">
      <w:pPr>
        <w:pBdr>
          <w:top w:val="nil"/>
          <w:left w:val="nil"/>
          <w:bottom w:val="nil"/>
          <w:right w:val="nil"/>
          <w:between w:val="nil"/>
        </w:pBdr>
        <w:spacing w:after="0" w:line="240" w:lineRule="auto"/>
        <w:jc w:val="both"/>
        <w:rPr>
          <w:rFonts w:ascii="Arial" w:hAnsi="Arial" w:cs="Arial"/>
          <w:color w:val="000000" w:themeColor="text1"/>
          <w:sz w:val="22"/>
          <w:szCs w:val="22"/>
        </w:rPr>
      </w:pPr>
    </w:p>
    <w:p w14:paraId="7F22AC56" w14:textId="77777777" w:rsidR="00422542" w:rsidRPr="00B710A9" w:rsidRDefault="00422542" w:rsidP="009D279A">
      <w:pP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 xml:space="preserve">El proceso “Gestión del conocimiento, investigación e innovación” busca articular, fortalecer y optimizar la producción e implementación de la gestión del conocimiento científico y tecnológico en los campos de la percepción remota, los sistemas de información geográfica, las infraestructuras de datos espaciales y las tecnologías relacionadas con el fin de impulsar el liderazgo y la competitividad del IGAC en Colombia. Como parte del Sistema Nacional de Ciencia, Tecnología e Innovación, busca optimizar el uso de las tecnologías geoespaciales para la toma de decisiones orientadas a la solución de problemas nacionales, el fortalecimiento de los sectores estatales, académico y productivo para el desarrollo sostenible del país. </w:t>
      </w:r>
    </w:p>
    <w:p w14:paraId="703A6AC2" w14:textId="77777777" w:rsidR="00422542" w:rsidRPr="00B710A9" w:rsidRDefault="00422542" w:rsidP="009D279A">
      <w:pPr>
        <w:spacing w:after="0" w:line="240" w:lineRule="auto"/>
        <w:jc w:val="both"/>
        <w:rPr>
          <w:rFonts w:ascii="Arial" w:hAnsi="Arial" w:cs="Arial"/>
          <w:color w:val="000000" w:themeColor="text1"/>
          <w:sz w:val="22"/>
          <w:szCs w:val="22"/>
        </w:rPr>
      </w:pPr>
    </w:p>
    <w:p w14:paraId="0C1E76B6" w14:textId="4FEFA531" w:rsidR="00422542" w:rsidRPr="00B710A9" w:rsidRDefault="00422542" w:rsidP="009D279A">
      <w:pPr>
        <w:spacing w:after="0" w:line="240" w:lineRule="auto"/>
        <w:jc w:val="both"/>
        <w:rPr>
          <w:rFonts w:ascii="Arial" w:hAnsi="Arial" w:cs="Arial"/>
          <w:color w:val="000000" w:themeColor="text1"/>
          <w:sz w:val="22"/>
          <w:szCs w:val="22"/>
        </w:rPr>
      </w:pPr>
      <w:r w:rsidRPr="00B710A9">
        <w:rPr>
          <w:rFonts w:ascii="Arial" w:hAnsi="Arial" w:cs="Arial"/>
          <w:color w:val="000000" w:themeColor="text1"/>
          <w:sz w:val="22"/>
          <w:szCs w:val="22"/>
        </w:rPr>
        <w:t>A continuación, se presentan los logros y resultados más relevantes para</w:t>
      </w:r>
      <w:r w:rsidR="00A60DA4" w:rsidRPr="00B710A9">
        <w:rPr>
          <w:rFonts w:ascii="Arial" w:hAnsi="Arial" w:cs="Arial"/>
          <w:color w:val="000000" w:themeColor="text1"/>
          <w:sz w:val="22"/>
          <w:szCs w:val="22"/>
        </w:rPr>
        <w:t xml:space="preserve"> el periodo 202</w:t>
      </w:r>
      <w:r w:rsidR="007915FB" w:rsidRPr="00B710A9">
        <w:rPr>
          <w:rFonts w:ascii="Arial" w:hAnsi="Arial" w:cs="Arial"/>
          <w:color w:val="000000" w:themeColor="text1"/>
          <w:sz w:val="22"/>
          <w:szCs w:val="22"/>
        </w:rPr>
        <w:t>1</w:t>
      </w:r>
      <w:r w:rsidR="00A60DA4" w:rsidRPr="00B710A9">
        <w:rPr>
          <w:rFonts w:ascii="Arial" w:hAnsi="Arial" w:cs="Arial"/>
          <w:color w:val="000000" w:themeColor="text1"/>
          <w:sz w:val="22"/>
          <w:szCs w:val="22"/>
        </w:rPr>
        <w:t>-202</w:t>
      </w:r>
      <w:r w:rsidR="007915FB" w:rsidRPr="00B710A9">
        <w:rPr>
          <w:rFonts w:ascii="Arial" w:hAnsi="Arial" w:cs="Arial"/>
          <w:color w:val="000000" w:themeColor="text1"/>
          <w:sz w:val="22"/>
          <w:szCs w:val="22"/>
        </w:rPr>
        <w:t>2</w:t>
      </w:r>
      <w:r w:rsidRPr="00B710A9">
        <w:rPr>
          <w:rFonts w:ascii="Arial" w:hAnsi="Arial" w:cs="Arial"/>
          <w:color w:val="000000" w:themeColor="text1"/>
          <w:sz w:val="22"/>
          <w:szCs w:val="22"/>
        </w:rPr>
        <w:t xml:space="preserve">. </w:t>
      </w:r>
      <w:r w:rsidR="3842DD6B" w:rsidRPr="00B710A9">
        <w:rPr>
          <w:rFonts w:ascii="Arial" w:hAnsi="Arial" w:cs="Arial"/>
          <w:color w:val="000000" w:themeColor="text1"/>
          <w:sz w:val="22"/>
          <w:szCs w:val="22"/>
        </w:rPr>
        <w:t>Durante el periodo descrito, s</w:t>
      </w:r>
      <w:r w:rsidRPr="00B710A9">
        <w:rPr>
          <w:rFonts w:ascii="Arial" w:hAnsi="Arial" w:cs="Arial"/>
          <w:color w:val="000000" w:themeColor="text1"/>
          <w:sz w:val="22"/>
          <w:szCs w:val="22"/>
        </w:rPr>
        <w:t xml:space="preserve">e generaron resultados en servicios de gestión del conocimiento e innovación geográfica donde se desarrollaron investigaciones en tecnologías geoespaciales, eventos de información técnico-científica, generación de instrumentos para el fortalecimiento de la ICDE y transferencia de conocimiento asociados a temáticas misionales. </w:t>
      </w:r>
    </w:p>
    <w:p w14:paraId="5D9FD7AB" w14:textId="77777777" w:rsidR="00422542" w:rsidRPr="00B710A9" w:rsidRDefault="00422542" w:rsidP="009D279A">
      <w:pPr>
        <w:pBdr>
          <w:top w:val="nil"/>
          <w:left w:val="nil"/>
          <w:bottom w:val="nil"/>
          <w:right w:val="nil"/>
          <w:between w:val="nil"/>
        </w:pBdr>
        <w:spacing w:after="0" w:line="240" w:lineRule="auto"/>
        <w:jc w:val="both"/>
        <w:rPr>
          <w:rFonts w:ascii="Arial" w:hAnsi="Arial" w:cs="Arial"/>
          <w:color w:val="000000" w:themeColor="text1"/>
          <w:sz w:val="22"/>
          <w:szCs w:val="22"/>
        </w:rPr>
      </w:pPr>
    </w:p>
    <w:p w14:paraId="5821A644" w14:textId="24B1D2AF" w:rsidR="00422542" w:rsidRPr="00B710A9" w:rsidRDefault="00422542" w:rsidP="009D279A">
      <w:pPr>
        <w:pBdr>
          <w:top w:val="nil"/>
          <w:left w:val="nil"/>
          <w:bottom w:val="nil"/>
          <w:right w:val="nil"/>
          <w:between w:val="nil"/>
        </w:pBdr>
        <w:spacing w:after="0" w:line="240" w:lineRule="auto"/>
        <w:jc w:val="both"/>
        <w:rPr>
          <w:rFonts w:ascii="Arial" w:hAnsi="Arial" w:cs="Arial"/>
          <w:b/>
          <w:bCs/>
          <w:color w:val="000000" w:themeColor="text1"/>
          <w:sz w:val="22"/>
          <w:szCs w:val="22"/>
        </w:rPr>
      </w:pPr>
      <w:r w:rsidRPr="00B710A9">
        <w:rPr>
          <w:rFonts w:ascii="Arial" w:hAnsi="Arial" w:cs="Arial"/>
          <w:b/>
          <w:bCs/>
          <w:color w:val="000000" w:themeColor="text1"/>
          <w:sz w:val="22"/>
          <w:szCs w:val="22"/>
        </w:rPr>
        <w:t>Logros del capítulo:</w:t>
      </w:r>
    </w:p>
    <w:p w14:paraId="424E5DF1" w14:textId="7AF5345E" w:rsidR="19B98323" w:rsidRPr="00B710A9" w:rsidRDefault="19B98323" w:rsidP="009D279A">
      <w:pPr>
        <w:spacing w:after="0" w:line="240" w:lineRule="auto"/>
        <w:jc w:val="both"/>
        <w:rPr>
          <w:rFonts w:ascii="Arial" w:hAnsi="Arial" w:cs="Arial"/>
          <w:b/>
          <w:bCs/>
          <w:color w:val="000000" w:themeColor="text1"/>
          <w:sz w:val="22"/>
          <w:szCs w:val="22"/>
        </w:rPr>
      </w:pPr>
    </w:p>
    <w:p w14:paraId="0D30AA6E" w14:textId="3BFA1F31" w:rsidR="18198226" w:rsidRPr="00B710A9" w:rsidRDefault="00F16DE9" w:rsidP="00356A3E">
      <w:pPr>
        <w:pStyle w:val="Prrafodelista"/>
        <w:numPr>
          <w:ilvl w:val="0"/>
          <w:numId w:val="24"/>
        </w:numPr>
        <w:tabs>
          <w:tab w:val="left" w:pos="284"/>
        </w:tabs>
        <w:spacing w:after="0" w:line="240" w:lineRule="auto"/>
        <w:ind w:left="0" w:firstLine="0"/>
        <w:jc w:val="both"/>
        <w:rPr>
          <w:rFonts w:ascii="Arial" w:eastAsia="Calibri" w:hAnsi="Arial" w:cs="Arial"/>
          <w:b/>
          <w:bCs/>
          <w:i/>
          <w:iCs/>
          <w:color w:val="000000" w:themeColor="text1"/>
          <w:sz w:val="22"/>
          <w:szCs w:val="22"/>
        </w:rPr>
      </w:pPr>
      <w:r w:rsidRPr="00B710A9">
        <w:rPr>
          <w:rFonts w:ascii="Arial" w:eastAsia="Calibri" w:hAnsi="Arial" w:cs="Arial"/>
          <w:b/>
          <w:bCs/>
          <w:i/>
          <w:iCs/>
          <w:color w:val="000000" w:themeColor="text1"/>
          <w:sz w:val="22"/>
          <w:szCs w:val="22"/>
          <w:u w:val="single"/>
        </w:rPr>
        <w:t>Proyectos de i</w:t>
      </w:r>
      <w:r w:rsidR="18198226" w:rsidRPr="00B710A9">
        <w:rPr>
          <w:rFonts w:ascii="Arial" w:eastAsia="Calibri" w:hAnsi="Arial" w:cs="Arial"/>
          <w:b/>
          <w:bCs/>
          <w:i/>
          <w:iCs/>
          <w:color w:val="000000" w:themeColor="text1"/>
          <w:sz w:val="22"/>
          <w:szCs w:val="22"/>
          <w:u w:val="single"/>
        </w:rPr>
        <w:t>nvestigaci</w:t>
      </w:r>
      <w:r w:rsidRPr="00B710A9">
        <w:rPr>
          <w:rFonts w:ascii="Arial" w:eastAsia="Calibri" w:hAnsi="Arial" w:cs="Arial"/>
          <w:b/>
          <w:bCs/>
          <w:i/>
          <w:iCs/>
          <w:color w:val="000000" w:themeColor="text1"/>
          <w:sz w:val="22"/>
          <w:szCs w:val="22"/>
          <w:u w:val="single"/>
        </w:rPr>
        <w:t>ón, desarrollo e innovación</w:t>
      </w:r>
      <w:r w:rsidR="18198226" w:rsidRPr="00B710A9">
        <w:rPr>
          <w:rFonts w:ascii="Arial" w:eastAsia="Calibri" w:hAnsi="Arial" w:cs="Arial"/>
          <w:b/>
          <w:bCs/>
          <w:i/>
          <w:iCs/>
          <w:color w:val="000000" w:themeColor="text1"/>
          <w:sz w:val="22"/>
          <w:szCs w:val="22"/>
        </w:rPr>
        <w:t xml:space="preserve"> </w:t>
      </w:r>
    </w:p>
    <w:p w14:paraId="30D49E13" w14:textId="77777777" w:rsidR="009D279A" w:rsidRPr="00B710A9" w:rsidRDefault="009D279A" w:rsidP="00B16BA3">
      <w:pPr>
        <w:pStyle w:val="Prrafodelista"/>
        <w:tabs>
          <w:tab w:val="left" w:pos="284"/>
        </w:tabs>
        <w:spacing w:after="0" w:line="240" w:lineRule="auto"/>
        <w:ind w:left="0"/>
        <w:jc w:val="both"/>
        <w:rPr>
          <w:rFonts w:ascii="Arial" w:eastAsia="Calibri" w:hAnsi="Arial" w:cs="Arial"/>
          <w:b/>
          <w:bCs/>
          <w:i/>
          <w:iCs/>
          <w:color w:val="000000" w:themeColor="text1"/>
          <w:sz w:val="22"/>
          <w:szCs w:val="22"/>
        </w:rPr>
      </w:pPr>
    </w:p>
    <w:p w14:paraId="0F81A538" w14:textId="2A3F476C" w:rsidR="00F16DE9" w:rsidRPr="00B710A9" w:rsidRDefault="00F16DE9" w:rsidP="00135019">
      <w:pPr>
        <w:tabs>
          <w:tab w:val="left" w:pos="284"/>
        </w:tabs>
        <w:spacing w:after="0" w:line="240" w:lineRule="auto"/>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rPr>
        <w:t xml:space="preserve">Con relación al desarrollo de proyectos de investigación y procedimientos innovadores para el uso y aplicación de las tecnologías de la Información Geográfica, se realizaron </w:t>
      </w:r>
      <w:r w:rsidR="009B75A9" w:rsidRPr="00B710A9">
        <w:rPr>
          <w:rFonts w:ascii="Arial" w:eastAsia="Calibri" w:hAnsi="Arial" w:cs="Arial"/>
          <w:color w:val="000000" w:themeColor="text1"/>
          <w:sz w:val="22"/>
          <w:szCs w:val="22"/>
        </w:rPr>
        <w:t>doce</w:t>
      </w:r>
      <w:r w:rsidRPr="00B710A9">
        <w:rPr>
          <w:rFonts w:ascii="Arial" w:eastAsia="Calibri" w:hAnsi="Arial" w:cs="Arial"/>
          <w:color w:val="000000" w:themeColor="text1"/>
          <w:sz w:val="22"/>
          <w:szCs w:val="22"/>
        </w:rPr>
        <w:t xml:space="preserve"> (</w:t>
      </w:r>
      <w:r w:rsidR="009B75A9" w:rsidRPr="00B710A9">
        <w:rPr>
          <w:rFonts w:ascii="Arial" w:eastAsia="Calibri" w:hAnsi="Arial" w:cs="Arial"/>
          <w:color w:val="000000" w:themeColor="text1"/>
          <w:sz w:val="22"/>
          <w:szCs w:val="22"/>
        </w:rPr>
        <w:t>12</w:t>
      </w:r>
      <w:r w:rsidRPr="00B710A9">
        <w:rPr>
          <w:rFonts w:ascii="Arial" w:eastAsia="Calibri" w:hAnsi="Arial" w:cs="Arial"/>
          <w:color w:val="000000" w:themeColor="text1"/>
          <w:sz w:val="22"/>
          <w:szCs w:val="22"/>
        </w:rPr>
        <w:t xml:space="preserve">) proyectos. </w:t>
      </w:r>
      <w:r w:rsidR="008F7535" w:rsidRPr="00B710A9">
        <w:rPr>
          <w:rFonts w:ascii="Arial" w:eastAsia="Calibri" w:hAnsi="Arial" w:cs="Arial"/>
          <w:color w:val="000000" w:themeColor="text1"/>
          <w:sz w:val="22"/>
          <w:szCs w:val="22"/>
        </w:rPr>
        <w:t>De estos, se destacan las</w:t>
      </w:r>
      <w:r w:rsidR="00250353" w:rsidRPr="00B710A9">
        <w:rPr>
          <w:rFonts w:ascii="Arial" w:eastAsia="Calibri" w:hAnsi="Arial" w:cs="Arial"/>
          <w:color w:val="000000" w:themeColor="text1"/>
          <w:sz w:val="22"/>
          <w:szCs w:val="22"/>
        </w:rPr>
        <w:t xml:space="preserve"> siguientes metodologías obtenidas:</w:t>
      </w:r>
    </w:p>
    <w:p w14:paraId="5679291B" w14:textId="77777777" w:rsidR="008F7535" w:rsidRPr="00B710A9" w:rsidRDefault="008F7535" w:rsidP="00135019">
      <w:pPr>
        <w:tabs>
          <w:tab w:val="left" w:pos="284"/>
        </w:tabs>
        <w:spacing w:after="0" w:line="240" w:lineRule="auto"/>
        <w:jc w:val="both"/>
        <w:rPr>
          <w:rFonts w:ascii="Arial" w:eastAsia="Calibri" w:hAnsi="Arial" w:cs="Arial"/>
          <w:color w:val="000000" w:themeColor="text1"/>
          <w:sz w:val="22"/>
          <w:szCs w:val="22"/>
        </w:rPr>
      </w:pPr>
    </w:p>
    <w:p w14:paraId="205C7456" w14:textId="77777777" w:rsidR="008F7535" w:rsidRPr="00B710A9" w:rsidRDefault="008F7535" w:rsidP="008F7535">
      <w:pPr>
        <w:pStyle w:val="Prrafodelista"/>
        <w:numPr>
          <w:ilvl w:val="0"/>
          <w:numId w:val="116"/>
        </w:numPr>
        <w:suppressAutoHyphens/>
        <w:overflowPunct w:val="0"/>
        <w:autoSpaceDE w:val="0"/>
        <w:spacing w:line="240" w:lineRule="auto"/>
        <w:jc w:val="both"/>
        <w:textAlignment w:val="baseline"/>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Metodología “Control de la calidad de la información primaria generada en los levantamientos de suelos”.</w:t>
      </w:r>
    </w:p>
    <w:p w14:paraId="15E7B840" w14:textId="77777777" w:rsidR="008F7535" w:rsidRPr="00B710A9" w:rsidRDefault="008F7535" w:rsidP="008F7535">
      <w:pPr>
        <w:pStyle w:val="Prrafodelista"/>
        <w:numPr>
          <w:ilvl w:val="0"/>
          <w:numId w:val="116"/>
        </w:numPr>
        <w:suppressAutoHyphens/>
        <w:overflowPunct w:val="0"/>
        <w:autoSpaceDE w:val="0"/>
        <w:spacing w:line="240" w:lineRule="auto"/>
        <w:jc w:val="both"/>
        <w:textAlignment w:val="baseline"/>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Metodología "Teledetección, </w:t>
      </w:r>
      <w:proofErr w:type="spellStart"/>
      <w:r w:rsidRPr="00B710A9">
        <w:rPr>
          <w:rFonts w:ascii="Arial" w:eastAsia="Arial" w:hAnsi="Arial" w:cs="Arial"/>
          <w:color w:val="000000" w:themeColor="text1"/>
          <w:sz w:val="22"/>
          <w:szCs w:val="22"/>
          <w:lang w:val="es"/>
        </w:rPr>
        <w:t>Espectroradiometría</w:t>
      </w:r>
      <w:proofErr w:type="spellEnd"/>
      <w:r w:rsidRPr="00B710A9">
        <w:rPr>
          <w:rFonts w:ascii="Arial" w:eastAsia="Arial" w:hAnsi="Arial" w:cs="Arial"/>
          <w:color w:val="000000" w:themeColor="text1"/>
          <w:sz w:val="22"/>
          <w:szCs w:val="22"/>
          <w:lang w:val="es"/>
        </w:rPr>
        <w:t xml:space="preserve"> y Segmentación de Imágenes Multiespectrales a través de Autómatas Celulares” </w:t>
      </w:r>
    </w:p>
    <w:p w14:paraId="65D783FF" w14:textId="77777777" w:rsidR="008F7535" w:rsidRPr="00B710A9" w:rsidRDefault="008F7535" w:rsidP="00135019">
      <w:pPr>
        <w:tabs>
          <w:tab w:val="left" w:pos="284"/>
        </w:tabs>
        <w:spacing w:after="0" w:line="240" w:lineRule="auto"/>
        <w:jc w:val="both"/>
        <w:rPr>
          <w:rFonts w:ascii="Arial" w:eastAsia="Calibri" w:hAnsi="Arial" w:cs="Arial"/>
          <w:color w:val="000000" w:themeColor="text1"/>
          <w:sz w:val="22"/>
          <w:szCs w:val="22"/>
        </w:rPr>
      </w:pPr>
    </w:p>
    <w:p w14:paraId="53565BF5" w14:textId="13EA3305" w:rsidR="00F16DE9" w:rsidRPr="00B710A9" w:rsidRDefault="00F16DE9" w:rsidP="008C0EE8">
      <w:pPr>
        <w:tabs>
          <w:tab w:val="left" w:pos="284"/>
        </w:tabs>
        <w:spacing w:after="0" w:line="240" w:lineRule="auto"/>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rPr>
        <w:t>Con relación a los proyectos orientados al desarrollo de proyectos de innovación e investigación aplicada en tecnologías geoespaciales y prospectiva apoyada en ciencia de datos para la optimización de procesos Institucionales, a continuación</w:t>
      </w:r>
      <w:r w:rsidR="00DC413B" w:rsidRPr="00B710A9">
        <w:rPr>
          <w:rFonts w:ascii="Arial" w:eastAsia="Calibri" w:hAnsi="Arial" w:cs="Arial"/>
          <w:color w:val="000000" w:themeColor="text1"/>
          <w:sz w:val="22"/>
          <w:szCs w:val="22"/>
        </w:rPr>
        <w:t>,</w:t>
      </w:r>
      <w:r w:rsidRPr="00B710A9">
        <w:rPr>
          <w:rFonts w:ascii="Arial" w:eastAsia="Calibri" w:hAnsi="Arial" w:cs="Arial"/>
          <w:color w:val="000000" w:themeColor="text1"/>
          <w:sz w:val="22"/>
          <w:szCs w:val="22"/>
        </w:rPr>
        <w:t xml:space="preserve"> se relacionan los nombres de los proyectos de Investigación, Desarrollo e Innovación que se encuentran en ejecución durante el año 2022.</w:t>
      </w:r>
    </w:p>
    <w:p w14:paraId="6B8A6AD4" w14:textId="77777777" w:rsidR="00DC413B" w:rsidRPr="00B710A9" w:rsidRDefault="00DC413B" w:rsidP="00DC413B">
      <w:pPr>
        <w:pStyle w:val="Prrafodelista"/>
        <w:tabs>
          <w:tab w:val="left" w:pos="284"/>
        </w:tabs>
        <w:spacing w:after="0" w:line="240" w:lineRule="auto"/>
        <w:jc w:val="both"/>
        <w:rPr>
          <w:rFonts w:ascii="Arial" w:eastAsia="Calibri" w:hAnsi="Arial" w:cs="Arial"/>
          <w:color w:val="000000" w:themeColor="text1"/>
          <w:sz w:val="22"/>
          <w:szCs w:val="22"/>
        </w:rPr>
      </w:pPr>
    </w:p>
    <w:p w14:paraId="54AB8AEB" w14:textId="77777777" w:rsidR="00DC413B" w:rsidRPr="00B710A9" w:rsidRDefault="00DC413B" w:rsidP="00DC413B">
      <w:pPr>
        <w:pStyle w:val="Prrafodelista"/>
        <w:tabs>
          <w:tab w:val="left" w:pos="284"/>
        </w:tabs>
        <w:spacing w:after="0" w:line="240" w:lineRule="auto"/>
        <w:jc w:val="both"/>
        <w:rPr>
          <w:rFonts w:ascii="Arial" w:eastAsia="Calibri" w:hAnsi="Arial" w:cs="Arial"/>
          <w:b/>
          <w:bCs/>
          <w:color w:val="000000" w:themeColor="text1"/>
          <w:sz w:val="20"/>
          <w:szCs w:val="20"/>
        </w:rPr>
      </w:pPr>
    </w:p>
    <w:p w14:paraId="08B9CE7C" w14:textId="3A6EEDC4" w:rsidR="00801DF8" w:rsidRPr="00B710A9" w:rsidRDefault="00801DF8" w:rsidP="00801DF8">
      <w:pPr>
        <w:pStyle w:val="Descripcin"/>
        <w:keepNext/>
        <w:jc w:val="center"/>
        <w:rPr>
          <w:rFonts w:ascii="Arial" w:hAnsi="Arial" w:cs="Arial"/>
          <w:b/>
          <w:bCs/>
          <w:i w:val="0"/>
          <w:iCs w:val="0"/>
          <w:color w:val="000000" w:themeColor="text1"/>
          <w:sz w:val="16"/>
          <w:szCs w:val="16"/>
        </w:rPr>
      </w:pPr>
      <w:bookmarkStart w:id="93" w:name="_Toc109057767"/>
      <w:r w:rsidRPr="00B710A9">
        <w:rPr>
          <w:rFonts w:ascii="Arial" w:hAnsi="Arial" w:cs="Arial"/>
          <w:b/>
          <w:bCs/>
          <w:i w:val="0"/>
          <w:iCs w:val="0"/>
          <w:color w:val="000000" w:themeColor="text1"/>
          <w:sz w:val="16"/>
          <w:szCs w:val="16"/>
        </w:rPr>
        <w:t xml:space="preserve">Tabla </w:t>
      </w:r>
      <w:r w:rsidRPr="00B710A9">
        <w:rPr>
          <w:rFonts w:ascii="Arial" w:hAnsi="Arial" w:cs="Arial"/>
          <w:b/>
          <w:bCs/>
          <w:i w:val="0"/>
          <w:iCs w:val="0"/>
          <w:color w:val="000000" w:themeColor="text1"/>
          <w:sz w:val="16"/>
          <w:szCs w:val="16"/>
        </w:rPr>
        <w:fldChar w:fldCharType="begin"/>
      </w:r>
      <w:r w:rsidRPr="00B710A9">
        <w:rPr>
          <w:rFonts w:ascii="Arial" w:hAnsi="Arial" w:cs="Arial"/>
          <w:b/>
          <w:bCs/>
          <w:i w:val="0"/>
          <w:iCs w:val="0"/>
          <w:color w:val="000000" w:themeColor="text1"/>
          <w:sz w:val="16"/>
          <w:szCs w:val="16"/>
        </w:rPr>
        <w:instrText xml:space="preserve"> SEQ Tabla \* ARABIC </w:instrText>
      </w:r>
      <w:r w:rsidRPr="00B710A9">
        <w:rPr>
          <w:rFonts w:ascii="Arial" w:hAnsi="Arial" w:cs="Arial"/>
          <w:b/>
          <w:bCs/>
          <w:i w:val="0"/>
          <w:iCs w:val="0"/>
          <w:color w:val="000000" w:themeColor="text1"/>
          <w:sz w:val="16"/>
          <w:szCs w:val="16"/>
        </w:rPr>
        <w:fldChar w:fldCharType="separate"/>
      </w:r>
      <w:r w:rsidRPr="00B710A9">
        <w:rPr>
          <w:rFonts w:ascii="Arial" w:hAnsi="Arial" w:cs="Arial"/>
          <w:b/>
          <w:bCs/>
          <w:i w:val="0"/>
          <w:iCs w:val="0"/>
          <w:noProof/>
          <w:color w:val="000000" w:themeColor="text1"/>
          <w:sz w:val="16"/>
          <w:szCs w:val="16"/>
        </w:rPr>
        <w:t>37</w:t>
      </w:r>
      <w:r w:rsidRPr="00B710A9">
        <w:rPr>
          <w:rFonts w:ascii="Arial" w:hAnsi="Arial" w:cs="Arial"/>
          <w:b/>
          <w:bCs/>
          <w:i w:val="0"/>
          <w:iCs w:val="0"/>
          <w:color w:val="000000" w:themeColor="text1"/>
          <w:sz w:val="16"/>
          <w:szCs w:val="16"/>
        </w:rPr>
        <w:fldChar w:fldCharType="end"/>
      </w:r>
      <w:r w:rsidRPr="00B710A9">
        <w:rPr>
          <w:rFonts w:ascii="Arial" w:hAnsi="Arial" w:cs="Arial"/>
          <w:b/>
          <w:bCs/>
          <w:i w:val="0"/>
          <w:iCs w:val="0"/>
          <w:color w:val="000000" w:themeColor="text1"/>
          <w:sz w:val="16"/>
          <w:szCs w:val="16"/>
        </w:rPr>
        <w:t>. Proyectos de I+D+i Año 2022</w:t>
      </w:r>
      <w:bookmarkStart w:id="94" w:name="_Toc107995463"/>
      <w:bookmarkEnd w:id="93"/>
    </w:p>
    <w:tbl>
      <w:tblPr>
        <w:tblW w:w="0" w:type="auto"/>
        <w:jc w:val="center"/>
        <w:tblLayout w:type="fixed"/>
        <w:tblLook w:val="06A0" w:firstRow="1" w:lastRow="0" w:firstColumn="1" w:lastColumn="0" w:noHBand="1" w:noVBand="1"/>
      </w:tblPr>
      <w:tblGrid>
        <w:gridCol w:w="5100"/>
        <w:gridCol w:w="3120"/>
      </w:tblGrid>
      <w:tr w:rsidR="009E4710" w:rsidRPr="00B710A9" w14:paraId="2CC0937D" w14:textId="77777777" w:rsidTr="00A224C8">
        <w:trPr>
          <w:trHeight w:val="270"/>
          <w:tblHeader/>
          <w:jc w:val="center"/>
        </w:trPr>
        <w:tc>
          <w:tcPr>
            <w:tcW w:w="5100" w:type="dxa"/>
            <w:tcBorders>
              <w:top w:val="single" w:sz="8" w:space="0" w:color="auto"/>
              <w:left w:val="single" w:sz="8" w:space="0" w:color="auto"/>
              <w:bottom w:val="single" w:sz="8" w:space="0" w:color="auto"/>
              <w:right w:val="single" w:sz="8" w:space="0" w:color="auto"/>
            </w:tcBorders>
            <w:shd w:val="clear" w:color="auto" w:fill="4472C4"/>
            <w:vAlign w:val="center"/>
          </w:tcPr>
          <w:bookmarkEnd w:id="94"/>
          <w:p w14:paraId="0B5F2746" w14:textId="77777777" w:rsidR="009E4710" w:rsidRPr="00B710A9" w:rsidRDefault="009E4710" w:rsidP="00A224C8">
            <w:pPr>
              <w:jc w:val="center"/>
              <w:rPr>
                <w:rFonts w:ascii="Arial" w:eastAsia="Arial" w:hAnsi="Arial" w:cs="Arial"/>
                <w:b/>
                <w:bCs/>
                <w:color w:val="FFFFFF" w:themeColor="background1"/>
                <w:sz w:val="18"/>
                <w:szCs w:val="18"/>
                <w:lang w:val="es"/>
              </w:rPr>
            </w:pPr>
            <w:r w:rsidRPr="00B710A9">
              <w:rPr>
                <w:rFonts w:ascii="Arial" w:eastAsia="Arial" w:hAnsi="Arial" w:cs="Arial"/>
                <w:b/>
                <w:bCs/>
                <w:color w:val="FFFFFF" w:themeColor="background1"/>
                <w:sz w:val="18"/>
                <w:szCs w:val="18"/>
                <w:lang w:val="es"/>
              </w:rPr>
              <w:t>Nombre proyecto</w:t>
            </w:r>
          </w:p>
        </w:tc>
        <w:tc>
          <w:tcPr>
            <w:tcW w:w="3120" w:type="dxa"/>
            <w:tcBorders>
              <w:top w:val="single" w:sz="8" w:space="0" w:color="auto"/>
              <w:left w:val="single" w:sz="8" w:space="0" w:color="auto"/>
              <w:bottom w:val="single" w:sz="8" w:space="0" w:color="auto"/>
              <w:right w:val="single" w:sz="8" w:space="0" w:color="auto"/>
            </w:tcBorders>
            <w:shd w:val="clear" w:color="auto" w:fill="4472C4"/>
            <w:vAlign w:val="center"/>
          </w:tcPr>
          <w:p w14:paraId="5C726CB0" w14:textId="77777777" w:rsidR="009E4710" w:rsidRPr="00B710A9" w:rsidRDefault="009E4710" w:rsidP="00A224C8">
            <w:pPr>
              <w:jc w:val="center"/>
              <w:rPr>
                <w:rFonts w:ascii="Arial" w:eastAsia="Arial" w:hAnsi="Arial" w:cs="Arial"/>
                <w:b/>
                <w:bCs/>
                <w:color w:val="FFFFFF" w:themeColor="background1"/>
                <w:sz w:val="18"/>
                <w:szCs w:val="18"/>
                <w:lang w:val="es"/>
              </w:rPr>
            </w:pPr>
            <w:r w:rsidRPr="00B710A9">
              <w:rPr>
                <w:rFonts w:ascii="Arial" w:eastAsia="Arial" w:hAnsi="Arial" w:cs="Arial"/>
                <w:b/>
                <w:bCs/>
                <w:color w:val="FFFFFF" w:themeColor="background1"/>
                <w:sz w:val="18"/>
                <w:szCs w:val="18"/>
                <w:lang w:val="es"/>
              </w:rPr>
              <w:t>Tipo de proyecto I+D+i</w:t>
            </w:r>
          </w:p>
        </w:tc>
      </w:tr>
      <w:tr w:rsidR="009E4710" w:rsidRPr="00B710A9" w14:paraId="1D870404" w14:textId="77777777" w:rsidTr="00A224C8">
        <w:trPr>
          <w:trHeight w:val="405"/>
          <w:jc w:val="center"/>
        </w:trPr>
        <w:tc>
          <w:tcPr>
            <w:tcW w:w="51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2E6E1A6"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Propuesta metodológica para la determinación del insumo agrológico de potencial de uso de las tierras con especies vegetales seleccionadas con fines catastrales</w:t>
            </w:r>
          </w:p>
        </w:tc>
        <w:tc>
          <w:tcPr>
            <w:tcW w:w="31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6B82D6"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Desarrollo tecnológico e innovación</w:t>
            </w:r>
          </w:p>
        </w:tc>
      </w:tr>
      <w:tr w:rsidR="009E4710" w:rsidRPr="00B710A9" w14:paraId="2F7004AC" w14:textId="77777777" w:rsidTr="00A224C8">
        <w:trPr>
          <w:trHeight w:val="585"/>
          <w:jc w:val="center"/>
        </w:trPr>
        <w:tc>
          <w:tcPr>
            <w:tcW w:w="51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B1D0BD"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Optimización de los procesos de captura de datos de suelos en campo mediante desarrollo de aplicativo Mobile (Levantamiento y análisis de requerimientos)</w:t>
            </w:r>
          </w:p>
        </w:tc>
        <w:tc>
          <w:tcPr>
            <w:tcW w:w="31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3A1C0D8"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Desarrollo tecnológico e innovación</w:t>
            </w:r>
          </w:p>
        </w:tc>
      </w:tr>
      <w:tr w:rsidR="009E4710" w:rsidRPr="00B710A9" w14:paraId="3AA77EC0" w14:textId="77777777" w:rsidTr="00A224C8">
        <w:trPr>
          <w:trHeight w:val="585"/>
          <w:jc w:val="center"/>
        </w:trPr>
        <w:tc>
          <w:tcPr>
            <w:tcW w:w="51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700B07"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Diseño y desarrollo de sistema de gestión de avalúos comerciales a partir del SIG de avalúos</w:t>
            </w:r>
          </w:p>
        </w:tc>
        <w:tc>
          <w:tcPr>
            <w:tcW w:w="31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6415DD"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Desarrollo tecnológico e innovación</w:t>
            </w:r>
          </w:p>
        </w:tc>
      </w:tr>
      <w:tr w:rsidR="009E4710" w:rsidRPr="00B710A9" w14:paraId="1785F1DB" w14:textId="77777777" w:rsidTr="00A224C8">
        <w:trPr>
          <w:trHeight w:val="585"/>
          <w:jc w:val="center"/>
        </w:trPr>
        <w:tc>
          <w:tcPr>
            <w:tcW w:w="51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B65FD2"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Diseñar e implementar una metodología para la captura de linderos prediales a partir de productos de observación de la tierra de alta resolución mediante técnicas avanzadas de teledetección</w:t>
            </w:r>
          </w:p>
        </w:tc>
        <w:tc>
          <w:tcPr>
            <w:tcW w:w="31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86CD7C"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Desarrollo tecnológico e innovación</w:t>
            </w:r>
          </w:p>
        </w:tc>
      </w:tr>
      <w:tr w:rsidR="009E4710" w:rsidRPr="00B710A9" w14:paraId="63B2C600" w14:textId="77777777" w:rsidTr="00A224C8">
        <w:trPr>
          <w:trHeight w:val="270"/>
          <w:jc w:val="center"/>
        </w:trPr>
        <w:tc>
          <w:tcPr>
            <w:tcW w:w="51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9C0FF1"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Clasificación de tipologías constructivas a partir de imágenes aéreas y terrestre.</w:t>
            </w:r>
          </w:p>
        </w:tc>
        <w:tc>
          <w:tcPr>
            <w:tcW w:w="31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1C388F"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Desarrollo tecnológico e innovación</w:t>
            </w:r>
          </w:p>
        </w:tc>
      </w:tr>
      <w:tr w:rsidR="009E4710" w:rsidRPr="00B710A9" w14:paraId="1305F1F6" w14:textId="77777777" w:rsidTr="00A224C8">
        <w:trPr>
          <w:trHeight w:val="585"/>
          <w:jc w:val="center"/>
        </w:trPr>
        <w:tc>
          <w:tcPr>
            <w:tcW w:w="51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C62D819"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Diseño y evaluación de diferentes técnicas de exploración y extracción de información de bases de datos de la dinámica inmobiliaria</w:t>
            </w:r>
          </w:p>
        </w:tc>
        <w:tc>
          <w:tcPr>
            <w:tcW w:w="31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70918B6"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Desarrollo tecnológico e innovación</w:t>
            </w:r>
          </w:p>
        </w:tc>
      </w:tr>
      <w:tr w:rsidR="009E4710" w:rsidRPr="00B710A9" w14:paraId="396191BF" w14:textId="77777777" w:rsidTr="00A224C8">
        <w:trPr>
          <w:trHeight w:val="210"/>
          <w:jc w:val="center"/>
        </w:trPr>
        <w:tc>
          <w:tcPr>
            <w:tcW w:w="5100" w:type="dxa"/>
            <w:tcBorders>
              <w:top w:val="single" w:sz="8" w:space="0" w:color="auto"/>
              <w:left w:val="single" w:sz="8" w:space="0" w:color="000000" w:themeColor="text1"/>
              <w:bottom w:val="single" w:sz="8" w:space="0" w:color="000000" w:themeColor="text1"/>
              <w:right w:val="single" w:sz="8" w:space="0" w:color="000000" w:themeColor="text1"/>
            </w:tcBorders>
            <w:vAlign w:val="center"/>
          </w:tcPr>
          <w:p w14:paraId="662016CC"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 xml:space="preserve">Metodología </w:t>
            </w:r>
            <w:proofErr w:type="spellStart"/>
            <w:r w:rsidRPr="00B710A9">
              <w:rPr>
                <w:rFonts w:ascii="Arial" w:eastAsia="Arial" w:hAnsi="Arial" w:cs="Arial"/>
                <w:color w:val="000000" w:themeColor="text1"/>
                <w:sz w:val="18"/>
                <w:szCs w:val="18"/>
                <w:lang w:val="es"/>
              </w:rPr>
              <w:t>valuatoria</w:t>
            </w:r>
            <w:proofErr w:type="spellEnd"/>
            <w:r w:rsidRPr="00B710A9">
              <w:rPr>
                <w:rFonts w:ascii="Arial" w:eastAsia="Arial" w:hAnsi="Arial" w:cs="Arial"/>
                <w:color w:val="000000" w:themeColor="text1"/>
                <w:sz w:val="18"/>
                <w:szCs w:val="18"/>
                <w:lang w:val="es"/>
              </w:rPr>
              <w:t xml:space="preserve"> en zonas de baja o nula dinámica inmobiliaria</w:t>
            </w:r>
          </w:p>
        </w:tc>
        <w:tc>
          <w:tcPr>
            <w:tcW w:w="3120" w:type="dxa"/>
            <w:tcBorders>
              <w:top w:val="single" w:sz="8" w:space="0" w:color="auto"/>
              <w:left w:val="single" w:sz="8" w:space="0" w:color="000000" w:themeColor="text1"/>
              <w:bottom w:val="single" w:sz="8" w:space="0" w:color="auto"/>
              <w:right w:val="single" w:sz="8" w:space="0" w:color="auto"/>
            </w:tcBorders>
            <w:shd w:val="clear" w:color="auto" w:fill="FFFFFF" w:themeFill="background1"/>
            <w:vAlign w:val="center"/>
          </w:tcPr>
          <w:p w14:paraId="7817854B"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Desarrollo tecnológico e innovación</w:t>
            </w:r>
          </w:p>
        </w:tc>
      </w:tr>
      <w:tr w:rsidR="009E4710" w:rsidRPr="00B710A9" w14:paraId="788C0ECE" w14:textId="77777777" w:rsidTr="00A224C8">
        <w:trPr>
          <w:trHeight w:val="195"/>
          <w:jc w:val="center"/>
        </w:trPr>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211DD5"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Sistema de información del Observatorio Inmobiliario</w:t>
            </w:r>
          </w:p>
        </w:tc>
        <w:tc>
          <w:tcPr>
            <w:tcW w:w="3120" w:type="dxa"/>
            <w:tcBorders>
              <w:top w:val="single" w:sz="8" w:space="0" w:color="auto"/>
              <w:left w:val="single" w:sz="8" w:space="0" w:color="000000" w:themeColor="text1"/>
              <w:bottom w:val="single" w:sz="8" w:space="0" w:color="auto"/>
              <w:right w:val="single" w:sz="8" w:space="0" w:color="auto"/>
            </w:tcBorders>
            <w:shd w:val="clear" w:color="auto" w:fill="FFFFFF" w:themeFill="background1"/>
            <w:vAlign w:val="center"/>
          </w:tcPr>
          <w:p w14:paraId="64825F3A"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Desarrollo tecnológico e innovación</w:t>
            </w:r>
          </w:p>
        </w:tc>
      </w:tr>
      <w:tr w:rsidR="009E4710" w:rsidRPr="00B710A9" w14:paraId="266C0B54" w14:textId="77777777" w:rsidTr="00A224C8">
        <w:trPr>
          <w:trHeight w:val="345"/>
          <w:jc w:val="center"/>
        </w:trPr>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20F3C4"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Pronóstico y mapeo de la expansión urbana - Caso de estudio municipio de Chía</w:t>
            </w:r>
          </w:p>
        </w:tc>
        <w:tc>
          <w:tcPr>
            <w:tcW w:w="3120" w:type="dxa"/>
            <w:tcBorders>
              <w:top w:val="single" w:sz="8" w:space="0" w:color="auto"/>
              <w:left w:val="single" w:sz="8" w:space="0" w:color="000000" w:themeColor="text1"/>
              <w:bottom w:val="single" w:sz="8" w:space="0" w:color="auto"/>
              <w:right w:val="single" w:sz="8" w:space="0" w:color="auto"/>
            </w:tcBorders>
            <w:shd w:val="clear" w:color="auto" w:fill="FFFFFF" w:themeFill="background1"/>
            <w:vAlign w:val="center"/>
          </w:tcPr>
          <w:p w14:paraId="7B3474A6"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Investigación Aplicada</w:t>
            </w:r>
          </w:p>
        </w:tc>
      </w:tr>
      <w:tr w:rsidR="009E4710" w:rsidRPr="00B710A9" w14:paraId="51A2385F" w14:textId="77777777" w:rsidTr="00A224C8">
        <w:trPr>
          <w:trHeight w:val="315"/>
          <w:jc w:val="center"/>
        </w:trPr>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FB5548" w14:textId="07BD888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Conceptualización, definición y estructuración de la metodología prospectiva del IGAC</w:t>
            </w:r>
          </w:p>
        </w:tc>
        <w:tc>
          <w:tcPr>
            <w:tcW w:w="3120" w:type="dxa"/>
            <w:tcBorders>
              <w:top w:val="single" w:sz="8" w:space="0" w:color="auto"/>
              <w:left w:val="single" w:sz="8" w:space="0" w:color="000000" w:themeColor="text1"/>
              <w:bottom w:val="single" w:sz="8" w:space="0" w:color="auto"/>
              <w:right w:val="single" w:sz="8" w:space="0" w:color="auto"/>
            </w:tcBorders>
            <w:shd w:val="clear" w:color="auto" w:fill="FFFFFF" w:themeFill="background1"/>
            <w:vAlign w:val="center"/>
          </w:tcPr>
          <w:p w14:paraId="5A0374BC" w14:textId="77777777" w:rsidR="009E4710" w:rsidRPr="00B710A9" w:rsidRDefault="009E4710" w:rsidP="00A224C8">
            <w:pPr>
              <w:jc w:val="both"/>
              <w:rPr>
                <w:rFonts w:ascii="Arial" w:eastAsia="Arial" w:hAnsi="Arial" w:cs="Arial"/>
                <w:color w:val="000000" w:themeColor="text1"/>
                <w:sz w:val="18"/>
                <w:szCs w:val="18"/>
                <w:lang w:val="es"/>
              </w:rPr>
            </w:pPr>
            <w:r w:rsidRPr="00B710A9">
              <w:rPr>
                <w:rFonts w:ascii="Arial" w:eastAsia="Arial" w:hAnsi="Arial" w:cs="Arial"/>
                <w:color w:val="000000" w:themeColor="text1"/>
                <w:sz w:val="18"/>
                <w:szCs w:val="18"/>
                <w:lang w:val="es"/>
              </w:rPr>
              <w:t>Investigación Aplicada</w:t>
            </w:r>
          </w:p>
        </w:tc>
      </w:tr>
    </w:tbl>
    <w:p w14:paraId="1EA31095" w14:textId="77777777" w:rsidR="009E4710" w:rsidRPr="00B710A9" w:rsidRDefault="009E4710" w:rsidP="009E4710">
      <w:pPr>
        <w:jc w:val="center"/>
        <w:rPr>
          <w:rFonts w:ascii="Arial" w:eastAsia="Arial" w:hAnsi="Arial" w:cs="Arial"/>
          <w:b/>
          <w:sz w:val="16"/>
          <w:szCs w:val="16"/>
          <w:lang w:val="es"/>
        </w:rPr>
      </w:pPr>
      <w:r w:rsidRPr="00B710A9">
        <w:rPr>
          <w:rFonts w:ascii="Arial" w:eastAsia="Arial" w:hAnsi="Arial" w:cs="Arial"/>
          <w:b/>
          <w:sz w:val="16"/>
          <w:szCs w:val="16"/>
          <w:lang w:val="es"/>
        </w:rPr>
        <w:t xml:space="preserve">Fuente: Dirección de Investigación y Prospectiva </w:t>
      </w:r>
    </w:p>
    <w:p w14:paraId="70BFECCF" w14:textId="77777777" w:rsidR="009E4710" w:rsidRPr="00B710A9" w:rsidRDefault="009E4710" w:rsidP="009E4710"/>
    <w:p w14:paraId="4D1B6435" w14:textId="48EF9970" w:rsidR="18198226" w:rsidRPr="00B710A9" w:rsidRDefault="18198226" w:rsidP="00356A3E">
      <w:pPr>
        <w:pStyle w:val="Prrafodelista"/>
        <w:numPr>
          <w:ilvl w:val="0"/>
          <w:numId w:val="24"/>
        </w:numPr>
        <w:tabs>
          <w:tab w:val="left" w:pos="284"/>
        </w:tabs>
        <w:spacing w:after="0" w:line="240" w:lineRule="auto"/>
        <w:ind w:left="0" w:firstLine="0"/>
        <w:jc w:val="both"/>
        <w:rPr>
          <w:rFonts w:ascii="Arial" w:eastAsia="Calibri" w:hAnsi="Arial" w:cs="Arial"/>
          <w:b/>
          <w:bCs/>
          <w:i/>
          <w:iCs/>
          <w:color w:val="000000" w:themeColor="text1"/>
          <w:sz w:val="22"/>
          <w:szCs w:val="22"/>
        </w:rPr>
      </w:pPr>
      <w:r w:rsidRPr="00B710A9">
        <w:rPr>
          <w:rFonts w:ascii="Arial" w:eastAsia="Calibri" w:hAnsi="Arial" w:cs="Arial"/>
          <w:b/>
          <w:bCs/>
          <w:i/>
          <w:iCs/>
          <w:color w:val="000000" w:themeColor="text1"/>
          <w:sz w:val="22"/>
          <w:szCs w:val="22"/>
          <w:u w:val="single"/>
        </w:rPr>
        <w:t>Eventos de difusión de información técnico-científica</w:t>
      </w:r>
    </w:p>
    <w:p w14:paraId="69625B1C" w14:textId="7891D0F5" w:rsidR="19B98323" w:rsidRPr="00B710A9" w:rsidRDefault="19B98323" w:rsidP="009D279A">
      <w:pPr>
        <w:spacing w:after="0" w:line="240" w:lineRule="auto"/>
        <w:jc w:val="both"/>
        <w:rPr>
          <w:rFonts w:ascii="Arial" w:eastAsia="Segoe UI" w:hAnsi="Arial" w:cs="Arial"/>
          <w:color w:val="000000" w:themeColor="text1"/>
          <w:sz w:val="22"/>
          <w:szCs w:val="22"/>
        </w:rPr>
      </w:pPr>
    </w:p>
    <w:p w14:paraId="36044F4D" w14:textId="72B1B25F" w:rsidR="00E03A22" w:rsidRPr="00B710A9" w:rsidRDefault="00E03A22" w:rsidP="00E03A22">
      <w:pPr>
        <w:spacing w:after="0" w:line="240" w:lineRule="auto"/>
        <w:jc w:val="both"/>
        <w:rPr>
          <w:rFonts w:ascii="Arial" w:eastAsia="Calibri" w:hAnsi="Arial" w:cs="Arial"/>
          <w:color w:val="000000" w:themeColor="text1"/>
          <w:sz w:val="22"/>
          <w:szCs w:val="22"/>
          <w:lang w:val="es"/>
        </w:rPr>
      </w:pPr>
      <w:r w:rsidRPr="00B710A9">
        <w:rPr>
          <w:rFonts w:ascii="Arial" w:eastAsia="Calibri" w:hAnsi="Arial" w:cs="Arial"/>
          <w:color w:val="000000" w:themeColor="text1"/>
          <w:sz w:val="22"/>
          <w:szCs w:val="22"/>
          <w:lang w:val="es"/>
        </w:rPr>
        <w:t xml:space="preserve">Durante el período 2021-2022, se realizaron </w:t>
      </w:r>
      <w:r w:rsidR="004847EF" w:rsidRPr="00B710A9">
        <w:rPr>
          <w:rFonts w:ascii="Arial" w:eastAsia="Calibri" w:hAnsi="Arial" w:cs="Arial"/>
          <w:color w:val="000000" w:themeColor="text1"/>
          <w:sz w:val="22"/>
          <w:szCs w:val="22"/>
          <w:lang w:val="es"/>
        </w:rPr>
        <w:t>siete</w:t>
      </w:r>
      <w:r w:rsidRPr="00B710A9">
        <w:rPr>
          <w:rFonts w:ascii="Arial" w:eastAsia="Calibri" w:hAnsi="Arial" w:cs="Arial"/>
          <w:color w:val="000000" w:themeColor="text1"/>
          <w:sz w:val="22"/>
          <w:szCs w:val="22"/>
          <w:lang w:val="es"/>
        </w:rPr>
        <w:t xml:space="preserve"> (</w:t>
      </w:r>
      <w:r w:rsidR="004847EF" w:rsidRPr="00B710A9">
        <w:rPr>
          <w:rFonts w:ascii="Arial" w:eastAsia="Calibri" w:hAnsi="Arial" w:cs="Arial"/>
          <w:color w:val="000000" w:themeColor="text1"/>
          <w:sz w:val="22"/>
          <w:szCs w:val="22"/>
          <w:lang w:val="es"/>
        </w:rPr>
        <w:t>7</w:t>
      </w:r>
      <w:r w:rsidRPr="00B710A9">
        <w:rPr>
          <w:rFonts w:ascii="Arial" w:eastAsia="Calibri" w:hAnsi="Arial" w:cs="Arial"/>
          <w:color w:val="000000" w:themeColor="text1"/>
          <w:sz w:val="22"/>
          <w:szCs w:val="22"/>
          <w:lang w:val="es"/>
        </w:rPr>
        <w:t xml:space="preserve">) jornadas técnico-científicas dirigidas tanto a usuarios conocedores de las tecnologías de la información geográfica como a la ciudadanía en general, </w:t>
      </w:r>
      <w:r w:rsidR="00295BB5" w:rsidRPr="00B710A9">
        <w:rPr>
          <w:rFonts w:ascii="Arial" w:eastAsia="Calibri" w:hAnsi="Arial" w:cs="Arial"/>
          <w:color w:val="000000" w:themeColor="text1"/>
          <w:sz w:val="22"/>
          <w:szCs w:val="22"/>
          <w:lang w:val="es"/>
        </w:rPr>
        <w:t>a continuación, se destacan las siguientes</w:t>
      </w:r>
      <w:r w:rsidRPr="00B710A9">
        <w:rPr>
          <w:rFonts w:ascii="Arial" w:eastAsia="Calibri" w:hAnsi="Arial" w:cs="Arial"/>
          <w:color w:val="000000" w:themeColor="text1"/>
          <w:sz w:val="22"/>
          <w:szCs w:val="22"/>
          <w:lang w:val="es"/>
        </w:rPr>
        <w:t>:</w:t>
      </w:r>
    </w:p>
    <w:p w14:paraId="6310621F" w14:textId="77777777" w:rsidR="00295BB5" w:rsidRPr="00B710A9" w:rsidRDefault="00295BB5" w:rsidP="00E03A22">
      <w:pPr>
        <w:spacing w:after="0" w:line="240" w:lineRule="auto"/>
        <w:jc w:val="both"/>
        <w:rPr>
          <w:rFonts w:ascii="Arial" w:eastAsia="Calibri" w:hAnsi="Arial" w:cs="Arial"/>
          <w:color w:val="000000" w:themeColor="text1"/>
          <w:sz w:val="22"/>
          <w:szCs w:val="22"/>
          <w:lang w:val="es"/>
        </w:rPr>
      </w:pPr>
    </w:p>
    <w:p w14:paraId="6943EC1E" w14:textId="77777777" w:rsidR="00295BB5" w:rsidRPr="00B710A9" w:rsidRDefault="00295BB5" w:rsidP="00295BB5">
      <w:pPr>
        <w:pStyle w:val="Prrafodelista"/>
        <w:numPr>
          <w:ilvl w:val="0"/>
          <w:numId w:val="118"/>
        </w:numPr>
        <w:suppressAutoHyphens/>
        <w:overflowPunct w:val="0"/>
        <w:autoSpaceDE w:val="0"/>
        <w:spacing w:line="240" w:lineRule="auto"/>
        <w:ind w:left="450"/>
        <w:jc w:val="both"/>
        <w:textAlignment w:val="baseline"/>
        <w:rPr>
          <w:rFonts w:ascii="Arial" w:eastAsia="Arial" w:hAnsi="Arial" w:cs="Arial"/>
          <w:color w:val="000000" w:themeColor="text1"/>
          <w:sz w:val="22"/>
          <w:szCs w:val="22"/>
          <w:lang w:val="es"/>
        </w:rPr>
      </w:pPr>
      <w:proofErr w:type="spellStart"/>
      <w:r w:rsidRPr="00B710A9">
        <w:rPr>
          <w:rFonts w:ascii="Arial" w:eastAsia="Arial" w:hAnsi="Arial" w:cs="Arial"/>
          <w:color w:val="000000" w:themeColor="text1"/>
          <w:sz w:val="22"/>
          <w:szCs w:val="22"/>
          <w:lang w:val="es"/>
        </w:rPr>
        <w:lastRenderedPageBreak/>
        <w:t>Webinar</w:t>
      </w:r>
      <w:proofErr w:type="spellEnd"/>
      <w:r w:rsidRPr="00B710A9">
        <w:rPr>
          <w:rFonts w:ascii="Arial" w:eastAsia="Arial" w:hAnsi="Arial" w:cs="Arial"/>
          <w:color w:val="000000" w:themeColor="text1"/>
          <w:sz w:val="22"/>
          <w:szCs w:val="22"/>
          <w:lang w:val="es"/>
        </w:rPr>
        <w:t xml:space="preserve"> Uso de la tecnología satelital en la investigación para la gestión del riesgo de desastres. Organizado por CONIDA con participación del IGAC y en el marco de los compromisos de la COMIXTA Perú - Colombia.</w:t>
      </w:r>
    </w:p>
    <w:p w14:paraId="6DC62BF6" w14:textId="77777777" w:rsidR="00295BB5" w:rsidRPr="00B710A9" w:rsidRDefault="00295BB5" w:rsidP="00295BB5">
      <w:pPr>
        <w:pStyle w:val="Prrafodelista"/>
        <w:numPr>
          <w:ilvl w:val="0"/>
          <w:numId w:val="118"/>
        </w:numPr>
        <w:suppressAutoHyphens/>
        <w:overflowPunct w:val="0"/>
        <w:autoSpaceDE w:val="0"/>
        <w:spacing w:line="240" w:lineRule="auto"/>
        <w:ind w:left="450"/>
        <w:jc w:val="both"/>
        <w:textAlignment w:val="baseline"/>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 xml:space="preserve">Difusión y transferencia de conocimiento especializado a través de conferencia sobre el Sistema de Referencia Geodésico Nacional se contó con la participación de 42 personas. </w:t>
      </w:r>
    </w:p>
    <w:p w14:paraId="6691803D" w14:textId="77777777" w:rsidR="00295BB5" w:rsidRPr="00B710A9" w:rsidRDefault="00295BB5" w:rsidP="00295BB5">
      <w:pPr>
        <w:pStyle w:val="Prrafodelista"/>
        <w:numPr>
          <w:ilvl w:val="3"/>
          <w:numId w:val="117"/>
        </w:numPr>
        <w:suppressAutoHyphens/>
        <w:overflowPunct w:val="0"/>
        <w:autoSpaceDE w:val="0"/>
        <w:spacing w:after="0" w:line="240" w:lineRule="auto"/>
        <w:ind w:left="448" w:hanging="448"/>
        <w:jc w:val="both"/>
        <w:textAlignment w:val="baseline"/>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Foro "CATASTRO MULTIPROPÓSITO, NUEVOS RETOS, NUEVOS PROFESIONALES", que contó con la participación de 270 asistentes, representantes de universidades públicas y privadas, así como de instituciones de formación técnica y tecnológica.</w:t>
      </w:r>
    </w:p>
    <w:p w14:paraId="76F1985F" w14:textId="77777777" w:rsidR="00295BB5" w:rsidRPr="00B710A9" w:rsidRDefault="00295BB5" w:rsidP="00295BB5">
      <w:pPr>
        <w:pStyle w:val="Prrafodelista"/>
        <w:numPr>
          <w:ilvl w:val="3"/>
          <w:numId w:val="117"/>
        </w:numPr>
        <w:suppressAutoHyphens/>
        <w:overflowPunct w:val="0"/>
        <w:autoSpaceDE w:val="0"/>
        <w:spacing w:line="240" w:lineRule="auto"/>
        <w:ind w:left="450" w:hanging="450"/>
        <w:jc w:val="both"/>
        <w:textAlignment w:val="baseline"/>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Facebook Live para socializar la política de catastro multipropósito y los retos de los profesionales en su implementación, que contó con la asistencia en vivo de 200 personas aproximadamente y ha tenido más de 3.700 visualizaciones.</w:t>
      </w:r>
    </w:p>
    <w:p w14:paraId="08882018" w14:textId="77777777" w:rsidR="00295BB5" w:rsidRPr="00B710A9" w:rsidRDefault="00295BB5" w:rsidP="00E03A22">
      <w:pPr>
        <w:spacing w:after="0" w:line="240" w:lineRule="auto"/>
        <w:jc w:val="both"/>
        <w:rPr>
          <w:rFonts w:ascii="Arial" w:eastAsia="Calibri" w:hAnsi="Arial" w:cs="Arial"/>
          <w:color w:val="000000" w:themeColor="text1"/>
          <w:sz w:val="22"/>
          <w:szCs w:val="22"/>
          <w:lang w:val="es"/>
        </w:rPr>
      </w:pPr>
    </w:p>
    <w:p w14:paraId="5D66D685" w14:textId="17F1F842" w:rsidR="00E03A22" w:rsidRPr="00B710A9" w:rsidRDefault="00E03A22" w:rsidP="00E03A22">
      <w:pPr>
        <w:spacing w:after="0" w:line="240" w:lineRule="auto"/>
        <w:jc w:val="both"/>
        <w:rPr>
          <w:rFonts w:ascii="Arial" w:eastAsia="Calibri" w:hAnsi="Arial" w:cs="Arial"/>
          <w:color w:val="000000" w:themeColor="text1"/>
          <w:sz w:val="22"/>
          <w:szCs w:val="22"/>
          <w:lang w:val="es"/>
        </w:rPr>
      </w:pPr>
      <w:r w:rsidRPr="00B710A9">
        <w:rPr>
          <w:rFonts w:ascii="Arial" w:eastAsia="Calibri" w:hAnsi="Arial" w:cs="Arial"/>
          <w:color w:val="000000" w:themeColor="text1"/>
          <w:sz w:val="22"/>
          <w:szCs w:val="22"/>
          <w:lang w:val="es"/>
        </w:rPr>
        <w:t>Se realizó la primera jornada técnica y científica del año 2022, en la que se realizó la difusión de las metodologías y resultados de los proyectos de Investigación, Desarrollo e Innovación del año 2021, así como los avances en la conceptualización del proceso de prospectiva de la entidad, y en el desarrollo de modelos predictivos para la identificación de cambios asociados al componente físico de catastro.</w:t>
      </w:r>
      <w:r w:rsidR="00310EC9" w:rsidRPr="00B710A9">
        <w:rPr>
          <w:rFonts w:ascii="Arial" w:eastAsia="Calibri" w:hAnsi="Arial" w:cs="Arial"/>
          <w:color w:val="000000" w:themeColor="text1"/>
          <w:sz w:val="22"/>
          <w:szCs w:val="22"/>
          <w:lang w:val="es"/>
        </w:rPr>
        <w:t xml:space="preserve"> </w:t>
      </w:r>
      <w:r w:rsidRPr="00B710A9">
        <w:rPr>
          <w:rFonts w:ascii="Arial" w:eastAsia="Calibri" w:hAnsi="Arial" w:cs="Arial"/>
          <w:color w:val="000000" w:themeColor="text1"/>
          <w:sz w:val="22"/>
          <w:szCs w:val="22"/>
          <w:lang w:val="es"/>
        </w:rPr>
        <w:t>La jornada contó con la participación de trescientos doce (312) personas. A continuación, se presentan los resultados de la evaluación del evento:</w:t>
      </w:r>
    </w:p>
    <w:p w14:paraId="4D408ABA" w14:textId="77777777" w:rsidR="00E03A22" w:rsidRPr="00B710A9" w:rsidRDefault="00E03A22" w:rsidP="00E03A22">
      <w:pPr>
        <w:spacing w:after="0" w:line="240" w:lineRule="auto"/>
        <w:jc w:val="both"/>
        <w:rPr>
          <w:rFonts w:ascii="Arial" w:eastAsia="Calibri" w:hAnsi="Arial" w:cs="Arial"/>
          <w:color w:val="000000" w:themeColor="text1"/>
          <w:sz w:val="22"/>
          <w:szCs w:val="22"/>
          <w:lang w:val="es"/>
        </w:rPr>
      </w:pPr>
      <w:r w:rsidRPr="00B710A9">
        <w:rPr>
          <w:rFonts w:ascii="Arial" w:eastAsia="Calibri" w:hAnsi="Arial" w:cs="Arial"/>
          <w:color w:val="000000" w:themeColor="text1"/>
          <w:sz w:val="22"/>
          <w:szCs w:val="22"/>
          <w:lang w:val="es"/>
        </w:rPr>
        <w:t xml:space="preserve"> </w:t>
      </w:r>
    </w:p>
    <w:p w14:paraId="0B5F4F36" w14:textId="77777777" w:rsidR="00E03A22" w:rsidRPr="00B710A9" w:rsidRDefault="00E03A22" w:rsidP="00E03A22">
      <w:pPr>
        <w:spacing w:after="0" w:line="240" w:lineRule="auto"/>
        <w:jc w:val="both"/>
        <w:rPr>
          <w:rFonts w:ascii="Arial" w:eastAsia="Calibri" w:hAnsi="Arial" w:cs="Arial"/>
          <w:color w:val="000000" w:themeColor="text1"/>
          <w:sz w:val="22"/>
          <w:szCs w:val="22"/>
          <w:lang w:val="es"/>
        </w:rPr>
      </w:pPr>
      <w:r w:rsidRPr="00B710A9">
        <w:rPr>
          <w:rFonts w:ascii="Arial" w:eastAsia="Calibri" w:hAnsi="Arial" w:cs="Arial"/>
          <w:color w:val="000000" w:themeColor="text1"/>
          <w:sz w:val="22"/>
          <w:szCs w:val="22"/>
          <w:lang w:val="es"/>
        </w:rPr>
        <w:t>Es importante destacar la realización de la 9ª Semana Geomática Internacional “Geografía y Tecnologías Geoespaciales al servicio de la gente”, que después de cinco años regresó a la presencialidad posicionándose como el evento más importante del país en estos temas. El evento contó con la participación de más de 100 expertos entre conferencistas y panelistas nacionales e internacionales; más de 1000 asistentes de diversas regiones del país y más de 70 espacios de intercambio de conocimiento, talleres y conferencias magistrales. Entre los conferencistas internacionales se resalta la participación de representantes de Alemania, Brasil, Uruguay, España, India, Países Bajos, Jamaica y Guatemala.</w:t>
      </w:r>
    </w:p>
    <w:p w14:paraId="34262852" w14:textId="52630752" w:rsidR="19B98323" w:rsidRPr="00B710A9" w:rsidRDefault="19B98323" w:rsidP="009D279A">
      <w:pPr>
        <w:spacing w:after="0" w:line="240" w:lineRule="auto"/>
        <w:jc w:val="both"/>
        <w:rPr>
          <w:rFonts w:ascii="Arial" w:eastAsia="Segoe UI" w:hAnsi="Arial" w:cs="Arial"/>
          <w:color w:val="000000" w:themeColor="text1"/>
          <w:sz w:val="22"/>
          <w:szCs w:val="22"/>
        </w:rPr>
      </w:pPr>
    </w:p>
    <w:p w14:paraId="3C1CAB8E" w14:textId="77777777" w:rsidR="00210BFB" w:rsidRPr="00B710A9" w:rsidRDefault="00210BFB" w:rsidP="009D279A">
      <w:pPr>
        <w:spacing w:after="0" w:line="240" w:lineRule="auto"/>
        <w:jc w:val="both"/>
        <w:rPr>
          <w:rFonts w:ascii="Arial" w:eastAsia="Segoe UI" w:hAnsi="Arial" w:cs="Arial"/>
          <w:color w:val="000000" w:themeColor="text1"/>
          <w:sz w:val="22"/>
          <w:szCs w:val="22"/>
        </w:rPr>
      </w:pPr>
    </w:p>
    <w:p w14:paraId="585B9903" w14:textId="63880D80" w:rsidR="18198226" w:rsidRPr="00B710A9" w:rsidRDefault="18198226" w:rsidP="00356A3E">
      <w:pPr>
        <w:pStyle w:val="Prrafodelista"/>
        <w:numPr>
          <w:ilvl w:val="0"/>
          <w:numId w:val="24"/>
        </w:numPr>
        <w:tabs>
          <w:tab w:val="left" w:pos="284"/>
        </w:tabs>
        <w:spacing w:after="0" w:line="240" w:lineRule="auto"/>
        <w:ind w:left="0" w:firstLine="0"/>
        <w:jc w:val="both"/>
        <w:rPr>
          <w:rFonts w:ascii="Arial" w:eastAsia="Calibri" w:hAnsi="Arial" w:cs="Arial"/>
          <w:b/>
          <w:bCs/>
          <w:i/>
          <w:iCs/>
          <w:color w:val="000000" w:themeColor="text1"/>
          <w:sz w:val="22"/>
          <w:szCs w:val="22"/>
        </w:rPr>
      </w:pPr>
      <w:r w:rsidRPr="00B710A9">
        <w:rPr>
          <w:rFonts w:ascii="Arial" w:eastAsia="Calibri" w:hAnsi="Arial" w:cs="Arial"/>
          <w:b/>
          <w:bCs/>
          <w:i/>
          <w:iCs/>
          <w:color w:val="000000" w:themeColor="text1"/>
          <w:sz w:val="22"/>
          <w:szCs w:val="22"/>
          <w:u w:val="single"/>
        </w:rPr>
        <w:t>Transferencia de conocimiento asociada a temáticas misionales</w:t>
      </w:r>
    </w:p>
    <w:p w14:paraId="4CB05D57" w14:textId="77777777" w:rsidR="00403B98" w:rsidRPr="00B710A9" w:rsidRDefault="00403B98" w:rsidP="00403B98">
      <w:pPr>
        <w:tabs>
          <w:tab w:val="left" w:pos="284"/>
        </w:tabs>
        <w:spacing w:after="0" w:line="240" w:lineRule="auto"/>
        <w:jc w:val="both"/>
        <w:rPr>
          <w:rFonts w:ascii="Arial" w:eastAsia="Calibri" w:hAnsi="Arial" w:cs="Arial"/>
          <w:b/>
          <w:bCs/>
          <w:i/>
          <w:iCs/>
          <w:color w:val="000000" w:themeColor="text1"/>
          <w:sz w:val="22"/>
          <w:szCs w:val="22"/>
        </w:rPr>
      </w:pPr>
    </w:p>
    <w:p w14:paraId="434A3BDE" w14:textId="3B503F05" w:rsidR="00403B98" w:rsidRPr="00B710A9" w:rsidRDefault="00403B98" w:rsidP="00403B98">
      <w:pPr>
        <w:spacing w:line="257" w:lineRule="auto"/>
        <w:jc w:val="both"/>
        <w:rPr>
          <w:rFonts w:ascii="Arial" w:eastAsia="Arial" w:hAnsi="Arial" w:cs="Arial"/>
          <w:b/>
          <w:bCs/>
          <w:i/>
          <w:iCs/>
          <w:sz w:val="22"/>
          <w:szCs w:val="22"/>
        </w:rPr>
      </w:pPr>
      <w:r w:rsidRPr="00B710A9">
        <w:rPr>
          <w:rFonts w:ascii="Arial" w:eastAsia="Arial" w:hAnsi="Arial" w:cs="Arial"/>
          <w:b/>
          <w:bCs/>
          <w:i/>
          <w:iCs/>
          <w:sz w:val="22"/>
          <w:szCs w:val="22"/>
        </w:rPr>
        <w:t xml:space="preserve">Cursos diseñados </w:t>
      </w:r>
    </w:p>
    <w:p w14:paraId="78D0213D" w14:textId="77777777" w:rsidR="00403B98" w:rsidRPr="00B710A9" w:rsidRDefault="00403B98" w:rsidP="00403B98">
      <w:pPr>
        <w:jc w:val="both"/>
        <w:rPr>
          <w:rFonts w:ascii="Arial" w:eastAsia="Arial" w:hAnsi="Arial" w:cs="Arial"/>
          <w:sz w:val="22"/>
          <w:szCs w:val="22"/>
        </w:rPr>
      </w:pPr>
      <w:r w:rsidRPr="00B710A9">
        <w:rPr>
          <w:rFonts w:ascii="Arial" w:eastAsia="Arial" w:hAnsi="Arial" w:cs="Arial"/>
          <w:sz w:val="22"/>
          <w:szCs w:val="22"/>
        </w:rPr>
        <w:t xml:space="preserve">Considerando que en el país existe una brecha de capital humano formado en áreas de estudio relacionados con la actividad catastral y que, en cumplimiento del CONPES 3958 “Estrategia para la implementación de la Política pública de catastro multipropósito”, el IGAC definió una estrategia para ampliar la oferta institucional de formación académica en la materia, la cual permitió la estructuración de cursos virtuales en siete temáticas entre el 2021 y 2022: </w:t>
      </w:r>
    </w:p>
    <w:p w14:paraId="63980FFA" w14:textId="77777777" w:rsidR="00403B98" w:rsidRPr="00B710A9" w:rsidRDefault="00403B98" w:rsidP="00403B98">
      <w:pPr>
        <w:pStyle w:val="Prrafodelista"/>
        <w:numPr>
          <w:ilvl w:val="0"/>
          <w:numId w:val="119"/>
        </w:numPr>
        <w:suppressAutoHyphens/>
        <w:overflowPunct w:val="0"/>
        <w:autoSpaceDE w:val="0"/>
        <w:spacing w:after="0" w:line="240" w:lineRule="auto"/>
        <w:contextualSpacing w:val="0"/>
        <w:jc w:val="both"/>
        <w:textAlignment w:val="baseline"/>
        <w:rPr>
          <w:rFonts w:ascii="Arial" w:eastAsia="Arial" w:hAnsi="Arial" w:cs="Arial"/>
          <w:sz w:val="22"/>
          <w:szCs w:val="22"/>
        </w:rPr>
      </w:pPr>
      <w:r w:rsidRPr="00B710A9">
        <w:rPr>
          <w:rFonts w:ascii="Arial" w:eastAsia="Arial" w:hAnsi="Arial" w:cs="Arial"/>
          <w:sz w:val="22"/>
          <w:szCs w:val="22"/>
        </w:rPr>
        <w:t xml:space="preserve">Reconocedor Predial Urbano Rural; </w:t>
      </w:r>
    </w:p>
    <w:p w14:paraId="5BA9DC89" w14:textId="77777777" w:rsidR="00403B98" w:rsidRPr="00B710A9" w:rsidRDefault="00403B98" w:rsidP="00403B98">
      <w:pPr>
        <w:pStyle w:val="Prrafodelista"/>
        <w:numPr>
          <w:ilvl w:val="0"/>
          <w:numId w:val="119"/>
        </w:numPr>
        <w:suppressAutoHyphens/>
        <w:overflowPunct w:val="0"/>
        <w:autoSpaceDE w:val="0"/>
        <w:spacing w:after="0" w:line="240" w:lineRule="auto"/>
        <w:contextualSpacing w:val="0"/>
        <w:jc w:val="both"/>
        <w:textAlignment w:val="baseline"/>
        <w:rPr>
          <w:rFonts w:ascii="Arial" w:eastAsia="Arial" w:hAnsi="Arial" w:cs="Arial"/>
          <w:sz w:val="22"/>
          <w:szCs w:val="22"/>
        </w:rPr>
      </w:pPr>
      <w:r w:rsidRPr="00B710A9">
        <w:rPr>
          <w:rFonts w:ascii="Arial" w:eastAsia="Arial" w:hAnsi="Arial" w:cs="Arial"/>
          <w:sz w:val="22"/>
          <w:szCs w:val="22"/>
        </w:rPr>
        <w:t>Catastro multipropósito para el fortalecimiento de la gestión en áreas con especial importancia ambiental;</w:t>
      </w:r>
    </w:p>
    <w:p w14:paraId="1E7E5122" w14:textId="77777777" w:rsidR="00403B98" w:rsidRPr="00B710A9" w:rsidRDefault="00403B98" w:rsidP="00403B98">
      <w:pPr>
        <w:pStyle w:val="Prrafodelista"/>
        <w:numPr>
          <w:ilvl w:val="0"/>
          <w:numId w:val="119"/>
        </w:numPr>
        <w:suppressAutoHyphens/>
        <w:overflowPunct w:val="0"/>
        <w:autoSpaceDE w:val="0"/>
        <w:spacing w:after="0" w:line="240" w:lineRule="auto"/>
        <w:contextualSpacing w:val="0"/>
        <w:jc w:val="both"/>
        <w:textAlignment w:val="baseline"/>
        <w:rPr>
          <w:rFonts w:ascii="Arial" w:eastAsia="Arial" w:hAnsi="Arial" w:cs="Arial"/>
          <w:sz w:val="22"/>
          <w:szCs w:val="22"/>
        </w:rPr>
      </w:pPr>
      <w:r w:rsidRPr="00B710A9">
        <w:rPr>
          <w:rFonts w:ascii="Arial" w:eastAsia="Arial" w:hAnsi="Arial" w:cs="Arial"/>
          <w:sz w:val="22"/>
          <w:szCs w:val="22"/>
        </w:rPr>
        <w:t>Marco Institucional y normativo del catastro multipropósito;</w:t>
      </w:r>
    </w:p>
    <w:p w14:paraId="6EFB4543" w14:textId="77777777" w:rsidR="00403B98" w:rsidRPr="00B710A9" w:rsidRDefault="00403B98" w:rsidP="00403B98">
      <w:pPr>
        <w:pStyle w:val="Prrafodelista"/>
        <w:numPr>
          <w:ilvl w:val="0"/>
          <w:numId w:val="119"/>
        </w:numPr>
        <w:suppressAutoHyphens/>
        <w:overflowPunct w:val="0"/>
        <w:autoSpaceDE w:val="0"/>
        <w:spacing w:after="0" w:line="240" w:lineRule="auto"/>
        <w:contextualSpacing w:val="0"/>
        <w:jc w:val="both"/>
        <w:textAlignment w:val="baseline"/>
        <w:rPr>
          <w:rFonts w:ascii="Arial" w:eastAsia="Arial" w:hAnsi="Arial" w:cs="Arial"/>
          <w:sz w:val="22"/>
          <w:szCs w:val="22"/>
        </w:rPr>
      </w:pPr>
      <w:r w:rsidRPr="00B710A9">
        <w:rPr>
          <w:rFonts w:ascii="Arial" w:eastAsia="Arial" w:hAnsi="Arial" w:cs="Arial"/>
          <w:sz w:val="22"/>
          <w:szCs w:val="22"/>
        </w:rPr>
        <w:t>Procesos catastrales con enfoque multipropósito;</w:t>
      </w:r>
    </w:p>
    <w:p w14:paraId="389D1938" w14:textId="77777777" w:rsidR="00403B98" w:rsidRPr="00B710A9" w:rsidRDefault="00403B98" w:rsidP="00403B98">
      <w:pPr>
        <w:pStyle w:val="Prrafodelista"/>
        <w:numPr>
          <w:ilvl w:val="0"/>
          <w:numId w:val="119"/>
        </w:numPr>
        <w:suppressAutoHyphens/>
        <w:overflowPunct w:val="0"/>
        <w:autoSpaceDE w:val="0"/>
        <w:spacing w:after="0" w:line="240" w:lineRule="auto"/>
        <w:contextualSpacing w:val="0"/>
        <w:jc w:val="both"/>
        <w:textAlignment w:val="baseline"/>
        <w:rPr>
          <w:rFonts w:ascii="Arial" w:eastAsia="Arial" w:hAnsi="Arial" w:cs="Arial"/>
          <w:sz w:val="22"/>
          <w:szCs w:val="22"/>
        </w:rPr>
      </w:pPr>
      <w:r w:rsidRPr="00B710A9">
        <w:rPr>
          <w:rFonts w:ascii="Arial" w:eastAsia="Arial" w:hAnsi="Arial" w:cs="Arial"/>
          <w:sz w:val="22"/>
          <w:szCs w:val="22"/>
        </w:rPr>
        <w:t>Estándares para el catastro multipropósito;</w:t>
      </w:r>
    </w:p>
    <w:p w14:paraId="7DDD592C" w14:textId="77777777" w:rsidR="00403B98" w:rsidRPr="00B710A9" w:rsidRDefault="00403B98" w:rsidP="00403B98">
      <w:pPr>
        <w:pStyle w:val="Prrafodelista"/>
        <w:numPr>
          <w:ilvl w:val="0"/>
          <w:numId w:val="119"/>
        </w:numPr>
        <w:suppressAutoHyphens/>
        <w:overflowPunct w:val="0"/>
        <w:autoSpaceDE w:val="0"/>
        <w:spacing w:after="0" w:line="240" w:lineRule="auto"/>
        <w:contextualSpacing w:val="0"/>
        <w:jc w:val="both"/>
        <w:textAlignment w:val="baseline"/>
        <w:rPr>
          <w:rFonts w:ascii="Arial" w:eastAsia="Arial" w:hAnsi="Arial" w:cs="Arial"/>
          <w:sz w:val="22"/>
          <w:szCs w:val="22"/>
        </w:rPr>
      </w:pPr>
      <w:r w:rsidRPr="00B710A9">
        <w:rPr>
          <w:rFonts w:ascii="Arial" w:eastAsia="Arial" w:hAnsi="Arial" w:cs="Arial"/>
          <w:sz w:val="22"/>
          <w:szCs w:val="22"/>
        </w:rPr>
        <w:lastRenderedPageBreak/>
        <w:t>Especificaciones técnicas para la operación del catastro Multipropósito;</w:t>
      </w:r>
    </w:p>
    <w:p w14:paraId="2FB2F967" w14:textId="77777777" w:rsidR="00403B98" w:rsidRPr="00B710A9" w:rsidRDefault="00403B98" w:rsidP="00403B98">
      <w:pPr>
        <w:pStyle w:val="Prrafodelista"/>
        <w:numPr>
          <w:ilvl w:val="0"/>
          <w:numId w:val="119"/>
        </w:numPr>
        <w:suppressAutoHyphens/>
        <w:overflowPunct w:val="0"/>
        <w:autoSpaceDE w:val="0"/>
        <w:spacing w:after="0" w:line="240" w:lineRule="auto"/>
        <w:contextualSpacing w:val="0"/>
        <w:jc w:val="both"/>
        <w:textAlignment w:val="baseline"/>
        <w:rPr>
          <w:rFonts w:ascii="Arial" w:eastAsia="Arial" w:hAnsi="Arial" w:cs="Arial"/>
          <w:sz w:val="22"/>
          <w:szCs w:val="22"/>
        </w:rPr>
      </w:pPr>
      <w:r w:rsidRPr="00B710A9">
        <w:rPr>
          <w:rFonts w:ascii="Arial" w:eastAsia="Arial" w:hAnsi="Arial" w:cs="Arial"/>
          <w:sz w:val="22"/>
          <w:szCs w:val="22"/>
        </w:rPr>
        <w:t>Procedimiento de Elaboración, Revisión, Modificación, y Aprobación de los Estudios de Zonas Homogéneas Físicas y Geoeconómicas.</w:t>
      </w:r>
    </w:p>
    <w:p w14:paraId="0016A72F" w14:textId="77777777" w:rsidR="00403B98" w:rsidRPr="00B710A9" w:rsidRDefault="00403B98" w:rsidP="00403B98">
      <w:pPr>
        <w:jc w:val="both"/>
        <w:rPr>
          <w:rFonts w:ascii="Arial" w:eastAsia="Arial" w:hAnsi="Arial" w:cs="Arial"/>
          <w:sz w:val="20"/>
          <w:szCs w:val="20"/>
        </w:rPr>
      </w:pPr>
      <w:r w:rsidRPr="00B710A9">
        <w:rPr>
          <w:rFonts w:ascii="Arial" w:eastAsia="Arial" w:hAnsi="Arial" w:cs="Arial"/>
          <w:sz w:val="20"/>
          <w:szCs w:val="20"/>
        </w:rPr>
        <w:t xml:space="preserve"> </w:t>
      </w:r>
    </w:p>
    <w:p w14:paraId="0018637C" w14:textId="4494BC17" w:rsidR="00403B98" w:rsidRPr="00B710A9" w:rsidRDefault="00C47A44" w:rsidP="00403B98">
      <w:pPr>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Por otra parte, se consolido la información y se generaron las piezas gráficas para disponer en la plataforma Telecentro Regional los siguientes talleres: El Catastro multipropósito en el marco del Ordenamiento Territorial y Los Sistemas de información Geográfica como herramientas para el Ordenamiento Territorial.</w:t>
      </w:r>
    </w:p>
    <w:p w14:paraId="2FBEC4E8" w14:textId="77777777" w:rsidR="00C47A44" w:rsidRPr="00B710A9" w:rsidRDefault="00C47A44" w:rsidP="00403B98">
      <w:pPr>
        <w:jc w:val="both"/>
        <w:rPr>
          <w:rFonts w:ascii="Arial" w:eastAsia="Arial" w:hAnsi="Arial" w:cs="Arial"/>
          <w:sz w:val="20"/>
          <w:szCs w:val="20"/>
        </w:rPr>
      </w:pPr>
    </w:p>
    <w:p w14:paraId="0BD81219" w14:textId="77777777" w:rsidR="00403B98" w:rsidRPr="00B710A9" w:rsidRDefault="00403B98" w:rsidP="00403B98">
      <w:pPr>
        <w:spacing w:line="257" w:lineRule="auto"/>
        <w:jc w:val="both"/>
        <w:rPr>
          <w:rFonts w:ascii="Arial" w:eastAsia="Arial" w:hAnsi="Arial" w:cs="Arial"/>
          <w:b/>
          <w:bCs/>
          <w:i/>
          <w:iCs/>
          <w:sz w:val="22"/>
          <w:szCs w:val="22"/>
        </w:rPr>
      </w:pPr>
      <w:r w:rsidRPr="00B710A9">
        <w:rPr>
          <w:rFonts w:ascii="Arial" w:eastAsia="Arial" w:hAnsi="Arial" w:cs="Arial"/>
          <w:b/>
          <w:bCs/>
          <w:i/>
          <w:iCs/>
          <w:sz w:val="22"/>
          <w:szCs w:val="22"/>
        </w:rPr>
        <w:t>Alianzas académicas y científicas</w:t>
      </w:r>
    </w:p>
    <w:p w14:paraId="1EF262E7" w14:textId="7874394E" w:rsidR="00403B98" w:rsidRPr="00B710A9" w:rsidRDefault="00C47A44" w:rsidP="00403B98">
      <w:pPr>
        <w:jc w:val="both"/>
        <w:rPr>
          <w:rFonts w:ascii="Arial" w:eastAsia="Arial" w:hAnsi="Arial" w:cs="Arial"/>
          <w:sz w:val="22"/>
          <w:szCs w:val="22"/>
        </w:rPr>
      </w:pPr>
      <w:r w:rsidRPr="00B710A9">
        <w:rPr>
          <w:rFonts w:ascii="Arial" w:eastAsia="Arial" w:hAnsi="Arial" w:cs="Arial"/>
          <w:sz w:val="22"/>
          <w:szCs w:val="22"/>
        </w:rPr>
        <w:t>S</w:t>
      </w:r>
      <w:r w:rsidR="00403B98" w:rsidRPr="00B710A9">
        <w:rPr>
          <w:rFonts w:ascii="Arial" w:eastAsia="Arial" w:hAnsi="Arial" w:cs="Arial"/>
          <w:sz w:val="22"/>
          <w:szCs w:val="22"/>
        </w:rPr>
        <w:t xml:space="preserve">e resalta el fortalecimiento e incremento de las alianzas con universidades para el desarrollo de cursos, diplomados y posgrados conjuntos, entre los cuales se destacan la maestría y doctorado en geografía con la Universidad Pedagógica y Tecnológica de Colombia; la maestría en teledetección con la Universidad Católica de Manizales y la Maestría en Gestión de la información y Tecnologías Geoespaciales con la Universidad Sergio Arboleda. </w:t>
      </w:r>
    </w:p>
    <w:p w14:paraId="5FDE3DA3" w14:textId="5617630F" w:rsidR="00403B98" w:rsidRPr="00B710A9" w:rsidRDefault="00403B98" w:rsidP="00403B98">
      <w:pPr>
        <w:jc w:val="both"/>
        <w:rPr>
          <w:rFonts w:ascii="Arial" w:eastAsia="Arial" w:hAnsi="Arial" w:cs="Arial"/>
          <w:sz w:val="22"/>
          <w:szCs w:val="22"/>
        </w:rPr>
      </w:pPr>
      <w:r w:rsidRPr="00B710A9">
        <w:rPr>
          <w:rFonts w:ascii="Arial" w:eastAsia="Arial" w:hAnsi="Arial" w:cs="Arial"/>
          <w:sz w:val="22"/>
          <w:szCs w:val="22"/>
        </w:rPr>
        <w:t>Hoy se cuenta con más de 20 alianzas con universidades de diferentes regiones del país que han permitido avanzar con programas de formación conjunta, proyectos de investigación y redes de I+D+i en temas como catastro, tecnologías geoespaciales y otras áreas afines a la misionalidad del IGAC.</w:t>
      </w:r>
    </w:p>
    <w:p w14:paraId="5B545EA3" w14:textId="77777777" w:rsidR="00403B98" w:rsidRPr="00B710A9" w:rsidRDefault="00403B98" w:rsidP="00403B98">
      <w:pPr>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Adicional a esto, la suscripción del convenio con el SENA en el 2022, ha sido fundamental para fortalecer la formación para el trabajo que garantice la disponibilidad del recurso humano suficiente para desarrollar las actividades de gestión catastral en todo el territorio colombiano. En el marco de este convenio se definió una estrategia de formación de formadores que permitió la capacitación por parte del IGAC a más de 40 instructores del SENA en temáticas propias del Catastro multipropósito, específicamente en el curso de Reconocedor Predial Urbano Rural. Esto con el fin de que estos instructores sean quienes difundan ese conocimiento en todo el territorio colombiano.</w:t>
      </w:r>
    </w:p>
    <w:p w14:paraId="26CB2F0F" w14:textId="71B44C38" w:rsidR="00403B98" w:rsidRPr="00B710A9" w:rsidRDefault="00403B98" w:rsidP="00403B98">
      <w:pPr>
        <w:jc w:val="both"/>
        <w:rPr>
          <w:rFonts w:ascii="Arial" w:eastAsia="Arial" w:hAnsi="Arial" w:cs="Arial"/>
          <w:color w:val="000000" w:themeColor="text1"/>
          <w:sz w:val="22"/>
          <w:szCs w:val="22"/>
          <w:lang w:val="es"/>
        </w:rPr>
      </w:pPr>
      <w:r w:rsidRPr="00B710A9">
        <w:rPr>
          <w:rFonts w:ascii="Arial" w:eastAsia="Arial" w:hAnsi="Arial" w:cs="Arial"/>
          <w:color w:val="000000" w:themeColor="text1"/>
          <w:sz w:val="22"/>
          <w:szCs w:val="22"/>
          <w:lang w:val="es"/>
        </w:rPr>
        <w:t>El IGAC apoyó la creación del curso de Reconocedor Predial en la plataforma SOFIA PLUS del SENA, para llegar con esta oferta a todas las regiones del país. Adicionalmente, el IGAC apoyó la actualización curricular del Programa Técnico en Catastro que oferta el SENA, con el fin de que dicho programa prepare a los estudiantes para el trabajo de acuerdo con los parámetros y especificaciones propias del catastro multipropósito que requiere el país.</w:t>
      </w:r>
    </w:p>
    <w:p w14:paraId="3417D4FB" w14:textId="77777777" w:rsidR="00403B98" w:rsidRPr="00B710A9" w:rsidRDefault="00403B98" w:rsidP="00403B98">
      <w:pPr>
        <w:jc w:val="both"/>
        <w:rPr>
          <w:rFonts w:ascii="Arial" w:eastAsia="Arial" w:hAnsi="Arial" w:cs="Arial"/>
          <w:color w:val="000000" w:themeColor="text1"/>
          <w:sz w:val="22"/>
          <w:szCs w:val="22"/>
        </w:rPr>
      </w:pPr>
      <w:r w:rsidRPr="00B710A9">
        <w:rPr>
          <w:rFonts w:ascii="Arial" w:eastAsia="Arial" w:hAnsi="Arial" w:cs="Arial"/>
          <w:color w:val="000000" w:themeColor="text1"/>
          <w:sz w:val="22"/>
          <w:szCs w:val="22"/>
          <w:lang w:val="es"/>
        </w:rPr>
        <w:t>El trabajo conjunto con comunidades étnicas durante este período de gobierno ha sido también relevante. Se destaca el trabajo conjunto con la</w:t>
      </w:r>
      <w:r w:rsidRPr="00B710A9">
        <w:rPr>
          <w:rFonts w:ascii="Arial" w:eastAsia="Arial" w:hAnsi="Arial" w:cs="Arial"/>
          <w:color w:val="000000" w:themeColor="text1"/>
          <w:sz w:val="22"/>
          <w:szCs w:val="22"/>
        </w:rPr>
        <w:t xml:space="preserve"> Comisión Nacional de Territorios Indígenas-CNTI para la apropiación y transferencia del conocimiento y evolución del Sistema de Información Geográfica, como herramienta fundamental para la defensa de los derechos territoriales indígenas. Durante el año 2022 se realizaron propuestas de trabajo conjunto para avanzar en la transferencia de conocimientos en temas catastrales dirigidos a las comunidades de la Organización Nacional Indígena de Colombia- ONIC, Organización Nacional de los Pueblos Indígenas de la Amazonía Colombiana -   OPIAC y la población Negra, Afrocolombiana, Raizal y Palenquera – NARP.</w:t>
      </w:r>
    </w:p>
    <w:p w14:paraId="24F42538" w14:textId="48AA0798" w:rsidR="18198226" w:rsidRPr="00B710A9" w:rsidRDefault="18198226" w:rsidP="009D279A">
      <w:pPr>
        <w:spacing w:after="0" w:line="240" w:lineRule="auto"/>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rPr>
        <w:lastRenderedPageBreak/>
        <w:t xml:space="preserve">Durante </w:t>
      </w:r>
      <w:r w:rsidR="009D279A" w:rsidRPr="00B710A9">
        <w:rPr>
          <w:rFonts w:ascii="Arial" w:eastAsia="Calibri" w:hAnsi="Arial" w:cs="Arial"/>
          <w:color w:val="000000" w:themeColor="text1"/>
          <w:sz w:val="22"/>
          <w:szCs w:val="22"/>
        </w:rPr>
        <w:t>2021 se</w:t>
      </w:r>
      <w:r w:rsidRPr="00B710A9">
        <w:rPr>
          <w:rFonts w:ascii="Arial" w:eastAsia="Calibri" w:hAnsi="Arial" w:cs="Arial"/>
          <w:color w:val="000000" w:themeColor="text1"/>
          <w:sz w:val="22"/>
          <w:szCs w:val="22"/>
        </w:rPr>
        <w:t xml:space="preserve"> dispuso en esta plataforma el material elaborado y modificado para el curso autónomo de Fundamentos LADM, el material elaborado y modificado para el curso autónomo de Fundamentos IDE y el material elaborado y modificado para el curso autónomo Fundamentos SIG.</w:t>
      </w:r>
    </w:p>
    <w:p w14:paraId="5072A2DF" w14:textId="310310A8" w:rsidR="19B98323" w:rsidRPr="00B710A9" w:rsidRDefault="19B98323" w:rsidP="009D279A">
      <w:pPr>
        <w:spacing w:after="0" w:line="240" w:lineRule="auto"/>
        <w:jc w:val="both"/>
        <w:rPr>
          <w:rFonts w:ascii="Arial" w:eastAsia="Calibri" w:hAnsi="Arial" w:cs="Arial"/>
          <w:color w:val="000000" w:themeColor="text1"/>
          <w:sz w:val="22"/>
          <w:szCs w:val="22"/>
        </w:rPr>
      </w:pPr>
    </w:p>
    <w:p w14:paraId="6C27D84C" w14:textId="77777777" w:rsidR="009C17B8" w:rsidRPr="00B710A9" w:rsidRDefault="009C17B8" w:rsidP="009D279A">
      <w:pPr>
        <w:spacing w:after="0" w:line="240" w:lineRule="auto"/>
        <w:jc w:val="both"/>
        <w:rPr>
          <w:rFonts w:ascii="Arial" w:hAnsi="Arial" w:cs="Arial"/>
          <w:b/>
          <w:bCs/>
          <w:color w:val="000000" w:themeColor="text1"/>
          <w:sz w:val="22"/>
          <w:szCs w:val="22"/>
        </w:rPr>
      </w:pPr>
    </w:p>
    <w:p w14:paraId="12D3C7C5" w14:textId="24FBAF0D" w:rsidR="00422542" w:rsidRPr="00B710A9" w:rsidRDefault="00422542" w:rsidP="009D279A">
      <w:pPr>
        <w:spacing w:after="0" w:line="240" w:lineRule="auto"/>
        <w:jc w:val="both"/>
        <w:rPr>
          <w:rFonts w:ascii="Arial" w:hAnsi="Arial" w:cs="Arial"/>
          <w:b/>
          <w:bCs/>
          <w:color w:val="000000" w:themeColor="text1"/>
          <w:sz w:val="22"/>
          <w:szCs w:val="22"/>
        </w:rPr>
      </w:pPr>
      <w:r w:rsidRPr="00B710A9">
        <w:rPr>
          <w:rFonts w:ascii="Arial" w:hAnsi="Arial" w:cs="Arial"/>
          <w:b/>
          <w:bCs/>
          <w:color w:val="000000" w:themeColor="text1"/>
          <w:sz w:val="22"/>
          <w:szCs w:val="22"/>
        </w:rPr>
        <w:t>Retos del capítulo:</w:t>
      </w:r>
    </w:p>
    <w:p w14:paraId="61A38158" w14:textId="77777777" w:rsidR="00422542" w:rsidRPr="00B710A9" w:rsidRDefault="00422542" w:rsidP="009D279A">
      <w:pPr>
        <w:spacing w:after="0" w:line="240" w:lineRule="auto"/>
        <w:jc w:val="both"/>
        <w:rPr>
          <w:rFonts w:ascii="Arial" w:eastAsia="Arial" w:hAnsi="Arial" w:cs="Arial"/>
          <w:color w:val="000000" w:themeColor="text1"/>
          <w:sz w:val="22"/>
          <w:szCs w:val="22"/>
        </w:rPr>
      </w:pPr>
    </w:p>
    <w:p w14:paraId="081E573A" w14:textId="772FCEED" w:rsidR="45FBFC43" w:rsidRPr="00B710A9" w:rsidRDefault="45FBFC43" w:rsidP="009D279A">
      <w:pPr>
        <w:spacing w:after="0" w:line="240" w:lineRule="auto"/>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rPr>
        <w:t>Se espera que los proyectos de innovación e investigación se desarrollen atendiendo a la necesidad de optimizar procesos misionales asociados a la producción de información catastral, cartográfica y agrológica e incorporar herramientas alternativas para el procesamiento e integración de información en los diferentes procesos.</w:t>
      </w:r>
    </w:p>
    <w:p w14:paraId="002245C6" w14:textId="77777777" w:rsidR="009D279A" w:rsidRPr="00B710A9" w:rsidRDefault="009D279A" w:rsidP="009D279A">
      <w:pPr>
        <w:spacing w:after="0" w:line="240" w:lineRule="auto"/>
        <w:jc w:val="both"/>
        <w:rPr>
          <w:rFonts w:ascii="Arial" w:eastAsia="Calibri" w:hAnsi="Arial" w:cs="Arial"/>
          <w:color w:val="000000" w:themeColor="text1"/>
          <w:sz w:val="22"/>
          <w:szCs w:val="22"/>
        </w:rPr>
      </w:pPr>
    </w:p>
    <w:p w14:paraId="146A92DA" w14:textId="11433E03" w:rsidR="45FBFC43" w:rsidRPr="00B710A9" w:rsidRDefault="45FBFC43" w:rsidP="009D279A">
      <w:pPr>
        <w:spacing w:after="0" w:line="240" w:lineRule="auto"/>
        <w:jc w:val="both"/>
        <w:rPr>
          <w:rFonts w:ascii="Arial" w:eastAsia="Calibri" w:hAnsi="Arial" w:cs="Arial"/>
          <w:color w:val="000000" w:themeColor="text1"/>
          <w:sz w:val="22"/>
          <w:szCs w:val="22"/>
        </w:rPr>
      </w:pPr>
      <w:r w:rsidRPr="00B710A9">
        <w:rPr>
          <w:rFonts w:ascii="Arial" w:eastAsia="Calibri" w:hAnsi="Arial" w:cs="Arial"/>
          <w:color w:val="000000" w:themeColor="text1"/>
          <w:sz w:val="22"/>
          <w:szCs w:val="22"/>
        </w:rPr>
        <w:t>También se espera la ampliación de la cobertura e impacto de la capacitación y formación en temas catastrales en el territorio nacional, a través del mejoramiento de la plataforma Telecentro Regional, la implementación de la modalidad virtual, presencial y mixta, así como la realización de convenios específicos con entidades (formación en el campo laboral y campo académico) y consolidar la virtualización de la oferta académica para ampliar la cobertura, especialmente ante la contingencia por Covid-19.</w:t>
      </w:r>
    </w:p>
    <w:p w14:paraId="78B8FA48" w14:textId="77777777" w:rsidR="00A66F7B" w:rsidRPr="00B710A9" w:rsidRDefault="00A66F7B" w:rsidP="009D279A">
      <w:pPr>
        <w:spacing w:after="0" w:line="240" w:lineRule="auto"/>
        <w:jc w:val="both"/>
        <w:rPr>
          <w:rFonts w:ascii="Arial" w:eastAsia="Calibri" w:hAnsi="Arial" w:cs="Arial"/>
          <w:color w:val="000000" w:themeColor="text1"/>
          <w:sz w:val="22"/>
          <w:szCs w:val="22"/>
        </w:rPr>
      </w:pPr>
    </w:p>
    <w:p w14:paraId="5A586971" w14:textId="7C3E136E" w:rsidR="00A66F7B" w:rsidRPr="002D6123" w:rsidRDefault="00A66F7B" w:rsidP="009D279A">
      <w:pPr>
        <w:spacing w:after="0" w:line="240" w:lineRule="auto"/>
        <w:jc w:val="both"/>
        <w:rPr>
          <w:rFonts w:ascii="Arial" w:eastAsia="Calibri" w:hAnsi="Arial" w:cs="Arial"/>
          <w:color w:val="000000" w:themeColor="text1"/>
          <w:sz w:val="22"/>
          <w:szCs w:val="22"/>
        </w:rPr>
      </w:pPr>
      <w:r w:rsidRPr="00B710A9">
        <w:rPr>
          <w:rFonts w:ascii="Arial" w:hAnsi="Arial" w:cs="Arial"/>
          <w:color w:val="000000"/>
          <w:sz w:val="22"/>
          <w:szCs w:val="22"/>
        </w:rPr>
        <w:t>Se recomienda dar continuidad a las fases de implementación de los proyectos de I+D+i realizados durante el presente año, con el fin de evaluar su efectividad en la mejora de procesos misionales</w:t>
      </w:r>
      <w:r w:rsidR="00B710A9">
        <w:rPr>
          <w:rFonts w:ascii="Arial" w:hAnsi="Arial" w:cs="Arial"/>
          <w:color w:val="000000"/>
          <w:sz w:val="22"/>
          <w:szCs w:val="22"/>
        </w:rPr>
        <w:t>.</w:t>
      </w:r>
    </w:p>
    <w:p w14:paraId="2CA7472D" w14:textId="1F47DF35" w:rsidR="19B98323" w:rsidRPr="00E10BEF" w:rsidRDefault="19B98323" w:rsidP="009D279A">
      <w:pPr>
        <w:spacing w:after="0" w:line="240" w:lineRule="auto"/>
        <w:jc w:val="both"/>
        <w:rPr>
          <w:rFonts w:ascii="Arial" w:eastAsia="Calibri" w:hAnsi="Arial" w:cs="Arial"/>
          <w:b/>
          <w:bCs/>
          <w:color w:val="000000" w:themeColor="text1"/>
          <w:sz w:val="22"/>
          <w:szCs w:val="22"/>
        </w:rPr>
      </w:pPr>
    </w:p>
    <w:p w14:paraId="097F61DA" w14:textId="16B6FDAD" w:rsidR="008C4A23" w:rsidRPr="00E10BEF" w:rsidRDefault="008C4A23" w:rsidP="009D279A">
      <w:pPr>
        <w:pStyle w:val="Ttulo1"/>
        <w:spacing w:before="0" w:after="0" w:line="240" w:lineRule="auto"/>
        <w:jc w:val="both"/>
        <w:rPr>
          <w:rFonts w:ascii="Arial" w:hAnsi="Arial" w:cs="Arial"/>
          <w:color w:val="000000" w:themeColor="text1"/>
          <w:sz w:val="22"/>
          <w:szCs w:val="22"/>
        </w:rPr>
      </w:pPr>
    </w:p>
    <w:p w14:paraId="4BAF23E8" w14:textId="0138CCCB" w:rsidR="00422542" w:rsidRPr="00E10BEF" w:rsidRDefault="00422542" w:rsidP="009D279A">
      <w:pPr>
        <w:pStyle w:val="Ttulo1"/>
        <w:spacing w:before="0" w:after="0" w:line="240" w:lineRule="auto"/>
        <w:jc w:val="both"/>
        <w:rPr>
          <w:rFonts w:ascii="Arial" w:hAnsi="Arial" w:cs="Arial"/>
          <w:color w:val="000000" w:themeColor="text1"/>
          <w:sz w:val="22"/>
          <w:szCs w:val="22"/>
        </w:rPr>
      </w:pPr>
    </w:p>
    <w:sectPr w:rsidR="00422542" w:rsidRPr="00E10BEF">
      <w:pgSz w:w="12240" w:h="15840"/>
      <w:pgMar w:top="1418" w:right="1701" w:bottom="1418" w:left="1559" w:header="709" w:footer="709" w:gutter="0"/>
      <w:pgNumType w:start="1"/>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1C188" w14:textId="77777777" w:rsidR="008D7C70" w:rsidRDefault="008D7C70">
      <w:pPr>
        <w:spacing w:after="0" w:line="240" w:lineRule="auto"/>
      </w:pPr>
      <w:r>
        <w:separator/>
      </w:r>
    </w:p>
  </w:endnote>
  <w:endnote w:type="continuationSeparator" w:id="0">
    <w:p w14:paraId="5C09A157" w14:textId="77777777" w:rsidR="008D7C70" w:rsidRDefault="008D7C70">
      <w:pPr>
        <w:spacing w:after="0" w:line="240" w:lineRule="auto"/>
      </w:pPr>
      <w:r>
        <w:continuationSeparator/>
      </w:r>
    </w:p>
  </w:endnote>
  <w:endnote w:type="continuationNotice" w:id="1">
    <w:p w14:paraId="48D1F087" w14:textId="77777777" w:rsidR="008D7C70" w:rsidRDefault="008D7C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Quattrocento Sans">
    <w:altName w:val="Times New Roman"/>
    <w:charset w:val="00"/>
    <w:family w:val="swiss"/>
    <w:pitch w:val="variable"/>
    <w:sig w:usb0="800000BF" w:usb1="40000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314BB" w14:textId="77777777" w:rsidR="008D7C70" w:rsidRDefault="008D7C70">
      <w:pPr>
        <w:spacing w:after="0" w:line="240" w:lineRule="auto"/>
      </w:pPr>
      <w:r>
        <w:separator/>
      </w:r>
    </w:p>
  </w:footnote>
  <w:footnote w:type="continuationSeparator" w:id="0">
    <w:p w14:paraId="38474843" w14:textId="77777777" w:rsidR="008D7C70" w:rsidRDefault="008D7C70">
      <w:pPr>
        <w:spacing w:after="0" w:line="240" w:lineRule="auto"/>
      </w:pPr>
      <w:r>
        <w:continuationSeparator/>
      </w:r>
    </w:p>
  </w:footnote>
  <w:footnote w:type="continuationNotice" w:id="1">
    <w:p w14:paraId="5C6DFFA5" w14:textId="77777777" w:rsidR="008D7C70" w:rsidRDefault="008D7C70">
      <w:pPr>
        <w:spacing w:after="0" w:line="240" w:lineRule="auto"/>
      </w:pPr>
    </w:p>
  </w:footnote>
  <w:footnote w:id="2">
    <w:p w14:paraId="695C4A85" w14:textId="3F6E1769" w:rsidR="00597403" w:rsidRDefault="00597403">
      <w:pPr>
        <w:pStyle w:val="Textonotapie"/>
      </w:pPr>
      <w:r>
        <w:rPr>
          <w:rStyle w:val="Refdenotaalpie"/>
        </w:rPr>
        <w:footnoteRef/>
      </w:r>
      <w:r>
        <w:t xml:space="preserve"> </w:t>
      </w:r>
      <w:r w:rsidRPr="00FD5A7A">
        <w:rPr>
          <w:sz w:val="16"/>
          <w:szCs w:val="16"/>
        </w:rPr>
        <w:t>Esta información no incluye los datos de áreas que en cada vigencia permanecen con una actualización inferior a 5 años.</w:t>
      </w:r>
    </w:p>
  </w:footnote>
  <w:footnote w:id="3">
    <w:p w14:paraId="06D27211" w14:textId="77777777" w:rsidR="005110C7" w:rsidRPr="00BE42DC" w:rsidRDefault="005110C7" w:rsidP="000920C9">
      <w:pPr>
        <w:pStyle w:val="Textonotapie"/>
        <w:jc w:val="both"/>
        <w:rPr>
          <w:sz w:val="16"/>
          <w:szCs w:val="16"/>
        </w:rPr>
      </w:pPr>
      <w:r w:rsidRPr="00BE42DC">
        <w:rPr>
          <w:rStyle w:val="Refdenotaalpie"/>
          <w:sz w:val="16"/>
          <w:szCs w:val="16"/>
        </w:rPr>
        <w:footnoteRef/>
      </w:r>
      <w:r w:rsidRPr="00BE42DC">
        <w:rPr>
          <w:sz w:val="16"/>
          <w:szCs w:val="16"/>
        </w:rPr>
        <w:t xml:space="preserve"> La depuración catastral es el procedimiento para validar la correspondencia entre la información gráfica y alfanumérica de los predios. Cuando se encuentra información alfanumérica pero no coincide con la información gráfica, se conoce como omisión, cuando se cuenta con información gráfica pero no hay coincidencia con la alfanumérica se denomina Comisión.</w:t>
      </w:r>
    </w:p>
    <w:p w14:paraId="526EBA6F" w14:textId="77777777" w:rsidR="005110C7" w:rsidRDefault="005110C7" w:rsidP="000920C9">
      <w:pPr>
        <w:pStyle w:val="Textonotapie"/>
        <w:jc w:val="both"/>
      </w:pPr>
    </w:p>
    <w:p w14:paraId="7CF3205E" w14:textId="77777777" w:rsidR="005110C7" w:rsidRPr="00A6574D" w:rsidRDefault="005110C7" w:rsidP="000920C9">
      <w:pPr>
        <w:pStyle w:val="Textonotapie"/>
        <w:jc w:val="both"/>
      </w:pPr>
    </w:p>
  </w:footnote>
  <w:footnote w:id="4">
    <w:p w14:paraId="3C64BED9" w14:textId="50D97B07" w:rsidR="00466A48" w:rsidRPr="00D02921" w:rsidRDefault="00466A48" w:rsidP="001C3803">
      <w:pPr>
        <w:pStyle w:val="Textonotapie"/>
        <w:jc w:val="both"/>
        <w:rPr>
          <w:sz w:val="16"/>
          <w:szCs w:val="16"/>
          <w:lang w:val="es-MX"/>
        </w:rPr>
      </w:pPr>
      <w:r w:rsidRPr="00D02921">
        <w:rPr>
          <w:rStyle w:val="Refdenotaalpie"/>
          <w:sz w:val="16"/>
          <w:szCs w:val="16"/>
        </w:rPr>
        <w:footnoteRef/>
      </w:r>
      <w:r w:rsidRPr="00D02921">
        <w:rPr>
          <w:sz w:val="16"/>
          <w:szCs w:val="16"/>
        </w:rPr>
        <w:t xml:space="preserve"> Se debe mencionar que, en su momento, por motivos internos, AICO solicitó al gobierno su vinculación contractual a través de otra organización denominada ASOPASTOS, para avanzar a través de recursos de los créditos. Una vez finalizado el ejercicio administrativo a través de Fondo Acción y firmado el contrato, ASOPASTOS no ha podido expedir la póliza. En la actualidad (30 de junio) Fondo Acción está realizando las gestiones para superar este impasse en conjunto con AICO y ASOPASTOS.</w:t>
      </w:r>
    </w:p>
  </w:footnote>
  <w:footnote w:id="5">
    <w:p w14:paraId="7FFA614C" w14:textId="77777777" w:rsidR="00466A48" w:rsidRPr="004630C5" w:rsidRDefault="00466A48" w:rsidP="00466A48">
      <w:pPr>
        <w:pStyle w:val="Textonotapie"/>
        <w:jc w:val="both"/>
        <w:rPr>
          <w:lang w:val="es-MX"/>
        </w:rPr>
      </w:pPr>
      <w:r w:rsidRPr="00D02921">
        <w:rPr>
          <w:rStyle w:val="Refdenotaalpie"/>
          <w:sz w:val="16"/>
          <w:szCs w:val="16"/>
        </w:rPr>
        <w:footnoteRef/>
      </w:r>
      <w:r w:rsidRPr="00D02921">
        <w:rPr>
          <w:sz w:val="16"/>
          <w:szCs w:val="16"/>
        </w:rPr>
        <w:t xml:space="preserve">   Es importante mencionar que el último de los convenios firmados tiene fecha del 28 de febrero, que es el de Gobierno Mayor.</w:t>
      </w:r>
    </w:p>
  </w:footnote>
  <w:footnote w:id="6">
    <w:p w14:paraId="11159BB5" w14:textId="77777777" w:rsidR="00D14B25" w:rsidRPr="00FB13A0" w:rsidRDefault="00D14B25" w:rsidP="00D14B25">
      <w:pPr>
        <w:pStyle w:val="Textonotapie"/>
        <w:jc w:val="both"/>
        <w:rPr>
          <w:rFonts w:cs="Arial"/>
          <w:sz w:val="18"/>
          <w:szCs w:val="18"/>
        </w:rPr>
      </w:pPr>
      <w:r w:rsidRPr="001C3803">
        <w:rPr>
          <w:rStyle w:val="Refdenotaalpie"/>
          <w:rFonts w:cs="Arial"/>
          <w:sz w:val="16"/>
          <w:szCs w:val="16"/>
        </w:rPr>
        <w:footnoteRef/>
      </w:r>
      <w:r w:rsidRPr="001C3803">
        <w:rPr>
          <w:rFonts w:cs="Arial"/>
          <w:sz w:val="16"/>
          <w:szCs w:val="16"/>
        </w:rPr>
        <w:t xml:space="preserve"> Caracterización catastral: Documento</w:t>
      </w:r>
      <w:r w:rsidRPr="001C3803">
        <w:rPr>
          <w:rFonts w:cs="Arial"/>
          <w:color w:val="201F1E"/>
          <w:sz w:val="16"/>
          <w:szCs w:val="16"/>
          <w:bdr w:val="none" w:sz="0" w:space="0" w:color="auto" w:frame="1"/>
          <w:shd w:val="clear" w:color="auto" w:fill="FFFFFF"/>
        </w:rPr>
        <w:t xml:space="preserve"> técnico que refleja el estado de la información catastral, gestión de la atención de trámites (atendidos y pendientes por atender) y la calidad de la información gráfica y alfanumérica del municipio con base en los registros del IGAC.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8" type="#_x0000_t75" style="width:10.5pt;height:10.5pt" o:bullet="t">
        <v:imagedata r:id="rId1" o:title="msoFC71"/>
      </v:shape>
    </w:pict>
  </w:numPicBullet>
  <w:abstractNum w:abstractNumId="0" w15:restartNumberingAfterBreak="0">
    <w:nsid w:val="00F97021"/>
    <w:multiLevelType w:val="hybridMultilevel"/>
    <w:tmpl w:val="BEB4B92C"/>
    <w:lvl w:ilvl="0" w:tplc="83CCB102">
      <w:start w:val="1"/>
      <w:numFmt w:val="bullet"/>
      <w:lvlText w:val=""/>
      <w:lvlJc w:val="left"/>
      <w:pPr>
        <w:ind w:left="720" w:hanging="360"/>
      </w:pPr>
      <w:rPr>
        <w:rFonts w:ascii="Symbol" w:hAnsi="Symbol" w:hint="default"/>
      </w:rPr>
    </w:lvl>
    <w:lvl w:ilvl="1" w:tplc="4C7C84E2">
      <w:start w:val="1"/>
      <w:numFmt w:val="bullet"/>
      <w:lvlText w:val="o"/>
      <w:lvlJc w:val="left"/>
      <w:pPr>
        <w:ind w:left="1440" w:hanging="360"/>
      </w:pPr>
      <w:rPr>
        <w:rFonts w:ascii="Courier New" w:hAnsi="Courier New" w:hint="default"/>
      </w:rPr>
    </w:lvl>
    <w:lvl w:ilvl="2" w:tplc="6ED2D77E">
      <w:start w:val="1"/>
      <w:numFmt w:val="bullet"/>
      <w:lvlText w:val=""/>
      <w:lvlJc w:val="left"/>
      <w:pPr>
        <w:ind w:left="2160" w:hanging="360"/>
      </w:pPr>
      <w:rPr>
        <w:rFonts w:ascii="Wingdings" w:hAnsi="Wingdings" w:hint="default"/>
      </w:rPr>
    </w:lvl>
    <w:lvl w:ilvl="3" w:tplc="B0AA036A">
      <w:start w:val="1"/>
      <w:numFmt w:val="bullet"/>
      <w:lvlText w:val=""/>
      <w:lvlJc w:val="left"/>
      <w:pPr>
        <w:ind w:left="2880" w:hanging="360"/>
      </w:pPr>
      <w:rPr>
        <w:rFonts w:ascii="Symbol" w:hAnsi="Symbol" w:hint="default"/>
      </w:rPr>
    </w:lvl>
    <w:lvl w:ilvl="4" w:tplc="7C261CC6">
      <w:start w:val="1"/>
      <w:numFmt w:val="bullet"/>
      <w:lvlText w:val="o"/>
      <w:lvlJc w:val="left"/>
      <w:pPr>
        <w:ind w:left="3600" w:hanging="360"/>
      </w:pPr>
      <w:rPr>
        <w:rFonts w:ascii="Courier New" w:hAnsi="Courier New" w:hint="default"/>
      </w:rPr>
    </w:lvl>
    <w:lvl w:ilvl="5" w:tplc="46FC8D3C">
      <w:start w:val="1"/>
      <w:numFmt w:val="bullet"/>
      <w:lvlText w:val=""/>
      <w:lvlJc w:val="left"/>
      <w:pPr>
        <w:ind w:left="4320" w:hanging="360"/>
      </w:pPr>
      <w:rPr>
        <w:rFonts w:ascii="Wingdings" w:hAnsi="Wingdings" w:hint="default"/>
      </w:rPr>
    </w:lvl>
    <w:lvl w:ilvl="6" w:tplc="CDAA8C66">
      <w:start w:val="1"/>
      <w:numFmt w:val="bullet"/>
      <w:lvlText w:val=""/>
      <w:lvlJc w:val="left"/>
      <w:pPr>
        <w:ind w:left="5040" w:hanging="360"/>
      </w:pPr>
      <w:rPr>
        <w:rFonts w:ascii="Symbol" w:hAnsi="Symbol" w:hint="default"/>
      </w:rPr>
    </w:lvl>
    <w:lvl w:ilvl="7" w:tplc="A3B288FA">
      <w:start w:val="1"/>
      <w:numFmt w:val="bullet"/>
      <w:lvlText w:val="o"/>
      <w:lvlJc w:val="left"/>
      <w:pPr>
        <w:ind w:left="5760" w:hanging="360"/>
      </w:pPr>
      <w:rPr>
        <w:rFonts w:ascii="Courier New" w:hAnsi="Courier New" w:hint="default"/>
      </w:rPr>
    </w:lvl>
    <w:lvl w:ilvl="8" w:tplc="4E0A5184">
      <w:start w:val="1"/>
      <w:numFmt w:val="bullet"/>
      <w:lvlText w:val=""/>
      <w:lvlJc w:val="left"/>
      <w:pPr>
        <w:ind w:left="6480" w:hanging="360"/>
      </w:pPr>
      <w:rPr>
        <w:rFonts w:ascii="Wingdings" w:hAnsi="Wingdings" w:hint="default"/>
      </w:rPr>
    </w:lvl>
  </w:abstractNum>
  <w:abstractNum w:abstractNumId="1" w15:restartNumberingAfterBreak="0">
    <w:nsid w:val="023306AA"/>
    <w:multiLevelType w:val="hybridMultilevel"/>
    <w:tmpl w:val="6504D1AA"/>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721FB"/>
    <w:multiLevelType w:val="hybridMultilevel"/>
    <w:tmpl w:val="9242750A"/>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4281BBA"/>
    <w:multiLevelType w:val="hybridMultilevel"/>
    <w:tmpl w:val="4F747E04"/>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A7357"/>
    <w:multiLevelType w:val="hybridMultilevel"/>
    <w:tmpl w:val="EB387E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4F6F0EF"/>
    <w:multiLevelType w:val="hybridMultilevel"/>
    <w:tmpl w:val="22907AC4"/>
    <w:lvl w:ilvl="0" w:tplc="1F3EE478">
      <w:start w:val="1"/>
      <w:numFmt w:val="bullet"/>
      <w:lvlText w:val="·"/>
      <w:lvlJc w:val="left"/>
      <w:pPr>
        <w:ind w:left="720" w:hanging="360"/>
      </w:pPr>
      <w:rPr>
        <w:rFonts w:ascii="Symbol" w:hAnsi="Symbol" w:hint="default"/>
      </w:rPr>
    </w:lvl>
    <w:lvl w:ilvl="1" w:tplc="9556B108">
      <w:start w:val="1"/>
      <w:numFmt w:val="bullet"/>
      <w:lvlText w:val="o"/>
      <w:lvlJc w:val="left"/>
      <w:pPr>
        <w:ind w:left="1440" w:hanging="360"/>
      </w:pPr>
      <w:rPr>
        <w:rFonts w:ascii="Courier New" w:hAnsi="Courier New" w:hint="default"/>
      </w:rPr>
    </w:lvl>
    <w:lvl w:ilvl="2" w:tplc="35F8C0E8">
      <w:start w:val="1"/>
      <w:numFmt w:val="bullet"/>
      <w:lvlText w:val=""/>
      <w:lvlJc w:val="left"/>
      <w:pPr>
        <w:ind w:left="2160" w:hanging="360"/>
      </w:pPr>
      <w:rPr>
        <w:rFonts w:ascii="Wingdings" w:hAnsi="Wingdings" w:hint="default"/>
      </w:rPr>
    </w:lvl>
    <w:lvl w:ilvl="3" w:tplc="2966B4BE">
      <w:start w:val="1"/>
      <w:numFmt w:val="bullet"/>
      <w:lvlText w:val=""/>
      <w:lvlJc w:val="left"/>
      <w:pPr>
        <w:ind w:left="2880" w:hanging="360"/>
      </w:pPr>
      <w:rPr>
        <w:rFonts w:ascii="Symbol" w:hAnsi="Symbol" w:hint="default"/>
      </w:rPr>
    </w:lvl>
    <w:lvl w:ilvl="4" w:tplc="4F143E7A">
      <w:start w:val="1"/>
      <w:numFmt w:val="bullet"/>
      <w:lvlText w:val="o"/>
      <w:lvlJc w:val="left"/>
      <w:pPr>
        <w:ind w:left="3600" w:hanging="360"/>
      </w:pPr>
      <w:rPr>
        <w:rFonts w:ascii="Courier New" w:hAnsi="Courier New" w:hint="default"/>
      </w:rPr>
    </w:lvl>
    <w:lvl w:ilvl="5" w:tplc="2BC0EBFE">
      <w:start w:val="1"/>
      <w:numFmt w:val="bullet"/>
      <w:lvlText w:val=""/>
      <w:lvlJc w:val="left"/>
      <w:pPr>
        <w:ind w:left="4320" w:hanging="360"/>
      </w:pPr>
      <w:rPr>
        <w:rFonts w:ascii="Wingdings" w:hAnsi="Wingdings" w:hint="default"/>
      </w:rPr>
    </w:lvl>
    <w:lvl w:ilvl="6" w:tplc="F23EECC0">
      <w:start w:val="1"/>
      <w:numFmt w:val="bullet"/>
      <w:lvlText w:val=""/>
      <w:lvlJc w:val="left"/>
      <w:pPr>
        <w:ind w:left="5040" w:hanging="360"/>
      </w:pPr>
      <w:rPr>
        <w:rFonts w:ascii="Symbol" w:hAnsi="Symbol" w:hint="default"/>
      </w:rPr>
    </w:lvl>
    <w:lvl w:ilvl="7" w:tplc="173A7EBE">
      <w:start w:val="1"/>
      <w:numFmt w:val="bullet"/>
      <w:lvlText w:val="o"/>
      <w:lvlJc w:val="left"/>
      <w:pPr>
        <w:ind w:left="5760" w:hanging="360"/>
      </w:pPr>
      <w:rPr>
        <w:rFonts w:ascii="Courier New" w:hAnsi="Courier New" w:hint="default"/>
      </w:rPr>
    </w:lvl>
    <w:lvl w:ilvl="8" w:tplc="D8D4D156">
      <w:start w:val="1"/>
      <w:numFmt w:val="bullet"/>
      <w:lvlText w:val=""/>
      <w:lvlJc w:val="left"/>
      <w:pPr>
        <w:ind w:left="6480" w:hanging="360"/>
      </w:pPr>
      <w:rPr>
        <w:rFonts w:ascii="Wingdings" w:hAnsi="Wingdings" w:hint="default"/>
      </w:rPr>
    </w:lvl>
  </w:abstractNum>
  <w:abstractNum w:abstractNumId="6" w15:restartNumberingAfterBreak="0">
    <w:nsid w:val="073A5E6A"/>
    <w:multiLevelType w:val="hybridMultilevel"/>
    <w:tmpl w:val="FFFFFFFF"/>
    <w:lvl w:ilvl="0" w:tplc="C0D2C9D0">
      <w:start w:val="1"/>
      <w:numFmt w:val="bullet"/>
      <w:lvlText w:val=""/>
      <w:lvlJc w:val="left"/>
      <w:pPr>
        <w:ind w:left="720" w:hanging="360"/>
      </w:pPr>
      <w:rPr>
        <w:rFonts w:ascii="Wingdings" w:hAnsi="Wingdings" w:hint="default"/>
      </w:rPr>
    </w:lvl>
    <w:lvl w:ilvl="1" w:tplc="D03C1B6A">
      <w:start w:val="1"/>
      <w:numFmt w:val="bullet"/>
      <w:lvlText w:val="o"/>
      <w:lvlJc w:val="left"/>
      <w:pPr>
        <w:ind w:left="1440" w:hanging="360"/>
      </w:pPr>
      <w:rPr>
        <w:rFonts w:ascii="Courier New" w:hAnsi="Courier New" w:hint="default"/>
      </w:rPr>
    </w:lvl>
    <w:lvl w:ilvl="2" w:tplc="05DE7872">
      <w:start w:val="1"/>
      <w:numFmt w:val="bullet"/>
      <w:lvlText w:val=""/>
      <w:lvlJc w:val="left"/>
      <w:pPr>
        <w:ind w:left="2160" w:hanging="360"/>
      </w:pPr>
      <w:rPr>
        <w:rFonts w:ascii="Wingdings" w:hAnsi="Wingdings" w:hint="default"/>
      </w:rPr>
    </w:lvl>
    <w:lvl w:ilvl="3" w:tplc="19682C2A">
      <w:start w:val="1"/>
      <w:numFmt w:val="bullet"/>
      <w:lvlText w:val=""/>
      <w:lvlJc w:val="left"/>
      <w:pPr>
        <w:ind w:left="2880" w:hanging="360"/>
      </w:pPr>
      <w:rPr>
        <w:rFonts w:ascii="Symbol" w:hAnsi="Symbol" w:hint="default"/>
      </w:rPr>
    </w:lvl>
    <w:lvl w:ilvl="4" w:tplc="B47A3384">
      <w:start w:val="1"/>
      <w:numFmt w:val="bullet"/>
      <w:lvlText w:val="o"/>
      <w:lvlJc w:val="left"/>
      <w:pPr>
        <w:ind w:left="3600" w:hanging="360"/>
      </w:pPr>
      <w:rPr>
        <w:rFonts w:ascii="Courier New" w:hAnsi="Courier New" w:hint="default"/>
      </w:rPr>
    </w:lvl>
    <w:lvl w:ilvl="5" w:tplc="A318643A">
      <w:start w:val="1"/>
      <w:numFmt w:val="bullet"/>
      <w:lvlText w:val=""/>
      <w:lvlJc w:val="left"/>
      <w:pPr>
        <w:ind w:left="4320" w:hanging="360"/>
      </w:pPr>
      <w:rPr>
        <w:rFonts w:ascii="Wingdings" w:hAnsi="Wingdings" w:hint="default"/>
      </w:rPr>
    </w:lvl>
    <w:lvl w:ilvl="6" w:tplc="9DE86A20">
      <w:start w:val="1"/>
      <w:numFmt w:val="bullet"/>
      <w:lvlText w:val=""/>
      <w:lvlJc w:val="left"/>
      <w:pPr>
        <w:ind w:left="5040" w:hanging="360"/>
      </w:pPr>
      <w:rPr>
        <w:rFonts w:ascii="Symbol" w:hAnsi="Symbol" w:hint="default"/>
      </w:rPr>
    </w:lvl>
    <w:lvl w:ilvl="7" w:tplc="DDB05D98">
      <w:start w:val="1"/>
      <w:numFmt w:val="bullet"/>
      <w:lvlText w:val="o"/>
      <w:lvlJc w:val="left"/>
      <w:pPr>
        <w:ind w:left="5760" w:hanging="360"/>
      </w:pPr>
      <w:rPr>
        <w:rFonts w:ascii="Courier New" w:hAnsi="Courier New" w:hint="default"/>
      </w:rPr>
    </w:lvl>
    <w:lvl w:ilvl="8" w:tplc="FA78705E">
      <w:start w:val="1"/>
      <w:numFmt w:val="bullet"/>
      <w:lvlText w:val=""/>
      <w:lvlJc w:val="left"/>
      <w:pPr>
        <w:ind w:left="6480" w:hanging="360"/>
      </w:pPr>
      <w:rPr>
        <w:rFonts w:ascii="Wingdings" w:hAnsi="Wingdings" w:hint="default"/>
      </w:rPr>
    </w:lvl>
  </w:abstractNum>
  <w:abstractNum w:abstractNumId="7" w15:restartNumberingAfterBreak="0">
    <w:nsid w:val="07DDD8FB"/>
    <w:multiLevelType w:val="hybridMultilevel"/>
    <w:tmpl w:val="FDE4B7F0"/>
    <w:lvl w:ilvl="0" w:tplc="01F0AF3C">
      <w:start w:val="1"/>
      <w:numFmt w:val="bullet"/>
      <w:lvlText w:val=""/>
      <w:lvlJc w:val="left"/>
      <w:pPr>
        <w:ind w:left="720" w:hanging="360"/>
      </w:pPr>
      <w:rPr>
        <w:rFonts w:ascii="Symbol" w:hAnsi="Symbol" w:hint="default"/>
      </w:rPr>
    </w:lvl>
    <w:lvl w:ilvl="1" w:tplc="38DA819A">
      <w:start w:val="1"/>
      <w:numFmt w:val="bullet"/>
      <w:lvlText w:val="o"/>
      <w:lvlJc w:val="left"/>
      <w:pPr>
        <w:ind w:left="1440" w:hanging="360"/>
      </w:pPr>
      <w:rPr>
        <w:rFonts w:ascii="Courier New" w:hAnsi="Courier New" w:hint="default"/>
      </w:rPr>
    </w:lvl>
    <w:lvl w:ilvl="2" w:tplc="6D1E83B0">
      <w:start w:val="1"/>
      <w:numFmt w:val="bullet"/>
      <w:lvlText w:val=""/>
      <w:lvlJc w:val="left"/>
      <w:pPr>
        <w:ind w:left="2160" w:hanging="360"/>
      </w:pPr>
      <w:rPr>
        <w:rFonts w:ascii="Wingdings" w:hAnsi="Wingdings" w:hint="default"/>
      </w:rPr>
    </w:lvl>
    <w:lvl w:ilvl="3" w:tplc="92ECD9C0">
      <w:start w:val="1"/>
      <w:numFmt w:val="bullet"/>
      <w:lvlText w:val=""/>
      <w:lvlJc w:val="left"/>
      <w:pPr>
        <w:ind w:left="2880" w:hanging="360"/>
      </w:pPr>
      <w:rPr>
        <w:rFonts w:ascii="Symbol" w:hAnsi="Symbol" w:hint="default"/>
      </w:rPr>
    </w:lvl>
    <w:lvl w:ilvl="4" w:tplc="521EE27C">
      <w:start w:val="1"/>
      <w:numFmt w:val="bullet"/>
      <w:lvlText w:val="o"/>
      <w:lvlJc w:val="left"/>
      <w:pPr>
        <w:ind w:left="3600" w:hanging="360"/>
      </w:pPr>
      <w:rPr>
        <w:rFonts w:ascii="Courier New" w:hAnsi="Courier New" w:hint="default"/>
      </w:rPr>
    </w:lvl>
    <w:lvl w:ilvl="5" w:tplc="2C9A53F0">
      <w:start w:val="1"/>
      <w:numFmt w:val="bullet"/>
      <w:lvlText w:val=""/>
      <w:lvlJc w:val="left"/>
      <w:pPr>
        <w:ind w:left="4320" w:hanging="360"/>
      </w:pPr>
      <w:rPr>
        <w:rFonts w:ascii="Wingdings" w:hAnsi="Wingdings" w:hint="default"/>
      </w:rPr>
    </w:lvl>
    <w:lvl w:ilvl="6" w:tplc="9EE8DC3E">
      <w:start w:val="1"/>
      <w:numFmt w:val="bullet"/>
      <w:lvlText w:val=""/>
      <w:lvlJc w:val="left"/>
      <w:pPr>
        <w:ind w:left="5040" w:hanging="360"/>
      </w:pPr>
      <w:rPr>
        <w:rFonts w:ascii="Symbol" w:hAnsi="Symbol" w:hint="default"/>
      </w:rPr>
    </w:lvl>
    <w:lvl w:ilvl="7" w:tplc="B70E2AC0">
      <w:start w:val="1"/>
      <w:numFmt w:val="bullet"/>
      <w:lvlText w:val="o"/>
      <w:lvlJc w:val="left"/>
      <w:pPr>
        <w:ind w:left="5760" w:hanging="360"/>
      </w:pPr>
      <w:rPr>
        <w:rFonts w:ascii="Courier New" w:hAnsi="Courier New" w:hint="default"/>
      </w:rPr>
    </w:lvl>
    <w:lvl w:ilvl="8" w:tplc="7804B470">
      <w:start w:val="1"/>
      <w:numFmt w:val="bullet"/>
      <w:lvlText w:val=""/>
      <w:lvlJc w:val="left"/>
      <w:pPr>
        <w:ind w:left="6480" w:hanging="360"/>
      </w:pPr>
      <w:rPr>
        <w:rFonts w:ascii="Wingdings" w:hAnsi="Wingdings" w:hint="default"/>
      </w:rPr>
    </w:lvl>
  </w:abstractNum>
  <w:abstractNum w:abstractNumId="8" w15:restartNumberingAfterBreak="0">
    <w:nsid w:val="0947C549"/>
    <w:multiLevelType w:val="hybridMultilevel"/>
    <w:tmpl w:val="842C10A4"/>
    <w:lvl w:ilvl="0" w:tplc="E304BFC6">
      <w:start w:val="1"/>
      <w:numFmt w:val="bullet"/>
      <w:lvlText w:val="-"/>
      <w:lvlJc w:val="left"/>
      <w:pPr>
        <w:ind w:left="720" w:hanging="360"/>
      </w:pPr>
      <w:rPr>
        <w:rFonts w:ascii="&quot;Calibri&quot;,sans-serif" w:hAnsi="&quot;Calibri&quot;,sans-serif" w:hint="default"/>
      </w:rPr>
    </w:lvl>
    <w:lvl w:ilvl="1" w:tplc="98DE20C0">
      <w:start w:val="1"/>
      <w:numFmt w:val="bullet"/>
      <w:lvlText w:val="o"/>
      <w:lvlJc w:val="left"/>
      <w:pPr>
        <w:ind w:left="1440" w:hanging="360"/>
      </w:pPr>
      <w:rPr>
        <w:rFonts w:ascii="Courier New" w:hAnsi="Courier New" w:hint="default"/>
      </w:rPr>
    </w:lvl>
    <w:lvl w:ilvl="2" w:tplc="ADB0E7AC">
      <w:start w:val="1"/>
      <w:numFmt w:val="bullet"/>
      <w:lvlText w:val=""/>
      <w:lvlJc w:val="left"/>
      <w:pPr>
        <w:ind w:left="2160" w:hanging="360"/>
      </w:pPr>
      <w:rPr>
        <w:rFonts w:ascii="Wingdings" w:hAnsi="Wingdings" w:hint="default"/>
      </w:rPr>
    </w:lvl>
    <w:lvl w:ilvl="3" w:tplc="309A06E2">
      <w:start w:val="1"/>
      <w:numFmt w:val="bullet"/>
      <w:lvlText w:val=""/>
      <w:lvlJc w:val="left"/>
      <w:pPr>
        <w:ind w:left="2880" w:hanging="360"/>
      </w:pPr>
      <w:rPr>
        <w:rFonts w:ascii="Symbol" w:hAnsi="Symbol" w:hint="default"/>
      </w:rPr>
    </w:lvl>
    <w:lvl w:ilvl="4" w:tplc="8D9076C2">
      <w:start w:val="1"/>
      <w:numFmt w:val="bullet"/>
      <w:lvlText w:val="o"/>
      <w:lvlJc w:val="left"/>
      <w:pPr>
        <w:ind w:left="3600" w:hanging="360"/>
      </w:pPr>
      <w:rPr>
        <w:rFonts w:ascii="Courier New" w:hAnsi="Courier New" w:hint="default"/>
      </w:rPr>
    </w:lvl>
    <w:lvl w:ilvl="5" w:tplc="95380A64">
      <w:start w:val="1"/>
      <w:numFmt w:val="bullet"/>
      <w:lvlText w:val=""/>
      <w:lvlJc w:val="left"/>
      <w:pPr>
        <w:ind w:left="4320" w:hanging="360"/>
      </w:pPr>
      <w:rPr>
        <w:rFonts w:ascii="Wingdings" w:hAnsi="Wingdings" w:hint="default"/>
      </w:rPr>
    </w:lvl>
    <w:lvl w:ilvl="6" w:tplc="F45CED4E">
      <w:start w:val="1"/>
      <w:numFmt w:val="bullet"/>
      <w:lvlText w:val=""/>
      <w:lvlJc w:val="left"/>
      <w:pPr>
        <w:ind w:left="5040" w:hanging="360"/>
      </w:pPr>
      <w:rPr>
        <w:rFonts w:ascii="Symbol" w:hAnsi="Symbol" w:hint="default"/>
      </w:rPr>
    </w:lvl>
    <w:lvl w:ilvl="7" w:tplc="80B66806">
      <w:start w:val="1"/>
      <w:numFmt w:val="bullet"/>
      <w:lvlText w:val="o"/>
      <w:lvlJc w:val="left"/>
      <w:pPr>
        <w:ind w:left="5760" w:hanging="360"/>
      </w:pPr>
      <w:rPr>
        <w:rFonts w:ascii="Courier New" w:hAnsi="Courier New" w:hint="default"/>
      </w:rPr>
    </w:lvl>
    <w:lvl w:ilvl="8" w:tplc="15A6DD36">
      <w:start w:val="1"/>
      <w:numFmt w:val="bullet"/>
      <w:lvlText w:val=""/>
      <w:lvlJc w:val="left"/>
      <w:pPr>
        <w:ind w:left="6480" w:hanging="360"/>
      </w:pPr>
      <w:rPr>
        <w:rFonts w:ascii="Wingdings" w:hAnsi="Wingdings" w:hint="default"/>
      </w:rPr>
    </w:lvl>
  </w:abstractNum>
  <w:abstractNum w:abstractNumId="9" w15:restartNumberingAfterBreak="0">
    <w:nsid w:val="094B3A91"/>
    <w:multiLevelType w:val="multilevel"/>
    <w:tmpl w:val="FBAA5A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955419F"/>
    <w:multiLevelType w:val="hybridMultilevel"/>
    <w:tmpl w:val="7E92486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98B4384"/>
    <w:multiLevelType w:val="multilevel"/>
    <w:tmpl w:val="B4522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99137A6"/>
    <w:multiLevelType w:val="multilevel"/>
    <w:tmpl w:val="35F43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A56FA71"/>
    <w:multiLevelType w:val="hybridMultilevel"/>
    <w:tmpl w:val="21AE58C2"/>
    <w:lvl w:ilvl="0" w:tplc="7E7E0F5E">
      <w:start w:val="1"/>
      <w:numFmt w:val="bullet"/>
      <w:lvlText w:val="-"/>
      <w:lvlJc w:val="left"/>
      <w:pPr>
        <w:ind w:left="720" w:hanging="360"/>
      </w:pPr>
      <w:rPr>
        <w:rFonts w:ascii="&quot;Calibri&quot;,sans-serif" w:hAnsi="&quot;Calibri&quot;,sans-serif" w:hint="default"/>
      </w:rPr>
    </w:lvl>
    <w:lvl w:ilvl="1" w:tplc="C7CED23E">
      <w:start w:val="1"/>
      <w:numFmt w:val="bullet"/>
      <w:lvlText w:val="o"/>
      <w:lvlJc w:val="left"/>
      <w:pPr>
        <w:ind w:left="1440" w:hanging="360"/>
      </w:pPr>
      <w:rPr>
        <w:rFonts w:ascii="Courier New" w:hAnsi="Courier New" w:hint="default"/>
      </w:rPr>
    </w:lvl>
    <w:lvl w:ilvl="2" w:tplc="13A05ED0">
      <w:start w:val="1"/>
      <w:numFmt w:val="bullet"/>
      <w:lvlText w:val=""/>
      <w:lvlJc w:val="left"/>
      <w:pPr>
        <w:ind w:left="2160" w:hanging="360"/>
      </w:pPr>
      <w:rPr>
        <w:rFonts w:ascii="Wingdings" w:hAnsi="Wingdings" w:hint="default"/>
      </w:rPr>
    </w:lvl>
    <w:lvl w:ilvl="3" w:tplc="CECAC214">
      <w:start w:val="1"/>
      <w:numFmt w:val="bullet"/>
      <w:lvlText w:val=""/>
      <w:lvlJc w:val="left"/>
      <w:pPr>
        <w:ind w:left="2880" w:hanging="360"/>
      </w:pPr>
      <w:rPr>
        <w:rFonts w:ascii="Symbol" w:hAnsi="Symbol" w:hint="default"/>
      </w:rPr>
    </w:lvl>
    <w:lvl w:ilvl="4" w:tplc="FB964772">
      <w:start w:val="1"/>
      <w:numFmt w:val="bullet"/>
      <w:lvlText w:val="o"/>
      <w:lvlJc w:val="left"/>
      <w:pPr>
        <w:ind w:left="3600" w:hanging="360"/>
      </w:pPr>
      <w:rPr>
        <w:rFonts w:ascii="Courier New" w:hAnsi="Courier New" w:hint="default"/>
      </w:rPr>
    </w:lvl>
    <w:lvl w:ilvl="5" w:tplc="43E07988">
      <w:start w:val="1"/>
      <w:numFmt w:val="bullet"/>
      <w:lvlText w:val=""/>
      <w:lvlJc w:val="left"/>
      <w:pPr>
        <w:ind w:left="4320" w:hanging="360"/>
      </w:pPr>
      <w:rPr>
        <w:rFonts w:ascii="Wingdings" w:hAnsi="Wingdings" w:hint="default"/>
      </w:rPr>
    </w:lvl>
    <w:lvl w:ilvl="6" w:tplc="E7764076">
      <w:start w:val="1"/>
      <w:numFmt w:val="bullet"/>
      <w:lvlText w:val=""/>
      <w:lvlJc w:val="left"/>
      <w:pPr>
        <w:ind w:left="5040" w:hanging="360"/>
      </w:pPr>
      <w:rPr>
        <w:rFonts w:ascii="Symbol" w:hAnsi="Symbol" w:hint="default"/>
      </w:rPr>
    </w:lvl>
    <w:lvl w:ilvl="7" w:tplc="4EC2FA00">
      <w:start w:val="1"/>
      <w:numFmt w:val="bullet"/>
      <w:lvlText w:val="o"/>
      <w:lvlJc w:val="left"/>
      <w:pPr>
        <w:ind w:left="5760" w:hanging="360"/>
      </w:pPr>
      <w:rPr>
        <w:rFonts w:ascii="Courier New" w:hAnsi="Courier New" w:hint="default"/>
      </w:rPr>
    </w:lvl>
    <w:lvl w:ilvl="8" w:tplc="64B847B0">
      <w:start w:val="1"/>
      <w:numFmt w:val="bullet"/>
      <w:lvlText w:val=""/>
      <w:lvlJc w:val="left"/>
      <w:pPr>
        <w:ind w:left="6480" w:hanging="360"/>
      </w:pPr>
      <w:rPr>
        <w:rFonts w:ascii="Wingdings" w:hAnsi="Wingdings" w:hint="default"/>
      </w:rPr>
    </w:lvl>
  </w:abstractNum>
  <w:abstractNum w:abstractNumId="14" w15:restartNumberingAfterBreak="0">
    <w:nsid w:val="0B7D765D"/>
    <w:multiLevelType w:val="hybridMultilevel"/>
    <w:tmpl w:val="48486C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0C567145"/>
    <w:multiLevelType w:val="hybridMultilevel"/>
    <w:tmpl w:val="7884D400"/>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1F5090"/>
    <w:multiLevelType w:val="hybridMultilevel"/>
    <w:tmpl w:val="CDFA656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0FE3A29F"/>
    <w:multiLevelType w:val="hybridMultilevel"/>
    <w:tmpl w:val="848C7BC0"/>
    <w:lvl w:ilvl="0" w:tplc="DCF40B42">
      <w:start w:val="1"/>
      <w:numFmt w:val="bullet"/>
      <w:lvlText w:val="·"/>
      <w:lvlJc w:val="left"/>
      <w:pPr>
        <w:ind w:left="720" w:hanging="360"/>
      </w:pPr>
      <w:rPr>
        <w:rFonts w:ascii="Symbol" w:hAnsi="Symbol" w:hint="default"/>
      </w:rPr>
    </w:lvl>
    <w:lvl w:ilvl="1" w:tplc="278EBCAC">
      <w:start w:val="1"/>
      <w:numFmt w:val="bullet"/>
      <w:lvlText w:val="o"/>
      <w:lvlJc w:val="left"/>
      <w:pPr>
        <w:ind w:left="1440" w:hanging="360"/>
      </w:pPr>
      <w:rPr>
        <w:rFonts w:ascii="Courier New" w:hAnsi="Courier New" w:hint="default"/>
      </w:rPr>
    </w:lvl>
    <w:lvl w:ilvl="2" w:tplc="8D2AE850">
      <w:start w:val="1"/>
      <w:numFmt w:val="bullet"/>
      <w:lvlText w:val=""/>
      <w:lvlJc w:val="left"/>
      <w:pPr>
        <w:ind w:left="2160" w:hanging="360"/>
      </w:pPr>
      <w:rPr>
        <w:rFonts w:ascii="Wingdings" w:hAnsi="Wingdings" w:hint="default"/>
      </w:rPr>
    </w:lvl>
    <w:lvl w:ilvl="3" w:tplc="F1780D1A">
      <w:start w:val="1"/>
      <w:numFmt w:val="bullet"/>
      <w:lvlText w:val=""/>
      <w:lvlJc w:val="left"/>
      <w:pPr>
        <w:ind w:left="2880" w:hanging="360"/>
      </w:pPr>
      <w:rPr>
        <w:rFonts w:ascii="Symbol" w:hAnsi="Symbol" w:hint="default"/>
      </w:rPr>
    </w:lvl>
    <w:lvl w:ilvl="4" w:tplc="02C0DB08">
      <w:start w:val="1"/>
      <w:numFmt w:val="bullet"/>
      <w:lvlText w:val="o"/>
      <w:lvlJc w:val="left"/>
      <w:pPr>
        <w:ind w:left="3600" w:hanging="360"/>
      </w:pPr>
      <w:rPr>
        <w:rFonts w:ascii="Courier New" w:hAnsi="Courier New" w:hint="default"/>
      </w:rPr>
    </w:lvl>
    <w:lvl w:ilvl="5" w:tplc="7D800514">
      <w:start w:val="1"/>
      <w:numFmt w:val="bullet"/>
      <w:lvlText w:val=""/>
      <w:lvlJc w:val="left"/>
      <w:pPr>
        <w:ind w:left="4320" w:hanging="360"/>
      </w:pPr>
      <w:rPr>
        <w:rFonts w:ascii="Wingdings" w:hAnsi="Wingdings" w:hint="default"/>
      </w:rPr>
    </w:lvl>
    <w:lvl w:ilvl="6" w:tplc="32BA7EBE">
      <w:start w:val="1"/>
      <w:numFmt w:val="bullet"/>
      <w:lvlText w:val=""/>
      <w:lvlJc w:val="left"/>
      <w:pPr>
        <w:ind w:left="5040" w:hanging="360"/>
      </w:pPr>
      <w:rPr>
        <w:rFonts w:ascii="Symbol" w:hAnsi="Symbol" w:hint="default"/>
      </w:rPr>
    </w:lvl>
    <w:lvl w:ilvl="7" w:tplc="CADCE1A2">
      <w:start w:val="1"/>
      <w:numFmt w:val="bullet"/>
      <w:lvlText w:val="o"/>
      <w:lvlJc w:val="left"/>
      <w:pPr>
        <w:ind w:left="5760" w:hanging="360"/>
      </w:pPr>
      <w:rPr>
        <w:rFonts w:ascii="Courier New" w:hAnsi="Courier New" w:hint="default"/>
      </w:rPr>
    </w:lvl>
    <w:lvl w:ilvl="8" w:tplc="96582A10">
      <w:start w:val="1"/>
      <w:numFmt w:val="bullet"/>
      <w:lvlText w:val=""/>
      <w:lvlJc w:val="left"/>
      <w:pPr>
        <w:ind w:left="6480" w:hanging="360"/>
      </w:pPr>
      <w:rPr>
        <w:rFonts w:ascii="Wingdings" w:hAnsi="Wingdings" w:hint="default"/>
      </w:rPr>
    </w:lvl>
  </w:abstractNum>
  <w:abstractNum w:abstractNumId="18" w15:restartNumberingAfterBreak="0">
    <w:nsid w:val="113E1F65"/>
    <w:multiLevelType w:val="hybridMultilevel"/>
    <w:tmpl w:val="5052CE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31716C2"/>
    <w:multiLevelType w:val="hybridMultilevel"/>
    <w:tmpl w:val="C2164D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3932345"/>
    <w:multiLevelType w:val="multilevel"/>
    <w:tmpl w:val="8D2C7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3DC1AB6"/>
    <w:multiLevelType w:val="hybridMultilevel"/>
    <w:tmpl w:val="FFFFFFFF"/>
    <w:lvl w:ilvl="0" w:tplc="E2661B2E">
      <w:start w:val="1"/>
      <w:numFmt w:val="decimal"/>
      <w:lvlText w:val="%1."/>
      <w:lvlJc w:val="left"/>
      <w:pPr>
        <w:ind w:left="720" w:hanging="360"/>
      </w:pPr>
    </w:lvl>
    <w:lvl w:ilvl="1" w:tplc="2BDAD78E">
      <w:start w:val="1"/>
      <w:numFmt w:val="lowerLetter"/>
      <w:lvlText w:val="%2."/>
      <w:lvlJc w:val="left"/>
      <w:pPr>
        <w:ind w:left="1440" w:hanging="360"/>
      </w:pPr>
    </w:lvl>
    <w:lvl w:ilvl="2" w:tplc="EA1E04D0">
      <w:start w:val="1"/>
      <w:numFmt w:val="lowerRoman"/>
      <w:lvlText w:val="%3."/>
      <w:lvlJc w:val="right"/>
      <w:pPr>
        <w:ind w:left="2160" w:hanging="180"/>
      </w:pPr>
    </w:lvl>
    <w:lvl w:ilvl="3" w:tplc="141269B2">
      <w:start w:val="1"/>
      <w:numFmt w:val="decimal"/>
      <w:lvlText w:val="%4."/>
      <w:lvlJc w:val="left"/>
      <w:pPr>
        <w:ind w:left="2880" w:hanging="360"/>
      </w:pPr>
    </w:lvl>
    <w:lvl w:ilvl="4" w:tplc="539E54C0">
      <w:start w:val="1"/>
      <w:numFmt w:val="lowerLetter"/>
      <w:lvlText w:val="%5."/>
      <w:lvlJc w:val="left"/>
      <w:pPr>
        <w:ind w:left="3600" w:hanging="360"/>
      </w:pPr>
    </w:lvl>
    <w:lvl w:ilvl="5" w:tplc="E140D70C">
      <w:start w:val="1"/>
      <w:numFmt w:val="lowerRoman"/>
      <w:lvlText w:val="%6."/>
      <w:lvlJc w:val="right"/>
      <w:pPr>
        <w:ind w:left="4320" w:hanging="180"/>
      </w:pPr>
    </w:lvl>
    <w:lvl w:ilvl="6" w:tplc="7AC688D2">
      <w:start w:val="1"/>
      <w:numFmt w:val="decimal"/>
      <w:lvlText w:val="%7."/>
      <w:lvlJc w:val="left"/>
      <w:pPr>
        <w:ind w:left="5040" w:hanging="360"/>
      </w:pPr>
    </w:lvl>
    <w:lvl w:ilvl="7" w:tplc="8324A096">
      <w:start w:val="1"/>
      <w:numFmt w:val="lowerLetter"/>
      <w:lvlText w:val="%8."/>
      <w:lvlJc w:val="left"/>
      <w:pPr>
        <w:ind w:left="5760" w:hanging="360"/>
      </w:pPr>
    </w:lvl>
    <w:lvl w:ilvl="8" w:tplc="3BF21D58">
      <w:start w:val="1"/>
      <w:numFmt w:val="lowerRoman"/>
      <w:lvlText w:val="%9."/>
      <w:lvlJc w:val="right"/>
      <w:pPr>
        <w:ind w:left="6480" w:hanging="180"/>
      </w:pPr>
    </w:lvl>
  </w:abstractNum>
  <w:abstractNum w:abstractNumId="22" w15:restartNumberingAfterBreak="0">
    <w:nsid w:val="14C73B6B"/>
    <w:multiLevelType w:val="hybridMultilevel"/>
    <w:tmpl w:val="526E9EE0"/>
    <w:lvl w:ilvl="0" w:tplc="9164324A">
      <w:start w:val="1"/>
      <w:numFmt w:val="bullet"/>
      <w:lvlText w:val=""/>
      <w:lvlJc w:val="left"/>
      <w:pPr>
        <w:ind w:left="720" w:hanging="360"/>
      </w:pPr>
      <w:rPr>
        <w:rFonts w:ascii="Symbol" w:hAnsi="Symbol" w:hint="default"/>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4F8EE1C"/>
    <w:multiLevelType w:val="hybridMultilevel"/>
    <w:tmpl w:val="7276B208"/>
    <w:lvl w:ilvl="0" w:tplc="53B4AF9E">
      <w:start w:val="1"/>
      <w:numFmt w:val="bullet"/>
      <w:lvlText w:val=""/>
      <w:lvlJc w:val="left"/>
      <w:pPr>
        <w:ind w:left="720" w:hanging="360"/>
      </w:pPr>
      <w:rPr>
        <w:rFonts w:ascii="Symbol" w:hAnsi="Symbol" w:hint="default"/>
      </w:rPr>
    </w:lvl>
    <w:lvl w:ilvl="1" w:tplc="E12E45C6">
      <w:start w:val="1"/>
      <w:numFmt w:val="bullet"/>
      <w:lvlText w:val="o"/>
      <w:lvlJc w:val="left"/>
      <w:pPr>
        <w:ind w:left="1440" w:hanging="360"/>
      </w:pPr>
      <w:rPr>
        <w:rFonts w:ascii="Courier New" w:hAnsi="Courier New" w:hint="default"/>
      </w:rPr>
    </w:lvl>
    <w:lvl w:ilvl="2" w:tplc="4D087B4E">
      <w:start w:val="1"/>
      <w:numFmt w:val="bullet"/>
      <w:lvlText w:val=""/>
      <w:lvlJc w:val="left"/>
      <w:pPr>
        <w:ind w:left="2160" w:hanging="360"/>
      </w:pPr>
      <w:rPr>
        <w:rFonts w:ascii="Wingdings" w:hAnsi="Wingdings" w:hint="default"/>
      </w:rPr>
    </w:lvl>
    <w:lvl w:ilvl="3" w:tplc="C1C0897A">
      <w:start w:val="1"/>
      <w:numFmt w:val="bullet"/>
      <w:lvlText w:val=""/>
      <w:lvlJc w:val="left"/>
      <w:pPr>
        <w:ind w:left="2880" w:hanging="360"/>
      </w:pPr>
      <w:rPr>
        <w:rFonts w:ascii="Symbol" w:hAnsi="Symbol" w:hint="default"/>
      </w:rPr>
    </w:lvl>
    <w:lvl w:ilvl="4" w:tplc="8EE45DDA">
      <w:start w:val="1"/>
      <w:numFmt w:val="bullet"/>
      <w:lvlText w:val="o"/>
      <w:lvlJc w:val="left"/>
      <w:pPr>
        <w:ind w:left="3600" w:hanging="360"/>
      </w:pPr>
      <w:rPr>
        <w:rFonts w:ascii="Courier New" w:hAnsi="Courier New" w:hint="default"/>
      </w:rPr>
    </w:lvl>
    <w:lvl w:ilvl="5" w:tplc="DEAC061C">
      <w:start w:val="1"/>
      <w:numFmt w:val="bullet"/>
      <w:lvlText w:val=""/>
      <w:lvlJc w:val="left"/>
      <w:pPr>
        <w:ind w:left="4320" w:hanging="360"/>
      </w:pPr>
      <w:rPr>
        <w:rFonts w:ascii="Wingdings" w:hAnsi="Wingdings" w:hint="default"/>
      </w:rPr>
    </w:lvl>
    <w:lvl w:ilvl="6" w:tplc="C0922A26">
      <w:start w:val="1"/>
      <w:numFmt w:val="bullet"/>
      <w:lvlText w:val=""/>
      <w:lvlJc w:val="left"/>
      <w:pPr>
        <w:ind w:left="5040" w:hanging="360"/>
      </w:pPr>
      <w:rPr>
        <w:rFonts w:ascii="Symbol" w:hAnsi="Symbol" w:hint="default"/>
      </w:rPr>
    </w:lvl>
    <w:lvl w:ilvl="7" w:tplc="39C8F87E">
      <w:start w:val="1"/>
      <w:numFmt w:val="bullet"/>
      <w:lvlText w:val="o"/>
      <w:lvlJc w:val="left"/>
      <w:pPr>
        <w:ind w:left="5760" w:hanging="360"/>
      </w:pPr>
      <w:rPr>
        <w:rFonts w:ascii="Courier New" w:hAnsi="Courier New" w:hint="default"/>
      </w:rPr>
    </w:lvl>
    <w:lvl w:ilvl="8" w:tplc="9384B7E2">
      <w:start w:val="1"/>
      <w:numFmt w:val="bullet"/>
      <w:lvlText w:val=""/>
      <w:lvlJc w:val="left"/>
      <w:pPr>
        <w:ind w:left="6480" w:hanging="360"/>
      </w:pPr>
      <w:rPr>
        <w:rFonts w:ascii="Wingdings" w:hAnsi="Wingdings" w:hint="default"/>
      </w:rPr>
    </w:lvl>
  </w:abstractNum>
  <w:abstractNum w:abstractNumId="24" w15:restartNumberingAfterBreak="0">
    <w:nsid w:val="15B32868"/>
    <w:multiLevelType w:val="hybridMultilevel"/>
    <w:tmpl w:val="C390DC36"/>
    <w:lvl w:ilvl="0" w:tplc="885EEE00">
      <w:start w:val="1"/>
      <w:numFmt w:val="bullet"/>
      <w:lvlText w:val=""/>
      <w:lvlJc w:val="left"/>
      <w:pPr>
        <w:ind w:left="360" w:hanging="360"/>
      </w:pPr>
      <w:rPr>
        <w:rFonts w:ascii="Symbol" w:hAnsi="Symbol" w:hint="default"/>
        <w:sz w:val="16"/>
        <w:szCs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16EC7761"/>
    <w:multiLevelType w:val="hybridMultilevel"/>
    <w:tmpl w:val="30F6A6B2"/>
    <w:lvl w:ilvl="0" w:tplc="8F8A3E42">
      <w:start w:val="1"/>
      <w:numFmt w:val="bullet"/>
      <w:lvlText w:val="·"/>
      <w:lvlJc w:val="left"/>
      <w:pPr>
        <w:ind w:left="720" w:hanging="360"/>
      </w:pPr>
      <w:rPr>
        <w:rFonts w:ascii="Symbol" w:hAnsi="Symbol" w:hint="default"/>
      </w:rPr>
    </w:lvl>
    <w:lvl w:ilvl="1" w:tplc="D94E41B4">
      <w:start w:val="1"/>
      <w:numFmt w:val="bullet"/>
      <w:lvlText w:val="o"/>
      <w:lvlJc w:val="left"/>
      <w:pPr>
        <w:ind w:left="1440" w:hanging="360"/>
      </w:pPr>
      <w:rPr>
        <w:rFonts w:ascii="Courier New" w:hAnsi="Courier New" w:hint="default"/>
      </w:rPr>
    </w:lvl>
    <w:lvl w:ilvl="2" w:tplc="1396DF2A">
      <w:start w:val="1"/>
      <w:numFmt w:val="bullet"/>
      <w:lvlText w:val=""/>
      <w:lvlJc w:val="left"/>
      <w:pPr>
        <w:ind w:left="2160" w:hanging="360"/>
      </w:pPr>
      <w:rPr>
        <w:rFonts w:ascii="Wingdings" w:hAnsi="Wingdings" w:hint="default"/>
      </w:rPr>
    </w:lvl>
    <w:lvl w:ilvl="3" w:tplc="F33C0CB2">
      <w:start w:val="1"/>
      <w:numFmt w:val="bullet"/>
      <w:lvlText w:val=""/>
      <w:lvlJc w:val="left"/>
      <w:pPr>
        <w:ind w:left="2880" w:hanging="360"/>
      </w:pPr>
      <w:rPr>
        <w:rFonts w:ascii="Symbol" w:hAnsi="Symbol" w:hint="default"/>
      </w:rPr>
    </w:lvl>
    <w:lvl w:ilvl="4" w:tplc="78E694BA">
      <w:start w:val="1"/>
      <w:numFmt w:val="bullet"/>
      <w:lvlText w:val="o"/>
      <w:lvlJc w:val="left"/>
      <w:pPr>
        <w:ind w:left="3600" w:hanging="360"/>
      </w:pPr>
      <w:rPr>
        <w:rFonts w:ascii="Courier New" w:hAnsi="Courier New" w:hint="default"/>
      </w:rPr>
    </w:lvl>
    <w:lvl w:ilvl="5" w:tplc="492207C4">
      <w:start w:val="1"/>
      <w:numFmt w:val="bullet"/>
      <w:lvlText w:val=""/>
      <w:lvlJc w:val="left"/>
      <w:pPr>
        <w:ind w:left="4320" w:hanging="360"/>
      </w:pPr>
      <w:rPr>
        <w:rFonts w:ascii="Wingdings" w:hAnsi="Wingdings" w:hint="default"/>
      </w:rPr>
    </w:lvl>
    <w:lvl w:ilvl="6" w:tplc="2CA62168">
      <w:start w:val="1"/>
      <w:numFmt w:val="bullet"/>
      <w:lvlText w:val=""/>
      <w:lvlJc w:val="left"/>
      <w:pPr>
        <w:ind w:left="5040" w:hanging="360"/>
      </w:pPr>
      <w:rPr>
        <w:rFonts w:ascii="Symbol" w:hAnsi="Symbol" w:hint="default"/>
      </w:rPr>
    </w:lvl>
    <w:lvl w:ilvl="7" w:tplc="EB9C7F84">
      <w:start w:val="1"/>
      <w:numFmt w:val="bullet"/>
      <w:lvlText w:val="o"/>
      <w:lvlJc w:val="left"/>
      <w:pPr>
        <w:ind w:left="5760" w:hanging="360"/>
      </w:pPr>
      <w:rPr>
        <w:rFonts w:ascii="Courier New" w:hAnsi="Courier New" w:hint="default"/>
      </w:rPr>
    </w:lvl>
    <w:lvl w:ilvl="8" w:tplc="91722D32">
      <w:start w:val="1"/>
      <w:numFmt w:val="bullet"/>
      <w:lvlText w:val=""/>
      <w:lvlJc w:val="left"/>
      <w:pPr>
        <w:ind w:left="6480" w:hanging="360"/>
      </w:pPr>
      <w:rPr>
        <w:rFonts w:ascii="Wingdings" w:hAnsi="Wingdings" w:hint="default"/>
      </w:rPr>
    </w:lvl>
  </w:abstractNum>
  <w:abstractNum w:abstractNumId="26" w15:restartNumberingAfterBreak="0">
    <w:nsid w:val="1709768D"/>
    <w:multiLevelType w:val="hybridMultilevel"/>
    <w:tmpl w:val="FFFFFFFF"/>
    <w:lvl w:ilvl="0" w:tplc="8EBC4808">
      <w:start w:val="1"/>
      <w:numFmt w:val="bullet"/>
      <w:lvlText w:val=""/>
      <w:lvlJc w:val="left"/>
      <w:pPr>
        <w:ind w:left="720" w:hanging="360"/>
      </w:pPr>
      <w:rPr>
        <w:rFonts w:ascii="Symbol" w:hAnsi="Symbol" w:hint="default"/>
      </w:rPr>
    </w:lvl>
    <w:lvl w:ilvl="1" w:tplc="C54EF368">
      <w:start w:val="1"/>
      <w:numFmt w:val="bullet"/>
      <w:lvlText w:val="o"/>
      <w:lvlJc w:val="left"/>
      <w:pPr>
        <w:ind w:left="1440" w:hanging="360"/>
      </w:pPr>
      <w:rPr>
        <w:rFonts w:ascii="Courier New" w:hAnsi="Courier New" w:hint="default"/>
      </w:rPr>
    </w:lvl>
    <w:lvl w:ilvl="2" w:tplc="A3989544">
      <w:start w:val="1"/>
      <w:numFmt w:val="bullet"/>
      <w:lvlText w:val=""/>
      <w:lvlJc w:val="left"/>
      <w:pPr>
        <w:ind w:left="2160" w:hanging="360"/>
      </w:pPr>
      <w:rPr>
        <w:rFonts w:ascii="Wingdings" w:hAnsi="Wingdings" w:hint="default"/>
      </w:rPr>
    </w:lvl>
    <w:lvl w:ilvl="3" w:tplc="F6C0DF6C">
      <w:start w:val="1"/>
      <w:numFmt w:val="bullet"/>
      <w:lvlText w:val=""/>
      <w:lvlJc w:val="left"/>
      <w:pPr>
        <w:ind w:left="2880" w:hanging="360"/>
      </w:pPr>
      <w:rPr>
        <w:rFonts w:ascii="Symbol" w:hAnsi="Symbol" w:hint="default"/>
      </w:rPr>
    </w:lvl>
    <w:lvl w:ilvl="4" w:tplc="AB5A1F8E">
      <w:start w:val="1"/>
      <w:numFmt w:val="bullet"/>
      <w:lvlText w:val="o"/>
      <w:lvlJc w:val="left"/>
      <w:pPr>
        <w:ind w:left="3600" w:hanging="360"/>
      </w:pPr>
      <w:rPr>
        <w:rFonts w:ascii="Courier New" w:hAnsi="Courier New" w:hint="default"/>
      </w:rPr>
    </w:lvl>
    <w:lvl w:ilvl="5" w:tplc="0F6852E0">
      <w:start w:val="1"/>
      <w:numFmt w:val="bullet"/>
      <w:lvlText w:val=""/>
      <w:lvlJc w:val="left"/>
      <w:pPr>
        <w:ind w:left="4320" w:hanging="360"/>
      </w:pPr>
      <w:rPr>
        <w:rFonts w:ascii="Wingdings" w:hAnsi="Wingdings" w:hint="default"/>
      </w:rPr>
    </w:lvl>
    <w:lvl w:ilvl="6" w:tplc="D73A5FE6">
      <w:start w:val="1"/>
      <w:numFmt w:val="bullet"/>
      <w:lvlText w:val=""/>
      <w:lvlJc w:val="left"/>
      <w:pPr>
        <w:ind w:left="5040" w:hanging="360"/>
      </w:pPr>
      <w:rPr>
        <w:rFonts w:ascii="Symbol" w:hAnsi="Symbol" w:hint="default"/>
      </w:rPr>
    </w:lvl>
    <w:lvl w:ilvl="7" w:tplc="52A86CFE">
      <w:start w:val="1"/>
      <w:numFmt w:val="bullet"/>
      <w:lvlText w:val="o"/>
      <w:lvlJc w:val="left"/>
      <w:pPr>
        <w:ind w:left="5760" w:hanging="360"/>
      </w:pPr>
      <w:rPr>
        <w:rFonts w:ascii="Courier New" w:hAnsi="Courier New" w:hint="default"/>
      </w:rPr>
    </w:lvl>
    <w:lvl w:ilvl="8" w:tplc="C7000052">
      <w:start w:val="1"/>
      <w:numFmt w:val="bullet"/>
      <w:lvlText w:val=""/>
      <w:lvlJc w:val="left"/>
      <w:pPr>
        <w:ind w:left="6480" w:hanging="360"/>
      </w:pPr>
      <w:rPr>
        <w:rFonts w:ascii="Wingdings" w:hAnsi="Wingdings" w:hint="default"/>
      </w:rPr>
    </w:lvl>
  </w:abstractNum>
  <w:abstractNum w:abstractNumId="27" w15:restartNumberingAfterBreak="0">
    <w:nsid w:val="181B278C"/>
    <w:multiLevelType w:val="hybridMultilevel"/>
    <w:tmpl w:val="40F6A412"/>
    <w:lvl w:ilvl="0" w:tplc="D9FC152C">
      <w:start w:val="1"/>
      <w:numFmt w:val="bullet"/>
      <w:lvlText w:val=""/>
      <w:lvlJc w:val="left"/>
      <w:pPr>
        <w:ind w:left="720" w:hanging="360"/>
      </w:pPr>
      <w:rPr>
        <w:rFonts w:ascii="Symbol" w:hAnsi="Symbol" w:hint="default"/>
      </w:rPr>
    </w:lvl>
    <w:lvl w:ilvl="1" w:tplc="B8AC5304">
      <w:start w:val="1"/>
      <w:numFmt w:val="bullet"/>
      <w:lvlText w:val="o"/>
      <w:lvlJc w:val="left"/>
      <w:pPr>
        <w:ind w:left="1440" w:hanging="360"/>
      </w:pPr>
      <w:rPr>
        <w:rFonts w:ascii="Courier New" w:hAnsi="Courier New" w:hint="default"/>
      </w:rPr>
    </w:lvl>
    <w:lvl w:ilvl="2" w:tplc="12DA96F2">
      <w:start w:val="1"/>
      <w:numFmt w:val="bullet"/>
      <w:lvlText w:val=""/>
      <w:lvlJc w:val="left"/>
      <w:pPr>
        <w:ind w:left="2160" w:hanging="360"/>
      </w:pPr>
      <w:rPr>
        <w:rFonts w:ascii="Wingdings" w:hAnsi="Wingdings" w:hint="default"/>
      </w:rPr>
    </w:lvl>
    <w:lvl w:ilvl="3" w:tplc="70E8EE14">
      <w:start w:val="1"/>
      <w:numFmt w:val="bullet"/>
      <w:lvlText w:val=""/>
      <w:lvlJc w:val="left"/>
      <w:pPr>
        <w:ind w:left="2880" w:hanging="360"/>
      </w:pPr>
      <w:rPr>
        <w:rFonts w:ascii="Symbol" w:hAnsi="Symbol" w:hint="default"/>
      </w:rPr>
    </w:lvl>
    <w:lvl w:ilvl="4" w:tplc="0E368B36">
      <w:start w:val="1"/>
      <w:numFmt w:val="bullet"/>
      <w:lvlText w:val="o"/>
      <w:lvlJc w:val="left"/>
      <w:pPr>
        <w:ind w:left="3600" w:hanging="360"/>
      </w:pPr>
      <w:rPr>
        <w:rFonts w:ascii="Courier New" w:hAnsi="Courier New" w:hint="default"/>
      </w:rPr>
    </w:lvl>
    <w:lvl w:ilvl="5" w:tplc="3A92618C">
      <w:start w:val="1"/>
      <w:numFmt w:val="bullet"/>
      <w:lvlText w:val=""/>
      <w:lvlJc w:val="left"/>
      <w:pPr>
        <w:ind w:left="4320" w:hanging="360"/>
      </w:pPr>
      <w:rPr>
        <w:rFonts w:ascii="Wingdings" w:hAnsi="Wingdings" w:hint="default"/>
      </w:rPr>
    </w:lvl>
    <w:lvl w:ilvl="6" w:tplc="CDC20FF4">
      <w:start w:val="1"/>
      <w:numFmt w:val="bullet"/>
      <w:lvlText w:val=""/>
      <w:lvlJc w:val="left"/>
      <w:pPr>
        <w:ind w:left="5040" w:hanging="360"/>
      </w:pPr>
      <w:rPr>
        <w:rFonts w:ascii="Symbol" w:hAnsi="Symbol" w:hint="default"/>
      </w:rPr>
    </w:lvl>
    <w:lvl w:ilvl="7" w:tplc="657C9E32">
      <w:start w:val="1"/>
      <w:numFmt w:val="bullet"/>
      <w:lvlText w:val="o"/>
      <w:lvlJc w:val="left"/>
      <w:pPr>
        <w:ind w:left="5760" w:hanging="360"/>
      </w:pPr>
      <w:rPr>
        <w:rFonts w:ascii="Courier New" w:hAnsi="Courier New" w:hint="default"/>
      </w:rPr>
    </w:lvl>
    <w:lvl w:ilvl="8" w:tplc="4A26E870">
      <w:start w:val="1"/>
      <w:numFmt w:val="bullet"/>
      <w:lvlText w:val=""/>
      <w:lvlJc w:val="left"/>
      <w:pPr>
        <w:ind w:left="6480" w:hanging="360"/>
      </w:pPr>
      <w:rPr>
        <w:rFonts w:ascii="Wingdings" w:hAnsi="Wingdings" w:hint="default"/>
      </w:rPr>
    </w:lvl>
  </w:abstractNum>
  <w:abstractNum w:abstractNumId="28" w15:restartNumberingAfterBreak="0">
    <w:nsid w:val="19DE1CB3"/>
    <w:multiLevelType w:val="hybridMultilevel"/>
    <w:tmpl w:val="58CE31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A431F7D"/>
    <w:multiLevelType w:val="hybridMultilevel"/>
    <w:tmpl w:val="FFFFFFFF"/>
    <w:lvl w:ilvl="0" w:tplc="642A2CF4">
      <w:start w:val="1"/>
      <w:numFmt w:val="bullet"/>
      <w:lvlText w:val=""/>
      <w:lvlJc w:val="left"/>
      <w:pPr>
        <w:ind w:left="720" w:hanging="360"/>
      </w:pPr>
      <w:rPr>
        <w:rFonts w:ascii="Symbol" w:hAnsi="Symbol" w:hint="default"/>
      </w:rPr>
    </w:lvl>
    <w:lvl w:ilvl="1" w:tplc="E4CAB800">
      <w:start w:val="1"/>
      <w:numFmt w:val="bullet"/>
      <w:lvlText w:val="o"/>
      <w:lvlJc w:val="left"/>
      <w:pPr>
        <w:ind w:left="1440" w:hanging="360"/>
      </w:pPr>
      <w:rPr>
        <w:rFonts w:ascii="Courier New" w:hAnsi="Courier New" w:hint="default"/>
      </w:rPr>
    </w:lvl>
    <w:lvl w:ilvl="2" w:tplc="5128E3F6">
      <w:start w:val="1"/>
      <w:numFmt w:val="bullet"/>
      <w:lvlText w:val=""/>
      <w:lvlJc w:val="left"/>
      <w:pPr>
        <w:ind w:left="2160" w:hanging="360"/>
      </w:pPr>
      <w:rPr>
        <w:rFonts w:ascii="Wingdings" w:hAnsi="Wingdings" w:hint="default"/>
      </w:rPr>
    </w:lvl>
    <w:lvl w:ilvl="3" w:tplc="CFBCE088">
      <w:start w:val="1"/>
      <w:numFmt w:val="bullet"/>
      <w:lvlText w:val=""/>
      <w:lvlJc w:val="left"/>
      <w:pPr>
        <w:ind w:left="2880" w:hanging="360"/>
      </w:pPr>
      <w:rPr>
        <w:rFonts w:ascii="Symbol" w:hAnsi="Symbol" w:hint="default"/>
      </w:rPr>
    </w:lvl>
    <w:lvl w:ilvl="4" w:tplc="441A2EE4">
      <w:start w:val="1"/>
      <w:numFmt w:val="bullet"/>
      <w:lvlText w:val="o"/>
      <w:lvlJc w:val="left"/>
      <w:pPr>
        <w:ind w:left="3600" w:hanging="360"/>
      </w:pPr>
      <w:rPr>
        <w:rFonts w:ascii="Courier New" w:hAnsi="Courier New" w:hint="default"/>
      </w:rPr>
    </w:lvl>
    <w:lvl w:ilvl="5" w:tplc="4B7ADADE">
      <w:start w:val="1"/>
      <w:numFmt w:val="bullet"/>
      <w:lvlText w:val=""/>
      <w:lvlJc w:val="left"/>
      <w:pPr>
        <w:ind w:left="4320" w:hanging="360"/>
      </w:pPr>
      <w:rPr>
        <w:rFonts w:ascii="Wingdings" w:hAnsi="Wingdings" w:hint="default"/>
      </w:rPr>
    </w:lvl>
    <w:lvl w:ilvl="6" w:tplc="2232305E">
      <w:start w:val="1"/>
      <w:numFmt w:val="bullet"/>
      <w:lvlText w:val=""/>
      <w:lvlJc w:val="left"/>
      <w:pPr>
        <w:ind w:left="5040" w:hanging="360"/>
      </w:pPr>
      <w:rPr>
        <w:rFonts w:ascii="Symbol" w:hAnsi="Symbol" w:hint="default"/>
      </w:rPr>
    </w:lvl>
    <w:lvl w:ilvl="7" w:tplc="D5CCA18A">
      <w:start w:val="1"/>
      <w:numFmt w:val="bullet"/>
      <w:lvlText w:val="o"/>
      <w:lvlJc w:val="left"/>
      <w:pPr>
        <w:ind w:left="5760" w:hanging="360"/>
      </w:pPr>
      <w:rPr>
        <w:rFonts w:ascii="Courier New" w:hAnsi="Courier New" w:hint="default"/>
      </w:rPr>
    </w:lvl>
    <w:lvl w:ilvl="8" w:tplc="AFF60B24">
      <w:start w:val="1"/>
      <w:numFmt w:val="bullet"/>
      <w:lvlText w:val=""/>
      <w:lvlJc w:val="left"/>
      <w:pPr>
        <w:ind w:left="6480" w:hanging="360"/>
      </w:pPr>
      <w:rPr>
        <w:rFonts w:ascii="Wingdings" w:hAnsi="Wingdings" w:hint="default"/>
      </w:rPr>
    </w:lvl>
  </w:abstractNum>
  <w:abstractNum w:abstractNumId="30" w15:restartNumberingAfterBreak="0">
    <w:nsid w:val="1B960C04"/>
    <w:multiLevelType w:val="hybridMultilevel"/>
    <w:tmpl w:val="FFFFFFFF"/>
    <w:lvl w:ilvl="0" w:tplc="2A6A9B52">
      <w:start w:val="1"/>
      <w:numFmt w:val="bullet"/>
      <w:lvlText w:val="·"/>
      <w:lvlJc w:val="left"/>
      <w:pPr>
        <w:ind w:left="720" w:hanging="360"/>
      </w:pPr>
      <w:rPr>
        <w:rFonts w:ascii="Symbol" w:hAnsi="Symbol" w:hint="default"/>
      </w:rPr>
    </w:lvl>
    <w:lvl w:ilvl="1" w:tplc="0CF0968C">
      <w:start w:val="1"/>
      <w:numFmt w:val="bullet"/>
      <w:lvlText w:val="o"/>
      <w:lvlJc w:val="left"/>
      <w:pPr>
        <w:ind w:left="1440" w:hanging="360"/>
      </w:pPr>
      <w:rPr>
        <w:rFonts w:ascii="Courier New" w:hAnsi="Courier New" w:hint="default"/>
      </w:rPr>
    </w:lvl>
    <w:lvl w:ilvl="2" w:tplc="F8961A7E">
      <w:start w:val="1"/>
      <w:numFmt w:val="bullet"/>
      <w:lvlText w:val=""/>
      <w:lvlJc w:val="left"/>
      <w:pPr>
        <w:ind w:left="2160" w:hanging="360"/>
      </w:pPr>
      <w:rPr>
        <w:rFonts w:ascii="Wingdings" w:hAnsi="Wingdings" w:hint="default"/>
      </w:rPr>
    </w:lvl>
    <w:lvl w:ilvl="3" w:tplc="9C54E8E8">
      <w:start w:val="1"/>
      <w:numFmt w:val="bullet"/>
      <w:lvlText w:val=""/>
      <w:lvlJc w:val="left"/>
      <w:pPr>
        <w:ind w:left="2880" w:hanging="360"/>
      </w:pPr>
      <w:rPr>
        <w:rFonts w:ascii="Symbol" w:hAnsi="Symbol" w:hint="default"/>
      </w:rPr>
    </w:lvl>
    <w:lvl w:ilvl="4" w:tplc="A506701A">
      <w:start w:val="1"/>
      <w:numFmt w:val="bullet"/>
      <w:lvlText w:val="o"/>
      <w:lvlJc w:val="left"/>
      <w:pPr>
        <w:ind w:left="3600" w:hanging="360"/>
      </w:pPr>
      <w:rPr>
        <w:rFonts w:ascii="Courier New" w:hAnsi="Courier New" w:hint="default"/>
      </w:rPr>
    </w:lvl>
    <w:lvl w:ilvl="5" w:tplc="0308A65A">
      <w:start w:val="1"/>
      <w:numFmt w:val="bullet"/>
      <w:lvlText w:val=""/>
      <w:lvlJc w:val="left"/>
      <w:pPr>
        <w:ind w:left="4320" w:hanging="360"/>
      </w:pPr>
      <w:rPr>
        <w:rFonts w:ascii="Wingdings" w:hAnsi="Wingdings" w:hint="default"/>
      </w:rPr>
    </w:lvl>
    <w:lvl w:ilvl="6" w:tplc="7C0AF402">
      <w:start w:val="1"/>
      <w:numFmt w:val="bullet"/>
      <w:lvlText w:val=""/>
      <w:lvlJc w:val="left"/>
      <w:pPr>
        <w:ind w:left="5040" w:hanging="360"/>
      </w:pPr>
      <w:rPr>
        <w:rFonts w:ascii="Symbol" w:hAnsi="Symbol" w:hint="default"/>
      </w:rPr>
    </w:lvl>
    <w:lvl w:ilvl="7" w:tplc="9FB2DE74">
      <w:start w:val="1"/>
      <w:numFmt w:val="bullet"/>
      <w:lvlText w:val="o"/>
      <w:lvlJc w:val="left"/>
      <w:pPr>
        <w:ind w:left="5760" w:hanging="360"/>
      </w:pPr>
      <w:rPr>
        <w:rFonts w:ascii="Courier New" w:hAnsi="Courier New" w:hint="default"/>
      </w:rPr>
    </w:lvl>
    <w:lvl w:ilvl="8" w:tplc="9B6616AA">
      <w:start w:val="1"/>
      <w:numFmt w:val="bullet"/>
      <w:lvlText w:val=""/>
      <w:lvlJc w:val="left"/>
      <w:pPr>
        <w:ind w:left="6480" w:hanging="360"/>
      </w:pPr>
      <w:rPr>
        <w:rFonts w:ascii="Wingdings" w:hAnsi="Wingdings" w:hint="default"/>
      </w:rPr>
    </w:lvl>
  </w:abstractNum>
  <w:abstractNum w:abstractNumId="31" w15:restartNumberingAfterBreak="0">
    <w:nsid w:val="1BE59888"/>
    <w:multiLevelType w:val="hybridMultilevel"/>
    <w:tmpl w:val="11FEB540"/>
    <w:lvl w:ilvl="0" w:tplc="E7149EE4">
      <w:start w:val="1"/>
      <w:numFmt w:val="bullet"/>
      <w:lvlText w:val="·"/>
      <w:lvlJc w:val="left"/>
      <w:pPr>
        <w:ind w:left="720" w:hanging="360"/>
      </w:pPr>
      <w:rPr>
        <w:rFonts w:ascii="Symbol" w:hAnsi="Symbol" w:hint="default"/>
      </w:rPr>
    </w:lvl>
    <w:lvl w:ilvl="1" w:tplc="316453B8">
      <w:start w:val="1"/>
      <w:numFmt w:val="bullet"/>
      <w:lvlText w:val="o"/>
      <w:lvlJc w:val="left"/>
      <w:pPr>
        <w:ind w:left="1440" w:hanging="360"/>
      </w:pPr>
      <w:rPr>
        <w:rFonts w:ascii="Courier New" w:hAnsi="Courier New" w:hint="default"/>
      </w:rPr>
    </w:lvl>
    <w:lvl w:ilvl="2" w:tplc="42AE98B6">
      <w:start w:val="1"/>
      <w:numFmt w:val="bullet"/>
      <w:lvlText w:val=""/>
      <w:lvlJc w:val="left"/>
      <w:pPr>
        <w:ind w:left="2160" w:hanging="360"/>
      </w:pPr>
      <w:rPr>
        <w:rFonts w:ascii="Wingdings" w:hAnsi="Wingdings" w:hint="default"/>
      </w:rPr>
    </w:lvl>
    <w:lvl w:ilvl="3" w:tplc="E62E1C96">
      <w:start w:val="1"/>
      <w:numFmt w:val="bullet"/>
      <w:lvlText w:val=""/>
      <w:lvlJc w:val="left"/>
      <w:pPr>
        <w:ind w:left="2880" w:hanging="360"/>
      </w:pPr>
      <w:rPr>
        <w:rFonts w:ascii="Symbol" w:hAnsi="Symbol" w:hint="default"/>
      </w:rPr>
    </w:lvl>
    <w:lvl w:ilvl="4" w:tplc="F12E07C2">
      <w:start w:val="1"/>
      <w:numFmt w:val="bullet"/>
      <w:lvlText w:val="o"/>
      <w:lvlJc w:val="left"/>
      <w:pPr>
        <w:ind w:left="3600" w:hanging="360"/>
      </w:pPr>
      <w:rPr>
        <w:rFonts w:ascii="Courier New" w:hAnsi="Courier New" w:hint="default"/>
      </w:rPr>
    </w:lvl>
    <w:lvl w:ilvl="5" w:tplc="1CFC3048">
      <w:start w:val="1"/>
      <w:numFmt w:val="bullet"/>
      <w:lvlText w:val=""/>
      <w:lvlJc w:val="left"/>
      <w:pPr>
        <w:ind w:left="4320" w:hanging="360"/>
      </w:pPr>
      <w:rPr>
        <w:rFonts w:ascii="Wingdings" w:hAnsi="Wingdings" w:hint="default"/>
      </w:rPr>
    </w:lvl>
    <w:lvl w:ilvl="6" w:tplc="B6F45D04">
      <w:start w:val="1"/>
      <w:numFmt w:val="bullet"/>
      <w:lvlText w:val=""/>
      <w:lvlJc w:val="left"/>
      <w:pPr>
        <w:ind w:left="5040" w:hanging="360"/>
      </w:pPr>
      <w:rPr>
        <w:rFonts w:ascii="Symbol" w:hAnsi="Symbol" w:hint="default"/>
      </w:rPr>
    </w:lvl>
    <w:lvl w:ilvl="7" w:tplc="EEE68B08">
      <w:start w:val="1"/>
      <w:numFmt w:val="bullet"/>
      <w:lvlText w:val="o"/>
      <w:lvlJc w:val="left"/>
      <w:pPr>
        <w:ind w:left="5760" w:hanging="360"/>
      </w:pPr>
      <w:rPr>
        <w:rFonts w:ascii="Courier New" w:hAnsi="Courier New" w:hint="default"/>
      </w:rPr>
    </w:lvl>
    <w:lvl w:ilvl="8" w:tplc="3B6860A6">
      <w:start w:val="1"/>
      <w:numFmt w:val="bullet"/>
      <w:lvlText w:val=""/>
      <w:lvlJc w:val="left"/>
      <w:pPr>
        <w:ind w:left="6480" w:hanging="360"/>
      </w:pPr>
      <w:rPr>
        <w:rFonts w:ascii="Wingdings" w:hAnsi="Wingdings" w:hint="default"/>
      </w:rPr>
    </w:lvl>
  </w:abstractNum>
  <w:abstractNum w:abstractNumId="32" w15:restartNumberingAfterBreak="0">
    <w:nsid w:val="1C01E921"/>
    <w:multiLevelType w:val="hybridMultilevel"/>
    <w:tmpl w:val="59CC68FA"/>
    <w:lvl w:ilvl="0" w:tplc="9A9CC718">
      <w:start w:val="1"/>
      <w:numFmt w:val="bullet"/>
      <w:lvlText w:val=""/>
      <w:lvlJc w:val="left"/>
      <w:pPr>
        <w:ind w:left="720" w:hanging="360"/>
      </w:pPr>
      <w:rPr>
        <w:rFonts w:ascii="Symbol" w:hAnsi="Symbol" w:hint="default"/>
      </w:rPr>
    </w:lvl>
    <w:lvl w:ilvl="1" w:tplc="84068036">
      <w:start w:val="1"/>
      <w:numFmt w:val="bullet"/>
      <w:lvlText w:val="o"/>
      <w:lvlJc w:val="left"/>
      <w:pPr>
        <w:ind w:left="1440" w:hanging="360"/>
      </w:pPr>
      <w:rPr>
        <w:rFonts w:ascii="Courier New" w:hAnsi="Courier New" w:hint="default"/>
      </w:rPr>
    </w:lvl>
    <w:lvl w:ilvl="2" w:tplc="1D78F2FE">
      <w:start w:val="1"/>
      <w:numFmt w:val="bullet"/>
      <w:lvlText w:val=""/>
      <w:lvlJc w:val="left"/>
      <w:pPr>
        <w:ind w:left="2160" w:hanging="360"/>
      </w:pPr>
      <w:rPr>
        <w:rFonts w:ascii="Wingdings" w:hAnsi="Wingdings" w:hint="default"/>
      </w:rPr>
    </w:lvl>
    <w:lvl w:ilvl="3" w:tplc="9120F4D8">
      <w:start w:val="1"/>
      <w:numFmt w:val="bullet"/>
      <w:lvlText w:val=""/>
      <w:lvlJc w:val="left"/>
      <w:pPr>
        <w:ind w:left="2880" w:hanging="360"/>
      </w:pPr>
      <w:rPr>
        <w:rFonts w:ascii="Symbol" w:hAnsi="Symbol" w:hint="default"/>
      </w:rPr>
    </w:lvl>
    <w:lvl w:ilvl="4" w:tplc="CD04929E">
      <w:start w:val="1"/>
      <w:numFmt w:val="bullet"/>
      <w:lvlText w:val="o"/>
      <w:lvlJc w:val="left"/>
      <w:pPr>
        <w:ind w:left="3600" w:hanging="360"/>
      </w:pPr>
      <w:rPr>
        <w:rFonts w:ascii="Courier New" w:hAnsi="Courier New" w:hint="default"/>
      </w:rPr>
    </w:lvl>
    <w:lvl w:ilvl="5" w:tplc="5B9CDB7C">
      <w:start w:val="1"/>
      <w:numFmt w:val="bullet"/>
      <w:lvlText w:val=""/>
      <w:lvlJc w:val="left"/>
      <w:pPr>
        <w:ind w:left="4320" w:hanging="360"/>
      </w:pPr>
      <w:rPr>
        <w:rFonts w:ascii="Wingdings" w:hAnsi="Wingdings" w:hint="default"/>
      </w:rPr>
    </w:lvl>
    <w:lvl w:ilvl="6" w:tplc="E830F866">
      <w:start w:val="1"/>
      <w:numFmt w:val="bullet"/>
      <w:lvlText w:val=""/>
      <w:lvlJc w:val="left"/>
      <w:pPr>
        <w:ind w:left="5040" w:hanging="360"/>
      </w:pPr>
      <w:rPr>
        <w:rFonts w:ascii="Symbol" w:hAnsi="Symbol" w:hint="default"/>
      </w:rPr>
    </w:lvl>
    <w:lvl w:ilvl="7" w:tplc="E60293C6">
      <w:start w:val="1"/>
      <w:numFmt w:val="bullet"/>
      <w:lvlText w:val="o"/>
      <w:lvlJc w:val="left"/>
      <w:pPr>
        <w:ind w:left="5760" w:hanging="360"/>
      </w:pPr>
      <w:rPr>
        <w:rFonts w:ascii="Courier New" w:hAnsi="Courier New" w:hint="default"/>
      </w:rPr>
    </w:lvl>
    <w:lvl w:ilvl="8" w:tplc="A4D40CFA">
      <w:start w:val="1"/>
      <w:numFmt w:val="bullet"/>
      <w:lvlText w:val=""/>
      <w:lvlJc w:val="left"/>
      <w:pPr>
        <w:ind w:left="6480" w:hanging="360"/>
      </w:pPr>
      <w:rPr>
        <w:rFonts w:ascii="Wingdings" w:hAnsi="Wingdings" w:hint="default"/>
      </w:rPr>
    </w:lvl>
  </w:abstractNum>
  <w:abstractNum w:abstractNumId="33" w15:restartNumberingAfterBreak="0">
    <w:nsid w:val="1C866725"/>
    <w:multiLevelType w:val="hybridMultilevel"/>
    <w:tmpl w:val="7BFCEBF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1C9533AF"/>
    <w:multiLevelType w:val="hybridMultilevel"/>
    <w:tmpl w:val="FFFFFFFF"/>
    <w:lvl w:ilvl="0" w:tplc="0B2A84B2">
      <w:start w:val="1"/>
      <w:numFmt w:val="bullet"/>
      <w:lvlText w:val=""/>
      <w:lvlJc w:val="left"/>
      <w:pPr>
        <w:ind w:left="720" w:hanging="360"/>
      </w:pPr>
      <w:rPr>
        <w:rFonts w:ascii="Wingdings" w:hAnsi="Wingdings" w:hint="default"/>
      </w:rPr>
    </w:lvl>
    <w:lvl w:ilvl="1" w:tplc="0E5AFD56">
      <w:start w:val="1"/>
      <w:numFmt w:val="bullet"/>
      <w:lvlText w:val="o"/>
      <w:lvlJc w:val="left"/>
      <w:pPr>
        <w:ind w:left="1440" w:hanging="360"/>
      </w:pPr>
      <w:rPr>
        <w:rFonts w:ascii="Courier New" w:hAnsi="Courier New" w:hint="default"/>
      </w:rPr>
    </w:lvl>
    <w:lvl w:ilvl="2" w:tplc="9034A59E">
      <w:start w:val="1"/>
      <w:numFmt w:val="bullet"/>
      <w:lvlText w:val=""/>
      <w:lvlJc w:val="left"/>
      <w:pPr>
        <w:ind w:left="2160" w:hanging="360"/>
      </w:pPr>
      <w:rPr>
        <w:rFonts w:ascii="Wingdings" w:hAnsi="Wingdings" w:hint="default"/>
      </w:rPr>
    </w:lvl>
    <w:lvl w:ilvl="3" w:tplc="0B1A5FD6">
      <w:start w:val="1"/>
      <w:numFmt w:val="bullet"/>
      <w:lvlText w:val=""/>
      <w:lvlJc w:val="left"/>
      <w:pPr>
        <w:ind w:left="2880" w:hanging="360"/>
      </w:pPr>
      <w:rPr>
        <w:rFonts w:ascii="Symbol" w:hAnsi="Symbol" w:hint="default"/>
      </w:rPr>
    </w:lvl>
    <w:lvl w:ilvl="4" w:tplc="26BC78C2">
      <w:start w:val="1"/>
      <w:numFmt w:val="bullet"/>
      <w:lvlText w:val="o"/>
      <w:lvlJc w:val="left"/>
      <w:pPr>
        <w:ind w:left="3600" w:hanging="360"/>
      </w:pPr>
      <w:rPr>
        <w:rFonts w:ascii="Courier New" w:hAnsi="Courier New" w:hint="default"/>
      </w:rPr>
    </w:lvl>
    <w:lvl w:ilvl="5" w:tplc="16865A7A">
      <w:start w:val="1"/>
      <w:numFmt w:val="bullet"/>
      <w:lvlText w:val=""/>
      <w:lvlJc w:val="left"/>
      <w:pPr>
        <w:ind w:left="4320" w:hanging="360"/>
      </w:pPr>
      <w:rPr>
        <w:rFonts w:ascii="Wingdings" w:hAnsi="Wingdings" w:hint="default"/>
      </w:rPr>
    </w:lvl>
    <w:lvl w:ilvl="6" w:tplc="710651F4">
      <w:start w:val="1"/>
      <w:numFmt w:val="bullet"/>
      <w:lvlText w:val=""/>
      <w:lvlJc w:val="left"/>
      <w:pPr>
        <w:ind w:left="5040" w:hanging="360"/>
      </w:pPr>
      <w:rPr>
        <w:rFonts w:ascii="Symbol" w:hAnsi="Symbol" w:hint="default"/>
      </w:rPr>
    </w:lvl>
    <w:lvl w:ilvl="7" w:tplc="7276A8BE">
      <w:start w:val="1"/>
      <w:numFmt w:val="bullet"/>
      <w:lvlText w:val="o"/>
      <w:lvlJc w:val="left"/>
      <w:pPr>
        <w:ind w:left="5760" w:hanging="360"/>
      </w:pPr>
      <w:rPr>
        <w:rFonts w:ascii="Courier New" w:hAnsi="Courier New" w:hint="default"/>
      </w:rPr>
    </w:lvl>
    <w:lvl w:ilvl="8" w:tplc="24AA0F8A">
      <w:start w:val="1"/>
      <w:numFmt w:val="bullet"/>
      <w:lvlText w:val=""/>
      <w:lvlJc w:val="left"/>
      <w:pPr>
        <w:ind w:left="6480" w:hanging="360"/>
      </w:pPr>
      <w:rPr>
        <w:rFonts w:ascii="Wingdings" w:hAnsi="Wingdings" w:hint="default"/>
      </w:rPr>
    </w:lvl>
  </w:abstractNum>
  <w:abstractNum w:abstractNumId="35" w15:restartNumberingAfterBreak="0">
    <w:nsid w:val="1DFD1D6F"/>
    <w:multiLevelType w:val="multilevel"/>
    <w:tmpl w:val="D41A7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E9C6E03"/>
    <w:multiLevelType w:val="hybridMultilevel"/>
    <w:tmpl w:val="C59A1F8C"/>
    <w:lvl w:ilvl="0" w:tplc="4CFEFDD6">
      <w:start w:val="35"/>
      <w:numFmt w:val="bullet"/>
      <w:lvlText w:val="-"/>
      <w:lvlJc w:val="left"/>
      <w:pPr>
        <w:ind w:left="1058" w:hanging="360"/>
      </w:pPr>
      <w:rPr>
        <w:rFonts w:ascii="Arial" w:eastAsia="Times New Roman" w:hAnsi="Arial" w:cs="Aria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37" w15:restartNumberingAfterBreak="0">
    <w:nsid w:val="1F10D9FF"/>
    <w:multiLevelType w:val="hybridMultilevel"/>
    <w:tmpl w:val="094640A2"/>
    <w:lvl w:ilvl="0" w:tplc="1C1A6534">
      <w:start w:val="1"/>
      <w:numFmt w:val="bullet"/>
      <w:lvlText w:val="-"/>
      <w:lvlJc w:val="left"/>
      <w:pPr>
        <w:ind w:left="720" w:hanging="360"/>
      </w:pPr>
      <w:rPr>
        <w:rFonts w:ascii="&quot;Calibri&quot;,sans-serif" w:hAnsi="&quot;Calibri&quot;,sans-serif" w:hint="default"/>
      </w:rPr>
    </w:lvl>
    <w:lvl w:ilvl="1" w:tplc="15A0ED7A">
      <w:start w:val="1"/>
      <w:numFmt w:val="bullet"/>
      <w:lvlText w:val="o"/>
      <w:lvlJc w:val="left"/>
      <w:pPr>
        <w:ind w:left="1440" w:hanging="360"/>
      </w:pPr>
      <w:rPr>
        <w:rFonts w:ascii="Courier New" w:hAnsi="Courier New" w:hint="default"/>
      </w:rPr>
    </w:lvl>
    <w:lvl w:ilvl="2" w:tplc="FFAC2182">
      <w:start w:val="1"/>
      <w:numFmt w:val="bullet"/>
      <w:lvlText w:val=""/>
      <w:lvlJc w:val="left"/>
      <w:pPr>
        <w:ind w:left="2160" w:hanging="360"/>
      </w:pPr>
      <w:rPr>
        <w:rFonts w:ascii="Wingdings" w:hAnsi="Wingdings" w:hint="default"/>
      </w:rPr>
    </w:lvl>
    <w:lvl w:ilvl="3" w:tplc="E88CD8F4">
      <w:start w:val="1"/>
      <w:numFmt w:val="bullet"/>
      <w:lvlText w:val=""/>
      <w:lvlJc w:val="left"/>
      <w:pPr>
        <w:ind w:left="2880" w:hanging="360"/>
      </w:pPr>
      <w:rPr>
        <w:rFonts w:ascii="Symbol" w:hAnsi="Symbol" w:hint="default"/>
      </w:rPr>
    </w:lvl>
    <w:lvl w:ilvl="4" w:tplc="92147D68">
      <w:start w:val="1"/>
      <w:numFmt w:val="bullet"/>
      <w:lvlText w:val="o"/>
      <w:lvlJc w:val="left"/>
      <w:pPr>
        <w:ind w:left="3600" w:hanging="360"/>
      </w:pPr>
      <w:rPr>
        <w:rFonts w:ascii="Courier New" w:hAnsi="Courier New" w:hint="default"/>
      </w:rPr>
    </w:lvl>
    <w:lvl w:ilvl="5" w:tplc="5D32A98A">
      <w:start w:val="1"/>
      <w:numFmt w:val="bullet"/>
      <w:lvlText w:val=""/>
      <w:lvlJc w:val="left"/>
      <w:pPr>
        <w:ind w:left="4320" w:hanging="360"/>
      </w:pPr>
      <w:rPr>
        <w:rFonts w:ascii="Wingdings" w:hAnsi="Wingdings" w:hint="default"/>
      </w:rPr>
    </w:lvl>
    <w:lvl w:ilvl="6" w:tplc="9E14FA64">
      <w:start w:val="1"/>
      <w:numFmt w:val="bullet"/>
      <w:lvlText w:val=""/>
      <w:lvlJc w:val="left"/>
      <w:pPr>
        <w:ind w:left="5040" w:hanging="360"/>
      </w:pPr>
      <w:rPr>
        <w:rFonts w:ascii="Symbol" w:hAnsi="Symbol" w:hint="default"/>
      </w:rPr>
    </w:lvl>
    <w:lvl w:ilvl="7" w:tplc="7AA6C258">
      <w:start w:val="1"/>
      <w:numFmt w:val="bullet"/>
      <w:lvlText w:val="o"/>
      <w:lvlJc w:val="left"/>
      <w:pPr>
        <w:ind w:left="5760" w:hanging="360"/>
      </w:pPr>
      <w:rPr>
        <w:rFonts w:ascii="Courier New" w:hAnsi="Courier New" w:hint="default"/>
      </w:rPr>
    </w:lvl>
    <w:lvl w:ilvl="8" w:tplc="29446372">
      <w:start w:val="1"/>
      <w:numFmt w:val="bullet"/>
      <w:lvlText w:val=""/>
      <w:lvlJc w:val="left"/>
      <w:pPr>
        <w:ind w:left="6480" w:hanging="360"/>
      </w:pPr>
      <w:rPr>
        <w:rFonts w:ascii="Wingdings" w:hAnsi="Wingdings" w:hint="default"/>
      </w:rPr>
    </w:lvl>
  </w:abstractNum>
  <w:abstractNum w:abstractNumId="38" w15:restartNumberingAfterBreak="0">
    <w:nsid w:val="20AF114E"/>
    <w:multiLevelType w:val="hybridMultilevel"/>
    <w:tmpl w:val="97BC6FC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23790492"/>
    <w:multiLevelType w:val="hybridMultilevel"/>
    <w:tmpl w:val="2DAEC0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24F8BFDC"/>
    <w:multiLevelType w:val="hybridMultilevel"/>
    <w:tmpl w:val="EED4C32A"/>
    <w:lvl w:ilvl="0" w:tplc="D74CFFE4">
      <w:start w:val="1"/>
      <w:numFmt w:val="bullet"/>
      <w:lvlText w:val=""/>
      <w:lvlJc w:val="left"/>
      <w:pPr>
        <w:ind w:left="720" w:hanging="360"/>
      </w:pPr>
      <w:rPr>
        <w:rFonts w:ascii="Symbol" w:hAnsi="Symbol" w:hint="default"/>
      </w:rPr>
    </w:lvl>
    <w:lvl w:ilvl="1" w:tplc="7324ADA4">
      <w:start w:val="1"/>
      <w:numFmt w:val="bullet"/>
      <w:lvlText w:val="o"/>
      <w:lvlJc w:val="left"/>
      <w:pPr>
        <w:ind w:left="1440" w:hanging="360"/>
      </w:pPr>
      <w:rPr>
        <w:rFonts w:ascii="Courier New" w:hAnsi="Courier New" w:hint="default"/>
      </w:rPr>
    </w:lvl>
    <w:lvl w:ilvl="2" w:tplc="0BF4E10A">
      <w:start w:val="1"/>
      <w:numFmt w:val="bullet"/>
      <w:lvlText w:val=""/>
      <w:lvlJc w:val="left"/>
      <w:pPr>
        <w:ind w:left="2160" w:hanging="360"/>
      </w:pPr>
      <w:rPr>
        <w:rFonts w:ascii="Wingdings" w:hAnsi="Wingdings" w:hint="default"/>
      </w:rPr>
    </w:lvl>
    <w:lvl w:ilvl="3" w:tplc="D94A6930">
      <w:start w:val="1"/>
      <w:numFmt w:val="bullet"/>
      <w:lvlText w:val=""/>
      <w:lvlJc w:val="left"/>
      <w:pPr>
        <w:ind w:left="2880" w:hanging="360"/>
      </w:pPr>
      <w:rPr>
        <w:rFonts w:ascii="Symbol" w:hAnsi="Symbol" w:hint="default"/>
      </w:rPr>
    </w:lvl>
    <w:lvl w:ilvl="4" w:tplc="C5BA21D2">
      <w:start w:val="1"/>
      <w:numFmt w:val="bullet"/>
      <w:lvlText w:val="o"/>
      <w:lvlJc w:val="left"/>
      <w:pPr>
        <w:ind w:left="3600" w:hanging="360"/>
      </w:pPr>
      <w:rPr>
        <w:rFonts w:ascii="Courier New" w:hAnsi="Courier New" w:hint="default"/>
      </w:rPr>
    </w:lvl>
    <w:lvl w:ilvl="5" w:tplc="FC76C182">
      <w:start w:val="1"/>
      <w:numFmt w:val="bullet"/>
      <w:lvlText w:val=""/>
      <w:lvlJc w:val="left"/>
      <w:pPr>
        <w:ind w:left="4320" w:hanging="360"/>
      </w:pPr>
      <w:rPr>
        <w:rFonts w:ascii="Wingdings" w:hAnsi="Wingdings" w:hint="default"/>
      </w:rPr>
    </w:lvl>
    <w:lvl w:ilvl="6" w:tplc="398C2294">
      <w:start w:val="1"/>
      <w:numFmt w:val="bullet"/>
      <w:lvlText w:val=""/>
      <w:lvlJc w:val="left"/>
      <w:pPr>
        <w:ind w:left="5040" w:hanging="360"/>
      </w:pPr>
      <w:rPr>
        <w:rFonts w:ascii="Symbol" w:hAnsi="Symbol" w:hint="default"/>
      </w:rPr>
    </w:lvl>
    <w:lvl w:ilvl="7" w:tplc="F2C28328">
      <w:start w:val="1"/>
      <w:numFmt w:val="bullet"/>
      <w:lvlText w:val="o"/>
      <w:lvlJc w:val="left"/>
      <w:pPr>
        <w:ind w:left="5760" w:hanging="360"/>
      </w:pPr>
      <w:rPr>
        <w:rFonts w:ascii="Courier New" w:hAnsi="Courier New" w:hint="default"/>
      </w:rPr>
    </w:lvl>
    <w:lvl w:ilvl="8" w:tplc="F6BC14FA">
      <w:start w:val="1"/>
      <w:numFmt w:val="bullet"/>
      <w:lvlText w:val=""/>
      <w:lvlJc w:val="left"/>
      <w:pPr>
        <w:ind w:left="6480" w:hanging="360"/>
      </w:pPr>
      <w:rPr>
        <w:rFonts w:ascii="Wingdings" w:hAnsi="Wingdings" w:hint="default"/>
      </w:rPr>
    </w:lvl>
  </w:abstractNum>
  <w:abstractNum w:abstractNumId="41" w15:restartNumberingAfterBreak="0">
    <w:nsid w:val="252374E1"/>
    <w:multiLevelType w:val="hybridMultilevel"/>
    <w:tmpl w:val="FFFFFFFF"/>
    <w:lvl w:ilvl="0" w:tplc="549C6E5C">
      <w:start w:val="1"/>
      <w:numFmt w:val="decimal"/>
      <w:lvlText w:val="%1."/>
      <w:lvlJc w:val="left"/>
      <w:pPr>
        <w:ind w:left="720" w:hanging="360"/>
      </w:pPr>
    </w:lvl>
    <w:lvl w:ilvl="1" w:tplc="29CA87DA">
      <w:start w:val="1"/>
      <w:numFmt w:val="lowerLetter"/>
      <w:lvlText w:val="%2."/>
      <w:lvlJc w:val="left"/>
      <w:pPr>
        <w:ind w:left="1440" w:hanging="360"/>
      </w:pPr>
    </w:lvl>
    <w:lvl w:ilvl="2" w:tplc="34AE75BE">
      <w:start w:val="1"/>
      <w:numFmt w:val="lowerRoman"/>
      <w:lvlText w:val="%3."/>
      <w:lvlJc w:val="right"/>
      <w:pPr>
        <w:ind w:left="2160" w:hanging="180"/>
      </w:pPr>
    </w:lvl>
    <w:lvl w:ilvl="3" w:tplc="57641C36">
      <w:start w:val="1"/>
      <w:numFmt w:val="decimal"/>
      <w:lvlText w:val="%4."/>
      <w:lvlJc w:val="left"/>
      <w:pPr>
        <w:ind w:left="2880" w:hanging="360"/>
      </w:pPr>
    </w:lvl>
    <w:lvl w:ilvl="4" w:tplc="A8C06CCC">
      <w:start w:val="1"/>
      <w:numFmt w:val="lowerLetter"/>
      <w:lvlText w:val="%5."/>
      <w:lvlJc w:val="left"/>
      <w:pPr>
        <w:ind w:left="3600" w:hanging="360"/>
      </w:pPr>
    </w:lvl>
    <w:lvl w:ilvl="5" w:tplc="5B4CEA94">
      <w:start w:val="1"/>
      <w:numFmt w:val="lowerRoman"/>
      <w:lvlText w:val="%6."/>
      <w:lvlJc w:val="right"/>
      <w:pPr>
        <w:ind w:left="4320" w:hanging="180"/>
      </w:pPr>
    </w:lvl>
    <w:lvl w:ilvl="6" w:tplc="DF8EE142">
      <w:start w:val="1"/>
      <w:numFmt w:val="decimal"/>
      <w:lvlText w:val="%7."/>
      <w:lvlJc w:val="left"/>
      <w:pPr>
        <w:ind w:left="5040" w:hanging="360"/>
      </w:pPr>
    </w:lvl>
    <w:lvl w:ilvl="7" w:tplc="34168BE4">
      <w:start w:val="1"/>
      <w:numFmt w:val="lowerLetter"/>
      <w:lvlText w:val="%8."/>
      <w:lvlJc w:val="left"/>
      <w:pPr>
        <w:ind w:left="5760" w:hanging="360"/>
      </w:pPr>
    </w:lvl>
    <w:lvl w:ilvl="8" w:tplc="42C8774A">
      <w:start w:val="1"/>
      <w:numFmt w:val="lowerRoman"/>
      <w:lvlText w:val="%9."/>
      <w:lvlJc w:val="right"/>
      <w:pPr>
        <w:ind w:left="6480" w:hanging="180"/>
      </w:pPr>
    </w:lvl>
  </w:abstractNum>
  <w:abstractNum w:abstractNumId="42" w15:restartNumberingAfterBreak="0">
    <w:nsid w:val="27FC161E"/>
    <w:multiLevelType w:val="hybridMultilevel"/>
    <w:tmpl w:val="FFFFFFFF"/>
    <w:lvl w:ilvl="0" w:tplc="6EFC3CA4">
      <w:start w:val="1"/>
      <w:numFmt w:val="bullet"/>
      <w:lvlText w:val="●"/>
      <w:lvlJc w:val="left"/>
      <w:pPr>
        <w:ind w:left="720" w:hanging="360"/>
      </w:pPr>
      <w:rPr>
        <w:rFonts w:ascii="Calibri" w:hAnsi="Calibri" w:hint="default"/>
      </w:rPr>
    </w:lvl>
    <w:lvl w:ilvl="1" w:tplc="F32A247E">
      <w:start w:val="1"/>
      <w:numFmt w:val="bullet"/>
      <w:lvlText w:val="o"/>
      <w:lvlJc w:val="left"/>
      <w:pPr>
        <w:ind w:left="1440" w:hanging="360"/>
      </w:pPr>
      <w:rPr>
        <w:rFonts w:ascii="Courier New" w:hAnsi="Courier New" w:hint="default"/>
      </w:rPr>
    </w:lvl>
    <w:lvl w:ilvl="2" w:tplc="67BC0554">
      <w:start w:val="1"/>
      <w:numFmt w:val="bullet"/>
      <w:lvlText w:val=""/>
      <w:lvlJc w:val="left"/>
      <w:pPr>
        <w:ind w:left="2160" w:hanging="360"/>
      </w:pPr>
      <w:rPr>
        <w:rFonts w:ascii="Wingdings" w:hAnsi="Wingdings" w:hint="default"/>
      </w:rPr>
    </w:lvl>
    <w:lvl w:ilvl="3" w:tplc="D95660F2">
      <w:start w:val="1"/>
      <w:numFmt w:val="bullet"/>
      <w:lvlText w:val=""/>
      <w:lvlJc w:val="left"/>
      <w:pPr>
        <w:ind w:left="2880" w:hanging="360"/>
      </w:pPr>
      <w:rPr>
        <w:rFonts w:ascii="Symbol" w:hAnsi="Symbol" w:hint="default"/>
      </w:rPr>
    </w:lvl>
    <w:lvl w:ilvl="4" w:tplc="BBF2C8E2">
      <w:start w:val="1"/>
      <w:numFmt w:val="bullet"/>
      <w:lvlText w:val="o"/>
      <w:lvlJc w:val="left"/>
      <w:pPr>
        <w:ind w:left="3600" w:hanging="360"/>
      </w:pPr>
      <w:rPr>
        <w:rFonts w:ascii="Courier New" w:hAnsi="Courier New" w:hint="default"/>
      </w:rPr>
    </w:lvl>
    <w:lvl w:ilvl="5" w:tplc="10F8617A">
      <w:start w:val="1"/>
      <w:numFmt w:val="bullet"/>
      <w:lvlText w:val=""/>
      <w:lvlJc w:val="left"/>
      <w:pPr>
        <w:ind w:left="4320" w:hanging="360"/>
      </w:pPr>
      <w:rPr>
        <w:rFonts w:ascii="Wingdings" w:hAnsi="Wingdings" w:hint="default"/>
      </w:rPr>
    </w:lvl>
    <w:lvl w:ilvl="6" w:tplc="17DEEF0A">
      <w:start w:val="1"/>
      <w:numFmt w:val="bullet"/>
      <w:lvlText w:val=""/>
      <w:lvlJc w:val="left"/>
      <w:pPr>
        <w:ind w:left="5040" w:hanging="360"/>
      </w:pPr>
      <w:rPr>
        <w:rFonts w:ascii="Symbol" w:hAnsi="Symbol" w:hint="default"/>
      </w:rPr>
    </w:lvl>
    <w:lvl w:ilvl="7" w:tplc="15FE0EC2">
      <w:start w:val="1"/>
      <w:numFmt w:val="bullet"/>
      <w:lvlText w:val="o"/>
      <w:lvlJc w:val="left"/>
      <w:pPr>
        <w:ind w:left="5760" w:hanging="360"/>
      </w:pPr>
      <w:rPr>
        <w:rFonts w:ascii="Courier New" w:hAnsi="Courier New" w:hint="default"/>
      </w:rPr>
    </w:lvl>
    <w:lvl w:ilvl="8" w:tplc="7234C56E">
      <w:start w:val="1"/>
      <w:numFmt w:val="bullet"/>
      <w:lvlText w:val=""/>
      <w:lvlJc w:val="left"/>
      <w:pPr>
        <w:ind w:left="6480" w:hanging="360"/>
      </w:pPr>
      <w:rPr>
        <w:rFonts w:ascii="Wingdings" w:hAnsi="Wingdings" w:hint="default"/>
      </w:rPr>
    </w:lvl>
  </w:abstractNum>
  <w:abstractNum w:abstractNumId="43" w15:restartNumberingAfterBreak="0">
    <w:nsid w:val="2CBA18DD"/>
    <w:multiLevelType w:val="multilevel"/>
    <w:tmpl w:val="02F01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F6916EA"/>
    <w:multiLevelType w:val="hybridMultilevel"/>
    <w:tmpl w:val="993AE4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30143F11"/>
    <w:multiLevelType w:val="multilevel"/>
    <w:tmpl w:val="6CF0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04B6D49"/>
    <w:multiLevelType w:val="hybridMultilevel"/>
    <w:tmpl w:val="B54E0F62"/>
    <w:lvl w:ilvl="0" w:tplc="883C094A">
      <w:start w:val="1"/>
      <w:numFmt w:val="bullet"/>
      <w:lvlText w:val=""/>
      <w:lvlJc w:val="left"/>
      <w:pPr>
        <w:ind w:left="720" w:hanging="360"/>
      </w:pPr>
      <w:rPr>
        <w:rFonts w:ascii="Symbol" w:hAnsi="Symbol" w:hint="default"/>
      </w:rPr>
    </w:lvl>
    <w:lvl w:ilvl="1" w:tplc="97786150">
      <w:start w:val="1"/>
      <w:numFmt w:val="bullet"/>
      <w:lvlText w:val="o"/>
      <w:lvlJc w:val="left"/>
      <w:pPr>
        <w:ind w:left="1440" w:hanging="360"/>
      </w:pPr>
      <w:rPr>
        <w:rFonts w:ascii="Courier New" w:hAnsi="Courier New" w:hint="default"/>
      </w:rPr>
    </w:lvl>
    <w:lvl w:ilvl="2" w:tplc="A4C2237E">
      <w:start w:val="1"/>
      <w:numFmt w:val="bullet"/>
      <w:lvlText w:val=""/>
      <w:lvlJc w:val="left"/>
      <w:pPr>
        <w:ind w:left="2160" w:hanging="360"/>
      </w:pPr>
      <w:rPr>
        <w:rFonts w:ascii="Wingdings" w:hAnsi="Wingdings" w:hint="default"/>
      </w:rPr>
    </w:lvl>
    <w:lvl w:ilvl="3" w:tplc="1AFC952A">
      <w:start w:val="1"/>
      <w:numFmt w:val="bullet"/>
      <w:lvlText w:val=""/>
      <w:lvlJc w:val="left"/>
      <w:pPr>
        <w:ind w:left="2880" w:hanging="360"/>
      </w:pPr>
      <w:rPr>
        <w:rFonts w:ascii="Symbol" w:hAnsi="Symbol" w:hint="default"/>
      </w:rPr>
    </w:lvl>
    <w:lvl w:ilvl="4" w:tplc="FB26AAAE">
      <w:start w:val="1"/>
      <w:numFmt w:val="bullet"/>
      <w:lvlText w:val="o"/>
      <w:lvlJc w:val="left"/>
      <w:pPr>
        <w:ind w:left="3600" w:hanging="360"/>
      </w:pPr>
      <w:rPr>
        <w:rFonts w:ascii="Courier New" w:hAnsi="Courier New" w:hint="default"/>
      </w:rPr>
    </w:lvl>
    <w:lvl w:ilvl="5" w:tplc="696CEDA6">
      <w:start w:val="1"/>
      <w:numFmt w:val="bullet"/>
      <w:lvlText w:val=""/>
      <w:lvlJc w:val="left"/>
      <w:pPr>
        <w:ind w:left="4320" w:hanging="360"/>
      </w:pPr>
      <w:rPr>
        <w:rFonts w:ascii="Wingdings" w:hAnsi="Wingdings" w:hint="default"/>
      </w:rPr>
    </w:lvl>
    <w:lvl w:ilvl="6" w:tplc="A57ACDB8">
      <w:start w:val="1"/>
      <w:numFmt w:val="bullet"/>
      <w:lvlText w:val=""/>
      <w:lvlJc w:val="left"/>
      <w:pPr>
        <w:ind w:left="5040" w:hanging="360"/>
      </w:pPr>
      <w:rPr>
        <w:rFonts w:ascii="Symbol" w:hAnsi="Symbol" w:hint="default"/>
      </w:rPr>
    </w:lvl>
    <w:lvl w:ilvl="7" w:tplc="CA140D46">
      <w:start w:val="1"/>
      <w:numFmt w:val="bullet"/>
      <w:lvlText w:val="o"/>
      <w:lvlJc w:val="left"/>
      <w:pPr>
        <w:ind w:left="5760" w:hanging="360"/>
      </w:pPr>
      <w:rPr>
        <w:rFonts w:ascii="Courier New" w:hAnsi="Courier New" w:hint="default"/>
      </w:rPr>
    </w:lvl>
    <w:lvl w:ilvl="8" w:tplc="AF0CDA22">
      <w:start w:val="1"/>
      <w:numFmt w:val="bullet"/>
      <w:lvlText w:val=""/>
      <w:lvlJc w:val="left"/>
      <w:pPr>
        <w:ind w:left="6480" w:hanging="360"/>
      </w:pPr>
      <w:rPr>
        <w:rFonts w:ascii="Wingdings" w:hAnsi="Wingdings" w:hint="default"/>
      </w:rPr>
    </w:lvl>
  </w:abstractNum>
  <w:abstractNum w:abstractNumId="47" w15:restartNumberingAfterBreak="0">
    <w:nsid w:val="324372E0"/>
    <w:multiLevelType w:val="hybridMultilevel"/>
    <w:tmpl w:val="6D060292"/>
    <w:lvl w:ilvl="0" w:tplc="2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2D373BA"/>
    <w:multiLevelType w:val="hybridMultilevel"/>
    <w:tmpl w:val="E8A0E5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3353B31"/>
    <w:multiLevelType w:val="hybridMultilevel"/>
    <w:tmpl w:val="0EE6D95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339215A1"/>
    <w:multiLevelType w:val="hybridMultilevel"/>
    <w:tmpl w:val="F09C50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35B06EEB"/>
    <w:multiLevelType w:val="multilevel"/>
    <w:tmpl w:val="F190C39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5C7490B"/>
    <w:multiLevelType w:val="hybridMultilevel"/>
    <w:tmpl w:val="FFFFFFFF"/>
    <w:lvl w:ilvl="0" w:tplc="F1643E7A">
      <w:start w:val="1"/>
      <w:numFmt w:val="bullet"/>
      <w:lvlText w:val=""/>
      <w:lvlJc w:val="left"/>
      <w:pPr>
        <w:ind w:left="720" w:hanging="360"/>
      </w:pPr>
      <w:rPr>
        <w:rFonts w:ascii="Wingdings" w:hAnsi="Wingdings" w:hint="default"/>
      </w:rPr>
    </w:lvl>
    <w:lvl w:ilvl="1" w:tplc="34562F2A">
      <w:start w:val="1"/>
      <w:numFmt w:val="bullet"/>
      <w:lvlText w:val="o"/>
      <w:lvlJc w:val="left"/>
      <w:pPr>
        <w:ind w:left="1440" w:hanging="360"/>
      </w:pPr>
      <w:rPr>
        <w:rFonts w:ascii="Courier New" w:hAnsi="Courier New" w:hint="default"/>
      </w:rPr>
    </w:lvl>
    <w:lvl w:ilvl="2" w:tplc="CB0AC804">
      <w:start w:val="1"/>
      <w:numFmt w:val="bullet"/>
      <w:lvlText w:val=""/>
      <w:lvlJc w:val="left"/>
      <w:pPr>
        <w:ind w:left="2160" w:hanging="360"/>
      </w:pPr>
      <w:rPr>
        <w:rFonts w:ascii="Wingdings" w:hAnsi="Wingdings" w:hint="default"/>
      </w:rPr>
    </w:lvl>
    <w:lvl w:ilvl="3" w:tplc="C4207B2C">
      <w:start w:val="1"/>
      <w:numFmt w:val="bullet"/>
      <w:lvlText w:val=""/>
      <w:lvlJc w:val="left"/>
      <w:pPr>
        <w:ind w:left="2880" w:hanging="360"/>
      </w:pPr>
      <w:rPr>
        <w:rFonts w:ascii="Symbol" w:hAnsi="Symbol" w:hint="default"/>
      </w:rPr>
    </w:lvl>
    <w:lvl w:ilvl="4" w:tplc="BC06EAAA">
      <w:start w:val="1"/>
      <w:numFmt w:val="bullet"/>
      <w:lvlText w:val="o"/>
      <w:lvlJc w:val="left"/>
      <w:pPr>
        <w:ind w:left="3600" w:hanging="360"/>
      </w:pPr>
      <w:rPr>
        <w:rFonts w:ascii="Courier New" w:hAnsi="Courier New" w:hint="default"/>
      </w:rPr>
    </w:lvl>
    <w:lvl w:ilvl="5" w:tplc="034CC56C">
      <w:start w:val="1"/>
      <w:numFmt w:val="bullet"/>
      <w:lvlText w:val=""/>
      <w:lvlJc w:val="left"/>
      <w:pPr>
        <w:ind w:left="4320" w:hanging="360"/>
      </w:pPr>
      <w:rPr>
        <w:rFonts w:ascii="Wingdings" w:hAnsi="Wingdings" w:hint="default"/>
      </w:rPr>
    </w:lvl>
    <w:lvl w:ilvl="6" w:tplc="4C6ACC9C">
      <w:start w:val="1"/>
      <w:numFmt w:val="bullet"/>
      <w:lvlText w:val=""/>
      <w:lvlJc w:val="left"/>
      <w:pPr>
        <w:ind w:left="5040" w:hanging="360"/>
      </w:pPr>
      <w:rPr>
        <w:rFonts w:ascii="Symbol" w:hAnsi="Symbol" w:hint="default"/>
      </w:rPr>
    </w:lvl>
    <w:lvl w:ilvl="7" w:tplc="FDAA0F6C">
      <w:start w:val="1"/>
      <w:numFmt w:val="bullet"/>
      <w:lvlText w:val="o"/>
      <w:lvlJc w:val="left"/>
      <w:pPr>
        <w:ind w:left="5760" w:hanging="360"/>
      </w:pPr>
      <w:rPr>
        <w:rFonts w:ascii="Courier New" w:hAnsi="Courier New" w:hint="default"/>
      </w:rPr>
    </w:lvl>
    <w:lvl w:ilvl="8" w:tplc="02E2FA6A">
      <w:start w:val="1"/>
      <w:numFmt w:val="bullet"/>
      <w:lvlText w:val=""/>
      <w:lvlJc w:val="left"/>
      <w:pPr>
        <w:ind w:left="6480" w:hanging="360"/>
      </w:pPr>
      <w:rPr>
        <w:rFonts w:ascii="Wingdings" w:hAnsi="Wingdings" w:hint="default"/>
      </w:rPr>
    </w:lvl>
  </w:abstractNum>
  <w:abstractNum w:abstractNumId="53" w15:restartNumberingAfterBreak="0">
    <w:nsid w:val="36632D86"/>
    <w:multiLevelType w:val="multilevel"/>
    <w:tmpl w:val="D020EA9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7C3763A"/>
    <w:multiLevelType w:val="hybridMultilevel"/>
    <w:tmpl w:val="E4D0A5E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15:restartNumberingAfterBreak="0">
    <w:nsid w:val="37E3504F"/>
    <w:multiLevelType w:val="hybridMultilevel"/>
    <w:tmpl w:val="4B4627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39CE7270"/>
    <w:multiLevelType w:val="hybridMultilevel"/>
    <w:tmpl w:val="1128AFBA"/>
    <w:lvl w:ilvl="0" w:tplc="16342D00">
      <w:start w:val="1"/>
      <w:numFmt w:val="bullet"/>
      <w:lvlText w:val="-"/>
      <w:lvlJc w:val="left"/>
      <w:pPr>
        <w:ind w:left="720" w:hanging="360"/>
      </w:pPr>
      <w:rPr>
        <w:rFonts w:ascii="&quot;Calibri&quot;,sans-serif" w:hAnsi="&quot;Calibri&quot;,sans-serif" w:hint="default"/>
      </w:rPr>
    </w:lvl>
    <w:lvl w:ilvl="1" w:tplc="A22AABB8">
      <w:start w:val="1"/>
      <w:numFmt w:val="bullet"/>
      <w:lvlText w:val="o"/>
      <w:lvlJc w:val="left"/>
      <w:pPr>
        <w:ind w:left="1440" w:hanging="360"/>
      </w:pPr>
      <w:rPr>
        <w:rFonts w:ascii="Courier New" w:hAnsi="Courier New" w:hint="default"/>
      </w:rPr>
    </w:lvl>
    <w:lvl w:ilvl="2" w:tplc="47F4D41E">
      <w:start w:val="1"/>
      <w:numFmt w:val="bullet"/>
      <w:lvlText w:val=""/>
      <w:lvlJc w:val="left"/>
      <w:pPr>
        <w:ind w:left="2160" w:hanging="360"/>
      </w:pPr>
      <w:rPr>
        <w:rFonts w:ascii="Wingdings" w:hAnsi="Wingdings" w:hint="default"/>
      </w:rPr>
    </w:lvl>
    <w:lvl w:ilvl="3" w:tplc="04D003C8">
      <w:start w:val="1"/>
      <w:numFmt w:val="bullet"/>
      <w:lvlText w:val=""/>
      <w:lvlJc w:val="left"/>
      <w:pPr>
        <w:ind w:left="2880" w:hanging="360"/>
      </w:pPr>
      <w:rPr>
        <w:rFonts w:ascii="Symbol" w:hAnsi="Symbol" w:hint="default"/>
      </w:rPr>
    </w:lvl>
    <w:lvl w:ilvl="4" w:tplc="8A2C3E9A">
      <w:start w:val="1"/>
      <w:numFmt w:val="bullet"/>
      <w:lvlText w:val="o"/>
      <w:lvlJc w:val="left"/>
      <w:pPr>
        <w:ind w:left="3600" w:hanging="360"/>
      </w:pPr>
      <w:rPr>
        <w:rFonts w:ascii="Courier New" w:hAnsi="Courier New" w:hint="default"/>
      </w:rPr>
    </w:lvl>
    <w:lvl w:ilvl="5" w:tplc="F7F873F6">
      <w:start w:val="1"/>
      <w:numFmt w:val="bullet"/>
      <w:lvlText w:val=""/>
      <w:lvlJc w:val="left"/>
      <w:pPr>
        <w:ind w:left="4320" w:hanging="360"/>
      </w:pPr>
      <w:rPr>
        <w:rFonts w:ascii="Wingdings" w:hAnsi="Wingdings" w:hint="default"/>
      </w:rPr>
    </w:lvl>
    <w:lvl w:ilvl="6" w:tplc="032030DA">
      <w:start w:val="1"/>
      <w:numFmt w:val="bullet"/>
      <w:lvlText w:val=""/>
      <w:lvlJc w:val="left"/>
      <w:pPr>
        <w:ind w:left="5040" w:hanging="360"/>
      </w:pPr>
      <w:rPr>
        <w:rFonts w:ascii="Symbol" w:hAnsi="Symbol" w:hint="default"/>
      </w:rPr>
    </w:lvl>
    <w:lvl w:ilvl="7" w:tplc="76ECBFEC">
      <w:start w:val="1"/>
      <w:numFmt w:val="bullet"/>
      <w:lvlText w:val="o"/>
      <w:lvlJc w:val="left"/>
      <w:pPr>
        <w:ind w:left="5760" w:hanging="360"/>
      </w:pPr>
      <w:rPr>
        <w:rFonts w:ascii="Courier New" w:hAnsi="Courier New" w:hint="default"/>
      </w:rPr>
    </w:lvl>
    <w:lvl w:ilvl="8" w:tplc="30F6DD2C">
      <w:start w:val="1"/>
      <w:numFmt w:val="bullet"/>
      <w:lvlText w:val=""/>
      <w:lvlJc w:val="left"/>
      <w:pPr>
        <w:ind w:left="6480" w:hanging="360"/>
      </w:pPr>
      <w:rPr>
        <w:rFonts w:ascii="Wingdings" w:hAnsi="Wingdings" w:hint="default"/>
      </w:rPr>
    </w:lvl>
  </w:abstractNum>
  <w:abstractNum w:abstractNumId="57" w15:restartNumberingAfterBreak="0">
    <w:nsid w:val="39F93E4F"/>
    <w:multiLevelType w:val="hybridMultilevel"/>
    <w:tmpl w:val="4FB08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39FBF74E"/>
    <w:multiLevelType w:val="hybridMultilevel"/>
    <w:tmpl w:val="2B3297F8"/>
    <w:lvl w:ilvl="0" w:tplc="88EA0C10">
      <w:start w:val="1"/>
      <w:numFmt w:val="bullet"/>
      <w:lvlText w:val=""/>
      <w:lvlJc w:val="left"/>
      <w:pPr>
        <w:ind w:left="720" w:hanging="360"/>
      </w:pPr>
      <w:rPr>
        <w:rFonts w:ascii="Symbol" w:hAnsi="Symbol" w:hint="default"/>
      </w:rPr>
    </w:lvl>
    <w:lvl w:ilvl="1" w:tplc="2D42C15E">
      <w:start w:val="1"/>
      <w:numFmt w:val="bullet"/>
      <w:lvlText w:val="o"/>
      <w:lvlJc w:val="left"/>
      <w:pPr>
        <w:ind w:left="1440" w:hanging="360"/>
      </w:pPr>
      <w:rPr>
        <w:rFonts w:ascii="Courier New" w:hAnsi="Courier New" w:hint="default"/>
      </w:rPr>
    </w:lvl>
    <w:lvl w:ilvl="2" w:tplc="ACCEE8B2">
      <w:start w:val="1"/>
      <w:numFmt w:val="bullet"/>
      <w:lvlText w:val=""/>
      <w:lvlJc w:val="left"/>
      <w:pPr>
        <w:ind w:left="2160" w:hanging="360"/>
      </w:pPr>
      <w:rPr>
        <w:rFonts w:ascii="Wingdings" w:hAnsi="Wingdings" w:hint="default"/>
      </w:rPr>
    </w:lvl>
    <w:lvl w:ilvl="3" w:tplc="B7501568">
      <w:start w:val="1"/>
      <w:numFmt w:val="bullet"/>
      <w:lvlText w:val=""/>
      <w:lvlJc w:val="left"/>
      <w:pPr>
        <w:ind w:left="2880" w:hanging="360"/>
      </w:pPr>
      <w:rPr>
        <w:rFonts w:ascii="Symbol" w:hAnsi="Symbol" w:hint="default"/>
      </w:rPr>
    </w:lvl>
    <w:lvl w:ilvl="4" w:tplc="80D84556">
      <w:start w:val="1"/>
      <w:numFmt w:val="bullet"/>
      <w:lvlText w:val="o"/>
      <w:lvlJc w:val="left"/>
      <w:pPr>
        <w:ind w:left="3600" w:hanging="360"/>
      </w:pPr>
      <w:rPr>
        <w:rFonts w:ascii="Courier New" w:hAnsi="Courier New" w:hint="default"/>
      </w:rPr>
    </w:lvl>
    <w:lvl w:ilvl="5" w:tplc="61CA0194">
      <w:start w:val="1"/>
      <w:numFmt w:val="bullet"/>
      <w:lvlText w:val=""/>
      <w:lvlJc w:val="left"/>
      <w:pPr>
        <w:ind w:left="4320" w:hanging="360"/>
      </w:pPr>
      <w:rPr>
        <w:rFonts w:ascii="Wingdings" w:hAnsi="Wingdings" w:hint="default"/>
      </w:rPr>
    </w:lvl>
    <w:lvl w:ilvl="6" w:tplc="E3C0DF78">
      <w:start w:val="1"/>
      <w:numFmt w:val="bullet"/>
      <w:lvlText w:val=""/>
      <w:lvlJc w:val="left"/>
      <w:pPr>
        <w:ind w:left="5040" w:hanging="360"/>
      </w:pPr>
      <w:rPr>
        <w:rFonts w:ascii="Symbol" w:hAnsi="Symbol" w:hint="default"/>
      </w:rPr>
    </w:lvl>
    <w:lvl w:ilvl="7" w:tplc="92B228A8">
      <w:start w:val="1"/>
      <w:numFmt w:val="bullet"/>
      <w:lvlText w:val="o"/>
      <w:lvlJc w:val="left"/>
      <w:pPr>
        <w:ind w:left="5760" w:hanging="360"/>
      </w:pPr>
      <w:rPr>
        <w:rFonts w:ascii="Courier New" w:hAnsi="Courier New" w:hint="default"/>
      </w:rPr>
    </w:lvl>
    <w:lvl w:ilvl="8" w:tplc="3EC454F2">
      <w:start w:val="1"/>
      <w:numFmt w:val="bullet"/>
      <w:lvlText w:val=""/>
      <w:lvlJc w:val="left"/>
      <w:pPr>
        <w:ind w:left="6480" w:hanging="360"/>
      </w:pPr>
      <w:rPr>
        <w:rFonts w:ascii="Wingdings" w:hAnsi="Wingdings" w:hint="default"/>
      </w:rPr>
    </w:lvl>
  </w:abstractNum>
  <w:abstractNum w:abstractNumId="59" w15:restartNumberingAfterBreak="0">
    <w:nsid w:val="3A954980"/>
    <w:multiLevelType w:val="hybridMultilevel"/>
    <w:tmpl w:val="333E4F6A"/>
    <w:lvl w:ilvl="0" w:tplc="03145B40">
      <w:start w:val="1"/>
      <w:numFmt w:val="bullet"/>
      <w:lvlText w:val="·"/>
      <w:lvlJc w:val="left"/>
      <w:pPr>
        <w:ind w:left="720" w:hanging="360"/>
      </w:pPr>
      <w:rPr>
        <w:rFonts w:ascii="Symbol" w:hAnsi="Symbol" w:hint="default"/>
      </w:rPr>
    </w:lvl>
    <w:lvl w:ilvl="1" w:tplc="42DC777A">
      <w:start w:val="1"/>
      <w:numFmt w:val="bullet"/>
      <w:lvlText w:val="o"/>
      <w:lvlJc w:val="left"/>
      <w:pPr>
        <w:ind w:left="1440" w:hanging="360"/>
      </w:pPr>
      <w:rPr>
        <w:rFonts w:ascii="Courier New" w:hAnsi="Courier New" w:hint="default"/>
      </w:rPr>
    </w:lvl>
    <w:lvl w:ilvl="2" w:tplc="297E25AE">
      <w:start w:val="1"/>
      <w:numFmt w:val="bullet"/>
      <w:lvlText w:val=""/>
      <w:lvlJc w:val="left"/>
      <w:pPr>
        <w:ind w:left="2160" w:hanging="360"/>
      </w:pPr>
      <w:rPr>
        <w:rFonts w:ascii="Wingdings" w:hAnsi="Wingdings" w:hint="default"/>
      </w:rPr>
    </w:lvl>
    <w:lvl w:ilvl="3" w:tplc="DF16FB00">
      <w:start w:val="1"/>
      <w:numFmt w:val="bullet"/>
      <w:lvlText w:val=""/>
      <w:lvlJc w:val="left"/>
      <w:pPr>
        <w:ind w:left="2880" w:hanging="360"/>
      </w:pPr>
      <w:rPr>
        <w:rFonts w:ascii="Symbol" w:hAnsi="Symbol" w:hint="default"/>
      </w:rPr>
    </w:lvl>
    <w:lvl w:ilvl="4" w:tplc="D45ED788">
      <w:start w:val="1"/>
      <w:numFmt w:val="bullet"/>
      <w:lvlText w:val="o"/>
      <w:lvlJc w:val="left"/>
      <w:pPr>
        <w:ind w:left="3600" w:hanging="360"/>
      </w:pPr>
      <w:rPr>
        <w:rFonts w:ascii="Courier New" w:hAnsi="Courier New" w:hint="default"/>
      </w:rPr>
    </w:lvl>
    <w:lvl w:ilvl="5" w:tplc="215405D6">
      <w:start w:val="1"/>
      <w:numFmt w:val="bullet"/>
      <w:lvlText w:val=""/>
      <w:lvlJc w:val="left"/>
      <w:pPr>
        <w:ind w:left="4320" w:hanging="360"/>
      </w:pPr>
      <w:rPr>
        <w:rFonts w:ascii="Wingdings" w:hAnsi="Wingdings" w:hint="default"/>
      </w:rPr>
    </w:lvl>
    <w:lvl w:ilvl="6" w:tplc="49F49B3A">
      <w:start w:val="1"/>
      <w:numFmt w:val="bullet"/>
      <w:lvlText w:val=""/>
      <w:lvlJc w:val="left"/>
      <w:pPr>
        <w:ind w:left="5040" w:hanging="360"/>
      </w:pPr>
      <w:rPr>
        <w:rFonts w:ascii="Symbol" w:hAnsi="Symbol" w:hint="default"/>
      </w:rPr>
    </w:lvl>
    <w:lvl w:ilvl="7" w:tplc="9D36BEEC">
      <w:start w:val="1"/>
      <w:numFmt w:val="bullet"/>
      <w:lvlText w:val="o"/>
      <w:lvlJc w:val="left"/>
      <w:pPr>
        <w:ind w:left="5760" w:hanging="360"/>
      </w:pPr>
      <w:rPr>
        <w:rFonts w:ascii="Courier New" w:hAnsi="Courier New" w:hint="default"/>
      </w:rPr>
    </w:lvl>
    <w:lvl w:ilvl="8" w:tplc="15D86556">
      <w:start w:val="1"/>
      <w:numFmt w:val="bullet"/>
      <w:lvlText w:val=""/>
      <w:lvlJc w:val="left"/>
      <w:pPr>
        <w:ind w:left="6480" w:hanging="360"/>
      </w:pPr>
      <w:rPr>
        <w:rFonts w:ascii="Wingdings" w:hAnsi="Wingdings" w:hint="default"/>
      </w:rPr>
    </w:lvl>
  </w:abstractNum>
  <w:abstractNum w:abstractNumId="60" w15:restartNumberingAfterBreak="0">
    <w:nsid w:val="3ADA08F8"/>
    <w:multiLevelType w:val="hybridMultilevel"/>
    <w:tmpl w:val="0C6E2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3C8D3A30"/>
    <w:multiLevelType w:val="hybridMultilevel"/>
    <w:tmpl w:val="D228F520"/>
    <w:lvl w:ilvl="0" w:tplc="240A0007">
      <w:start w:val="1"/>
      <w:numFmt w:val="bullet"/>
      <w:lvlText w:val=""/>
      <w:lvlPicBulletId w:val="0"/>
      <w:lvlJc w:val="left"/>
      <w:pPr>
        <w:ind w:left="785" w:hanging="360"/>
      </w:pPr>
      <w:rPr>
        <w:rFonts w:ascii="Symbol" w:hAnsi="Symbo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62" w15:restartNumberingAfterBreak="0">
    <w:nsid w:val="3E201EBB"/>
    <w:multiLevelType w:val="hybridMultilevel"/>
    <w:tmpl w:val="D39A4430"/>
    <w:lvl w:ilvl="0" w:tplc="5C9C3154">
      <w:start w:val="1"/>
      <w:numFmt w:val="bullet"/>
      <w:lvlText w:val=""/>
      <w:lvlJc w:val="left"/>
      <w:pPr>
        <w:ind w:left="720" w:hanging="360"/>
      </w:pPr>
      <w:rPr>
        <w:rFonts w:ascii="Symbol" w:hAnsi="Symbol" w:hint="default"/>
      </w:rPr>
    </w:lvl>
    <w:lvl w:ilvl="1" w:tplc="DCC872A8">
      <w:start w:val="1"/>
      <w:numFmt w:val="bullet"/>
      <w:lvlText w:val="o"/>
      <w:lvlJc w:val="left"/>
      <w:pPr>
        <w:ind w:left="1440" w:hanging="360"/>
      </w:pPr>
      <w:rPr>
        <w:rFonts w:ascii="Courier New" w:hAnsi="Courier New" w:hint="default"/>
      </w:rPr>
    </w:lvl>
    <w:lvl w:ilvl="2" w:tplc="23BAF266">
      <w:start w:val="1"/>
      <w:numFmt w:val="bullet"/>
      <w:lvlText w:val=""/>
      <w:lvlJc w:val="left"/>
      <w:pPr>
        <w:ind w:left="2160" w:hanging="360"/>
      </w:pPr>
      <w:rPr>
        <w:rFonts w:ascii="Wingdings" w:hAnsi="Wingdings" w:hint="default"/>
      </w:rPr>
    </w:lvl>
    <w:lvl w:ilvl="3" w:tplc="CF56C7B0">
      <w:start w:val="1"/>
      <w:numFmt w:val="bullet"/>
      <w:lvlText w:val=""/>
      <w:lvlJc w:val="left"/>
      <w:pPr>
        <w:ind w:left="2880" w:hanging="360"/>
      </w:pPr>
      <w:rPr>
        <w:rFonts w:ascii="Symbol" w:hAnsi="Symbol" w:hint="default"/>
      </w:rPr>
    </w:lvl>
    <w:lvl w:ilvl="4" w:tplc="1E146636">
      <w:start w:val="1"/>
      <w:numFmt w:val="bullet"/>
      <w:lvlText w:val="o"/>
      <w:lvlJc w:val="left"/>
      <w:pPr>
        <w:ind w:left="3600" w:hanging="360"/>
      </w:pPr>
      <w:rPr>
        <w:rFonts w:ascii="Courier New" w:hAnsi="Courier New" w:hint="default"/>
      </w:rPr>
    </w:lvl>
    <w:lvl w:ilvl="5" w:tplc="B0507D48">
      <w:start w:val="1"/>
      <w:numFmt w:val="bullet"/>
      <w:lvlText w:val=""/>
      <w:lvlJc w:val="left"/>
      <w:pPr>
        <w:ind w:left="4320" w:hanging="360"/>
      </w:pPr>
      <w:rPr>
        <w:rFonts w:ascii="Wingdings" w:hAnsi="Wingdings" w:hint="default"/>
      </w:rPr>
    </w:lvl>
    <w:lvl w:ilvl="6" w:tplc="99D64952">
      <w:start w:val="1"/>
      <w:numFmt w:val="bullet"/>
      <w:lvlText w:val=""/>
      <w:lvlJc w:val="left"/>
      <w:pPr>
        <w:ind w:left="5040" w:hanging="360"/>
      </w:pPr>
      <w:rPr>
        <w:rFonts w:ascii="Symbol" w:hAnsi="Symbol" w:hint="default"/>
      </w:rPr>
    </w:lvl>
    <w:lvl w:ilvl="7" w:tplc="42EE15CE">
      <w:start w:val="1"/>
      <w:numFmt w:val="bullet"/>
      <w:lvlText w:val="o"/>
      <w:lvlJc w:val="left"/>
      <w:pPr>
        <w:ind w:left="5760" w:hanging="360"/>
      </w:pPr>
      <w:rPr>
        <w:rFonts w:ascii="Courier New" w:hAnsi="Courier New" w:hint="default"/>
      </w:rPr>
    </w:lvl>
    <w:lvl w:ilvl="8" w:tplc="F17CE24A">
      <w:start w:val="1"/>
      <w:numFmt w:val="bullet"/>
      <w:lvlText w:val=""/>
      <w:lvlJc w:val="left"/>
      <w:pPr>
        <w:ind w:left="6480" w:hanging="360"/>
      </w:pPr>
      <w:rPr>
        <w:rFonts w:ascii="Wingdings" w:hAnsi="Wingdings" w:hint="default"/>
      </w:rPr>
    </w:lvl>
  </w:abstractNum>
  <w:abstractNum w:abstractNumId="63" w15:restartNumberingAfterBreak="0">
    <w:nsid w:val="3E5D43EA"/>
    <w:multiLevelType w:val="hybridMultilevel"/>
    <w:tmpl w:val="31E8FB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3F0E47AB"/>
    <w:multiLevelType w:val="multilevel"/>
    <w:tmpl w:val="3A7C2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F690923"/>
    <w:multiLevelType w:val="hybridMultilevel"/>
    <w:tmpl w:val="C2C0D7E0"/>
    <w:lvl w:ilvl="0" w:tplc="2594EB1E">
      <w:start w:val="1"/>
      <w:numFmt w:val="bullet"/>
      <w:lvlText w:val=""/>
      <w:lvlJc w:val="left"/>
      <w:pPr>
        <w:ind w:left="720" w:hanging="360"/>
      </w:pPr>
      <w:rPr>
        <w:rFonts w:ascii="Symbol" w:hAnsi="Symbol" w:hint="default"/>
      </w:rPr>
    </w:lvl>
    <w:lvl w:ilvl="1" w:tplc="8070A81E">
      <w:start w:val="1"/>
      <w:numFmt w:val="bullet"/>
      <w:lvlText w:val="o"/>
      <w:lvlJc w:val="left"/>
      <w:pPr>
        <w:ind w:left="1440" w:hanging="360"/>
      </w:pPr>
      <w:rPr>
        <w:rFonts w:ascii="Courier New" w:hAnsi="Courier New" w:hint="default"/>
      </w:rPr>
    </w:lvl>
    <w:lvl w:ilvl="2" w:tplc="2F9611D6">
      <w:start w:val="1"/>
      <w:numFmt w:val="bullet"/>
      <w:lvlText w:val=""/>
      <w:lvlJc w:val="left"/>
      <w:pPr>
        <w:ind w:left="2160" w:hanging="360"/>
      </w:pPr>
      <w:rPr>
        <w:rFonts w:ascii="Wingdings" w:hAnsi="Wingdings" w:hint="default"/>
      </w:rPr>
    </w:lvl>
    <w:lvl w:ilvl="3" w:tplc="B28C5822">
      <w:start w:val="1"/>
      <w:numFmt w:val="bullet"/>
      <w:lvlText w:val=""/>
      <w:lvlJc w:val="left"/>
      <w:pPr>
        <w:ind w:left="2880" w:hanging="360"/>
      </w:pPr>
      <w:rPr>
        <w:rFonts w:ascii="Symbol" w:hAnsi="Symbol" w:hint="default"/>
      </w:rPr>
    </w:lvl>
    <w:lvl w:ilvl="4" w:tplc="80D4E6B8">
      <w:start w:val="1"/>
      <w:numFmt w:val="bullet"/>
      <w:lvlText w:val="o"/>
      <w:lvlJc w:val="left"/>
      <w:pPr>
        <w:ind w:left="3600" w:hanging="360"/>
      </w:pPr>
      <w:rPr>
        <w:rFonts w:ascii="Courier New" w:hAnsi="Courier New" w:hint="default"/>
      </w:rPr>
    </w:lvl>
    <w:lvl w:ilvl="5" w:tplc="B17C73A2">
      <w:start w:val="1"/>
      <w:numFmt w:val="bullet"/>
      <w:lvlText w:val=""/>
      <w:lvlJc w:val="left"/>
      <w:pPr>
        <w:ind w:left="4320" w:hanging="360"/>
      </w:pPr>
      <w:rPr>
        <w:rFonts w:ascii="Wingdings" w:hAnsi="Wingdings" w:hint="default"/>
      </w:rPr>
    </w:lvl>
    <w:lvl w:ilvl="6" w:tplc="AD0E8F3E">
      <w:start w:val="1"/>
      <w:numFmt w:val="bullet"/>
      <w:lvlText w:val=""/>
      <w:lvlJc w:val="left"/>
      <w:pPr>
        <w:ind w:left="5040" w:hanging="360"/>
      </w:pPr>
      <w:rPr>
        <w:rFonts w:ascii="Symbol" w:hAnsi="Symbol" w:hint="default"/>
      </w:rPr>
    </w:lvl>
    <w:lvl w:ilvl="7" w:tplc="A2006D56">
      <w:start w:val="1"/>
      <w:numFmt w:val="bullet"/>
      <w:lvlText w:val="o"/>
      <w:lvlJc w:val="left"/>
      <w:pPr>
        <w:ind w:left="5760" w:hanging="360"/>
      </w:pPr>
      <w:rPr>
        <w:rFonts w:ascii="Courier New" w:hAnsi="Courier New" w:hint="default"/>
      </w:rPr>
    </w:lvl>
    <w:lvl w:ilvl="8" w:tplc="F606CBC4">
      <w:start w:val="1"/>
      <w:numFmt w:val="bullet"/>
      <w:lvlText w:val=""/>
      <w:lvlJc w:val="left"/>
      <w:pPr>
        <w:ind w:left="6480" w:hanging="360"/>
      </w:pPr>
      <w:rPr>
        <w:rFonts w:ascii="Wingdings" w:hAnsi="Wingdings" w:hint="default"/>
      </w:rPr>
    </w:lvl>
  </w:abstractNum>
  <w:abstractNum w:abstractNumId="66" w15:restartNumberingAfterBreak="0">
    <w:nsid w:val="42D40BCD"/>
    <w:multiLevelType w:val="hybridMultilevel"/>
    <w:tmpl w:val="FFFFFFFF"/>
    <w:lvl w:ilvl="0" w:tplc="FFFFFFFF">
      <w:start w:val="1"/>
      <w:numFmt w:val="bullet"/>
      <w:lvlText w:val="§"/>
      <w:lvlJc w:val="left"/>
      <w:pPr>
        <w:ind w:left="720" w:hanging="360"/>
      </w:pPr>
      <w:rPr>
        <w:rFonts w:ascii="Wingdings" w:hAnsi="Wingdings" w:hint="default"/>
      </w:rPr>
    </w:lvl>
    <w:lvl w:ilvl="1" w:tplc="0AC6AF7A">
      <w:start w:val="1"/>
      <w:numFmt w:val="bullet"/>
      <w:lvlText w:val="o"/>
      <w:lvlJc w:val="left"/>
      <w:pPr>
        <w:ind w:left="1440" w:hanging="360"/>
      </w:pPr>
      <w:rPr>
        <w:rFonts w:ascii="Courier New" w:hAnsi="Courier New" w:hint="default"/>
      </w:rPr>
    </w:lvl>
    <w:lvl w:ilvl="2" w:tplc="8870C0F8">
      <w:start w:val="1"/>
      <w:numFmt w:val="bullet"/>
      <w:lvlText w:val=""/>
      <w:lvlJc w:val="left"/>
      <w:pPr>
        <w:ind w:left="2160" w:hanging="360"/>
      </w:pPr>
      <w:rPr>
        <w:rFonts w:ascii="Wingdings" w:hAnsi="Wingdings" w:hint="default"/>
      </w:rPr>
    </w:lvl>
    <w:lvl w:ilvl="3" w:tplc="64F80C8E">
      <w:start w:val="1"/>
      <w:numFmt w:val="bullet"/>
      <w:lvlText w:val=""/>
      <w:lvlJc w:val="left"/>
      <w:pPr>
        <w:ind w:left="2880" w:hanging="360"/>
      </w:pPr>
      <w:rPr>
        <w:rFonts w:ascii="Symbol" w:hAnsi="Symbol" w:hint="default"/>
      </w:rPr>
    </w:lvl>
    <w:lvl w:ilvl="4" w:tplc="04E89EFC">
      <w:start w:val="1"/>
      <w:numFmt w:val="bullet"/>
      <w:lvlText w:val="o"/>
      <w:lvlJc w:val="left"/>
      <w:pPr>
        <w:ind w:left="3600" w:hanging="360"/>
      </w:pPr>
      <w:rPr>
        <w:rFonts w:ascii="Courier New" w:hAnsi="Courier New" w:hint="default"/>
      </w:rPr>
    </w:lvl>
    <w:lvl w:ilvl="5" w:tplc="A7A28DB8">
      <w:start w:val="1"/>
      <w:numFmt w:val="bullet"/>
      <w:lvlText w:val=""/>
      <w:lvlJc w:val="left"/>
      <w:pPr>
        <w:ind w:left="4320" w:hanging="360"/>
      </w:pPr>
      <w:rPr>
        <w:rFonts w:ascii="Wingdings" w:hAnsi="Wingdings" w:hint="default"/>
      </w:rPr>
    </w:lvl>
    <w:lvl w:ilvl="6" w:tplc="72861F70">
      <w:start w:val="1"/>
      <w:numFmt w:val="bullet"/>
      <w:lvlText w:val=""/>
      <w:lvlJc w:val="left"/>
      <w:pPr>
        <w:ind w:left="5040" w:hanging="360"/>
      </w:pPr>
      <w:rPr>
        <w:rFonts w:ascii="Symbol" w:hAnsi="Symbol" w:hint="default"/>
      </w:rPr>
    </w:lvl>
    <w:lvl w:ilvl="7" w:tplc="849CC036">
      <w:start w:val="1"/>
      <w:numFmt w:val="bullet"/>
      <w:lvlText w:val="o"/>
      <w:lvlJc w:val="left"/>
      <w:pPr>
        <w:ind w:left="5760" w:hanging="360"/>
      </w:pPr>
      <w:rPr>
        <w:rFonts w:ascii="Courier New" w:hAnsi="Courier New" w:hint="default"/>
      </w:rPr>
    </w:lvl>
    <w:lvl w:ilvl="8" w:tplc="585897B0">
      <w:start w:val="1"/>
      <w:numFmt w:val="bullet"/>
      <w:lvlText w:val=""/>
      <w:lvlJc w:val="left"/>
      <w:pPr>
        <w:ind w:left="6480" w:hanging="360"/>
      </w:pPr>
      <w:rPr>
        <w:rFonts w:ascii="Wingdings" w:hAnsi="Wingdings" w:hint="default"/>
      </w:rPr>
    </w:lvl>
  </w:abstractNum>
  <w:abstractNum w:abstractNumId="67" w15:restartNumberingAfterBreak="0">
    <w:nsid w:val="43B713DA"/>
    <w:multiLevelType w:val="multilevel"/>
    <w:tmpl w:val="930EE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4261A8D"/>
    <w:multiLevelType w:val="hybridMultilevel"/>
    <w:tmpl w:val="846A4F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46CE8D45"/>
    <w:multiLevelType w:val="hybridMultilevel"/>
    <w:tmpl w:val="B03A3CB4"/>
    <w:lvl w:ilvl="0" w:tplc="1C600544">
      <w:start w:val="1"/>
      <w:numFmt w:val="bullet"/>
      <w:lvlText w:val=""/>
      <w:lvlJc w:val="left"/>
      <w:pPr>
        <w:ind w:left="720" w:hanging="360"/>
      </w:pPr>
      <w:rPr>
        <w:rFonts w:ascii="Symbol" w:hAnsi="Symbol" w:hint="default"/>
      </w:rPr>
    </w:lvl>
    <w:lvl w:ilvl="1" w:tplc="3DBCD92E">
      <w:start w:val="1"/>
      <w:numFmt w:val="bullet"/>
      <w:lvlText w:val="o"/>
      <w:lvlJc w:val="left"/>
      <w:pPr>
        <w:ind w:left="1440" w:hanging="360"/>
      </w:pPr>
      <w:rPr>
        <w:rFonts w:ascii="Courier New" w:hAnsi="Courier New" w:hint="default"/>
      </w:rPr>
    </w:lvl>
    <w:lvl w:ilvl="2" w:tplc="4C748958">
      <w:start w:val="1"/>
      <w:numFmt w:val="bullet"/>
      <w:lvlText w:val=""/>
      <w:lvlJc w:val="left"/>
      <w:pPr>
        <w:ind w:left="2160" w:hanging="360"/>
      </w:pPr>
      <w:rPr>
        <w:rFonts w:ascii="Wingdings" w:hAnsi="Wingdings" w:hint="default"/>
      </w:rPr>
    </w:lvl>
    <w:lvl w:ilvl="3" w:tplc="58D08526">
      <w:start w:val="1"/>
      <w:numFmt w:val="bullet"/>
      <w:lvlText w:val=""/>
      <w:lvlJc w:val="left"/>
      <w:pPr>
        <w:ind w:left="2880" w:hanging="360"/>
      </w:pPr>
      <w:rPr>
        <w:rFonts w:ascii="Symbol" w:hAnsi="Symbol" w:hint="default"/>
      </w:rPr>
    </w:lvl>
    <w:lvl w:ilvl="4" w:tplc="76D0A5B6">
      <w:start w:val="1"/>
      <w:numFmt w:val="bullet"/>
      <w:lvlText w:val="o"/>
      <w:lvlJc w:val="left"/>
      <w:pPr>
        <w:ind w:left="3600" w:hanging="360"/>
      </w:pPr>
      <w:rPr>
        <w:rFonts w:ascii="Courier New" w:hAnsi="Courier New" w:hint="default"/>
      </w:rPr>
    </w:lvl>
    <w:lvl w:ilvl="5" w:tplc="C5D89260">
      <w:start w:val="1"/>
      <w:numFmt w:val="bullet"/>
      <w:lvlText w:val=""/>
      <w:lvlJc w:val="left"/>
      <w:pPr>
        <w:ind w:left="4320" w:hanging="360"/>
      </w:pPr>
      <w:rPr>
        <w:rFonts w:ascii="Wingdings" w:hAnsi="Wingdings" w:hint="default"/>
      </w:rPr>
    </w:lvl>
    <w:lvl w:ilvl="6" w:tplc="E42058F2">
      <w:start w:val="1"/>
      <w:numFmt w:val="bullet"/>
      <w:lvlText w:val=""/>
      <w:lvlJc w:val="left"/>
      <w:pPr>
        <w:ind w:left="5040" w:hanging="360"/>
      </w:pPr>
      <w:rPr>
        <w:rFonts w:ascii="Symbol" w:hAnsi="Symbol" w:hint="default"/>
      </w:rPr>
    </w:lvl>
    <w:lvl w:ilvl="7" w:tplc="A8901138">
      <w:start w:val="1"/>
      <w:numFmt w:val="bullet"/>
      <w:lvlText w:val="o"/>
      <w:lvlJc w:val="left"/>
      <w:pPr>
        <w:ind w:left="5760" w:hanging="360"/>
      </w:pPr>
      <w:rPr>
        <w:rFonts w:ascii="Courier New" w:hAnsi="Courier New" w:hint="default"/>
      </w:rPr>
    </w:lvl>
    <w:lvl w:ilvl="8" w:tplc="180CFF5E">
      <w:start w:val="1"/>
      <w:numFmt w:val="bullet"/>
      <w:lvlText w:val=""/>
      <w:lvlJc w:val="left"/>
      <w:pPr>
        <w:ind w:left="6480" w:hanging="360"/>
      </w:pPr>
      <w:rPr>
        <w:rFonts w:ascii="Wingdings" w:hAnsi="Wingdings" w:hint="default"/>
      </w:rPr>
    </w:lvl>
  </w:abstractNum>
  <w:abstractNum w:abstractNumId="70" w15:restartNumberingAfterBreak="0">
    <w:nsid w:val="46D049F0"/>
    <w:multiLevelType w:val="hybridMultilevel"/>
    <w:tmpl w:val="7A5C9A3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1" w15:restartNumberingAfterBreak="0">
    <w:nsid w:val="47875C51"/>
    <w:multiLevelType w:val="hybridMultilevel"/>
    <w:tmpl w:val="952A13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488EAA8B"/>
    <w:multiLevelType w:val="hybridMultilevel"/>
    <w:tmpl w:val="0D76A8B2"/>
    <w:lvl w:ilvl="0" w:tplc="61126B72">
      <w:start w:val="1"/>
      <w:numFmt w:val="bullet"/>
      <w:lvlText w:val="-"/>
      <w:lvlJc w:val="left"/>
      <w:pPr>
        <w:ind w:left="720" w:hanging="360"/>
      </w:pPr>
      <w:rPr>
        <w:rFonts w:ascii="&quot;Calibri&quot;,sans-serif" w:hAnsi="&quot;Calibri&quot;,sans-serif" w:hint="default"/>
      </w:rPr>
    </w:lvl>
    <w:lvl w:ilvl="1" w:tplc="5DF29E20">
      <w:start w:val="1"/>
      <w:numFmt w:val="bullet"/>
      <w:lvlText w:val="o"/>
      <w:lvlJc w:val="left"/>
      <w:pPr>
        <w:ind w:left="1440" w:hanging="360"/>
      </w:pPr>
      <w:rPr>
        <w:rFonts w:ascii="Courier New" w:hAnsi="Courier New" w:hint="default"/>
      </w:rPr>
    </w:lvl>
    <w:lvl w:ilvl="2" w:tplc="D7CEB8CE">
      <w:start w:val="1"/>
      <w:numFmt w:val="bullet"/>
      <w:lvlText w:val=""/>
      <w:lvlJc w:val="left"/>
      <w:pPr>
        <w:ind w:left="2160" w:hanging="360"/>
      </w:pPr>
      <w:rPr>
        <w:rFonts w:ascii="Wingdings" w:hAnsi="Wingdings" w:hint="default"/>
      </w:rPr>
    </w:lvl>
    <w:lvl w:ilvl="3" w:tplc="4F248344">
      <w:start w:val="1"/>
      <w:numFmt w:val="bullet"/>
      <w:lvlText w:val=""/>
      <w:lvlJc w:val="left"/>
      <w:pPr>
        <w:ind w:left="2880" w:hanging="360"/>
      </w:pPr>
      <w:rPr>
        <w:rFonts w:ascii="Symbol" w:hAnsi="Symbol" w:hint="default"/>
      </w:rPr>
    </w:lvl>
    <w:lvl w:ilvl="4" w:tplc="569AB63C">
      <w:start w:val="1"/>
      <w:numFmt w:val="bullet"/>
      <w:lvlText w:val="o"/>
      <w:lvlJc w:val="left"/>
      <w:pPr>
        <w:ind w:left="3600" w:hanging="360"/>
      </w:pPr>
      <w:rPr>
        <w:rFonts w:ascii="Courier New" w:hAnsi="Courier New" w:hint="default"/>
      </w:rPr>
    </w:lvl>
    <w:lvl w:ilvl="5" w:tplc="AAF640DE">
      <w:start w:val="1"/>
      <w:numFmt w:val="bullet"/>
      <w:lvlText w:val=""/>
      <w:lvlJc w:val="left"/>
      <w:pPr>
        <w:ind w:left="4320" w:hanging="360"/>
      </w:pPr>
      <w:rPr>
        <w:rFonts w:ascii="Wingdings" w:hAnsi="Wingdings" w:hint="default"/>
      </w:rPr>
    </w:lvl>
    <w:lvl w:ilvl="6" w:tplc="FBF80346">
      <w:start w:val="1"/>
      <w:numFmt w:val="bullet"/>
      <w:lvlText w:val=""/>
      <w:lvlJc w:val="left"/>
      <w:pPr>
        <w:ind w:left="5040" w:hanging="360"/>
      </w:pPr>
      <w:rPr>
        <w:rFonts w:ascii="Symbol" w:hAnsi="Symbol" w:hint="default"/>
      </w:rPr>
    </w:lvl>
    <w:lvl w:ilvl="7" w:tplc="D57A24B6">
      <w:start w:val="1"/>
      <w:numFmt w:val="bullet"/>
      <w:lvlText w:val="o"/>
      <w:lvlJc w:val="left"/>
      <w:pPr>
        <w:ind w:left="5760" w:hanging="360"/>
      </w:pPr>
      <w:rPr>
        <w:rFonts w:ascii="Courier New" w:hAnsi="Courier New" w:hint="default"/>
      </w:rPr>
    </w:lvl>
    <w:lvl w:ilvl="8" w:tplc="B19071F0">
      <w:start w:val="1"/>
      <w:numFmt w:val="bullet"/>
      <w:lvlText w:val=""/>
      <w:lvlJc w:val="left"/>
      <w:pPr>
        <w:ind w:left="6480" w:hanging="360"/>
      </w:pPr>
      <w:rPr>
        <w:rFonts w:ascii="Wingdings" w:hAnsi="Wingdings" w:hint="default"/>
      </w:rPr>
    </w:lvl>
  </w:abstractNum>
  <w:abstractNum w:abstractNumId="73" w15:restartNumberingAfterBreak="0">
    <w:nsid w:val="4948D6C2"/>
    <w:multiLevelType w:val="hybridMultilevel"/>
    <w:tmpl w:val="63AAF396"/>
    <w:lvl w:ilvl="0" w:tplc="7B4A410C">
      <w:start w:val="1"/>
      <w:numFmt w:val="bullet"/>
      <w:lvlText w:val=""/>
      <w:lvlJc w:val="left"/>
      <w:pPr>
        <w:ind w:left="720" w:hanging="360"/>
      </w:pPr>
      <w:rPr>
        <w:rFonts w:ascii="Symbol" w:hAnsi="Symbol" w:hint="default"/>
      </w:rPr>
    </w:lvl>
    <w:lvl w:ilvl="1" w:tplc="DF38074E">
      <w:start w:val="1"/>
      <w:numFmt w:val="bullet"/>
      <w:lvlText w:val="o"/>
      <w:lvlJc w:val="left"/>
      <w:pPr>
        <w:ind w:left="1440" w:hanging="360"/>
      </w:pPr>
      <w:rPr>
        <w:rFonts w:ascii="Courier New" w:hAnsi="Courier New" w:hint="default"/>
      </w:rPr>
    </w:lvl>
    <w:lvl w:ilvl="2" w:tplc="BED0D1FC">
      <w:start w:val="1"/>
      <w:numFmt w:val="bullet"/>
      <w:lvlText w:val=""/>
      <w:lvlJc w:val="left"/>
      <w:pPr>
        <w:ind w:left="2160" w:hanging="360"/>
      </w:pPr>
      <w:rPr>
        <w:rFonts w:ascii="Wingdings" w:hAnsi="Wingdings" w:hint="default"/>
      </w:rPr>
    </w:lvl>
    <w:lvl w:ilvl="3" w:tplc="43BE1EEE">
      <w:start w:val="1"/>
      <w:numFmt w:val="bullet"/>
      <w:lvlText w:val=""/>
      <w:lvlJc w:val="left"/>
      <w:pPr>
        <w:ind w:left="2880" w:hanging="360"/>
      </w:pPr>
      <w:rPr>
        <w:rFonts w:ascii="Symbol" w:hAnsi="Symbol" w:hint="default"/>
      </w:rPr>
    </w:lvl>
    <w:lvl w:ilvl="4" w:tplc="1A8A6E4A">
      <w:start w:val="1"/>
      <w:numFmt w:val="bullet"/>
      <w:lvlText w:val="o"/>
      <w:lvlJc w:val="left"/>
      <w:pPr>
        <w:ind w:left="3600" w:hanging="360"/>
      </w:pPr>
      <w:rPr>
        <w:rFonts w:ascii="Courier New" w:hAnsi="Courier New" w:hint="default"/>
      </w:rPr>
    </w:lvl>
    <w:lvl w:ilvl="5" w:tplc="9738AF3C">
      <w:start w:val="1"/>
      <w:numFmt w:val="bullet"/>
      <w:lvlText w:val=""/>
      <w:lvlJc w:val="left"/>
      <w:pPr>
        <w:ind w:left="4320" w:hanging="360"/>
      </w:pPr>
      <w:rPr>
        <w:rFonts w:ascii="Wingdings" w:hAnsi="Wingdings" w:hint="default"/>
      </w:rPr>
    </w:lvl>
    <w:lvl w:ilvl="6" w:tplc="1DB04CEC">
      <w:start w:val="1"/>
      <w:numFmt w:val="bullet"/>
      <w:lvlText w:val=""/>
      <w:lvlJc w:val="left"/>
      <w:pPr>
        <w:ind w:left="5040" w:hanging="360"/>
      </w:pPr>
      <w:rPr>
        <w:rFonts w:ascii="Symbol" w:hAnsi="Symbol" w:hint="default"/>
      </w:rPr>
    </w:lvl>
    <w:lvl w:ilvl="7" w:tplc="6946F926">
      <w:start w:val="1"/>
      <w:numFmt w:val="bullet"/>
      <w:lvlText w:val="o"/>
      <w:lvlJc w:val="left"/>
      <w:pPr>
        <w:ind w:left="5760" w:hanging="360"/>
      </w:pPr>
      <w:rPr>
        <w:rFonts w:ascii="Courier New" w:hAnsi="Courier New" w:hint="default"/>
      </w:rPr>
    </w:lvl>
    <w:lvl w:ilvl="8" w:tplc="C55A859A">
      <w:start w:val="1"/>
      <w:numFmt w:val="bullet"/>
      <w:lvlText w:val=""/>
      <w:lvlJc w:val="left"/>
      <w:pPr>
        <w:ind w:left="6480" w:hanging="360"/>
      </w:pPr>
      <w:rPr>
        <w:rFonts w:ascii="Wingdings" w:hAnsi="Wingdings" w:hint="default"/>
      </w:rPr>
    </w:lvl>
  </w:abstractNum>
  <w:abstractNum w:abstractNumId="74" w15:restartNumberingAfterBreak="0">
    <w:nsid w:val="49F86BBD"/>
    <w:multiLevelType w:val="hybridMultilevel"/>
    <w:tmpl w:val="5D10CB40"/>
    <w:lvl w:ilvl="0" w:tplc="1C6CD304">
      <w:start w:val="1"/>
      <w:numFmt w:val="lowerLetter"/>
      <w:lvlText w:val="%1."/>
      <w:lvlJc w:val="left"/>
      <w:pPr>
        <w:ind w:left="720" w:hanging="360"/>
      </w:pPr>
    </w:lvl>
    <w:lvl w:ilvl="1" w:tplc="026C33FC">
      <w:start w:val="1"/>
      <w:numFmt w:val="lowerLetter"/>
      <w:lvlText w:val="%2."/>
      <w:lvlJc w:val="left"/>
      <w:pPr>
        <w:ind w:left="643" w:hanging="360"/>
      </w:pPr>
      <w:rPr>
        <w:sz w:val="16"/>
        <w:szCs w:val="16"/>
      </w:rPr>
    </w:lvl>
    <w:lvl w:ilvl="2" w:tplc="2C58A65C">
      <w:start w:val="1"/>
      <w:numFmt w:val="lowerRoman"/>
      <w:lvlText w:val="%3."/>
      <w:lvlJc w:val="right"/>
      <w:pPr>
        <w:ind w:left="2160" w:hanging="180"/>
      </w:pPr>
    </w:lvl>
    <w:lvl w:ilvl="3" w:tplc="B53EA988">
      <w:start w:val="1"/>
      <w:numFmt w:val="decimal"/>
      <w:lvlText w:val="%4."/>
      <w:lvlJc w:val="left"/>
      <w:pPr>
        <w:ind w:left="2880" w:hanging="360"/>
      </w:pPr>
    </w:lvl>
    <w:lvl w:ilvl="4" w:tplc="7638BC80">
      <w:start w:val="1"/>
      <w:numFmt w:val="lowerLetter"/>
      <w:lvlText w:val="%5."/>
      <w:lvlJc w:val="left"/>
      <w:pPr>
        <w:ind w:left="3600" w:hanging="360"/>
      </w:pPr>
    </w:lvl>
    <w:lvl w:ilvl="5" w:tplc="0ACEFEEC">
      <w:start w:val="1"/>
      <w:numFmt w:val="lowerRoman"/>
      <w:lvlText w:val="%6."/>
      <w:lvlJc w:val="right"/>
      <w:pPr>
        <w:ind w:left="4320" w:hanging="180"/>
      </w:pPr>
    </w:lvl>
    <w:lvl w:ilvl="6" w:tplc="6220C03E">
      <w:start w:val="1"/>
      <w:numFmt w:val="decimal"/>
      <w:lvlText w:val="%7."/>
      <w:lvlJc w:val="left"/>
      <w:pPr>
        <w:ind w:left="5040" w:hanging="360"/>
      </w:pPr>
    </w:lvl>
    <w:lvl w:ilvl="7" w:tplc="C15A3C58">
      <w:start w:val="1"/>
      <w:numFmt w:val="lowerLetter"/>
      <w:lvlText w:val="%8."/>
      <w:lvlJc w:val="left"/>
      <w:pPr>
        <w:ind w:left="5760" w:hanging="360"/>
      </w:pPr>
    </w:lvl>
    <w:lvl w:ilvl="8" w:tplc="5DE44878">
      <w:start w:val="1"/>
      <w:numFmt w:val="lowerRoman"/>
      <w:lvlText w:val="%9."/>
      <w:lvlJc w:val="right"/>
      <w:pPr>
        <w:ind w:left="6480" w:hanging="180"/>
      </w:pPr>
    </w:lvl>
  </w:abstractNum>
  <w:abstractNum w:abstractNumId="75" w15:restartNumberingAfterBreak="0">
    <w:nsid w:val="4A4A38E4"/>
    <w:multiLevelType w:val="hybridMultilevel"/>
    <w:tmpl w:val="9E549C62"/>
    <w:lvl w:ilvl="0" w:tplc="E622546E">
      <w:start w:val="1"/>
      <w:numFmt w:val="bullet"/>
      <w:lvlText w:val=""/>
      <w:lvlJc w:val="left"/>
      <w:pPr>
        <w:ind w:left="720" w:hanging="360"/>
      </w:pPr>
      <w:rPr>
        <w:rFonts w:ascii="Symbol" w:hAnsi="Symbol" w:hint="default"/>
      </w:rPr>
    </w:lvl>
    <w:lvl w:ilvl="1" w:tplc="62C0C5A6">
      <w:start w:val="1"/>
      <w:numFmt w:val="bullet"/>
      <w:lvlText w:val="o"/>
      <w:lvlJc w:val="left"/>
      <w:pPr>
        <w:ind w:left="1440" w:hanging="360"/>
      </w:pPr>
      <w:rPr>
        <w:rFonts w:ascii="Courier New" w:hAnsi="Courier New" w:hint="default"/>
      </w:rPr>
    </w:lvl>
    <w:lvl w:ilvl="2" w:tplc="E82EBA5E">
      <w:start w:val="1"/>
      <w:numFmt w:val="bullet"/>
      <w:lvlText w:val=""/>
      <w:lvlJc w:val="left"/>
      <w:pPr>
        <w:ind w:left="2160" w:hanging="360"/>
      </w:pPr>
      <w:rPr>
        <w:rFonts w:ascii="Wingdings" w:hAnsi="Wingdings" w:hint="default"/>
      </w:rPr>
    </w:lvl>
    <w:lvl w:ilvl="3" w:tplc="37B463B8">
      <w:start w:val="1"/>
      <w:numFmt w:val="bullet"/>
      <w:lvlText w:val=""/>
      <w:lvlJc w:val="left"/>
      <w:pPr>
        <w:ind w:left="2880" w:hanging="360"/>
      </w:pPr>
      <w:rPr>
        <w:rFonts w:ascii="Symbol" w:hAnsi="Symbol" w:hint="default"/>
      </w:rPr>
    </w:lvl>
    <w:lvl w:ilvl="4" w:tplc="1A662D8E">
      <w:start w:val="1"/>
      <w:numFmt w:val="bullet"/>
      <w:lvlText w:val="o"/>
      <w:lvlJc w:val="left"/>
      <w:pPr>
        <w:ind w:left="3600" w:hanging="360"/>
      </w:pPr>
      <w:rPr>
        <w:rFonts w:ascii="Courier New" w:hAnsi="Courier New" w:hint="default"/>
      </w:rPr>
    </w:lvl>
    <w:lvl w:ilvl="5" w:tplc="1E109234">
      <w:start w:val="1"/>
      <w:numFmt w:val="bullet"/>
      <w:lvlText w:val=""/>
      <w:lvlJc w:val="left"/>
      <w:pPr>
        <w:ind w:left="4320" w:hanging="360"/>
      </w:pPr>
      <w:rPr>
        <w:rFonts w:ascii="Wingdings" w:hAnsi="Wingdings" w:hint="default"/>
      </w:rPr>
    </w:lvl>
    <w:lvl w:ilvl="6" w:tplc="822416F2">
      <w:start w:val="1"/>
      <w:numFmt w:val="bullet"/>
      <w:lvlText w:val=""/>
      <w:lvlJc w:val="left"/>
      <w:pPr>
        <w:ind w:left="5040" w:hanging="360"/>
      </w:pPr>
      <w:rPr>
        <w:rFonts w:ascii="Symbol" w:hAnsi="Symbol" w:hint="default"/>
      </w:rPr>
    </w:lvl>
    <w:lvl w:ilvl="7" w:tplc="AFEC8AB0">
      <w:start w:val="1"/>
      <w:numFmt w:val="bullet"/>
      <w:lvlText w:val="o"/>
      <w:lvlJc w:val="left"/>
      <w:pPr>
        <w:ind w:left="5760" w:hanging="360"/>
      </w:pPr>
      <w:rPr>
        <w:rFonts w:ascii="Courier New" w:hAnsi="Courier New" w:hint="default"/>
      </w:rPr>
    </w:lvl>
    <w:lvl w:ilvl="8" w:tplc="E972716A">
      <w:start w:val="1"/>
      <w:numFmt w:val="bullet"/>
      <w:lvlText w:val=""/>
      <w:lvlJc w:val="left"/>
      <w:pPr>
        <w:ind w:left="6480" w:hanging="360"/>
      </w:pPr>
      <w:rPr>
        <w:rFonts w:ascii="Wingdings" w:hAnsi="Wingdings" w:hint="default"/>
      </w:rPr>
    </w:lvl>
  </w:abstractNum>
  <w:abstractNum w:abstractNumId="76" w15:restartNumberingAfterBreak="0">
    <w:nsid w:val="4AEFC693"/>
    <w:multiLevelType w:val="hybridMultilevel"/>
    <w:tmpl w:val="CE94ABBC"/>
    <w:lvl w:ilvl="0" w:tplc="F7C01C04">
      <w:start w:val="1"/>
      <w:numFmt w:val="bullet"/>
      <w:lvlText w:val=""/>
      <w:lvlJc w:val="left"/>
      <w:pPr>
        <w:ind w:left="720" w:hanging="360"/>
      </w:pPr>
      <w:rPr>
        <w:rFonts w:ascii="Symbol" w:hAnsi="Symbol" w:hint="default"/>
      </w:rPr>
    </w:lvl>
    <w:lvl w:ilvl="1" w:tplc="2A464DA8">
      <w:start w:val="1"/>
      <w:numFmt w:val="bullet"/>
      <w:lvlText w:val="o"/>
      <w:lvlJc w:val="left"/>
      <w:pPr>
        <w:ind w:left="1440" w:hanging="360"/>
      </w:pPr>
      <w:rPr>
        <w:rFonts w:ascii="Courier New" w:hAnsi="Courier New" w:hint="default"/>
      </w:rPr>
    </w:lvl>
    <w:lvl w:ilvl="2" w:tplc="B6880078">
      <w:start w:val="1"/>
      <w:numFmt w:val="bullet"/>
      <w:lvlText w:val=""/>
      <w:lvlJc w:val="left"/>
      <w:pPr>
        <w:ind w:left="2160" w:hanging="360"/>
      </w:pPr>
      <w:rPr>
        <w:rFonts w:ascii="Wingdings" w:hAnsi="Wingdings" w:hint="default"/>
      </w:rPr>
    </w:lvl>
    <w:lvl w:ilvl="3" w:tplc="3FDE96D2">
      <w:start w:val="1"/>
      <w:numFmt w:val="bullet"/>
      <w:lvlText w:val=""/>
      <w:lvlJc w:val="left"/>
      <w:pPr>
        <w:ind w:left="2880" w:hanging="360"/>
      </w:pPr>
      <w:rPr>
        <w:rFonts w:ascii="Symbol" w:hAnsi="Symbol" w:hint="default"/>
      </w:rPr>
    </w:lvl>
    <w:lvl w:ilvl="4" w:tplc="6F661680">
      <w:start w:val="1"/>
      <w:numFmt w:val="bullet"/>
      <w:lvlText w:val="o"/>
      <w:lvlJc w:val="left"/>
      <w:pPr>
        <w:ind w:left="3600" w:hanging="360"/>
      </w:pPr>
      <w:rPr>
        <w:rFonts w:ascii="Courier New" w:hAnsi="Courier New" w:hint="default"/>
      </w:rPr>
    </w:lvl>
    <w:lvl w:ilvl="5" w:tplc="862A6396">
      <w:start w:val="1"/>
      <w:numFmt w:val="bullet"/>
      <w:lvlText w:val=""/>
      <w:lvlJc w:val="left"/>
      <w:pPr>
        <w:ind w:left="4320" w:hanging="360"/>
      </w:pPr>
      <w:rPr>
        <w:rFonts w:ascii="Wingdings" w:hAnsi="Wingdings" w:hint="default"/>
      </w:rPr>
    </w:lvl>
    <w:lvl w:ilvl="6" w:tplc="DDD862F4">
      <w:start w:val="1"/>
      <w:numFmt w:val="bullet"/>
      <w:lvlText w:val=""/>
      <w:lvlJc w:val="left"/>
      <w:pPr>
        <w:ind w:left="5040" w:hanging="360"/>
      </w:pPr>
      <w:rPr>
        <w:rFonts w:ascii="Symbol" w:hAnsi="Symbol" w:hint="default"/>
      </w:rPr>
    </w:lvl>
    <w:lvl w:ilvl="7" w:tplc="B15A602E">
      <w:start w:val="1"/>
      <w:numFmt w:val="bullet"/>
      <w:lvlText w:val="o"/>
      <w:lvlJc w:val="left"/>
      <w:pPr>
        <w:ind w:left="5760" w:hanging="360"/>
      </w:pPr>
      <w:rPr>
        <w:rFonts w:ascii="Courier New" w:hAnsi="Courier New" w:hint="default"/>
      </w:rPr>
    </w:lvl>
    <w:lvl w:ilvl="8" w:tplc="511C30BE">
      <w:start w:val="1"/>
      <w:numFmt w:val="bullet"/>
      <w:lvlText w:val=""/>
      <w:lvlJc w:val="left"/>
      <w:pPr>
        <w:ind w:left="6480" w:hanging="360"/>
      </w:pPr>
      <w:rPr>
        <w:rFonts w:ascii="Wingdings" w:hAnsi="Wingdings" w:hint="default"/>
      </w:rPr>
    </w:lvl>
  </w:abstractNum>
  <w:abstractNum w:abstractNumId="77" w15:restartNumberingAfterBreak="0">
    <w:nsid w:val="4B7D3AA5"/>
    <w:multiLevelType w:val="hybridMultilevel"/>
    <w:tmpl w:val="BDB0A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4BB81514"/>
    <w:multiLevelType w:val="multilevel"/>
    <w:tmpl w:val="1D64DDF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4DE74AE9"/>
    <w:multiLevelType w:val="hybridMultilevel"/>
    <w:tmpl w:val="CC36DDFA"/>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0" w15:restartNumberingAfterBreak="0">
    <w:nsid w:val="51697266"/>
    <w:multiLevelType w:val="multilevel"/>
    <w:tmpl w:val="14CC2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179A67E"/>
    <w:multiLevelType w:val="hybridMultilevel"/>
    <w:tmpl w:val="A24CDB80"/>
    <w:lvl w:ilvl="0" w:tplc="4B3E22DC">
      <w:start w:val="1"/>
      <w:numFmt w:val="bullet"/>
      <w:lvlText w:val="-"/>
      <w:lvlJc w:val="left"/>
      <w:pPr>
        <w:ind w:left="720" w:hanging="360"/>
      </w:pPr>
      <w:rPr>
        <w:rFonts w:ascii="&quot;Calibri&quot;,sans-serif" w:hAnsi="&quot;Calibri&quot;,sans-serif" w:hint="default"/>
      </w:rPr>
    </w:lvl>
    <w:lvl w:ilvl="1" w:tplc="9E500DB0">
      <w:start w:val="1"/>
      <w:numFmt w:val="bullet"/>
      <w:lvlText w:val="o"/>
      <w:lvlJc w:val="left"/>
      <w:pPr>
        <w:ind w:left="1440" w:hanging="360"/>
      </w:pPr>
      <w:rPr>
        <w:rFonts w:ascii="Courier New" w:hAnsi="Courier New" w:hint="default"/>
      </w:rPr>
    </w:lvl>
    <w:lvl w:ilvl="2" w:tplc="6A0A60CC">
      <w:start w:val="1"/>
      <w:numFmt w:val="bullet"/>
      <w:lvlText w:val=""/>
      <w:lvlJc w:val="left"/>
      <w:pPr>
        <w:ind w:left="2160" w:hanging="360"/>
      </w:pPr>
      <w:rPr>
        <w:rFonts w:ascii="Wingdings" w:hAnsi="Wingdings" w:hint="default"/>
      </w:rPr>
    </w:lvl>
    <w:lvl w:ilvl="3" w:tplc="F6C800E6">
      <w:start w:val="1"/>
      <w:numFmt w:val="bullet"/>
      <w:lvlText w:val=""/>
      <w:lvlJc w:val="left"/>
      <w:pPr>
        <w:ind w:left="2880" w:hanging="360"/>
      </w:pPr>
      <w:rPr>
        <w:rFonts w:ascii="Symbol" w:hAnsi="Symbol" w:hint="default"/>
      </w:rPr>
    </w:lvl>
    <w:lvl w:ilvl="4" w:tplc="EA4643B0">
      <w:start w:val="1"/>
      <w:numFmt w:val="bullet"/>
      <w:lvlText w:val="o"/>
      <w:lvlJc w:val="left"/>
      <w:pPr>
        <w:ind w:left="3600" w:hanging="360"/>
      </w:pPr>
      <w:rPr>
        <w:rFonts w:ascii="Courier New" w:hAnsi="Courier New" w:hint="default"/>
      </w:rPr>
    </w:lvl>
    <w:lvl w:ilvl="5" w:tplc="46965C8E">
      <w:start w:val="1"/>
      <w:numFmt w:val="bullet"/>
      <w:lvlText w:val=""/>
      <w:lvlJc w:val="left"/>
      <w:pPr>
        <w:ind w:left="4320" w:hanging="360"/>
      </w:pPr>
      <w:rPr>
        <w:rFonts w:ascii="Wingdings" w:hAnsi="Wingdings" w:hint="default"/>
      </w:rPr>
    </w:lvl>
    <w:lvl w:ilvl="6" w:tplc="3EE41CCE">
      <w:start w:val="1"/>
      <w:numFmt w:val="bullet"/>
      <w:lvlText w:val=""/>
      <w:lvlJc w:val="left"/>
      <w:pPr>
        <w:ind w:left="5040" w:hanging="360"/>
      </w:pPr>
      <w:rPr>
        <w:rFonts w:ascii="Symbol" w:hAnsi="Symbol" w:hint="default"/>
      </w:rPr>
    </w:lvl>
    <w:lvl w:ilvl="7" w:tplc="7654D694">
      <w:start w:val="1"/>
      <w:numFmt w:val="bullet"/>
      <w:lvlText w:val="o"/>
      <w:lvlJc w:val="left"/>
      <w:pPr>
        <w:ind w:left="5760" w:hanging="360"/>
      </w:pPr>
      <w:rPr>
        <w:rFonts w:ascii="Courier New" w:hAnsi="Courier New" w:hint="default"/>
      </w:rPr>
    </w:lvl>
    <w:lvl w:ilvl="8" w:tplc="6896D648">
      <w:start w:val="1"/>
      <w:numFmt w:val="bullet"/>
      <w:lvlText w:val=""/>
      <w:lvlJc w:val="left"/>
      <w:pPr>
        <w:ind w:left="6480" w:hanging="360"/>
      </w:pPr>
      <w:rPr>
        <w:rFonts w:ascii="Wingdings" w:hAnsi="Wingdings" w:hint="default"/>
      </w:rPr>
    </w:lvl>
  </w:abstractNum>
  <w:abstractNum w:abstractNumId="82" w15:restartNumberingAfterBreak="0">
    <w:nsid w:val="528CF59C"/>
    <w:multiLevelType w:val="hybridMultilevel"/>
    <w:tmpl w:val="174ACDE0"/>
    <w:lvl w:ilvl="0" w:tplc="B122FB70">
      <w:start w:val="1"/>
      <w:numFmt w:val="bullet"/>
      <w:lvlText w:val="·"/>
      <w:lvlJc w:val="left"/>
      <w:pPr>
        <w:ind w:left="720" w:hanging="360"/>
      </w:pPr>
      <w:rPr>
        <w:rFonts w:ascii="Symbol" w:hAnsi="Symbol" w:hint="default"/>
      </w:rPr>
    </w:lvl>
    <w:lvl w:ilvl="1" w:tplc="9F06515C">
      <w:start w:val="1"/>
      <w:numFmt w:val="bullet"/>
      <w:lvlText w:val="o"/>
      <w:lvlJc w:val="left"/>
      <w:pPr>
        <w:ind w:left="1440" w:hanging="360"/>
      </w:pPr>
      <w:rPr>
        <w:rFonts w:ascii="Courier New" w:hAnsi="Courier New" w:hint="default"/>
      </w:rPr>
    </w:lvl>
    <w:lvl w:ilvl="2" w:tplc="C09A6902">
      <w:start w:val="1"/>
      <w:numFmt w:val="bullet"/>
      <w:lvlText w:val=""/>
      <w:lvlJc w:val="left"/>
      <w:pPr>
        <w:ind w:left="2160" w:hanging="360"/>
      </w:pPr>
      <w:rPr>
        <w:rFonts w:ascii="Wingdings" w:hAnsi="Wingdings" w:hint="default"/>
      </w:rPr>
    </w:lvl>
    <w:lvl w:ilvl="3" w:tplc="C994E5F2">
      <w:start w:val="1"/>
      <w:numFmt w:val="bullet"/>
      <w:lvlText w:val=""/>
      <w:lvlJc w:val="left"/>
      <w:pPr>
        <w:ind w:left="2880" w:hanging="360"/>
      </w:pPr>
      <w:rPr>
        <w:rFonts w:ascii="Symbol" w:hAnsi="Symbol" w:hint="default"/>
      </w:rPr>
    </w:lvl>
    <w:lvl w:ilvl="4" w:tplc="1472E088">
      <w:start w:val="1"/>
      <w:numFmt w:val="bullet"/>
      <w:lvlText w:val="o"/>
      <w:lvlJc w:val="left"/>
      <w:pPr>
        <w:ind w:left="3600" w:hanging="360"/>
      </w:pPr>
      <w:rPr>
        <w:rFonts w:ascii="Courier New" w:hAnsi="Courier New" w:hint="default"/>
      </w:rPr>
    </w:lvl>
    <w:lvl w:ilvl="5" w:tplc="4C98C972">
      <w:start w:val="1"/>
      <w:numFmt w:val="bullet"/>
      <w:lvlText w:val=""/>
      <w:lvlJc w:val="left"/>
      <w:pPr>
        <w:ind w:left="4320" w:hanging="360"/>
      </w:pPr>
      <w:rPr>
        <w:rFonts w:ascii="Wingdings" w:hAnsi="Wingdings" w:hint="default"/>
      </w:rPr>
    </w:lvl>
    <w:lvl w:ilvl="6" w:tplc="9104CB9E">
      <w:start w:val="1"/>
      <w:numFmt w:val="bullet"/>
      <w:lvlText w:val=""/>
      <w:lvlJc w:val="left"/>
      <w:pPr>
        <w:ind w:left="5040" w:hanging="360"/>
      </w:pPr>
      <w:rPr>
        <w:rFonts w:ascii="Symbol" w:hAnsi="Symbol" w:hint="default"/>
      </w:rPr>
    </w:lvl>
    <w:lvl w:ilvl="7" w:tplc="2076A800">
      <w:start w:val="1"/>
      <w:numFmt w:val="bullet"/>
      <w:lvlText w:val="o"/>
      <w:lvlJc w:val="left"/>
      <w:pPr>
        <w:ind w:left="5760" w:hanging="360"/>
      </w:pPr>
      <w:rPr>
        <w:rFonts w:ascii="Courier New" w:hAnsi="Courier New" w:hint="default"/>
      </w:rPr>
    </w:lvl>
    <w:lvl w:ilvl="8" w:tplc="8912FF36">
      <w:start w:val="1"/>
      <w:numFmt w:val="bullet"/>
      <w:lvlText w:val=""/>
      <w:lvlJc w:val="left"/>
      <w:pPr>
        <w:ind w:left="6480" w:hanging="360"/>
      </w:pPr>
      <w:rPr>
        <w:rFonts w:ascii="Wingdings" w:hAnsi="Wingdings" w:hint="default"/>
      </w:rPr>
    </w:lvl>
  </w:abstractNum>
  <w:abstractNum w:abstractNumId="83" w15:restartNumberingAfterBreak="0">
    <w:nsid w:val="52B51F22"/>
    <w:multiLevelType w:val="hybridMultilevel"/>
    <w:tmpl w:val="025E26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4" w15:restartNumberingAfterBreak="0">
    <w:nsid w:val="540586E1"/>
    <w:multiLevelType w:val="hybridMultilevel"/>
    <w:tmpl w:val="D5ACE2A4"/>
    <w:lvl w:ilvl="0" w:tplc="3F9EF5F6">
      <w:start w:val="1"/>
      <w:numFmt w:val="bullet"/>
      <w:lvlText w:val=""/>
      <w:lvlJc w:val="left"/>
      <w:pPr>
        <w:ind w:left="720" w:hanging="360"/>
      </w:pPr>
      <w:rPr>
        <w:rFonts w:ascii="Symbol" w:hAnsi="Symbol" w:hint="default"/>
      </w:rPr>
    </w:lvl>
    <w:lvl w:ilvl="1" w:tplc="63AE8612">
      <w:start w:val="1"/>
      <w:numFmt w:val="bullet"/>
      <w:lvlText w:val="o"/>
      <w:lvlJc w:val="left"/>
      <w:pPr>
        <w:ind w:left="1440" w:hanging="360"/>
      </w:pPr>
      <w:rPr>
        <w:rFonts w:ascii="Courier New" w:hAnsi="Courier New" w:hint="default"/>
      </w:rPr>
    </w:lvl>
    <w:lvl w:ilvl="2" w:tplc="FA90323A">
      <w:start w:val="1"/>
      <w:numFmt w:val="bullet"/>
      <w:lvlText w:val=""/>
      <w:lvlJc w:val="left"/>
      <w:pPr>
        <w:ind w:left="2160" w:hanging="360"/>
      </w:pPr>
      <w:rPr>
        <w:rFonts w:ascii="Wingdings" w:hAnsi="Wingdings" w:hint="default"/>
      </w:rPr>
    </w:lvl>
    <w:lvl w:ilvl="3" w:tplc="2EE8FDB4">
      <w:start w:val="1"/>
      <w:numFmt w:val="bullet"/>
      <w:lvlText w:val=""/>
      <w:lvlJc w:val="left"/>
      <w:pPr>
        <w:ind w:left="2880" w:hanging="360"/>
      </w:pPr>
      <w:rPr>
        <w:rFonts w:ascii="Symbol" w:hAnsi="Symbol" w:hint="default"/>
      </w:rPr>
    </w:lvl>
    <w:lvl w:ilvl="4" w:tplc="B0CAAF76">
      <w:start w:val="1"/>
      <w:numFmt w:val="bullet"/>
      <w:lvlText w:val="o"/>
      <w:lvlJc w:val="left"/>
      <w:pPr>
        <w:ind w:left="3600" w:hanging="360"/>
      </w:pPr>
      <w:rPr>
        <w:rFonts w:ascii="Courier New" w:hAnsi="Courier New" w:hint="default"/>
      </w:rPr>
    </w:lvl>
    <w:lvl w:ilvl="5" w:tplc="ED6E44AC">
      <w:start w:val="1"/>
      <w:numFmt w:val="bullet"/>
      <w:lvlText w:val=""/>
      <w:lvlJc w:val="left"/>
      <w:pPr>
        <w:ind w:left="4320" w:hanging="360"/>
      </w:pPr>
      <w:rPr>
        <w:rFonts w:ascii="Wingdings" w:hAnsi="Wingdings" w:hint="default"/>
      </w:rPr>
    </w:lvl>
    <w:lvl w:ilvl="6" w:tplc="E368D2DA">
      <w:start w:val="1"/>
      <w:numFmt w:val="bullet"/>
      <w:lvlText w:val=""/>
      <w:lvlJc w:val="left"/>
      <w:pPr>
        <w:ind w:left="5040" w:hanging="360"/>
      </w:pPr>
      <w:rPr>
        <w:rFonts w:ascii="Symbol" w:hAnsi="Symbol" w:hint="default"/>
      </w:rPr>
    </w:lvl>
    <w:lvl w:ilvl="7" w:tplc="A04270EE">
      <w:start w:val="1"/>
      <w:numFmt w:val="bullet"/>
      <w:lvlText w:val="o"/>
      <w:lvlJc w:val="left"/>
      <w:pPr>
        <w:ind w:left="5760" w:hanging="360"/>
      </w:pPr>
      <w:rPr>
        <w:rFonts w:ascii="Courier New" w:hAnsi="Courier New" w:hint="default"/>
      </w:rPr>
    </w:lvl>
    <w:lvl w:ilvl="8" w:tplc="DD803738">
      <w:start w:val="1"/>
      <w:numFmt w:val="bullet"/>
      <w:lvlText w:val=""/>
      <w:lvlJc w:val="left"/>
      <w:pPr>
        <w:ind w:left="6480" w:hanging="360"/>
      </w:pPr>
      <w:rPr>
        <w:rFonts w:ascii="Wingdings" w:hAnsi="Wingdings" w:hint="default"/>
      </w:rPr>
    </w:lvl>
  </w:abstractNum>
  <w:abstractNum w:abstractNumId="85" w15:restartNumberingAfterBreak="0">
    <w:nsid w:val="55333CC9"/>
    <w:multiLevelType w:val="hybridMultilevel"/>
    <w:tmpl w:val="FFFFFFFF"/>
    <w:lvl w:ilvl="0" w:tplc="561E4C1A">
      <w:start w:val="1"/>
      <w:numFmt w:val="bullet"/>
      <w:lvlText w:val=""/>
      <w:lvlJc w:val="left"/>
      <w:pPr>
        <w:ind w:left="720" w:hanging="360"/>
      </w:pPr>
      <w:rPr>
        <w:rFonts w:ascii="Symbol" w:hAnsi="Symbol" w:hint="default"/>
      </w:rPr>
    </w:lvl>
    <w:lvl w:ilvl="1" w:tplc="FD4271C8">
      <w:start w:val="1"/>
      <w:numFmt w:val="bullet"/>
      <w:lvlText w:val="o"/>
      <w:lvlJc w:val="left"/>
      <w:pPr>
        <w:ind w:left="1440" w:hanging="360"/>
      </w:pPr>
      <w:rPr>
        <w:rFonts w:ascii="Courier New" w:hAnsi="Courier New" w:hint="default"/>
      </w:rPr>
    </w:lvl>
    <w:lvl w:ilvl="2" w:tplc="67348B40">
      <w:start w:val="1"/>
      <w:numFmt w:val="bullet"/>
      <w:lvlText w:val=""/>
      <w:lvlJc w:val="left"/>
      <w:pPr>
        <w:ind w:left="2160" w:hanging="360"/>
      </w:pPr>
      <w:rPr>
        <w:rFonts w:ascii="Wingdings" w:hAnsi="Wingdings" w:hint="default"/>
      </w:rPr>
    </w:lvl>
    <w:lvl w:ilvl="3" w:tplc="7E3099AA">
      <w:start w:val="1"/>
      <w:numFmt w:val="bullet"/>
      <w:lvlText w:val=""/>
      <w:lvlJc w:val="left"/>
      <w:pPr>
        <w:ind w:left="2880" w:hanging="360"/>
      </w:pPr>
      <w:rPr>
        <w:rFonts w:ascii="Symbol" w:hAnsi="Symbol" w:hint="default"/>
      </w:rPr>
    </w:lvl>
    <w:lvl w:ilvl="4" w:tplc="82B841F0">
      <w:start w:val="1"/>
      <w:numFmt w:val="bullet"/>
      <w:lvlText w:val="o"/>
      <w:lvlJc w:val="left"/>
      <w:pPr>
        <w:ind w:left="3600" w:hanging="360"/>
      </w:pPr>
      <w:rPr>
        <w:rFonts w:ascii="Courier New" w:hAnsi="Courier New" w:hint="default"/>
      </w:rPr>
    </w:lvl>
    <w:lvl w:ilvl="5" w:tplc="DE9A694E">
      <w:start w:val="1"/>
      <w:numFmt w:val="bullet"/>
      <w:lvlText w:val=""/>
      <w:lvlJc w:val="left"/>
      <w:pPr>
        <w:ind w:left="4320" w:hanging="360"/>
      </w:pPr>
      <w:rPr>
        <w:rFonts w:ascii="Wingdings" w:hAnsi="Wingdings" w:hint="default"/>
      </w:rPr>
    </w:lvl>
    <w:lvl w:ilvl="6" w:tplc="356CC2B8">
      <w:start w:val="1"/>
      <w:numFmt w:val="bullet"/>
      <w:lvlText w:val=""/>
      <w:lvlJc w:val="left"/>
      <w:pPr>
        <w:ind w:left="5040" w:hanging="360"/>
      </w:pPr>
      <w:rPr>
        <w:rFonts w:ascii="Symbol" w:hAnsi="Symbol" w:hint="default"/>
      </w:rPr>
    </w:lvl>
    <w:lvl w:ilvl="7" w:tplc="B4220ABA">
      <w:start w:val="1"/>
      <w:numFmt w:val="bullet"/>
      <w:lvlText w:val="o"/>
      <w:lvlJc w:val="left"/>
      <w:pPr>
        <w:ind w:left="5760" w:hanging="360"/>
      </w:pPr>
      <w:rPr>
        <w:rFonts w:ascii="Courier New" w:hAnsi="Courier New" w:hint="default"/>
      </w:rPr>
    </w:lvl>
    <w:lvl w:ilvl="8" w:tplc="C3B4889A">
      <w:start w:val="1"/>
      <w:numFmt w:val="bullet"/>
      <w:lvlText w:val=""/>
      <w:lvlJc w:val="left"/>
      <w:pPr>
        <w:ind w:left="6480" w:hanging="360"/>
      </w:pPr>
      <w:rPr>
        <w:rFonts w:ascii="Wingdings" w:hAnsi="Wingdings" w:hint="default"/>
      </w:rPr>
    </w:lvl>
  </w:abstractNum>
  <w:abstractNum w:abstractNumId="86" w15:restartNumberingAfterBreak="0">
    <w:nsid w:val="55A84B70"/>
    <w:multiLevelType w:val="hybridMultilevel"/>
    <w:tmpl w:val="41EAF8EE"/>
    <w:lvl w:ilvl="0" w:tplc="700017DA">
      <w:start w:val="1"/>
      <w:numFmt w:val="bullet"/>
      <w:lvlText w:val=""/>
      <w:lvlJc w:val="left"/>
      <w:pPr>
        <w:ind w:left="720" w:hanging="360"/>
      </w:pPr>
      <w:rPr>
        <w:rFonts w:ascii="Symbol" w:hAnsi="Symbol" w:hint="default"/>
      </w:rPr>
    </w:lvl>
    <w:lvl w:ilvl="1" w:tplc="6A8CD444">
      <w:start w:val="1"/>
      <w:numFmt w:val="bullet"/>
      <w:lvlText w:val="o"/>
      <w:lvlJc w:val="left"/>
      <w:pPr>
        <w:ind w:left="1440" w:hanging="360"/>
      </w:pPr>
      <w:rPr>
        <w:rFonts w:ascii="Courier New" w:hAnsi="Courier New" w:hint="default"/>
      </w:rPr>
    </w:lvl>
    <w:lvl w:ilvl="2" w:tplc="E542CCBC">
      <w:start w:val="1"/>
      <w:numFmt w:val="bullet"/>
      <w:lvlText w:val=""/>
      <w:lvlJc w:val="left"/>
      <w:pPr>
        <w:ind w:left="2160" w:hanging="360"/>
      </w:pPr>
      <w:rPr>
        <w:rFonts w:ascii="Wingdings" w:hAnsi="Wingdings" w:hint="default"/>
      </w:rPr>
    </w:lvl>
    <w:lvl w:ilvl="3" w:tplc="BD5861D6">
      <w:start w:val="1"/>
      <w:numFmt w:val="bullet"/>
      <w:lvlText w:val=""/>
      <w:lvlJc w:val="left"/>
      <w:pPr>
        <w:ind w:left="2880" w:hanging="360"/>
      </w:pPr>
      <w:rPr>
        <w:rFonts w:ascii="Symbol" w:hAnsi="Symbol" w:hint="default"/>
      </w:rPr>
    </w:lvl>
    <w:lvl w:ilvl="4" w:tplc="A40AB0A8">
      <w:start w:val="1"/>
      <w:numFmt w:val="bullet"/>
      <w:lvlText w:val="o"/>
      <w:lvlJc w:val="left"/>
      <w:pPr>
        <w:ind w:left="3600" w:hanging="360"/>
      </w:pPr>
      <w:rPr>
        <w:rFonts w:ascii="Courier New" w:hAnsi="Courier New" w:hint="default"/>
      </w:rPr>
    </w:lvl>
    <w:lvl w:ilvl="5" w:tplc="AB38F284">
      <w:start w:val="1"/>
      <w:numFmt w:val="bullet"/>
      <w:lvlText w:val=""/>
      <w:lvlJc w:val="left"/>
      <w:pPr>
        <w:ind w:left="4320" w:hanging="360"/>
      </w:pPr>
      <w:rPr>
        <w:rFonts w:ascii="Wingdings" w:hAnsi="Wingdings" w:hint="default"/>
      </w:rPr>
    </w:lvl>
    <w:lvl w:ilvl="6" w:tplc="468CFC44">
      <w:start w:val="1"/>
      <w:numFmt w:val="bullet"/>
      <w:lvlText w:val=""/>
      <w:lvlJc w:val="left"/>
      <w:pPr>
        <w:ind w:left="5040" w:hanging="360"/>
      </w:pPr>
      <w:rPr>
        <w:rFonts w:ascii="Symbol" w:hAnsi="Symbol" w:hint="default"/>
      </w:rPr>
    </w:lvl>
    <w:lvl w:ilvl="7" w:tplc="80CA2A08">
      <w:start w:val="1"/>
      <w:numFmt w:val="bullet"/>
      <w:lvlText w:val="o"/>
      <w:lvlJc w:val="left"/>
      <w:pPr>
        <w:ind w:left="5760" w:hanging="360"/>
      </w:pPr>
      <w:rPr>
        <w:rFonts w:ascii="Courier New" w:hAnsi="Courier New" w:hint="default"/>
      </w:rPr>
    </w:lvl>
    <w:lvl w:ilvl="8" w:tplc="E0D861A2">
      <w:start w:val="1"/>
      <w:numFmt w:val="bullet"/>
      <w:lvlText w:val=""/>
      <w:lvlJc w:val="left"/>
      <w:pPr>
        <w:ind w:left="6480" w:hanging="360"/>
      </w:pPr>
      <w:rPr>
        <w:rFonts w:ascii="Wingdings" w:hAnsi="Wingdings" w:hint="default"/>
      </w:rPr>
    </w:lvl>
  </w:abstractNum>
  <w:abstractNum w:abstractNumId="87" w15:restartNumberingAfterBreak="0">
    <w:nsid w:val="56A5501A"/>
    <w:multiLevelType w:val="hybridMultilevel"/>
    <w:tmpl w:val="98BE43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58EE7B69"/>
    <w:multiLevelType w:val="hybridMultilevel"/>
    <w:tmpl w:val="6EF06844"/>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CAD1889"/>
    <w:multiLevelType w:val="multilevel"/>
    <w:tmpl w:val="FCAA8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DD522F9"/>
    <w:multiLevelType w:val="hybridMultilevel"/>
    <w:tmpl w:val="AD80AA3C"/>
    <w:lvl w:ilvl="0" w:tplc="661A92F0">
      <w:start w:val="1"/>
      <w:numFmt w:val="bullet"/>
      <w:lvlText w:val="-"/>
      <w:lvlJc w:val="left"/>
      <w:pPr>
        <w:ind w:left="720" w:hanging="360"/>
      </w:pPr>
      <w:rPr>
        <w:rFonts w:ascii="&quot;Calibri&quot;,sans-serif" w:hAnsi="&quot;Calibri&quot;,sans-serif" w:hint="default"/>
      </w:rPr>
    </w:lvl>
    <w:lvl w:ilvl="1" w:tplc="A08E15FA">
      <w:start w:val="1"/>
      <w:numFmt w:val="bullet"/>
      <w:lvlText w:val="o"/>
      <w:lvlJc w:val="left"/>
      <w:pPr>
        <w:ind w:left="1440" w:hanging="360"/>
      </w:pPr>
      <w:rPr>
        <w:rFonts w:ascii="Courier New" w:hAnsi="Courier New" w:hint="default"/>
      </w:rPr>
    </w:lvl>
    <w:lvl w:ilvl="2" w:tplc="720CD7E0">
      <w:start w:val="1"/>
      <w:numFmt w:val="bullet"/>
      <w:lvlText w:val=""/>
      <w:lvlJc w:val="left"/>
      <w:pPr>
        <w:ind w:left="2160" w:hanging="360"/>
      </w:pPr>
      <w:rPr>
        <w:rFonts w:ascii="Wingdings" w:hAnsi="Wingdings" w:hint="default"/>
      </w:rPr>
    </w:lvl>
    <w:lvl w:ilvl="3" w:tplc="5ADAC8A2">
      <w:start w:val="1"/>
      <w:numFmt w:val="bullet"/>
      <w:lvlText w:val=""/>
      <w:lvlJc w:val="left"/>
      <w:pPr>
        <w:ind w:left="2880" w:hanging="360"/>
      </w:pPr>
      <w:rPr>
        <w:rFonts w:ascii="Symbol" w:hAnsi="Symbol" w:hint="default"/>
      </w:rPr>
    </w:lvl>
    <w:lvl w:ilvl="4" w:tplc="9090597A">
      <w:start w:val="1"/>
      <w:numFmt w:val="bullet"/>
      <w:lvlText w:val="o"/>
      <w:lvlJc w:val="left"/>
      <w:pPr>
        <w:ind w:left="3600" w:hanging="360"/>
      </w:pPr>
      <w:rPr>
        <w:rFonts w:ascii="Courier New" w:hAnsi="Courier New" w:hint="default"/>
      </w:rPr>
    </w:lvl>
    <w:lvl w:ilvl="5" w:tplc="1D0CAFB2">
      <w:start w:val="1"/>
      <w:numFmt w:val="bullet"/>
      <w:lvlText w:val=""/>
      <w:lvlJc w:val="left"/>
      <w:pPr>
        <w:ind w:left="4320" w:hanging="360"/>
      </w:pPr>
      <w:rPr>
        <w:rFonts w:ascii="Wingdings" w:hAnsi="Wingdings" w:hint="default"/>
      </w:rPr>
    </w:lvl>
    <w:lvl w:ilvl="6" w:tplc="E09C6D24">
      <w:start w:val="1"/>
      <w:numFmt w:val="bullet"/>
      <w:lvlText w:val=""/>
      <w:lvlJc w:val="left"/>
      <w:pPr>
        <w:ind w:left="5040" w:hanging="360"/>
      </w:pPr>
      <w:rPr>
        <w:rFonts w:ascii="Symbol" w:hAnsi="Symbol" w:hint="default"/>
      </w:rPr>
    </w:lvl>
    <w:lvl w:ilvl="7" w:tplc="9CC0F12A">
      <w:start w:val="1"/>
      <w:numFmt w:val="bullet"/>
      <w:lvlText w:val="o"/>
      <w:lvlJc w:val="left"/>
      <w:pPr>
        <w:ind w:left="5760" w:hanging="360"/>
      </w:pPr>
      <w:rPr>
        <w:rFonts w:ascii="Courier New" w:hAnsi="Courier New" w:hint="default"/>
      </w:rPr>
    </w:lvl>
    <w:lvl w:ilvl="8" w:tplc="6F80091E">
      <w:start w:val="1"/>
      <w:numFmt w:val="bullet"/>
      <w:lvlText w:val=""/>
      <w:lvlJc w:val="left"/>
      <w:pPr>
        <w:ind w:left="6480" w:hanging="360"/>
      </w:pPr>
      <w:rPr>
        <w:rFonts w:ascii="Wingdings" w:hAnsi="Wingdings" w:hint="default"/>
      </w:rPr>
    </w:lvl>
  </w:abstractNum>
  <w:abstractNum w:abstractNumId="91" w15:restartNumberingAfterBreak="0">
    <w:nsid w:val="5DF72592"/>
    <w:multiLevelType w:val="hybridMultilevel"/>
    <w:tmpl w:val="E95E7C5E"/>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FD6895"/>
    <w:multiLevelType w:val="hybridMultilevel"/>
    <w:tmpl w:val="6CEABE6E"/>
    <w:lvl w:ilvl="0" w:tplc="355A1552">
      <w:start w:val="1"/>
      <w:numFmt w:val="bullet"/>
      <w:lvlText w:val=""/>
      <w:lvlJc w:val="left"/>
      <w:pPr>
        <w:ind w:left="720" w:hanging="360"/>
      </w:pPr>
      <w:rPr>
        <w:rFonts w:ascii="Symbol" w:hAnsi="Symbol" w:hint="default"/>
      </w:rPr>
    </w:lvl>
    <w:lvl w:ilvl="1" w:tplc="39944D88">
      <w:start w:val="1"/>
      <w:numFmt w:val="bullet"/>
      <w:lvlText w:val="o"/>
      <w:lvlJc w:val="left"/>
      <w:pPr>
        <w:ind w:left="1440" w:hanging="360"/>
      </w:pPr>
      <w:rPr>
        <w:rFonts w:ascii="Courier New" w:hAnsi="Courier New" w:hint="default"/>
      </w:rPr>
    </w:lvl>
    <w:lvl w:ilvl="2" w:tplc="F2ECD16A">
      <w:start w:val="1"/>
      <w:numFmt w:val="bullet"/>
      <w:lvlText w:val=""/>
      <w:lvlJc w:val="left"/>
      <w:pPr>
        <w:ind w:left="2160" w:hanging="360"/>
      </w:pPr>
      <w:rPr>
        <w:rFonts w:ascii="Wingdings" w:hAnsi="Wingdings" w:hint="default"/>
      </w:rPr>
    </w:lvl>
    <w:lvl w:ilvl="3" w:tplc="5B82DBC2">
      <w:start w:val="1"/>
      <w:numFmt w:val="bullet"/>
      <w:lvlText w:val=""/>
      <w:lvlJc w:val="left"/>
      <w:pPr>
        <w:ind w:left="2880" w:hanging="360"/>
      </w:pPr>
      <w:rPr>
        <w:rFonts w:ascii="Symbol" w:hAnsi="Symbol" w:hint="default"/>
      </w:rPr>
    </w:lvl>
    <w:lvl w:ilvl="4" w:tplc="31E46670">
      <w:start w:val="1"/>
      <w:numFmt w:val="bullet"/>
      <w:lvlText w:val="o"/>
      <w:lvlJc w:val="left"/>
      <w:pPr>
        <w:ind w:left="3600" w:hanging="360"/>
      </w:pPr>
      <w:rPr>
        <w:rFonts w:ascii="Courier New" w:hAnsi="Courier New" w:hint="default"/>
      </w:rPr>
    </w:lvl>
    <w:lvl w:ilvl="5" w:tplc="601A643A">
      <w:start w:val="1"/>
      <w:numFmt w:val="bullet"/>
      <w:lvlText w:val=""/>
      <w:lvlJc w:val="left"/>
      <w:pPr>
        <w:ind w:left="4320" w:hanging="360"/>
      </w:pPr>
      <w:rPr>
        <w:rFonts w:ascii="Wingdings" w:hAnsi="Wingdings" w:hint="default"/>
      </w:rPr>
    </w:lvl>
    <w:lvl w:ilvl="6" w:tplc="6AA80662">
      <w:start w:val="1"/>
      <w:numFmt w:val="bullet"/>
      <w:lvlText w:val=""/>
      <w:lvlJc w:val="left"/>
      <w:pPr>
        <w:ind w:left="5040" w:hanging="360"/>
      </w:pPr>
      <w:rPr>
        <w:rFonts w:ascii="Symbol" w:hAnsi="Symbol" w:hint="default"/>
      </w:rPr>
    </w:lvl>
    <w:lvl w:ilvl="7" w:tplc="31A6FE7E">
      <w:start w:val="1"/>
      <w:numFmt w:val="bullet"/>
      <w:lvlText w:val="o"/>
      <w:lvlJc w:val="left"/>
      <w:pPr>
        <w:ind w:left="5760" w:hanging="360"/>
      </w:pPr>
      <w:rPr>
        <w:rFonts w:ascii="Courier New" w:hAnsi="Courier New" w:hint="default"/>
      </w:rPr>
    </w:lvl>
    <w:lvl w:ilvl="8" w:tplc="B536455C">
      <w:start w:val="1"/>
      <w:numFmt w:val="bullet"/>
      <w:lvlText w:val=""/>
      <w:lvlJc w:val="left"/>
      <w:pPr>
        <w:ind w:left="6480" w:hanging="360"/>
      </w:pPr>
      <w:rPr>
        <w:rFonts w:ascii="Wingdings" w:hAnsi="Wingdings" w:hint="default"/>
      </w:rPr>
    </w:lvl>
  </w:abstractNum>
  <w:abstractNum w:abstractNumId="93" w15:restartNumberingAfterBreak="0">
    <w:nsid w:val="607D5C51"/>
    <w:multiLevelType w:val="hybridMultilevel"/>
    <w:tmpl w:val="D8A237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61030AF8"/>
    <w:multiLevelType w:val="hybridMultilevel"/>
    <w:tmpl w:val="1124E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62911DC6"/>
    <w:multiLevelType w:val="multilevel"/>
    <w:tmpl w:val="F2809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54C5EC2"/>
    <w:multiLevelType w:val="hybridMultilevel"/>
    <w:tmpl w:val="36E20C72"/>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7" w15:restartNumberingAfterBreak="0">
    <w:nsid w:val="660B0676"/>
    <w:multiLevelType w:val="hybridMultilevel"/>
    <w:tmpl w:val="331E592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67410715"/>
    <w:multiLevelType w:val="multilevel"/>
    <w:tmpl w:val="D778B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6840C149"/>
    <w:multiLevelType w:val="hybridMultilevel"/>
    <w:tmpl w:val="6F6024C4"/>
    <w:lvl w:ilvl="0" w:tplc="F782C038">
      <w:start w:val="1"/>
      <w:numFmt w:val="bullet"/>
      <w:lvlText w:val="-"/>
      <w:lvlJc w:val="left"/>
      <w:pPr>
        <w:ind w:left="720" w:hanging="360"/>
      </w:pPr>
      <w:rPr>
        <w:rFonts w:ascii="&quot;Calibri&quot;,sans-serif" w:hAnsi="&quot;Calibri&quot;,sans-serif" w:hint="default"/>
      </w:rPr>
    </w:lvl>
    <w:lvl w:ilvl="1" w:tplc="D810779C">
      <w:start w:val="1"/>
      <w:numFmt w:val="bullet"/>
      <w:lvlText w:val="o"/>
      <w:lvlJc w:val="left"/>
      <w:pPr>
        <w:ind w:left="1440" w:hanging="360"/>
      </w:pPr>
      <w:rPr>
        <w:rFonts w:ascii="Courier New" w:hAnsi="Courier New" w:hint="default"/>
      </w:rPr>
    </w:lvl>
    <w:lvl w:ilvl="2" w:tplc="12545F02">
      <w:start w:val="1"/>
      <w:numFmt w:val="bullet"/>
      <w:lvlText w:val=""/>
      <w:lvlJc w:val="left"/>
      <w:pPr>
        <w:ind w:left="2160" w:hanging="360"/>
      </w:pPr>
      <w:rPr>
        <w:rFonts w:ascii="Wingdings" w:hAnsi="Wingdings" w:hint="default"/>
      </w:rPr>
    </w:lvl>
    <w:lvl w:ilvl="3" w:tplc="5470E2B6">
      <w:start w:val="1"/>
      <w:numFmt w:val="bullet"/>
      <w:lvlText w:val=""/>
      <w:lvlJc w:val="left"/>
      <w:pPr>
        <w:ind w:left="2880" w:hanging="360"/>
      </w:pPr>
      <w:rPr>
        <w:rFonts w:ascii="Symbol" w:hAnsi="Symbol" w:hint="default"/>
      </w:rPr>
    </w:lvl>
    <w:lvl w:ilvl="4" w:tplc="1BB68204">
      <w:start w:val="1"/>
      <w:numFmt w:val="bullet"/>
      <w:lvlText w:val="o"/>
      <w:lvlJc w:val="left"/>
      <w:pPr>
        <w:ind w:left="3600" w:hanging="360"/>
      </w:pPr>
      <w:rPr>
        <w:rFonts w:ascii="Courier New" w:hAnsi="Courier New" w:hint="default"/>
      </w:rPr>
    </w:lvl>
    <w:lvl w:ilvl="5" w:tplc="6D2A5332">
      <w:start w:val="1"/>
      <w:numFmt w:val="bullet"/>
      <w:lvlText w:val=""/>
      <w:lvlJc w:val="left"/>
      <w:pPr>
        <w:ind w:left="4320" w:hanging="360"/>
      </w:pPr>
      <w:rPr>
        <w:rFonts w:ascii="Wingdings" w:hAnsi="Wingdings" w:hint="default"/>
      </w:rPr>
    </w:lvl>
    <w:lvl w:ilvl="6" w:tplc="29700942">
      <w:start w:val="1"/>
      <w:numFmt w:val="bullet"/>
      <w:lvlText w:val=""/>
      <w:lvlJc w:val="left"/>
      <w:pPr>
        <w:ind w:left="5040" w:hanging="360"/>
      </w:pPr>
      <w:rPr>
        <w:rFonts w:ascii="Symbol" w:hAnsi="Symbol" w:hint="default"/>
      </w:rPr>
    </w:lvl>
    <w:lvl w:ilvl="7" w:tplc="78D638D2">
      <w:start w:val="1"/>
      <w:numFmt w:val="bullet"/>
      <w:lvlText w:val="o"/>
      <w:lvlJc w:val="left"/>
      <w:pPr>
        <w:ind w:left="5760" w:hanging="360"/>
      </w:pPr>
      <w:rPr>
        <w:rFonts w:ascii="Courier New" w:hAnsi="Courier New" w:hint="default"/>
      </w:rPr>
    </w:lvl>
    <w:lvl w:ilvl="8" w:tplc="36B2C6FE">
      <w:start w:val="1"/>
      <w:numFmt w:val="bullet"/>
      <w:lvlText w:val=""/>
      <w:lvlJc w:val="left"/>
      <w:pPr>
        <w:ind w:left="6480" w:hanging="360"/>
      </w:pPr>
      <w:rPr>
        <w:rFonts w:ascii="Wingdings" w:hAnsi="Wingdings" w:hint="default"/>
      </w:rPr>
    </w:lvl>
  </w:abstractNum>
  <w:abstractNum w:abstractNumId="100" w15:restartNumberingAfterBreak="0">
    <w:nsid w:val="6A2AC601"/>
    <w:multiLevelType w:val="hybridMultilevel"/>
    <w:tmpl w:val="763ECD02"/>
    <w:lvl w:ilvl="0" w:tplc="54EA2306">
      <w:start w:val="1"/>
      <w:numFmt w:val="bullet"/>
      <w:lvlText w:val=""/>
      <w:lvlJc w:val="left"/>
      <w:pPr>
        <w:ind w:left="720" w:hanging="360"/>
      </w:pPr>
      <w:rPr>
        <w:rFonts w:ascii="Wingdings" w:hAnsi="Wingdings" w:hint="default"/>
      </w:rPr>
    </w:lvl>
    <w:lvl w:ilvl="1" w:tplc="EEF00272">
      <w:start w:val="1"/>
      <w:numFmt w:val="bullet"/>
      <w:lvlText w:val="o"/>
      <w:lvlJc w:val="left"/>
      <w:pPr>
        <w:ind w:left="1440" w:hanging="360"/>
      </w:pPr>
      <w:rPr>
        <w:rFonts w:ascii="Courier New" w:hAnsi="Courier New" w:hint="default"/>
      </w:rPr>
    </w:lvl>
    <w:lvl w:ilvl="2" w:tplc="27F2E586">
      <w:start w:val="1"/>
      <w:numFmt w:val="bullet"/>
      <w:lvlText w:val=""/>
      <w:lvlJc w:val="left"/>
      <w:pPr>
        <w:ind w:left="2160" w:hanging="360"/>
      </w:pPr>
      <w:rPr>
        <w:rFonts w:ascii="Wingdings" w:hAnsi="Wingdings" w:hint="default"/>
      </w:rPr>
    </w:lvl>
    <w:lvl w:ilvl="3" w:tplc="D7DCA2A0">
      <w:start w:val="1"/>
      <w:numFmt w:val="bullet"/>
      <w:lvlText w:val=""/>
      <w:lvlJc w:val="left"/>
      <w:pPr>
        <w:ind w:left="2880" w:hanging="360"/>
      </w:pPr>
      <w:rPr>
        <w:rFonts w:ascii="Symbol" w:hAnsi="Symbol" w:hint="default"/>
      </w:rPr>
    </w:lvl>
    <w:lvl w:ilvl="4" w:tplc="8362B232">
      <w:start w:val="1"/>
      <w:numFmt w:val="bullet"/>
      <w:lvlText w:val="o"/>
      <w:lvlJc w:val="left"/>
      <w:pPr>
        <w:ind w:left="3600" w:hanging="360"/>
      </w:pPr>
      <w:rPr>
        <w:rFonts w:ascii="Courier New" w:hAnsi="Courier New" w:hint="default"/>
      </w:rPr>
    </w:lvl>
    <w:lvl w:ilvl="5" w:tplc="CB82EE2A">
      <w:start w:val="1"/>
      <w:numFmt w:val="bullet"/>
      <w:lvlText w:val=""/>
      <w:lvlJc w:val="left"/>
      <w:pPr>
        <w:ind w:left="4320" w:hanging="360"/>
      </w:pPr>
      <w:rPr>
        <w:rFonts w:ascii="Wingdings" w:hAnsi="Wingdings" w:hint="default"/>
      </w:rPr>
    </w:lvl>
    <w:lvl w:ilvl="6" w:tplc="78F85574">
      <w:start w:val="1"/>
      <w:numFmt w:val="bullet"/>
      <w:lvlText w:val=""/>
      <w:lvlJc w:val="left"/>
      <w:pPr>
        <w:ind w:left="5040" w:hanging="360"/>
      </w:pPr>
      <w:rPr>
        <w:rFonts w:ascii="Symbol" w:hAnsi="Symbol" w:hint="default"/>
      </w:rPr>
    </w:lvl>
    <w:lvl w:ilvl="7" w:tplc="9FD2D442">
      <w:start w:val="1"/>
      <w:numFmt w:val="bullet"/>
      <w:lvlText w:val="o"/>
      <w:lvlJc w:val="left"/>
      <w:pPr>
        <w:ind w:left="5760" w:hanging="360"/>
      </w:pPr>
      <w:rPr>
        <w:rFonts w:ascii="Courier New" w:hAnsi="Courier New" w:hint="default"/>
      </w:rPr>
    </w:lvl>
    <w:lvl w:ilvl="8" w:tplc="A812669E">
      <w:start w:val="1"/>
      <w:numFmt w:val="bullet"/>
      <w:lvlText w:val=""/>
      <w:lvlJc w:val="left"/>
      <w:pPr>
        <w:ind w:left="6480" w:hanging="360"/>
      </w:pPr>
      <w:rPr>
        <w:rFonts w:ascii="Wingdings" w:hAnsi="Wingdings" w:hint="default"/>
      </w:rPr>
    </w:lvl>
  </w:abstractNum>
  <w:abstractNum w:abstractNumId="101" w15:restartNumberingAfterBreak="0">
    <w:nsid w:val="6BE03870"/>
    <w:multiLevelType w:val="hybridMultilevel"/>
    <w:tmpl w:val="505680EE"/>
    <w:lvl w:ilvl="0" w:tplc="C84E0CAE">
      <w:start w:val="1"/>
      <w:numFmt w:val="bullet"/>
      <w:lvlText w:val=""/>
      <w:lvlJc w:val="left"/>
      <w:pPr>
        <w:ind w:left="720" w:hanging="360"/>
      </w:pPr>
      <w:rPr>
        <w:rFonts w:ascii="Symbol" w:hAnsi="Symbol" w:hint="default"/>
      </w:rPr>
    </w:lvl>
    <w:lvl w:ilvl="1" w:tplc="C478A358">
      <w:start w:val="1"/>
      <w:numFmt w:val="bullet"/>
      <w:lvlText w:val="o"/>
      <w:lvlJc w:val="left"/>
      <w:pPr>
        <w:ind w:left="1440" w:hanging="360"/>
      </w:pPr>
      <w:rPr>
        <w:rFonts w:ascii="Courier New" w:hAnsi="Courier New" w:hint="default"/>
      </w:rPr>
    </w:lvl>
    <w:lvl w:ilvl="2" w:tplc="DCDECE34">
      <w:start w:val="1"/>
      <w:numFmt w:val="bullet"/>
      <w:lvlText w:val=""/>
      <w:lvlJc w:val="left"/>
      <w:pPr>
        <w:ind w:left="2160" w:hanging="360"/>
      </w:pPr>
      <w:rPr>
        <w:rFonts w:ascii="Wingdings" w:hAnsi="Wingdings" w:hint="default"/>
      </w:rPr>
    </w:lvl>
    <w:lvl w:ilvl="3" w:tplc="44E80F16">
      <w:start w:val="1"/>
      <w:numFmt w:val="bullet"/>
      <w:lvlText w:val=""/>
      <w:lvlJc w:val="left"/>
      <w:pPr>
        <w:ind w:left="2880" w:hanging="360"/>
      </w:pPr>
      <w:rPr>
        <w:rFonts w:ascii="Symbol" w:hAnsi="Symbol" w:hint="default"/>
      </w:rPr>
    </w:lvl>
    <w:lvl w:ilvl="4" w:tplc="27AC72C4">
      <w:start w:val="1"/>
      <w:numFmt w:val="bullet"/>
      <w:lvlText w:val="o"/>
      <w:lvlJc w:val="left"/>
      <w:pPr>
        <w:ind w:left="3600" w:hanging="360"/>
      </w:pPr>
      <w:rPr>
        <w:rFonts w:ascii="Courier New" w:hAnsi="Courier New" w:hint="default"/>
      </w:rPr>
    </w:lvl>
    <w:lvl w:ilvl="5" w:tplc="3ED25F0C">
      <w:start w:val="1"/>
      <w:numFmt w:val="bullet"/>
      <w:lvlText w:val=""/>
      <w:lvlJc w:val="left"/>
      <w:pPr>
        <w:ind w:left="4320" w:hanging="360"/>
      </w:pPr>
      <w:rPr>
        <w:rFonts w:ascii="Wingdings" w:hAnsi="Wingdings" w:hint="default"/>
      </w:rPr>
    </w:lvl>
    <w:lvl w:ilvl="6" w:tplc="D6E0E336">
      <w:start w:val="1"/>
      <w:numFmt w:val="bullet"/>
      <w:lvlText w:val=""/>
      <w:lvlJc w:val="left"/>
      <w:pPr>
        <w:ind w:left="5040" w:hanging="360"/>
      </w:pPr>
      <w:rPr>
        <w:rFonts w:ascii="Symbol" w:hAnsi="Symbol" w:hint="default"/>
      </w:rPr>
    </w:lvl>
    <w:lvl w:ilvl="7" w:tplc="30A811EC">
      <w:start w:val="1"/>
      <w:numFmt w:val="bullet"/>
      <w:lvlText w:val="o"/>
      <w:lvlJc w:val="left"/>
      <w:pPr>
        <w:ind w:left="5760" w:hanging="360"/>
      </w:pPr>
      <w:rPr>
        <w:rFonts w:ascii="Courier New" w:hAnsi="Courier New" w:hint="default"/>
      </w:rPr>
    </w:lvl>
    <w:lvl w:ilvl="8" w:tplc="01FEE27C">
      <w:start w:val="1"/>
      <w:numFmt w:val="bullet"/>
      <w:lvlText w:val=""/>
      <w:lvlJc w:val="left"/>
      <w:pPr>
        <w:ind w:left="6480" w:hanging="360"/>
      </w:pPr>
      <w:rPr>
        <w:rFonts w:ascii="Wingdings" w:hAnsi="Wingdings" w:hint="default"/>
      </w:rPr>
    </w:lvl>
  </w:abstractNum>
  <w:abstractNum w:abstractNumId="102" w15:restartNumberingAfterBreak="0">
    <w:nsid w:val="6D232FB6"/>
    <w:multiLevelType w:val="hybridMultilevel"/>
    <w:tmpl w:val="4C828E9A"/>
    <w:lvl w:ilvl="0" w:tplc="10362482">
      <w:start w:val="1"/>
      <w:numFmt w:val="bullet"/>
      <w:lvlText w:val=""/>
      <w:lvlJc w:val="left"/>
      <w:pPr>
        <w:ind w:left="720" w:hanging="360"/>
      </w:pPr>
      <w:rPr>
        <w:rFonts w:ascii="Symbol" w:hAnsi="Symbol" w:hint="default"/>
      </w:rPr>
    </w:lvl>
    <w:lvl w:ilvl="1" w:tplc="F15AC4B4">
      <w:start w:val="1"/>
      <w:numFmt w:val="bullet"/>
      <w:lvlText w:val="o"/>
      <w:lvlJc w:val="left"/>
      <w:pPr>
        <w:ind w:left="1440" w:hanging="360"/>
      </w:pPr>
      <w:rPr>
        <w:rFonts w:ascii="Courier New" w:hAnsi="Courier New" w:hint="default"/>
      </w:rPr>
    </w:lvl>
    <w:lvl w:ilvl="2" w:tplc="C47C75F8">
      <w:start w:val="1"/>
      <w:numFmt w:val="bullet"/>
      <w:lvlText w:val=""/>
      <w:lvlJc w:val="left"/>
      <w:pPr>
        <w:ind w:left="2160" w:hanging="360"/>
      </w:pPr>
      <w:rPr>
        <w:rFonts w:ascii="Wingdings" w:hAnsi="Wingdings" w:hint="default"/>
      </w:rPr>
    </w:lvl>
    <w:lvl w:ilvl="3" w:tplc="2AB231EE">
      <w:start w:val="1"/>
      <w:numFmt w:val="bullet"/>
      <w:lvlText w:val=""/>
      <w:lvlJc w:val="left"/>
      <w:pPr>
        <w:ind w:left="2880" w:hanging="360"/>
      </w:pPr>
      <w:rPr>
        <w:rFonts w:ascii="Symbol" w:hAnsi="Symbol" w:hint="default"/>
      </w:rPr>
    </w:lvl>
    <w:lvl w:ilvl="4" w:tplc="05FE5FFA">
      <w:start w:val="1"/>
      <w:numFmt w:val="bullet"/>
      <w:lvlText w:val="o"/>
      <w:lvlJc w:val="left"/>
      <w:pPr>
        <w:ind w:left="3600" w:hanging="360"/>
      </w:pPr>
      <w:rPr>
        <w:rFonts w:ascii="Courier New" w:hAnsi="Courier New" w:hint="default"/>
      </w:rPr>
    </w:lvl>
    <w:lvl w:ilvl="5" w:tplc="8B1AFB5E">
      <w:start w:val="1"/>
      <w:numFmt w:val="bullet"/>
      <w:lvlText w:val=""/>
      <w:lvlJc w:val="left"/>
      <w:pPr>
        <w:ind w:left="4320" w:hanging="360"/>
      </w:pPr>
      <w:rPr>
        <w:rFonts w:ascii="Wingdings" w:hAnsi="Wingdings" w:hint="default"/>
      </w:rPr>
    </w:lvl>
    <w:lvl w:ilvl="6" w:tplc="0F907836">
      <w:start w:val="1"/>
      <w:numFmt w:val="bullet"/>
      <w:lvlText w:val=""/>
      <w:lvlJc w:val="left"/>
      <w:pPr>
        <w:ind w:left="5040" w:hanging="360"/>
      </w:pPr>
      <w:rPr>
        <w:rFonts w:ascii="Symbol" w:hAnsi="Symbol" w:hint="default"/>
      </w:rPr>
    </w:lvl>
    <w:lvl w:ilvl="7" w:tplc="4ED24A08">
      <w:start w:val="1"/>
      <w:numFmt w:val="bullet"/>
      <w:lvlText w:val="o"/>
      <w:lvlJc w:val="left"/>
      <w:pPr>
        <w:ind w:left="5760" w:hanging="360"/>
      </w:pPr>
      <w:rPr>
        <w:rFonts w:ascii="Courier New" w:hAnsi="Courier New" w:hint="default"/>
      </w:rPr>
    </w:lvl>
    <w:lvl w:ilvl="8" w:tplc="66565F06">
      <w:start w:val="1"/>
      <w:numFmt w:val="bullet"/>
      <w:lvlText w:val=""/>
      <w:lvlJc w:val="left"/>
      <w:pPr>
        <w:ind w:left="6480" w:hanging="360"/>
      </w:pPr>
      <w:rPr>
        <w:rFonts w:ascii="Wingdings" w:hAnsi="Wingdings" w:hint="default"/>
      </w:rPr>
    </w:lvl>
  </w:abstractNum>
  <w:abstractNum w:abstractNumId="103" w15:restartNumberingAfterBreak="0">
    <w:nsid w:val="6F3B96DE"/>
    <w:multiLevelType w:val="hybridMultilevel"/>
    <w:tmpl w:val="50C038C4"/>
    <w:lvl w:ilvl="0" w:tplc="16F658B6">
      <w:start w:val="1"/>
      <w:numFmt w:val="bullet"/>
      <w:lvlText w:val="·"/>
      <w:lvlJc w:val="left"/>
      <w:pPr>
        <w:ind w:left="720" w:hanging="360"/>
      </w:pPr>
      <w:rPr>
        <w:rFonts w:ascii="Symbol" w:hAnsi="Symbol" w:hint="default"/>
      </w:rPr>
    </w:lvl>
    <w:lvl w:ilvl="1" w:tplc="A468A708">
      <w:start w:val="1"/>
      <w:numFmt w:val="bullet"/>
      <w:lvlText w:val="o"/>
      <w:lvlJc w:val="left"/>
      <w:pPr>
        <w:ind w:left="1440" w:hanging="360"/>
      </w:pPr>
      <w:rPr>
        <w:rFonts w:ascii="Courier New" w:hAnsi="Courier New" w:hint="default"/>
      </w:rPr>
    </w:lvl>
    <w:lvl w:ilvl="2" w:tplc="831AFD4A">
      <w:start w:val="1"/>
      <w:numFmt w:val="bullet"/>
      <w:lvlText w:val=""/>
      <w:lvlJc w:val="left"/>
      <w:pPr>
        <w:ind w:left="2160" w:hanging="360"/>
      </w:pPr>
      <w:rPr>
        <w:rFonts w:ascii="Wingdings" w:hAnsi="Wingdings" w:hint="default"/>
      </w:rPr>
    </w:lvl>
    <w:lvl w:ilvl="3" w:tplc="A19EA146">
      <w:start w:val="1"/>
      <w:numFmt w:val="bullet"/>
      <w:lvlText w:val=""/>
      <w:lvlJc w:val="left"/>
      <w:pPr>
        <w:ind w:left="2880" w:hanging="360"/>
      </w:pPr>
      <w:rPr>
        <w:rFonts w:ascii="Symbol" w:hAnsi="Symbol" w:hint="default"/>
      </w:rPr>
    </w:lvl>
    <w:lvl w:ilvl="4" w:tplc="7CBA5532">
      <w:start w:val="1"/>
      <w:numFmt w:val="bullet"/>
      <w:lvlText w:val="o"/>
      <w:lvlJc w:val="left"/>
      <w:pPr>
        <w:ind w:left="3600" w:hanging="360"/>
      </w:pPr>
      <w:rPr>
        <w:rFonts w:ascii="Courier New" w:hAnsi="Courier New" w:hint="default"/>
      </w:rPr>
    </w:lvl>
    <w:lvl w:ilvl="5" w:tplc="B782AB2A">
      <w:start w:val="1"/>
      <w:numFmt w:val="bullet"/>
      <w:lvlText w:val=""/>
      <w:lvlJc w:val="left"/>
      <w:pPr>
        <w:ind w:left="4320" w:hanging="360"/>
      </w:pPr>
      <w:rPr>
        <w:rFonts w:ascii="Wingdings" w:hAnsi="Wingdings" w:hint="default"/>
      </w:rPr>
    </w:lvl>
    <w:lvl w:ilvl="6" w:tplc="F4842360">
      <w:start w:val="1"/>
      <w:numFmt w:val="bullet"/>
      <w:lvlText w:val=""/>
      <w:lvlJc w:val="left"/>
      <w:pPr>
        <w:ind w:left="5040" w:hanging="360"/>
      </w:pPr>
      <w:rPr>
        <w:rFonts w:ascii="Symbol" w:hAnsi="Symbol" w:hint="default"/>
      </w:rPr>
    </w:lvl>
    <w:lvl w:ilvl="7" w:tplc="6F36DB04">
      <w:start w:val="1"/>
      <w:numFmt w:val="bullet"/>
      <w:lvlText w:val="o"/>
      <w:lvlJc w:val="left"/>
      <w:pPr>
        <w:ind w:left="5760" w:hanging="360"/>
      </w:pPr>
      <w:rPr>
        <w:rFonts w:ascii="Courier New" w:hAnsi="Courier New" w:hint="default"/>
      </w:rPr>
    </w:lvl>
    <w:lvl w:ilvl="8" w:tplc="D3527262">
      <w:start w:val="1"/>
      <w:numFmt w:val="bullet"/>
      <w:lvlText w:val=""/>
      <w:lvlJc w:val="left"/>
      <w:pPr>
        <w:ind w:left="6480" w:hanging="360"/>
      </w:pPr>
      <w:rPr>
        <w:rFonts w:ascii="Wingdings" w:hAnsi="Wingdings" w:hint="default"/>
      </w:rPr>
    </w:lvl>
  </w:abstractNum>
  <w:abstractNum w:abstractNumId="104" w15:restartNumberingAfterBreak="0">
    <w:nsid w:val="6F86322C"/>
    <w:multiLevelType w:val="multilevel"/>
    <w:tmpl w:val="194243A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FB66138"/>
    <w:multiLevelType w:val="hybridMultilevel"/>
    <w:tmpl w:val="3C060764"/>
    <w:lvl w:ilvl="0" w:tplc="D83C1332">
      <w:start w:val="1"/>
      <w:numFmt w:val="bullet"/>
      <w:lvlText w:val=""/>
      <w:lvlJc w:val="left"/>
      <w:pPr>
        <w:ind w:left="720" w:hanging="360"/>
      </w:pPr>
      <w:rPr>
        <w:rFonts w:ascii="Symbol" w:hAnsi="Symbol" w:hint="default"/>
      </w:rPr>
    </w:lvl>
    <w:lvl w:ilvl="1" w:tplc="B04CD8B8">
      <w:start w:val="1"/>
      <w:numFmt w:val="bullet"/>
      <w:lvlText w:val="o"/>
      <w:lvlJc w:val="left"/>
      <w:pPr>
        <w:ind w:left="1440" w:hanging="360"/>
      </w:pPr>
      <w:rPr>
        <w:rFonts w:ascii="Courier New" w:hAnsi="Courier New" w:hint="default"/>
      </w:rPr>
    </w:lvl>
    <w:lvl w:ilvl="2" w:tplc="8A4AC328">
      <w:start w:val="1"/>
      <w:numFmt w:val="bullet"/>
      <w:lvlText w:val=""/>
      <w:lvlJc w:val="left"/>
      <w:pPr>
        <w:ind w:left="2160" w:hanging="360"/>
      </w:pPr>
      <w:rPr>
        <w:rFonts w:ascii="Wingdings" w:hAnsi="Wingdings" w:hint="default"/>
      </w:rPr>
    </w:lvl>
    <w:lvl w:ilvl="3" w:tplc="7152E914">
      <w:start w:val="1"/>
      <w:numFmt w:val="bullet"/>
      <w:lvlText w:val=""/>
      <w:lvlJc w:val="left"/>
      <w:pPr>
        <w:ind w:left="2880" w:hanging="360"/>
      </w:pPr>
      <w:rPr>
        <w:rFonts w:ascii="Symbol" w:hAnsi="Symbol" w:hint="default"/>
      </w:rPr>
    </w:lvl>
    <w:lvl w:ilvl="4" w:tplc="429E2BFA">
      <w:start w:val="1"/>
      <w:numFmt w:val="bullet"/>
      <w:lvlText w:val="o"/>
      <w:lvlJc w:val="left"/>
      <w:pPr>
        <w:ind w:left="3600" w:hanging="360"/>
      </w:pPr>
      <w:rPr>
        <w:rFonts w:ascii="Courier New" w:hAnsi="Courier New" w:hint="default"/>
      </w:rPr>
    </w:lvl>
    <w:lvl w:ilvl="5" w:tplc="624A0C52">
      <w:start w:val="1"/>
      <w:numFmt w:val="bullet"/>
      <w:lvlText w:val=""/>
      <w:lvlJc w:val="left"/>
      <w:pPr>
        <w:ind w:left="4320" w:hanging="360"/>
      </w:pPr>
      <w:rPr>
        <w:rFonts w:ascii="Wingdings" w:hAnsi="Wingdings" w:hint="default"/>
      </w:rPr>
    </w:lvl>
    <w:lvl w:ilvl="6" w:tplc="1EE45FC8">
      <w:start w:val="1"/>
      <w:numFmt w:val="bullet"/>
      <w:lvlText w:val=""/>
      <w:lvlJc w:val="left"/>
      <w:pPr>
        <w:ind w:left="5040" w:hanging="360"/>
      </w:pPr>
      <w:rPr>
        <w:rFonts w:ascii="Symbol" w:hAnsi="Symbol" w:hint="default"/>
      </w:rPr>
    </w:lvl>
    <w:lvl w:ilvl="7" w:tplc="14F2E3A2">
      <w:start w:val="1"/>
      <w:numFmt w:val="bullet"/>
      <w:lvlText w:val="o"/>
      <w:lvlJc w:val="left"/>
      <w:pPr>
        <w:ind w:left="5760" w:hanging="360"/>
      </w:pPr>
      <w:rPr>
        <w:rFonts w:ascii="Courier New" w:hAnsi="Courier New" w:hint="default"/>
      </w:rPr>
    </w:lvl>
    <w:lvl w:ilvl="8" w:tplc="72EA17DA">
      <w:start w:val="1"/>
      <w:numFmt w:val="bullet"/>
      <w:lvlText w:val=""/>
      <w:lvlJc w:val="left"/>
      <w:pPr>
        <w:ind w:left="6480" w:hanging="360"/>
      </w:pPr>
      <w:rPr>
        <w:rFonts w:ascii="Wingdings" w:hAnsi="Wingdings" w:hint="default"/>
      </w:rPr>
    </w:lvl>
  </w:abstractNum>
  <w:abstractNum w:abstractNumId="106" w15:restartNumberingAfterBreak="0">
    <w:nsid w:val="71243B63"/>
    <w:multiLevelType w:val="hybridMultilevel"/>
    <w:tmpl w:val="18F23B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15:restartNumberingAfterBreak="0">
    <w:nsid w:val="714700F2"/>
    <w:multiLevelType w:val="hybridMultilevel"/>
    <w:tmpl w:val="CEC0491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7445CC02"/>
    <w:multiLevelType w:val="hybridMultilevel"/>
    <w:tmpl w:val="1C0441C4"/>
    <w:lvl w:ilvl="0" w:tplc="57001590">
      <w:start w:val="1"/>
      <w:numFmt w:val="bullet"/>
      <w:lvlText w:val="·"/>
      <w:lvlJc w:val="left"/>
      <w:pPr>
        <w:ind w:left="720" w:hanging="360"/>
      </w:pPr>
      <w:rPr>
        <w:rFonts w:ascii="Symbol" w:hAnsi="Symbol" w:hint="default"/>
      </w:rPr>
    </w:lvl>
    <w:lvl w:ilvl="1" w:tplc="AA888CFC">
      <w:start w:val="1"/>
      <w:numFmt w:val="bullet"/>
      <w:lvlText w:val="o"/>
      <w:lvlJc w:val="left"/>
      <w:pPr>
        <w:ind w:left="1440" w:hanging="360"/>
      </w:pPr>
      <w:rPr>
        <w:rFonts w:ascii="Courier New" w:hAnsi="Courier New" w:hint="default"/>
      </w:rPr>
    </w:lvl>
    <w:lvl w:ilvl="2" w:tplc="06A6486E">
      <w:start w:val="1"/>
      <w:numFmt w:val="bullet"/>
      <w:lvlText w:val=""/>
      <w:lvlJc w:val="left"/>
      <w:pPr>
        <w:ind w:left="2160" w:hanging="360"/>
      </w:pPr>
      <w:rPr>
        <w:rFonts w:ascii="Wingdings" w:hAnsi="Wingdings" w:hint="default"/>
      </w:rPr>
    </w:lvl>
    <w:lvl w:ilvl="3" w:tplc="F35A48EA">
      <w:start w:val="1"/>
      <w:numFmt w:val="bullet"/>
      <w:lvlText w:val=""/>
      <w:lvlJc w:val="left"/>
      <w:pPr>
        <w:ind w:left="2880" w:hanging="360"/>
      </w:pPr>
      <w:rPr>
        <w:rFonts w:ascii="Symbol" w:hAnsi="Symbol" w:hint="default"/>
      </w:rPr>
    </w:lvl>
    <w:lvl w:ilvl="4" w:tplc="B25038FA">
      <w:start w:val="1"/>
      <w:numFmt w:val="bullet"/>
      <w:lvlText w:val="o"/>
      <w:lvlJc w:val="left"/>
      <w:pPr>
        <w:ind w:left="3600" w:hanging="360"/>
      </w:pPr>
      <w:rPr>
        <w:rFonts w:ascii="Courier New" w:hAnsi="Courier New" w:hint="default"/>
      </w:rPr>
    </w:lvl>
    <w:lvl w:ilvl="5" w:tplc="1AD8346C">
      <w:start w:val="1"/>
      <w:numFmt w:val="bullet"/>
      <w:lvlText w:val=""/>
      <w:lvlJc w:val="left"/>
      <w:pPr>
        <w:ind w:left="4320" w:hanging="360"/>
      </w:pPr>
      <w:rPr>
        <w:rFonts w:ascii="Wingdings" w:hAnsi="Wingdings" w:hint="default"/>
      </w:rPr>
    </w:lvl>
    <w:lvl w:ilvl="6" w:tplc="9154D9A4">
      <w:start w:val="1"/>
      <w:numFmt w:val="bullet"/>
      <w:lvlText w:val=""/>
      <w:lvlJc w:val="left"/>
      <w:pPr>
        <w:ind w:left="5040" w:hanging="360"/>
      </w:pPr>
      <w:rPr>
        <w:rFonts w:ascii="Symbol" w:hAnsi="Symbol" w:hint="default"/>
      </w:rPr>
    </w:lvl>
    <w:lvl w:ilvl="7" w:tplc="1DB62594">
      <w:start w:val="1"/>
      <w:numFmt w:val="bullet"/>
      <w:lvlText w:val="o"/>
      <w:lvlJc w:val="left"/>
      <w:pPr>
        <w:ind w:left="5760" w:hanging="360"/>
      </w:pPr>
      <w:rPr>
        <w:rFonts w:ascii="Courier New" w:hAnsi="Courier New" w:hint="default"/>
      </w:rPr>
    </w:lvl>
    <w:lvl w:ilvl="8" w:tplc="E44E3C50">
      <w:start w:val="1"/>
      <w:numFmt w:val="bullet"/>
      <w:lvlText w:val=""/>
      <w:lvlJc w:val="left"/>
      <w:pPr>
        <w:ind w:left="6480" w:hanging="360"/>
      </w:pPr>
      <w:rPr>
        <w:rFonts w:ascii="Wingdings" w:hAnsi="Wingdings" w:hint="default"/>
      </w:rPr>
    </w:lvl>
  </w:abstractNum>
  <w:abstractNum w:abstractNumId="109" w15:restartNumberingAfterBreak="0">
    <w:nsid w:val="747ADE95"/>
    <w:multiLevelType w:val="hybridMultilevel"/>
    <w:tmpl w:val="EE306F84"/>
    <w:lvl w:ilvl="0" w:tplc="BDFC2450">
      <w:start w:val="1"/>
      <w:numFmt w:val="bullet"/>
      <w:lvlText w:val="·"/>
      <w:lvlJc w:val="left"/>
      <w:pPr>
        <w:ind w:left="720" w:hanging="360"/>
      </w:pPr>
      <w:rPr>
        <w:rFonts w:ascii="Symbol" w:hAnsi="Symbol" w:hint="default"/>
      </w:rPr>
    </w:lvl>
    <w:lvl w:ilvl="1" w:tplc="6556EE00">
      <w:start w:val="1"/>
      <w:numFmt w:val="bullet"/>
      <w:lvlText w:val="o"/>
      <w:lvlJc w:val="left"/>
      <w:pPr>
        <w:ind w:left="1440" w:hanging="360"/>
      </w:pPr>
      <w:rPr>
        <w:rFonts w:ascii="Courier New" w:hAnsi="Courier New" w:hint="default"/>
      </w:rPr>
    </w:lvl>
    <w:lvl w:ilvl="2" w:tplc="FA1A3D5E">
      <w:start w:val="1"/>
      <w:numFmt w:val="bullet"/>
      <w:lvlText w:val=""/>
      <w:lvlJc w:val="left"/>
      <w:pPr>
        <w:ind w:left="2160" w:hanging="360"/>
      </w:pPr>
      <w:rPr>
        <w:rFonts w:ascii="Wingdings" w:hAnsi="Wingdings" w:hint="default"/>
      </w:rPr>
    </w:lvl>
    <w:lvl w:ilvl="3" w:tplc="D3A036CE">
      <w:start w:val="1"/>
      <w:numFmt w:val="bullet"/>
      <w:lvlText w:val=""/>
      <w:lvlJc w:val="left"/>
      <w:pPr>
        <w:ind w:left="2880" w:hanging="360"/>
      </w:pPr>
      <w:rPr>
        <w:rFonts w:ascii="Symbol" w:hAnsi="Symbol" w:hint="default"/>
      </w:rPr>
    </w:lvl>
    <w:lvl w:ilvl="4" w:tplc="0E2E3924">
      <w:start w:val="1"/>
      <w:numFmt w:val="bullet"/>
      <w:lvlText w:val="o"/>
      <w:lvlJc w:val="left"/>
      <w:pPr>
        <w:ind w:left="3600" w:hanging="360"/>
      </w:pPr>
      <w:rPr>
        <w:rFonts w:ascii="Courier New" w:hAnsi="Courier New" w:hint="default"/>
      </w:rPr>
    </w:lvl>
    <w:lvl w:ilvl="5" w:tplc="9EE664AA">
      <w:start w:val="1"/>
      <w:numFmt w:val="bullet"/>
      <w:lvlText w:val=""/>
      <w:lvlJc w:val="left"/>
      <w:pPr>
        <w:ind w:left="4320" w:hanging="360"/>
      </w:pPr>
      <w:rPr>
        <w:rFonts w:ascii="Wingdings" w:hAnsi="Wingdings" w:hint="default"/>
      </w:rPr>
    </w:lvl>
    <w:lvl w:ilvl="6" w:tplc="49CC9F3A">
      <w:start w:val="1"/>
      <w:numFmt w:val="bullet"/>
      <w:lvlText w:val=""/>
      <w:lvlJc w:val="left"/>
      <w:pPr>
        <w:ind w:left="5040" w:hanging="360"/>
      </w:pPr>
      <w:rPr>
        <w:rFonts w:ascii="Symbol" w:hAnsi="Symbol" w:hint="default"/>
      </w:rPr>
    </w:lvl>
    <w:lvl w:ilvl="7" w:tplc="DCA09746">
      <w:start w:val="1"/>
      <w:numFmt w:val="bullet"/>
      <w:lvlText w:val="o"/>
      <w:lvlJc w:val="left"/>
      <w:pPr>
        <w:ind w:left="5760" w:hanging="360"/>
      </w:pPr>
      <w:rPr>
        <w:rFonts w:ascii="Courier New" w:hAnsi="Courier New" w:hint="default"/>
      </w:rPr>
    </w:lvl>
    <w:lvl w:ilvl="8" w:tplc="E438EBCA">
      <w:start w:val="1"/>
      <w:numFmt w:val="bullet"/>
      <w:lvlText w:val=""/>
      <w:lvlJc w:val="left"/>
      <w:pPr>
        <w:ind w:left="6480" w:hanging="360"/>
      </w:pPr>
      <w:rPr>
        <w:rFonts w:ascii="Wingdings" w:hAnsi="Wingdings" w:hint="default"/>
      </w:rPr>
    </w:lvl>
  </w:abstractNum>
  <w:abstractNum w:abstractNumId="110" w15:restartNumberingAfterBreak="0">
    <w:nsid w:val="757D7EE5"/>
    <w:multiLevelType w:val="hybridMultilevel"/>
    <w:tmpl w:val="FFFFFFFF"/>
    <w:lvl w:ilvl="0" w:tplc="B10E0CCC">
      <w:start w:val="1"/>
      <w:numFmt w:val="bullet"/>
      <w:lvlText w:val="·"/>
      <w:lvlJc w:val="left"/>
      <w:pPr>
        <w:ind w:left="720" w:hanging="360"/>
      </w:pPr>
      <w:rPr>
        <w:rFonts w:ascii="Symbol" w:hAnsi="Symbol" w:hint="default"/>
      </w:rPr>
    </w:lvl>
    <w:lvl w:ilvl="1" w:tplc="523ADDC0">
      <w:start w:val="1"/>
      <w:numFmt w:val="bullet"/>
      <w:lvlText w:val="o"/>
      <w:lvlJc w:val="left"/>
      <w:pPr>
        <w:ind w:left="1440" w:hanging="360"/>
      </w:pPr>
      <w:rPr>
        <w:rFonts w:ascii="Courier New" w:hAnsi="Courier New" w:hint="default"/>
      </w:rPr>
    </w:lvl>
    <w:lvl w:ilvl="2" w:tplc="C152128A">
      <w:start w:val="1"/>
      <w:numFmt w:val="bullet"/>
      <w:lvlText w:val=""/>
      <w:lvlJc w:val="left"/>
      <w:pPr>
        <w:ind w:left="2160" w:hanging="360"/>
      </w:pPr>
      <w:rPr>
        <w:rFonts w:ascii="Wingdings" w:hAnsi="Wingdings" w:hint="default"/>
      </w:rPr>
    </w:lvl>
    <w:lvl w:ilvl="3" w:tplc="8402DF1E">
      <w:start w:val="1"/>
      <w:numFmt w:val="bullet"/>
      <w:lvlText w:val=""/>
      <w:lvlJc w:val="left"/>
      <w:pPr>
        <w:ind w:left="2880" w:hanging="360"/>
      </w:pPr>
      <w:rPr>
        <w:rFonts w:ascii="Symbol" w:hAnsi="Symbol" w:hint="default"/>
      </w:rPr>
    </w:lvl>
    <w:lvl w:ilvl="4" w:tplc="2E5CD358">
      <w:start w:val="1"/>
      <w:numFmt w:val="bullet"/>
      <w:lvlText w:val="o"/>
      <w:lvlJc w:val="left"/>
      <w:pPr>
        <w:ind w:left="3600" w:hanging="360"/>
      </w:pPr>
      <w:rPr>
        <w:rFonts w:ascii="Courier New" w:hAnsi="Courier New" w:hint="default"/>
      </w:rPr>
    </w:lvl>
    <w:lvl w:ilvl="5" w:tplc="7F36DDBA">
      <w:start w:val="1"/>
      <w:numFmt w:val="bullet"/>
      <w:lvlText w:val=""/>
      <w:lvlJc w:val="left"/>
      <w:pPr>
        <w:ind w:left="4320" w:hanging="360"/>
      </w:pPr>
      <w:rPr>
        <w:rFonts w:ascii="Wingdings" w:hAnsi="Wingdings" w:hint="default"/>
      </w:rPr>
    </w:lvl>
    <w:lvl w:ilvl="6" w:tplc="D1485E2E">
      <w:start w:val="1"/>
      <w:numFmt w:val="bullet"/>
      <w:lvlText w:val=""/>
      <w:lvlJc w:val="left"/>
      <w:pPr>
        <w:ind w:left="5040" w:hanging="360"/>
      </w:pPr>
      <w:rPr>
        <w:rFonts w:ascii="Symbol" w:hAnsi="Symbol" w:hint="default"/>
      </w:rPr>
    </w:lvl>
    <w:lvl w:ilvl="7" w:tplc="6E8EC40A">
      <w:start w:val="1"/>
      <w:numFmt w:val="bullet"/>
      <w:lvlText w:val="o"/>
      <w:lvlJc w:val="left"/>
      <w:pPr>
        <w:ind w:left="5760" w:hanging="360"/>
      </w:pPr>
      <w:rPr>
        <w:rFonts w:ascii="Courier New" w:hAnsi="Courier New" w:hint="default"/>
      </w:rPr>
    </w:lvl>
    <w:lvl w:ilvl="8" w:tplc="6E46D160">
      <w:start w:val="1"/>
      <w:numFmt w:val="bullet"/>
      <w:lvlText w:val=""/>
      <w:lvlJc w:val="left"/>
      <w:pPr>
        <w:ind w:left="6480" w:hanging="360"/>
      </w:pPr>
      <w:rPr>
        <w:rFonts w:ascii="Wingdings" w:hAnsi="Wingdings" w:hint="default"/>
      </w:rPr>
    </w:lvl>
  </w:abstractNum>
  <w:abstractNum w:abstractNumId="111" w15:restartNumberingAfterBreak="0">
    <w:nsid w:val="75BB6907"/>
    <w:multiLevelType w:val="multilevel"/>
    <w:tmpl w:val="03E81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7152701"/>
    <w:multiLevelType w:val="hybridMultilevel"/>
    <w:tmpl w:val="028E5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15:restartNumberingAfterBreak="0">
    <w:nsid w:val="792F5D83"/>
    <w:multiLevelType w:val="hybridMultilevel"/>
    <w:tmpl w:val="78E8C0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4" w15:restartNumberingAfterBreak="0">
    <w:nsid w:val="7BB46F9A"/>
    <w:multiLevelType w:val="hybridMultilevel"/>
    <w:tmpl w:val="FFFFFFFF"/>
    <w:lvl w:ilvl="0" w:tplc="925A3272">
      <w:start w:val="1"/>
      <w:numFmt w:val="bullet"/>
      <w:lvlText w:val="·"/>
      <w:lvlJc w:val="left"/>
      <w:pPr>
        <w:ind w:left="720" w:hanging="360"/>
      </w:pPr>
      <w:rPr>
        <w:rFonts w:ascii="Symbol" w:hAnsi="Symbol" w:hint="default"/>
      </w:rPr>
    </w:lvl>
    <w:lvl w:ilvl="1" w:tplc="B904444C">
      <w:start w:val="1"/>
      <w:numFmt w:val="bullet"/>
      <w:lvlText w:val="o"/>
      <w:lvlJc w:val="left"/>
      <w:pPr>
        <w:ind w:left="1440" w:hanging="360"/>
      </w:pPr>
      <w:rPr>
        <w:rFonts w:ascii="Courier New" w:hAnsi="Courier New" w:hint="default"/>
      </w:rPr>
    </w:lvl>
    <w:lvl w:ilvl="2" w:tplc="83BEA622">
      <w:start w:val="1"/>
      <w:numFmt w:val="bullet"/>
      <w:lvlText w:val=""/>
      <w:lvlJc w:val="left"/>
      <w:pPr>
        <w:ind w:left="2160" w:hanging="360"/>
      </w:pPr>
      <w:rPr>
        <w:rFonts w:ascii="Wingdings" w:hAnsi="Wingdings" w:hint="default"/>
      </w:rPr>
    </w:lvl>
    <w:lvl w:ilvl="3" w:tplc="03983D74">
      <w:start w:val="1"/>
      <w:numFmt w:val="bullet"/>
      <w:lvlText w:val=""/>
      <w:lvlJc w:val="left"/>
      <w:pPr>
        <w:ind w:left="2880" w:hanging="360"/>
      </w:pPr>
      <w:rPr>
        <w:rFonts w:ascii="Symbol" w:hAnsi="Symbol" w:hint="default"/>
      </w:rPr>
    </w:lvl>
    <w:lvl w:ilvl="4" w:tplc="F8A6B4BC">
      <w:start w:val="1"/>
      <w:numFmt w:val="bullet"/>
      <w:lvlText w:val="o"/>
      <w:lvlJc w:val="left"/>
      <w:pPr>
        <w:ind w:left="3600" w:hanging="360"/>
      </w:pPr>
      <w:rPr>
        <w:rFonts w:ascii="Courier New" w:hAnsi="Courier New" w:hint="default"/>
      </w:rPr>
    </w:lvl>
    <w:lvl w:ilvl="5" w:tplc="29E817E2">
      <w:start w:val="1"/>
      <w:numFmt w:val="bullet"/>
      <w:lvlText w:val=""/>
      <w:lvlJc w:val="left"/>
      <w:pPr>
        <w:ind w:left="4320" w:hanging="360"/>
      </w:pPr>
      <w:rPr>
        <w:rFonts w:ascii="Wingdings" w:hAnsi="Wingdings" w:hint="default"/>
      </w:rPr>
    </w:lvl>
    <w:lvl w:ilvl="6" w:tplc="893EA5D0">
      <w:start w:val="1"/>
      <w:numFmt w:val="bullet"/>
      <w:lvlText w:val=""/>
      <w:lvlJc w:val="left"/>
      <w:pPr>
        <w:ind w:left="5040" w:hanging="360"/>
      </w:pPr>
      <w:rPr>
        <w:rFonts w:ascii="Symbol" w:hAnsi="Symbol" w:hint="default"/>
      </w:rPr>
    </w:lvl>
    <w:lvl w:ilvl="7" w:tplc="C268941C">
      <w:start w:val="1"/>
      <w:numFmt w:val="bullet"/>
      <w:lvlText w:val="o"/>
      <w:lvlJc w:val="left"/>
      <w:pPr>
        <w:ind w:left="5760" w:hanging="360"/>
      </w:pPr>
      <w:rPr>
        <w:rFonts w:ascii="Courier New" w:hAnsi="Courier New" w:hint="default"/>
      </w:rPr>
    </w:lvl>
    <w:lvl w:ilvl="8" w:tplc="9AE6E17C">
      <w:start w:val="1"/>
      <w:numFmt w:val="bullet"/>
      <w:lvlText w:val=""/>
      <w:lvlJc w:val="left"/>
      <w:pPr>
        <w:ind w:left="6480" w:hanging="360"/>
      </w:pPr>
      <w:rPr>
        <w:rFonts w:ascii="Wingdings" w:hAnsi="Wingdings" w:hint="default"/>
      </w:rPr>
    </w:lvl>
  </w:abstractNum>
  <w:abstractNum w:abstractNumId="115" w15:restartNumberingAfterBreak="0">
    <w:nsid w:val="7C105078"/>
    <w:multiLevelType w:val="multilevel"/>
    <w:tmpl w:val="ABAEA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D1E2E4C"/>
    <w:multiLevelType w:val="hybridMultilevel"/>
    <w:tmpl w:val="FFFFFFFF"/>
    <w:lvl w:ilvl="0" w:tplc="FFFFFFFF">
      <w:start w:val="1"/>
      <w:numFmt w:val="bullet"/>
      <w:lvlText w:val=""/>
      <w:lvlJc w:val="left"/>
      <w:pPr>
        <w:ind w:left="720" w:hanging="360"/>
      </w:pPr>
      <w:rPr>
        <w:rFonts w:ascii="Symbol" w:hAnsi="Symbol" w:hint="default"/>
      </w:rPr>
    </w:lvl>
    <w:lvl w:ilvl="1" w:tplc="BD282EF0">
      <w:start w:val="1"/>
      <w:numFmt w:val="bullet"/>
      <w:lvlText w:val="o"/>
      <w:lvlJc w:val="left"/>
      <w:pPr>
        <w:ind w:left="1440" w:hanging="360"/>
      </w:pPr>
      <w:rPr>
        <w:rFonts w:ascii="Courier New" w:hAnsi="Courier New" w:hint="default"/>
      </w:rPr>
    </w:lvl>
    <w:lvl w:ilvl="2" w:tplc="212CFDE6">
      <w:start w:val="1"/>
      <w:numFmt w:val="bullet"/>
      <w:lvlText w:val=""/>
      <w:lvlJc w:val="left"/>
      <w:pPr>
        <w:ind w:left="2160" w:hanging="360"/>
      </w:pPr>
      <w:rPr>
        <w:rFonts w:ascii="Wingdings" w:hAnsi="Wingdings" w:hint="default"/>
      </w:rPr>
    </w:lvl>
    <w:lvl w:ilvl="3" w:tplc="256A9556">
      <w:start w:val="1"/>
      <w:numFmt w:val="bullet"/>
      <w:lvlText w:val=""/>
      <w:lvlJc w:val="left"/>
      <w:pPr>
        <w:ind w:left="2880" w:hanging="360"/>
      </w:pPr>
      <w:rPr>
        <w:rFonts w:ascii="Symbol" w:hAnsi="Symbol" w:hint="default"/>
      </w:rPr>
    </w:lvl>
    <w:lvl w:ilvl="4" w:tplc="860C1EFE">
      <w:start w:val="1"/>
      <w:numFmt w:val="bullet"/>
      <w:lvlText w:val="o"/>
      <w:lvlJc w:val="left"/>
      <w:pPr>
        <w:ind w:left="3600" w:hanging="360"/>
      </w:pPr>
      <w:rPr>
        <w:rFonts w:ascii="Courier New" w:hAnsi="Courier New" w:hint="default"/>
      </w:rPr>
    </w:lvl>
    <w:lvl w:ilvl="5" w:tplc="8146F5E2">
      <w:start w:val="1"/>
      <w:numFmt w:val="bullet"/>
      <w:lvlText w:val=""/>
      <w:lvlJc w:val="left"/>
      <w:pPr>
        <w:ind w:left="4320" w:hanging="360"/>
      </w:pPr>
      <w:rPr>
        <w:rFonts w:ascii="Wingdings" w:hAnsi="Wingdings" w:hint="default"/>
      </w:rPr>
    </w:lvl>
    <w:lvl w:ilvl="6" w:tplc="8D64D0D6">
      <w:start w:val="1"/>
      <w:numFmt w:val="bullet"/>
      <w:lvlText w:val=""/>
      <w:lvlJc w:val="left"/>
      <w:pPr>
        <w:ind w:left="5040" w:hanging="360"/>
      </w:pPr>
      <w:rPr>
        <w:rFonts w:ascii="Symbol" w:hAnsi="Symbol" w:hint="default"/>
      </w:rPr>
    </w:lvl>
    <w:lvl w:ilvl="7" w:tplc="242646DC">
      <w:start w:val="1"/>
      <w:numFmt w:val="bullet"/>
      <w:lvlText w:val="o"/>
      <w:lvlJc w:val="left"/>
      <w:pPr>
        <w:ind w:left="5760" w:hanging="360"/>
      </w:pPr>
      <w:rPr>
        <w:rFonts w:ascii="Courier New" w:hAnsi="Courier New" w:hint="default"/>
      </w:rPr>
    </w:lvl>
    <w:lvl w:ilvl="8" w:tplc="FC54CB7A">
      <w:start w:val="1"/>
      <w:numFmt w:val="bullet"/>
      <w:lvlText w:val=""/>
      <w:lvlJc w:val="left"/>
      <w:pPr>
        <w:ind w:left="6480" w:hanging="360"/>
      </w:pPr>
      <w:rPr>
        <w:rFonts w:ascii="Wingdings" w:hAnsi="Wingdings" w:hint="default"/>
      </w:rPr>
    </w:lvl>
  </w:abstractNum>
  <w:abstractNum w:abstractNumId="117" w15:restartNumberingAfterBreak="0">
    <w:nsid w:val="7D342564"/>
    <w:multiLevelType w:val="hybridMultilevel"/>
    <w:tmpl w:val="12640134"/>
    <w:lvl w:ilvl="0" w:tplc="7DBC1532">
      <w:start w:val="1"/>
      <w:numFmt w:val="bullet"/>
      <w:lvlText w:val=""/>
      <w:lvlJc w:val="left"/>
      <w:pPr>
        <w:ind w:left="720" w:hanging="360"/>
      </w:pPr>
      <w:rPr>
        <w:rFonts w:ascii="Symbol" w:hAnsi="Symbol" w:hint="default"/>
      </w:rPr>
    </w:lvl>
    <w:lvl w:ilvl="1" w:tplc="9724D03C">
      <w:start w:val="1"/>
      <w:numFmt w:val="bullet"/>
      <w:lvlText w:val="o"/>
      <w:lvlJc w:val="left"/>
      <w:pPr>
        <w:ind w:left="1440" w:hanging="360"/>
      </w:pPr>
      <w:rPr>
        <w:rFonts w:ascii="Courier New" w:hAnsi="Courier New" w:hint="default"/>
      </w:rPr>
    </w:lvl>
    <w:lvl w:ilvl="2" w:tplc="235E4006">
      <w:start w:val="1"/>
      <w:numFmt w:val="bullet"/>
      <w:lvlText w:val=""/>
      <w:lvlJc w:val="left"/>
      <w:pPr>
        <w:ind w:left="2160" w:hanging="360"/>
      </w:pPr>
      <w:rPr>
        <w:rFonts w:ascii="Wingdings" w:hAnsi="Wingdings" w:hint="default"/>
      </w:rPr>
    </w:lvl>
    <w:lvl w:ilvl="3" w:tplc="890031E6">
      <w:start w:val="1"/>
      <w:numFmt w:val="bullet"/>
      <w:lvlText w:val=""/>
      <w:lvlJc w:val="left"/>
      <w:pPr>
        <w:ind w:left="2880" w:hanging="360"/>
      </w:pPr>
      <w:rPr>
        <w:rFonts w:ascii="Symbol" w:hAnsi="Symbol" w:hint="default"/>
      </w:rPr>
    </w:lvl>
    <w:lvl w:ilvl="4" w:tplc="A38A631C">
      <w:start w:val="1"/>
      <w:numFmt w:val="bullet"/>
      <w:lvlText w:val="o"/>
      <w:lvlJc w:val="left"/>
      <w:pPr>
        <w:ind w:left="3600" w:hanging="360"/>
      </w:pPr>
      <w:rPr>
        <w:rFonts w:ascii="Courier New" w:hAnsi="Courier New" w:hint="default"/>
      </w:rPr>
    </w:lvl>
    <w:lvl w:ilvl="5" w:tplc="C7CA24D4">
      <w:start w:val="1"/>
      <w:numFmt w:val="bullet"/>
      <w:lvlText w:val=""/>
      <w:lvlJc w:val="left"/>
      <w:pPr>
        <w:ind w:left="4320" w:hanging="360"/>
      </w:pPr>
      <w:rPr>
        <w:rFonts w:ascii="Wingdings" w:hAnsi="Wingdings" w:hint="default"/>
      </w:rPr>
    </w:lvl>
    <w:lvl w:ilvl="6" w:tplc="2BE683F6">
      <w:start w:val="1"/>
      <w:numFmt w:val="bullet"/>
      <w:lvlText w:val=""/>
      <w:lvlJc w:val="left"/>
      <w:pPr>
        <w:ind w:left="5040" w:hanging="360"/>
      </w:pPr>
      <w:rPr>
        <w:rFonts w:ascii="Symbol" w:hAnsi="Symbol" w:hint="default"/>
      </w:rPr>
    </w:lvl>
    <w:lvl w:ilvl="7" w:tplc="E7FC5A42">
      <w:start w:val="1"/>
      <w:numFmt w:val="bullet"/>
      <w:lvlText w:val="o"/>
      <w:lvlJc w:val="left"/>
      <w:pPr>
        <w:ind w:left="5760" w:hanging="360"/>
      </w:pPr>
      <w:rPr>
        <w:rFonts w:ascii="Courier New" w:hAnsi="Courier New" w:hint="default"/>
      </w:rPr>
    </w:lvl>
    <w:lvl w:ilvl="8" w:tplc="2A7078EA">
      <w:start w:val="1"/>
      <w:numFmt w:val="bullet"/>
      <w:lvlText w:val=""/>
      <w:lvlJc w:val="left"/>
      <w:pPr>
        <w:ind w:left="6480" w:hanging="360"/>
      </w:pPr>
      <w:rPr>
        <w:rFonts w:ascii="Wingdings" w:hAnsi="Wingdings" w:hint="default"/>
      </w:rPr>
    </w:lvl>
  </w:abstractNum>
  <w:abstractNum w:abstractNumId="118" w15:restartNumberingAfterBreak="0">
    <w:nsid w:val="7D81CD7C"/>
    <w:multiLevelType w:val="hybridMultilevel"/>
    <w:tmpl w:val="76D07F4E"/>
    <w:lvl w:ilvl="0" w:tplc="2FFEB290">
      <w:start w:val="1"/>
      <w:numFmt w:val="bullet"/>
      <w:lvlText w:val="-"/>
      <w:lvlJc w:val="left"/>
      <w:pPr>
        <w:ind w:left="720" w:hanging="360"/>
      </w:pPr>
      <w:rPr>
        <w:rFonts w:ascii="&quot;Calibri&quot;,sans-serif" w:hAnsi="&quot;Calibri&quot;,sans-serif" w:hint="default"/>
      </w:rPr>
    </w:lvl>
    <w:lvl w:ilvl="1" w:tplc="D9A4119C">
      <w:start w:val="1"/>
      <w:numFmt w:val="bullet"/>
      <w:lvlText w:val="o"/>
      <w:lvlJc w:val="left"/>
      <w:pPr>
        <w:ind w:left="1440" w:hanging="360"/>
      </w:pPr>
      <w:rPr>
        <w:rFonts w:ascii="Courier New" w:hAnsi="Courier New" w:hint="default"/>
      </w:rPr>
    </w:lvl>
    <w:lvl w:ilvl="2" w:tplc="EE6E9450">
      <w:start w:val="1"/>
      <w:numFmt w:val="bullet"/>
      <w:lvlText w:val=""/>
      <w:lvlJc w:val="left"/>
      <w:pPr>
        <w:ind w:left="2160" w:hanging="360"/>
      </w:pPr>
      <w:rPr>
        <w:rFonts w:ascii="Wingdings" w:hAnsi="Wingdings" w:hint="default"/>
      </w:rPr>
    </w:lvl>
    <w:lvl w:ilvl="3" w:tplc="568A5812">
      <w:start w:val="1"/>
      <w:numFmt w:val="bullet"/>
      <w:lvlText w:val=""/>
      <w:lvlJc w:val="left"/>
      <w:pPr>
        <w:ind w:left="2880" w:hanging="360"/>
      </w:pPr>
      <w:rPr>
        <w:rFonts w:ascii="Symbol" w:hAnsi="Symbol" w:hint="default"/>
      </w:rPr>
    </w:lvl>
    <w:lvl w:ilvl="4" w:tplc="2998F67E">
      <w:start w:val="1"/>
      <w:numFmt w:val="bullet"/>
      <w:lvlText w:val="o"/>
      <w:lvlJc w:val="left"/>
      <w:pPr>
        <w:ind w:left="3600" w:hanging="360"/>
      </w:pPr>
      <w:rPr>
        <w:rFonts w:ascii="Courier New" w:hAnsi="Courier New" w:hint="default"/>
      </w:rPr>
    </w:lvl>
    <w:lvl w:ilvl="5" w:tplc="C78E1F6A">
      <w:start w:val="1"/>
      <w:numFmt w:val="bullet"/>
      <w:lvlText w:val=""/>
      <w:lvlJc w:val="left"/>
      <w:pPr>
        <w:ind w:left="4320" w:hanging="360"/>
      </w:pPr>
      <w:rPr>
        <w:rFonts w:ascii="Wingdings" w:hAnsi="Wingdings" w:hint="default"/>
      </w:rPr>
    </w:lvl>
    <w:lvl w:ilvl="6" w:tplc="78D8872E">
      <w:start w:val="1"/>
      <w:numFmt w:val="bullet"/>
      <w:lvlText w:val=""/>
      <w:lvlJc w:val="left"/>
      <w:pPr>
        <w:ind w:left="5040" w:hanging="360"/>
      </w:pPr>
      <w:rPr>
        <w:rFonts w:ascii="Symbol" w:hAnsi="Symbol" w:hint="default"/>
      </w:rPr>
    </w:lvl>
    <w:lvl w:ilvl="7" w:tplc="7472BC3E">
      <w:start w:val="1"/>
      <w:numFmt w:val="bullet"/>
      <w:lvlText w:val="o"/>
      <w:lvlJc w:val="left"/>
      <w:pPr>
        <w:ind w:left="5760" w:hanging="360"/>
      </w:pPr>
      <w:rPr>
        <w:rFonts w:ascii="Courier New" w:hAnsi="Courier New" w:hint="default"/>
      </w:rPr>
    </w:lvl>
    <w:lvl w:ilvl="8" w:tplc="48D21538">
      <w:start w:val="1"/>
      <w:numFmt w:val="bullet"/>
      <w:lvlText w:val=""/>
      <w:lvlJc w:val="left"/>
      <w:pPr>
        <w:ind w:left="6480" w:hanging="360"/>
      </w:pPr>
      <w:rPr>
        <w:rFonts w:ascii="Wingdings" w:hAnsi="Wingdings" w:hint="default"/>
      </w:rPr>
    </w:lvl>
  </w:abstractNum>
  <w:abstractNum w:abstractNumId="119" w15:restartNumberingAfterBreak="0">
    <w:nsid w:val="7DC11A73"/>
    <w:multiLevelType w:val="multilevel"/>
    <w:tmpl w:val="A33A8CE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F1076C7"/>
    <w:multiLevelType w:val="hybridMultilevel"/>
    <w:tmpl w:val="98D21B24"/>
    <w:lvl w:ilvl="0" w:tplc="9F761A92">
      <w:start w:val="1"/>
      <w:numFmt w:val="bullet"/>
      <w:lvlText w:val="-"/>
      <w:lvlJc w:val="left"/>
      <w:pPr>
        <w:ind w:left="720" w:hanging="360"/>
      </w:pPr>
      <w:rPr>
        <w:rFonts w:ascii="&quot;Calibri&quot;,sans-serif" w:hAnsi="&quot;Calibri&quot;,sans-serif" w:hint="default"/>
      </w:rPr>
    </w:lvl>
    <w:lvl w:ilvl="1" w:tplc="A5A8A836">
      <w:start w:val="1"/>
      <w:numFmt w:val="bullet"/>
      <w:lvlText w:val="o"/>
      <w:lvlJc w:val="left"/>
      <w:pPr>
        <w:ind w:left="1440" w:hanging="360"/>
      </w:pPr>
      <w:rPr>
        <w:rFonts w:ascii="Courier New" w:hAnsi="Courier New" w:hint="default"/>
      </w:rPr>
    </w:lvl>
    <w:lvl w:ilvl="2" w:tplc="B2D04D68">
      <w:start w:val="1"/>
      <w:numFmt w:val="bullet"/>
      <w:lvlText w:val=""/>
      <w:lvlJc w:val="left"/>
      <w:pPr>
        <w:ind w:left="2160" w:hanging="360"/>
      </w:pPr>
      <w:rPr>
        <w:rFonts w:ascii="Wingdings" w:hAnsi="Wingdings" w:hint="default"/>
      </w:rPr>
    </w:lvl>
    <w:lvl w:ilvl="3" w:tplc="2884A282">
      <w:start w:val="1"/>
      <w:numFmt w:val="bullet"/>
      <w:lvlText w:val=""/>
      <w:lvlJc w:val="left"/>
      <w:pPr>
        <w:ind w:left="2880" w:hanging="360"/>
      </w:pPr>
      <w:rPr>
        <w:rFonts w:ascii="Symbol" w:hAnsi="Symbol" w:hint="default"/>
      </w:rPr>
    </w:lvl>
    <w:lvl w:ilvl="4" w:tplc="E9A4DB52">
      <w:start w:val="1"/>
      <w:numFmt w:val="bullet"/>
      <w:lvlText w:val="o"/>
      <w:lvlJc w:val="left"/>
      <w:pPr>
        <w:ind w:left="3600" w:hanging="360"/>
      </w:pPr>
      <w:rPr>
        <w:rFonts w:ascii="Courier New" w:hAnsi="Courier New" w:hint="default"/>
      </w:rPr>
    </w:lvl>
    <w:lvl w:ilvl="5" w:tplc="87FA00AE">
      <w:start w:val="1"/>
      <w:numFmt w:val="bullet"/>
      <w:lvlText w:val=""/>
      <w:lvlJc w:val="left"/>
      <w:pPr>
        <w:ind w:left="4320" w:hanging="360"/>
      </w:pPr>
      <w:rPr>
        <w:rFonts w:ascii="Wingdings" w:hAnsi="Wingdings" w:hint="default"/>
      </w:rPr>
    </w:lvl>
    <w:lvl w:ilvl="6" w:tplc="4B3A7C80">
      <w:start w:val="1"/>
      <w:numFmt w:val="bullet"/>
      <w:lvlText w:val=""/>
      <w:lvlJc w:val="left"/>
      <w:pPr>
        <w:ind w:left="5040" w:hanging="360"/>
      </w:pPr>
      <w:rPr>
        <w:rFonts w:ascii="Symbol" w:hAnsi="Symbol" w:hint="default"/>
      </w:rPr>
    </w:lvl>
    <w:lvl w:ilvl="7" w:tplc="CAE4072E">
      <w:start w:val="1"/>
      <w:numFmt w:val="bullet"/>
      <w:lvlText w:val="o"/>
      <w:lvlJc w:val="left"/>
      <w:pPr>
        <w:ind w:left="5760" w:hanging="360"/>
      </w:pPr>
      <w:rPr>
        <w:rFonts w:ascii="Courier New" w:hAnsi="Courier New" w:hint="default"/>
      </w:rPr>
    </w:lvl>
    <w:lvl w:ilvl="8" w:tplc="E8E89394">
      <w:start w:val="1"/>
      <w:numFmt w:val="bullet"/>
      <w:lvlText w:val=""/>
      <w:lvlJc w:val="left"/>
      <w:pPr>
        <w:ind w:left="6480" w:hanging="360"/>
      </w:pPr>
      <w:rPr>
        <w:rFonts w:ascii="Wingdings" w:hAnsi="Wingdings" w:hint="default"/>
      </w:rPr>
    </w:lvl>
  </w:abstractNum>
  <w:abstractNum w:abstractNumId="121" w15:restartNumberingAfterBreak="0">
    <w:nsid w:val="7FA07D8C"/>
    <w:multiLevelType w:val="hybridMultilevel"/>
    <w:tmpl w:val="FFFFFFFF"/>
    <w:lvl w:ilvl="0" w:tplc="49E0A8A4">
      <w:start w:val="1"/>
      <w:numFmt w:val="bullet"/>
      <w:lvlText w:val="·"/>
      <w:lvlJc w:val="left"/>
      <w:pPr>
        <w:ind w:left="720" w:hanging="360"/>
      </w:pPr>
      <w:rPr>
        <w:rFonts w:ascii="Symbol" w:hAnsi="Symbol" w:hint="default"/>
      </w:rPr>
    </w:lvl>
    <w:lvl w:ilvl="1" w:tplc="095661BA">
      <w:start w:val="1"/>
      <w:numFmt w:val="bullet"/>
      <w:lvlText w:val="o"/>
      <w:lvlJc w:val="left"/>
      <w:pPr>
        <w:ind w:left="1440" w:hanging="360"/>
      </w:pPr>
      <w:rPr>
        <w:rFonts w:ascii="Courier New" w:hAnsi="Courier New" w:hint="default"/>
      </w:rPr>
    </w:lvl>
    <w:lvl w:ilvl="2" w:tplc="72FA3F98">
      <w:start w:val="1"/>
      <w:numFmt w:val="bullet"/>
      <w:lvlText w:val=""/>
      <w:lvlJc w:val="left"/>
      <w:pPr>
        <w:ind w:left="2160" w:hanging="360"/>
      </w:pPr>
      <w:rPr>
        <w:rFonts w:ascii="Wingdings" w:hAnsi="Wingdings" w:hint="default"/>
      </w:rPr>
    </w:lvl>
    <w:lvl w:ilvl="3" w:tplc="F9CEEA6E">
      <w:start w:val="1"/>
      <w:numFmt w:val="bullet"/>
      <w:lvlText w:val=""/>
      <w:lvlJc w:val="left"/>
      <w:pPr>
        <w:ind w:left="2880" w:hanging="360"/>
      </w:pPr>
      <w:rPr>
        <w:rFonts w:ascii="Symbol" w:hAnsi="Symbol" w:hint="default"/>
      </w:rPr>
    </w:lvl>
    <w:lvl w:ilvl="4" w:tplc="3060330E">
      <w:start w:val="1"/>
      <w:numFmt w:val="bullet"/>
      <w:lvlText w:val="o"/>
      <w:lvlJc w:val="left"/>
      <w:pPr>
        <w:ind w:left="3600" w:hanging="360"/>
      </w:pPr>
      <w:rPr>
        <w:rFonts w:ascii="Courier New" w:hAnsi="Courier New" w:hint="default"/>
      </w:rPr>
    </w:lvl>
    <w:lvl w:ilvl="5" w:tplc="0672B826">
      <w:start w:val="1"/>
      <w:numFmt w:val="bullet"/>
      <w:lvlText w:val=""/>
      <w:lvlJc w:val="left"/>
      <w:pPr>
        <w:ind w:left="4320" w:hanging="360"/>
      </w:pPr>
      <w:rPr>
        <w:rFonts w:ascii="Wingdings" w:hAnsi="Wingdings" w:hint="default"/>
      </w:rPr>
    </w:lvl>
    <w:lvl w:ilvl="6" w:tplc="01902DA8">
      <w:start w:val="1"/>
      <w:numFmt w:val="bullet"/>
      <w:lvlText w:val=""/>
      <w:lvlJc w:val="left"/>
      <w:pPr>
        <w:ind w:left="5040" w:hanging="360"/>
      </w:pPr>
      <w:rPr>
        <w:rFonts w:ascii="Symbol" w:hAnsi="Symbol" w:hint="default"/>
      </w:rPr>
    </w:lvl>
    <w:lvl w:ilvl="7" w:tplc="1618D7DA">
      <w:start w:val="1"/>
      <w:numFmt w:val="bullet"/>
      <w:lvlText w:val="o"/>
      <w:lvlJc w:val="left"/>
      <w:pPr>
        <w:ind w:left="5760" w:hanging="360"/>
      </w:pPr>
      <w:rPr>
        <w:rFonts w:ascii="Courier New" w:hAnsi="Courier New" w:hint="default"/>
      </w:rPr>
    </w:lvl>
    <w:lvl w:ilvl="8" w:tplc="61D47E00">
      <w:start w:val="1"/>
      <w:numFmt w:val="bullet"/>
      <w:lvlText w:val=""/>
      <w:lvlJc w:val="left"/>
      <w:pPr>
        <w:ind w:left="6480" w:hanging="360"/>
      </w:pPr>
      <w:rPr>
        <w:rFonts w:ascii="Wingdings" w:hAnsi="Wingdings" w:hint="default"/>
      </w:rPr>
    </w:lvl>
  </w:abstractNum>
  <w:num w:numId="1" w16cid:durableId="1186287409">
    <w:abstractNumId w:val="76"/>
  </w:num>
  <w:num w:numId="2" w16cid:durableId="1962103085">
    <w:abstractNumId w:val="105"/>
  </w:num>
  <w:num w:numId="3" w16cid:durableId="639962205">
    <w:abstractNumId w:val="62"/>
  </w:num>
  <w:num w:numId="4" w16cid:durableId="865366376">
    <w:abstractNumId w:val="73"/>
  </w:num>
  <w:num w:numId="5" w16cid:durableId="806899847">
    <w:abstractNumId w:val="117"/>
  </w:num>
  <w:num w:numId="6" w16cid:durableId="38166765">
    <w:abstractNumId w:val="65"/>
  </w:num>
  <w:num w:numId="7" w16cid:durableId="703288719">
    <w:abstractNumId w:val="7"/>
  </w:num>
  <w:num w:numId="8" w16cid:durableId="2076969246">
    <w:abstractNumId w:val="109"/>
  </w:num>
  <w:num w:numId="9" w16cid:durableId="541870962">
    <w:abstractNumId w:val="69"/>
  </w:num>
  <w:num w:numId="10" w16cid:durableId="1218471596">
    <w:abstractNumId w:val="27"/>
  </w:num>
  <w:num w:numId="11" w16cid:durableId="8995058">
    <w:abstractNumId w:val="32"/>
  </w:num>
  <w:num w:numId="12" w16cid:durableId="1015229498">
    <w:abstractNumId w:val="31"/>
  </w:num>
  <w:num w:numId="13" w16cid:durableId="1361513825">
    <w:abstractNumId w:val="25"/>
  </w:num>
  <w:num w:numId="14" w16cid:durableId="1246722290">
    <w:abstractNumId w:val="23"/>
  </w:num>
  <w:num w:numId="15" w16cid:durableId="296225667">
    <w:abstractNumId w:val="102"/>
  </w:num>
  <w:num w:numId="16" w16cid:durableId="658538069">
    <w:abstractNumId w:val="100"/>
  </w:num>
  <w:num w:numId="17" w16cid:durableId="13116121">
    <w:abstractNumId w:val="58"/>
  </w:num>
  <w:num w:numId="18" w16cid:durableId="1958366491">
    <w:abstractNumId w:val="92"/>
  </w:num>
  <w:num w:numId="19" w16cid:durableId="1777553645">
    <w:abstractNumId w:val="41"/>
  </w:num>
  <w:num w:numId="20" w16cid:durableId="1727756554">
    <w:abstractNumId w:val="114"/>
  </w:num>
  <w:num w:numId="21" w16cid:durableId="1078557408">
    <w:abstractNumId w:val="110"/>
  </w:num>
  <w:num w:numId="22" w16cid:durableId="1487475798">
    <w:abstractNumId w:val="121"/>
  </w:num>
  <w:num w:numId="23" w16cid:durableId="2078743877">
    <w:abstractNumId w:val="21"/>
  </w:num>
  <w:num w:numId="24" w16cid:durableId="116533053">
    <w:abstractNumId w:val="6"/>
  </w:num>
  <w:num w:numId="25" w16cid:durableId="1904676833">
    <w:abstractNumId w:val="85"/>
  </w:num>
  <w:num w:numId="26" w16cid:durableId="2068725942">
    <w:abstractNumId w:val="34"/>
  </w:num>
  <w:num w:numId="27" w16cid:durableId="974985975">
    <w:abstractNumId w:val="29"/>
  </w:num>
  <w:num w:numId="28" w16cid:durableId="1895969244">
    <w:abstractNumId w:val="116"/>
  </w:num>
  <w:num w:numId="29" w16cid:durableId="1203979297">
    <w:abstractNumId w:val="42"/>
  </w:num>
  <w:num w:numId="30" w16cid:durableId="918518868">
    <w:abstractNumId w:val="11"/>
  </w:num>
  <w:num w:numId="31" w16cid:durableId="1768118038">
    <w:abstractNumId w:val="12"/>
  </w:num>
  <w:num w:numId="32" w16cid:durableId="1547257573">
    <w:abstractNumId w:val="67"/>
  </w:num>
  <w:num w:numId="33" w16cid:durableId="1512530826">
    <w:abstractNumId w:val="111"/>
  </w:num>
  <w:num w:numId="34" w16cid:durableId="157621390">
    <w:abstractNumId w:val="20"/>
  </w:num>
  <w:num w:numId="35" w16cid:durableId="1159882812">
    <w:abstractNumId w:val="95"/>
  </w:num>
  <w:num w:numId="36" w16cid:durableId="1770656867">
    <w:abstractNumId w:val="115"/>
  </w:num>
  <w:num w:numId="37" w16cid:durableId="1467548285">
    <w:abstractNumId w:val="43"/>
  </w:num>
  <w:num w:numId="38" w16cid:durableId="1279525210">
    <w:abstractNumId w:val="35"/>
  </w:num>
  <w:num w:numId="39" w16cid:durableId="2090349699">
    <w:abstractNumId w:val="89"/>
  </w:num>
  <w:num w:numId="40" w16cid:durableId="1131677814">
    <w:abstractNumId w:val="119"/>
  </w:num>
  <w:num w:numId="41" w16cid:durableId="493911796">
    <w:abstractNumId w:val="98"/>
  </w:num>
  <w:num w:numId="42" w16cid:durableId="743647757">
    <w:abstractNumId w:val="64"/>
  </w:num>
  <w:num w:numId="43" w16cid:durableId="1555893365">
    <w:abstractNumId w:val="80"/>
  </w:num>
  <w:num w:numId="44" w16cid:durableId="1447846999">
    <w:abstractNumId w:val="78"/>
  </w:num>
  <w:num w:numId="45" w16cid:durableId="189807194">
    <w:abstractNumId w:val="10"/>
  </w:num>
  <w:num w:numId="46" w16cid:durableId="798492098">
    <w:abstractNumId w:val="45"/>
  </w:num>
  <w:num w:numId="47" w16cid:durableId="1203784015">
    <w:abstractNumId w:val="51"/>
  </w:num>
  <w:num w:numId="48" w16cid:durableId="1947611971">
    <w:abstractNumId w:val="9"/>
  </w:num>
  <w:num w:numId="49" w16cid:durableId="1783649968">
    <w:abstractNumId w:val="101"/>
  </w:num>
  <w:num w:numId="50" w16cid:durableId="580598358">
    <w:abstractNumId w:val="18"/>
  </w:num>
  <w:num w:numId="51" w16cid:durableId="1972009485">
    <w:abstractNumId w:val="112"/>
  </w:num>
  <w:num w:numId="52" w16cid:durableId="1808009362">
    <w:abstractNumId w:val="94"/>
  </w:num>
  <w:num w:numId="53" w16cid:durableId="599068754">
    <w:abstractNumId w:val="30"/>
  </w:num>
  <w:num w:numId="54" w16cid:durableId="316082036">
    <w:abstractNumId w:val="53"/>
  </w:num>
  <w:num w:numId="55" w16cid:durableId="855079587">
    <w:abstractNumId w:val="60"/>
  </w:num>
  <w:num w:numId="56" w16cid:durableId="1244680043">
    <w:abstractNumId w:val="93"/>
  </w:num>
  <w:num w:numId="57" w16cid:durableId="1202749318">
    <w:abstractNumId w:val="96"/>
  </w:num>
  <w:num w:numId="58" w16cid:durableId="546068915">
    <w:abstractNumId w:val="2"/>
  </w:num>
  <w:num w:numId="59" w16cid:durableId="702442914">
    <w:abstractNumId w:val="106"/>
  </w:num>
  <w:num w:numId="60" w16cid:durableId="1428651118">
    <w:abstractNumId w:val="48"/>
  </w:num>
  <w:num w:numId="61" w16cid:durableId="793907221">
    <w:abstractNumId w:val="59"/>
  </w:num>
  <w:num w:numId="62" w16cid:durableId="1298144201">
    <w:abstractNumId w:val="108"/>
  </w:num>
  <w:num w:numId="63" w16cid:durableId="872576945">
    <w:abstractNumId w:val="82"/>
  </w:num>
  <w:num w:numId="64" w16cid:durableId="1469124766">
    <w:abstractNumId w:val="103"/>
  </w:num>
  <w:num w:numId="65" w16cid:durableId="787820408">
    <w:abstractNumId w:val="17"/>
  </w:num>
  <w:num w:numId="66" w16cid:durableId="1385329086">
    <w:abstractNumId w:val="56"/>
  </w:num>
  <w:num w:numId="67" w16cid:durableId="2069767549">
    <w:abstractNumId w:val="81"/>
  </w:num>
  <w:num w:numId="68" w16cid:durableId="1483037732">
    <w:abstractNumId w:val="13"/>
  </w:num>
  <w:num w:numId="69" w16cid:durableId="639114214">
    <w:abstractNumId w:val="120"/>
  </w:num>
  <w:num w:numId="70" w16cid:durableId="552808969">
    <w:abstractNumId w:val="37"/>
  </w:num>
  <w:num w:numId="71" w16cid:durableId="62946359">
    <w:abstractNumId w:val="8"/>
  </w:num>
  <w:num w:numId="72" w16cid:durableId="1241911718">
    <w:abstractNumId w:val="5"/>
  </w:num>
  <w:num w:numId="73" w16cid:durableId="2115244763">
    <w:abstractNumId w:val="118"/>
  </w:num>
  <w:num w:numId="74" w16cid:durableId="1213536814">
    <w:abstractNumId w:val="99"/>
  </w:num>
  <w:num w:numId="75" w16cid:durableId="472481370">
    <w:abstractNumId w:val="90"/>
  </w:num>
  <w:num w:numId="76" w16cid:durableId="1152792595">
    <w:abstractNumId w:val="72"/>
  </w:num>
  <w:num w:numId="77" w16cid:durableId="1273829691">
    <w:abstractNumId w:val="66"/>
  </w:num>
  <w:num w:numId="78" w16cid:durableId="1857883977">
    <w:abstractNumId w:val="74"/>
  </w:num>
  <w:num w:numId="79" w16cid:durableId="1825779726">
    <w:abstractNumId w:val="113"/>
  </w:num>
  <w:num w:numId="80" w16cid:durableId="996417402">
    <w:abstractNumId w:val="77"/>
  </w:num>
  <w:num w:numId="81" w16cid:durableId="581257698">
    <w:abstractNumId w:val="87"/>
  </w:num>
  <w:num w:numId="82" w16cid:durableId="281230758">
    <w:abstractNumId w:val="28"/>
  </w:num>
  <w:num w:numId="83" w16cid:durableId="1022896667">
    <w:abstractNumId w:val="83"/>
  </w:num>
  <w:num w:numId="84" w16cid:durableId="548230758">
    <w:abstractNumId w:val="63"/>
  </w:num>
  <w:num w:numId="85" w16cid:durableId="280453609">
    <w:abstractNumId w:val="39"/>
  </w:num>
  <w:num w:numId="86" w16cid:durableId="938365696">
    <w:abstractNumId w:val="14"/>
  </w:num>
  <w:num w:numId="87" w16cid:durableId="1302686173">
    <w:abstractNumId w:val="24"/>
  </w:num>
  <w:num w:numId="88" w16cid:durableId="2057973539">
    <w:abstractNumId w:val="91"/>
  </w:num>
  <w:num w:numId="89" w16cid:durableId="1790007407">
    <w:abstractNumId w:val="88"/>
  </w:num>
  <w:num w:numId="90" w16cid:durableId="1499154312">
    <w:abstractNumId w:val="3"/>
  </w:num>
  <w:num w:numId="91" w16cid:durableId="1214659926">
    <w:abstractNumId w:val="1"/>
  </w:num>
  <w:num w:numId="92" w16cid:durableId="507981966">
    <w:abstractNumId w:val="47"/>
  </w:num>
  <w:num w:numId="93" w16cid:durableId="968360739">
    <w:abstractNumId w:val="36"/>
  </w:num>
  <w:num w:numId="94" w16cid:durableId="755176561">
    <w:abstractNumId w:val="15"/>
  </w:num>
  <w:num w:numId="95" w16cid:durableId="127211958">
    <w:abstractNumId w:val="54"/>
  </w:num>
  <w:num w:numId="96" w16cid:durableId="1766074983">
    <w:abstractNumId w:val="97"/>
  </w:num>
  <w:num w:numId="97" w16cid:durableId="1238057849">
    <w:abstractNumId w:val="19"/>
  </w:num>
  <w:num w:numId="98" w16cid:durableId="55057144">
    <w:abstractNumId w:val="38"/>
  </w:num>
  <w:num w:numId="99" w16cid:durableId="1187987223">
    <w:abstractNumId w:val="49"/>
  </w:num>
  <w:num w:numId="100" w16cid:durableId="51390468">
    <w:abstractNumId w:val="44"/>
  </w:num>
  <w:num w:numId="101" w16cid:durableId="421999105">
    <w:abstractNumId w:val="22"/>
  </w:num>
  <w:num w:numId="102" w16cid:durableId="1542204130">
    <w:abstractNumId w:val="84"/>
  </w:num>
  <w:num w:numId="103" w16cid:durableId="1721125061">
    <w:abstractNumId w:val="40"/>
  </w:num>
  <w:num w:numId="104" w16cid:durableId="197394517">
    <w:abstractNumId w:val="26"/>
  </w:num>
  <w:num w:numId="105" w16cid:durableId="1464808411">
    <w:abstractNumId w:val="52"/>
  </w:num>
  <w:num w:numId="106" w16cid:durableId="475420077">
    <w:abstractNumId w:val="70"/>
  </w:num>
  <w:num w:numId="107" w16cid:durableId="47153124">
    <w:abstractNumId w:val="79"/>
  </w:num>
  <w:num w:numId="108" w16cid:durableId="120849347">
    <w:abstractNumId w:val="68"/>
  </w:num>
  <w:num w:numId="109" w16cid:durableId="897285914">
    <w:abstractNumId w:val="50"/>
  </w:num>
  <w:num w:numId="110" w16cid:durableId="1951357869">
    <w:abstractNumId w:val="71"/>
  </w:num>
  <w:num w:numId="111" w16cid:durableId="1068500520">
    <w:abstractNumId w:val="33"/>
  </w:num>
  <w:num w:numId="112" w16cid:durableId="492110922">
    <w:abstractNumId w:val="104"/>
  </w:num>
  <w:num w:numId="113" w16cid:durableId="719747335">
    <w:abstractNumId w:val="55"/>
  </w:num>
  <w:num w:numId="114" w16cid:durableId="1062365363">
    <w:abstractNumId w:val="86"/>
  </w:num>
  <w:num w:numId="115" w16cid:durableId="436409386">
    <w:abstractNumId w:val="57"/>
  </w:num>
  <w:num w:numId="116" w16cid:durableId="164519717">
    <w:abstractNumId w:val="46"/>
  </w:num>
  <w:num w:numId="117" w16cid:durableId="369452745">
    <w:abstractNumId w:val="0"/>
  </w:num>
  <w:num w:numId="118" w16cid:durableId="1335766952">
    <w:abstractNumId w:val="75"/>
  </w:num>
  <w:num w:numId="119" w16cid:durableId="397292032">
    <w:abstractNumId w:val="16"/>
  </w:num>
  <w:num w:numId="120" w16cid:durableId="967781146">
    <w:abstractNumId w:val="107"/>
  </w:num>
  <w:num w:numId="121" w16cid:durableId="109712193">
    <w:abstractNumId w:val="61"/>
  </w:num>
  <w:num w:numId="122" w16cid:durableId="1666744030">
    <w:abstractNumId w:val="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C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CO" w:vendorID="64" w:dllVersion="6" w:nlCheck="1" w:checkStyle="0"/>
  <w:activeWritingStyle w:appName="MSWord" w:lang="es-ES" w:vendorID="64" w:dllVersion="6" w:nlCheck="1" w:checkStyle="0"/>
  <w:activeWritingStyle w:appName="MSWord" w:lang="es-MX" w:vendorID="64" w:dllVersion="6" w:nlCheck="1" w:checkStyle="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A23"/>
    <w:rsid w:val="00006132"/>
    <w:rsid w:val="00006C26"/>
    <w:rsid w:val="0000792B"/>
    <w:rsid w:val="00010239"/>
    <w:rsid w:val="000103C0"/>
    <w:rsid w:val="00013F56"/>
    <w:rsid w:val="000140FC"/>
    <w:rsid w:val="00014A89"/>
    <w:rsid w:val="000152C6"/>
    <w:rsid w:val="0002118A"/>
    <w:rsid w:val="0002363C"/>
    <w:rsid w:val="00024431"/>
    <w:rsid w:val="000248E4"/>
    <w:rsid w:val="00027BE3"/>
    <w:rsid w:val="00030402"/>
    <w:rsid w:val="00030D25"/>
    <w:rsid w:val="0003219F"/>
    <w:rsid w:val="00032D12"/>
    <w:rsid w:val="000348A3"/>
    <w:rsid w:val="00050ECD"/>
    <w:rsid w:val="00052370"/>
    <w:rsid w:val="000539E4"/>
    <w:rsid w:val="00055B18"/>
    <w:rsid w:val="00056818"/>
    <w:rsid w:val="00060ADA"/>
    <w:rsid w:val="00060DC9"/>
    <w:rsid w:val="00061FD7"/>
    <w:rsid w:val="000629EC"/>
    <w:rsid w:val="0006537D"/>
    <w:rsid w:val="00066690"/>
    <w:rsid w:val="00066E68"/>
    <w:rsid w:val="000758A3"/>
    <w:rsid w:val="00081F57"/>
    <w:rsid w:val="000916A3"/>
    <w:rsid w:val="000920C9"/>
    <w:rsid w:val="000934EF"/>
    <w:rsid w:val="00094092"/>
    <w:rsid w:val="00094D05"/>
    <w:rsid w:val="000951E6"/>
    <w:rsid w:val="000A0142"/>
    <w:rsid w:val="000A2DA8"/>
    <w:rsid w:val="000A5AF8"/>
    <w:rsid w:val="000A6070"/>
    <w:rsid w:val="000B1986"/>
    <w:rsid w:val="000B2170"/>
    <w:rsid w:val="000B32A9"/>
    <w:rsid w:val="000B506A"/>
    <w:rsid w:val="000C1331"/>
    <w:rsid w:val="000C2C85"/>
    <w:rsid w:val="000C44CE"/>
    <w:rsid w:val="000C7126"/>
    <w:rsid w:val="000D0E54"/>
    <w:rsid w:val="000D1159"/>
    <w:rsid w:val="000E185F"/>
    <w:rsid w:val="000E2E34"/>
    <w:rsid w:val="000E3378"/>
    <w:rsid w:val="000E3EAE"/>
    <w:rsid w:val="000E506B"/>
    <w:rsid w:val="000E6F0D"/>
    <w:rsid w:val="000F238A"/>
    <w:rsid w:val="000F2C0C"/>
    <w:rsid w:val="000F7B3A"/>
    <w:rsid w:val="00102952"/>
    <w:rsid w:val="00107B04"/>
    <w:rsid w:val="00110738"/>
    <w:rsid w:val="001115EE"/>
    <w:rsid w:val="00113020"/>
    <w:rsid w:val="00115DFC"/>
    <w:rsid w:val="00117049"/>
    <w:rsid w:val="0012565C"/>
    <w:rsid w:val="00127485"/>
    <w:rsid w:val="001278CC"/>
    <w:rsid w:val="001279A2"/>
    <w:rsid w:val="00131882"/>
    <w:rsid w:val="00135019"/>
    <w:rsid w:val="00136755"/>
    <w:rsid w:val="00137D45"/>
    <w:rsid w:val="00141819"/>
    <w:rsid w:val="00142A3B"/>
    <w:rsid w:val="00145814"/>
    <w:rsid w:val="00151914"/>
    <w:rsid w:val="00153815"/>
    <w:rsid w:val="0016425D"/>
    <w:rsid w:val="0017432E"/>
    <w:rsid w:val="00181A2A"/>
    <w:rsid w:val="00184D97"/>
    <w:rsid w:val="00186618"/>
    <w:rsid w:val="00190EE5"/>
    <w:rsid w:val="00191576"/>
    <w:rsid w:val="0019160C"/>
    <w:rsid w:val="00192267"/>
    <w:rsid w:val="00194717"/>
    <w:rsid w:val="001951C7"/>
    <w:rsid w:val="001A2EC4"/>
    <w:rsid w:val="001A50F5"/>
    <w:rsid w:val="001A6511"/>
    <w:rsid w:val="001B1720"/>
    <w:rsid w:val="001B19A0"/>
    <w:rsid w:val="001B46D7"/>
    <w:rsid w:val="001B7710"/>
    <w:rsid w:val="001C2242"/>
    <w:rsid w:val="001C3803"/>
    <w:rsid w:val="001C5672"/>
    <w:rsid w:val="001C5AB6"/>
    <w:rsid w:val="001E7059"/>
    <w:rsid w:val="001F53AF"/>
    <w:rsid w:val="001F57A4"/>
    <w:rsid w:val="002017E6"/>
    <w:rsid w:val="002020C5"/>
    <w:rsid w:val="00204BCF"/>
    <w:rsid w:val="002052B8"/>
    <w:rsid w:val="00206938"/>
    <w:rsid w:val="0021055D"/>
    <w:rsid w:val="00210BFB"/>
    <w:rsid w:val="00210C62"/>
    <w:rsid w:val="0022083D"/>
    <w:rsid w:val="00220A3C"/>
    <w:rsid w:val="00221AFB"/>
    <w:rsid w:val="00222913"/>
    <w:rsid w:val="00224B36"/>
    <w:rsid w:val="00226866"/>
    <w:rsid w:val="002273A8"/>
    <w:rsid w:val="00227C15"/>
    <w:rsid w:val="00231BDA"/>
    <w:rsid w:val="00231DF2"/>
    <w:rsid w:val="00231E62"/>
    <w:rsid w:val="0023457F"/>
    <w:rsid w:val="00234AEC"/>
    <w:rsid w:val="00235162"/>
    <w:rsid w:val="002379BF"/>
    <w:rsid w:val="0024001A"/>
    <w:rsid w:val="002434BD"/>
    <w:rsid w:val="00244BC3"/>
    <w:rsid w:val="00250353"/>
    <w:rsid w:val="00251589"/>
    <w:rsid w:val="0025420C"/>
    <w:rsid w:val="00261E81"/>
    <w:rsid w:val="00263A22"/>
    <w:rsid w:val="002678BE"/>
    <w:rsid w:val="00271701"/>
    <w:rsid w:val="00272FE4"/>
    <w:rsid w:val="00275018"/>
    <w:rsid w:val="0027519B"/>
    <w:rsid w:val="0027763F"/>
    <w:rsid w:val="00282C90"/>
    <w:rsid w:val="00284A62"/>
    <w:rsid w:val="00287342"/>
    <w:rsid w:val="002908C9"/>
    <w:rsid w:val="00291970"/>
    <w:rsid w:val="00293149"/>
    <w:rsid w:val="002939E4"/>
    <w:rsid w:val="00295200"/>
    <w:rsid w:val="00295BB5"/>
    <w:rsid w:val="0029701B"/>
    <w:rsid w:val="00297A09"/>
    <w:rsid w:val="002A1E12"/>
    <w:rsid w:val="002A6926"/>
    <w:rsid w:val="002A6C4F"/>
    <w:rsid w:val="002B3321"/>
    <w:rsid w:val="002B3AAB"/>
    <w:rsid w:val="002B4B42"/>
    <w:rsid w:val="002B5E34"/>
    <w:rsid w:val="002B5E45"/>
    <w:rsid w:val="002B631C"/>
    <w:rsid w:val="002C2543"/>
    <w:rsid w:val="002C69E6"/>
    <w:rsid w:val="002D00E8"/>
    <w:rsid w:val="002D071C"/>
    <w:rsid w:val="002D19D2"/>
    <w:rsid w:val="002D2566"/>
    <w:rsid w:val="002D4785"/>
    <w:rsid w:val="002D6072"/>
    <w:rsid w:val="002D6123"/>
    <w:rsid w:val="002E15DE"/>
    <w:rsid w:val="002E2847"/>
    <w:rsid w:val="002E4D29"/>
    <w:rsid w:val="002E6098"/>
    <w:rsid w:val="002E75A4"/>
    <w:rsid w:val="002F5DA9"/>
    <w:rsid w:val="002F7F4E"/>
    <w:rsid w:val="00300938"/>
    <w:rsid w:val="00303331"/>
    <w:rsid w:val="00305581"/>
    <w:rsid w:val="00310EC9"/>
    <w:rsid w:val="00311B1A"/>
    <w:rsid w:val="00315F14"/>
    <w:rsid w:val="00321D7E"/>
    <w:rsid w:val="00330C24"/>
    <w:rsid w:val="00330D6E"/>
    <w:rsid w:val="00332F6B"/>
    <w:rsid w:val="00333809"/>
    <w:rsid w:val="00342D7A"/>
    <w:rsid w:val="00343A2B"/>
    <w:rsid w:val="00346DD7"/>
    <w:rsid w:val="0035120E"/>
    <w:rsid w:val="00351399"/>
    <w:rsid w:val="003538D6"/>
    <w:rsid w:val="00353B4B"/>
    <w:rsid w:val="00356A3E"/>
    <w:rsid w:val="0036008A"/>
    <w:rsid w:val="003659DD"/>
    <w:rsid w:val="00371859"/>
    <w:rsid w:val="0037417A"/>
    <w:rsid w:val="00380792"/>
    <w:rsid w:val="00393F72"/>
    <w:rsid w:val="00396265"/>
    <w:rsid w:val="003A2FD0"/>
    <w:rsid w:val="003A3A8A"/>
    <w:rsid w:val="003A4C5C"/>
    <w:rsid w:val="003B1844"/>
    <w:rsid w:val="003B218A"/>
    <w:rsid w:val="003B26A1"/>
    <w:rsid w:val="003B3672"/>
    <w:rsid w:val="003B4398"/>
    <w:rsid w:val="003C0098"/>
    <w:rsid w:val="003C7EF0"/>
    <w:rsid w:val="003D5972"/>
    <w:rsid w:val="003E6730"/>
    <w:rsid w:val="003E679C"/>
    <w:rsid w:val="003F0DF9"/>
    <w:rsid w:val="00401B07"/>
    <w:rsid w:val="00403440"/>
    <w:rsid w:val="00403B98"/>
    <w:rsid w:val="00404AD9"/>
    <w:rsid w:val="00404FF3"/>
    <w:rsid w:val="004052B8"/>
    <w:rsid w:val="00412C32"/>
    <w:rsid w:val="00413FF5"/>
    <w:rsid w:val="004146B8"/>
    <w:rsid w:val="00422542"/>
    <w:rsid w:val="00423171"/>
    <w:rsid w:val="00426940"/>
    <w:rsid w:val="00433356"/>
    <w:rsid w:val="00433646"/>
    <w:rsid w:val="00434028"/>
    <w:rsid w:val="00444CD0"/>
    <w:rsid w:val="00446F5D"/>
    <w:rsid w:val="004604EA"/>
    <w:rsid w:val="004613CF"/>
    <w:rsid w:val="0046259A"/>
    <w:rsid w:val="00462904"/>
    <w:rsid w:val="004632C1"/>
    <w:rsid w:val="00463C28"/>
    <w:rsid w:val="00464EC1"/>
    <w:rsid w:val="00466A48"/>
    <w:rsid w:val="00471D52"/>
    <w:rsid w:val="00472BC2"/>
    <w:rsid w:val="004732BC"/>
    <w:rsid w:val="00482F1F"/>
    <w:rsid w:val="004837C6"/>
    <w:rsid w:val="004847EF"/>
    <w:rsid w:val="00484A70"/>
    <w:rsid w:val="0049060D"/>
    <w:rsid w:val="00491526"/>
    <w:rsid w:val="00491BC3"/>
    <w:rsid w:val="00492D16"/>
    <w:rsid w:val="004949E7"/>
    <w:rsid w:val="004967A8"/>
    <w:rsid w:val="004A3250"/>
    <w:rsid w:val="004C47E9"/>
    <w:rsid w:val="004C5175"/>
    <w:rsid w:val="004D159E"/>
    <w:rsid w:val="004D1E61"/>
    <w:rsid w:val="004D39B1"/>
    <w:rsid w:val="004D59A6"/>
    <w:rsid w:val="004D5EB1"/>
    <w:rsid w:val="004D6876"/>
    <w:rsid w:val="004E3153"/>
    <w:rsid w:val="004E6420"/>
    <w:rsid w:val="004E7AD0"/>
    <w:rsid w:val="004F1567"/>
    <w:rsid w:val="004F1839"/>
    <w:rsid w:val="004F1B84"/>
    <w:rsid w:val="004F3766"/>
    <w:rsid w:val="005110C7"/>
    <w:rsid w:val="0051549D"/>
    <w:rsid w:val="00515EA6"/>
    <w:rsid w:val="0052096F"/>
    <w:rsid w:val="00522D8A"/>
    <w:rsid w:val="00525B73"/>
    <w:rsid w:val="00526830"/>
    <w:rsid w:val="00534B17"/>
    <w:rsid w:val="005354B9"/>
    <w:rsid w:val="0054005D"/>
    <w:rsid w:val="00541AC8"/>
    <w:rsid w:val="00541F18"/>
    <w:rsid w:val="00544F07"/>
    <w:rsid w:val="005456E2"/>
    <w:rsid w:val="00545AC2"/>
    <w:rsid w:val="00547EF2"/>
    <w:rsid w:val="00554326"/>
    <w:rsid w:val="005551A8"/>
    <w:rsid w:val="005553DB"/>
    <w:rsid w:val="005558D1"/>
    <w:rsid w:val="0055594E"/>
    <w:rsid w:val="00556B9C"/>
    <w:rsid w:val="005576D6"/>
    <w:rsid w:val="00571F81"/>
    <w:rsid w:val="005765EF"/>
    <w:rsid w:val="0057724D"/>
    <w:rsid w:val="00585F50"/>
    <w:rsid w:val="0058771C"/>
    <w:rsid w:val="00587EF3"/>
    <w:rsid w:val="00590E99"/>
    <w:rsid w:val="0059370F"/>
    <w:rsid w:val="00593962"/>
    <w:rsid w:val="00595C9B"/>
    <w:rsid w:val="00596519"/>
    <w:rsid w:val="00597403"/>
    <w:rsid w:val="005A1CDC"/>
    <w:rsid w:val="005A5348"/>
    <w:rsid w:val="005B1844"/>
    <w:rsid w:val="005B385E"/>
    <w:rsid w:val="005B4975"/>
    <w:rsid w:val="005C073F"/>
    <w:rsid w:val="005C1812"/>
    <w:rsid w:val="005C7390"/>
    <w:rsid w:val="005D0BC4"/>
    <w:rsid w:val="005D192F"/>
    <w:rsid w:val="005D78FE"/>
    <w:rsid w:val="005E0571"/>
    <w:rsid w:val="005E0BEB"/>
    <w:rsid w:val="005E275A"/>
    <w:rsid w:val="005E2924"/>
    <w:rsid w:val="005E5B4A"/>
    <w:rsid w:val="005E6D58"/>
    <w:rsid w:val="005E6EC3"/>
    <w:rsid w:val="005E7314"/>
    <w:rsid w:val="005F06C3"/>
    <w:rsid w:val="005F1E6B"/>
    <w:rsid w:val="005F3716"/>
    <w:rsid w:val="005F392E"/>
    <w:rsid w:val="005F4F8D"/>
    <w:rsid w:val="005F5A09"/>
    <w:rsid w:val="006031A3"/>
    <w:rsid w:val="00605388"/>
    <w:rsid w:val="00605A12"/>
    <w:rsid w:val="006076B4"/>
    <w:rsid w:val="00607740"/>
    <w:rsid w:val="00610834"/>
    <w:rsid w:val="00612330"/>
    <w:rsid w:val="0062026A"/>
    <w:rsid w:val="006208D1"/>
    <w:rsid w:val="00626849"/>
    <w:rsid w:val="00640496"/>
    <w:rsid w:val="00642FFF"/>
    <w:rsid w:val="00645AD1"/>
    <w:rsid w:val="00650591"/>
    <w:rsid w:val="00650756"/>
    <w:rsid w:val="00651A34"/>
    <w:rsid w:val="00652039"/>
    <w:rsid w:val="00655D2D"/>
    <w:rsid w:val="00660839"/>
    <w:rsid w:val="0066545D"/>
    <w:rsid w:val="00673315"/>
    <w:rsid w:val="006776EA"/>
    <w:rsid w:val="00677714"/>
    <w:rsid w:val="00677AF0"/>
    <w:rsid w:val="006807E9"/>
    <w:rsid w:val="006820D4"/>
    <w:rsid w:val="00685127"/>
    <w:rsid w:val="006867D8"/>
    <w:rsid w:val="00692CF2"/>
    <w:rsid w:val="006948A6"/>
    <w:rsid w:val="006A0358"/>
    <w:rsid w:val="006A1BCB"/>
    <w:rsid w:val="006A3FBF"/>
    <w:rsid w:val="006A4CF5"/>
    <w:rsid w:val="006A74B5"/>
    <w:rsid w:val="006B40E4"/>
    <w:rsid w:val="006C5B91"/>
    <w:rsid w:val="006D0DAC"/>
    <w:rsid w:val="006D6BD0"/>
    <w:rsid w:val="006D711E"/>
    <w:rsid w:val="006E23AD"/>
    <w:rsid w:val="006E3CDF"/>
    <w:rsid w:val="006E636F"/>
    <w:rsid w:val="00701F2E"/>
    <w:rsid w:val="007249B4"/>
    <w:rsid w:val="00727F27"/>
    <w:rsid w:val="0073131C"/>
    <w:rsid w:val="007333DE"/>
    <w:rsid w:val="007349AF"/>
    <w:rsid w:val="00735F5D"/>
    <w:rsid w:val="00741C01"/>
    <w:rsid w:val="0074470F"/>
    <w:rsid w:val="0074686A"/>
    <w:rsid w:val="007512CC"/>
    <w:rsid w:val="00751835"/>
    <w:rsid w:val="00753B39"/>
    <w:rsid w:val="00754230"/>
    <w:rsid w:val="007543E3"/>
    <w:rsid w:val="00754A90"/>
    <w:rsid w:val="00756C6F"/>
    <w:rsid w:val="00761555"/>
    <w:rsid w:val="00763D2C"/>
    <w:rsid w:val="00764424"/>
    <w:rsid w:val="00773A3B"/>
    <w:rsid w:val="007750F1"/>
    <w:rsid w:val="0078237A"/>
    <w:rsid w:val="00784F95"/>
    <w:rsid w:val="00785FD9"/>
    <w:rsid w:val="00786823"/>
    <w:rsid w:val="00787B17"/>
    <w:rsid w:val="0079034A"/>
    <w:rsid w:val="007915FB"/>
    <w:rsid w:val="00791693"/>
    <w:rsid w:val="00792BD7"/>
    <w:rsid w:val="00792F6E"/>
    <w:rsid w:val="007939A1"/>
    <w:rsid w:val="00794B43"/>
    <w:rsid w:val="00797BFD"/>
    <w:rsid w:val="00797D8E"/>
    <w:rsid w:val="007A45B2"/>
    <w:rsid w:val="007A57B6"/>
    <w:rsid w:val="007A5880"/>
    <w:rsid w:val="007B3A2F"/>
    <w:rsid w:val="007B4C16"/>
    <w:rsid w:val="007B7893"/>
    <w:rsid w:val="007C47CD"/>
    <w:rsid w:val="007C4A91"/>
    <w:rsid w:val="007C5264"/>
    <w:rsid w:val="007C5C0A"/>
    <w:rsid w:val="007D39CA"/>
    <w:rsid w:val="007D7990"/>
    <w:rsid w:val="007E0472"/>
    <w:rsid w:val="007E29A1"/>
    <w:rsid w:val="007E5FC7"/>
    <w:rsid w:val="007F21D4"/>
    <w:rsid w:val="007F2C7E"/>
    <w:rsid w:val="007F2FBF"/>
    <w:rsid w:val="007F5407"/>
    <w:rsid w:val="007F5F97"/>
    <w:rsid w:val="007F61B7"/>
    <w:rsid w:val="007F6E1E"/>
    <w:rsid w:val="00801DF8"/>
    <w:rsid w:val="008025A7"/>
    <w:rsid w:val="008054A3"/>
    <w:rsid w:val="0080728F"/>
    <w:rsid w:val="00807946"/>
    <w:rsid w:val="00810C22"/>
    <w:rsid w:val="00813EE0"/>
    <w:rsid w:val="0081569D"/>
    <w:rsid w:val="00815E8C"/>
    <w:rsid w:val="008168C5"/>
    <w:rsid w:val="00816A10"/>
    <w:rsid w:val="00820205"/>
    <w:rsid w:val="00821DAB"/>
    <w:rsid w:val="0082252B"/>
    <w:rsid w:val="00822CBD"/>
    <w:rsid w:val="008234B1"/>
    <w:rsid w:val="00823A45"/>
    <w:rsid w:val="00824C97"/>
    <w:rsid w:val="00827762"/>
    <w:rsid w:val="00831E70"/>
    <w:rsid w:val="00831F6D"/>
    <w:rsid w:val="00832345"/>
    <w:rsid w:val="00833912"/>
    <w:rsid w:val="008349A5"/>
    <w:rsid w:val="00835880"/>
    <w:rsid w:val="008450B1"/>
    <w:rsid w:val="00846D0F"/>
    <w:rsid w:val="008471DA"/>
    <w:rsid w:val="00850B29"/>
    <w:rsid w:val="00853165"/>
    <w:rsid w:val="00854B18"/>
    <w:rsid w:val="0085611D"/>
    <w:rsid w:val="00856186"/>
    <w:rsid w:val="008656D7"/>
    <w:rsid w:val="00867C56"/>
    <w:rsid w:val="00871101"/>
    <w:rsid w:val="00874D7F"/>
    <w:rsid w:val="0088096B"/>
    <w:rsid w:val="00881136"/>
    <w:rsid w:val="0088241E"/>
    <w:rsid w:val="00884066"/>
    <w:rsid w:val="00887CB4"/>
    <w:rsid w:val="00887F0C"/>
    <w:rsid w:val="008906EE"/>
    <w:rsid w:val="00893330"/>
    <w:rsid w:val="00896F4F"/>
    <w:rsid w:val="00897826"/>
    <w:rsid w:val="00897BA4"/>
    <w:rsid w:val="008A143C"/>
    <w:rsid w:val="008A678A"/>
    <w:rsid w:val="008A6DA8"/>
    <w:rsid w:val="008A7A71"/>
    <w:rsid w:val="008B4AAE"/>
    <w:rsid w:val="008B4C3C"/>
    <w:rsid w:val="008B51BF"/>
    <w:rsid w:val="008B7DE8"/>
    <w:rsid w:val="008C0921"/>
    <w:rsid w:val="008C0EE8"/>
    <w:rsid w:val="008C15D7"/>
    <w:rsid w:val="008C3027"/>
    <w:rsid w:val="008C4A23"/>
    <w:rsid w:val="008D093F"/>
    <w:rsid w:val="008D3598"/>
    <w:rsid w:val="008D4ABD"/>
    <w:rsid w:val="008D7C70"/>
    <w:rsid w:val="008E1DA2"/>
    <w:rsid w:val="008E245A"/>
    <w:rsid w:val="008E42F3"/>
    <w:rsid w:val="008F2950"/>
    <w:rsid w:val="008F3771"/>
    <w:rsid w:val="008F4CD7"/>
    <w:rsid w:val="008F5CAE"/>
    <w:rsid w:val="008F6C52"/>
    <w:rsid w:val="008F7535"/>
    <w:rsid w:val="008F7E4A"/>
    <w:rsid w:val="0090171D"/>
    <w:rsid w:val="009063D4"/>
    <w:rsid w:val="00907788"/>
    <w:rsid w:val="00911318"/>
    <w:rsid w:val="00917363"/>
    <w:rsid w:val="009213E1"/>
    <w:rsid w:val="00921932"/>
    <w:rsid w:val="00924163"/>
    <w:rsid w:val="00925BE2"/>
    <w:rsid w:val="009260E5"/>
    <w:rsid w:val="00926DD7"/>
    <w:rsid w:val="009313A0"/>
    <w:rsid w:val="00932E42"/>
    <w:rsid w:val="00933596"/>
    <w:rsid w:val="00940896"/>
    <w:rsid w:val="00942203"/>
    <w:rsid w:val="009430C0"/>
    <w:rsid w:val="0094349A"/>
    <w:rsid w:val="0094677B"/>
    <w:rsid w:val="00947846"/>
    <w:rsid w:val="00950704"/>
    <w:rsid w:val="00950ABA"/>
    <w:rsid w:val="009528E5"/>
    <w:rsid w:val="009554D2"/>
    <w:rsid w:val="009556B8"/>
    <w:rsid w:val="00957950"/>
    <w:rsid w:val="00961B1D"/>
    <w:rsid w:val="00964D23"/>
    <w:rsid w:val="00966768"/>
    <w:rsid w:val="009672AE"/>
    <w:rsid w:val="00970C23"/>
    <w:rsid w:val="00975600"/>
    <w:rsid w:val="00975987"/>
    <w:rsid w:val="00976BDA"/>
    <w:rsid w:val="00977519"/>
    <w:rsid w:val="00980F73"/>
    <w:rsid w:val="00982E7B"/>
    <w:rsid w:val="009836B3"/>
    <w:rsid w:val="00983B20"/>
    <w:rsid w:val="00983C98"/>
    <w:rsid w:val="00986E00"/>
    <w:rsid w:val="00990EA3"/>
    <w:rsid w:val="009966E2"/>
    <w:rsid w:val="009A06BE"/>
    <w:rsid w:val="009A357D"/>
    <w:rsid w:val="009A4BC8"/>
    <w:rsid w:val="009B6AF5"/>
    <w:rsid w:val="009B75A9"/>
    <w:rsid w:val="009C17B8"/>
    <w:rsid w:val="009C2C11"/>
    <w:rsid w:val="009C529B"/>
    <w:rsid w:val="009C6287"/>
    <w:rsid w:val="009C6D49"/>
    <w:rsid w:val="009C7C2B"/>
    <w:rsid w:val="009D279A"/>
    <w:rsid w:val="009D437A"/>
    <w:rsid w:val="009D657B"/>
    <w:rsid w:val="009D6636"/>
    <w:rsid w:val="009E2397"/>
    <w:rsid w:val="009E4710"/>
    <w:rsid w:val="009F26DC"/>
    <w:rsid w:val="00A0287C"/>
    <w:rsid w:val="00A1238E"/>
    <w:rsid w:val="00A130C0"/>
    <w:rsid w:val="00A146C7"/>
    <w:rsid w:val="00A15BA2"/>
    <w:rsid w:val="00A16659"/>
    <w:rsid w:val="00A2061A"/>
    <w:rsid w:val="00A224F1"/>
    <w:rsid w:val="00A26651"/>
    <w:rsid w:val="00A31F9D"/>
    <w:rsid w:val="00A46B4E"/>
    <w:rsid w:val="00A507B8"/>
    <w:rsid w:val="00A517EC"/>
    <w:rsid w:val="00A52259"/>
    <w:rsid w:val="00A540FA"/>
    <w:rsid w:val="00A551CA"/>
    <w:rsid w:val="00A55FFE"/>
    <w:rsid w:val="00A56229"/>
    <w:rsid w:val="00A57F3B"/>
    <w:rsid w:val="00A60DA4"/>
    <w:rsid w:val="00A66F7B"/>
    <w:rsid w:val="00A73568"/>
    <w:rsid w:val="00A74169"/>
    <w:rsid w:val="00A8344C"/>
    <w:rsid w:val="00A83520"/>
    <w:rsid w:val="00A83CAC"/>
    <w:rsid w:val="00A85AC9"/>
    <w:rsid w:val="00A970EB"/>
    <w:rsid w:val="00AA19E5"/>
    <w:rsid w:val="00AA22CC"/>
    <w:rsid w:val="00AB580D"/>
    <w:rsid w:val="00AB6076"/>
    <w:rsid w:val="00AB7261"/>
    <w:rsid w:val="00AC30B4"/>
    <w:rsid w:val="00AC37D9"/>
    <w:rsid w:val="00AC4803"/>
    <w:rsid w:val="00AD26CC"/>
    <w:rsid w:val="00AD5FD9"/>
    <w:rsid w:val="00AD6C64"/>
    <w:rsid w:val="00AE3BCF"/>
    <w:rsid w:val="00AE4FE5"/>
    <w:rsid w:val="00AE58DA"/>
    <w:rsid w:val="00AF1C93"/>
    <w:rsid w:val="00B01945"/>
    <w:rsid w:val="00B01D11"/>
    <w:rsid w:val="00B0385B"/>
    <w:rsid w:val="00B0508A"/>
    <w:rsid w:val="00B06839"/>
    <w:rsid w:val="00B12396"/>
    <w:rsid w:val="00B12FC8"/>
    <w:rsid w:val="00B1428E"/>
    <w:rsid w:val="00B165E2"/>
    <w:rsid w:val="00B16BA3"/>
    <w:rsid w:val="00B254F7"/>
    <w:rsid w:val="00B27EEB"/>
    <w:rsid w:val="00B379B6"/>
    <w:rsid w:val="00B41334"/>
    <w:rsid w:val="00B4422C"/>
    <w:rsid w:val="00B4585C"/>
    <w:rsid w:val="00B4645B"/>
    <w:rsid w:val="00B46FFD"/>
    <w:rsid w:val="00B51617"/>
    <w:rsid w:val="00B553CA"/>
    <w:rsid w:val="00B562F1"/>
    <w:rsid w:val="00B56EAB"/>
    <w:rsid w:val="00B60DBF"/>
    <w:rsid w:val="00B6209C"/>
    <w:rsid w:val="00B6232B"/>
    <w:rsid w:val="00B6255F"/>
    <w:rsid w:val="00B635D2"/>
    <w:rsid w:val="00B6438B"/>
    <w:rsid w:val="00B710A9"/>
    <w:rsid w:val="00B73336"/>
    <w:rsid w:val="00B73760"/>
    <w:rsid w:val="00B77BAF"/>
    <w:rsid w:val="00B826BE"/>
    <w:rsid w:val="00B84207"/>
    <w:rsid w:val="00B86A17"/>
    <w:rsid w:val="00B86FC6"/>
    <w:rsid w:val="00B93EF0"/>
    <w:rsid w:val="00BA35D2"/>
    <w:rsid w:val="00BA6EDB"/>
    <w:rsid w:val="00BB10CF"/>
    <w:rsid w:val="00BB20AB"/>
    <w:rsid w:val="00BB3169"/>
    <w:rsid w:val="00BB38CB"/>
    <w:rsid w:val="00BB692C"/>
    <w:rsid w:val="00BC0FEF"/>
    <w:rsid w:val="00BC2934"/>
    <w:rsid w:val="00BC3CFF"/>
    <w:rsid w:val="00BC4451"/>
    <w:rsid w:val="00BD57C6"/>
    <w:rsid w:val="00BD5930"/>
    <w:rsid w:val="00BD6172"/>
    <w:rsid w:val="00BE285E"/>
    <w:rsid w:val="00BE2869"/>
    <w:rsid w:val="00BF1719"/>
    <w:rsid w:val="00BF248E"/>
    <w:rsid w:val="00C0393B"/>
    <w:rsid w:val="00C05943"/>
    <w:rsid w:val="00C067ED"/>
    <w:rsid w:val="00C13A48"/>
    <w:rsid w:val="00C14AA1"/>
    <w:rsid w:val="00C16EFF"/>
    <w:rsid w:val="00C263AA"/>
    <w:rsid w:val="00C31D6A"/>
    <w:rsid w:val="00C32B7F"/>
    <w:rsid w:val="00C336FE"/>
    <w:rsid w:val="00C3457B"/>
    <w:rsid w:val="00C3549A"/>
    <w:rsid w:val="00C37D90"/>
    <w:rsid w:val="00C407D1"/>
    <w:rsid w:val="00C40D1C"/>
    <w:rsid w:val="00C42C91"/>
    <w:rsid w:val="00C445EB"/>
    <w:rsid w:val="00C44EE5"/>
    <w:rsid w:val="00C45101"/>
    <w:rsid w:val="00C46AEF"/>
    <w:rsid w:val="00C4763B"/>
    <w:rsid w:val="00C4771E"/>
    <w:rsid w:val="00C47A44"/>
    <w:rsid w:val="00C47EF0"/>
    <w:rsid w:val="00C513B0"/>
    <w:rsid w:val="00C56DB9"/>
    <w:rsid w:val="00C627F5"/>
    <w:rsid w:val="00C6441E"/>
    <w:rsid w:val="00C67048"/>
    <w:rsid w:val="00C6752C"/>
    <w:rsid w:val="00C67568"/>
    <w:rsid w:val="00C70ECF"/>
    <w:rsid w:val="00C73B6C"/>
    <w:rsid w:val="00C75C49"/>
    <w:rsid w:val="00C77649"/>
    <w:rsid w:val="00C83337"/>
    <w:rsid w:val="00C85917"/>
    <w:rsid w:val="00C86CEA"/>
    <w:rsid w:val="00C86CF4"/>
    <w:rsid w:val="00C876E0"/>
    <w:rsid w:val="00C90420"/>
    <w:rsid w:val="00C93BDB"/>
    <w:rsid w:val="00CA150F"/>
    <w:rsid w:val="00CA5DF4"/>
    <w:rsid w:val="00CC3A0D"/>
    <w:rsid w:val="00CC46A1"/>
    <w:rsid w:val="00CC4936"/>
    <w:rsid w:val="00CD253D"/>
    <w:rsid w:val="00CD5259"/>
    <w:rsid w:val="00CD56BA"/>
    <w:rsid w:val="00CD5930"/>
    <w:rsid w:val="00CF3693"/>
    <w:rsid w:val="00CF3F17"/>
    <w:rsid w:val="00CF72D4"/>
    <w:rsid w:val="00D02190"/>
    <w:rsid w:val="00D02921"/>
    <w:rsid w:val="00D03FCC"/>
    <w:rsid w:val="00D05773"/>
    <w:rsid w:val="00D1348A"/>
    <w:rsid w:val="00D14B25"/>
    <w:rsid w:val="00D20E63"/>
    <w:rsid w:val="00D2131C"/>
    <w:rsid w:val="00D21DAF"/>
    <w:rsid w:val="00D30F63"/>
    <w:rsid w:val="00D31A75"/>
    <w:rsid w:val="00D33907"/>
    <w:rsid w:val="00D33FA6"/>
    <w:rsid w:val="00D40CAA"/>
    <w:rsid w:val="00D4279D"/>
    <w:rsid w:val="00D44AF2"/>
    <w:rsid w:val="00D452CB"/>
    <w:rsid w:val="00D47CED"/>
    <w:rsid w:val="00D51A61"/>
    <w:rsid w:val="00D555FF"/>
    <w:rsid w:val="00D56A11"/>
    <w:rsid w:val="00D5724D"/>
    <w:rsid w:val="00D60F43"/>
    <w:rsid w:val="00D657B7"/>
    <w:rsid w:val="00D70677"/>
    <w:rsid w:val="00D71A3E"/>
    <w:rsid w:val="00D75065"/>
    <w:rsid w:val="00D816E3"/>
    <w:rsid w:val="00D824F2"/>
    <w:rsid w:val="00D83E1C"/>
    <w:rsid w:val="00D902C9"/>
    <w:rsid w:val="00D973AA"/>
    <w:rsid w:val="00DA11D8"/>
    <w:rsid w:val="00DA1C9A"/>
    <w:rsid w:val="00DA1CDA"/>
    <w:rsid w:val="00DA62EA"/>
    <w:rsid w:val="00DB16A1"/>
    <w:rsid w:val="00DB2577"/>
    <w:rsid w:val="00DB2D15"/>
    <w:rsid w:val="00DB3090"/>
    <w:rsid w:val="00DC0CEB"/>
    <w:rsid w:val="00DC1513"/>
    <w:rsid w:val="00DC1E55"/>
    <w:rsid w:val="00DC413B"/>
    <w:rsid w:val="00DC469B"/>
    <w:rsid w:val="00DC577C"/>
    <w:rsid w:val="00DC6941"/>
    <w:rsid w:val="00DD12E3"/>
    <w:rsid w:val="00DD2E5A"/>
    <w:rsid w:val="00DD5363"/>
    <w:rsid w:val="00DD78C6"/>
    <w:rsid w:val="00DD7A15"/>
    <w:rsid w:val="00DE0AB0"/>
    <w:rsid w:val="00DE4DE4"/>
    <w:rsid w:val="00DF0CB7"/>
    <w:rsid w:val="00DF0ED5"/>
    <w:rsid w:val="00DF4218"/>
    <w:rsid w:val="00E0204A"/>
    <w:rsid w:val="00E03A22"/>
    <w:rsid w:val="00E10BEF"/>
    <w:rsid w:val="00E14951"/>
    <w:rsid w:val="00E2174E"/>
    <w:rsid w:val="00E22754"/>
    <w:rsid w:val="00E22EF0"/>
    <w:rsid w:val="00E2343E"/>
    <w:rsid w:val="00E26764"/>
    <w:rsid w:val="00E3416C"/>
    <w:rsid w:val="00E35A84"/>
    <w:rsid w:val="00E36124"/>
    <w:rsid w:val="00E361C7"/>
    <w:rsid w:val="00E36F94"/>
    <w:rsid w:val="00E41132"/>
    <w:rsid w:val="00E41CCE"/>
    <w:rsid w:val="00E528AC"/>
    <w:rsid w:val="00E57024"/>
    <w:rsid w:val="00E60FAD"/>
    <w:rsid w:val="00E620CB"/>
    <w:rsid w:val="00E6295E"/>
    <w:rsid w:val="00E704CE"/>
    <w:rsid w:val="00E7149A"/>
    <w:rsid w:val="00E71E37"/>
    <w:rsid w:val="00E77EEE"/>
    <w:rsid w:val="00E829D5"/>
    <w:rsid w:val="00E837EE"/>
    <w:rsid w:val="00E84197"/>
    <w:rsid w:val="00E841C0"/>
    <w:rsid w:val="00E852AF"/>
    <w:rsid w:val="00E912BA"/>
    <w:rsid w:val="00E91AE2"/>
    <w:rsid w:val="00E92809"/>
    <w:rsid w:val="00E97165"/>
    <w:rsid w:val="00EA02DF"/>
    <w:rsid w:val="00EA2498"/>
    <w:rsid w:val="00EB4250"/>
    <w:rsid w:val="00EB4924"/>
    <w:rsid w:val="00EB61F1"/>
    <w:rsid w:val="00EB7CEA"/>
    <w:rsid w:val="00EB7DA6"/>
    <w:rsid w:val="00EC30D5"/>
    <w:rsid w:val="00EC350D"/>
    <w:rsid w:val="00EC4667"/>
    <w:rsid w:val="00ED1B2D"/>
    <w:rsid w:val="00ED1B9F"/>
    <w:rsid w:val="00ED27D4"/>
    <w:rsid w:val="00ED7F05"/>
    <w:rsid w:val="00EE1A59"/>
    <w:rsid w:val="00EE2519"/>
    <w:rsid w:val="00EE2F81"/>
    <w:rsid w:val="00EF00C1"/>
    <w:rsid w:val="00EF1EAE"/>
    <w:rsid w:val="00EF3CBE"/>
    <w:rsid w:val="00EF7E0B"/>
    <w:rsid w:val="00F00DCC"/>
    <w:rsid w:val="00F0300A"/>
    <w:rsid w:val="00F03685"/>
    <w:rsid w:val="00F10728"/>
    <w:rsid w:val="00F11509"/>
    <w:rsid w:val="00F141C9"/>
    <w:rsid w:val="00F16DE9"/>
    <w:rsid w:val="00F2155B"/>
    <w:rsid w:val="00F217B3"/>
    <w:rsid w:val="00F3057E"/>
    <w:rsid w:val="00F306F0"/>
    <w:rsid w:val="00F31FAD"/>
    <w:rsid w:val="00F37E2F"/>
    <w:rsid w:val="00F41896"/>
    <w:rsid w:val="00F41FC3"/>
    <w:rsid w:val="00F42854"/>
    <w:rsid w:val="00F43B99"/>
    <w:rsid w:val="00F45C6A"/>
    <w:rsid w:val="00F50F1A"/>
    <w:rsid w:val="00F51668"/>
    <w:rsid w:val="00F53AE5"/>
    <w:rsid w:val="00F54C60"/>
    <w:rsid w:val="00F564A8"/>
    <w:rsid w:val="00F578DC"/>
    <w:rsid w:val="00F57FFD"/>
    <w:rsid w:val="00F60235"/>
    <w:rsid w:val="00F628F6"/>
    <w:rsid w:val="00F63F70"/>
    <w:rsid w:val="00F65850"/>
    <w:rsid w:val="00F65A63"/>
    <w:rsid w:val="00F65B96"/>
    <w:rsid w:val="00F660C3"/>
    <w:rsid w:val="00F67A45"/>
    <w:rsid w:val="00F70394"/>
    <w:rsid w:val="00F744EC"/>
    <w:rsid w:val="00F757DE"/>
    <w:rsid w:val="00F76CDF"/>
    <w:rsid w:val="00F844F8"/>
    <w:rsid w:val="00F86D34"/>
    <w:rsid w:val="00F90A60"/>
    <w:rsid w:val="00F90DF3"/>
    <w:rsid w:val="00F91E4D"/>
    <w:rsid w:val="00F928E0"/>
    <w:rsid w:val="00F9688B"/>
    <w:rsid w:val="00F97AAF"/>
    <w:rsid w:val="00FA3721"/>
    <w:rsid w:val="00FB03CF"/>
    <w:rsid w:val="00FB0495"/>
    <w:rsid w:val="00FB0D5E"/>
    <w:rsid w:val="00FB3B02"/>
    <w:rsid w:val="00FB440E"/>
    <w:rsid w:val="00FB4A7D"/>
    <w:rsid w:val="00FB4B39"/>
    <w:rsid w:val="00FB6035"/>
    <w:rsid w:val="00FC141E"/>
    <w:rsid w:val="00FC3216"/>
    <w:rsid w:val="00FC5CE7"/>
    <w:rsid w:val="00FD25C7"/>
    <w:rsid w:val="00FD4250"/>
    <w:rsid w:val="00FD523A"/>
    <w:rsid w:val="00FD5B02"/>
    <w:rsid w:val="00FD6EF7"/>
    <w:rsid w:val="00FD6F1E"/>
    <w:rsid w:val="00FE335C"/>
    <w:rsid w:val="00FF039B"/>
    <w:rsid w:val="00FF6590"/>
    <w:rsid w:val="00FF6E04"/>
    <w:rsid w:val="01208E9B"/>
    <w:rsid w:val="0140E4E0"/>
    <w:rsid w:val="0164A255"/>
    <w:rsid w:val="016F9418"/>
    <w:rsid w:val="01B74D8E"/>
    <w:rsid w:val="024A7C7D"/>
    <w:rsid w:val="0284F72B"/>
    <w:rsid w:val="029AE0F1"/>
    <w:rsid w:val="02C1F499"/>
    <w:rsid w:val="02CDA871"/>
    <w:rsid w:val="02F570DF"/>
    <w:rsid w:val="03262371"/>
    <w:rsid w:val="032ADB32"/>
    <w:rsid w:val="03415D46"/>
    <w:rsid w:val="03531DEF"/>
    <w:rsid w:val="03800F31"/>
    <w:rsid w:val="03B8B09D"/>
    <w:rsid w:val="04B22150"/>
    <w:rsid w:val="04DCC333"/>
    <w:rsid w:val="04F8F0A4"/>
    <w:rsid w:val="05137109"/>
    <w:rsid w:val="05343AD5"/>
    <w:rsid w:val="055370E8"/>
    <w:rsid w:val="0585E3AC"/>
    <w:rsid w:val="059EFE77"/>
    <w:rsid w:val="05BC7BB4"/>
    <w:rsid w:val="0609AD3D"/>
    <w:rsid w:val="060FA285"/>
    <w:rsid w:val="06A0EBF1"/>
    <w:rsid w:val="06C17F49"/>
    <w:rsid w:val="073FC36A"/>
    <w:rsid w:val="0746BC48"/>
    <w:rsid w:val="076AF789"/>
    <w:rsid w:val="076B3CF4"/>
    <w:rsid w:val="078C06B5"/>
    <w:rsid w:val="079D87F4"/>
    <w:rsid w:val="07A04C53"/>
    <w:rsid w:val="07F843EC"/>
    <w:rsid w:val="082393F5"/>
    <w:rsid w:val="0842E370"/>
    <w:rsid w:val="084347D4"/>
    <w:rsid w:val="085B9869"/>
    <w:rsid w:val="08A7E46B"/>
    <w:rsid w:val="08C892D4"/>
    <w:rsid w:val="08ECD5A8"/>
    <w:rsid w:val="09148B23"/>
    <w:rsid w:val="0932237D"/>
    <w:rsid w:val="09628135"/>
    <w:rsid w:val="09B46841"/>
    <w:rsid w:val="09BD4CA1"/>
    <w:rsid w:val="09E406BE"/>
    <w:rsid w:val="0A0DB9AE"/>
    <w:rsid w:val="0A1F8C40"/>
    <w:rsid w:val="0A7BC9FA"/>
    <w:rsid w:val="0AAEFE40"/>
    <w:rsid w:val="0B56424E"/>
    <w:rsid w:val="0BB77C88"/>
    <w:rsid w:val="0BBDAE3E"/>
    <w:rsid w:val="0C12F944"/>
    <w:rsid w:val="0C1AC604"/>
    <w:rsid w:val="0C5CCD4D"/>
    <w:rsid w:val="0C64FE9E"/>
    <w:rsid w:val="0C92DD18"/>
    <w:rsid w:val="0C9D0FD9"/>
    <w:rsid w:val="0C9D4D02"/>
    <w:rsid w:val="0CB1F27E"/>
    <w:rsid w:val="0CE266F6"/>
    <w:rsid w:val="0D17AEDE"/>
    <w:rsid w:val="0D2A389C"/>
    <w:rsid w:val="0D3DE4C4"/>
    <w:rsid w:val="0D7971A3"/>
    <w:rsid w:val="0D86063A"/>
    <w:rsid w:val="0D89226F"/>
    <w:rsid w:val="0D9AD520"/>
    <w:rsid w:val="0DA24ACC"/>
    <w:rsid w:val="0DA4E857"/>
    <w:rsid w:val="0DA51C05"/>
    <w:rsid w:val="0DC35FF7"/>
    <w:rsid w:val="0DD17F6B"/>
    <w:rsid w:val="0DDDF3B2"/>
    <w:rsid w:val="0DF77520"/>
    <w:rsid w:val="0E473449"/>
    <w:rsid w:val="0E521DCA"/>
    <w:rsid w:val="0EA3DE37"/>
    <w:rsid w:val="0ECB702A"/>
    <w:rsid w:val="0F08E930"/>
    <w:rsid w:val="0F0A193D"/>
    <w:rsid w:val="0F624CBC"/>
    <w:rsid w:val="0F65D98C"/>
    <w:rsid w:val="0F837703"/>
    <w:rsid w:val="0F848F9A"/>
    <w:rsid w:val="0FB72788"/>
    <w:rsid w:val="104CAF6B"/>
    <w:rsid w:val="104E7ABF"/>
    <w:rsid w:val="10F533A7"/>
    <w:rsid w:val="1157772B"/>
    <w:rsid w:val="116C3B44"/>
    <w:rsid w:val="116E50B2"/>
    <w:rsid w:val="11D2BAA6"/>
    <w:rsid w:val="121BD3B0"/>
    <w:rsid w:val="1241BCA6"/>
    <w:rsid w:val="1260D52C"/>
    <w:rsid w:val="127A712F"/>
    <w:rsid w:val="12B6AF6C"/>
    <w:rsid w:val="12C4E886"/>
    <w:rsid w:val="1308ADB5"/>
    <w:rsid w:val="132579BA"/>
    <w:rsid w:val="132A4836"/>
    <w:rsid w:val="135B3E31"/>
    <w:rsid w:val="136941B9"/>
    <w:rsid w:val="13861B81"/>
    <w:rsid w:val="13B30B9A"/>
    <w:rsid w:val="13D13739"/>
    <w:rsid w:val="140D11F8"/>
    <w:rsid w:val="14165EFF"/>
    <w:rsid w:val="141E0B29"/>
    <w:rsid w:val="1456E826"/>
    <w:rsid w:val="14811A9B"/>
    <w:rsid w:val="14C61897"/>
    <w:rsid w:val="1502ABE0"/>
    <w:rsid w:val="1505121A"/>
    <w:rsid w:val="15ABC956"/>
    <w:rsid w:val="15B9AD2F"/>
    <w:rsid w:val="15F4E1C3"/>
    <w:rsid w:val="161173CE"/>
    <w:rsid w:val="164FA8E3"/>
    <w:rsid w:val="1651D3F2"/>
    <w:rsid w:val="16789FBE"/>
    <w:rsid w:val="16876CD6"/>
    <w:rsid w:val="1690E5FF"/>
    <w:rsid w:val="16A0377C"/>
    <w:rsid w:val="170B9E50"/>
    <w:rsid w:val="171E63FE"/>
    <w:rsid w:val="17336F5A"/>
    <w:rsid w:val="174B4CCE"/>
    <w:rsid w:val="1755ABEB"/>
    <w:rsid w:val="17FE37F2"/>
    <w:rsid w:val="1807B7F6"/>
    <w:rsid w:val="18198226"/>
    <w:rsid w:val="183C07DD"/>
    <w:rsid w:val="187D870E"/>
    <w:rsid w:val="1893C41E"/>
    <w:rsid w:val="189A9654"/>
    <w:rsid w:val="18EC79A8"/>
    <w:rsid w:val="18FF3762"/>
    <w:rsid w:val="19347C79"/>
    <w:rsid w:val="1952407E"/>
    <w:rsid w:val="19B98323"/>
    <w:rsid w:val="19DB5DF1"/>
    <w:rsid w:val="19DFC4C9"/>
    <w:rsid w:val="19FBCDCC"/>
    <w:rsid w:val="1A40C1DF"/>
    <w:rsid w:val="1A541F9D"/>
    <w:rsid w:val="1A795828"/>
    <w:rsid w:val="1A7D7FAB"/>
    <w:rsid w:val="1A858314"/>
    <w:rsid w:val="1ADA53D1"/>
    <w:rsid w:val="1AE27106"/>
    <w:rsid w:val="1B3BD1FA"/>
    <w:rsid w:val="1B5679A9"/>
    <w:rsid w:val="1B632DFA"/>
    <w:rsid w:val="1BB47975"/>
    <w:rsid w:val="1BBD64EB"/>
    <w:rsid w:val="1C06E07D"/>
    <w:rsid w:val="1C0B635E"/>
    <w:rsid w:val="1C5CFBD5"/>
    <w:rsid w:val="1CD7A25B"/>
    <w:rsid w:val="1D01BB3E"/>
    <w:rsid w:val="1D12FEB3"/>
    <w:rsid w:val="1DB0F8EA"/>
    <w:rsid w:val="1DBA350F"/>
    <w:rsid w:val="1DC27BD8"/>
    <w:rsid w:val="1DDFC00F"/>
    <w:rsid w:val="1E029C74"/>
    <w:rsid w:val="1E28A9F1"/>
    <w:rsid w:val="1E3FC16B"/>
    <w:rsid w:val="1E4B605C"/>
    <w:rsid w:val="1E74A033"/>
    <w:rsid w:val="1E83FF39"/>
    <w:rsid w:val="1E8D47F3"/>
    <w:rsid w:val="1ED77175"/>
    <w:rsid w:val="1F4CC1EE"/>
    <w:rsid w:val="1F7D88AE"/>
    <w:rsid w:val="1F94B8CD"/>
    <w:rsid w:val="1FA6F8DF"/>
    <w:rsid w:val="1FCA7385"/>
    <w:rsid w:val="1FF1A2D1"/>
    <w:rsid w:val="2013877A"/>
    <w:rsid w:val="204A9F75"/>
    <w:rsid w:val="20543893"/>
    <w:rsid w:val="20549336"/>
    <w:rsid w:val="207A6E79"/>
    <w:rsid w:val="210D80D8"/>
    <w:rsid w:val="2112E523"/>
    <w:rsid w:val="2142C940"/>
    <w:rsid w:val="214E1146"/>
    <w:rsid w:val="21691BB3"/>
    <w:rsid w:val="2186E1EF"/>
    <w:rsid w:val="21BF9877"/>
    <w:rsid w:val="2217B168"/>
    <w:rsid w:val="2238D0E9"/>
    <w:rsid w:val="223B2606"/>
    <w:rsid w:val="236B0BA2"/>
    <w:rsid w:val="239EADFB"/>
    <w:rsid w:val="23BB656B"/>
    <w:rsid w:val="23C32D82"/>
    <w:rsid w:val="23EF1388"/>
    <w:rsid w:val="23FD0FBD"/>
    <w:rsid w:val="2490023E"/>
    <w:rsid w:val="24AF2AF9"/>
    <w:rsid w:val="24BE3201"/>
    <w:rsid w:val="24C61DAF"/>
    <w:rsid w:val="24CB018A"/>
    <w:rsid w:val="24CDB212"/>
    <w:rsid w:val="24FC03DB"/>
    <w:rsid w:val="2528DA07"/>
    <w:rsid w:val="2556E136"/>
    <w:rsid w:val="259BAD54"/>
    <w:rsid w:val="25F5EBBC"/>
    <w:rsid w:val="25F8BB0B"/>
    <w:rsid w:val="260B86E5"/>
    <w:rsid w:val="2611A65C"/>
    <w:rsid w:val="26879F64"/>
    <w:rsid w:val="26AB8DB6"/>
    <w:rsid w:val="26E6B5BF"/>
    <w:rsid w:val="2707986E"/>
    <w:rsid w:val="27297B47"/>
    <w:rsid w:val="2734B07F"/>
    <w:rsid w:val="275AD6AF"/>
    <w:rsid w:val="275BC54A"/>
    <w:rsid w:val="2796EA29"/>
    <w:rsid w:val="27A3F2A6"/>
    <w:rsid w:val="27B72ED7"/>
    <w:rsid w:val="27E04ABD"/>
    <w:rsid w:val="27EEADC7"/>
    <w:rsid w:val="2825F781"/>
    <w:rsid w:val="2850EF17"/>
    <w:rsid w:val="28537008"/>
    <w:rsid w:val="285F4A78"/>
    <w:rsid w:val="287809DF"/>
    <w:rsid w:val="28828620"/>
    <w:rsid w:val="2893716F"/>
    <w:rsid w:val="297C1B1E"/>
    <w:rsid w:val="29ADB6C2"/>
    <w:rsid w:val="29E904C0"/>
    <w:rsid w:val="2A0DA497"/>
    <w:rsid w:val="2A1B17A9"/>
    <w:rsid w:val="2A1D42B8"/>
    <w:rsid w:val="2A2BE432"/>
    <w:rsid w:val="2A653957"/>
    <w:rsid w:val="2A765395"/>
    <w:rsid w:val="2AE47641"/>
    <w:rsid w:val="2AFA5D21"/>
    <w:rsid w:val="2B22F503"/>
    <w:rsid w:val="2B6E3E0B"/>
    <w:rsid w:val="2BCB1231"/>
    <w:rsid w:val="2BD0CD75"/>
    <w:rsid w:val="2C00E91F"/>
    <w:rsid w:val="2C2F453F"/>
    <w:rsid w:val="2C799CEF"/>
    <w:rsid w:val="2CD3A1D8"/>
    <w:rsid w:val="2CFDE869"/>
    <w:rsid w:val="2D1211D5"/>
    <w:rsid w:val="2D309234"/>
    <w:rsid w:val="2D57ACF2"/>
    <w:rsid w:val="2D839CCC"/>
    <w:rsid w:val="2DB5DA80"/>
    <w:rsid w:val="2DE99648"/>
    <w:rsid w:val="2DEB4B07"/>
    <w:rsid w:val="2E011F88"/>
    <w:rsid w:val="2E1DF916"/>
    <w:rsid w:val="2E6DA2FF"/>
    <w:rsid w:val="2E926D54"/>
    <w:rsid w:val="2EA148B2"/>
    <w:rsid w:val="2EB4E3FD"/>
    <w:rsid w:val="2EBFBB1A"/>
    <w:rsid w:val="2ECE8BFC"/>
    <w:rsid w:val="2EEE88CC"/>
    <w:rsid w:val="2F1F6D2D"/>
    <w:rsid w:val="2F35B422"/>
    <w:rsid w:val="2F4DAED2"/>
    <w:rsid w:val="2F50E9B4"/>
    <w:rsid w:val="2F74102F"/>
    <w:rsid w:val="2F8674F4"/>
    <w:rsid w:val="2F8DF049"/>
    <w:rsid w:val="2F9A115C"/>
    <w:rsid w:val="2F9F8D74"/>
    <w:rsid w:val="2FA1210B"/>
    <w:rsid w:val="2FE67CA1"/>
    <w:rsid w:val="30092226"/>
    <w:rsid w:val="30240B23"/>
    <w:rsid w:val="30326360"/>
    <w:rsid w:val="30661282"/>
    <w:rsid w:val="306BF62C"/>
    <w:rsid w:val="3078DC74"/>
    <w:rsid w:val="3083041A"/>
    <w:rsid w:val="30836E4C"/>
    <w:rsid w:val="308893C3"/>
    <w:rsid w:val="308D9805"/>
    <w:rsid w:val="3092D298"/>
    <w:rsid w:val="309D3E58"/>
    <w:rsid w:val="30A6C062"/>
    <w:rsid w:val="30E3BD74"/>
    <w:rsid w:val="30F4A79B"/>
    <w:rsid w:val="313CF16C"/>
    <w:rsid w:val="31540863"/>
    <w:rsid w:val="31555CE9"/>
    <w:rsid w:val="31623B56"/>
    <w:rsid w:val="317BA021"/>
    <w:rsid w:val="31B8688D"/>
    <w:rsid w:val="31D0E4D6"/>
    <w:rsid w:val="31E23F24"/>
    <w:rsid w:val="31FC7B44"/>
    <w:rsid w:val="3207C68D"/>
    <w:rsid w:val="320B6E98"/>
    <w:rsid w:val="32A4069C"/>
    <w:rsid w:val="32A5176A"/>
    <w:rsid w:val="32B61144"/>
    <w:rsid w:val="32B706D9"/>
    <w:rsid w:val="32D9635A"/>
    <w:rsid w:val="33177082"/>
    <w:rsid w:val="332DD84D"/>
    <w:rsid w:val="3354CC2C"/>
    <w:rsid w:val="338BDAA9"/>
    <w:rsid w:val="33A1FD1F"/>
    <w:rsid w:val="33BD17EF"/>
    <w:rsid w:val="33C26FC7"/>
    <w:rsid w:val="33E5AEB0"/>
    <w:rsid w:val="34861F0A"/>
    <w:rsid w:val="34AC3C80"/>
    <w:rsid w:val="34B36F01"/>
    <w:rsid w:val="34FE73CC"/>
    <w:rsid w:val="3510F8CE"/>
    <w:rsid w:val="3521EFD7"/>
    <w:rsid w:val="357F96B4"/>
    <w:rsid w:val="35981A78"/>
    <w:rsid w:val="35AF03E8"/>
    <w:rsid w:val="35FC488B"/>
    <w:rsid w:val="3611041C"/>
    <w:rsid w:val="3613F6FD"/>
    <w:rsid w:val="36615BC1"/>
    <w:rsid w:val="366B72AE"/>
    <w:rsid w:val="367508C8"/>
    <w:rsid w:val="367A841E"/>
    <w:rsid w:val="368B1544"/>
    <w:rsid w:val="37421ED8"/>
    <w:rsid w:val="3752C1CF"/>
    <w:rsid w:val="378DA5A0"/>
    <w:rsid w:val="37C916F9"/>
    <w:rsid w:val="38078B3F"/>
    <w:rsid w:val="3808A3D5"/>
    <w:rsid w:val="3813BF04"/>
    <w:rsid w:val="3815B232"/>
    <w:rsid w:val="38375EB9"/>
    <w:rsid w:val="383A3686"/>
    <w:rsid w:val="3842DD6B"/>
    <w:rsid w:val="3857FC0A"/>
    <w:rsid w:val="386556C8"/>
    <w:rsid w:val="3872E507"/>
    <w:rsid w:val="3897E3F0"/>
    <w:rsid w:val="389EB399"/>
    <w:rsid w:val="38A09770"/>
    <w:rsid w:val="38A8A443"/>
    <w:rsid w:val="38B51B6D"/>
    <w:rsid w:val="38BC4BCB"/>
    <w:rsid w:val="39479115"/>
    <w:rsid w:val="39A5953A"/>
    <w:rsid w:val="39A6D5D8"/>
    <w:rsid w:val="39C3E524"/>
    <w:rsid w:val="3A012729"/>
    <w:rsid w:val="3A4CDCAE"/>
    <w:rsid w:val="3A733E08"/>
    <w:rsid w:val="3AC2B112"/>
    <w:rsid w:val="3B17D63C"/>
    <w:rsid w:val="3B272975"/>
    <w:rsid w:val="3B33BD3E"/>
    <w:rsid w:val="3B399DD7"/>
    <w:rsid w:val="3B45A32D"/>
    <w:rsid w:val="3B82ABD0"/>
    <w:rsid w:val="3C1FF18F"/>
    <w:rsid w:val="3C2E76AA"/>
    <w:rsid w:val="3C4977BC"/>
    <w:rsid w:val="3C5EFC6B"/>
    <w:rsid w:val="3C802831"/>
    <w:rsid w:val="3CDF8EEE"/>
    <w:rsid w:val="3CE028DD"/>
    <w:rsid w:val="3CF47580"/>
    <w:rsid w:val="3D02E256"/>
    <w:rsid w:val="3D72F4CA"/>
    <w:rsid w:val="3D8D685C"/>
    <w:rsid w:val="3DB215BB"/>
    <w:rsid w:val="3DBBC1F0"/>
    <w:rsid w:val="3DDB6B4C"/>
    <w:rsid w:val="3DF4CF68"/>
    <w:rsid w:val="3E05E085"/>
    <w:rsid w:val="3E13F529"/>
    <w:rsid w:val="3E44807F"/>
    <w:rsid w:val="3E5ECA37"/>
    <w:rsid w:val="3E84865D"/>
    <w:rsid w:val="3E90E057"/>
    <w:rsid w:val="3F24AC7D"/>
    <w:rsid w:val="3F5DD3B4"/>
    <w:rsid w:val="4050B4F1"/>
    <w:rsid w:val="405B919E"/>
    <w:rsid w:val="409A126D"/>
    <w:rsid w:val="40E3FFDF"/>
    <w:rsid w:val="40F9E13E"/>
    <w:rsid w:val="41152957"/>
    <w:rsid w:val="41381652"/>
    <w:rsid w:val="4153B6C3"/>
    <w:rsid w:val="415BDDBF"/>
    <w:rsid w:val="416DEF63"/>
    <w:rsid w:val="417945F3"/>
    <w:rsid w:val="4179E99B"/>
    <w:rsid w:val="419E0DDB"/>
    <w:rsid w:val="41AE6D85"/>
    <w:rsid w:val="41DD6498"/>
    <w:rsid w:val="41FE25DA"/>
    <w:rsid w:val="4208BE4C"/>
    <w:rsid w:val="420B15B1"/>
    <w:rsid w:val="4249AB6A"/>
    <w:rsid w:val="42D3B737"/>
    <w:rsid w:val="42E7664C"/>
    <w:rsid w:val="42F884ED"/>
    <w:rsid w:val="431E9392"/>
    <w:rsid w:val="43244DDB"/>
    <w:rsid w:val="432E2F45"/>
    <w:rsid w:val="43657D6C"/>
    <w:rsid w:val="436AC02E"/>
    <w:rsid w:val="436EB189"/>
    <w:rsid w:val="43764B5D"/>
    <w:rsid w:val="439C4340"/>
    <w:rsid w:val="43A49472"/>
    <w:rsid w:val="43CE7DA0"/>
    <w:rsid w:val="43E57BCB"/>
    <w:rsid w:val="43EC05B8"/>
    <w:rsid w:val="440EDBC3"/>
    <w:rsid w:val="442BFD35"/>
    <w:rsid w:val="4460FAFA"/>
    <w:rsid w:val="448B5785"/>
    <w:rsid w:val="448EA475"/>
    <w:rsid w:val="449F924C"/>
    <w:rsid w:val="44B8F165"/>
    <w:rsid w:val="44DA9F84"/>
    <w:rsid w:val="450CBEE9"/>
    <w:rsid w:val="45127255"/>
    <w:rsid w:val="45211653"/>
    <w:rsid w:val="4572C4F8"/>
    <w:rsid w:val="457BB7E9"/>
    <w:rsid w:val="45FBFC43"/>
    <w:rsid w:val="46505F7E"/>
    <w:rsid w:val="4677C88A"/>
    <w:rsid w:val="46B5D9A5"/>
    <w:rsid w:val="46D46FE7"/>
    <w:rsid w:val="46EC5749"/>
    <w:rsid w:val="479FF90D"/>
    <w:rsid w:val="47A8BC21"/>
    <w:rsid w:val="47ACC2CB"/>
    <w:rsid w:val="47AF884C"/>
    <w:rsid w:val="47B0DC49"/>
    <w:rsid w:val="484D8283"/>
    <w:rsid w:val="48988305"/>
    <w:rsid w:val="48D0F3DA"/>
    <w:rsid w:val="48F4BBB7"/>
    <w:rsid w:val="49098476"/>
    <w:rsid w:val="490B9B9F"/>
    <w:rsid w:val="494C84A3"/>
    <w:rsid w:val="4986150E"/>
    <w:rsid w:val="49E39A6E"/>
    <w:rsid w:val="4A0E3A10"/>
    <w:rsid w:val="4A49E45B"/>
    <w:rsid w:val="4AC0F33C"/>
    <w:rsid w:val="4ACB6326"/>
    <w:rsid w:val="4ADE549F"/>
    <w:rsid w:val="4AE61F5A"/>
    <w:rsid w:val="4B1F1011"/>
    <w:rsid w:val="4B23D0A1"/>
    <w:rsid w:val="4B285B4A"/>
    <w:rsid w:val="4B468804"/>
    <w:rsid w:val="4B69E61D"/>
    <w:rsid w:val="4B96A633"/>
    <w:rsid w:val="4B9B2EF3"/>
    <w:rsid w:val="4BDDAB4B"/>
    <w:rsid w:val="4C168EC2"/>
    <w:rsid w:val="4C1ECDA9"/>
    <w:rsid w:val="4C2E27D3"/>
    <w:rsid w:val="4C4DA54A"/>
    <w:rsid w:val="4C6295A8"/>
    <w:rsid w:val="4C7A150F"/>
    <w:rsid w:val="4C852E93"/>
    <w:rsid w:val="4CB44EB8"/>
    <w:rsid w:val="4CD0DDAA"/>
    <w:rsid w:val="4CF1202C"/>
    <w:rsid w:val="4D535E79"/>
    <w:rsid w:val="4D710400"/>
    <w:rsid w:val="4D86ED85"/>
    <w:rsid w:val="4D89605C"/>
    <w:rsid w:val="4D9E6724"/>
    <w:rsid w:val="4DD02610"/>
    <w:rsid w:val="4DE05114"/>
    <w:rsid w:val="4DF98608"/>
    <w:rsid w:val="4E1EC9D0"/>
    <w:rsid w:val="4E5AA449"/>
    <w:rsid w:val="4E82A202"/>
    <w:rsid w:val="4E82DA6F"/>
    <w:rsid w:val="4ECCFCD6"/>
    <w:rsid w:val="4F01BADD"/>
    <w:rsid w:val="4F1DBFB0"/>
    <w:rsid w:val="4F299DB2"/>
    <w:rsid w:val="4F5DD597"/>
    <w:rsid w:val="4F61F546"/>
    <w:rsid w:val="4F7DD682"/>
    <w:rsid w:val="4F95B195"/>
    <w:rsid w:val="4FA44597"/>
    <w:rsid w:val="4FC556AC"/>
    <w:rsid w:val="4FCDC6AA"/>
    <w:rsid w:val="502B04ED"/>
    <w:rsid w:val="5063C8FA"/>
    <w:rsid w:val="508552AC"/>
    <w:rsid w:val="509858FB"/>
    <w:rsid w:val="50AD6B1A"/>
    <w:rsid w:val="50FAE960"/>
    <w:rsid w:val="5112D641"/>
    <w:rsid w:val="51936666"/>
    <w:rsid w:val="51972035"/>
    <w:rsid w:val="51C0C4C7"/>
    <w:rsid w:val="51FB89C5"/>
    <w:rsid w:val="51FC4AF2"/>
    <w:rsid w:val="522F9CEE"/>
    <w:rsid w:val="52493B7B"/>
    <w:rsid w:val="5263A72F"/>
    <w:rsid w:val="526E46A7"/>
    <w:rsid w:val="52763C51"/>
    <w:rsid w:val="529F2BE5"/>
    <w:rsid w:val="52F90677"/>
    <w:rsid w:val="52FBD411"/>
    <w:rsid w:val="5305D0B0"/>
    <w:rsid w:val="531D4940"/>
    <w:rsid w:val="5334F93E"/>
    <w:rsid w:val="5353D36A"/>
    <w:rsid w:val="53619F12"/>
    <w:rsid w:val="537EFA53"/>
    <w:rsid w:val="539A1391"/>
    <w:rsid w:val="53D244E8"/>
    <w:rsid w:val="53DB35AC"/>
    <w:rsid w:val="53DCE1CF"/>
    <w:rsid w:val="53EA64BE"/>
    <w:rsid w:val="53EFE761"/>
    <w:rsid w:val="540A1708"/>
    <w:rsid w:val="542C0683"/>
    <w:rsid w:val="5437D089"/>
    <w:rsid w:val="54563BCC"/>
    <w:rsid w:val="547DBF07"/>
    <w:rsid w:val="548D8D85"/>
    <w:rsid w:val="5498C7CF"/>
    <w:rsid w:val="549EABB9"/>
    <w:rsid w:val="54B4E8D5"/>
    <w:rsid w:val="54C3568D"/>
    <w:rsid w:val="54CE4DA0"/>
    <w:rsid w:val="54F5EC75"/>
    <w:rsid w:val="54FB2C86"/>
    <w:rsid w:val="55047A24"/>
    <w:rsid w:val="554DB526"/>
    <w:rsid w:val="55D7F278"/>
    <w:rsid w:val="55DF955A"/>
    <w:rsid w:val="55F2F3F9"/>
    <w:rsid w:val="5642A78F"/>
    <w:rsid w:val="564CD632"/>
    <w:rsid w:val="564E36FF"/>
    <w:rsid w:val="5672D316"/>
    <w:rsid w:val="56BFD0F5"/>
    <w:rsid w:val="56C2461C"/>
    <w:rsid w:val="56CFBC15"/>
    <w:rsid w:val="56E98587"/>
    <w:rsid w:val="570E1986"/>
    <w:rsid w:val="57200D42"/>
    <w:rsid w:val="5738729D"/>
    <w:rsid w:val="575EA883"/>
    <w:rsid w:val="578DDC8E"/>
    <w:rsid w:val="57C7C3CB"/>
    <w:rsid w:val="57D9E589"/>
    <w:rsid w:val="58097415"/>
    <w:rsid w:val="580D0157"/>
    <w:rsid w:val="583C1AE6"/>
    <w:rsid w:val="58B6A988"/>
    <w:rsid w:val="58BCB470"/>
    <w:rsid w:val="58BE970E"/>
    <w:rsid w:val="5985D7C1"/>
    <w:rsid w:val="59A43AC2"/>
    <w:rsid w:val="59F6C08F"/>
    <w:rsid w:val="5A039E31"/>
    <w:rsid w:val="5A2E3DD3"/>
    <w:rsid w:val="5A32EB27"/>
    <w:rsid w:val="5A5C5FAD"/>
    <w:rsid w:val="5A6661E5"/>
    <w:rsid w:val="5A8D266D"/>
    <w:rsid w:val="5A9641E8"/>
    <w:rsid w:val="5AC271AC"/>
    <w:rsid w:val="5AEDBD99"/>
    <w:rsid w:val="5AEE05C9"/>
    <w:rsid w:val="5B2507FB"/>
    <w:rsid w:val="5B5AE2D4"/>
    <w:rsid w:val="5B630171"/>
    <w:rsid w:val="5B6EDBA7"/>
    <w:rsid w:val="5B785987"/>
    <w:rsid w:val="5B8B7EC6"/>
    <w:rsid w:val="5B8CE405"/>
    <w:rsid w:val="5B9144BB"/>
    <w:rsid w:val="5B937FED"/>
    <w:rsid w:val="5BF576A3"/>
    <w:rsid w:val="5C26FE90"/>
    <w:rsid w:val="5C2F1F68"/>
    <w:rsid w:val="5C35AF7C"/>
    <w:rsid w:val="5C370CEE"/>
    <w:rsid w:val="5C628065"/>
    <w:rsid w:val="5C6E1A83"/>
    <w:rsid w:val="5C898DFA"/>
    <w:rsid w:val="5CBBC846"/>
    <w:rsid w:val="5D10E18A"/>
    <w:rsid w:val="5D2D151C"/>
    <w:rsid w:val="5D2D5245"/>
    <w:rsid w:val="5D3445EE"/>
    <w:rsid w:val="5D477EE3"/>
    <w:rsid w:val="5D59B892"/>
    <w:rsid w:val="5DC0440B"/>
    <w:rsid w:val="5E35EB4B"/>
    <w:rsid w:val="5E8BD60C"/>
    <w:rsid w:val="5EC1ACFA"/>
    <w:rsid w:val="5F209F40"/>
    <w:rsid w:val="5F2AE5B1"/>
    <w:rsid w:val="5F341BF7"/>
    <w:rsid w:val="5FB847BA"/>
    <w:rsid w:val="5FF571E9"/>
    <w:rsid w:val="6049D133"/>
    <w:rsid w:val="6093964D"/>
    <w:rsid w:val="60B08096"/>
    <w:rsid w:val="60B28031"/>
    <w:rsid w:val="60B84D42"/>
    <w:rsid w:val="60E0EEB2"/>
    <w:rsid w:val="6118B65E"/>
    <w:rsid w:val="611E56B1"/>
    <w:rsid w:val="614B0738"/>
    <w:rsid w:val="6182FE47"/>
    <w:rsid w:val="61914815"/>
    <w:rsid w:val="61C0BA52"/>
    <w:rsid w:val="61C18CBC"/>
    <w:rsid w:val="620F7BDB"/>
    <w:rsid w:val="6228FAA7"/>
    <w:rsid w:val="6249C372"/>
    <w:rsid w:val="62638144"/>
    <w:rsid w:val="62A94153"/>
    <w:rsid w:val="62EF0190"/>
    <w:rsid w:val="62FC24A4"/>
    <w:rsid w:val="62FE4429"/>
    <w:rsid w:val="6349B8AF"/>
    <w:rsid w:val="635AEB86"/>
    <w:rsid w:val="6367F18D"/>
    <w:rsid w:val="63C1F2CF"/>
    <w:rsid w:val="63C92CA4"/>
    <w:rsid w:val="63E2F953"/>
    <w:rsid w:val="64332868"/>
    <w:rsid w:val="6437F7B3"/>
    <w:rsid w:val="64533739"/>
    <w:rsid w:val="64660B43"/>
    <w:rsid w:val="6476F136"/>
    <w:rsid w:val="6480F38A"/>
    <w:rsid w:val="64A646D3"/>
    <w:rsid w:val="64CF4ED7"/>
    <w:rsid w:val="64DA7BAA"/>
    <w:rsid w:val="651EFEA4"/>
    <w:rsid w:val="65778E4A"/>
    <w:rsid w:val="65AF7049"/>
    <w:rsid w:val="65D22B10"/>
    <w:rsid w:val="65D2D5B0"/>
    <w:rsid w:val="662C271D"/>
    <w:rsid w:val="6667C46D"/>
    <w:rsid w:val="666A80FD"/>
    <w:rsid w:val="667C4F5E"/>
    <w:rsid w:val="66AFFAB7"/>
    <w:rsid w:val="66C4D159"/>
    <w:rsid w:val="66E5DFDF"/>
    <w:rsid w:val="670B413A"/>
    <w:rsid w:val="6711B5B5"/>
    <w:rsid w:val="671C8DDD"/>
    <w:rsid w:val="6735F796"/>
    <w:rsid w:val="6747DE76"/>
    <w:rsid w:val="6771D20F"/>
    <w:rsid w:val="67A0E791"/>
    <w:rsid w:val="67D0575F"/>
    <w:rsid w:val="67E11F23"/>
    <w:rsid w:val="67EF9B15"/>
    <w:rsid w:val="680D6AFE"/>
    <w:rsid w:val="68125D51"/>
    <w:rsid w:val="68525E25"/>
    <w:rsid w:val="687106C7"/>
    <w:rsid w:val="68A8913C"/>
    <w:rsid w:val="68ADDD6E"/>
    <w:rsid w:val="68B07EC2"/>
    <w:rsid w:val="690152B8"/>
    <w:rsid w:val="690A7672"/>
    <w:rsid w:val="6929DF24"/>
    <w:rsid w:val="694BF177"/>
    <w:rsid w:val="69640193"/>
    <w:rsid w:val="6966B6B7"/>
    <w:rsid w:val="699BFB8B"/>
    <w:rsid w:val="69A7955A"/>
    <w:rsid w:val="69AA8944"/>
    <w:rsid w:val="69C3A713"/>
    <w:rsid w:val="69CA7609"/>
    <w:rsid w:val="69CE468B"/>
    <w:rsid w:val="69D7D604"/>
    <w:rsid w:val="6A6EA89B"/>
    <w:rsid w:val="6A9CC0E9"/>
    <w:rsid w:val="6AE86DEC"/>
    <w:rsid w:val="6AEADE05"/>
    <w:rsid w:val="6B02CC60"/>
    <w:rsid w:val="6B042993"/>
    <w:rsid w:val="6B261AA3"/>
    <w:rsid w:val="6B3EC260"/>
    <w:rsid w:val="6B432316"/>
    <w:rsid w:val="6B5130B7"/>
    <w:rsid w:val="6B931AF9"/>
    <w:rsid w:val="6BBA4957"/>
    <w:rsid w:val="6C094B4A"/>
    <w:rsid w:val="6C154444"/>
    <w:rsid w:val="6CA38ABB"/>
    <w:rsid w:val="6CD0FC45"/>
    <w:rsid w:val="6CD39C4D"/>
    <w:rsid w:val="6D57C4CD"/>
    <w:rsid w:val="6D7BC4F6"/>
    <w:rsid w:val="6DB79CEE"/>
    <w:rsid w:val="6DBF71BA"/>
    <w:rsid w:val="6DE8D26D"/>
    <w:rsid w:val="6E22A1F8"/>
    <w:rsid w:val="6E88B046"/>
    <w:rsid w:val="6EA7B51A"/>
    <w:rsid w:val="6EBEA867"/>
    <w:rsid w:val="6ED197AE"/>
    <w:rsid w:val="6EF6F37A"/>
    <w:rsid w:val="6F1B649D"/>
    <w:rsid w:val="6F2C4DEA"/>
    <w:rsid w:val="6F44239A"/>
    <w:rsid w:val="6F549EEF"/>
    <w:rsid w:val="6FB26B5A"/>
    <w:rsid w:val="6FEE517C"/>
    <w:rsid w:val="7004BE0A"/>
    <w:rsid w:val="70186539"/>
    <w:rsid w:val="70196EED"/>
    <w:rsid w:val="70471788"/>
    <w:rsid w:val="70A85943"/>
    <w:rsid w:val="70B76924"/>
    <w:rsid w:val="70DCBC6D"/>
    <w:rsid w:val="70FA9A98"/>
    <w:rsid w:val="71083D79"/>
    <w:rsid w:val="71578307"/>
    <w:rsid w:val="7169E7EC"/>
    <w:rsid w:val="716BA17E"/>
    <w:rsid w:val="71779C5C"/>
    <w:rsid w:val="723458B2"/>
    <w:rsid w:val="724545BA"/>
    <w:rsid w:val="72494D52"/>
    <w:rsid w:val="72B93364"/>
    <w:rsid w:val="72C901E2"/>
    <w:rsid w:val="72E5DE1E"/>
    <w:rsid w:val="739407E1"/>
    <w:rsid w:val="741D7867"/>
    <w:rsid w:val="742A9C0B"/>
    <w:rsid w:val="74A1C6C7"/>
    <w:rsid w:val="74BE317B"/>
    <w:rsid w:val="74C162CB"/>
    <w:rsid w:val="74D3C790"/>
    <w:rsid w:val="75094DD4"/>
    <w:rsid w:val="7538AF3E"/>
    <w:rsid w:val="753B3348"/>
    <w:rsid w:val="7585A66F"/>
    <w:rsid w:val="75863F5B"/>
    <w:rsid w:val="75B02D90"/>
    <w:rsid w:val="75D4C207"/>
    <w:rsid w:val="75FAD099"/>
    <w:rsid w:val="75FF92FE"/>
    <w:rsid w:val="76451C20"/>
    <w:rsid w:val="7646940A"/>
    <w:rsid w:val="764E6D95"/>
    <w:rsid w:val="7664CB70"/>
    <w:rsid w:val="76CEAD94"/>
    <w:rsid w:val="7729BFE1"/>
    <w:rsid w:val="77360D22"/>
    <w:rsid w:val="77611F5C"/>
    <w:rsid w:val="77823B02"/>
    <w:rsid w:val="77A88230"/>
    <w:rsid w:val="77C8B1D1"/>
    <w:rsid w:val="77CC74ED"/>
    <w:rsid w:val="77E72C3C"/>
    <w:rsid w:val="780A666B"/>
    <w:rsid w:val="780B5875"/>
    <w:rsid w:val="78658AAD"/>
    <w:rsid w:val="78884872"/>
    <w:rsid w:val="78976958"/>
    <w:rsid w:val="78D610F0"/>
    <w:rsid w:val="78DD3353"/>
    <w:rsid w:val="78FCEFBD"/>
    <w:rsid w:val="791A1207"/>
    <w:rsid w:val="791E0B63"/>
    <w:rsid w:val="799533C2"/>
    <w:rsid w:val="79B6369F"/>
    <w:rsid w:val="7A05ACC9"/>
    <w:rsid w:val="7A4E182C"/>
    <w:rsid w:val="7A6763AE"/>
    <w:rsid w:val="7A8CB9EB"/>
    <w:rsid w:val="7A998D01"/>
    <w:rsid w:val="7AB9DBC4"/>
    <w:rsid w:val="7AD1A35B"/>
    <w:rsid w:val="7B10B7DC"/>
    <w:rsid w:val="7B8343C9"/>
    <w:rsid w:val="7BAAA60E"/>
    <w:rsid w:val="7BE51AF1"/>
    <w:rsid w:val="7BF829C2"/>
    <w:rsid w:val="7C66E719"/>
    <w:rsid w:val="7CC4B849"/>
    <w:rsid w:val="7D549724"/>
    <w:rsid w:val="7D95E4CF"/>
    <w:rsid w:val="7DC45AAD"/>
    <w:rsid w:val="7DE3C762"/>
    <w:rsid w:val="7DEC556E"/>
    <w:rsid w:val="7E352CBB"/>
    <w:rsid w:val="7E62A458"/>
    <w:rsid w:val="7E9EB31B"/>
    <w:rsid w:val="7EB5AEF0"/>
    <w:rsid w:val="7F22A767"/>
    <w:rsid w:val="7F3E04E8"/>
    <w:rsid w:val="7FC00B08"/>
    <w:rsid w:val="7FF563D6"/>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08F28"/>
  <w15:docId w15:val="{C7EEB70F-D42F-4B28-823D-4340F866E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Quattrocento Sans" w:eastAsia="Quattrocento Sans" w:hAnsi="Quattrocento Sans" w:cs="Quattrocento Sans"/>
        <w:sz w:val="24"/>
        <w:szCs w:val="24"/>
        <w:lang w:val="es-ES"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AB2"/>
    <w:rPr>
      <w:rFonts w:ascii="Segoe UI" w:hAnsi="Segoe UI"/>
      <w:lang w:val="es-CO"/>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aliases w:val="List,Bullet List,FooterText,numbered,Paragraphe de liste1,Bulletr List Paragraph,列出段落,列出段落1,List Paragraph21,Listeafsnit1,Parágrafo da Lista1,Ha,Cita textual,Lista vistosa - Énfasis 11,Normal. Viñetas,titulo 3,Bullets,Fluvial1,HOJA,lp1"/>
    <w:basedOn w:val="Normal"/>
    <w:link w:val="PrrafodelistaCar"/>
    <w:uiPriority w:val="99"/>
    <w:qFormat/>
    <w:rsid w:val="009755B9"/>
    <w:pPr>
      <w:ind w:left="720"/>
      <w:contextualSpacing/>
    </w:pPr>
  </w:style>
  <w:style w:type="paragraph" w:customStyle="1" w:styleId="ATitulo2Textos">
    <w:name w:val="A. Titulo 2 Textos"/>
    <w:basedOn w:val="Subttulo"/>
    <w:link w:val="ATitulo2TextosCar"/>
    <w:autoRedefine/>
    <w:qFormat/>
    <w:rsid w:val="00121411"/>
    <w:pPr>
      <w:spacing w:after="0" w:line="240" w:lineRule="auto"/>
      <w:jc w:val="both"/>
    </w:pPr>
    <w:rPr>
      <w:rFonts w:ascii="Segoe UI" w:eastAsia="Times New Roman" w:hAnsi="Segoe UI" w:cs="Segoe UI"/>
      <w:iCs/>
      <w:color w:val="000000" w:themeColor="text1"/>
      <w:sz w:val="24"/>
      <w:szCs w:val="24"/>
      <w:lang w:eastAsia="x-none"/>
    </w:rPr>
  </w:style>
  <w:style w:type="character" w:customStyle="1" w:styleId="ATitulo2TextosCar">
    <w:name w:val="A. Titulo 2 Textos Car"/>
    <w:link w:val="ATitulo2Textos"/>
    <w:rsid w:val="00121411"/>
    <w:rPr>
      <w:rFonts w:ascii="Segoe UI" w:eastAsia="Times New Roman" w:hAnsi="Segoe UI" w:cs="Segoe UI"/>
      <w:iCs/>
      <w:color w:val="000000" w:themeColor="text1"/>
      <w:sz w:val="24"/>
      <w:szCs w:val="24"/>
      <w:lang w:val="es-ES" w:eastAsia="x-none"/>
    </w:rPr>
  </w:style>
  <w:style w:type="paragraph" w:styleId="Subttulo">
    <w:name w:val="Subtitle"/>
    <w:basedOn w:val="Normal"/>
    <w:next w:val="Normal"/>
    <w:link w:val="SubttuloCar"/>
    <w:uiPriority w:val="11"/>
    <w:qFormat/>
    <w:rPr>
      <w:rFonts w:ascii="Calibri" w:eastAsia="Calibri" w:hAnsi="Calibri" w:cs="Calibri"/>
      <w:color w:val="5A5A5A"/>
      <w:sz w:val="22"/>
      <w:szCs w:val="22"/>
    </w:rPr>
  </w:style>
  <w:style w:type="character" w:customStyle="1" w:styleId="SubttuloCar">
    <w:name w:val="Subtítulo Car"/>
    <w:basedOn w:val="Fuentedeprrafopredeter"/>
    <w:link w:val="Subttulo"/>
    <w:uiPriority w:val="11"/>
    <w:rsid w:val="00A72344"/>
    <w:rPr>
      <w:rFonts w:eastAsiaTheme="minorEastAsia"/>
      <w:color w:val="5A5A5A" w:themeColor="text1" w:themeTint="A5"/>
      <w:spacing w:val="15"/>
    </w:rPr>
  </w:style>
  <w:style w:type="table" w:styleId="Tablaconcuadrcula">
    <w:name w:val="Table Grid"/>
    <w:basedOn w:val="Tablanormal"/>
    <w:uiPriority w:val="39"/>
    <w:rsid w:val="00C80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56F89"/>
    <w:rPr>
      <w:sz w:val="16"/>
      <w:szCs w:val="16"/>
    </w:rPr>
  </w:style>
  <w:style w:type="paragraph" w:styleId="Textocomentario">
    <w:name w:val="annotation text"/>
    <w:basedOn w:val="Normal"/>
    <w:link w:val="TextocomentarioCar"/>
    <w:uiPriority w:val="99"/>
    <w:semiHidden/>
    <w:unhideWhenUsed/>
    <w:rsid w:val="00256F8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56F89"/>
    <w:rPr>
      <w:rFonts w:ascii="Segoe UI" w:hAnsi="Segoe UI"/>
      <w:sz w:val="20"/>
      <w:szCs w:val="20"/>
    </w:rPr>
  </w:style>
  <w:style w:type="paragraph" w:styleId="Asuntodelcomentario">
    <w:name w:val="annotation subject"/>
    <w:basedOn w:val="Textocomentario"/>
    <w:next w:val="Textocomentario"/>
    <w:link w:val="AsuntodelcomentarioCar"/>
    <w:uiPriority w:val="99"/>
    <w:semiHidden/>
    <w:unhideWhenUsed/>
    <w:rsid w:val="00256F89"/>
    <w:rPr>
      <w:b/>
      <w:bCs/>
    </w:rPr>
  </w:style>
  <w:style w:type="character" w:customStyle="1" w:styleId="AsuntodelcomentarioCar">
    <w:name w:val="Asunto del comentario Car"/>
    <w:basedOn w:val="TextocomentarioCar"/>
    <w:link w:val="Asuntodelcomentario"/>
    <w:uiPriority w:val="99"/>
    <w:semiHidden/>
    <w:rsid w:val="00256F89"/>
    <w:rPr>
      <w:rFonts w:ascii="Segoe UI" w:hAnsi="Segoe UI"/>
      <w:b/>
      <w:bCs/>
      <w:sz w:val="20"/>
      <w:szCs w:val="20"/>
    </w:rPr>
  </w:style>
  <w:style w:type="paragraph" w:styleId="Textodeglobo">
    <w:name w:val="Balloon Text"/>
    <w:basedOn w:val="Normal"/>
    <w:link w:val="TextodegloboCar"/>
    <w:uiPriority w:val="99"/>
    <w:semiHidden/>
    <w:unhideWhenUsed/>
    <w:rsid w:val="00256F89"/>
    <w:pPr>
      <w:spacing w:after="0" w:line="240" w:lineRule="auto"/>
    </w:pPr>
    <w:rPr>
      <w:rFonts w:cs="Segoe UI"/>
      <w:sz w:val="18"/>
      <w:szCs w:val="18"/>
    </w:rPr>
  </w:style>
  <w:style w:type="character" w:customStyle="1" w:styleId="TextodegloboCar">
    <w:name w:val="Texto de globo Car"/>
    <w:basedOn w:val="Fuentedeprrafopredeter"/>
    <w:link w:val="Textodeglobo"/>
    <w:uiPriority w:val="99"/>
    <w:semiHidden/>
    <w:rsid w:val="00256F89"/>
    <w:rPr>
      <w:rFonts w:ascii="Segoe UI" w:hAnsi="Segoe UI" w:cs="Segoe UI"/>
      <w:sz w:val="18"/>
      <w:szCs w:val="18"/>
    </w:rPr>
  </w:style>
  <w:style w:type="character" w:customStyle="1" w:styleId="PrrafodelistaCar">
    <w:name w:val="Párrafo de lista Car"/>
    <w:aliases w:val="List Car,Bullet List Car,FooterText Car,numbered Car,Paragraphe de liste1 Car,Bulletr List Paragraph Car,列出段落 Car,列出段落1 Car,List Paragraph21 Car,Listeafsnit1 Car,Parágrafo da Lista1 Car,Ha Car,Cita textual Car,Normal. Viñetas Car"/>
    <w:basedOn w:val="Fuentedeprrafopredeter"/>
    <w:link w:val="Prrafodelista"/>
    <w:uiPriority w:val="99"/>
    <w:qFormat/>
    <w:rsid w:val="00FA683F"/>
    <w:rPr>
      <w:rFonts w:ascii="Segoe UI" w:hAnsi="Segoe UI"/>
      <w:sz w:val="24"/>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style>
  <w:style w:type="table" w:customStyle="1" w:styleId="aa">
    <w:basedOn w:val="NormalTable0"/>
    <w:tblPr>
      <w:tblStyleRowBandSize w:val="1"/>
      <w:tblStyleColBandSize w:val="1"/>
      <w:tblCellMar>
        <w:top w:w="100" w:type="dxa"/>
        <w:left w:w="100" w:type="dxa"/>
        <w:bottom w:w="100" w:type="dxa"/>
        <w:right w:w="100" w:type="dxa"/>
      </w:tblCellMar>
    </w:tblPr>
  </w:style>
  <w:style w:type="table" w:customStyle="1" w:styleId="ab">
    <w:basedOn w:val="NormalTable0"/>
    <w:tblPr>
      <w:tblStyleRowBandSize w:val="1"/>
      <w:tblStyleColBandSize w:val="1"/>
      <w:tblCellMar>
        <w:top w:w="100" w:type="dxa"/>
        <w:left w:w="100" w:type="dxa"/>
        <w:bottom w:w="100" w:type="dxa"/>
        <w:right w:w="100" w:type="dxa"/>
      </w:tblCellMar>
    </w:tblPr>
  </w:style>
  <w:style w:type="table" w:customStyle="1" w:styleId="ac">
    <w:basedOn w:val="NormalTable0"/>
    <w:tblPr>
      <w:tblStyleRowBandSize w:val="1"/>
      <w:tblStyleColBandSize w:val="1"/>
      <w:tblCellMar>
        <w:top w:w="100" w:type="dxa"/>
        <w:left w:w="100" w:type="dxa"/>
        <w:bottom w:w="100" w:type="dxa"/>
        <w:right w:w="100" w:type="dxa"/>
      </w:tblCellMar>
    </w:tblPr>
  </w:style>
  <w:style w:type="table" w:customStyle="1" w:styleId="ad">
    <w:basedOn w:val="NormalTable0"/>
    <w:tblPr>
      <w:tblStyleRowBandSize w:val="1"/>
      <w:tblStyleColBandSize w:val="1"/>
      <w:tblCellMar>
        <w:top w:w="100" w:type="dxa"/>
        <w:left w:w="100" w:type="dxa"/>
        <w:bottom w:w="100" w:type="dxa"/>
        <w:right w:w="100" w:type="dxa"/>
      </w:tblCellMar>
    </w:tblPr>
  </w:style>
  <w:style w:type="table" w:customStyle="1" w:styleId="ae">
    <w:basedOn w:val="NormalTable0"/>
    <w:tblPr>
      <w:tblStyleRowBandSize w:val="1"/>
      <w:tblStyleColBandSize w:val="1"/>
      <w:tblCellMar>
        <w:top w:w="100" w:type="dxa"/>
        <w:left w:w="100" w:type="dxa"/>
        <w:bottom w:w="100" w:type="dxa"/>
        <w:right w:w="100" w:type="dxa"/>
      </w:tblCellMar>
    </w:tblPr>
  </w:style>
  <w:style w:type="table" w:customStyle="1" w:styleId="af">
    <w:basedOn w:val="NormalTable0"/>
    <w:tblPr>
      <w:tblStyleRowBandSize w:val="1"/>
      <w:tblStyleColBandSize w:val="1"/>
      <w:tblCellMar>
        <w:top w:w="100" w:type="dxa"/>
        <w:left w:w="100" w:type="dxa"/>
        <w:bottom w:w="100" w:type="dxa"/>
        <w:right w:w="100" w:type="dxa"/>
      </w:tblCellMar>
    </w:tblPr>
  </w:style>
  <w:style w:type="table" w:customStyle="1" w:styleId="af0">
    <w:basedOn w:val="NormalTable0"/>
    <w:tblPr>
      <w:tblStyleRowBandSize w:val="1"/>
      <w:tblStyleColBandSize w:val="1"/>
      <w:tblCellMar>
        <w:top w:w="100" w:type="dxa"/>
        <w:left w:w="100" w:type="dxa"/>
        <w:bottom w:w="100" w:type="dxa"/>
        <w:right w:w="100" w:type="dxa"/>
      </w:tblCellMar>
    </w:tblPr>
  </w:style>
  <w:style w:type="table" w:customStyle="1" w:styleId="af1">
    <w:basedOn w:val="NormalTable0"/>
    <w:tblPr>
      <w:tblStyleRowBandSize w:val="1"/>
      <w:tblStyleColBandSize w:val="1"/>
      <w:tblCellMar>
        <w:top w:w="100" w:type="dxa"/>
        <w:left w:w="100" w:type="dxa"/>
        <w:bottom w:w="100" w:type="dxa"/>
        <w:right w:w="100" w:type="dxa"/>
      </w:tblCellMar>
    </w:tblPr>
  </w:style>
  <w:style w:type="table" w:customStyle="1" w:styleId="af2">
    <w:basedOn w:val="NormalTable0"/>
    <w:tblPr>
      <w:tblStyleRowBandSize w:val="1"/>
      <w:tblStyleColBandSize w:val="1"/>
      <w:tblCellMar>
        <w:top w:w="100" w:type="dxa"/>
        <w:left w:w="100" w:type="dxa"/>
        <w:bottom w:w="100" w:type="dxa"/>
        <w:right w:w="100" w:type="dxa"/>
      </w:tblCellMar>
    </w:tblPr>
  </w:style>
  <w:style w:type="table" w:customStyle="1" w:styleId="af3">
    <w:basedOn w:val="NormalTable0"/>
    <w:tblPr>
      <w:tblStyleRowBandSize w:val="1"/>
      <w:tblStyleColBandSize w:val="1"/>
      <w:tblCellMar>
        <w:top w:w="100" w:type="dxa"/>
        <w:left w:w="100" w:type="dxa"/>
        <w:bottom w:w="100" w:type="dxa"/>
        <w:right w:w="100" w:type="dxa"/>
      </w:tblCellMar>
    </w:tblPr>
  </w:style>
  <w:style w:type="table" w:customStyle="1" w:styleId="af4">
    <w:basedOn w:val="NormalTable0"/>
    <w:tblPr>
      <w:tblStyleRowBandSize w:val="1"/>
      <w:tblStyleColBandSize w:val="1"/>
      <w:tblCellMar>
        <w:top w:w="100" w:type="dxa"/>
        <w:left w:w="100" w:type="dxa"/>
        <w:bottom w:w="100" w:type="dxa"/>
        <w:right w:w="100" w:type="dxa"/>
      </w:tblCellMar>
    </w:tblPr>
  </w:style>
  <w:style w:type="table" w:customStyle="1" w:styleId="af5">
    <w:basedOn w:val="NormalTable0"/>
    <w:tblPr>
      <w:tblStyleRowBandSize w:val="1"/>
      <w:tblStyleColBandSize w:val="1"/>
      <w:tblCellMar>
        <w:top w:w="100" w:type="dxa"/>
        <w:left w:w="100" w:type="dxa"/>
        <w:bottom w:w="100" w:type="dxa"/>
        <w:right w:w="100" w:type="dxa"/>
      </w:tblCellMar>
    </w:tblPr>
  </w:style>
  <w:style w:type="paragraph" w:styleId="TtuloTDC">
    <w:name w:val="TOC Heading"/>
    <w:basedOn w:val="Ttulo1"/>
    <w:next w:val="Normal"/>
    <w:uiPriority w:val="39"/>
    <w:unhideWhenUsed/>
    <w:qFormat/>
    <w:rsid w:val="00807946"/>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807946"/>
    <w:pPr>
      <w:spacing w:after="100"/>
    </w:pPr>
  </w:style>
  <w:style w:type="character" w:styleId="Hipervnculo">
    <w:name w:val="Hyperlink"/>
    <w:basedOn w:val="Fuentedeprrafopredeter"/>
    <w:uiPriority w:val="99"/>
    <w:unhideWhenUsed/>
    <w:rsid w:val="00807946"/>
    <w:rPr>
      <w:color w:val="0563C1" w:themeColor="hyperlink"/>
      <w:u w:val="single"/>
    </w:rPr>
  </w:style>
  <w:style w:type="paragraph" w:styleId="TDC2">
    <w:name w:val="toc 2"/>
    <w:basedOn w:val="Normal"/>
    <w:next w:val="Normal"/>
    <w:autoRedefine/>
    <w:uiPriority w:val="39"/>
    <w:unhideWhenUsed/>
    <w:rsid w:val="00807946"/>
    <w:pPr>
      <w:spacing w:after="100"/>
      <w:ind w:left="240"/>
    </w:pPr>
  </w:style>
  <w:style w:type="paragraph" w:styleId="Descripcin">
    <w:name w:val="caption"/>
    <w:basedOn w:val="Normal"/>
    <w:next w:val="Normal"/>
    <w:link w:val="DescripcinCar"/>
    <w:uiPriority w:val="35"/>
    <w:unhideWhenUsed/>
    <w:qFormat/>
    <w:rsid w:val="00A507B8"/>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A507B8"/>
    <w:pPr>
      <w:spacing w:after="0"/>
    </w:pPr>
  </w:style>
  <w:style w:type="paragraph" w:styleId="NormalWeb">
    <w:name w:val="Normal (Web)"/>
    <w:basedOn w:val="Normal"/>
    <w:uiPriority w:val="99"/>
    <w:semiHidden/>
    <w:unhideWhenUsed/>
    <w:rsid w:val="006A4CF5"/>
    <w:pPr>
      <w:spacing w:before="100" w:beforeAutospacing="1" w:after="100" w:afterAutospacing="1" w:line="240" w:lineRule="auto"/>
    </w:pPr>
    <w:rPr>
      <w:rFonts w:ascii="Times New Roman" w:eastAsia="Times New Roman" w:hAnsi="Times New Roman" w:cs="Times New Roman"/>
    </w:rPr>
  </w:style>
  <w:style w:type="paragraph" w:styleId="Encabezado">
    <w:name w:val="header"/>
    <w:basedOn w:val="Normal"/>
    <w:link w:val="EncabezadoCar"/>
    <w:uiPriority w:val="99"/>
    <w:unhideWhenUsed/>
    <w:rsid w:val="00A028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287C"/>
    <w:rPr>
      <w:rFonts w:ascii="Segoe UI" w:hAnsi="Segoe UI"/>
    </w:rPr>
  </w:style>
  <w:style w:type="paragraph" w:styleId="Piedepgina">
    <w:name w:val="footer"/>
    <w:basedOn w:val="Normal"/>
    <w:link w:val="PiedepginaCar"/>
    <w:uiPriority w:val="99"/>
    <w:unhideWhenUsed/>
    <w:rsid w:val="00A028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287C"/>
    <w:rPr>
      <w:rFonts w:ascii="Segoe UI" w:hAnsi="Segoe UI"/>
    </w:rPr>
  </w:style>
  <w:style w:type="paragraph" w:styleId="Revisin">
    <w:name w:val="Revision"/>
    <w:hidden/>
    <w:uiPriority w:val="99"/>
    <w:semiHidden/>
    <w:rsid w:val="00E22EF0"/>
    <w:pPr>
      <w:spacing w:after="0" w:line="240" w:lineRule="auto"/>
    </w:pPr>
    <w:rPr>
      <w:rFonts w:ascii="Segoe UI" w:hAnsi="Segoe UI"/>
    </w:rPr>
  </w:style>
  <w:style w:type="paragraph" w:styleId="Sinespaciado">
    <w:name w:val="No Spacing"/>
    <w:link w:val="SinespaciadoCar"/>
    <w:uiPriority w:val="1"/>
    <w:qFormat/>
    <w:rsid w:val="004D6876"/>
    <w:pPr>
      <w:spacing w:after="0" w:line="240" w:lineRule="auto"/>
    </w:pPr>
    <w:rPr>
      <w:rFonts w:ascii="Segoe UI" w:hAnsi="Segoe UI"/>
    </w:rPr>
  </w:style>
  <w:style w:type="paragraph" w:customStyle="1" w:styleId="paragraph">
    <w:name w:val="paragraph"/>
    <w:basedOn w:val="Normal"/>
    <w:rsid w:val="005E7314"/>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Fuentedeprrafopredeter"/>
    <w:rsid w:val="005E7314"/>
  </w:style>
  <w:style w:type="character" w:customStyle="1" w:styleId="eop">
    <w:name w:val="eop"/>
    <w:basedOn w:val="Fuentedeprrafopredeter"/>
    <w:rsid w:val="005E7314"/>
  </w:style>
  <w:style w:type="table" w:styleId="Tablaconcuadrcula4-nfasis1">
    <w:name w:val="Grid Table 4 Accent 1"/>
    <w:basedOn w:val="Tablanormal"/>
    <w:uiPriority w:val="49"/>
    <w:rsid w:val="00221AF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6concolores-nfasis3">
    <w:name w:val="Grid Table 6 Colorful Accent 3"/>
    <w:basedOn w:val="Tablanormal"/>
    <w:uiPriority w:val="51"/>
    <w:rsid w:val="003D597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DescripcinCar">
    <w:name w:val="Descripción Car"/>
    <w:basedOn w:val="Fuentedeprrafopredeter"/>
    <w:link w:val="Descripcin"/>
    <w:uiPriority w:val="35"/>
    <w:rsid w:val="00887F0C"/>
    <w:rPr>
      <w:rFonts w:ascii="Segoe UI" w:hAnsi="Segoe UI"/>
      <w:i/>
      <w:iCs/>
      <w:color w:val="44546A" w:themeColor="text2"/>
      <w:sz w:val="18"/>
      <w:szCs w:val="18"/>
    </w:rPr>
  </w:style>
  <w:style w:type="character" w:customStyle="1" w:styleId="findhit">
    <w:name w:val="findhit"/>
    <w:basedOn w:val="Fuentedeprrafopredeter"/>
    <w:rsid w:val="00A16659"/>
  </w:style>
  <w:style w:type="paragraph" w:customStyle="1" w:styleId="Estilo5">
    <w:name w:val="Estilo5"/>
    <w:basedOn w:val="Descripcin"/>
    <w:link w:val="Estilo5Car"/>
    <w:qFormat/>
    <w:rsid w:val="00D05773"/>
    <w:pPr>
      <w:jc w:val="center"/>
    </w:pPr>
    <w:rPr>
      <w:rFonts w:ascii="Arial" w:eastAsia="Calibri" w:hAnsi="Arial" w:cs="Arial"/>
      <w:b/>
      <w:bCs/>
      <w:i w:val="0"/>
      <w:iCs w:val="0"/>
      <w:color w:val="000000" w:themeColor="text1"/>
      <w:sz w:val="16"/>
      <w:szCs w:val="16"/>
      <w:lang w:eastAsia="es-ES_tradnl"/>
    </w:rPr>
  </w:style>
  <w:style w:type="character" w:customStyle="1" w:styleId="Estilo5Car">
    <w:name w:val="Estilo5 Car"/>
    <w:basedOn w:val="Fuentedeprrafopredeter"/>
    <w:link w:val="Estilo5"/>
    <w:rsid w:val="00D05773"/>
    <w:rPr>
      <w:rFonts w:ascii="Arial" w:eastAsia="Calibri" w:hAnsi="Arial" w:cs="Arial"/>
      <w:b/>
      <w:bCs/>
      <w:color w:val="000000" w:themeColor="text1"/>
      <w:sz w:val="16"/>
      <w:szCs w:val="16"/>
      <w:lang w:val="es-CO" w:eastAsia="es-ES_tradnl"/>
    </w:rPr>
  </w:style>
  <w:style w:type="table" w:styleId="Tablaconcuadrcula4-nfasis5">
    <w:name w:val="Grid Table 4 Accent 5"/>
    <w:basedOn w:val="Tablanormal"/>
    <w:uiPriority w:val="49"/>
    <w:rsid w:val="0035120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a">
    <w:name w:val="List"/>
    <w:basedOn w:val="Textoindependiente"/>
    <w:semiHidden/>
    <w:rsid w:val="00A8344C"/>
    <w:pPr>
      <w:suppressAutoHyphens/>
      <w:overflowPunct w:val="0"/>
      <w:autoSpaceDE w:val="0"/>
      <w:spacing w:after="0" w:line="240" w:lineRule="auto"/>
      <w:jc w:val="both"/>
      <w:textAlignment w:val="baseline"/>
    </w:pPr>
    <w:rPr>
      <w:rFonts w:ascii="Arial" w:eastAsia="Times New Roman" w:hAnsi="Arial" w:cs="Tahoma"/>
      <w:sz w:val="20"/>
      <w:szCs w:val="20"/>
      <w:lang w:eastAsia="ar-SA"/>
    </w:rPr>
  </w:style>
  <w:style w:type="paragraph" w:customStyle="1" w:styleId="Ttulomnimo">
    <w:name w:val="Título mínimo"/>
    <w:basedOn w:val="Normal"/>
    <w:link w:val="TtulomnimoCar"/>
    <w:qFormat/>
    <w:rsid w:val="00A8344C"/>
    <w:pPr>
      <w:suppressAutoHyphens/>
      <w:spacing w:after="0" w:line="276" w:lineRule="auto"/>
      <w:ind w:firstLine="360"/>
    </w:pPr>
    <w:rPr>
      <w:rFonts w:ascii="Arial" w:eastAsia="Times New Roman" w:hAnsi="Arial" w:cs="Arial"/>
      <w:b/>
      <w:lang w:eastAsia="ar-SA"/>
    </w:rPr>
  </w:style>
  <w:style w:type="character" w:customStyle="1" w:styleId="TtulomnimoCar">
    <w:name w:val="Título mínimo Car"/>
    <w:basedOn w:val="Fuentedeprrafopredeter"/>
    <w:link w:val="Ttulomnimo"/>
    <w:rsid w:val="00A8344C"/>
    <w:rPr>
      <w:rFonts w:ascii="Arial" w:eastAsia="Times New Roman" w:hAnsi="Arial" w:cs="Arial"/>
      <w:b/>
      <w:lang w:eastAsia="ar-SA"/>
    </w:rPr>
  </w:style>
  <w:style w:type="paragraph" w:styleId="Textoindependiente">
    <w:name w:val="Body Text"/>
    <w:basedOn w:val="Normal"/>
    <w:link w:val="TextoindependienteCar"/>
    <w:uiPriority w:val="99"/>
    <w:semiHidden/>
    <w:unhideWhenUsed/>
    <w:rsid w:val="00A8344C"/>
    <w:pPr>
      <w:spacing w:after="120"/>
    </w:pPr>
  </w:style>
  <w:style w:type="character" w:customStyle="1" w:styleId="TextoindependienteCar">
    <w:name w:val="Texto independiente Car"/>
    <w:basedOn w:val="Fuentedeprrafopredeter"/>
    <w:link w:val="Textoindependiente"/>
    <w:uiPriority w:val="99"/>
    <w:semiHidden/>
    <w:rsid w:val="00A8344C"/>
    <w:rPr>
      <w:rFonts w:ascii="Segoe UI" w:hAnsi="Segoe UI"/>
    </w:rPr>
  </w:style>
  <w:style w:type="character" w:customStyle="1" w:styleId="SinespaciadoCar">
    <w:name w:val="Sin espaciado Car"/>
    <w:link w:val="Sinespaciado"/>
    <w:uiPriority w:val="1"/>
    <w:rsid w:val="000920C9"/>
    <w:rPr>
      <w:rFonts w:ascii="Segoe UI" w:hAnsi="Segoe UI"/>
    </w:rPr>
  </w:style>
  <w:style w:type="paragraph" w:styleId="Textonotapie">
    <w:name w:val="footnote text"/>
    <w:aliases w:val="ft,Car,Car3,Texto nota pie Car Car,Texto nota pie Car2 Car Car,Texto nota pie Car Car1 Car Car,Texto nota pie Car Car Car Car Car Car Car Car1 Car Car,Texto nota pie Car Car Car Car Car,Texto nota pie Car1 Car Car Car,Texto nota pie Car1"/>
    <w:basedOn w:val="Normal"/>
    <w:link w:val="TextonotapieCar"/>
    <w:uiPriority w:val="99"/>
    <w:unhideWhenUsed/>
    <w:qFormat/>
    <w:rsid w:val="000920C9"/>
    <w:pPr>
      <w:suppressAutoHyphens/>
      <w:spacing w:after="0" w:line="240" w:lineRule="auto"/>
    </w:pPr>
    <w:rPr>
      <w:rFonts w:ascii="Arial" w:eastAsia="Times New Roman" w:hAnsi="Arial" w:cs="Times New Roman"/>
      <w:sz w:val="20"/>
      <w:szCs w:val="20"/>
      <w:lang w:eastAsia="ar-SA"/>
    </w:rPr>
  </w:style>
  <w:style w:type="character" w:customStyle="1" w:styleId="TextonotapieCar">
    <w:name w:val="Texto nota pie Car"/>
    <w:aliases w:val="ft Car,Car Car,Car3 Car,Texto nota pie Car Car Car,Texto nota pie Car2 Car Car Car,Texto nota pie Car Car1 Car Car Car,Texto nota pie Car Car Car Car Car Car Car Car1 Car Car Car,Texto nota pie Car Car Car Car Car Car"/>
    <w:basedOn w:val="Fuentedeprrafopredeter"/>
    <w:link w:val="Textonotapie"/>
    <w:uiPriority w:val="99"/>
    <w:qFormat/>
    <w:rsid w:val="000920C9"/>
    <w:rPr>
      <w:rFonts w:ascii="Arial" w:eastAsia="Times New Roman" w:hAnsi="Arial" w:cs="Times New Roman"/>
      <w:sz w:val="20"/>
      <w:szCs w:val="20"/>
      <w:lang w:eastAsia="ar-SA"/>
    </w:rPr>
  </w:style>
  <w:style w:type="character" w:styleId="Refdenotaalpie">
    <w:name w:val="footnote reference"/>
    <w:aliases w:val="FC,referencia nota al pie,Footnote symbol,Footnote,Ref,de nota al pie,Appel note de bas de p,Texto de nota al pie,BVI fnr,Fußnotenzeichen DISS,16 Point,Superscript 6 Point,ftref,Nota de pie,Texto nota al pie,de nota al pi,fr,F"/>
    <w:basedOn w:val="Fuentedeprrafopredeter"/>
    <w:link w:val="Refdenotaalpie0"/>
    <w:uiPriority w:val="99"/>
    <w:unhideWhenUsed/>
    <w:qFormat/>
    <w:rsid w:val="000920C9"/>
    <w:rPr>
      <w:vertAlign w:val="superscript"/>
    </w:rPr>
  </w:style>
  <w:style w:type="paragraph" w:customStyle="1" w:styleId="Refdenotaalpie0">
    <w:name w:val="Ref. de nota al pie."/>
    <w:aliases w:val="Appel note de bas de..."/>
    <w:basedOn w:val="Normal"/>
    <w:link w:val="Refdenotaalpie"/>
    <w:uiPriority w:val="99"/>
    <w:rsid w:val="000920C9"/>
    <w:pPr>
      <w:spacing w:after="0" w:line="240" w:lineRule="exact"/>
      <w:jc w:val="both"/>
    </w:pPr>
    <w:rPr>
      <w:rFonts w:ascii="Quattrocento Sans" w:hAnsi="Quattrocento Sans"/>
      <w:vertAlign w:val="superscript"/>
    </w:rPr>
  </w:style>
  <w:style w:type="paragraph" w:customStyle="1" w:styleId="Normal0">
    <w:name w:val="Normal0"/>
    <w:basedOn w:val="Normal"/>
    <w:qFormat/>
    <w:rsid w:val="002D071C"/>
    <w:pPr>
      <w:suppressAutoHyphens/>
    </w:pPr>
    <w:rPr>
      <w:rFonts w:ascii="Calibri" w:eastAsia="Calibri" w:hAnsi="Calibri" w:cs="Calibri"/>
      <w:sz w:val="22"/>
      <w:szCs w:val="22"/>
      <w:lang w:val="es-MX"/>
    </w:rPr>
  </w:style>
  <w:style w:type="table" w:styleId="Tablaconcuadrcula5oscura-nfasis5">
    <w:name w:val="Grid Table 5 Dark Accent 5"/>
    <w:basedOn w:val="Tablanormal"/>
    <w:uiPriority w:val="50"/>
    <w:rsid w:val="00471D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lista3-nfasis1">
    <w:name w:val="List Table 3 Accent 1"/>
    <w:basedOn w:val="Tablanormal"/>
    <w:uiPriority w:val="48"/>
    <w:rsid w:val="00D44AF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8071">
      <w:marLeft w:val="0"/>
      <w:marRight w:val="0"/>
      <w:marTop w:val="0"/>
      <w:marBottom w:val="0"/>
      <w:divBdr>
        <w:top w:val="none" w:sz="0" w:space="0" w:color="auto"/>
        <w:left w:val="none" w:sz="0" w:space="0" w:color="auto"/>
        <w:bottom w:val="none" w:sz="0" w:space="0" w:color="auto"/>
        <w:right w:val="none" w:sz="0" w:space="0" w:color="auto"/>
      </w:divBdr>
      <w:divsChild>
        <w:div w:id="299266453">
          <w:marLeft w:val="0"/>
          <w:marRight w:val="0"/>
          <w:marTop w:val="0"/>
          <w:marBottom w:val="0"/>
          <w:divBdr>
            <w:top w:val="none" w:sz="0" w:space="0" w:color="auto"/>
            <w:left w:val="none" w:sz="0" w:space="0" w:color="auto"/>
            <w:bottom w:val="none" w:sz="0" w:space="0" w:color="auto"/>
            <w:right w:val="none" w:sz="0" w:space="0" w:color="auto"/>
          </w:divBdr>
        </w:div>
      </w:divsChild>
    </w:div>
    <w:div w:id="53891169">
      <w:marLeft w:val="0"/>
      <w:marRight w:val="0"/>
      <w:marTop w:val="0"/>
      <w:marBottom w:val="0"/>
      <w:divBdr>
        <w:top w:val="none" w:sz="0" w:space="0" w:color="auto"/>
        <w:left w:val="none" w:sz="0" w:space="0" w:color="auto"/>
        <w:bottom w:val="none" w:sz="0" w:space="0" w:color="auto"/>
        <w:right w:val="none" w:sz="0" w:space="0" w:color="auto"/>
      </w:divBdr>
      <w:divsChild>
        <w:div w:id="1668048623">
          <w:marLeft w:val="0"/>
          <w:marRight w:val="0"/>
          <w:marTop w:val="0"/>
          <w:marBottom w:val="0"/>
          <w:divBdr>
            <w:top w:val="none" w:sz="0" w:space="0" w:color="auto"/>
            <w:left w:val="none" w:sz="0" w:space="0" w:color="auto"/>
            <w:bottom w:val="none" w:sz="0" w:space="0" w:color="auto"/>
            <w:right w:val="none" w:sz="0" w:space="0" w:color="auto"/>
          </w:divBdr>
        </w:div>
      </w:divsChild>
    </w:div>
    <w:div w:id="76053883">
      <w:marLeft w:val="0"/>
      <w:marRight w:val="0"/>
      <w:marTop w:val="0"/>
      <w:marBottom w:val="0"/>
      <w:divBdr>
        <w:top w:val="none" w:sz="0" w:space="0" w:color="auto"/>
        <w:left w:val="none" w:sz="0" w:space="0" w:color="auto"/>
        <w:bottom w:val="none" w:sz="0" w:space="0" w:color="auto"/>
        <w:right w:val="none" w:sz="0" w:space="0" w:color="auto"/>
      </w:divBdr>
      <w:divsChild>
        <w:div w:id="1506164030">
          <w:marLeft w:val="0"/>
          <w:marRight w:val="0"/>
          <w:marTop w:val="0"/>
          <w:marBottom w:val="0"/>
          <w:divBdr>
            <w:top w:val="none" w:sz="0" w:space="0" w:color="auto"/>
            <w:left w:val="none" w:sz="0" w:space="0" w:color="auto"/>
            <w:bottom w:val="none" w:sz="0" w:space="0" w:color="auto"/>
            <w:right w:val="none" w:sz="0" w:space="0" w:color="auto"/>
          </w:divBdr>
        </w:div>
      </w:divsChild>
    </w:div>
    <w:div w:id="98451973">
      <w:marLeft w:val="0"/>
      <w:marRight w:val="0"/>
      <w:marTop w:val="0"/>
      <w:marBottom w:val="0"/>
      <w:divBdr>
        <w:top w:val="none" w:sz="0" w:space="0" w:color="auto"/>
        <w:left w:val="none" w:sz="0" w:space="0" w:color="auto"/>
        <w:bottom w:val="none" w:sz="0" w:space="0" w:color="auto"/>
        <w:right w:val="none" w:sz="0" w:space="0" w:color="auto"/>
      </w:divBdr>
      <w:divsChild>
        <w:div w:id="474881860">
          <w:marLeft w:val="0"/>
          <w:marRight w:val="0"/>
          <w:marTop w:val="0"/>
          <w:marBottom w:val="0"/>
          <w:divBdr>
            <w:top w:val="none" w:sz="0" w:space="0" w:color="auto"/>
            <w:left w:val="none" w:sz="0" w:space="0" w:color="auto"/>
            <w:bottom w:val="none" w:sz="0" w:space="0" w:color="auto"/>
            <w:right w:val="none" w:sz="0" w:space="0" w:color="auto"/>
          </w:divBdr>
        </w:div>
      </w:divsChild>
    </w:div>
    <w:div w:id="164902352">
      <w:marLeft w:val="0"/>
      <w:marRight w:val="0"/>
      <w:marTop w:val="0"/>
      <w:marBottom w:val="0"/>
      <w:divBdr>
        <w:top w:val="none" w:sz="0" w:space="0" w:color="auto"/>
        <w:left w:val="none" w:sz="0" w:space="0" w:color="auto"/>
        <w:bottom w:val="none" w:sz="0" w:space="0" w:color="auto"/>
        <w:right w:val="none" w:sz="0" w:space="0" w:color="auto"/>
      </w:divBdr>
      <w:divsChild>
        <w:div w:id="452674895">
          <w:marLeft w:val="0"/>
          <w:marRight w:val="0"/>
          <w:marTop w:val="0"/>
          <w:marBottom w:val="0"/>
          <w:divBdr>
            <w:top w:val="none" w:sz="0" w:space="0" w:color="auto"/>
            <w:left w:val="none" w:sz="0" w:space="0" w:color="auto"/>
            <w:bottom w:val="none" w:sz="0" w:space="0" w:color="auto"/>
            <w:right w:val="none" w:sz="0" w:space="0" w:color="auto"/>
          </w:divBdr>
        </w:div>
      </w:divsChild>
    </w:div>
    <w:div w:id="169180606">
      <w:marLeft w:val="0"/>
      <w:marRight w:val="0"/>
      <w:marTop w:val="0"/>
      <w:marBottom w:val="0"/>
      <w:divBdr>
        <w:top w:val="none" w:sz="0" w:space="0" w:color="auto"/>
        <w:left w:val="none" w:sz="0" w:space="0" w:color="auto"/>
        <w:bottom w:val="none" w:sz="0" w:space="0" w:color="auto"/>
        <w:right w:val="none" w:sz="0" w:space="0" w:color="auto"/>
      </w:divBdr>
      <w:divsChild>
        <w:div w:id="538468452">
          <w:marLeft w:val="0"/>
          <w:marRight w:val="0"/>
          <w:marTop w:val="0"/>
          <w:marBottom w:val="0"/>
          <w:divBdr>
            <w:top w:val="none" w:sz="0" w:space="0" w:color="auto"/>
            <w:left w:val="none" w:sz="0" w:space="0" w:color="auto"/>
            <w:bottom w:val="none" w:sz="0" w:space="0" w:color="auto"/>
            <w:right w:val="none" w:sz="0" w:space="0" w:color="auto"/>
          </w:divBdr>
        </w:div>
      </w:divsChild>
    </w:div>
    <w:div w:id="179855693">
      <w:bodyDiv w:val="1"/>
      <w:marLeft w:val="0"/>
      <w:marRight w:val="0"/>
      <w:marTop w:val="0"/>
      <w:marBottom w:val="0"/>
      <w:divBdr>
        <w:top w:val="none" w:sz="0" w:space="0" w:color="auto"/>
        <w:left w:val="none" w:sz="0" w:space="0" w:color="auto"/>
        <w:bottom w:val="none" w:sz="0" w:space="0" w:color="auto"/>
        <w:right w:val="none" w:sz="0" w:space="0" w:color="auto"/>
      </w:divBdr>
    </w:div>
    <w:div w:id="181433160">
      <w:bodyDiv w:val="1"/>
      <w:marLeft w:val="0"/>
      <w:marRight w:val="0"/>
      <w:marTop w:val="0"/>
      <w:marBottom w:val="0"/>
      <w:divBdr>
        <w:top w:val="none" w:sz="0" w:space="0" w:color="auto"/>
        <w:left w:val="none" w:sz="0" w:space="0" w:color="auto"/>
        <w:bottom w:val="none" w:sz="0" w:space="0" w:color="auto"/>
        <w:right w:val="none" w:sz="0" w:space="0" w:color="auto"/>
      </w:divBdr>
      <w:divsChild>
        <w:div w:id="1060135904">
          <w:marLeft w:val="0"/>
          <w:marRight w:val="0"/>
          <w:marTop w:val="0"/>
          <w:marBottom w:val="0"/>
          <w:divBdr>
            <w:top w:val="none" w:sz="0" w:space="0" w:color="auto"/>
            <w:left w:val="none" w:sz="0" w:space="0" w:color="auto"/>
            <w:bottom w:val="none" w:sz="0" w:space="0" w:color="auto"/>
            <w:right w:val="none" w:sz="0" w:space="0" w:color="auto"/>
          </w:divBdr>
          <w:divsChild>
            <w:div w:id="725371618">
              <w:marLeft w:val="0"/>
              <w:marRight w:val="0"/>
              <w:marTop w:val="0"/>
              <w:marBottom w:val="0"/>
              <w:divBdr>
                <w:top w:val="none" w:sz="0" w:space="0" w:color="auto"/>
                <w:left w:val="none" w:sz="0" w:space="0" w:color="auto"/>
                <w:bottom w:val="none" w:sz="0" w:space="0" w:color="auto"/>
                <w:right w:val="none" w:sz="0" w:space="0" w:color="auto"/>
              </w:divBdr>
            </w:div>
            <w:div w:id="1763641706">
              <w:marLeft w:val="0"/>
              <w:marRight w:val="0"/>
              <w:marTop w:val="0"/>
              <w:marBottom w:val="0"/>
              <w:divBdr>
                <w:top w:val="none" w:sz="0" w:space="0" w:color="auto"/>
                <w:left w:val="none" w:sz="0" w:space="0" w:color="auto"/>
                <w:bottom w:val="none" w:sz="0" w:space="0" w:color="auto"/>
                <w:right w:val="none" w:sz="0" w:space="0" w:color="auto"/>
              </w:divBdr>
            </w:div>
          </w:divsChild>
        </w:div>
        <w:div w:id="922566274">
          <w:marLeft w:val="0"/>
          <w:marRight w:val="0"/>
          <w:marTop w:val="0"/>
          <w:marBottom w:val="0"/>
          <w:divBdr>
            <w:top w:val="none" w:sz="0" w:space="0" w:color="auto"/>
            <w:left w:val="none" w:sz="0" w:space="0" w:color="auto"/>
            <w:bottom w:val="none" w:sz="0" w:space="0" w:color="auto"/>
            <w:right w:val="none" w:sz="0" w:space="0" w:color="auto"/>
          </w:divBdr>
          <w:divsChild>
            <w:div w:id="488791575">
              <w:marLeft w:val="0"/>
              <w:marRight w:val="0"/>
              <w:marTop w:val="0"/>
              <w:marBottom w:val="0"/>
              <w:divBdr>
                <w:top w:val="none" w:sz="0" w:space="0" w:color="auto"/>
                <w:left w:val="none" w:sz="0" w:space="0" w:color="auto"/>
                <w:bottom w:val="none" w:sz="0" w:space="0" w:color="auto"/>
                <w:right w:val="none" w:sz="0" w:space="0" w:color="auto"/>
              </w:divBdr>
            </w:div>
          </w:divsChild>
        </w:div>
        <w:div w:id="1515535992">
          <w:marLeft w:val="0"/>
          <w:marRight w:val="0"/>
          <w:marTop w:val="0"/>
          <w:marBottom w:val="0"/>
          <w:divBdr>
            <w:top w:val="none" w:sz="0" w:space="0" w:color="auto"/>
            <w:left w:val="none" w:sz="0" w:space="0" w:color="auto"/>
            <w:bottom w:val="none" w:sz="0" w:space="0" w:color="auto"/>
            <w:right w:val="none" w:sz="0" w:space="0" w:color="auto"/>
          </w:divBdr>
          <w:divsChild>
            <w:div w:id="1330981607">
              <w:marLeft w:val="0"/>
              <w:marRight w:val="0"/>
              <w:marTop w:val="0"/>
              <w:marBottom w:val="0"/>
              <w:divBdr>
                <w:top w:val="none" w:sz="0" w:space="0" w:color="auto"/>
                <w:left w:val="none" w:sz="0" w:space="0" w:color="auto"/>
                <w:bottom w:val="none" w:sz="0" w:space="0" w:color="auto"/>
                <w:right w:val="none" w:sz="0" w:space="0" w:color="auto"/>
              </w:divBdr>
            </w:div>
            <w:div w:id="950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0009">
      <w:bodyDiv w:val="1"/>
      <w:marLeft w:val="0"/>
      <w:marRight w:val="0"/>
      <w:marTop w:val="0"/>
      <w:marBottom w:val="0"/>
      <w:divBdr>
        <w:top w:val="none" w:sz="0" w:space="0" w:color="auto"/>
        <w:left w:val="none" w:sz="0" w:space="0" w:color="auto"/>
        <w:bottom w:val="none" w:sz="0" w:space="0" w:color="auto"/>
        <w:right w:val="none" w:sz="0" w:space="0" w:color="auto"/>
      </w:divBdr>
    </w:div>
    <w:div w:id="224606807">
      <w:bodyDiv w:val="1"/>
      <w:marLeft w:val="0"/>
      <w:marRight w:val="0"/>
      <w:marTop w:val="0"/>
      <w:marBottom w:val="0"/>
      <w:divBdr>
        <w:top w:val="none" w:sz="0" w:space="0" w:color="auto"/>
        <w:left w:val="none" w:sz="0" w:space="0" w:color="auto"/>
        <w:bottom w:val="none" w:sz="0" w:space="0" w:color="auto"/>
        <w:right w:val="none" w:sz="0" w:space="0" w:color="auto"/>
      </w:divBdr>
      <w:divsChild>
        <w:div w:id="726152648">
          <w:marLeft w:val="0"/>
          <w:marRight w:val="0"/>
          <w:marTop w:val="0"/>
          <w:marBottom w:val="0"/>
          <w:divBdr>
            <w:top w:val="none" w:sz="0" w:space="0" w:color="auto"/>
            <w:left w:val="none" w:sz="0" w:space="0" w:color="auto"/>
            <w:bottom w:val="none" w:sz="0" w:space="0" w:color="auto"/>
            <w:right w:val="none" w:sz="0" w:space="0" w:color="auto"/>
          </w:divBdr>
        </w:div>
        <w:div w:id="1433278610">
          <w:marLeft w:val="0"/>
          <w:marRight w:val="0"/>
          <w:marTop w:val="0"/>
          <w:marBottom w:val="0"/>
          <w:divBdr>
            <w:top w:val="none" w:sz="0" w:space="0" w:color="auto"/>
            <w:left w:val="none" w:sz="0" w:space="0" w:color="auto"/>
            <w:bottom w:val="none" w:sz="0" w:space="0" w:color="auto"/>
            <w:right w:val="none" w:sz="0" w:space="0" w:color="auto"/>
          </w:divBdr>
        </w:div>
        <w:div w:id="805701928">
          <w:marLeft w:val="0"/>
          <w:marRight w:val="0"/>
          <w:marTop w:val="0"/>
          <w:marBottom w:val="0"/>
          <w:divBdr>
            <w:top w:val="none" w:sz="0" w:space="0" w:color="auto"/>
            <w:left w:val="none" w:sz="0" w:space="0" w:color="auto"/>
            <w:bottom w:val="none" w:sz="0" w:space="0" w:color="auto"/>
            <w:right w:val="none" w:sz="0" w:space="0" w:color="auto"/>
          </w:divBdr>
          <w:divsChild>
            <w:div w:id="988099732">
              <w:marLeft w:val="-75"/>
              <w:marRight w:val="0"/>
              <w:marTop w:val="30"/>
              <w:marBottom w:val="30"/>
              <w:divBdr>
                <w:top w:val="none" w:sz="0" w:space="0" w:color="auto"/>
                <w:left w:val="none" w:sz="0" w:space="0" w:color="auto"/>
                <w:bottom w:val="none" w:sz="0" w:space="0" w:color="auto"/>
                <w:right w:val="none" w:sz="0" w:space="0" w:color="auto"/>
              </w:divBdr>
              <w:divsChild>
                <w:div w:id="156964795">
                  <w:marLeft w:val="0"/>
                  <w:marRight w:val="0"/>
                  <w:marTop w:val="0"/>
                  <w:marBottom w:val="0"/>
                  <w:divBdr>
                    <w:top w:val="none" w:sz="0" w:space="0" w:color="auto"/>
                    <w:left w:val="none" w:sz="0" w:space="0" w:color="auto"/>
                    <w:bottom w:val="none" w:sz="0" w:space="0" w:color="auto"/>
                    <w:right w:val="none" w:sz="0" w:space="0" w:color="auto"/>
                  </w:divBdr>
                  <w:divsChild>
                    <w:div w:id="770206701">
                      <w:marLeft w:val="0"/>
                      <w:marRight w:val="0"/>
                      <w:marTop w:val="0"/>
                      <w:marBottom w:val="0"/>
                      <w:divBdr>
                        <w:top w:val="none" w:sz="0" w:space="0" w:color="auto"/>
                        <w:left w:val="none" w:sz="0" w:space="0" w:color="auto"/>
                        <w:bottom w:val="none" w:sz="0" w:space="0" w:color="auto"/>
                        <w:right w:val="none" w:sz="0" w:space="0" w:color="auto"/>
                      </w:divBdr>
                    </w:div>
                  </w:divsChild>
                </w:div>
                <w:div w:id="528836324">
                  <w:marLeft w:val="0"/>
                  <w:marRight w:val="0"/>
                  <w:marTop w:val="0"/>
                  <w:marBottom w:val="0"/>
                  <w:divBdr>
                    <w:top w:val="none" w:sz="0" w:space="0" w:color="auto"/>
                    <w:left w:val="none" w:sz="0" w:space="0" w:color="auto"/>
                    <w:bottom w:val="none" w:sz="0" w:space="0" w:color="auto"/>
                    <w:right w:val="none" w:sz="0" w:space="0" w:color="auto"/>
                  </w:divBdr>
                  <w:divsChild>
                    <w:div w:id="1632709813">
                      <w:marLeft w:val="0"/>
                      <w:marRight w:val="0"/>
                      <w:marTop w:val="0"/>
                      <w:marBottom w:val="0"/>
                      <w:divBdr>
                        <w:top w:val="none" w:sz="0" w:space="0" w:color="auto"/>
                        <w:left w:val="none" w:sz="0" w:space="0" w:color="auto"/>
                        <w:bottom w:val="none" w:sz="0" w:space="0" w:color="auto"/>
                        <w:right w:val="none" w:sz="0" w:space="0" w:color="auto"/>
                      </w:divBdr>
                    </w:div>
                  </w:divsChild>
                </w:div>
                <w:div w:id="1822455929">
                  <w:marLeft w:val="0"/>
                  <w:marRight w:val="0"/>
                  <w:marTop w:val="0"/>
                  <w:marBottom w:val="0"/>
                  <w:divBdr>
                    <w:top w:val="none" w:sz="0" w:space="0" w:color="auto"/>
                    <w:left w:val="none" w:sz="0" w:space="0" w:color="auto"/>
                    <w:bottom w:val="none" w:sz="0" w:space="0" w:color="auto"/>
                    <w:right w:val="none" w:sz="0" w:space="0" w:color="auto"/>
                  </w:divBdr>
                  <w:divsChild>
                    <w:div w:id="1698500558">
                      <w:marLeft w:val="0"/>
                      <w:marRight w:val="0"/>
                      <w:marTop w:val="0"/>
                      <w:marBottom w:val="0"/>
                      <w:divBdr>
                        <w:top w:val="none" w:sz="0" w:space="0" w:color="auto"/>
                        <w:left w:val="none" w:sz="0" w:space="0" w:color="auto"/>
                        <w:bottom w:val="none" w:sz="0" w:space="0" w:color="auto"/>
                        <w:right w:val="none" w:sz="0" w:space="0" w:color="auto"/>
                      </w:divBdr>
                    </w:div>
                  </w:divsChild>
                </w:div>
                <w:div w:id="1717466281">
                  <w:marLeft w:val="0"/>
                  <w:marRight w:val="0"/>
                  <w:marTop w:val="0"/>
                  <w:marBottom w:val="0"/>
                  <w:divBdr>
                    <w:top w:val="none" w:sz="0" w:space="0" w:color="auto"/>
                    <w:left w:val="none" w:sz="0" w:space="0" w:color="auto"/>
                    <w:bottom w:val="none" w:sz="0" w:space="0" w:color="auto"/>
                    <w:right w:val="none" w:sz="0" w:space="0" w:color="auto"/>
                  </w:divBdr>
                  <w:divsChild>
                    <w:div w:id="1658804403">
                      <w:marLeft w:val="0"/>
                      <w:marRight w:val="0"/>
                      <w:marTop w:val="0"/>
                      <w:marBottom w:val="0"/>
                      <w:divBdr>
                        <w:top w:val="none" w:sz="0" w:space="0" w:color="auto"/>
                        <w:left w:val="none" w:sz="0" w:space="0" w:color="auto"/>
                        <w:bottom w:val="none" w:sz="0" w:space="0" w:color="auto"/>
                        <w:right w:val="none" w:sz="0" w:space="0" w:color="auto"/>
                      </w:divBdr>
                    </w:div>
                  </w:divsChild>
                </w:div>
                <w:div w:id="1671179434">
                  <w:marLeft w:val="0"/>
                  <w:marRight w:val="0"/>
                  <w:marTop w:val="0"/>
                  <w:marBottom w:val="0"/>
                  <w:divBdr>
                    <w:top w:val="none" w:sz="0" w:space="0" w:color="auto"/>
                    <w:left w:val="none" w:sz="0" w:space="0" w:color="auto"/>
                    <w:bottom w:val="none" w:sz="0" w:space="0" w:color="auto"/>
                    <w:right w:val="none" w:sz="0" w:space="0" w:color="auto"/>
                  </w:divBdr>
                  <w:divsChild>
                    <w:div w:id="379591414">
                      <w:marLeft w:val="0"/>
                      <w:marRight w:val="0"/>
                      <w:marTop w:val="0"/>
                      <w:marBottom w:val="0"/>
                      <w:divBdr>
                        <w:top w:val="none" w:sz="0" w:space="0" w:color="auto"/>
                        <w:left w:val="none" w:sz="0" w:space="0" w:color="auto"/>
                        <w:bottom w:val="none" w:sz="0" w:space="0" w:color="auto"/>
                        <w:right w:val="none" w:sz="0" w:space="0" w:color="auto"/>
                      </w:divBdr>
                    </w:div>
                  </w:divsChild>
                </w:div>
                <w:div w:id="1214776721">
                  <w:marLeft w:val="0"/>
                  <w:marRight w:val="0"/>
                  <w:marTop w:val="0"/>
                  <w:marBottom w:val="0"/>
                  <w:divBdr>
                    <w:top w:val="none" w:sz="0" w:space="0" w:color="auto"/>
                    <w:left w:val="none" w:sz="0" w:space="0" w:color="auto"/>
                    <w:bottom w:val="none" w:sz="0" w:space="0" w:color="auto"/>
                    <w:right w:val="none" w:sz="0" w:space="0" w:color="auto"/>
                  </w:divBdr>
                  <w:divsChild>
                    <w:div w:id="2133942604">
                      <w:marLeft w:val="0"/>
                      <w:marRight w:val="0"/>
                      <w:marTop w:val="0"/>
                      <w:marBottom w:val="0"/>
                      <w:divBdr>
                        <w:top w:val="none" w:sz="0" w:space="0" w:color="auto"/>
                        <w:left w:val="none" w:sz="0" w:space="0" w:color="auto"/>
                        <w:bottom w:val="none" w:sz="0" w:space="0" w:color="auto"/>
                        <w:right w:val="none" w:sz="0" w:space="0" w:color="auto"/>
                      </w:divBdr>
                    </w:div>
                  </w:divsChild>
                </w:div>
                <w:div w:id="268590982">
                  <w:marLeft w:val="0"/>
                  <w:marRight w:val="0"/>
                  <w:marTop w:val="0"/>
                  <w:marBottom w:val="0"/>
                  <w:divBdr>
                    <w:top w:val="none" w:sz="0" w:space="0" w:color="auto"/>
                    <w:left w:val="none" w:sz="0" w:space="0" w:color="auto"/>
                    <w:bottom w:val="none" w:sz="0" w:space="0" w:color="auto"/>
                    <w:right w:val="none" w:sz="0" w:space="0" w:color="auto"/>
                  </w:divBdr>
                  <w:divsChild>
                    <w:div w:id="120458501">
                      <w:marLeft w:val="0"/>
                      <w:marRight w:val="0"/>
                      <w:marTop w:val="0"/>
                      <w:marBottom w:val="0"/>
                      <w:divBdr>
                        <w:top w:val="none" w:sz="0" w:space="0" w:color="auto"/>
                        <w:left w:val="none" w:sz="0" w:space="0" w:color="auto"/>
                        <w:bottom w:val="none" w:sz="0" w:space="0" w:color="auto"/>
                        <w:right w:val="none" w:sz="0" w:space="0" w:color="auto"/>
                      </w:divBdr>
                    </w:div>
                  </w:divsChild>
                </w:div>
                <w:div w:id="228813324">
                  <w:marLeft w:val="0"/>
                  <w:marRight w:val="0"/>
                  <w:marTop w:val="0"/>
                  <w:marBottom w:val="0"/>
                  <w:divBdr>
                    <w:top w:val="none" w:sz="0" w:space="0" w:color="auto"/>
                    <w:left w:val="none" w:sz="0" w:space="0" w:color="auto"/>
                    <w:bottom w:val="none" w:sz="0" w:space="0" w:color="auto"/>
                    <w:right w:val="none" w:sz="0" w:space="0" w:color="auto"/>
                  </w:divBdr>
                  <w:divsChild>
                    <w:div w:id="920603727">
                      <w:marLeft w:val="0"/>
                      <w:marRight w:val="0"/>
                      <w:marTop w:val="0"/>
                      <w:marBottom w:val="0"/>
                      <w:divBdr>
                        <w:top w:val="none" w:sz="0" w:space="0" w:color="auto"/>
                        <w:left w:val="none" w:sz="0" w:space="0" w:color="auto"/>
                        <w:bottom w:val="none" w:sz="0" w:space="0" w:color="auto"/>
                        <w:right w:val="none" w:sz="0" w:space="0" w:color="auto"/>
                      </w:divBdr>
                    </w:div>
                  </w:divsChild>
                </w:div>
                <w:div w:id="796532352">
                  <w:marLeft w:val="0"/>
                  <w:marRight w:val="0"/>
                  <w:marTop w:val="0"/>
                  <w:marBottom w:val="0"/>
                  <w:divBdr>
                    <w:top w:val="none" w:sz="0" w:space="0" w:color="auto"/>
                    <w:left w:val="none" w:sz="0" w:space="0" w:color="auto"/>
                    <w:bottom w:val="none" w:sz="0" w:space="0" w:color="auto"/>
                    <w:right w:val="none" w:sz="0" w:space="0" w:color="auto"/>
                  </w:divBdr>
                  <w:divsChild>
                    <w:div w:id="1982036945">
                      <w:marLeft w:val="0"/>
                      <w:marRight w:val="0"/>
                      <w:marTop w:val="0"/>
                      <w:marBottom w:val="0"/>
                      <w:divBdr>
                        <w:top w:val="none" w:sz="0" w:space="0" w:color="auto"/>
                        <w:left w:val="none" w:sz="0" w:space="0" w:color="auto"/>
                        <w:bottom w:val="none" w:sz="0" w:space="0" w:color="auto"/>
                        <w:right w:val="none" w:sz="0" w:space="0" w:color="auto"/>
                      </w:divBdr>
                    </w:div>
                  </w:divsChild>
                </w:div>
                <w:div w:id="127169237">
                  <w:marLeft w:val="0"/>
                  <w:marRight w:val="0"/>
                  <w:marTop w:val="0"/>
                  <w:marBottom w:val="0"/>
                  <w:divBdr>
                    <w:top w:val="none" w:sz="0" w:space="0" w:color="auto"/>
                    <w:left w:val="none" w:sz="0" w:space="0" w:color="auto"/>
                    <w:bottom w:val="none" w:sz="0" w:space="0" w:color="auto"/>
                    <w:right w:val="none" w:sz="0" w:space="0" w:color="auto"/>
                  </w:divBdr>
                  <w:divsChild>
                    <w:div w:id="565530183">
                      <w:marLeft w:val="0"/>
                      <w:marRight w:val="0"/>
                      <w:marTop w:val="0"/>
                      <w:marBottom w:val="0"/>
                      <w:divBdr>
                        <w:top w:val="none" w:sz="0" w:space="0" w:color="auto"/>
                        <w:left w:val="none" w:sz="0" w:space="0" w:color="auto"/>
                        <w:bottom w:val="none" w:sz="0" w:space="0" w:color="auto"/>
                        <w:right w:val="none" w:sz="0" w:space="0" w:color="auto"/>
                      </w:divBdr>
                    </w:div>
                  </w:divsChild>
                </w:div>
                <w:div w:id="1897810383">
                  <w:marLeft w:val="0"/>
                  <w:marRight w:val="0"/>
                  <w:marTop w:val="0"/>
                  <w:marBottom w:val="0"/>
                  <w:divBdr>
                    <w:top w:val="none" w:sz="0" w:space="0" w:color="auto"/>
                    <w:left w:val="none" w:sz="0" w:space="0" w:color="auto"/>
                    <w:bottom w:val="none" w:sz="0" w:space="0" w:color="auto"/>
                    <w:right w:val="none" w:sz="0" w:space="0" w:color="auto"/>
                  </w:divBdr>
                  <w:divsChild>
                    <w:div w:id="107236837">
                      <w:marLeft w:val="0"/>
                      <w:marRight w:val="0"/>
                      <w:marTop w:val="0"/>
                      <w:marBottom w:val="0"/>
                      <w:divBdr>
                        <w:top w:val="none" w:sz="0" w:space="0" w:color="auto"/>
                        <w:left w:val="none" w:sz="0" w:space="0" w:color="auto"/>
                        <w:bottom w:val="none" w:sz="0" w:space="0" w:color="auto"/>
                        <w:right w:val="none" w:sz="0" w:space="0" w:color="auto"/>
                      </w:divBdr>
                    </w:div>
                  </w:divsChild>
                </w:div>
                <w:div w:id="689531514">
                  <w:marLeft w:val="0"/>
                  <w:marRight w:val="0"/>
                  <w:marTop w:val="0"/>
                  <w:marBottom w:val="0"/>
                  <w:divBdr>
                    <w:top w:val="none" w:sz="0" w:space="0" w:color="auto"/>
                    <w:left w:val="none" w:sz="0" w:space="0" w:color="auto"/>
                    <w:bottom w:val="none" w:sz="0" w:space="0" w:color="auto"/>
                    <w:right w:val="none" w:sz="0" w:space="0" w:color="auto"/>
                  </w:divBdr>
                  <w:divsChild>
                    <w:div w:id="717436376">
                      <w:marLeft w:val="0"/>
                      <w:marRight w:val="0"/>
                      <w:marTop w:val="0"/>
                      <w:marBottom w:val="0"/>
                      <w:divBdr>
                        <w:top w:val="none" w:sz="0" w:space="0" w:color="auto"/>
                        <w:left w:val="none" w:sz="0" w:space="0" w:color="auto"/>
                        <w:bottom w:val="none" w:sz="0" w:space="0" w:color="auto"/>
                        <w:right w:val="none" w:sz="0" w:space="0" w:color="auto"/>
                      </w:divBdr>
                    </w:div>
                  </w:divsChild>
                </w:div>
                <w:div w:id="1885094052">
                  <w:marLeft w:val="0"/>
                  <w:marRight w:val="0"/>
                  <w:marTop w:val="0"/>
                  <w:marBottom w:val="0"/>
                  <w:divBdr>
                    <w:top w:val="none" w:sz="0" w:space="0" w:color="auto"/>
                    <w:left w:val="none" w:sz="0" w:space="0" w:color="auto"/>
                    <w:bottom w:val="none" w:sz="0" w:space="0" w:color="auto"/>
                    <w:right w:val="none" w:sz="0" w:space="0" w:color="auto"/>
                  </w:divBdr>
                  <w:divsChild>
                    <w:div w:id="1766262544">
                      <w:marLeft w:val="0"/>
                      <w:marRight w:val="0"/>
                      <w:marTop w:val="0"/>
                      <w:marBottom w:val="0"/>
                      <w:divBdr>
                        <w:top w:val="none" w:sz="0" w:space="0" w:color="auto"/>
                        <w:left w:val="none" w:sz="0" w:space="0" w:color="auto"/>
                        <w:bottom w:val="none" w:sz="0" w:space="0" w:color="auto"/>
                        <w:right w:val="none" w:sz="0" w:space="0" w:color="auto"/>
                      </w:divBdr>
                    </w:div>
                  </w:divsChild>
                </w:div>
                <w:div w:id="1163663553">
                  <w:marLeft w:val="0"/>
                  <w:marRight w:val="0"/>
                  <w:marTop w:val="0"/>
                  <w:marBottom w:val="0"/>
                  <w:divBdr>
                    <w:top w:val="none" w:sz="0" w:space="0" w:color="auto"/>
                    <w:left w:val="none" w:sz="0" w:space="0" w:color="auto"/>
                    <w:bottom w:val="none" w:sz="0" w:space="0" w:color="auto"/>
                    <w:right w:val="none" w:sz="0" w:space="0" w:color="auto"/>
                  </w:divBdr>
                  <w:divsChild>
                    <w:div w:id="2086804310">
                      <w:marLeft w:val="0"/>
                      <w:marRight w:val="0"/>
                      <w:marTop w:val="0"/>
                      <w:marBottom w:val="0"/>
                      <w:divBdr>
                        <w:top w:val="none" w:sz="0" w:space="0" w:color="auto"/>
                        <w:left w:val="none" w:sz="0" w:space="0" w:color="auto"/>
                        <w:bottom w:val="none" w:sz="0" w:space="0" w:color="auto"/>
                        <w:right w:val="none" w:sz="0" w:space="0" w:color="auto"/>
                      </w:divBdr>
                    </w:div>
                  </w:divsChild>
                </w:div>
                <w:div w:id="1705397589">
                  <w:marLeft w:val="0"/>
                  <w:marRight w:val="0"/>
                  <w:marTop w:val="0"/>
                  <w:marBottom w:val="0"/>
                  <w:divBdr>
                    <w:top w:val="none" w:sz="0" w:space="0" w:color="auto"/>
                    <w:left w:val="none" w:sz="0" w:space="0" w:color="auto"/>
                    <w:bottom w:val="none" w:sz="0" w:space="0" w:color="auto"/>
                    <w:right w:val="none" w:sz="0" w:space="0" w:color="auto"/>
                  </w:divBdr>
                  <w:divsChild>
                    <w:div w:id="752123278">
                      <w:marLeft w:val="0"/>
                      <w:marRight w:val="0"/>
                      <w:marTop w:val="0"/>
                      <w:marBottom w:val="0"/>
                      <w:divBdr>
                        <w:top w:val="none" w:sz="0" w:space="0" w:color="auto"/>
                        <w:left w:val="none" w:sz="0" w:space="0" w:color="auto"/>
                        <w:bottom w:val="none" w:sz="0" w:space="0" w:color="auto"/>
                        <w:right w:val="none" w:sz="0" w:space="0" w:color="auto"/>
                      </w:divBdr>
                    </w:div>
                  </w:divsChild>
                </w:div>
                <w:div w:id="718434414">
                  <w:marLeft w:val="0"/>
                  <w:marRight w:val="0"/>
                  <w:marTop w:val="0"/>
                  <w:marBottom w:val="0"/>
                  <w:divBdr>
                    <w:top w:val="none" w:sz="0" w:space="0" w:color="auto"/>
                    <w:left w:val="none" w:sz="0" w:space="0" w:color="auto"/>
                    <w:bottom w:val="none" w:sz="0" w:space="0" w:color="auto"/>
                    <w:right w:val="none" w:sz="0" w:space="0" w:color="auto"/>
                  </w:divBdr>
                  <w:divsChild>
                    <w:div w:id="1503623254">
                      <w:marLeft w:val="0"/>
                      <w:marRight w:val="0"/>
                      <w:marTop w:val="0"/>
                      <w:marBottom w:val="0"/>
                      <w:divBdr>
                        <w:top w:val="none" w:sz="0" w:space="0" w:color="auto"/>
                        <w:left w:val="none" w:sz="0" w:space="0" w:color="auto"/>
                        <w:bottom w:val="none" w:sz="0" w:space="0" w:color="auto"/>
                        <w:right w:val="none" w:sz="0" w:space="0" w:color="auto"/>
                      </w:divBdr>
                    </w:div>
                  </w:divsChild>
                </w:div>
                <w:div w:id="1487697336">
                  <w:marLeft w:val="0"/>
                  <w:marRight w:val="0"/>
                  <w:marTop w:val="0"/>
                  <w:marBottom w:val="0"/>
                  <w:divBdr>
                    <w:top w:val="none" w:sz="0" w:space="0" w:color="auto"/>
                    <w:left w:val="none" w:sz="0" w:space="0" w:color="auto"/>
                    <w:bottom w:val="none" w:sz="0" w:space="0" w:color="auto"/>
                    <w:right w:val="none" w:sz="0" w:space="0" w:color="auto"/>
                  </w:divBdr>
                  <w:divsChild>
                    <w:div w:id="1618443759">
                      <w:marLeft w:val="0"/>
                      <w:marRight w:val="0"/>
                      <w:marTop w:val="0"/>
                      <w:marBottom w:val="0"/>
                      <w:divBdr>
                        <w:top w:val="none" w:sz="0" w:space="0" w:color="auto"/>
                        <w:left w:val="none" w:sz="0" w:space="0" w:color="auto"/>
                        <w:bottom w:val="none" w:sz="0" w:space="0" w:color="auto"/>
                        <w:right w:val="none" w:sz="0" w:space="0" w:color="auto"/>
                      </w:divBdr>
                    </w:div>
                  </w:divsChild>
                </w:div>
                <w:div w:id="1308779339">
                  <w:marLeft w:val="0"/>
                  <w:marRight w:val="0"/>
                  <w:marTop w:val="0"/>
                  <w:marBottom w:val="0"/>
                  <w:divBdr>
                    <w:top w:val="none" w:sz="0" w:space="0" w:color="auto"/>
                    <w:left w:val="none" w:sz="0" w:space="0" w:color="auto"/>
                    <w:bottom w:val="none" w:sz="0" w:space="0" w:color="auto"/>
                    <w:right w:val="none" w:sz="0" w:space="0" w:color="auto"/>
                  </w:divBdr>
                  <w:divsChild>
                    <w:div w:id="981731707">
                      <w:marLeft w:val="0"/>
                      <w:marRight w:val="0"/>
                      <w:marTop w:val="0"/>
                      <w:marBottom w:val="0"/>
                      <w:divBdr>
                        <w:top w:val="none" w:sz="0" w:space="0" w:color="auto"/>
                        <w:left w:val="none" w:sz="0" w:space="0" w:color="auto"/>
                        <w:bottom w:val="none" w:sz="0" w:space="0" w:color="auto"/>
                        <w:right w:val="none" w:sz="0" w:space="0" w:color="auto"/>
                      </w:divBdr>
                    </w:div>
                  </w:divsChild>
                </w:div>
                <w:div w:id="467360682">
                  <w:marLeft w:val="0"/>
                  <w:marRight w:val="0"/>
                  <w:marTop w:val="0"/>
                  <w:marBottom w:val="0"/>
                  <w:divBdr>
                    <w:top w:val="none" w:sz="0" w:space="0" w:color="auto"/>
                    <w:left w:val="none" w:sz="0" w:space="0" w:color="auto"/>
                    <w:bottom w:val="none" w:sz="0" w:space="0" w:color="auto"/>
                    <w:right w:val="none" w:sz="0" w:space="0" w:color="auto"/>
                  </w:divBdr>
                  <w:divsChild>
                    <w:div w:id="1706901763">
                      <w:marLeft w:val="0"/>
                      <w:marRight w:val="0"/>
                      <w:marTop w:val="0"/>
                      <w:marBottom w:val="0"/>
                      <w:divBdr>
                        <w:top w:val="none" w:sz="0" w:space="0" w:color="auto"/>
                        <w:left w:val="none" w:sz="0" w:space="0" w:color="auto"/>
                        <w:bottom w:val="none" w:sz="0" w:space="0" w:color="auto"/>
                        <w:right w:val="none" w:sz="0" w:space="0" w:color="auto"/>
                      </w:divBdr>
                    </w:div>
                  </w:divsChild>
                </w:div>
                <w:div w:id="1700936249">
                  <w:marLeft w:val="0"/>
                  <w:marRight w:val="0"/>
                  <w:marTop w:val="0"/>
                  <w:marBottom w:val="0"/>
                  <w:divBdr>
                    <w:top w:val="none" w:sz="0" w:space="0" w:color="auto"/>
                    <w:left w:val="none" w:sz="0" w:space="0" w:color="auto"/>
                    <w:bottom w:val="none" w:sz="0" w:space="0" w:color="auto"/>
                    <w:right w:val="none" w:sz="0" w:space="0" w:color="auto"/>
                  </w:divBdr>
                  <w:divsChild>
                    <w:div w:id="674965109">
                      <w:marLeft w:val="0"/>
                      <w:marRight w:val="0"/>
                      <w:marTop w:val="0"/>
                      <w:marBottom w:val="0"/>
                      <w:divBdr>
                        <w:top w:val="none" w:sz="0" w:space="0" w:color="auto"/>
                        <w:left w:val="none" w:sz="0" w:space="0" w:color="auto"/>
                        <w:bottom w:val="none" w:sz="0" w:space="0" w:color="auto"/>
                        <w:right w:val="none" w:sz="0" w:space="0" w:color="auto"/>
                      </w:divBdr>
                    </w:div>
                  </w:divsChild>
                </w:div>
                <w:div w:id="1710758226">
                  <w:marLeft w:val="0"/>
                  <w:marRight w:val="0"/>
                  <w:marTop w:val="0"/>
                  <w:marBottom w:val="0"/>
                  <w:divBdr>
                    <w:top w:val="none" w:sz="0" w:space="0" w:color="auto"/>
                    <w:left w:val="none" w:sz="0" w:space="0" w:color="auto"/>
                    <w:bottom w:val="none" w:sz="0" w:space="0" w:color="auto"/>
                    <w:right w:val="none" w:sz="0" w:space="0" w:color="auto"/>
                  </w:divBdr>
                  <w:divsChild>
                    <w:div w:id="693579962">
                      <w:marLeft w:val="0"/>
                      <w:marRight w:val="0"/>
                      <w:marTop w:val="0"/>
                      <w:marBottom w:val="0"/>
                      <w:divBdr>
                        <w:top w:val="none" w:sz="0" w:space="0" w:color="auto"/>
                        <w:left w:val="none" w:sz="0" w:space="0" w:color="auto"/>
                        <w:bottom w:val="none" w:sz="0" w:space="0" w:color="auto"/>
                        <w:right w:val="none" w:sz="0" w:space="0" w:color="auto"/>
                      </w:divBdr>
                    </w:div>
                  </w:divsChild>
                </w:div>
                <w:div w:id="1107038153">
                  <w:marLeft w:val="0"/>
                  <w:marRight w:val="0"/>
                  <w:marTop w:val="0"/>
                  <w:marBottom w:val="0"/>
                  <w:divBdr>
                    <w:top w:val="none" w:sz="0" w:space="0" w:color="auto"/>
                    <w:left w:val="none" w:sz="0" w:space="0" w:color="auto"/>
                    <w:bottom w:val="none" w:sz="0" w:space="0" w:color="auto"/>
                    <w:right w:val="none" w:sz="0" w:space="0" w:color="auto"/>
                  </w:divBdr>
                  <w:divsChild>
                    <w:div w:id="1925456223">
                      <w:marLeft w:val="0"/>
                      <w:marRight w:val="0"/>
                      <w:marTop w:val="0"/>
                      <w:marBottom w:val="0"/>
                      <w:divBdr>
                        <w:top w:val="none" w:sz="0" w:space="0" w:color="auto"/>
                        <w:left w:val="none" w:sz="0" w:space="0" w:color="auto"/>
                        <w:bottom w:val="none" w:sz="0" w:space="0" w:color="auto"/>
                        <w:right w:val="none" w:sz="0" w:space="0" w:color="auto"/>
                      </w:divBdr>
                    </w:div>
                  </w:divsChild>
                </w:div>
                <w:div w:id="236793666">
                  <w:marLeft w:val="0"/>
                  <w:marRight w:val="0"/>
                  <w:marTop w:val="0"/>
                  <w:marBottom w:val="0"/>
                  <w:divBdr>
                    <w:top w:val="none" w:sz="0" w:space="0" w:color="auto"/>
                    <w:left w:val="none" w:sz="0" w:space="0" w:color="auto"/>
                    <w:bottom w:val="none" w:sz="0" w:space="0" w:color="auto"/>
                    <w:right w:val="none" w:sz="0" w:space="0" w:color="auto"/>
                  </w:divBdr>
                  <w:divsChild>
                    <w:div w:id="780802844">
                      <w:marLeft w:val="0"/>
                      <w:marRight w:val="0"/>
                      <w:marTop w:val="0"/>
                      <w:marBottom w:val="0"/>
                      <w:divBdr>
                        <w:top w:val="none" w:sz="0" w:space="0" w:color="auto"/>
                        <w:left w:val="none" w:sz="0" w:space="0" w:color="auto"/>
                        <w:bottom w:val="none" w:sz="0" w:space="0" w:color="auto"/>
                        <w:right w:val="none" w:sz="0" w:space="0" w:color="auto"/>
                      </w:divBdr>
                    </w:div>
                  </w:divsChild>
                </w:div>
                <w:div w:id="442767418">
                  <w:marLeft w:val="0"/>
                  <w:marRight w:val="0"/>
                  <w:marTop w:val="0"/>
                  <w:marBottom w:val="0"/>
                  <w:divBdr>
                    <w:top w:val="none" w:sz="0" w:space="0" w:color="auto"/>
                    <w:left w:val="none" w:sz="0" w:space="0" w:color="auto"/>
                    <w:bottom w:val="none" w:sz="0" w:space="0" w:color="auto"/>
                    <w:right w:val="none" w:sz="0" w:space="0" w:color="auto"/>
                  </w:divBdr>
                  <w:divsChild>
                    <w:div w:id="439566291">
                      <w:marLeft w:val="0"/>
                      <w:marRight w:val="0"/>
                      <w:marTop w:val="0"/>
                      <w:marBottom w:val="0"/>
                      <w:divBdr>
                        <w:top w:val="none" w:sz="0" w:space="0" w:color="auto"/>
                        <w:left w:val="none" w:sz="0" w:space="0" w:color="auto"/>
                        <w:bottom w:val="none" w:sz="0" w:space="0" w:color="auto"/>
                        <w:right w:val="none" w:sz="0" w:space="0" w:color="auto"/>
                      </w:divBdr>
                    </w:div>
                  </w:divsChild>
                </w:div>
                <w:div w:id="1271665411">
                  <w:marLeft w:val="0"/>
                  <w:marRight w:val="0"/>
                  <w:marTop w:val="0"/>
                  <w:marBottom w:val="0"/>
                  <w:divBdr>
                    <w:top w:val="none" w:sz="0" w:space="0" w:color="auto"/>
                    <w:left w:val="none" w:sz="0" w:space="0" w:color="auto"/>
                    <w:bottom w:val="none" w:sz="0" w:space="0" w:color="auto"/>
                    <w:right w:val="none" w:sz="0" w:space="0" w:color="auto"/>
                  </w:divBdr>
                  <w:divsChild>
                    <w:div w:id="1723676474">
                      <w:marLeft w:val="0"/>
                      <w:marRight w:val="0"/>
                      <w:marTop w:val="0"/>
                      <w:marBottom w:val="0"/>
                      <w:divBdr>
                        <w:top w:val="none" w:sz="0" w:space="0" w:color="auto"/>
                        <w:left w:val="none" w:sz="0" w:space="0" w:color="auto"/>
                        <w:bottom w:val="none" w:sz="0" w:space="0" w:color="auto"/>
                        <w:right w:val="none" w:sz="0" w:space="0" w:color="auto"/>
                      </w:divBdr>
                    </w:div>
                  </w:divsChild>
                </w:div>
                <w:div w:id="1649896181">
                  <w:marLeft w:val="0"/>
                  <w:marRight w:val="0"/>
                  <w:marTop w:val="0"/>
                  <w:marBottom w:val="0"/>
                  <w:divBdr>
                    <w:top w:val="none" w:sz="0" w:space="0" w:color="auto"/>
                    <w:left w:val="none" w:sz="0" w:space="0" w:color="auto"/>
                    <w:bottom w:val="none" w:sz="0" w:space="0" w:color="auto"/>
                    <w:right w:val="none" w:sz="0" w:space="0" w:color="auto"/>
                  </w:divBdr>
                  <w:divsChild>
                    <w:div w:id="1867718998">
                      <w:marLeft w:val="0"/>
                      <w:marRight w:val="0"/>
                      <w:marTop w:val="0"/>
                      <w:marBottom w:val="0"/>
                      <w:divBdr>
                        <w:top w:val="none" w:sz="0" w:space="0" w:color="auto"/>
                        <w:left w:val="none" w:sz="0" w:space="0" w:color="auto"/>
                        <w:bottom w:val="none" w:sz="0" w:space="0" w:color="auto"/>
                        <w:right w:val="none" w:sz="0" w:space="0" w:color="auto"/>
                      </w:divBdr>
                    </w:div>
                  </w:divsChild>
                </w:div>
                <w:div w:id="1995840958">
                  <w:marLeft w:val="0"/>
                  <w:marRight w:val="0"/>
                  <w:marTop w:val="0"/>
                  <w:marBottom w:val="0"/>
                  <w:divBdr>
                    <w:top w:val="none" w:sz="0" w:space="0" w:color="auto"/>
                    <w:left w:val="none" w:sz="0" w:space="0" w:color="auto"/>
                    <w:bottom w:val="none" w:sz="0" w:space="0" w:color="auto"/>
                    <w:right w:val="none" w:sz="0" w:space="0" w:color="auto"/>
                  </w:divBdr>
                  <w:divsChild>
                    <w:div w:id="1910656609">
                      <w:marLeft w:val="0"/>
                      <w:marRight w:val="0"/>
                      <w:marTop w:val="0"/>
                      <w:marBottom w:val="0"/>
                      <w:divBdr>
                        <w:top w:val="none" w:sz="0" w:space="0" w:color="auto"/>
                        <w:left w:val="none" w:sz="0" w:space="0" w:color="auto"/>
                        <w:bottom w:val="none" w:sz="0" w:space="0" w:color="auto"/>
                        <w:right w:val="none" w:sz="0" w:space="0" w:color="auto"/>
                      </w:divBdr>
                    </w:div>
                  </w:divsChild>
                </w:div>
                <w:div w:id="1019964123">
                  <w:marLeft w:val="0"/>
                  <w:marRight w:val="0"/>
                  <w:marTop w:val="0"/>
                  <w:marBottom w:val="0"/>
                  <w:divBdr>
                    <w:top w:val="none" w:sz="0" w:space="0" w:color="auto"/>
                    <w:left w:val="none" w:sz="0" w:space="0" w:color="auto"/>
                    <w:bottom w:val="none" w:sz="0" w:space="0" w:color="auto"/>
                    <w:right w:val="none" w:sz="0" w:space="0" w:color="auto"/>
                  </w:divBdr>
                  <w:divsChild>
                    <w:div w:id="617688746">
                      <w:marLeft w:val="0"/>
                      <w:marRight w:val="0"/>
                      <w:marTop w:val="0"/>
                      <w:marBottom w:val="0"/>
                      <w:divBdr>
                        <w:top w:val="none" w:sz="0" w:space="0" w:color="auto"/>
                        <w:left w:val="none" w:sz="0" w:space="0" w:color="auto"/>
                        <w:bottom w:val="none" w:sz="0" w:space="0" w:color="auto"/>
                        <w:right w:val="none" w:sz="0" w:space="0" w:color="auto"/>
                      </w:divBdr>
                    </w:div>
                  </w:divsChild>
                </w:div>
                <w:div w:id="764964358">
                  <w:marLeft w:val="0"/>
                  <w:marRight w:val="0"/>
                  <w:marTop w:val="0"/>
                  <w:marBottom w:val="0"/>
                  <w:divBdr>
                    <w:top w:val="none" w:sz="0" w:space="0" w:color="auto"/>
                    <w:left w:val="none" w:sz="0" w:space="0" w:color="auto"/>
                    <w:bottom w:val="none" w:sz="0" w:space="0" w:color="auto"/>
                    <w:right w:val="none" w:sz="0" w:space="0" w:color="auto"/>
                  </w:divBdr>
                  <w:divsChild>
                    <w:div w:id="1953243383">
                      <w:marLeft w:val="0"/>
                      <w:marRight w:val="0"/>
                      <w:marTop w:val="0"/>
                      <w:marBottom w:val="0"/>
                      <w:divBdr>
                        <w:top w:val="none" w:sz="0" w:space="0" w:color="auto"/>
                        <w:left w:val="none" w:sz="0" w:space="0" w:color="auto"/>
                        <w:bottom w:val="none" w:sz="0" w:space="0" w:color="auto"/>
                        <w:right w:val="none" w:sz="0" w:space="0" w:color="auto"/>
                      </w:divBdr>
                    </w:div>
                  </w:divsChild>
                </w:div>
                <w:div w:id="720010233">
                  <w:marLeft w:val="0"/>
                  <w:marRight w:val="0"/>
                  <w:marTop w:val="0"/>
                  <w:marBottom w:val="0"/>
                  <w:divBdr>
                    <w:top w:val="none" w:sz="0" w:space="0" w:color="auto"/>
                    <w:left w:val="none" w:sz="0" w:space="0" w:color="auto"/>
                    <w:bottom w:val="none" w:sz="0" w:space="0" w:color="auto"/>
                    <w:right w:val="none" w:sz="0" w:space="0" w:color="auto"/>
                  </w:divBdr>
                  <w:divsChild>
                    <w:div w:id="213466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6407">
          <w:marLeft w:val="0"/>
          <w:marRight w:val="0"/>
          <w:marTop w:val="0"/>
          <w:marBottom w:val="0"/>
          <w:divBdr>
            <w:top w:val="none" w:sz="0" w:space="0" w:color="auto"/>
            <w:left w:val="none" w:sz="0" w:space="0" w:color="auto"/>
            <w:bottom w:val="none" w:sz="0" w:space="0" w:color="auto"/>
            <w:right w:val="none" w:sz="0" w:space="0" w:color="auto"/>
          </w:divBdr>
        </w:div>
        <w:div w:id="2126271697">
          <w:marLeft w:val="0"/>
          <w:marRight w:val="0"/>
          <w:marTop w:val="0"/>
          <w:marBottom w:val="0"/>
          <w:divBdr>
            <w:top w:val="none" w:sz="0" w:space="0" w:color="auto"/>
            <w:left w:val="none" w:sz="0" w:space="0" w:color="auto"/>
            <w:bottom w:val="none" w:sz="0" w:space="0" w:color="auto"/>
            <w:right w:val="none" w:sz="0" w:space="0" w:color="auto"/>
          </w:divBdr>
        </w:div>
        <w:div w:id="1916939256">
          <w:marLeft w:val="0"/>
          <w:marRight w:val="0"/>
          <w:marTop w:val="0"/>
          <w:marBottom w:val="0"/>
          <w:divBdr>
            <w:top w:val="none" w:sz="0" w:space="0" w:color="auto"/>
            <w:left w:val="none" w:sz="0" w:space="0" w:color="auto"/>
            <w:bottom w:val="none" w:sz="0" w:space="0" w:color="auto"/>
            <w:right w:val="none" w:sz="0" w:space="0" w:color="auto"/>
          </w:divBdr>
        </w:div>
        <w:div w:id="1663777126">
          <w:marLeft w:val="0"/>
          <w:marRight w:val="0"/>
          <w:marTop w:val="0"/>
          <w:marBottom w:val="0"/>
          <w:divBdr>
            <w:top w:val="none" w:sz="0" w:space="0" w:color="auto"/>
            <w:left w:val="none" w:sz="0" w:space="0" w:color="auto"/>
            <w:bottom w:val="none" w:sz="0" w:space="0" w:color="auto"/>
            <w:right w:val="none" w:sz="0" w:space="0" w:color="auto"/>
          </w:divBdr>
        </w:div>
      </w:divsChild>
    </w:div>
    <w:div w:id="227038217">
      <w:marLeft w:val="0"/>
      <w:marRight w:val="0"/>
      <w:marTop w:val="0"/>
      <w:marBottom w:val="0"/>
      <w:divBdr>
        <w:top w:val="none" w:sz="0" w:space="0" w:color="auto"/>
        <w:left w:val="none" w:sz="0" w:space="0" w:color="auto"/>
        <w:bottom w:val="none" w:sz="0" w:space="0" w:color="auto"/>
        <w:right w:val="none" w:sz="0" w:space="0" w:color="auto"/>
      </w:divBdr>
      <w:divsChild>
        <w:div w:id="1949115878">
          <w:marLeft w:val="0"/>
          <w:marRight w:val="0"/>
          <w:marTop w:val="0"/>
          <w:marBottom w:val="0"/>
          <w:divBdr>
            <w:top w:val="none" w:sz="0" w:space="0" w:color="auto"/>
            <w:left w:val="none" w:sz="0" w:space="0" w:color="auto"/>
            <w:bottom w:val="none" w:sz="0" w:space="0" w:color="auto"/>
            <w:right w:val="none" w:sz="0" w:space="0" w:color="auto"/>
          </w:divBdr>
        </w:div>
      </w:divsChild>
    </w:div>
    <w:div w:id="252010365">
      <w:bodyDiv w:val="1"/>
      <w:marLeft w:val="0"/>
      <w:marRight w:val="0"/>
      <w:marTop w:val="0"/>
      <w:marBottom w:val="0"/>
      <w:divBdr>
        <w:top w:val="none" w:sz="0" w:space="0" w:color="auto"/>
        <w:left w:val="none" w:sz="0" w:space="0" w:color="auto"/>
        <w:bottom w:val="none" w:sz="0" w:space="0" w:color="auto"/>
        <w:right w:val="none" w:sz="0" w:space="0" w:color="auto"/>
      </w:divBdr>
      <w:divsChild>
        <w:div w:id="849023646">
          <w:marLeft w:val="0"/>
          <w:marRight w:val="0"/>
          <w:marTop w:val="0"/>
          <w:marBottom w:val="0"/>
          <w:divBdr>
            <w:top w:val="none" w:sz="0" w:space="0" w:color="auto"/>
            <w:left w:val="none" w:sz="0" w:space="0" w:color="auto"/>
            <w:bottom w:val="none" w:sz="0" w:space="0" w:color="auto"/>
            <w:right w:val="none" w:sz="0" w:space="0" w:color="auto"/>
          </w:divBdr>
          <w:divsChild>
            <w:div w:id="1211577772">
              <w:marLeft w:val="0"/>
              <w:marRight w:val="0"/>
              <w:marTop w:val="0"/>
              <w:marBottom w:val="0"/>
              <w:divBdr>
                <w:top w:val="none" w:sz="0" w:space="0" w:color="auto"/>
                <w:left w:val="none" w:sz="0" w:space="0" w:color="auto"/>
                <w:bottom w:val="none" w:sz="0" w:space="0" w:color="auto"/>
                <w:right w:val="none" w:sz="0" w:space="0" w:color="auto"/>
              </w:divBdr>
            </w:div>
          </w:divsChild>
        </w:div>
        <w:div w:id="1587035813">
          <w:marLeft w:val="0"/>
          <w:marRight w:val="0"/>
          <w:marTop w:val="0"/>
          <w:marBottom w:val="0"/>
          <w:divBdr>
            <w:top w:val="none" w:sz="0" w:space="0" w:color="auto"/>
            <w:left w:val="none" w:sz="0" w:space="0" w:color="auto"/>
            <w:bottom w:val="none" w:sz="0" w:space="0" w:color="auto"/>
            <w:right w:val="none" w:sz="0" w:space="0" w:color="auto"/>
          </w:divBdr>
          <w:divsChild>
            <w:div w:id="901714768">
              <w:marLeft w:val="0"/>
              <w:marRight w:val="0"/>
              <w:marTop w:val="0"/>
              <w:marBottom w:val="0"/>
              <w:divBdr>
                <w:top w:val="none" w:sz="0" w:space="0" w:color="auto"/>
                <w:left w:val="none" w:sz="0" w:space="0" w:color="auto"/>
                <w:bottom w:val="none" w:sz="0" w:space="0" w:color="auto"/>
                <w:right w:val="none" w:sz="0" w:space="0" w:color="auto"/>
              </w:divBdr>
            </w:div>
          </w:divsChild>
        </w:div>
        <w:div w:id="1756707173">
          <w:marLeft w:val="0"/>
          <w:marRight w:val="0"/>
          <w:marTop w:val="0"/>
          <w:marBottom w:val="0"/>
          <w:divBdr>
            <w:top w:val="none" w:sz="0" w:space="0" w:color="auto"/>
            <w:left w:val="none" w:sz="0" w:space="0" w:color="auto"/>
            <w:bottom w:val="none" w:sz="0" w:space="0" w:color="auto"/>
            <w:right w:val="none" w:sz="0" w:space="0" w:color="auto"/>
          </w:divBdr>
          <w:divsChild>
            <w:div w:id="1415516788">
              <w:marLeft w:val="0"/>
              <w:marRight w:val="0"/>
              <w:marTop w:val="0"/>
              <w:marBottom w:val="0"/>
              <w:divBdr>
                <w:top w:val="none" w:sz="0" w:space="0" w:color="auto"/>
                <w:left w:val="none" w:sz="0" w:space="0" w:color="auto"/>
                <w:bottom w:val="none" w:sz="0" w:space="0" w:color="auto"/>
                <w:right w:val="none" w:sz="0" w:space="0" w:color="auto"/>
              </w:divBdr>
            </w:div>
          </w:divsChild>
        </w:div>
        <w:div w:id="491920146">
          <w:marLeft w:val="0"/>
          <w:marRight w:val="0"/>
          <w:marTop w:val="0"/>
          <w:marBottom w:val="0"/>
          <w:divBdr>
            <w:top w:val="none" w:sz="0" w:space="0" w:color="auto"/>
            <w:left w:val="none" w:sz="0" w:space="0" w:color="auto"/>
            <w:bottom w:val="none" w:sz="0" w:space="0" w:color="auto"/>
            <w:right w:val="none" w:sz="0" w:space="0" w:color="auto"/>
          </w:divBdr>
          <w:divsChild>
            <w:div w:id="1972785912">
              <w:marLeft w:val="0"/>
              <w:marRight w:val="0"/>
              <w:marTop w:val="0"/>
              <w:marBottom w:val="0"/>
              <w:divBdr>
                <w:top w:val="none" w:sz="0" w:space="0" w:color="auto"/>
                <w:left w:val="none" w:sz="0" w:space="0" w:color="auto"/>
                <w:bottom w:val="none" w:sz="0" w:space="0" w:color="auto"/>
                <w:right w:val="none" w:sz="0" w:space="0" w:color="auto"/>
              </w:divBdr>
            </w:div>
          </w:divsChild>
        </w:div>
        <w:div w:id="1086997518">
          <w:marLeft w:val="0"/>
          <w:marRight w:val="0"/>
          <w:marTop w:val="0"/>
          <w:marBottom w:val="0"/>
          <w:divBdr>
            <w:top w:val="none" w:sz="0" w:space="0" w:color="auto"/>
            <w:left w:val="none" w:sz="0" w:space="0" w:color="auto"/>
            <w:bottom w:val="none" w:sz="0" w:space="0" w:color="auto"/>
            <w:right w:val="none" w:sz="0" w:space="0" w:color="auto"/>
          </w:divBdr>
          <w:divsChild>
            <w:div w:id="119881971">
              <w:marLeft w:val="0"/>
              <w:marRight w:val="0"/>
              <w:marTop w:val="0"/>
              <w:marBottom w:val="0"/>
              <w:divBdr>
                <w:top w:val="none" w:sz="0" w:space="0" w:color="auto"/>
                <w:left w:val="none" w:sz="0" w:space="0" w:color="auto"/>
                <w:bottom w:val="none" w:sz="0" w:space="0" w:color="auto"/>
                <w:right w:val="none" w:sz="0" w:space="0" w:color="auto"/>
              </w:divBdr>
            </w:div>
          </w:divsChild>
        </w:div>
        <w:div w:id="220096526">
          <w:marLeft w:val="0"/>
          <w:marRight w:val="0"/>
          <w:marTop w:val="0"/>
          <w:marBottom w:val="0"/>
          <w:divBdr>
            <w:top w:val="none" w:sz="0" w:space="0" w:color="auto"/>
            <w:left w:val="none" w:sz="0" w:space="0" w:color="auto"/>
            <w:bottom w:val="none" w:sz="0" w:space="0" w:color="auto"/>
            <w:right w:val="none" w:sz="0" w:space="0" w:color="auto"/>
          </w:divBdr>
          <w:divsChild>
            <w:div w:id="1500466625">
              <w:marLeft w:val="0"/>
              <w:marRight w:val="0"/>
              <w:marTop w:val="0"/>
              <w:marBottom w:val="0"/>
              <w:divBdr>
                <w:top w:val="none" w:sz="0" w:space="0" w:color="auto"/>
                <w:left w:val="none" w:sz="0" w:space="0" w:color="auto"/>
                <w:bottom w:val="none" w:sz="0" w:space="0" w:color="auto"/>
                <w:right w:val="none" w:sz="0" w:space="0" w:color="auto"/>
              </w:divBdr>
            </w:div>
          </w:divsChild>
        </w:div>
        <w:div w:id="1685933163">
          <w:marLeft w:val="0"/>
          <w:marRight w:val="0"/>
          <w:marTop w:val="0"/>
          <w:marBottom w:val="0"/>
          <w:divBdr>
            <w:top w:val="none" w:sz="0" w:space="0" w:color="auto"/>
            <w:left w:val="none" w:sz="0" w:space="0" w:color="auto"/>
            <w:bottom w:val="none" w:sz="0" w:space="0" w:color="auto"/>
            <w:right w:val="none" w:sz="0" w:space="0" w:color="auto"/>
          </w:divBdr>
          <w:divsChild>
            <w:div w:id="426079249">
              <w:marLeft w:val="0"/>
              <w:marRight w:val="0"/>
              <w:marTop w:val="0"/>
              <w:marBottom w:val="0"/>
              <w:divBdr>
                <w:top w:val="none" w:sz="0" w:space="0" w:color="auto"/>
                <w:left w:val="none" w:sz="0" w:space="0" w:color="auto"/>
                <w:bottom w:val="none" w:sz="0" w:space="0" w:color="auto"/>
                <w:right w:val="none" w:sz="0" w:space="0" w:color="auto"/>
              </w:divBdr>
            </w:div>
          </w:divsChild>
        </w:div>
        <w:div w:id="824319604">
          <w:marLeft w:val="0"/>
          <w:marRight w:val="0"/>
          <w:marTop w:val="0"/>
          <w:marBottom w:val="0"/>
          <w:divBdr>
            <w:top w:val="none" w:sz="0" w:space="0" w:color="auto"/>
            <w:left w:val="none" w:sz="0" w:space="0" w:color="auto"/>
            <w:bottom w:val="none" w:sz="0" w:space="0" w:color="auto"/>
            <w:right w:val="none" w:sz="0" w:space="0" w:color="auto"/>
          </w:divBdr>
          <w:divsChild>
            <w:div w:id="1119835977">
              <w:marLeft w:val="0"/>
              <w:marRight w:val="0"/>
              <w:marTop w:val="0"/>
              <w:marBottom w:val="0"/>
              <w:divBdr>
                <w:top w:val="none" w:sz="0" w:space="0" w:color="auto"/>
                <w:left w:val="none" w:sz="0" w:space="0" w:color="auto"/>
                <w:bottom w:val="none" w:sz="0" w:space="0" w:color="auto"/>
                <w:right w:val="none" w:sz="0" w:space="0" w:color="auto"/>
              </w:divBdr>
            </w:div>
          </w:divsChild>
        </w:div>
        <w:div w:id="548302210">
          <w:marLeft w:val="0"/>
          <w:marRight w:val="0"/>
          <w:marTop w:val="0"/>
          <w:marBottom w:val="0"/>
          <w:divBdr>
            <w:top w:val="none" w:sz="0" w:space="0" w:color="auto"/>
            <w:left w:val="none" w:sz="0" w:space="0" w:color="auto"/>
            <w:bottom w:val="none" w:sz="0" w:space="0" w:color="auto"/>
            <w:right w:val="none" w:sz="0" w:space="0" w:color="auto"/>
          </w:divBdr>
          <w:divsChild>
            <w:div w:id="1692760070">
              <w:marLeft w:val="0"/>
              <w:marRight w:val="0"/>
              <w:marTop w:val="0"/>
              <w:marBottom w:val="0"/>
              <w:divBdr>
                <w:top w:val="none" w:sz="0" w:space="0" w:color="auto"/>
                <w:left w:val="none" w:sz="0" w:space="0" w:color="auto"/>
                <w:bottom w:val="none" w:sz="0" w:space="0" w:color="auto"/>
                <w:right w:val="none" w:sz="0" w:space="0" w:color="auto"/>
              </w:divBdr>
            </w:div>
          </w:divsChild>
        </w:div>
        <w:div w:id="2078891423">
          <w:marLeft w:val="0"/>
          <w:marRight w:val="0"/>
          <w:marTop w:val="0"/>
          <w:marBottom w:val="0"/>
          <w:divBdr>
            <w:top w:val="none" w:sz="0" w:space="0" w:color="auto"/>
            <w:left w:val="none" w:sz="0" w:space="0" w:color="auto"/>
            <w:bottom w:val="none" w:sz="0" w:space="0" w:color="auto"/>
            <w:right w:val="none" w:sz="0" w:space="0" w:color="auto"/>
          </w:divBdr>
          <w:divsChild>
            <w:div w:id="863323381">
              <w:marLeft w:val="0"/>
              <w:marRight w:val="0"/>
              <w:marTop w:val="0"/>
              <w:marBottom w:val="0"/>
              <w:divBdr>
                <w:top w:val="none" w:sz="0" w:space="0" w:color="auto"/>
                <w:left w:val="none" w:sz="0" w:space="0" w:color="auto"/>
                <w:bottom w:val="none" w:sz="0" w:space="0" w:color="auto"/>
                <w:right w:val="none" w:sz="0" w:space="0" w:color="auto"/>
              </w:divBdr>
            </w:div>
          </w:divsChild>
        </w:div>
        <w:div w:id="1286421250">
          <w:marLeft w:val="0"/>
          <w:marRight w:val="0"/>
          <w:marTop w:val="0"/>
          <w:marBottom w:val="0"/>
          <w:divBdr>
            <w:top w:val="none" w:sz="0" w:space="0" w:color="auto"/>
            <w:left w:val="none" w:sz="0" w:space="0" w:color="auto"/>
            <w:bottom w:val="none" w:sz="0" w:space="0" w:color="auto"/>
            <w:right w:val="none" w:sz="0" w:space="0" w:color="auto"/>
          </w:divBdr>
          <w:divsChild>
            <w:div w:id="811823631">
              <w:marLeft w:val="0"/>
              <w:marRight w:val="0"/>
              <w:marTop w:val="0"/>
              <w:marBottom w:val="0"/>
              <w:divBdr>
                <w:top w:val="none" w:sz="0" w:space="0" w:color="auto"/>
                <w:left w:val="none" w:sz="0" w:space="0" w:color="auto"/>
                <w:bottom w:val="none" w:sz="0" w:space="0" w:color="auto"/>
                <w:right w:val="none" w:sz="0" w:space="0" w:color="auto"/>
              </w:divBdr>
            </w:div>
          </w:divsChild>
        </w:div>
        <w:div w:id="879055871">
          <w:marLeft w:val="0"/>
          <w:marRight w:val="0"/>
          <w:marTop w:val="0"/>
          <w:marBottom w:val="0"/>
          <w:divBdr>
            <w:top w:val="none" w:sz="0" w:space="0" w:color="auto"/>
            <w:left w:val="none" w:sz="0" w:space="0" w:color="auto"/>
            <w:bottom w:val="none" w:sz="0" w:space="0" w:color="auto"/>
            <w:right w:val="none" w:sz="0" w:space="0" w:color="auto"/>
          </w:divBdr>
          <w:divsChild>
            <w:div w:id="1497840298">
              <w:marLeft w:val="0"/>
              <w:marRight w:val="0"/>
              <w:marTop w:val="0"/>
              <w:marBottom w:val="0"/>
              <w:divBdr>
                <w:top w:val="none" w:sz="0" w:space="0" w:color="auto"/>
                <w:left w:val="none" w:sz="0" w:space="0" w:color="auto"/>
                <w:bottom w:val="none" w:sz="0" w:space="0" w:color="auto"/>
                <w:right w:val="none" w:sz="0" w:space="0" w:color="auto"/>
              </w:divBdr>
            </w:div>
          </w:divsChild>
        </w:div>
        <w:div w:id="1455709185">
          <w:marLeft w:val="0"/>
          <w:marRight w:val="0"/>
          <w:marTop w:val="0"/>
          <w:marBottom w:val="0"/>
          <w:divBdr>
            <w:top w:val="none" w:sz="0" w:space="0" w:color="auto"/>
            <w:left w:val="none" w:sz="0" w:space="0" w:color="auto"/>
            <w:bottom w:val="none" w:sz="0" w:space="0" w:color="auto"/>
            <w:right w:val="none" w:sz="0" w:space="0" w:color="auto"/>
          </w:divBdr>
          <w:divsChild>
            <w:div w:id="15811728">
              <w:marLeft w:val="0"/>
              <w:marRight w:val="0"/>
              <w:marTop w:val="0"/>
              <w:marBottom w:val="0"/>
              <w:divBdr>
                <w:top w:val="none" w:sz="0" w:space="0" w:color="auto"/>
                <w:left w:val="none" w:sz="0" w:space="0" w:color="auto"/>
                <w:bottom w:val="none" w:sz="0" w:space="0" w:color="auto"/>
                <w:right w:val="none" w:sz="0" w:space="0" w:color="auto"/>
              </w:divBdr>
            </w:div>
          </w:divsChild>
        </w:div>
        <w:div w:id="1696803807">
          <w:marLeft w:val="0"/>
          <w:marRight w:val="0"/>
          <w:marTop w:val="0"/>
          <w:marBottom w:val="0"/>
          <w:divBdr>
            <w:top w:val="none" w:sz="0" w:space="0" w:color="auto"/>
            <w:left w:val="none" w:sz="0" w:space="0" w:color="auto"/>
            <w:bottom w:val="none" w:sz="0" w:space="0" w:color="auto"/>
            <w:right w:val="none" w:sz="0" w:space="0" w:color="auto"/>
          </w:divBdr>
          <w:divsChild>
            <w:div w:id="606892293">
              <w:marLeft w:val="0"/>
              <w:marRight w:val="0"/>
              <w:marTop w:val="0"/>
              <w:marBottom w:val="0"/>
              <w:divBdr>
                <w:top w:val="none" w:sz="0" w:space="0" w:color="auto"/>
                <w:left w:val="none" w:sz="0" w:space="0" w:color="auto"/>
                <w:bottom w:val="none" w:sz="0" w:space="0" w:color="auto"/>
                <w:right w:val="none" w:sz="0" w:space="0" w:color="auto"/>
              </w:divBdr>
            </w:div>
          </w:divsChild>
        </w:div>
        <w:div w:id="1167667362">
          <w:marLeft w:val="0"/>
          <w:marRight w:val="0"/>
          <w:marTop w:val="0"/>
          <w:marBottom w:val="0"/>
          <w:divBdr>
            <w:top w:val="none" w:sz="0" w:space="0" w:color="auto"/>
            <w:left w:val="none" w:sz="0" w:space="0" w:color="auto"/>
            <w:bottom w:val="none" w:sz="0" w:space="0" w:color="auto"/>
            <w:right w:val="none" w:sz="0" w:space="0" w:color="auto"/>
          </w:divBdr>
          <w:divsChild>
            <w:div w:id="521672260">
              <w:marLeft w:val="0"/>
              <w:marRight w:val="0"/>
              <w:marTop w:val="0"/>
              <w:marBottom w:val="0"/>
              <w:divBdr>
                <w:top w:val="none" w:sz="0" w:space="0" w:color="auto"/>
                <w:left w:val="none" w:sz="0" w:space="0" w:color="auto"/>
                <w:bottom w:val="none" w:sz="0" w:space="0" w:color="auto"/>
                <w:right w:val="none" w:sz="0" w:space="0" w:color="auto"/>
              </w:divBdr>
            </w:div>
          </w:divsChild>
        </w:div>
        <w:div w:id="740178288">
          <w:marLeft w:val="0"/>
          <w:marRight w:val="0"/>
          <w:marTop w:val="0"/>
          <w:marBottom w:val="0"/>
          <w:divBdr>
            <w:top w:val="none" w:sz="0" w:space="0" w:color="auto"/>
            <w:left w:val="none" w:sz="0" w:space="0" w:color="auto"/>
            <w:bottom w:val="none" w:sz="0" w:space="0" w:color="auto"/>
            <w:right w:val="none" w:sz="0" w:space="0" w:color="auto"/>
          </w:divBdr>
          <w:divsChild>
            <w:div w:id="1478374745">
              <w:marLeft w:val="0"/>
              <w:marRight w:val="0"/>
              <w:marTop w:val="0"/>
              <w:marBottom w:val="0"/>
              <w:divBdr>
                <w:top w:val="none" w:sz="0" w:space="0" w:color="auto"/>
                <w:left w:val="none" w:sz="0" w:space="0" w:color="auto"/>
                <w:bottom w:val="none" w:sz="0" w:space="0" w:color="auto"/>
                <w:right w:val="none" w:sz="0" w:space="0" w:color="auto"/>
              </w:divBdr>
            </w:div>
          </w:divsChild>
        </w:div>
        <w:div w:id="1403606092">
          <w:marLeft w:val="0"/>
          <w:marRight w:val="0"/>
          <w:marTop w:val="0"/>
          <w:marBottom w:val="0"/>
          <w:divBdr>
            <w:top w:val="none" w:sz="0" w:space="0" w:color="auto"/>
            <w:left w:val="none" w:sz="0" w:space="0" w:color="auto"/>
            <w:bottom w:val="none" w:sz="0" w:space="0" w:color="auto"/>
            <w:right w:val="none" w:sz="0" w:space="0" w:color="auto"/>
          </w:divBdr>
          <w:divsChild>
            <w:div w:id="503665262">
              <w:marLeft w:val="0"/>
              <w:marRight w:val="0"/>
              <w:marTop w:val="0"/>
              <w:marBottom w:val="0"/>
              <w:divBdr>
                <w:top w:val="none" w:sz="0" w:space="0" w:color="auto"/>
                <w:left w:val="none" w:sz="0" w:space="0" w:color="auto"/>
                <w:bottom w:val="none" w:sz="0" w:space="0" w:color="auto"/>
                <w:right w:val="none" w:sz="0" w:space="0" w:color="auto"/>
              </w:divBdr>
            </w:div>
          </w:divsChild>
        </w:div>
        <w:div w:id="759257149">
          <w:marLeft w:val="0"/>
          <w:marRight w:val="0"/>
          <w:marTop w:val="0"/>
          <w:marBottom w:val="0"/>
          <w:divBdr>
            <w:top w:val="none" w:sz="0" w:space="0" w:color="auto"/>
            <w:left w:val="none" w:sz="0" w:space="0" w:color="auto"/>
            <w:bottom w:val="none" w:sz="0" w:space="0" w:color="auto"/>
            <w:right w:val="none" w:sz="0" w:space="0" w:color="auto"/>
          </w:divBdr>
          <w:divsChild>
            <w:div w:id="277613376">
              <w:marLeft w:val="0"/>
              <w:marRight w:val="0"/>
              <w:marTop w:val="0"/>
              <w:marBottom w:val="0"/>
              <w:divBdr>
                <w:top w:val="none" w:sz="0" w:space="0" w:color="auto"/>
                <w:left w:val="none" w:sz="0" w:space="0" w:color="auto"/>
                <w:bottom w:val="none" w:sz="0" w:space="0" w:color="auto"/>
                <w:right w:val="none" w:sz="0" w:space="0" w:color="auto"/>
              </w:divBdr>
            </w:div>
          </w:divsChild>
        </w:div>
        <w:div w:id="1641690697">
          <w:marLeft w:val="0"/>
          <w:marRight w:val="0"/>
          <w:marTop w:val="0"/>
          <w:marBottom w:val="0"/>
          <w:divBdr>
            <w:top w:val="none" w:sz="0" w:space="0" w:color="auto"/>
            <w:left w:val="none" w:sz="0" w:space="0" w:color="auto"/>
            <w:bottom w:val="none" w:sz="0" w:space="0" w:color="auto"/>
            <w:right w:val="none" w:sz="0" w:space="0" w:color="auto"/>
          </w:divBdr>
          <w:divsChild>
            <w:div w:id="1333948970">
              <w:marLeft w:val="0"/>
              <w:marRight w:val="0"/>
              <w:marTop w:val="0"/>
              <w:marBottom w:val="0"/>
              <w:divBdr>
                <w:top w:val="none" w:sz="0" w:space="0" w:color="auto"/>
                <w:left w:val="none" w:sz="0" w:space="0" w:color="auto"/>
                <w:bottom w:val="none" w:sz="0" w:space="0" w:color="auto"/>
                <w:right w:val="none" w:sz="0" w:space="0" w:color="auto"/>
              </w:divBdr>
            </w:div>
          </w:divsChild>
        </w:div>
        <w:div w:id="1269654700">
          <w:marLeft w:val="0"/>
          <w:marRight w:val="0"/>
          <w:marTop w:val="0"/>
          <w:marBottom w:val="0"/>
          <w:divBdr>
            <w:top w:val="none" w:sz="0" w:space="0" w:color="auto"/>
            <w:left w:val="none" w:sz="0" w:space="0" w:color="auto"/>
            <w:bottom w:val="none" w:sz="0" w:space="0" w:color="auto"/>
            <w:right w:val="none" w:sz="0" w:space="0" w:color="auto"/>
          </w:divBdr>
          <w:divsChild>
            <w:div w:id="695618607">
              <w:marLeft w:val="0"/>
              <w:marRight w:val="0"/>
              <w:marTop w:val="0"/>
              <w:marBottom w:val="0"/>
              <w:divBdr>
                <w:top w:val="none" w:sz="0" w:space="0" w:color="auto"/>
                <w:left w:val="none" w:sz="0" w:space="0" w:color="auto"/>
                <w:bottom w:val="none" w:sz="0" w:space="0" w:color="auto"/>
                <w:right w:val="none" w:sz="0" w:space="0" w:color="auto"/>
              </w:divBdr>
            </w:div>
          </w:divsChild>
        </w:div>
        <w:div w:id="134415779">
          <w:marLeft w:val="0"/>
          <w:marRight w:val="0"/>
          <w:marTop w:val="0"/>
          <w:marBottom w:val="0"/>
          <w:divBdr>
            <w:top w:val="none" w:sz="0" w:space="0" w:color="auto"/>
            <w:left w:val="none" w:sz="0" w:space="0" w:color="auto"/>
            <w:bottom w:val="none" w:sz="0" w:space="0" w:color="auto"/>
            <w:right w:val="none" w:sz="0" w:space="0" w:color="auto"/>
          </w:divBdr>
          <w:divsChild>
            <w:div w:id="1277643524">
              <w:marLeft w:val="0"/>
              <w:marRight w:val="0"/>
              <w:marTop w:val="0"/>
              <w:marBottom w:val="0"/>
              <w:divBdr>
                <w:top w:val="none" w:sz="0" w:space="0" w:color="auto"/>
                <w:left w:val="none" w:sz="0" w:space="0" w:color="auto"/>
                <w:bottom w:val="none" w:sz="0" w:space="0" w:color="auto"/>
                <w:right w:val="none" w:sz="0" w:space="0" w:color="auto"/>
              </w:divBdr>
            </w:div>
          </w:divsChild>
        </w:div>
        <w:div w:id="498345875">
          <w:marLeft w:val="0"/>
          <w:marRight w:val="0"/>
          <w:marTop w:val="0"/>
          <w:marBottom w:val="0"/>
          <w:divBdr>
            <w:top w:val="none" w:sz="0" w:space="0" w:color="auto"/>
            <w:left w:val="none" w:sz="0" w:space="0" w:color="auto"/>
            <w:bottom w:val="none" w:sz="0" w:space="0" w:color="auto"/>
            <w:right w:val="none" w:sz="0" w:space="0" w:color="auto"/>
          </w:divBdr>
          <w:divsChild>
            <w:div w:id="1056971682">
              <w:marLeft w:val="0"/>
              <w:marRight w:val="0"/>
              <w:marTop w:val="0"/>
              <w:marBottom w:val="0"/>
              <w:divBdr>
                <w:top w:val="none" w:sz="0" w:space="0" w:color="auto"/>
                <w:left w:val="none" w:sz="0" w:space="0" w:color="auto"/>
                <w:bottom w:val="none" w:sz="0" w:space="0" w:color="auto"/>
                <w:right w:val="none" w:sz="0" w:space="0" w:color="auto"/>
              </w:divBdr>
            </w:div>
          </w:divsChild>
        </w:div>
        <w:div w:id="1469515904">
          <w:marLeft w:val="0"/>
          <w:marRight w:val="0"/>
          <w:marTop w:val="0"/>
          <w:marBottom w:val="0"/>
          <w:divBdr>
            <w:top w:val="none" w:sz="0" w:space="0" w:color="auto"/>
            <w:left w:val="none" w:sz="0" w:space="0" w:color="auto"/>
            <w:bottom w:val="none" w:sz="0" w:space="0" w:color="auto"/>
            <w:right w:val="none" w:sz="0" w:space="0" w:color="auto"/>
          </w:divBdr>
          <w:divsChild>
            <w:div w:id="1170025938">
              <w:marLeft w:val="0"/>
              <w:marRight w:val="0"/>
              <w:marTop w:val="0"/>
              <w:marBottom w:val="0"/>
              <w:divBdr>
                <w:top w:val="none" w:sz="0" w:space="0" w:color="auto"/>
                <w:left w:val="none" w:sz="0" w:space="0" w:color="auto"/>
                <w:bottom w:val="none" w:sz="0" w:space="0" w:color="auto"/>
                <w:right w:val="none" w:sz="0" w:space="0" w:color="auto"/>
              </w:divBdr>
            </w:div>
          </w:divsChild>
        </w:div>
        <w:div w:id="480079229">
          <w:marLeft w:val="0"/>
          <w:marRight w:val="0"/>
          <w:marTop w:val="0"/>
          <w:marBottom w:val="0"/>
          <w:divBdr>
            <w:top w:val="none" w:sz="0" w:space="0" w:color="auto"/>
            <w:left w:val="none" w:sz="0" w:space="0" w:color="auto"/>
            <w:bottom w:val="none" w:sz="0" w:space="0" w:color="auto"/>
            <w:right w:val="none" w:sz="0" w:space="0" w:color="auto"/>
          </w:divBdr>
          <w:divsChild>
            <w:div w:id="666400844">
              <w:marLeft w:val="0"/>
              <w:marRight w:val="0"/>
              <w:marTop w:val="0"/>
              <w:marBottom w:val="0"/>
              <w:divBdr>
                <w:top w:val="none" w:sz="0" w:space="0" w:color="auto"/>
                <w:left w:val="none" w:sz="0" w:space="0" w:color="auto"/>
                <w:bottom w:val="none" w:sz="0" w:space="0" w:color="auto"/>
                <w:right w:val="none" w:sz="0" w:space="0" w:color="auto"/>
              </w:divBdr>
            </w:div>
          </w:divsChild>
        </w:div>
        <w:div w:id="679309199">
          <w:marLeft w:val="0"/>
          <w:marRight w:val="0"/>
          <w:marTop w:val="0"/>
          <w:marBottom w:val="0"/>
          <w:divBdr>
            <w:top w:val="none" w:sz="0" w:space="0" w:color="auto"/>
            <w:left w:val="none" w:sz="0" w:space="0" w:color="auto"/>
            <w:bottom w:val="none" w:sz="0" w:space="0" w:color="auto"/>
            <w:right w:val="none" w:sz="0" w:space="0" w:color="auto"/>
          </w:divBdr>
          <w:divsChild>
            <w:div w:id="1971743926">
              <w:marLeft w:val="0"/>
              <w:marRight w:val="0"/>
              <w:marTop w:val="0"/>
              <w:marBottom w:val="0"/>
              <w:divBdr>
                <w:top w:val="none" w:sz="0" w:space="0" w:color="auto"/>
                <w:left w:val="none" w:sz="0" w:space="0" w:color="auto"/>
                <w:bottom w:val="none" w:sz="0" w:space="0" w:color="auto"/>
                <w:right w:val="none" w:sz="0" w:space="0" w:color="auto"/>
              </w:divBdr>
            </w:div>
          </w:divsChild>
        </w:div>
        <w:div w:id="1010058442">
          <w:marLeft w:val="0"/>
          <w:marRight w:val="0"/>
          <w:marTop w:val="0"/>
          <w:marBottom w:val="0"/>
          <w:divBdr>
            <w:top w:val="none" w:sz="0" w:space="0" w:color="auto"/>
            <w:left w:val="none" w:sz="0" w:space="0" w:color="auto"/>
            <w:bottom w:val="none" w:sz="0" w:space="0" w:color="auto"/>
            <w:right w:val="none" w:sz="0" w:space="0" w:color="auto"/>
          </w:divBdr>
          <w:divsChild>
            <w:div w:id="1806967405">
              <w:marLeft w:val="0"/>
              <w:marRight w:val="0"/>
              <w:marTop w:val="0"/>
              <w:marBottom w:val="0"/>
              <w:divBdr>
                <w:top w:val="none" w:sz="0" w:space="0" w:color="auto"/>
                <w:left w:val="none" w:sz="0" w:space="0" w:color="auto"/>
                <w:bottom w:val="none" w:sz="0" w:space="0" w:color="auto"/>
                <w:right w:val="none" w:sz="0" w:space="0" w:color="auto"/>
              </w:divBdr>
            </w:div>
          </w:divsChild>
        </w:div>
        <w:div w:id="1061488020">
          <w:marLeft w:val="0"/>
          <w:marRight w:val="0"/>
          <w:marTop w:val="0"/>
          <w:marBottom w:val="0"/>
          <w:divBdr>
            <w:top w:val="none" w:sz="0" w:space="0" w:color="auto"/>
            <w:left w:val="none" w:sz="0" w:space="0" w:color="auto"/>
            <w:bottom w:val="none" w:sz="0" w:space="0" w:color="auto"/>
            <w:right w:val="none" w:sz="0" w:space="0" w:color="auto"/>
          </w:divBdr>
          <w:divsChild>
            <w:div w:id="661735057">
              <w:marLeft w:val="0"/>
              <w:marRight w:val="0"/>
              <w:marTop w:val="0"/>
              <w:marBottom w:val="0"/>
              <w:divBdr>
                <w:top w:val="none" w:sz="0" w:space="0" w:color="auto"/>
                <w:left w:val="none" w:sz="0" w:space="0" w:color="auto"/>
                <w:bottom w:val="none" w:sz="0" w:space="0" w:color="auto"/>
                <w:right w:val="none" w:sz="0" w:space="0" w:color="auto"/>
              </w:divBdr>
            </w:div>
          </w:divsChild>
        </w:div>
        <w:div w:id="359625167">
          <w:marLeft w:val="0"/>
          <w:marRight w:val="0"/>
          <w:marTop w:val="0"/>
          <w:marBottom w:val="0"/>
          <w:divBdr>
            <w:top w:val="none" w:sz="0" w:space="0" w:color="auto"/>
            <w:left w:val="none" w:sz="0" w:space="0" w:color="auto"/>
            <w:bottom w:val="none" w:sz="0" w:space="0" w:color="auto"/>
            <w:right w:val="none" w:sz="0" w:space="0" w:color="auto"/>
          </w:divBdr>
          <w:divsChild>
            <w:div w:id="212572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5587">
      <w:marLeft w:val="0"/>
      <w:marRight w:val="0"/>
      <w:marTop w:val="0"/>
      <w:marBottom w:val="0"/>
      <w:divBdr>
        <w:top w:val="none" w:sz="0" w:space="0" w:color="auto"/>
        <w:left w:val="none" w:sz="0" w:space="0" w:color="auto"/>
        <w:bottom w:val="none" w:sz="0" w:space="0" w:color="auto"/>
        <w:right w:val="none" w:sz="0" w:space="0" w:color="auto"/>
      </w:divBdr>
      <w:divsChild>
        <w:div w:id="1445880052">
          <w:marLeft w:val="0"/>
          <w:marRight w:val="0"/>
          <w:marTop w:val="0"/>
          <w:marBottom w:val="0"/>
          <w:divBdr>
            <w:top w:val="none" w:sz="0" w:space="0" w:color="auto"/>
            <w:left w:val="none" w:sz="0" w:space="0" w:color="auto"/>
            <w:bottom w:val="none" w:sz="0" w:space="0" w:color="auto"/>
            <w:right w:val="none" w:sz="0" w:space="0" w:color="auto"/>
          </w:divBdr>
        </w:div>
      </w:divsChild>
    </w:div>
    <w:div w:id="345520925">
      <w:bodyDiv w:val="1"/>
      <w:marLeft w:val="0"/>
      <w:marRight w:val="0"/>
      <w:marTop w:val="0"/>
      <w:marBottom w:val="0"/>
      <w:divBdr>
        <w:top w:val="none" w:sz="0" w:space="0" w:color="auto"/>
        <w:left w:val="none" w:sz="0" w:space="0" w:color="auto"/>
        <w:bottom w:val="none" w:sz="0" w:space="0" w:color="auto"/>
        <w:right w:val="none" w:sz="0" w:space="0" w:color="auto"/>
      </w:divBdr>
      <w:divsChild>
        <w:div w:id="1642227386">
          <w:marLeft w:val="0"/>
          <w:marRight w:val="0"/>
          <w:marTop w:val="0"/>
          <w:marBottom w:val="0"/>
          <w:divBdr>
            <w:top w:val="none" w:sz="0" w:space="0" w:color="auto"/>
            <w:left w:val="none" w:sz="0" w:space="0" w:color="auto"/>
            <w:bottom w:val="none" w:sz="0" w:space="0" w:color="auto"/>
            <w:right w:val="none" w:sz="0" w:space="0" w:color="auto"/>
          </w:divBdr>
        </w:div>
        <w:div w:id="268660127">
          <w:marLeft w:val="0"/>
          <w:marRight w:val="0"/>
          <w:marTop w:val="0"/>
          <w:marBottom w:val="0"/>
          <w:divBdr>
            <w:top w:val="none" w:sz="0" w:space="0" w:color="auto"/>
            <w:left w:val="none" w:sz="0" w:space="0" w:color="auto"/>
            <w:bottom w:val="none" w:sz="0" w:space="0" w:color="auto"/>
            <w:right w:val="none" w:sz="0" w:space="0" w:color="auto"/>
          </w:divBdr>
        </w:div>
      </w:divsChild>
    </w:div>
    <w:div w:id="347873272">
      <w:bodyDiv w:val="1"/>
      <w:marLeft w:val="0"/>
      <w:marRight w:val="0"/>
      <w:marTop w:val="0"/>
      <w:marBottom w:val="0"/>
      <w:divBdr>
        <w:top w:val="none" w:sz="0" w:space="0" w:color="auto"/>
        <w:left w:val="none" w:sz="0" w:space="0" w:color="auto"/>
        <w:bottom w:val="none" w:sz="0" w:space="0" w:color="auto"/>
        <w:right w:val="none" w:sz="0" w:space="0" w:color="auto"/>
      </w:divBdr>
      <w:divsChild>
        <w:div w:id="129901907">
          <w:marLeft w:val="0"/>
          <w:marRight w:val="0"/>
          <w:marTop w:val="0"/>
          <w:marBottom w:val="0"/>
          <w:divBdr>
            <w:top w:val="none" w:sz="0" w:space="0" w:color="auto"/>
            <w:left w:val="none" w:sz="0" w:space="0" w:color="auto"/>
            <w:bottom w:val="none" w:sz="0" w:space="0" w:color="auto"/>
            <w:right w:val="none" w:sz="0" w:space="0" w:color="auto"/>
          </w:divBdr>
          <w:divsChild>
            <w:div w:id="231278916">
              <w:marLeft w:val="0"/>
              <w:marRight w:val="0"/>
              <w:marTop w:val="0"/>
              <w:marBottom w:val="0"/>
              <w:divBdr>
                <w:top w:val="none" w:sz="0" w:space="0" w:color="auto"/>
                <w:left w:val="none" w:sz="0" w:space="0" w:color="auto"/>
                <w:bottom w:val="none" w:sz="0" w:space="0" w:color="auto"/>
                <w:right w:val="none" w:sz="0" w:space="0" w:color="auto"/>
              </w:divBdr>
            </w:div>
          </w:divsChild>
        </w:div>
        <w:div w:id="305741541">
          <w:marLeft w:val="0"/>
          <w:marRight w:val="0"/>
          <w:marTop w:val="0"/>
          <w:marBottom w:val="0"/>
          <w:divBdr>
            <w:top w:val="none" w:sz="0" w:space="0" w:color="auto"/>
            <w:left w:val="none" w:sz="0" w:space="0" w:color="auto"/>
            <w:bottom w:val="none" w:sz="0" w:space="0" w:color="auto"/>
            <w:right w:val="none" w:sz="0" w:space="0" w:color="auto"/>
          </w:divBdr>
          <w:divsChild>
            <w:div w:id="2133791098">
              <w:marLeft w:val="0"/>
              <w:marRight w:val="0"/>
              <w:marTop w:val="0"/>
              <w:marBottom w:val="0"/>
              <w:divBdr>
                <w:top w:val="none" w:sz="0" w:space="0" w:color="auto"/>
                <w:left w:val="none" w:sz="0" w:space="0" w:color="auto"/>
                <w:bottom w:val="none" w:sz="0" w:space="0" w:color="auto"/>
                <w:right w:val="none" w:sz="0" w:space="0" w:color="auto"/>
              </w:divBdr>
            </w:div>
          </w:divsChild>
        </w:div>
        <w:div w:id="1789274268">
          <w:marLeft w:val="0"/>
          <w:marRight w:val="0"/>
          <w:marTop w:val="0"/>
          <w:marBottom w:val="0"/>
          <w:divBdr>
            <w:top w:val="none" w:sz="0" w:space="0" w:color="auto"/>
            <w:left w:val="none" w:sz="0" w:space="0" w:color="auto"/>
            <w:bottom w:val="none" w:sz="0" w:space="0" w:color="auto"/>
            <w:right w:val="none" w:sz="0" w:space="0" w:color="auto"/>
          </w:divBdr>
          <w:divsChild>
            <w:div w:id="1955282881">
              <w:marLeft w:val="0"/>
              <w:marRight w:val="0"/>
              <w:marTop w:val="0"/>
              <w:marBottom w:val="0"/>
              <w:divBdr>
                <w:top w:val="none" w:sz="0" w:space="0" w:color="auto"/>
                <w:left w:val="none" w:sz="0" w:space="0" w:color="auto"/>
                <w:bottom w:val="none" w:sz="0" w:space="0" w:color="auto"/>
                <w:right w:val="none" w:sz="0" w:space="0" w:color="auto"/>
              </w:divBdr>
            </w:div>
          </w:divsChild>
        </w:div>
        <w:div w:id="547031399">
          <w:marLeft w:val="0"/>
          <w:marRight w:val="0"/>
          <w:marTop w:val="0"/>
          <w:marBottom w:val="0"/>
          <w:divBdr>
            <w:top w:val="none" w:sz="0" w:space="0" w:color="auto"/>
            <w:left w:val="none" w:sz="0" w:space="0" w:color="auto"/>
            <w:bottom w:val="none" w:sz="0" w:space="0" w:color="auto"/>
            <w:right w:val="none" w:sz="0" w:space="0" w:color="auto"/>
          </w:divBdr>
          <w:divsChild>
            <w:div w:id="154763170">
              <w:marLeft w:val="0"/>
              <w:marRight w:val="0"/>
              <w:marTop w:val="0"/>
              <w:marBottom w:val="0"/>
              <w:divBdr>
                <w:top w:val="none" w:sz="0" w:space="0" w:color="auto"/>
                <w:left w:val="none" w:sz="0" w:space="0" w:color="auto"/>
                <w:bottom w:val="none" w:sz="0" w:space="0" w:color="auto"/>
                <w:right w:val="none" w:sz="0" w:space="0" w:color="auto"/>
              </w:divBdr>
            </w:div>
          </w:divsChild>
        </w:div>
        <w:div w:id="1656185392">
          <w:marLeft w:val="0"/>
          <w:marRight w:val="0"/>
          <w:marTop w:val="0"/>
          <w:marBottom w:val="0"/>
          <w:divBdr>
            <w:top w:val="none" w:sz="0" w:space="0" w:color="auto"/>
            <w:left w:val="none" w:sz="0" w:space="0" w:color="auto"/>
            <w:bottom w:val="none" w:sz="0" w:space="0" w:color="auto"/>
            <w:right w:val="none" w:sz="0" w:space="0" w:color="auto"/>
          </w:divBdr>
          <w:divsChild>
            <w:div w:id="1302732554">
              <w:marLeft w:val="0"/>
              <w:marRight w:val="0"/>
              <w:marTop w:val="0"/>
              <w:marBottom w:val="0"/>
              <w:divBdr>
                <w:top w:val="none" w:sz="0" w:space="0" w:color="auto"/>
                <w:left w:val="none" w:sz="0" w:space="0" w:color="auto"/>
                <w:bottom w:val="none" w:sz="0" w:space="0" w:color="auto"/>
                <w:right w:val="none" w:sz="0" w:space="0" w:color="auto"/>
              </w:divBdr>
            </w:div>
          </w:divsChild>
        </w:div>
        <w:div w:id="1154568257">
          <w:marLeft w:val="0"/>
          <w:marRight w:val="0"/>
          <w:marTop w:val="0"/>
          <w:marBottom w:val="0"/>
          <w:divBdr>
            <w:top w:val="none" w:sz="0" w:space="0" w:color="auto"/>
            <w:left w:val="none" w:sz="0" w:space="0" w:color="auto"/>
            <w:bottom w:val="none" w:sz="0" w:space="0" w:color="auto"/>
            <w:right w:val="none" w:sz="0" w:space="0" w:color="auto"/>
          </w:divBdr>
          <w:divsChild>
            <w:div w:id="2039231583">
              <w:marLeft w:val="0"/>
              <w:marRight w:val="0"/>
              <w:marTop w:val="0"/>
              <w:marBottom w:val="0"/>
              <w:divBdr>
                <w:top w:val="none" w:sz="0" w:space="0" w:color="auto"/>
                <w:left w:val="none" w:sz="0" w:space="0" w:color="auto"/>
                <w:bottom w:val="none" w:sz="0" w:space="0" w:color="auto"/>
                <w:right w:val="none" w:sz="0" w:space="0" w:color="auto"/>
              </w:divBdr>
            </w:div>
          </w:divsChild>
        </w:div>
        <w:div w:id="2145418472">
          <w:marLeft w:val="0"/>
          <w:marRight w:val="0"/>
          <w:marTop w:val="0"/>
          <w:marBottom w:val="0"/>
          <w:divBdr>
            <w:top w:val="none" w:sz="0" w:space="0" w:color="auto"/>
            <w:left w:val="none" w:sz="0" w:space="0" w:color="auto"/>
            <w:bottom w:val="none" w:sz="0" w:space="0" w:color="auto"/>
            <w:right w:val="none" w:sz="0" w:space="0" w:color="auto"/>
          </w:divBdr>
          <w:divsChild>
            <w:div w:id="1661303042">
              <w:marLeft w:val="0"/>
              <w:marRight w:val="0"/>
              <w:marTop w:val="0"/>
              <w:marBottom w:val="0"/>
              <w:divBdr>
                <w:top w:val="none" w:sz="0" w:space="0" w:color="auto"/>
                <w:left w:val="none" w:sz="0" w:space="0" w:color="auto"/>
                <w:bottom w:val="none" w:sz="0" w:space="0" w:color="auto"/>
                <w:right w:val="none" w:sz="0" w:space="0" w:color="auto"/>
              </w:divBdr>
            </w:div>
          </w:divsChild>
        </w:div>
        <w:div w:id="1777287713">
          <w:marLeft w:val="0"/>
          <w:marRight w:val="0"/>
          <w:marTop w:val="0"/>
          <w:marBottom w:val="0"/>
          <w:divBdr>
            <w:top w:val="none" w:sz="0" w:space="0" w:color="auto"/>
            <w:left w:val="none" w:sz="0" w:space="0" w:color="auto"/>
            <w:bottom w:val="none" w:sz="0" w:space="0" w:color="auto"/>
            <w:right w:val="none" w:sz="0" w:space="0" w:color="auto"/>
          </w:divBdr>
          <w:divsChild>
            <w:div w:id="19609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0910">
      <w:marLeft w:val="0"/>
      <w:marRight w:val="0"/>
      <w:marTop w:val="0"/>
      <w:marBottom w:val="0"/>
      <w:divBdr>
        <w:top w:val="none" w:sz="0" w:space="0" w:color="auto"/>
        <w:left w:val="none" w:sz="0" w:space="0" w:color="auto"/>
        <w:bottom w:val="none" w:sz="0" w:space="0" w:color="auto"/>
        <w:right w:val="none" w:sz="0" w:space="0" w:color="auto"/>
      </w:divBdr>
      <w:divsChild>
        <w:div w:id="2142112489">
          <w:marLeft w:val="0"/>
          <w:marRight w:val="0"/>
          <w:marTop w:val="0"/>
          <w:marBottom w:val="0"/>
          <w:divBdr>
            <w:top w:val="none" w:sz="0" w:space="0" w:color="auto"/>
            <w:left w:val="none" w:sz="0" w:space="0" w:color="auto"/>
            <w:bottom w:val="none" w:sz="0" w:space="0" w:color="auto"/>
            <w:right w:val="none" w:sz="0" w:space="0" w:color="auto"/>
          </w:divBdr>
        </w:div>
      </w:divsChild>
    </w:div>
    <w:div w:id="357506357">
      <w:marLeft w:val="0"/>
      <w:marRight w:val="0"/>
      <w:marTop w:val="0"/>
      <w:marBottom w:val="0"/>
      <w:divBdr>
        <w:top w:val="none" w:sz="0" w:space="0" w:color="auto"/>
        <w:left w:val="none" w:sz="0" w:space="0" w:color="auto"/>
        <w:bottom w:val="none" w:sz="0" w:space="0" w:color="auto"/>
        <w:right w:val="none" w:sz="0" w:space="0" w:color="auto"/>
      </w:divBdr>
      <w:divsChild>
        <w:div w:id="37052440">
          <w:marLeft w:val="0"/>
          <w:marRight w:val="0"/>
          <w:marTop w:val="0"/>
          <w:marBottom w:val="0"/>
          <w:divBdr>
            <w:top w:val="none" w:sz="0" w:space="0" w:color="auto"/>
            <w:left w:val="none" w:sz="0" w:space="0" w:color="auto"/>
            <w:bottom w:val="none" w:sz="0" w:space="0" w:color="auto"/>
            <w:right w:val="none" w:sz="0" w:space="0" w:color="auto"/>
          </w:divBdr>
        </w:div>
      </w:divsChild>
    </w:div>
    <w:div w:id="431972724">
      <w:marLeft w:val="0"/>
      <w:marRight w:val="0"/>
      <w:marTop w:val="0"/>
      <w:marBottom w:val="0"/>
      <w:divBdr>
        <w:top w:val="none" w:sz="0" w:space="0" w:color="auto"/>
        <w:left w:val="none" w:sz="0" w:space="0" w:color="auto"/>
        <w:bottom w:val="none" w:sz="0" w:space="0" w:color="auto"/>
        <w:right w:val="none" w:sz="0" w:space="0" w:color="auto"/>
      </w:divBdr>
      <w:divsChild>
        <w:div w:id="971638048">
          <w:marLeft w:val="0"/>
          <w:marRight w:val="0"/>
          <w:marTop w:val="0"/>
          <w:marBottom w:val="0"/>
          <w:divBdr>
            <w:top w:val="none" w:sz="0" w:space="0" w:color="auto"/>
            <w:left w:val="none" w:sz="0" w:space="0" w:color="auto"/>
            <w:bottom w:val="none" w:sz="0" w:space="0" w:color="auto"/>
            <w:right w:val="none" w:sz="0" w:space="0" w:color="auto"/>
          </w:divBdr>
        </w:div>
      </w:divsChild>
    </w:div>
    <w:div w:id="432365602">
      <w:marLeft w:val="0"/>
      <w:marRight w:val="0"/>
      <w:marTop w:val="0"/>
      <w:marBottom w:val="0"/>
      <w:divBdr>
        <w:top w:val="none" w:sz="0" w:space="0" w:color="auto"/>
        <w:left w:val="none" w:sz="0" w:space="0" w:color="auto"/>
        <w:bottom w:val="none" w:sz="0" w:space="0" w:color="auto"/>
        <w:right w:val="none" w:sz="0" w:space="0" w:color="auto"/>
      </w:divBdr>
      <w:divsChild>
        <w:div w:id="277296983">
          <w:marLeft w:val="0"/>
          <w:marRight w:val="0"/>
          <w:marTop w:val="0"/>
          <w:marBottom w:val="0"/>
          <w:divBdr>
            <w:top w:val="none" w:sz="0" w:space="0" w:color="auto"/>
            <w:left w:val="none" w:sz="0" w:space="0" w:color="auto"/>
            <w:bottom w:val="none" w:sz="0" w:space="0" w:color="auto"/>
            <w:right w:val="none" w:sz="0" w:space="0" w:color="auto"/>
          </w:divBdr>
        </w:div>
      </w:divsChild>
    </w:div>
    <w:div w:id="488834861">
      <w:bodyDiv w:val="1"/>
      <w:marLeft w:val="0"/>
      <w:marRight w:val="0"/>
      <w:marTop w:val="0"/>
      <w:marBottom w:val="0"/>
      <w:divBdr>
        <w:top w:val="none" w:sz="0" w:space="0" w:color="auto"/>
        <w:left w:val="none" w:sz="0" w:space="0" w:color="auto"/>
        <w:bottom w:val="none" w:sz="0" w:space="0" w:color="auto"/>
        <w:right w:val="none" w:sz="0" w:space="0" w:color="auto"/>
      </w:divBdr>
    </w:div>
    <w:div w:id="505556610">
      <w:marLeft w:val="0"/>
      <w:marRight w:val="0"/>
      <w:marTop w:val="0"/>
      <w:marBottom w:val="0"/>
      <w:divBdr>
        <w:top w:val="none" w:sz="0" w:space="0" w:color="auto"/>
        <w:left w:val="none" w:sz="0" w:space="0" w:color="auto"/>
        <w:bottom w:val="none" w:sz="0" w:space="0" w:color="auto"/>
        <w:right w:val="none" w:sz="0" w:space="0" w:color="auto"/>
      </w:divBdr>
      <w:divsChild>
        <w:div w:id="452526321">
          <w:marLeft w:val="0"/>
          <w:marRight w:val="0"/>
          <w:marTop w:val="0"/>
          <w:marBottom w:val="0"/>
          <w:divBdr>
            <w:top w:val="none" w:sz="0" w:space="0" w:color="auto"/>
            <w:left w:val="none" w:sz="0" w:space="0" w:color="auto"/>
            <w:bottom w:val="none" w:sz="0" w:space="0" w:color="auto"/>
            <w:right w:val="none" w:sz="0" w:space="0" w:color="auto"/>
          </w:divBdr>
        </w:div>
      </w:divsChild>
    </w:div>
    <w:div w:id="508716885">
      <w:bodyDiv w:val="1"/>
      <w:marLeft w:val="0"/>
      <w:marRight w:val="0"/>
      <w:marTop w:val="0"/>
      <w:marBottom w:val="0"/>
      <w:divBdr>
        <w:top w:val="none" w:sz="0" w:space="0" w:color="auto"/>
        <w:left w:val="none" w:sz="0" w:space="0" w:color="auto"/>
        <w:bottom w:val="none" w:sz="0" w:space="0" w:color="auto"/>
        <w:right w:val="none" w:sz="0" w:space="0" w:color="auto"/>
      </w:divBdr>
      <w:divsChild>
        <w:div w:id="1752464452">
          <w:marLeft w:val="0"/>
          <w:marRight w:val="0"/>
          <w:marTop w:val="0"/>
          <w:marBottom w:val="0"/>
          <w:divBdr>
            <w:top w:val="none" w:sz="0" w:space="0" w:color="auto"/>
            <w:left w:val="none" w:sz="0" w:space="0" w:color="auto"/>
            <w:bottom w:val="none" w:sz="0" w:space="0" w:color="auto"/>
            <w:right w:val="none" w:sz="0" w:space="0" w:color="auto"/>
          </w:divBdr>
        </w:div>
        <w:div w:id="675156151">
          <w:marLeft w:val="0"/>
          <w:marRight w:val="0"/>
          <w:marTop w:val="0"/>
          <w:marBottom w:val="0"/>
          <w:divBdr>
            <w:top w:val="none" w:sz="0" w:space="0" w:color="auto"/>
            <w:left w:val="none" w:sz="0" w:space="0" w:color="auto"/>
            <w:bottom w:val="none" w:sz="0" w:space="0" w:color="auto"/>
            <w:right w:val="none" w:sz="0" w:space="0" w:color="auto"/>
          </w:divBdr>
          <w:divsChild>
            <w:div w:id="1145047745">
              <w:marLeft w:val="-75"/>
              <w:marRight w:val="0"/>
              <w:marTop w:val="30"/>
              <w:marBottom w:val="30"/>
              <w:divBdr>
                <w:top w:val="none" w:sz="0" w:space="0" w:color="auto"/>
                <w:left w:val="none" w:sz="0" w:space="0" w:color="auto"/>
                <w:bottom w:val="none" w:sz="0" w:space="0" w:color="auto"/>
                <w:right w:val="none" w:sz="0" w:space="0" w:color="auto"/>
              </w:divBdr>
              <w:divsChild>
                <w:div w:id="384835986">
                  <w:marLeft w:val="0"/>
                  <w:marRight w:val="0"/>
                  <w:marTop w:val="0"/>
                  <w:marBottom w:val="0"/>
                  <w:divBdr>
                    <w:top w:val="none" w:sz="0" w:space="0" w:color="auto"/>
                    <w:left w:val="none" w:sz="0" w:space="0" w:color="auto"/>
                    <w:bottom w:val="none" w:sz="0" w:space="0" w:color="auto"/>
                    <w:right w:val="none" w:sz="0" w:space="0" w:color="auto"/>
                  </w:divBdr>
                  <w:divsChild>
                    <w:div w:id="1852796476">
                      <w:marLeft w:val="0"/>
                      <w:marRight w:val="0"/>
                      <w:marTop w:val="0"/>
                      <w:marBottom w:val="0"/>
                      <w:divBdr>
                        <w:top w:val="none" w:sz="0" w:space="0" w:color="auto"/>
                        <w:left w:val="none" w:sz="0" w:space="0" w:color="auto"/>
                        <w:bottom w:val="none" w:sz="0" w:space="0" w:color="auto"/>
                        <w:right w:val="none" w:sz="0" w:space="0" w:color="auto"/>
                      </w:divBdr>
                    </w:div>
                  </w:divsChild>
                </w:div>
                <w:div w:id="962227553">
                  <w:marLeft w:val="0"/>
                  <w:marRight w:val="0"/>
                  <w:marTop w:val="0"/>
                  <w:marBottom w:val="0"/>
                  <w:divBdr>
                    <w:top w:val="none" w:sz="0" w:space="0" w:color="auto"/>
                    <w:left w:val="none" w:sz="0" w:space="0" w:color="auto"/>
                    <w:bottom w:val="none" w:sz="0" w:space="0" w:color="auto"/>
                    <w:right w:val="none" w:sz="0" w:space="0" w:color="auto"/>
                  </w:divBdr>
                  <w:divsChild>
                    <w:div w:id="1579169353">
                      <w:marLeft w:val="0"/>
                      <w:marRight w:val="0"/>
                      <w:marTop w:val="0"/>
                      <w:marBottom w:val="0"/>
                      <w:divBdr>
                        <w:top w:val="none" w:sz="0" w:space="0" w:color="auto"/>
                        <w:left w:val="none" w:sz="0" w:space="0" w:color="auto"/>
                        <w:bottom w:val="none" w:sz="0" w:space="0" w:color="auto"/>
                        <w:right w:val="none" w:sz="0" w:space="0" w:color="auto"/>
                      </w:divBdr>
                    </w:div>
                  </w:divsChild>
                </w:div>
                <w:div w:id="1776561155">
                  <w:marLeft w:val="0"/>
                  <w:marRight w:val="0"/>
                  <w:marTop w:val="0"/>
                  <w:marBottom w:val="0"/>
                  <w:divBdr>
                    <w:top w:val="none" w:sz="0" w:space="0" w:color="auto"/>
                    <w:left w:val="none" w:sz="0" w:space="0" w:color="auto"/>
                    <w:bottom w:val="none" w:sz="0" w:space="0" w:color="auto"/>
                    <w:right w:val="none" w:sz="0" w:space="0" w:color="auto"/>
                  </w:divBdr>
                  <w:divsChild>
                    <w:div w:id="1027365580">
                      <w:marLeft w:val="0"/>
                      <w:marRight w:val="0"/>
                      <w:marTop w:val="0"/>
                      <w:marBottom w:val="0"/>
                      <w:divBdr>
                        <w:top w:val="none" w:sz="0" w:space="0" w:color="auto"/>
                        <w:left w:val="none" w:sz="0" w:space="0" w:color="auto"/>
                        <w:bottom w:val="none" w:sz="0" w:space="0" w:color="auto"/>
                        <w:right w:val="none" w:sz="0" w:space="0" w:color="auto"/>
                      </w:divBdr>
                    </w:div>
                  </w:divsChild>
                </w:div>
                <w:div w:id="1405420353">
                  <w:marLeft w:val="0"/>
                  <w:marRight w:val="0"/>
                  <w:marTop w:val="0"/>
                  <w:marBottom w:val="0"/>
                  <w:divBdr>
                    <w:top w:val="none" w:sz="0" w:space="0" w:color="auto"/>
                    <w:left w:val="none" w:sz="0" w:space="0" w:color="auto"/>
                    <w:bottom w:val="none" w:sz="0" w:space="0" w:color="auto"/>
                    <w:right w:val="none" w:sz="0" w:space="0" w:color="auto"/>
                  </w:divBdr>
                  <w:divsChild>
                    <w:div w:id="1994720031">
                      <w:marLeft w:val="0"/>
                      <w:marRight w:val="0"/>
                      <w:marTop w:val="0"/>
                      <w:marBottom w:val="0"/>
                      <w:divBdr>
                        <w:top w:val="none" w:sz="0" w:space="0" w:color="auto"/>
                        <w:left w:val="none" w:sz="0" w:space="0" w:color="auto"/>
                        <w:bottom w:val="none" w:sz="0" w:space="0" w:color="auto"/>
                        <w:right w:val="none" w:sz="0" w:space="0" w:color="auto"/>
                      </w:divBdr>
                    </w:div>
                  </w:divsChild>
                </w:div>
                <w:div w:id="2112700956">
                  <w:marLeft w:val="0"/>
                  <w:marRight w:val="0"/>
                  <w:marTop w:val="0"/>
                  <w:marBottom w:val="0"/>
                  <w:divBdr>
                    <w:top w:val="none" w:sz="0" w:space="0" w:color="auto"/>
                    <w:left w:val="none" w:sz="0" w:space="0" w:color="auto"/>
                    <w:bottom w:val="none" w:sz="0" w:space="0" w:color="auto"/>
                    <w:right w:val="none" w:sz="0" w:space="0" w:color="auto"/>
                  </w:divBdr>
                  <w:divsChild>
                    <w:div w:id="1813864004">
                      <w:marLeft w:val="0"/>
                      <w:marRight w:val="0"/>
                      <w:marTop w:val="0"/>
                      <w:marBottom w:val="0"/>
                      <w:divBdr>
                        <w:top w:val="none" w:sz="0" w:space="0" w:color="auto"/>
                        <w:left w:val="none" w:sz="0" w:space="0" w:color="auto"/>
                        <w:bottom w:val="none" w:sz="0" w:space="0" w:color="auto"/>
                        <w:right w:val="none" w:sz="0" w:space="0" w:color="auto"/>
                      </w:divBdr>
                    </w:div>
                  </w:divsChild>
                </w:div>
                <w:div w:id="54135376">
                  <w:marLeft w:val="0"/>
                  <w:marRight w:val="0"/>
                  <w:marTop w:val="0"/>
                  <w:marBottom w:val="0"/>
                  <w:divBdr>
                    <w:top w:val="none" w:sz="0" w:space="0" w:color="auto"/>
                    <w:left w:val="none" w:sz="0" w:space="0" w:color="auto"/>
                    <w:bottom w:val="none" w:sz="0" w:space="0" w:color="auto"/>
                    <w:right w:val="none" w:sz="0" w:space="0" w:color="auto"/>
                  </w:divBdr>
                  <w:divsChild>
                    <w:div w:id="1229460355">
                      <w:marLeft w:val="0"/>
                      <w:marRight w:val="0"/>
                      <w:marTop w:val="0"/>
                      <w:marBottom w:val="0"/>
                      <w:divBdr>
                        <w:top w:val="none" w:sz="0" w:space="0" w:color="auto"/>
                        <w:left w:val="none" w:sz="0" w:space="0" w:color="auto"/>
                        <w:bottom w:val="none" w:sz="0" w:space="0" w:color="auto"/>
                        <w:right w:val="none" w:sz="0" w:space="0" w:color="auto"/>
                      </w:divBdr>
                    </w:div>
                  </w:divsChild>
                </w:div>
                <w:div w:id="68432947">
                  <w:marLeft w:val="0"/>
                  <w:marRight w:val="0"/>
                  <w:marTop w:val="0"/>
                  <w:marBottom w:val="0"/>
                  <w:divBdr>
                    <w:top w:val="none" w:sz="0" w:space="0" w:color="auto"/>
                    <w:left w:val="none" w:sz="0" w:space="0" w:color="auto"/>
                    <w:bottom w:val="none" w:sz="0" w:space="0" w:color="auto"/>
                    <w:right w:val="none" w:sz="0" w:space="0" w:color="auto"/>
                  </w:divBdr>
                  <w:divsChild>
                    <w:div w:id="916211987">
                      <w:marLeft w:val="0"/>
                      <w:marRight w:val="0"/>
                      <w:marTop w:val="0"/>
                      <w:marBottom w:val="0"/>
                      <w:divBdr>
                        <w:top w:val="none" w:sz="0" w:space="0" w:color="auto"/>
                        <w:left w:val="none" w:sz="0" w:space="0" w:color="auto"/>
                        <w:bottom w:val="none" w:sz="0" w:space="0" w:color="auto"/>
                        <w:right w:val="none" w:sz="0" w:space="0" w:color="auto"/>
                      </w:divBdr>
                    </w:div>
                  </w:divsChild>
                </w:div>
                <w:div w:id="1573614233">
                  <w:marLeft w:val="0"/>
                  <w:marRight w:val="0"/>
                  <w:marTop w:val="0"/>
                  <w:marBottom w:val="0"/>
                  <w:divBdr>
                    <w:top w:val="none" w:sz="0" w:space="0" w:color="auto"/>
                    <w:left w:val="none" w:sz="0" w:space="0" w:color="auto"/>
                    <w:bottom w:val="none" w:sz="0" w:space="0" w:color="auto"/>
                    <w:right w:val="none" w:sz="0" w:space="0" w:color="auto"/>
                  </w:divBdr>
                  <w:divsChild>
                    <w:div w:id="692652452">
                      <w:marLeft w:val="0"/>
                      <w:marRight w:val="0"/>
                      <w:marTop w:val="0"/>
                      <w:marBottom w:val="0"/>
                      <w:divBdr>
                        <w:top w:val="none" w:sz="0" w:space="0" w:color="auto"/>
                        <w:left w:val="none" w:sz="0" w:space="0" w:color="auto"/>
                        <w:bottom w:val="none" w:sz="0" w:space="0" w:color="auto"/>
                        <w:right w:val="none" w:sz="0" w:space="0" w:color="auto"/>
                      </w:divBdr>
                    </w:div>
                  </w:divsChild>
                </w:div>
                <w:div w:id="1591697374">
                  <w:marLeft w:val="0"/>
                  <w:marRight w:val="0"/>
                  <w:marTop w:val="0"/>
                  <w:marBottom w:val="0"/>
                  <w:divBdr>
                    <w:top w:val="none" w:sz="0" w:space="0" w:color="auto"/>
                    <w:left w:val="none" w:sz="0" w:space="0" w:color="auto"/>
                    <w:bottom w:val="none" w:sz="0" w:space="0" w:color="auto"/>
                    <w:right w:val="none" w:sz="0" w:space="0" w:color="auto"/>
                  </w:divBdr>
                  <w:divsChild>
                    <w:div w:id="249318768">
                      <w:marLeft w:val="0"/>
                      <w:marRight w:val="0"/>
                      <w:marTop w:val="0"/>
                      <w:marBottom w:val="0"/>
                      <w:divBdr>
                        <w:top w:val="none" w:sz="0" w:space="0" w:color="auto"/>
                        <w:left w:val="none" w:sz="0" w:space="0" w:color="auto"/>
                        <w:bottom w:val="none" w:sz="0" w:space="0" w:color="auto"/>
                        <w:right w:val="none" w:sz="0" w:space="0" w:color="auto"/>
                      </w:divBdr>
                    </w:div>
                  </w:divsChild>
                </w:div>
                <w:div w:id="1655143686">
                  <w:marLeft w:val="0"/>
                  <w:marRight w:val="0"/>
                  <w:marTop w:val="0"/>
                  <w:marBottom w:val="0"/>
                  <w:divBdr>
                    <w:top w:val="none" w:sz="0" w:space="0" w:color="auto"/>
                    <w:left w:val="none" w:sz="0" w:space="0" w:color="auto"/>
                    <w:bottom w:val="none" w:sz="0" w:space="0" w:color="auto"/>
                    <w:right w:val="none" w:sz="0" w:space="0" w:color="auto"/>
                  </w:divBdr>
                  <w:divsChild>
                    <w:div w:id="1986426110">
                      <w:marLeft w:val="0"/>
                      <w:marRight w:val="0"/>
                      <w:marTop w:val="0"/>
                      <w:marBottom w:val="0"/>
                      <w:divBdr>
                        <w:top w:val="none" w:sz="0" w:space="0" w:color="auto"/>
                        <w:left w:val="none" w:sz="0" w:space="0" w:color="auto"/>
                        <w:bottom w:val="none" w:sz="0" w:space="0" w:color="auto"/>
                        <w:right w:val="none" w:sz="0" w:space="0" w:color="auto"/>
                      </w:divBdr>
                    </w:div>
                  </w:divsChild>
                </w:div>
                <w:div w:id="10183115">
                  <w:marLeft w:val="0"/>
                  <w:marRight w:val="0"/>
                  <w:marTop w:val="0"/>
                  <w:marBottom w:val="0"/>
                  <w:divBdr>
                    <w:top w:val="none" w:sz="0" w:space="0" w:color="auto"/>
                    <w:left w:val="none" w:sz="0" w:space="0" w:color="auto"/>
                    <w:bottom w:val="none" w:sz="0" w:space="0" w:color="auto"/>
                    <w:right w:val="none" w:sz="0" w:space="0" w:color="auto"/>
                  </w:divBdr>
                  <w:divsChild>
                    <w:div w:id="2071952936">
                      <w:marLeft w:val="0"/>
                      <w:marRight w:val="0"/>
                      <w:marTop w:val="0"/>
                      <w:marBottom w:val="0"/>
                      <w:divBdr>
                        <w:top w:val="none" w:sz="0" w:space="0" w:color="auto"/>
                        <w:left w:val="none" w:sz="0" w:space="0" w:color="auto"/>
                        <w:bottom w:val="none" w:sz="0" w:space="0" w:color="auto"/>
                        <w:right w:val="none" w:sz="0" w:space="0" w:color="auto"/>
                      </w:divBdr>
                    </w:div>
                  </w:divsChild>
                </w:div>
                <w:div w:id="1176531530">
                  <w:marLeft w:val="0"/>
                  <w:marRight w:val="0"/>
                  <w:marTop w:val="0"/>
                  <w:marBottom w:val="0"/>
                  <w:divBdr>
                    <w:top w:val="none" w:sz="0" w:space="0" w:color="auto"/>
                    <w:left w:val="none" w:sz="0" w:space="0" w:color="auto"/>
                    <w:bottom w:val="none" w:sz="0" w:space="0" w:color="auto"/>
                    <w:right w:val="none" w:sz="0" w:space="0" w:color="auto"/>
                  </w:divBdr>
                  <w:divsChild>
                    <w:div w:id="1130587712">
                      <w:marLeft w:val="0"/>
                      <w:marRight w:val="0"/>
                      <w:marTop w:val="0"/>
                      <w:marBottom w:val="0"/>
                      <w:divBdr>
                        <w:top w:val="none" w:sz="0" w:space="0" w:color="auto"/>
                        <w:left w:val="none" w:sz="0" w:space="0" w:color="auto"/>
                        <w:bottom w:val="none" w:sz="0" w:space="0" w:color="auto"/>
                        <w:right w:val="none" w:sz="0" w:space="0" w:color="auto"/>
                      </w:divBdr>
                    </w:div>
                  </w:divsChild>
                </w:div>
                <w:div w:id="1198733428">
                  <w:marLeft w:val="0"/>
                  <w:marRight w:val="0"/>
                  <w:marTop w:val="0"/>
                  <w:marBottom w:val="0"/>
                  <w:divBdr>
                    <w:top w:val="none" w:sz="0" w:space="0" w:color="auto"/>
                    <w:left w:val="none" w:sz="0" w:space="0" w:color="auto"/>
                    <w:bottom w:val="none" w:sz="0" w:space="0" w:color="auto"/>
                    <w:right w:val="none" w:sz="0" w:space="0" w:color="auto"/>
                  </w:divBdr>
                  <w:divsChild>
                    <w:div w:id="836387449">
                      <w:marLeft w:val="0"/>
                      <w:marRight w:val="0"/>
                      <w:marTop w:val="0"/>
                      <w:marBottom w:val="0"/>
                      <w:divBdr>
                        <w:top w:val="none" w:sz="0" w:space="0" w:color="auto"/>
                        <w:left w:val="none" w:sz="0" w:space="0" w:color="auto"/>
                        <w:bottom w:val="none" w:sz="0" w:space="0" w:color="auto"/>
                        <w:right w:val="none" w:sz="0" w:space="0" w:color="auto"/>
                      </w:divBdr>
                    </w:div>
                  </w:divsChild>
                </w:div>
                <w:div w:id="1713579396">
                  <w:marLeft w:val="0"/>
                  <w:marRight w:val="0"/>
                  <w:marTop w:val="0"/>
                  <w:marBottom w:val="0"/>
                  <w:divBdr>
                    <w:top w:val="none" w:sz="0" w:space="0" w:color="auto"/>
                    <w:left w:val="none" w:sz="0" w:space="0" w:color="auto"/>
                    <w:bottom w:val="none" w:sz="0" w:space="0" w:color="auto"/>
                    <w:right w:val="none" w:sz="0" w:space="0" w:color="auto"/>
                  </w:divBdr>
                  <w:divsChild>
                    <w:div w:id="1111127581">
                      <w:marLeft w:val="0"/>
                      <w:marRight w:val="0"/>
                      <w:marTop w:val="0"/>
                      <w:marBottom w:val="0"/>
                      <w:divBdr>
                        <w:top w:val="none" w:sz="0" w:space="0" w:color="auto"/>
                        <w:left w:val="none" w:sz="0" w:space="0" w:color="auto"/>
                        <w:bottom w:val="none" w:sz="0" w:space="0" w:color="auto"/>
                        <w:right w:val="none" w:sz="0" w:space="0" w:color="auto"/>
                      </w:divBdr>
                    </w:div>
                  </w:divsChild>
                </w:div>
                <w:div w:id="591166588">
                  <w:marLeft w:val="0"/>
                  <w:marRight w:val="0"/>
                  <w:marTop w:val="0"/>
                  <w:marBottom w:val="0"/>
                  <w:divBdr>
                    <w:top w:val="none" w:sz="0" w:space="0" w:color="auto"/>
                    <w:left w:val="none" w:sz="0" w:space="0" w:color="auto"/>
                    <w:bottom w:val="none" w:sz="0" w:space="0" w:color="auto"/>
                    <w:right w:val="none" w:sz="0" w:space="0" w:color="auto"/>
                  </w:divBdr>
                  <w:divsChild>
                    <w:div w:id="1086879720">
                      <w:marLeft w:val="0"/>
                      <w:marRight w:val="0"/>
                      <w:marTop w:val="0"/>
                      <w:marBottom w:val="0"/>
                      <w:divBdr>
                        <w:top w:val="none" w:sz="0" w:space="0" w:color="auto"/>
                        <w:left w:val="none" w:sz="0" w:space="0" w:color="auto"/>
                        <w:bottom w:val="none" w:sz="0" w:space="0" w:color="auto"/>
                        <w:right w:val="none" w:sz="0" w:space="0" w:color="auto"/>
                      </w:divBdr>
                    </w:div>
                  </w:divsChild>
                </w:div>
                <w:div w:id="2110999782">
                  <w:marLeft w:val="0"/>
                  <w:marRight w:val="0"/>
                  <w:marTop w:val="0"/>
                  <w:marBottom w:val="0"/>
                  <w:divBdr>
                    <w:top w:val="none" w:sz="0" w:space="0" w:color="auto"/>
                    <w:left w:val="none" w:sz="0" w:space="0" w:color="auto"/>
                    <w:bottom w:val="none" w:sz="0" w:space="0" w:color="auto"/>
                    <w:right w:val="none" w:sz="0" w:space="0" w:color="auto"/>
                  </w:divBdr>
                  <w:divsChild>
                    <w:div w:id="1288974903">
                      <w:marLeft w:val="0"/>
                      <w:marRight w:val="0"/>
                      <w:marTop w:val="0"/>
                      <w:marBottom w:val="0"/>
                      <w:divBdr>
                        <w:top w:val="none" w:sz="0" w:space="0" w:color="auto"/>
                        <w:left w:val="none" w:sz="0" w:space="0" w:color="auto"/>
                        <w:bottom w:val="none" w:sz="0" w:space="0" w:color="auto"/>
                        <w:right w:val="none" w:sz="0" w:space="0" w:color="auto"/>
                      </w:divBdr>
                    </w:div>
                  </w:divsChild>
                </w:div>
                <w:div w:id="2083330534">
                  <w:marLeft w:val="0"/>
                  <w:marRight w:val="0"/>
                  <w:marTop w:val="0"/>
                  <w:marBottom w:val="0"/>
                  <w:divBdr>
                    <w:top w:val="none" w:sz="0" w:space="0" w:color="auto"/>
                    <w:left w:val="none" w:sz="0" w:space="0" w:color="auto"/>
                    <w:bottom w:val="none" w:sz="0" w:space="0" w:color="auto"/>
                    <w:right w:val="none" w:sz="0" w:space="0" w:color="auto"/>
                  </w:divBdr>
                  <w:divsChild>
                    <w:div w:id="840585478">
                      <w:marLeft w:val="0"/>
                      <w:marRight w:val="0"/>
                      <w:marTop w:val="0"/>
                      <w:marBottom w:val="0"/>
                      <w:divBdr>
                        <w:top w:val="none" w:sz="0" w:space="0" w:color="auto"/>
                        <w:left w:val="none" w:sz="0" w:space="0" w:color="auto"/>
                        <w:bottom w:val="none" w:sz="0" w:space="0" w:color="auto"/>
                        <w:right w:val="none" w:sz="0" w:space="0" w:color="auto"/>
                      </w:divBdr>
                    </w:div>
                  </w:divsChild>
                </w:div>
                <w:div w:id="494686730">
                  <w:marLeft w:val="0"/>
                  <w:marRight w:val="0"/>
                  <w:marTop w:val="0"/>
                  <w:marBottom w:val="0"/>
                  <w:divBdr>
                    <w:top w:val="none" w:sz="0" w:space="0" w:color="auto"/>
                    <w:left w:val="none" w:sz="0" w:space="0" w:color="auto"/>
                    <w:bottom w:val="none" w:sz="0" w:space="0" w:color="auto"/>
                    <w:right w:val="none" w:sz="0" w:space="0" w:color="auto"/>
                  </w:divBdr>
                  <w:divsChild>
                    <w:div w:id="308946640">
                      <w:marLeft w:val="0"/>
                      <w:marRight w:val="0"/>
                      <w:marTop w:val="0"/>
                      <w:marBottom w:val="0"/>
                      <w:divBdr>
                        <w:top w:val="none" w:sz="0" w:space="0" w:color="auto"/>
                        <w:left w:val="none" w:sz="0" w:space="0" w:color="auto"/>
                        <w:bottom w:val="none" w:sz="0" w:space="0" w:color="auto"/>
                        <w:right w:val="none" w:sz="0" w:space="0" w:color="auto"/>
                      </w:divBdr>
                    </w:div>
                  </w:divsChild>
                </w:div>
                <w:div w:id="765422069">
                  <w:marLeft w:val="0"/>
                  <w:marRight w:val="0"/>
                  <w:marTop w:val="0"/>
                  <w:marBottom w:val="0"/>
                  <w:divBdr>
                    <w:top w:val="none" w:sz="0" w:space="0" w:color="auto"/>
                    <w:left w:val="none" w:sz="0" w:space="0" w:color="auto"/>
                    <w:bottom w:val="none" w:sz="0" w:space="0" w:color="auto"/>
                    <w:right w:val="none" w:sz="0" w:space="0" w:color="auto"/>
                  </w:divBdr>
                  <w:divsChild>
                    <w:div w:id="1692604882">
                      <w:marLeft w:val="0"/>
                      <w:marRight w:val="0"/>
                      <w:marTop w:val="0"/>
                      <w:marBottom w:val="0"/>
                      <w:divBdr>
                        <w:top w:val="none" w:sz="0" w:space="0" w:color="auto"/>
                        <w:left w:val="none" w:sz="0" w:space="0" w:color="auto"/>
                        <w:bottom w:val="none" w:sz="0" w:space="0" w:color="auto"/>
                        <w:right w:val="none" w:sz="0" w:space="0" w:color="auto"/>
                      </w:divBdr>
                    </w:div>
                  </w:divsChild>
                </w:div>
                <w:div w:id="21056210">
                  <w:marLeft w:val="0"/>
                  <w:marRight w:val="0"/>
                  <w:marTop w:val="0"/>
                  <w:marBottom w:val="0"/>
                  <w:divBdr>
                    <w:top w:val="none" w:sz="0" w:space="0" w:color="auto"/>
                    <w:left w:val="none" w:sz="0" w:space="0" w:color="auto"/>
                    <w:bottom w:val="none" w:sz="0" w:space="0" w:color="auto"/>
                    <w:right w:val="none" w:sz="0" w:space="0" w:color="auto"/>
                  </w:divBdr>
                  <w:divsChild>
                    <w:div w:id="30767513">
                      <w:marLeft w:val="0"/>
                      <w:marRight w:val="0"/>
                      <w:marTop w:val="0"/>
                      <w:marBottom w:val="0"/>
                      <w:divBdr>
                        <w:top w:val="none" w:sz="0" w:space="0" w:color="auto"/>
                        <w:left w:val="none" w:sz="0" w:space="0" w:color="auto"/>
                        <w:bottom w:val="none" w:sz="0" w:space="0" w:color="auto"/>
                        <w:right w:val="none" w:sz="0" w:space="0" w:color="auto"/>
                      </w:divBdr>
                    </w:div>
                  </w:divsChild>
                </w:div>
                <w:div w:id="361905789">
                  <w:marLeft w:val="0"/>
                  <w:marRight w:val="0"/>
                  <w:marTop w:val="0"/>
                  <w:marBottom w:val="0"/>
                  <w:divBdr>
                    <w:top w:val="none" w:sz="0" w:space="0" w:color="auto"/>
                    <w:left w:val="none" w:sz="0" w:space="0" w:color="auto"/>
                    <w:bottom w:val="none" w:sz="0" w:space="0" w:color="auto"/>
                    <w:right w:val="none" w:sz="0" w:space="0" w:color="auto"/>
                  </w:divBdr>
                  <w:divsChild>
                    <w:div w:id="1970697665">
                      <w:marLeft w:val="0"/>
                      <w:marRight w:val="0"/>
                      <w:marTop w:val="0"/>
                      <w:marBottom w:val="0"/>
                      <w:divBdr>
                        <w:top w:val="none" w:sz="0" w:space="0" w:color="auto"/>
                        <w:left w:val="none" w:sz="0" w:space="0" w:color="auto"/>
                        <w:bottom w:val="none" w:sz="0" w:space="0" w:color="auto"/>
                        <w:right w:val="none" w:sz="0" w:space="0" w:color="auto"/>
                      </w:divBdr>
                    </w:div>
                  </w:divsChild>
                </w:div>
                <w:div w:id="215170829">
                  <w:marLeft w:val="0"/>
                  <w:marRight w:val="0"/>
                  <w:marTop w:val="0"/>
                  <w:marBottom w:val="0"/>
                  <w:divBdr>
                    <w:top w:val="none" w:sz="0" w:space="0" w:color="auto"/>
                    <w:left w:val="none" w:sz="0" w:space="0" w:color="auto"/>
                    <w:bottom w:val="none" w:sz="0" w:space="0" w:color="auto"/>
                    <w:right w:val="none" w:sz="0" w:space="0" w:color="auto"/>
                  </w:divBdr>
                  <w:divsChild>
                    <w:div w:id="1225987269">
                      <w:marLeft w:val="0"/>
                      <w:marRight w:val="0"/>
                      <w:marTop w:val="0"/>
                      <w:marBottom w:val="0"/>
                      <w:divBdr>
                        <w:top w:val="none" w:sz="0" w:space="0" w:color="auto"/>
                        <w:left w:val="none" w:sz="0" w:space="0" w:color="auto"/>
                        <w:bottom w:val="none" w:sz="0" w:space="0" w:color="auto"/>
                        <w:right w:val="none" w:sz="0" w:space="0" w:color="auto"/>
                      </w:divBdr>
                    </w:div>
                    <w:div w:id="1431387087">
                      <w:marLeft w:val="0"/>
                      <w:marRight w:val="0"/>
                      <w:marTop w:val="0"/>
                      <w:marBottom w:val="0"/>
                      <w:divBdr>
                        <w:top w:val="none" w:sz="0" w:space="0" w:color="auto"/>
                        <w:left w:val="none" w:sz="0" w:space="0" w:color="auto"/>
                        <w:bottom w:val="none" w:sz="0" w:space="0" w:color="auto"/>
                        <w:right w:val="none" w:sz="0" w:space="0" w:color="auto"/>
                      </w:divBdr>
                    </w:div>
                  </w:divsChild>
                </w:div>
                <w:div w:id="1570650781">
                  <w:marLeft w:val="0"/>
                  <w:marRight w:val="0"/>
                  <w:marTop w:val="0"/>
                  <w:marBottom w:val="0"/>
                  <w:divBdr>
                    <w:top w:val="none" w:sz="0" w:space="0" w:color="auto"/>
                    <w:left w:val="none" w:sz="0" w:space="0" w:color="auto"/>
                    <w:bottom w:val="none" w:sz="0" w:space="0" w:color="auto"/>
                    <w:right w:val="none" w:sz="0" w:space="0" w:color="auto"/>
                  </w:divBdr>
                  <w:divsChild>
                    <w:div w:id="2033991820">
                      <w:marLeft w:val="0"/>
                      <w:marRight w:val="0"/>
                      <w:marTop w:val="0"/>
                      <w:marBottom w:val="0"/>
                      <w:divBdr>
                        <w:top w:val="none" w:sz="0" w:space="0" w:color="auto"/>
                        <w:left w:val="none" w:sz="0" w:space="0" w:color="auto"/>
                        <w:bottom w:val="none" w:sz="0" w:space="0" w:color="auto"/>
                        <w:right w:val="none" w:sz="0" w:space="0" w:color="auto"/>
                      </w:divBdr>
                    </w:div>
                  </w:divsChild>
                </w:div>
                <w:div w:id="1623345959">
                  <w:marLeft w:val="0"/>
                  <w:marRight w:val="0"/>
                  <w:marTop w:val="0"/>
                  <w:marBottom w:val="0"/>
                  <w:divBdr>
                    <w:top w:val="none" w:sz="0" w:space="0" w:color="auto"/>
                    <w:left w:val="none" w:sz="0" w:space="0" w:color="auto"/>
                    <w:bottom w:val="none" w:sz="0" w:space="0" w:color="auto"/>
                    <w:right w:val="none" w:sz="0" w:space="0" w:color="auto"/>
                  </w:divBdr>
                  <w:divsChild>
                    <w:div w:id="1113284777">
                      <w:marLeft w:val="0"/>
                      <w:marRight w:val="0"/>
                      <w:marTop w:val="0"/>
                      <w:marBottom w:val="0"/>
                      <w:divBdr>
                        <w:top w:val="none" w:sz="0" w:space="0" w:color="auto"/>
                        <w:left w:val="none" w:sz="0" w:space="0" w:color="auto"/>
                        <w:bottom w:val="none" w:sz="0" w:space="0" w:color="auto"/>
                        <w:right w:val="none" w:sz="0" w:space="0" w:color="auto"/>
                      </w:divBdr>
                    </w:div>
                  </w:divsChild>
                </w:div>
                <w:div w:id="868495868">
                  <w:marLeft w:val="0"/>
                  <w:marRight w:val="0"/>
                  <w:marTop w:val="0"/>
                  <w:marBottom w:val="0"/>
                  <w:divBdr>
                    <w:top w:val="none" w:sz="0" w:space="0" w:color="auto"/>
                    <w:left w:val="none" w:sz="0" w:space="0" w:color="auto"/>
                    <w:bottom w:val="none" w:sz="0" w:space="0" w:color="auto"/>
                    <w:right w:val="none" w:sz="0" w:space="0" w:color="auto"/>
                  </w:divBdr>
                  <w:divsChild>
                    <w:div w:id="76160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75166">
          <w:marLeft w:val="0"/>
          <w:marRight w:val="0"/>
          <w:marTop w:val="0"/>
          <w:marBottom w:val="0"/>
          <w:divBdr>
            <w:top w:val="none" w:sz="0" w:space="0" w:color="auto"/>
            <w:left w:val="none" w:sz="0" w:space="0" w:color="auto"/>
            <w:bottom w:val="none" w:sz="0" w:space="0" w:color="auto"/>
            <w:right w:val="none" w:sz="0" w:space="0" w:color="auto"/>
          </w:divBdr>
        </w:div>
      </w:divsChild>
    </w:div>
    <w:div w:id="549540048">
      <w:bodyDiv w:val="1"/>
      <w:marLeft w:val="0"/>
      <w:marRight w:val="0"/>
      <w:marTop w:val="0"/>
      <w:marBottom w:val="0"/>
      <w:divBdr>
        <w:top w:val="none" w:sz="0" w:space="0" w:color="auto"/>
        <w:left w:val="none" w:sz="0" w:space="0" w:color="auto"/>
        <w:bottom w:val="none" w:sz="0" w:space="0" w:color="auto"/>
        <w:right w:val="none" w:sz="0" w:space="0" w:color="auto"/>
      </w:divBdr>
      <w:divsChild>
        <w:div w:id="1722555635">
          <w:marLeft w:val="0"/>
          <w:marRight w:val="0"/>
          <w:marTop w:val="0"/>
          <w:marBottom w:val="0"/>
          <w:divBdr>
            <w:top w:val="none" w:sz="0" w:space="0" w:color="auto"/>
            <w:left w:val="none" w:sz="0" w:space="0" w:color="auto"/>
            <w:bottom w:val="none" w:sz="0" w:space="0" w:color="auto"/>
            <w:right w:val="none" w:sz="0" w:space="0" w:color="auto"/>
          </w:divBdr>
        </w:div>
        <w:div w:id="761801502">
          <w:marLeft w:val="0"/>
          <w:marRight w:val="0"/>
          <w:marTop w:val="0"/>
          <w:marBottom w:val="0"/>
          <w:divBdr>
            <w:top w:val="none" w:sz="0" w:space="0" w:color="auto"/>
            <w:left w:val="none" w:sz="0" w:space="0" w:color="auto"/>
            <w:bottom w:val="none" w:sz="0" w:space="0" w:color="auto"/>
            <w:right w:val="none" w:sz="0" w:space="0" w:color="auto"/>
          </w:divBdr>
        </w:div>
        <w:div w:id="1045258582">
          <w:marLeft w:val="0"/>
          <w:marRight w:val="0"/>
          <w:marTop w:val="0"/>
          <w:marBottom w:val="0"/>
          <w:divBdr>
            <w:top w:val="none" w:sz="0" w:space="0" w:color="auto"/>
            <w:left w:val="none" w:sz="0" w:space="0" w:color="auto"/>
            <w:bottom w:val="none" w:sz="0" w:space="0" w:color="auto"/>
            <w:right w:val="none" w:sz="0" w:space="0" w:color="auto"/>
          </w:divBdr>
        </w:div>
        <w:div w:id="1271930319">
          <w:marLeft w:val="0"/>
          <w:marRight w:val="0"/>
          <w:marTop w:val="0"/>
          <w:marBottom w:val="0"/>
          <w:divBdr>
            <w:top w:val="none" w:sz="0" w:space="0" w:color="auto"/>
            <w:left w:val="none" w:sz="0" w:space="0" w:color="auto"/>
            <w:bottom w:val="none" w:sz="0" w:space="0" w:color="auto"/>
            <w:right w:val="none" w:sz="0" w:space="0" w:color="auto"/>
          </w:divBdr>
        </w:div>
        <w:div w:id="637417206">
          <w:marLeft w:val="0"/>
          <w:marRight w:val="0"/>
          <w:marTop w:val="0"/>
          <w:marBottom w:val="0"/>
          <w:divBdr>
            <w:top w:val="none" w:sz="0" w:space="0" w:color="auto"/>
            <w:left w:val="none" w:sz="0" w:space="0" w:color="auto"/>
            <w:bottom w:val="none" w:sz="0" w:space="0" w:color="auto"/>
            <w:right w:val="none" w:sz="0" w:space="0" w:color="auto"/>
          </w:divBdr>
        </w:div>
      </w:divsChild>
    </w:div>
    <w:div w:id="572816900">
      <w:marLeft w:val="0"/>
      <w:marRight w:val="0"/>
      <w:marTop w:val="0"/>
      <w:marBottom w:val="0"/>
      <w:divBdr>
        <w:top w:val="none" w:sz="0" w:space="0" w:color="auto"/>
        <w:left w:val="none" w:sz="0" w:space="0" w:color="auto"/>
        <w:bottom w:val="none" w:sz="0" w:space="0" w:color="auto"/>
        <w:right w:val="none" w:sz="0" w:space="0" w:color="auto"/>
      </w:divBdr>
      <w:divsChild>
        <w:div w:id="1442189310">
          <w:marLeft w:val="0"/>
          <w:marRight w:val="0"/>
          <w:marTop w:val="0"/>
          <w:marBottom w:val="0"/>
          <w:divBdr>
            <w:top w:val="none" w:sz="0" w:space="0" w:color="auto"/>
            <w:left w:val="none" w:sz="0" w:space="0" w:color="auto"/>
            <w:bottom w:val="none" w:sz="0" w:space="0" w:color="auto"/>
            <w:right w:val="none" w:sz="0" w:space="0" w:color="auto"/>
          </w:divBdr>
        </w:div>
      </w:divsChild>
    </w:div>
    <w:div w:id="657074394">
      <w:marLeft w:val="0"/>
      <w:marRight w:val="0"/>
      <w:marTop w:val="0"/>
      <w:marBottom w:val="0"/>
      <w:divBdr>
        <w:top w:val="none" w:sz="0" w:space="0" w:color="auto"/>
        <w:left w:val="none" w:sz="0" w:space="0" w:color="auto"/>
        <w:bottom w:val="none" w:sz="0" w:space="0" w:color="auto"/>
        <w:right w:val="none" w:sz="0" w:space="0" w:color="auto"/>
      </w:divBdr>
      <w:divsChild>
        <w:div w:id="1846751540">
          <w:marLeft w:val="0"/>
          <w:marRight w:val="0"/>
          <w:marTop w:val="0"/>
          <w:marBottom w:val="0"/>
          <w:divBdr>
            <w:top w:val="none" w:sz="0" w:space="0" w:color="auto"/>
            <w:left w:val="none" w:sz="0" w:space="0" w:color="auto"/>
            <w:bottom w:val="none" w:sz="0" w:space="0" w:color="auto"/>
            <w:right w:val="none" w:sz="0" w:space="0" w:color="auto"/>
          </w:divBdr>
        </w:div>
      </w:divsChild>
    </w:div>
    <w:div w:id="691687287">
      <w:marLeft w:val="0"/>
      <w:marRight w:val="0"/>
      <w:marTop w:val="0"/>
      <w:marBottom w:val="0"/>
      <w:divBdr>
        <w:top w:val="none" w:sz="0" w:space="0" w:color="auto"/>
        <w:left w:val="none" w:sz="0" w:space="0" w:color="auto"/>
        <w:bottom w:val="none" w:sz="0" w:space="0" w:color="auto"/>
        <w:right w:val="none" w:sz="0" w:space="0" w:color="auto"/>
      </w:divBdr>
      <w:divsChild>
        <w:div w:id="2011374025">
          <w:marLeft w:val="0"/>
          <w:marRight w:val="0"/>
          <w:marTop w:val="0"/>
          <w:marBottom w:val="0"/>
          <w:divBdr>
            <w:top w:val="none" w:sz="0" w:space="0" w:color="auto"/>
            <w:left w:val="none" w:sz="0" w:space="0" w:color="auto"/>
            <w:bottom w:val="none" w:sz="0" w:space="0" w:color="auto"/>
            <w:right w:val="none" w:sz="0" w:space="0" w:color="auto"/>
          </w:divBdr>
        </w:div>
      </w:divsChild>
    </w:div>
    <w:div w:id="712192836">
      <w:bodyDiv w:val="1"/>
      <w:marLeft w:val="0"/>
      <w:marRight w:val="0"/>
      <w:marTop w:val="0"/>
      <w:marBottom w:val="0"/>
      <w:divBdr>
        <w:top w:val="none" w:sz="0" w:space="0" w:color="auto"/>
        <w:left w:val="none" w:sz="0" w:space="0" w:color="auto"/>
        <w:bottom w:val="none" w:sz="0" w:space="0" w:color="auto"/>
        <w:right w:val="none" w:sz="0" w:space="0" w:color="auto"/>
      </w:divBdr>
    </w:div>
    <w:div w:id="719090784">
      <w:bodyDiv w:val="1"/>
      <w:marLeft w:val="0"/>
      <w:marRight w:val="0"/>
      <w:marTop w:val="0"/>
      <w:marBottom w:val="0"/>
      <w:divBdr>
        <w:top w:val="none" w:sz="0" w:space="0" w:color="auto"/>
        <w:left w:val="none" w:sz="0" w:space="0" w:color="auto"/>
        <w:bottom w:val="none" w:sz="0" w:space="0" w:color="auto"/>
        <w:right w:val="none" w:sz="0" w:space="0" w:color="auto"/>
      </w:divBdr>
    </w:div>
    <w:div w:id="767505179">
      <w:bodyDiv w:val="1"/>
      <w:marLeft w:val="0"/>
      <w:marRight w:val="0"/>
      <w:marTop w:val="0"/>
      <w:marBottom w:val="0"/>
      <w:divBdr>
        <w:top w:val="none" w:sz="0" w:space="0" w:color="auto"/>
        <w:left w:val="none" w:sz="0" w:space="0" w:color="auto"/>
        <w:bottom w:val="none" w:sz="0" w:space="0" w:color="auto"/>
        <w:right w:val="none" w:sz="0" w:space="0" w:color="auto"/>
      </w:divBdr>
    </w:div>
    <w:div w:id="824934279">
      <w:bodyDiv w:val="1"/>
      <w:marLeft w:val="0"/>
      <w:marRight w:val="0"/>
      <w:marTop w:val="0"/>
      <w:marBottom w:val="0"/>
      <w:divBdr>
        <w:top w:val="none" w:sz="0" w:space="0" w:color="auto"/>
        <w:left w:val="none" w:sz="0" w:space="0" w:color="auto"/>
        <w:bottom w:val="none" w:sz="0" w:space="0" w:color="auto"/>
        <w:right w:val="none" w:sz="0" w:space="0" w:color="auto"/>
      </w:divBdr>
    </w:div>
    <w:div w:id="830021805">
      <w:marLeft w:val="0"/>
      <w:marRight w:val="0"/>
      <w:marTop w:val="0"/>
      <w:marBottom w:val="0"/>
      <w:divBdr>
        <w:top w:val="none" w:sz="0" w:space="0" w:color="auto"/>
        <w:left w:val="none" w:sz="0" w:space="0" w:color="auto"/>
        <w:bottom w:val="none" w:sz="0" w:space="0" w:color="auto"/>
        <w:right w:val="none" w:sz="0" w:space="0" w:color="auto"/>
      </w:divBdr>
      <w:divsChild>
        <w:div w:id="261182548">
          <w:marLeft w:val="0"/>
          <w:marRight w:val="0"/>
          <w:marTop w:val="0"/>
          <w:marBottom w:val="0"/>
          <w:divBdr>
            <w:top w:val="none" w:sz="0" w:space="0" w:color="auto"/>
            <w:left w:val="none" w:sz="0" w:space="0" w:color="auto"/>
            <w:bottom w:val="none" w:sz="0" w:space="0" w:color="auto"/>
            <w:right w:val="none" w:sz="0" w:space="0" w:color="auto"/>
          </w:divBdr>
        </w:div>
      </w:divsChild>
    </w:div>
    <w:div w:id="839084054">
      <w:bodyDiv w:val="1"/>
      <w:marLeft w:val="0"/>
      <w:marRight w:val="0"/>
      <w:marTop w:val="0"/>
      <w:marBottom w:val="0"/>
      <w:divBdr>
        <w:top w:val="none" w:sz="0" w:space="0" w:color="auto"/>
        <w:left w:val="none" w:sz="0" w:space="0" w:color="auto"/>
        <w:bottom w:val="none" w:sz="0" w:space="0" w:color="auto"/>
        <w:right w:val="none" w:sz="0" w:space="0" w:color="auto"/>
      </w:divBdr>
      <w:divsChild>
        <w:div w:id="232662555">
          <w:marLeft w:val="0"/>
          <w:marRight w:val="0"/>
          <w:marTop w:val="0"/>
          <w:marBottom w:val="0"/>
          <w:divBdr>
            <w:top w:val="none" w:sz="0" w:space="0" w:color="auto"/>
            <w:left w:val="none" w:sz="0" w:space="0" w:color="auto"/>
            <w:bottom w:val="none" w:sz="0" w:space="0" w:color="auto"/>
            <w:right w:val="none" w:sz="0" w:space="0" w:color="auto"/>
          </w:divBdr>
        </w:div>
        <w:div w:id="2062315559">
          <w:marLeft w:val="0"/>
          <w:marRight w:val="0"/>
          <w:marTop w:val="0"/>
          <w:marBottom w:val="0"/>
          <w:divBdr>
            <w:top w:val="none" w:sz="0" w:space="0" w:color="auto"/>
            <w:left w:val="none" w:sz="0" w:space="0" w:color="auto"/>
            <w:bottom w:val="none" w:sz="0" w:space="0" w:color="auto"/>
            <w:right w:val="none" w:sz="0" w:space="0" w:color="auto"/>
          </w:divBdr>
        </w:div>
        <w:div w:id="630746017">
          <w:marLeft w:val="0"/>
          <w:marRight w:val="0"/>
          <w:marTop w:val="0"/>
          <w:marBottom w:val="0"/>
          <w:divBdr>
            <w:top w:val="none" w:sz="0" w:space="0" w:color="auto"/>
            <w:left w:val="none" w:sz="0" w:space="0" w:color="auto"/>
            <w:bottom w:val="none" w:sz="0" w:space="0" w:color="auto"/>
            <w:right w:val="none" w:sz="0" w:space="0" w:color="auto"/>
          </w:divBdr>
        </w:div>
      </w:divsChild>
    </w:div>
    <w:div w:id="948512387">
      <w:bodyDiv w:val="1"/>
      <w:marLeft w:val="0"/>
      <w:marRight w:val="0"/>
      <w:marTop w:val="0"/>
      <w:marBottom w:val="0"/>
      <w:divBdr>
        <w:top w:val="none" w:sz="0" w:space="0" w:color="auto"/>
        <w:left w:val="none" w:sz="0" w:space="0" w:color="auto"/>
        <w:bottom w:val="none" w:sz="0" w:space="0" w:color="auto"/>
        <w:right w:val="none" w:sz="0" w:space="0" w:color="auto"/>
      </w:divBdr>
    </w:div>
    <w:div w:id="961962287">
      <w:marLeft w:val="0"/>
      <w:marRight w:val="0"/>
      <w:marTop w:val="0"/>
      <w:marBottom w:val="0"/>
      <w:divBdr>
        <w:top w:val="none" w:sz="0" w:space="0" w:color="auto"/>
        <w:left w:val="none" w:sz="0" w:space="0" w:color="auto"/>
        <w:bottom w:val="none" w:sz="0" w:space="0" w:color="auto"/>
        <w:right w:val="none" w:sz="0" w:space="0" w:color="auto"/>
      </w:divBdr>
      <w:divsChild>
        <w:div w:id="113329128">
          <w:marLeft w:val="0"/>
          <w:marRight w:val="0"/>
          <w:marTop w:val="0"/>
          <w:marBottom w:val="0"/>
          <w:divBdr>
            <w:top w:val="none" w:sz="0" w:space="0" w:color="auto"/>
            <w:left w:val="none" w:sz="0" w:space="0" w:color="auto"/>
            <w:bottom w:val="none" w:sz="0" w:space="0" w:color="auto"/>
            <w:right w:val="none" w:sz="0" w:space="0" w:color="auto"/>
          </w:divBdr>
        </w:div>
      </w:divsChild>
    </w:div>
    <w:div w:id="965350960">
      <w:bodyDiv w:val="1"/>
      <w:marLeft w:val="0"/>
      <w:marRight w:val="0"/>
      <w:marTop w:val="0"/>
      <w:marBottom w:val="0"/>
      <w:divBdr>
        <w:top w:val="none" w:sz="0" w:space="0" w:color="auto"/>
        <w:left w:val="none" w:sz="0" w:space="0" w:color="auto"/>
        <w:bottom w:val="none" w:sz="0" w:space="0" w:color="auto"/>
        <w:right w:val="none" w:sz="0" w:space="0" w:color="auto"/>
      </w:divBdr>
      <w:divsChild>
        <w:div w:id="106854044">
          <w:marLeft w:val="0"/>
          <w:marRight w:val="0"/>
          <w:marTop w:val="0"/>
          <w:marBottom w:val="0"/>
          <w:divBdr>
            <w:top w:val="none" w:sz="0" w:space="0" w:color="auto"/>
            <w:left w:val="none" w:sz="0" w:space="0" w:color="auto"/>
            <w:bottom w:val="none" w:sz="0" w:space="0" w:color="auto"/>
            <w:right w:val="none" w:sz="0" w:space="0" w:color="auto"/>
          </w:divBdr>
        </w:div>
        <w:div w:id="31614053">
          <w:marLeft w:val="0"/>
          <w:marRight w:val="0"/>
          <w:marTop w:val="0"/>
          <w:marBottom w:val="0"/>
          <w:divBdr>
            <w:top w:val="none" w:sz="0" w:space="0" w:color="auto"/>
            <w:left w:val="none" w:sz="0" w:space="0" w:color="auto"/>
            <w:bottom w:val="none" w:sz="0" w:space="0" w:color="auto"/>
            <w:right w:val="none" w:sz="0" w:space="0" w:color="auto"/>
          </w:divBdr>
          <w:divsChild>
            <w:div w:id="1399481204">
              <w:marLeft w:val="-75"/>
              <w:marRight w:val="0"/>
              <w:marTop w:val="30"/>
              <w:marBottom w:val="30"/>
              <w:divBdr>
                <w:top w:val="none" w:sz="0" w:space="0" w:color="auto"/>
                <w:left w:val="none" w:sz="0" w:space="0" w:color="auto"/>
                <w:bottom w:val="none" w:sz="0" w:space="0" w:color="auto"/>
                <w:right w:val="none" w:sz="0" w:space="0" w:color="auto"/>
              </w:divBdr>
              <w:divsChild>
                <w:div w:id="1658729540">
                  <w:marLeft w:val="0"/>
                  <w:marRight w:val="0"/>
                  <w:marTop w:val="0"/>
                  <w:marBottom w:val="0"/>
                  <w:divBdr>
                    <w:top w:val="none" w:sz="0" w:space="0" w:color="auto"/>
                    <w:left w:val="none" w:sz="0" w:space="0" w:color="auto"/>
                    <w:bottom w:val="none" w:sz="0" w:space="0" w:color="auto"/>
                    <w:right w:val="none" w:sz="0" w:space="0" w:color="auto"/>
                  </w:divBdr>
                  <w:divsChild>
                    <w:div w:id="2060129934">
                      <w:marLeft w:val="0"/>
                      <w:marRight w:val="0"/>
                      <w:marTop w:val="0"/>
                      <w:marBottom w:val="0"/>
                      <w:divBdr>
                        <w:top w:val="none" w:sz="0" w:space="0" w:color="auto"/>
                        <w:left w:val="none" w:sz="0" w:space="0" w:color="auto"/>
                        <w:bottom w:val="none" w:sz="0" w:space="0" w:color="auto"/>
                        <w:right w:val="none" w:sz="0" w:space="0" w:color="auto"/>
                      </w:divBdr>
                    </w:div>
                  </w:divsChild>
                </w:div>
                <w:div w:id="1018888489">
                  <w:marLeft w:val="0"/>
                  <w:marRight w:val="0"/>
                  <w:marTop w:val="0"/>
                  <w:marBottom w:val="0"/>
                  <w:divBdr>
                    <w:top w:val="none" w:sz="0" w:space="0" w:color="auto"/>
                    <w:left w:val="none" w:sz="0" w:space="0" w:color="auto"/>
                    <w:bottom w:val="none" w:sz="0" w:space="0" w:color="auto"/>
                    <w:right w:val="none" w:sz="0" w:space="0" w:color="auto"/>
                  </w:divBdr>
                  <w:divsChild>
                    <w:div w:id="759063821">
                      <w:marLeft w:val="0"/>
                      <w:marRight w:val="0"/>
                      <w:marTop w:val="0"/>
                      <w:marBottom w:val="0"/>
                      <w:divBdr>
                        <w:top w:val="none" w:sz="0" w:space="0" w:color="auto"/>
                        <w:left w:val="none" w:sz="0" w:space="0" w:color="auto"/>
                        <w:bottom w:val="none" w:sz="0" w:space="0" w:color="auto"/>
                        <w:right w:val="none" w:sz="0" w:space="0" w:color="auto"/>
                      </w:divBdr>
                    </w:div>
                  </w:divsChild>
                </w:div>
                <w:div w:id="4673399">
                  <w:marLeft w:val="0"/>
                  <w:marRight w:val="0"/>
                  <w:marTop w:val="0"/>
                  <w:marBottom w:val="0"/>
                  <w:divBdr>
                    <w:top w:val="none" w:sz="0" w:space="0" w:color="auto"/>
                    <w:left w:val="none" w:sz="0" w:space="0" w:color="auto"/>
                    <w:bottom w:val="none" w:sz="0" w:space="0" w:color="auto"/>
                    <w:right w:val="none" w:sz="0" w:space="0" w:color="auto"/>
                  </w:divBdr>
                  <w:divsChild>
                    <w:div w:id="99956346">
                      <w:marLeft w:val="0"/>
                      <w:marRight w:val="0"/>
                      <w:marTop w:val="0"/>
                      <w:marBottom w:val="0"/>
                      <w:divBdr>
                        <w:top w:val="none" w:sz="0" w:space="0" w:color="auto"/>
                        <w:left w:val="none" w:sz="0" w:space="0" w:color="auto"/>
                        <w:bottom w:val="none" w:sz="0" w:space="0" w:color="auto"/>
                        <w:right w:val="none" w:sz="0" w:space="0" w:color="auto"/>
                      </w:divBdr>
                    </w:div>
                  </w:divsChild>
                </w:div>
                <w:div w:id="1270508868">
                  <w:marLeft w:val="0"/>
                  <w:marRight w:val="0"/>
                  <w:marTop w:val="0"/>
                  <w:marBottom w:val="0"/>
                  <w:divBdr>
                    <w:top w:val="none" w:sz="0" w:space="0" w:color="auto"/>
                    <w:left w:val="none" w:sz="0" w:space="0" w:color="auto"/>
                    <w:bottom w:val="none" w:sz="0" w:space="0" w:color="auto"/>
                    <w:right w:val="none" w:sz="0" w:space="0" w:color="auto"/>
                  </w:divBdr>
                  <w:divsChild>
                    <w:div w:id="448201633">
                      <w:marLeft w:val="0"/>
                      <w:marRight w:val="0"/>
                      <w:marTop w:val="0"/>
                      <w:marBottom w:val="0"/>
                      <w:divBdr>
                        <w:top w:val="none" w:sz="0" w:space="0" w:color="auto"/>
                        <w:left w:val="none" w:sz="0" w:space="0" w:color="auto"/>
                        <w:bottom w:val="none" w:sz="0" w:space="0" w:color="auto"/>
                        <w:right w:val="none" w:sz="0" w:space="0" w:color="auto"/>
                      </w:divBdr>
                    </w:div>
                  </w:divsChild>
                </w:div>
                <w:div w:id="1242062820">
                  <w:marLeft w:val="0"/>
                  <w:marRight w:val="0"/>
                  <w:marTop w:val="0"/>
                  <w:marBottom w:val="0"/>
                  <w:divBdr>
                    <w:top w:val="none" w:sz="0" w:space="0" w:color="auto"/>
                    <w:left w:val="none" w:sz="0" w:space="0" w:color="auto"/>
                    <w:bottom w:val="none" w:sz="0" w:space="0" w:color="auto"/>
                    <w:right w:val="none" w:sz="0" w:space="0" w:color="auto"/>
                  </w:divBdr>
                  <w:divsChild>
                    <w:div w:id="2124768605">
                      <w:marLeft w:val="0"/>
                      <w:marRight w:val="0"/>
                      <w:marTop w:val="0"/>
                      <w:marBottom w:val="0"/>
                      <w:divBdr>
                        <w:top w:val="none" w:sz="0" w:space="0" w:color="auto"/>
                        <w:left w:val="none" w:sz="0" w:space="0" w:color="auto"/>
                        <w:bottom w:val="none" w:sz="0" w:space="0" w:color="auto"/>
                        <w:right w:val="none" w:sz="0" w:space="0" w:color="auto"/>
                      </w:divBdr>
                    </w:div>
                  </w:divsChild>
                </w:div>
                <w:div w:id="12191779">
                  <w:marLeft w:val="0"/>
                  <w:marRight w:val="0"/>
                  <w:marTop w:val="0"/>
                  <w:marBottom w:val="0"/>
                  <w:divBdr>
                    <w:top w:val="none" w:sz="0" w:space="0" w:color="auto"/>
                    <w:left w:val="none" w:sz="0" w:space="0" w:color="auto"/>
                    <w:bottom w:val="none" w:sz="0" w:space="0" w:color="auto"/>
                    <w:right w:val="none" w:sz="0" w:space="0" w:color="auto"/>
                  </w:divBdr>
                  <w:divsChild>
                    <w:div w:id="1344477356">
                      <w:marLeft w:val="0"/>
                      <w:marRight w:val="0"/>
                      <w:marTop w:val="0"/>
                      <w:marBottom w:val="0"/>
                      <w:divBdr>
                        <w:top w:val="none" w:sz="0" w:space="0" w:color="auto"/>
                        <w:left w:val="none" w:sz="0" w:space="0" w:color="auto"/>
                        <w:bottom w:val="none" w:sz="0" w:space="0" w:color="auto"/>
                        <w:right w:val="none" w:sz="0" w:space="0" w:color="auto"/>
                      </w:divBdr>
                    </w:div>
                  </w:divsChild>
                </w:div>
                <w:div w:id="817303526">
                  <w:marLeft w:val="0"/>
                  <w:marRight w:val="0"/>
                  <w:marTop w:val="0"/>
                  <w:marBottom w:val="0"/>
                  <w:divBdr>
                    <w:top w:val="none" w:sz="0" w:space="0" w:color="auto"/>
                    <w:left w:val="none" w:sz="0" w:space="0" w:color="auto"/>
                    <w:bottom w:val="none" w:sz="0" w:space="0" w:color="auto"/>
                    <w:right w:val="none" w:sz="0" w:space="0" w:color="auto"/>
                  </w:divBdr>
                  <w:divsChild>
                    <w:div w:id="653533201">
                      <w:marLeft w:val="0"/>
                      <w:marRight w:val="0"/>
                      <w:marTop w:val="0"/>
                      <w:marBottom w:val="0"/>
                      <w:divBdr>
                        <w:top w:val="none" w:sz="0" w:space="0" w:color="auto"/>
                        <w:left w:val="none" w:sz="0" w:space="0" w:color="auto"/>
                        <w:bottom w:val="none" w:sz="0" w:space="0" w:color="auto"/>
                        <w:right w:val="none" w:sz="0" w:space="0" w:color="auto"/>
                      </w:divBdr>
                    </w:div>
                  </w:divsChild>
                </w:div>
                <w:div w:id="978917374">
                  <w:marLeft w:val="0"/>
                  <w:marRight w:val="0"/>
                  <w:marTop w:val="0"/>
                  <w:marBottom w:val="0"/>
                  <w:divBdr>
                    <w:top w:val="none" w:sz="0" w:space="0" w:color="auto"/>
                    <w:left w:val="none" w:sz="0" w:space="0" w:color="auto"/>
                    <w:bottom w:val="none" w:sz="0" w:space="0" w:color="auto"/>
                    <w:right w:val="none" w:sz="0" w:space="0" w:color="auto"/>
                  </w:divBdr>
                  <w:divsChild>
                    <w:div w:id="1913346046">
                      <w:marLeft w:val="0"/>
                      <w:marRight w:val="0"/>
                      <w:marTop w:val="0"/>
                      <w:marBottom w:val="0"/>
                      <w:divBdr>
                        <w:top w:val="none" w:sz="0" w:space="0" w:color="auto"/>
                        <w:left w:val="none" w:sz="0" w:space="0" w:color="auto"/>
                        <w:bottom w:val="none" w:sz="0" w:space="0" w:color="auto"/>
                        <w:right w:val="none" w:sz="0" w:space="0" w:color="auto"/>
                      </w:divBdr>
                    </w:div>
                  </w:divsChild>
                </w:div>
                <w:div w:id="839541351">
                  <w:marLeft w:val="0"/>
                  <w:marRight w:val="0"/>
                  <w:marTop w:val="0"/>
                  <w:marBottom w:val="0"/>
                  <w:divBdr>
                    <w:top w:val="none" w:sz="0" w:space="0" w:color="auto"/>
                    <w:left w:val="none" w:sz="0" w:space="0" w:color="auto"/>
                    <w:bottom w:val="none" w:sz="0" w:space="0" w:color="auto"/>
                    <w:right w:val="none" w:sz="0" w:space="0" w:color="auto"/>
                  </w:divBdr>
                  <w:divsChild>
                    <w:div w:id="1987932619">
                      <w:marLeft w:val="0"/>
                      <w:marRight w:val="0"/>
                      <w:marTop w:val="0"/>
                      <w:marBottom w:val="0"/>
                      <w:divBdr>
                        <w:top w:val="none" w:sz="0" w:space="0" w:color="auto"/>
                        <w:left w:val="none" w:sz="0" w:space="0" w:color="auto"/>
                        <w:bottom w:val="none" w:sz="0" w:space="0" w:color="auto"/>
                        <w:right w:val="none" w:sz="0" w:space="0" w:color="auto"/>
                      </w:divBdr>
                    </w:div>
                  </w:divsChild>
                </w:div>
                <w:div w:id="538974662">
                  <w:marLeft w:val="0"/>
                  <w:marRight w:val="0"/>
                  <w:marTop w:val="0"/>
                  <w:marBottom w:val="0"/>
                  <w:divBdr>
                    <w:top w:val="none" w:sz="0" w:space="0" w:color="auto"/>
                    <w:left w:val="none" w:sz="0" w:space="0" w:color="auto"/>
                    <w:bottom w:val="none" w:sz="0" w:space="0" w:color="auto"/>
                    <w:right w:val="none" w:sz="0" w:space="0" w:color="auto"/>
                  </w:divBdr>
                  <w:divsChild>
                    <w:div w:id="689261901">
                      <w:marLeft w:val="0"/>
                      <w:marRight w:val="0"/>
                      <w:marTop w:val="0"/>
                      <w:marBottom w:val="0"/>
                      <w:divBdr>
                        <w:top w:val="none" w:sz="0" w:space="0" w:color="auto"/>
                        <w:left w:val="none" w:sz="0" w:space="0" w:color="auto"/>
                        <w:bottom w:val="none" w:sz="0" w:space="0" w:color="auto"/>
                        <w:right w:val="none" w:sz="0" w:space="0" w:color="auto"/>
                      </w:divBdr>
                    </w:div>
                  </w:divsChild>
                </w:div>
                <w:div w:id="1864050580">
                  <w:marLeft w:val="0"/>
                  <w:marRight w:val="0"/>
                  <w:marTop w:val="0"/>
                  <w:marBottom w:val="0"/>
                  <w:divBdr>
                    <w:top w:val="none" w:sz="0" w:space="0" w:color="auto"/>
                    <w:left w:val="none" w:sz="0" w:space="0" w:color="auto"/>
                    <w:bottom w:val="none" w:sz="0" w:space="0" w:color="auto"/>
                    <w:right w:val="none" w:sz="0" w:space="0" w:color="auto"/>
                  </w:divBdr>
                  <w:divsChild>
                    <w:div w:id="1249122592">
                      <w:marLeft w:val="0"/>
                      <w:marRight w:val="0"/>
                      <w:marTop w:val="0"/>
                      <w:marBottom w:val="0"/>
                      <w:divBdr>
                        <w:top w:val="none" w:sz="0" w:space="0" w:color="auto"/>
                        <w:left w:val="none" w:sz="0" w:space="0" w:color="auto"/>
                        <w:bottom w:val="none" w:sz="0" w:space="0" w:color="auto"/>
                        <w:right w:val="none" w:sz="0" w:space="0" w:color="auto"/>
                      </w:divBdr>
                    </w:div>
                  </w:divsChild>
                </w:div>
                <w:div w:id="471945029">
                  <w:marLeft w:val="0"/>
                  <w:marRight w:val="0"/>
                  <w:marTop w:val="0"/>
                  <w:marBottom w:val="0"/>
                  <w:divBdr>
                    <w:top w:val="none" w:sz="0" w:space="0" w:color="auto"/>
                    <w:left w:val="none" w:sz="0" w:space="0" w:color="auto"/>
                    <w:bottom w:val="none" w:sz="0" w:space="0" w:color="auto"/>
                    <w:right w:val="none" w:sz="0" w:space="0" w:color="auto"/>
                  </w:divBdr>
                  <w:divsChild>
                    <w:div w:id="1739591822">
                      <w:marLeft w:val="0"/>
                      <w:marRight w:val="0"/>
                      <w:marTop w:val="0"/>
                      <w:marBottom w:val="0"/>
                      <w:divBdr>
                        <w:top w:val="none" w:sz="0" w:space="0" w:color="auto"/>
                        <w:left w:val="none" w:sz="0" w:space="0" w:color="auto"/>
                        <w:bottom w:val="none" w:sz="0" w:space="0" w:color="auto"/>
                        <w:right w:val="none" w:sz="0" w:space="0" w:color="auto"/>
                      </w:divBdr>
                    </w:div>
                  </w:divsChild>
                </w:div>
                <w:div w:id="876355852">
                  <w:marLeft w:val="0"/>
                  <w:marRight w:val="0"/>
                  <w:marTop w:val="0"/>
                  <w:marBottom w:val="0"/>
                  <w:divBdr>
                    <w:top w:val="none" w:sz="0" w:space="0" w:color="auto"/>
                    <w:left w:val="none" w:sz="0" w:space="0" w:color="auto"/>
                    <w:bottom w:val="none" w:sz="0" w:space="0" w:color="auto"/>
                    <w:right w:val="none" w:sz="0" w:space="0" w:color="auto"/>
                  </w:divBdr>
                  <w:divsChild>
                    <w:div w:id="653412955">
                      <w:marLeft w:val="0"/>
                      <w:marRight w:val="0"/>
                      <w:marTop w:val="0"/>
                      <w:marBottom w:val="0"/>
                      <w:divBdr>
                        <w:top w:val="none" w:sz="0" w:space="0" w:color="auto"/>
                        <w:left w:val="none" w:sz="0" w:space="0" w:color="auto"/>
                        <w:bottom w:val="none" w:sz="0" w:space="0" w:color="auto"/>
                        <w:right w:val="none" w:sz="0" w:space="0" w:color="auto"/>
                      </w:divBdr>
                    </w:div>
                  </w:divsChild>
                </w:div>
                <w:div w:id="1654143542">
                  <w:marLeft w:val="0"/>
                  <w:marRight w:val="0"/>
                  <w:marTop w:val="0"/>
                  <w:marBottom w:val="0"/>
                  <w:divBdr>
                    <w:top w:val="none" w:sz="0" w:space="0" w:color="auto"/>
                    <w:left w:val="none" w:sz="0" w:space="0" w:color="auto"/>
                    <w:bottom w:val="none" w:sz="0" w:space="0" w:color="auto"/>
                    <w:right w:val="none" w:sz="0" w:space="0" w:color="auto"/>
                  </w:divBdr>
                  <w:divsChild>
                    <w:div w:id="1302540244">
                      <w:marLeft w:val="0"/>
                      <w:marRight w:val="0"/>
                      <w:marTop w:val="0"/>
                      <w:marBottom w:val="0"/>
                      <w:divBdr>
                        <w:top w:val="none" w:sz="0" w:space="0" w:color="auto"/>
                        <w:left w:val="none" w:sz="0" w:space="0" w:color="auto"/>
                        <w:bottom w:val="none" w:sz="0" w:space="0" w:color="auto"/>
                        <w:right w:val="none" w:sz="0" w:space="0" w:color="auto"/>
                      </w:divBdr>
                    </w:div>
                  </w:divsChild>
                </w:div>
                <w:div w:id="62458806">
                  <w:marLeft w:val="0"/>
                  <w:marRight w:val="0"/>
                  <w:marTop w:val="0"/>
                  <w:marBottom w:val="0"/>
                  <w:divBdr>
                    <w:top w:val="none" w:sz="0" w:space="0" w:color="auto"/>
                    <w:left w:val="none" w:sz="0" w:space="0" w:color="auto"/>
                    <w:bottom w:val="none" w:sz="0" w:space="0" w:color="auto"/>
                    <w:right w:val="none" w:sz="0" w:space="0" w:color="auto"/>
                  </w:divBdr>
                  <w:divsChild>
                    <w:div w:id="893544755">
                      <w:marLeft w:val="0"/>
                      <w:marRight w:val="0"/>
                      <w:marTop w:val="0"/>
                      <w:marBottom w:val="0"/>
                      <w:divBdr>
                        <w:top w:val="none" w:sz="0" w:space="0" w:color="auto"/>
                        <w:left w:val="none" w:sz="0" w:space="0" w:color="auto"/>
                        <w:bottom w:val="none" w:sz="0" w:space="0" w:color="auto"/>
                        <w:right w:val="none" w:sz="0" w:space="0" w:color="auto"/>
                      </w:divBdr>
                    </w:div>
                  </w:divsChild>
                </w:div>
                <w:div w:id="2118864877">
                  <w:marLeft w:val="0"/>
                  <w:marRight w:val="0"/>
                  <w:marTop w:val="0"/>
                  <w:marBottom w:val="0"/>
                  <w:divBdr>
                    <w:top w:val="none" w:sz="0" w:space="0" w:color="auto"/>
                    <w:left w:val="none" w:sz="0" w:space="0" w:color="auto"/>
                    <w:bottom w:val="none" w:sz="0" w:space="0" w:color="auto"/>
                    <w:right w:val="none" w:sz="0" w:space="0" w:color="auto"/>
                  </w:divBdr>
                  <w:divsChild>
                    <w:div w:id="1318728544">
                      <w:marLeft w:val="0"/>
                      <w:marRight w:val="0"/>
                      <w:marTop w:val="0"/>
                      <w:marBottom w:val="0"/>
                      <w:divBdr>
                        <w:top w:val="none" w:sz="0" w:space="0" w:color="auto"/>
                        <w:left w:val="none" w:sz="0" w:space="0" w:color="auto"/>
                        <w:bottom w:val="none" w:sz="0" w:space="0" w:color="auto"/>
                        <w:right w:val="none" w:sz="0" w:space="0" w:color="auto"/>
                      </w:divBdr>
                    </w:div>
                  </w:divsChild>
                </w:div>
                <w:div w:id="1488748502">
                  <w:marLeft w:val="0"/>
                  <w:marRight w:val="0"/>
                  <w:marTop w:val="0"/>
                  <w:marBottom w:val="0"/>
                  <w:divBdr>
                    <w:top w:val="none" w:sz="0" w:space="0" w:color="auto"/>
                    <w:left w:val="none" w:sz="0" w:space="0" w:color="auto"/>
                    <w:bottom w:val="none" w:sz="0" w:space="0" w:color="auto"/>
                    <w:right w:val="none" w:sz="0" w:space="0" w:color="auto"/>
                  </w:divBdr>
                  <w:divsChild>
                    <w:div w:id="1616326154">
                      <w:marLeft w:val="0"/>
                      <w:marRight w:val="0"/>
                      <w:marTop w:val="0"/>
                      <w:marBottom w:val="0"/>
                      <w:divBdr>
                        <w:top w:val="none" w:sz="0" w:space="0" w:color="auto"/>
                        <w:left w:val="none" w:sz="0" w:space="0" w:color="auto"/>
                        <w:bottom w:val="none" w:sz="0" w:space="0" w:color="auto"/>
                        <w:right w:val="none" w:sz="0" w:space="0" w:color="auto"/>
                      </w:divBdr>
                    </w:div>
                  </w:divsChild>
                </w:div>
                <w:div w:id="814562809">
                  <w:marLeft w:val="0"/>
                  <w:marRight w:val="0"/>
                  <w:marTop w:val="0"/>
                  <w:marBottom w:val="0"/>
                  <w:divBdr>
                    <w:top w:val="none" w:sz="0" w:space="0" w:color="auto"/>
                    <w:left w:val="none" w:sz="0" w:space="0" w:color="auto"/>
                    <w:bottom w:val="none" w:sz="0" w:space="0" w:color="auto"/>
                    <w:right w:val="none" w:sz="0" w:space="0" w:color="auto"/>
                  </w:divBdr>
                  <w:divsChild>
                    <w:div w:id="1457795677">
                      <w:marLeft w:val="0"/>
                      <w:marRight w:val="0"/>
                      <w:marTop w:val="0"/>
                      <w:marBottom w:val="0"/>
                      <w:divBdr>
                        <w:top w:val="none" w:sz="0" w:space="0" w:color="auto"/>
                        <w:left w:val="none" w:sz="0" w:space="0" w:color="auto"/>
                        <w:bottom w:val="none" w:sz="0" w:space="0" w:color="auto"/>
                        <w:right w:val="none" w:sz="0" w:space="0" w:color="auto"/>
                      </w:divBdr>
                    </w:div>
                  </w:divsChild>
                </w:div>
                <w:div w:id="347176242">
                  <w:marLeft w:val="0"/>
                  <w:marRight w:val="0"/>
                  <w:marTop w:val="0"/>
                  <w:marBottom w:val="0"/>
                  <w:divBdr>
                    <w:top w:val="none" w:sz="0" w:space="0" w:color="auto"/>
                    <w:left w:val="none" w:sz="0" w:space="0" w:color="auto"/>
                    <w:bottom w:val="none" w:sz="0" w:space="0" w:color="auto"/>
                    <w:right w:val="none" w:sz="0" w:space="0" w:color="auto"/>
                  </w:divBdr>
                  <w:divsChild>
                    <w:div w:id="252973571">
                      <w:marLeft w:val="0"/>
                      <w:marRight w:val="0"/>
                      <w:marTop w:val="0"/>
                      <w:marBottom w:val="0"/>
                      <w:divBdr>
                        <w:top w:val="none" w:sz="0" w:space="0" w:color="auto"/>
                        <w:left w:val="none" w:sz="0" w:space="0" w:color="auto"/>
                        <w:bottom w:val="none" w:sz="0" w:space="0" w:color="auto"/>
                        <w:right w:val="none" w:sz="0" w:space="0" w:color="auto"/>
                      </w:divBdr>
                    </w:div>
                  </w:divsChild>
                </w:div>
                <w:div w:id="107941921">
                  <w:marLeft w:val="0"/>
                  <w:marRight w:val="0"/>
                  <w:marTop w:val="0"/>
                  <w:marBottom w:val="0"/>
                  <w:divBdr>
                    <w:top w:val="none" w:sz="0" w:space="0" w:color="auto"/>
                    <w:left w:val="none" w:sz="0" w:space="0" w:color="auto"/>
                    <w:bottom w:val="none" w:sz="0" w:space="0" w:color="auto"/>
                    <w:right w:val="none" w:sz="0" w:space="0" w:color="auto"/>
                  </w:divBdr>
                  <w:divsChild>
                    <w:div w:id="499783021">
                      <w:marLeft w:val="0"/>
                      <w:marRight w:val="0"/>
                      <w:marTop w:val="0"/>
                      <w:marBottom w:val="0"/>
                      <w:divBdr>
                        <w:top w:val="none" w:sz="0" w:space="0" w:color="auto"/>
                        <w:left w:val="none" w:sz="0" w:space="0" w:color="auto"/>
                        <w:bottom w:val="none" w:sz="0" w:space="0" w:color="auto"/>
                        <w:right w:val="none" w:sz="0" w:space="0" w:color="auto"/>
                      </w:divBdr>
                    </w:div>
                  </w:divsChild>
                </w:div>
                <w:div w:id="1524006563">
                  <w:marLeft w:val="0"/>
                  <w:marRight w:val="0"/>
                  <w:marTop w:val="0"/>
                  <w:marBottom w:val="0"/>
                  <w:divBdr>
                    <w:top w:val="none" w:sz="0" w:space="0" w:color="auto"/>
                    <w:left w:val="none" w:sz="0" w:space="0" w:color="auto"/>
                    <w:bottom w:val="none" w:sz="0" w:space="0" w:color="auto"/>
                    <w:right w:val="none" w:sz="0" w:space="0" w:color="auto"/>
                  </w:divBdr>
                  <w:divsChild>
                    <w:div w:id="1507331208">
                      <w:marLeft w:val="0"/>
                      <w:marRight w:val="0"/>
                      <w:marTop w:val="0"/>
                      <w:marBottom w:val="0"/>
                      <w:divBdr>
                        <w:top w:val="none" w:sz="0" w:space="0" w:color="auto"/>
                        <w:left w:val="none" w:sz="0" w:space="0" w:color="auto"/>
                        <w:bottom w:val="none" w:sz="0" w:space="0" w:color="auto"/>
                        <w:right w:val="none" w:sz="0" w:space="0" w:color="auto"/>
                      </w:divBdr>
                    </w:div>
                  </w:divsChild>
                </w:div>
                <w:div w:id="2061704690">
                  <w:marLeft w:val="0"/>
                  <w:marRight w:val="0"/>
                  <w:marTop w:val="0"/>
                  <w:marBottom w:val="0"/>
                  <w:divBdr>
                    <w:top w:val="none" w:sz="0" w:space="0" w:color="auto"/>
                    <w:left w:val="none" w:sz="0" w:space="0" w:color="auto"/>
                    <w:bottom w:val="none" w:sz="0" w:space="0" w:color="auto"/>
                    <w:right w:val="none" w:sz="0" w:space="0" w:color="auto"/>
                  </w:divBdr>
                  <w:divsChild>
                    <w:div w:id="1425032740">
                      <w:marLeft w:val="0"/>
                      <w:marRight w:val="0"/>
                      <w:marTop w:val="0"/>
                      <w:marBottom w:val="0"/>
                      <w:divBdr>
                        <w:top w:val="none" w:sz="0" w:space="0" w:color="auto"/>
                        <w:left w:val="none" w:sz="0" w:space="0" w:color="auto"/>
                        <w:bottom w:val="none" w:sz="0" w:space="0" w:color="auto"/>
                        <w:right w:val="none" w:sz="0" w:space="0" w:color="auto"/>
                      </w:divBdr>
                    </w:div>
                  </w:divsChild>
                </w:div>
                <w:div w:id="725182356">
                  <w:marLeft w:val="0"/>
                  <w:marRight w:val="0"/>
                  <w:marTop w:val="0"/>
                  <w:marBottom w:val="0"/>
                  <w:divBdr>
                    <w:top w:val="none" w:sz="0" w:space="0" w:color="auto"/>
                    <w:left w:val="none" w:sz="0" w:space="0" w:color="auto"/>
                    <w:bottom w:val="none" w:sz="0" w:space="0" w:color="auto"/>
                    <w:right w:val="none" w:sz="0" w:space="0" w:color="auto"/>
                  </w:divBdr>
                  <w:divsChild>
                    <w:div w:id="1833139670">
                      <w:marLeft w:val="0"/>
                      <w:marRight w:val="0"/>
                      <w:marTop w:val="0"/>
                      <w:marBottom w:val="0"/>
                      <w:divBdr>
                        <w:top w:val="none" w:sz="0" w:space="0" w:color="auto"/>
                        <w:left w:val="none" w:sz="0" w:space="0" w:color="auto"/>
                        <w:bottom w:val="none" w:sz="0" w:space="0" w:color="auto"/>
                        <w:right w:val="none" w:sz="0" w:space="0" w:color="auto"/>
                      </w:divBdr>
                    </w:div>
                  </w:divsChild>
                </w:div>
                <w:div w:id="1865946800">
                  <w:marLeft w:val="0"/>
                  <w:marRight w:val="0"/>
                  <w:marTop w:val="0"/>
                  <w:marBottom w:val="0"/>
                  <w:divBdr>
                    <w:top w:val="none" w:sz="0" w:space="0" w:color="auto"/>
                    <w:left w:val="none" w:sz="0" w:space="0" w:color="auto"/>
                    <w:bottom w:val="none" w:sz="0" w:space="0" w:color="auto"/>
                    <w:right w:val="none" w:sz="0" w:space="0" w:color="auto"/>
                  </w:divBdr>
                  <w:divsChild>
                    <w:div w:id="1021322702">
                      <w:marLeft w:val="0"/>
                      <w:marRight w:val="0"/>
                      <w:marTop w:val="0"/>
                      <w:marBottom w:val="0"/>
                      <w:divBdr>
                        <w:top w:val="none" w:sz="0" w:space="0" w:color="auto"/>
                        <w:left w:val="none" w:sz="0" w:space="0" w:color="auto"/>
                        <w:bottom w:val="none" w:sz="0" w:space="0" w:color="auto"/>
                        <w:right w:val="none" w:sz="0" w:space="0" w:color="auto"/>
                      </w:divBdr>
                    </w:div>
                  </w:divsChild>
                </w:div>
                <w:div w:id="533886086">
                  <w:marLeft w:val="0"/>
                  <w:marRight w:val="0"/>
                  <w:marTop w:val="0"/>
                  <w:marBottom w:val="0"/>
                  <w:divBdr>
                    <w:top w:val="none" w:sz="0" w:space="0" w:color="auto"/>
                    <w:left w:val="none" w:sz="0" w:space="0" w:color="auto"/>
                    <w:bottom w:val="none" w:sz="0" w:space="0" w:color="auto"/>
                    <w:right w:val="none" w:sz="0" w:space="0" w:color="auto"/>
                  </w:divBdr>
                  <w:divsChild>
                    <w:div w:id="1570652699">
                      <w:marLeft w:val="0"/>
                      <w:marRight w:val="0"/>
                      <w:marTop w:val="0"/>
                      <w:marBottom w:val="0"/>
                      <w:divBdr>
                        <w:top w:val="none" w:sz="0" w:space="0" w:color="auto"/>
                        <w:left w:val="none" w:sz="0" w:space="0" w:color="auto"/>
                        <w:bottom w:val="none" w:sz="0" w:space="0" w:color="auto"/>
                        <w:right w:val="none" w:sz="0" w:space="0" w:color="auto"/>
                      </w:divBdr>
                    </w:div>
                  </w:divsChild>
                </w:div>
                <w:div w:id="796796304">
                  <w:marLeft w:val="0"/>
                  <w:marRight w:val="0"/>
                  <w:marTop w:val="0"/>
                  <w:marBottom w:val="0"/>
                  <w:divBdr>
                    <w:top w:val="none" w:sz="0" w:space="0" w:color="auto"/>
                    <w:left w:val="none" w:sz="0" w:space="0" w:color="auto"/>
                    <w:bottom w:val="none" w:sz="0" w:space="0" w:color="auto"/>
                    <w:right w:val="none" w:sz="0" w:space="0" w:color="auto"/>
                  </w:divBdr>
                  <w:divsChild>
                    <w:div w:id="1803426619">
                      <w:marLeft w:val="0"/>
                      <w:marRight w:val="0"/>
                      <w:marTop w:val="0"/>
                      <w:marBottom w:val="0"/>
                      <w:divBdr>
                        <w:top w:val="none" w:sz="0" w:space="0" w:color="auto"/>
                        <w:left w:val="none" w:sz="0" w:space="0" w:color="auto"/>
                        <w:bottom w:val="none" w:sz="0" w:space="0" w:color="auto"/>
                        <w:right w:val="none" w:sz="0" w:space="0" w:color="auto"/>
                      </w:divBdr>
                    </w:div>
                  </w:divsChild>
                </w:div>
                <w:div w:id="1139497807">
                  <w:marLeft w:val="0"/>
                  <w:marRight w:val="0"/>
                  <w:marTop w:val="0"/>
                  <w:marBottom w:val="0"/>
                  <w:divBdr>
                    <w:top w:val="none" w:sz="0" w:space="0" w:color="auto"/>
                    <w:left w:val="none" w:sz="0" w:space="0" w:color="auto"/>
                    <w:bottom w:val="none" w:sz="0" w:space="0" w:color="auto"/>
                    <w:right w:val="none" w:sz="0" w:space="0" w:color="auto"/>
                  </w:divBdr>
                  <w:divsChild>
                    <w:div w:id="265774466">
                      <w:marLeft w:val="0"/>
                      <w:marRight w:val="0"/>
                      <w:marTop w:val="0"/>
                      <w:marBottom w:val="0"/>
                      <w:divBdr>
                        <w:top w:val="none" w:sz="0" w:space="0" w:color="auto"/>
                        <w:left w:val="none" w:sz="0" w:space="0" w:color="auto"/>
                        <w:bottom w:val="none" w:sz="0" w:space="0" w:color="auto"/>
                        <w:right w:val="none" w:sz="0" w:space="0" w:color="auto"/>
                      </w:divBdr>
                    </w:div>
                  </w:divsChild>
                </w:div>
                <w:div w:id="1107233822">
                  <w:marLeft w:val="0"/>
                  <w:marRight w:val="0"/>
                  <w:marTop w:val="0"/>
                  <w:marBottom w:val="0"/>
                  <w:divBdr>
                    <w:top w:val="none" w:sz="0" w:space="0" w:color="auto"/>
                    <w:left w:val="none" w:sz="0" w:space="0" w:color="auto"/>
                    <w:bottom w:val="none" w:sz="0" w:space="0" w:color="auto"/>
                    <w:right w:val="none" w:sz="0" w:space="0" w:color="auto"/>
                  </w:divBdr>
                  <w:divsChild>
                    <w:div w:id="156966042">
                      <w:marLeft w:val="0"/>
                      <w:marRight w:val="0"/>
                      <w:marTop w:val="0"/>
                      <w:marBottom w:val="0"/>
                      <w:divBdr>
                        <w:top w:val="none" w:sz="0" w:space="0" w:color="auto"/>
                        <w:left w:val="none" w:sz="0" w:space="0" w:color="auto"/>
                        <w:bottom w:val="none" w:sz="0" w:space="0" w:color="auto"/>
                        <w:right w:val="none" w:sz="0" w:space="0" w:color="auto"/>
                      </w:divBdr>
                    </w:div>
                  </w:divsChild>
                </w:div>
                <w:div w:id="760368747">
                  <w:marLeft w:val="0"/>
                  <w:marRight w:val="0"/>
                  <w:marTop w:val="0"/>
                  <w:marBottom w:val="0"/>
                  <w:divBdr>
                    <w:top w:val="none" w:sz="0" w:space="0" w:color="auto"/>
                    <w:left w:val="none" w:sz="0" w:space="0" w:color="auto"/>
                    <w:bottom w:val="none" w:sz="0" w:space="0" w:color="auto"/>
                    <w:right w:val="none" w:sz="0" w:space="0" w:color="auto"/>
                  </w:divBdr>
                  <w:divsChild>
                    <w:div w:id="1759250474">
                      <w:marLeft w:val="0"/>
                      <w:marRight w:val="0"/>
                      <w:marTop w:val="0"/>
                      <w:marBottom w:val="0"/>
                      <w:divBdr>
                        <w:top w:val="none" w:sz="0" w:space="0" w:color="auto"/>
                        <w:left w:val="none" w:sz="0" w:space="0" w:color="auto"/>
                        <w:bottom w:val="none" w:sz="0" w:space="0" w:color="auto"/>
                        <w:right w:val="none" w:sz="0" w:space="0" w:color="auto"/>
                      </w:divBdr>
                    </w:div>
                  </w:divsChild>
                </w:div>
                <w:div w:id="526406490">
                  <w:marLeft w:val="0"/>
                  <w:marRight w:val="0"/>
                  <w:marTop w:val="0"/>
                  <w:marBottom w:val="0"/>
                  <w:divBdr>
                    <w:top w:val="none" w:sz="0" w:space="0" w:color="auto"/>
                    <w:left w:val="none" w:sz="0" w:space="0" w:color="auto"/>
                    <w:bottom w:val="none" w:sz="0" w:space="0" w:color="auto"/>
                    <w:right w:val="none" w:sz="0" w:space="0" w:color="auto"/>
                  </w:divBdr>
                  <w:divsChild>
                    <w:div w:id="153767655">
                      <w:marLeft w:val="0"/>
                      <w:marRight w:val="0"/>
                      <w:marTop w:val="0"/>
                      <w:marBottom w:val="0"/>
                      <w:divBdr>
                        <w:top w:val="none" w:sz="0" w:space="0" w:color="auto"/>
                        <w:left w:val="none" w:sz="0" w:space="0" w:color="auto"/>
                        <w:bottom w:val="none" w:sz="0" w:space="0" w:color="auto"/>
                        <w:right w:val="none" w:sz="0" w:space="0" w:color="auto"/>
                      </w:divBdr>
                    </w:div>
                  </w:divsChild>
                </w:div>
                <w:div w:id="1540510697">
                  <w:marLeft w:val="0"/>
                  <w:marRight w:val="0"/>
                  <w:marTop w:val="0"/>
                  <w:marBottom w:val="0"/>
                  <w:divBdr>
                    <w:top w:val="none" w:sz="0" w:space="0" w:color="auto"/>
                    <w:left w:val="none" w:sz="0" w:space="0" w:color="auto"/>
                    <w:bottom w:val="none" w:sz="0" w:space="0" w:color="auto"/>
                    <w:right w:val="none" w:sz="0" w:space="0" w:color="auto"/>
                  </w:divBdr>
                  <w:divsChild>
                    <w:div w:id="1441097521">
                      <w:marLeft w:val="0"/>
                      <w:marRight w:val="0"/>
                      <w:marTop w:val="0"/>
                      <w:marBottom w:val="0"/>
                      <w:divBdr>
                        <w:top w:val="none" w:sz="0" w:space="0" w:color="auto"/>
                        <w:left w:val="none" w:sz="0" w:space="0" w:color="auto"/>
                        <w:bottom w:val="none" w:sz="0" w:space="0" w:color="auto"/>
                        <w:right w:val="none" w:sz="0" w:space="0" w:color="auto"/>
                      </w:divBdr>
                    </w:div>
                  </w:divsChild>
                </w:div>
                <w:div w:id="409237372">
                  <w:marLeft w:val="0"/>
                  <w:marRight w:val="0"/>
                  <w:marTop w:val="0"/>
                  <w:marBottom w:val="0"/>
                  <w:divBdr>
                    <w:top w:val="none" w:sz="0" w:space="0" w:color="auto"/>
                    <w:left w:val="none" w:sz="0" w:space="0" w:color="auto"/>
                    <w:bottom w:val="none" w:sz="0" w:space="0" w:color="auto"/>
                    <w:right w:val="none" w:sz="0" w:space="0" w:color="auto"/>
                  </w:divBdr>
                  <w:divsChild>
                    <w:div w:id="1007368653">
                      <w:marLeft w:val="0"/>
                      <w:marRight w:val="0"/>
                      <w:marTop w:val="0"/>
                      <w:marBottom w:val="0"/>
                      <w:divBdr>
                        <w:top w:val="none" w:sz="0" w:space="0" w:color="auto"/>
                        <w:left w:val="none" w:sz="0" w:space="0" w:color="auto"/>
                        <w:bottom w:val="none" w:sz="0" w:space="0" w:color="auto"/>
                        <w:right w:val="none" w:sz="0" w:space="0" w:color="auto"/>
                      </w:divBdr>
                    </w:div>
                  </w:divsChild>
                </w:div>
                <w:div w:id="11149557">
                  <w:marLeft w:val="0"/>
                  <w:marRight w:val="0"/>
                  <w:marTop w:val="0"/>
                  <w:marBottom w:val="0"/>
                  <w:divBdr>
                    <w:top w:val="none" w:sz="0" w:space="0" w:color="auto"/>
                    <w:left w:val="none" w:sz="0" w:space="0" w:color="auto"/>
                    <w:bottom w:val="none" w:sz="0" w:space="0" w:color="auto"/>
                    <w:right w:val="none" w:sz="0" w:space="0" w:color="auto"/>
                  </w:divBdr>
                  <w:divsChild>
                    <w:div w:id="174081969">
                      <w:marLeft w:val="0"/>
                      <w:marRight w:val="0"/>
                      <w:marTop w:val="0"/>
                      <w:marBottom w:val="0"/>
                      <w:divBdr>
                        <w:top w:val="none" w:sz="0" w:space="0" w:color="auto"/>
                        <w:left w:val="none" w:sz="0" w:space="0" w:color="auto"/>
                        <w:bottom w:val="none" w:sz="0" w:space="0" w:color="auto"/>
                        <w:right w:val="none" w:sz="0" w:space="0" w:color="auto"/>
                      </w:divBdr>
                    </w:div>
                  </w:divsChild>
                </w:div>
                <w:div w:id="1245068589">
                  <w:marLeft w:val="0"/>
                  <w:marRight w:val="0"/>
                  <w:marTop w:val="0"/>
                  <w:marBottom w:val="0"/>
                  <w:divBdr>
                    <w:top w:val="none" w:sz="0" w:space="0" w:color="auto"/>
                    <w:left w:val="none" w:sz="0" w:space="0" w:color="auto"/>
                    <w:bottom w:val="none" w:sz="0" w:space="0" w:color="auto"/>
                    <w:right w:val="none" w:sz="0" w:space="0" w:color="auto"/>
                  </w:divBdr>
                  <w:divsChild>
                    <w:div w:id="1762677457">
                      <w:marLeft w:val="0"/>
                      <w:marRight w:val="0"/>
                      <w:marTop w:val="0"/>
                      <w:marBottom w:val="0"/>
                      <w:divBdr>
                        <w:top w:val="none" w:sz="0" w:space="0" w:color="auto"/>
                        <w:left w:val="none" w:sz="0" w:space="0" w:color="auto"/>
                        <w:bottom w:val="none" w:sz="0" w:space="0" w:color="auto"/>
                        <w:right w:val="none" w:sz="0" w:space="0" w:color="auto"/>
                      </w:divBdr>
                    </w:div>
                  </w:divsChild>
                </w:div>
                <w:div w:id="159808262">
                  <w:marLeft w:val="0"/>
                  <w:marRight w:val="0"/>
                  <w:marTop w:val="0"/>
                  <w:marBottom w:val="0"/>
                  <w:divBdr>
                    <w:top w:val="none" w:sz="0" w:space="0" w:color="auto"/>
                    <w:left w:val="none" w:sz="0" w:space="0" w:color="auto"/>
                    <w:bottom w:val="none" w:sz="0" w:space="0" w:color="auto"/>
                    <w:right w:val="none" w:sz="0" w:space="0" w:color="auto"/>
                  </w:divBdr>
                  <w:divsChild>
                    <w:div w:id="2100441892">
                      <w:marLeft w:val="0"/>
                      <w:marRight w:val="0"/>
                      <w:marTop w:val="0"/>
                      <w:marBottom w:val="0"/>
                      <w:divBdr>
                        <w:top w:val="none" w:sz="0" w:space="0" w:color="auto"/>
                        <w:left w:val="none" w:sz="0" w:space="0" w:color="auto"/>
                        <w:bottom w:val="none" w:sz="0" w:space="0" w:color="auto"/>
                        <w:right w:val="none" w:sz="0" w:space="0" w:color="auto"/>
                      </w:divBdr>
                    </w:div>
                  </w:divsChild>
                </w:div>
                <w:div w:id="941690800">
                  <w:marLeft w:val="0"/>
                  <w:marRight w:val="0"/>
                  <w:marTop w:val="0"/>
                  <w:marBottom w:val="0"/>
                  <w:divBdr>
                    <w:top w:val="none" w:sz="0" w:space="0" w:color="auto"/>
                    <w:left w:val="none" w:sz="0" w:space="0" w:color="auto"/>
                    <w:bottom w:val="none" w:sz="0" w:space="0" w:color="auto"/>
                    <w:right w:val="none" w:sz="0" w:space="0" w:color="auto"/>
                  </w:divBdr>
                  <w:divsChild>
                    <w:div w:id="1159614501">
                      <w:marLeft w:val="0"/>
                      <w:marRight w:val="0"/>
                      <w:marTop w:val="0"/>
                      <w:marBottom w:val="0"/>
                      <w:divBdr>
                        <w:top w:val="none" w:sz="0" w:space="0" w:color="auto"/>
                        <w:left w:val="none" w:sz="0" w:space="0" w:color="auto"/>
                        <w:bottom w:val="none" w:sz="0" w:space="0" w:color="auto"/>
                        <w:right w:val="none" w:sz="0" w:space="0" w:color="auto"/>
                      </w:divBdr>
                    </w:div>
                  </w:divsChild>
                </w:div>
                <w:div w:id="219830920">
                  <w:marLeft w:val="0"/>
                  <w:marRight w:val="0"/>
                  <w:marTop w:val="0"/>
                  <w:marBottom w:val="0"/>
                  <w:divBdr>
                    <w:top w:val="none" w:sz="0" w:space="0" w:color="auto"/>
                    <w:left w:val="none" w:sz="0" w:space="0" w:color="auto"/>
                    <w:bottom w:val="none" w:sz="0" w:space="0" w:color="auto"/>
                    <w:right w:val="none" w:sz="0" w:space="0" w:color="auto"/>
                  </w:divBdr>
                  <w:divsChild>
                    <w:div w:id="1605262096">
                      <w:marLeft w:val="0"/>
                      <w:marRight w:val="0"/>
                      <w:marTop w:val="0"/>
                      <w:marBottom w:val="0"/>
                      <w:divBdr>
                        <w:top w:val="none" w:sz="0" w:space="0" w:color="auto"/>
                        <w:left w:val="none" w:sz="0" w:space="0" w:color="auto"/>
                        <w:bottom w:val="none" w:sz="0" w:space="0" w:color="auto"/>
                        <w:right w:val="none" w:sz="0" w:space="0" w:color="auto"/>
                      </w:divBdr>
                    </w:div>
                  </w:divsChild>
                </w:div>
                <w:div w:id="667169865">
                  <w:marLeft w:val="0"/>
                  <w:marRight w:val="0"/>
                  <w:marTop w:val="0"/>
                  <w:marBottom w:val="0"/>
                  <w:divBdr>
                    <w:top w:val="none" w:sz="0" w:space="0" w:color="auto"/>
                    <w:left w:val="none" w:sz="0" w:space="0" w:color="auto"/>
                    <w:bottom w:val="none" w:sz="0" w:space="0" w:color="auto"/>
                    <w:right w:val="none" w:sz="0" w:space="0" w:color="auto"/>
                  </w:divBdr>
                  <w:divsChild>
                    <w:div w:id="798912831">
                      <w:marLeft w:val="0"/>
                      <w:marRight w:val="0"/>
                      <w:marTop w:val="0"/>
                      <w:marBottom w:val="0"/>
                      <w:divBdr>
                        <w:top w:val="none" w:sz="0" w:space="0" w:color="auto"/>
                        <w:left w:val="none" w:sz="0" w:space="0" w:color="auto"/>
                        <w:bottom w:val="none" w:sz="0" w:space="0" w:color="auto"/>
                        <w:right w:val="none" w:sz="0" w:space="0" w:color="auto"/>
                      </w:divBdr>
                    </w:div>
                  </w:divsChild>
                </w:div>
                <w:div w:id="1848978405">
                  <w:marLeft w:val="0"/>
                  <w:marRight w:val="0"/>
                  <w:marTop w:val="0"/>
                  <w:marBottom w:val="0"/>
                  <w:divBdr>
                    <w:top w:val="none" w:sz="0" w:space="0" w:color="auto"/>
                    <w:left w:val="none" w:sz="0" w:space="0" w:color="auto"/>
                    <w:bottom w:val="none" w:sz="0" w:space="0" w:color="auto"/>
                    <w:right w:val="none" w:sz="0" w:space="0" w:color="auto"/>
                  </w:divBdr>
                  <w:divsChild>
                    <w:div w:id="1990134964">
                      <w:marLeft w:val="0"/>
                      <w:marRight w:val="0"/>
                      <w:marTop w:val="0"/>
                      <w:marBottom w:val="0"/>
                      <w:divBdr>
                        <w:top w:val="none" w:sz="0" w:space="0" w:color="auto"/>
                        <w:left w:val="none" w:sz="0" w:space="0" w:color="auto"/>
                        <w:bottom w:val="none" w:sz="0" w:space="0" w:color="auto"/>
                        <w:right w:val="none" w:sz="0" w:space="0" w:color="auto"/>
                      </w:divBdr>
                    </w:div>
                  </w:divsChild>
                </w:div>
                <w:div w:id="482085962">
                  <w:marLeft w:val="0"/>
                  <w:marRight w:val="0"/>
                  <w:marTop w:val="0"/>
                  <w:marBottom w:val="0"/>
                  <w:divBdr>
                    <w:top w:val="none" w:sz="0" w:space="0" w:color="auto"/>
                    <w:left w:val="none" w:sz="0" w:space="0" w:color="auto"/>
                    <w:bottom w:val="none" w:sz="0" w:space="0" w:color="auto"/>
                    <w:right w:val="none" w:sz="0" w:space="0" w:color="auto"/>
                  </w:divBdr>
                  <w:divsChild>
                    <w:div w:id="356583342">
                      <w:marLeft w:val="0"/>
                      <w:marRight w:val="0"/>
                      <w:marTop w:val="0"/>
                      <w:marBottom w:val="0"/>
                      <w:divBdr>
                        <w:top w:val="none" w:sz="0" w:space="0" w:color="auto"/>
                        <w:left w:val="none" w:sz="0" w:space="0" w:color="auto"/>
                        <w:bottom w:val="none" w:sz="0" w:space="0" w:color="auto"/>
                        <w:right w:val="none" w:sz="0" w:space="0" w:color="auto"/>
                      </w:divBdr>
                    </w:div>
                  </w:divsChild>
                </w:div>
                <w:div w:id="822156932">
                  <w:marLeft w:val="0"/>
                  <w:marRight w:val="0"/>
                  <w:marTop w:val="0"/>
                  <w:marBottom w:val="0"/>
                  <w:divBdr>
                    <w:top w:val="none" w:sz="0" w:space="0" w:color="auto"/>
                    <w:left w:val="none" w:sz="0" w:space="0" w:color="auto"/>
                    <w:bottom w:val="none" w:sz="0" w:space="0" w:color="auto"/>
                    <w:right w:val="none" w:sz="0" w:space="0" w:color="auto"/>
                  </w:divBdr>
                  <w:divsChild>
                    <w:div w:id="1856453330">
                      <w:marLeft w:val="0"/>
                      <w:marRight w:val="0"/>
                      <w:marTop w:val="0"/>
                      <w:marBottom w:val="0"/>
                      <w:divBdr>
                        <w:top w:val="none" w:sz="0" w:space="0" w:color="auto"/>
                        <w:left w:val="none" w:sz="0" w:space="0" w:color="auto"/>
                        <w:bottom w:val="none" w:sz="0" w:space="0" w:color="auto"/>
                        <w:right w:val="none" w:sz="0" w:space="0" w:color="auto"/>
                      </w:divBdr>
                    </w:div>
                  </w:divsChild>
                </w:div>
                <w:div w:id="1846551642">
                  <w:marLeft w:val="0"/>
                  <w:marRight w:val="0"/>
                  <w:marTop w:val="0"/>
                  <w:marBottom w:val="0"/>
                  <w:divBdr>
                    <w:top w:val="none" w:sz="0" w:space="0" w:color="auto"/>
                    <w:left w:val="none" w:sz="0" w:space="0" w:color="auto"/>
                    <w:bottom w:val="none" w:sz="0" w:space="0" w:color="auto"/>
                    <w:right w:val="none" w:sz="0" w:space="0" w:color="auto"/>
                  </w:divBdr>
                  <w:divsChild>
                    <w:div w:id="1267470633">
                      <w:marLeft w:val="0"/>
                      <w:marRight w:val="0"/>
                      <w:marTop w:val="0"/>
                      <w:marBottom w:val="0"/>
                      <w:divBdr>
                        <w:top w:val="none" w:sz="0" w:space="0" w:color="auto"/>
                        <w:left w:val="none" w:sz="0" w:space="0" w:color="auto"/>
                        <w:bottom w:val="none" w:sz="0" w:space="0" w:color="auto"/>
                        <w:right w:val="none" w:sz="0" w:space="0" w:color="auto"/>
                      </w:divBdr>
                    </w:div>
                  </w:divsChild>
                </w:div>
                <w:div w:id="755055228">
                  <w:marLeft w:val="0"/>
                  <w:marRight w:val="0"/>
                  <w:marTop w:val="0"/>
                  <w:marBottom w:val="0"/>
                  <w:divBdr>
                    <w:top w:val="none" w:sz="0" w:space="0" w:color="auto"/>
                    <w:left w:val="none" w:sz="0" w:space="0" w:color="auto"/>
                    <w:bottom w:val="none" w:sz="0" w:space="0" w:color="auto"/>
                    <w:right w:val="none" w:sz="0" w:space="0" w:color="auto"/>
                  </w:divBdr>
                  <w:divsChild>
                    <w:div w:id="368186187">
                      <w:marLeft w:val="0"/>
                      <w:marRight w:val="0"/>
                      <w:marTop w:val="0"/>
                      <w:marBottom w:val="0"/>
                      <w:divBdr>
                        <w:top w:val="none" w:sz="0" w:space="0" w:color="auto"/>
                        <w:left w:val="none" w:sz="0" w:space="0" w:color="auto"/>
                        <w:bottom w:val="none" w:sz="0" w:space="0" w:color="auto"/>
                        <w:right w:val="none" w:sz="0" w:space="0" w:color="auto"/>
                      </w:divBdr>
                    </w:div>
                  </w:divsChild>
                </w:div>
                <w:div w:id="1886720936">
                  <w:marLeft w:val="0"/>
                  <w:marRight w:val="0"/>
                  <w:marTop w:val="0"/>
                  <w:marBottom w:val="0"/>
                  <w:divBdr>
                    <w:top w:val="none" w:sz="0" w:space="0" w:color="auto"/>
                    <w:left w:val="none" w:sz="0" w:space="0" w:color="auto"/>
                    <w:bottom w:val="none" w:sz="0" w:space="0" w:color="auto"/>
                    <w:right w:val="none" w:sz="0" w:space="0" w:color="auto"/>
                  </w:divBdr>
                  <w:divsChild>
                    <w:div w:id="951937942">
                      <w:marLeft w:val="0"/>
                      <w:marRight w:val="0"/>
                      <w:marTop w:val="0"/>
                      <w:marBottom w:val="0"/>
                      <w:divBdr>
                        <w:top w:val="none" w:sz="0" w:space="0" w:color="auto"/>
                        <w:left w:val="none" w:sz="0" w:space="0" w:color="auto"/>
                        <w:bottom w:val="none" w:sz="0" w:space="0" w:color="auto"/>
                        <w:right w:val="none" w:sz="0" w:space="0" w:color="auto"/>
                      </w:divBdr>
                    </w:div>
                  </w:divsChild>
                </w:div>
                <w:div w:id="1729911983">
                  <w:marLeft w:val="0"/>
                  <w:marRight w:val="0"/>
                  <w:marTop w:val="0"/>
                  <w:marBottom w:val="0"/>
                  <w:divBdr>
                    <w:top w:val="none" w:sz="0" w:space="0" w:color="auto"/>
                    <w:left w:val="none" w:sz="0" w:space="0" w:color="auto"/>
                    <w:bottom w:val="none" w:sz="0" w:space="0" w:color="auto"/>
                    <w:right w:val="none" w:sz="0" w:space="0" w:color="auto"/>
                  </w:divBdr>
                  <w:divsChild>
                    <w:div w:id="384646758">
                      <w:marLeft w:val="0"/>
                      <w:marRight w:val="0"/>
                      <w:marTop w:val="0"/>
                      <w:marBottom w:val="0"/>
                      <w:divBdr>
                        <w:top w:val="none" w:sz="0" w:space="0" w:color="auto"/>
                        <w:left w:val="none" w:sz="0" w:space="0" w:color="auto"/>
                        <w:bottom w:val="none" w:sz="0" w:space="0" w:color="auto"/>
                        <w:right w:val="none" w:sz="0" w:space="0" w:color="auto"/>
                      </w:divBdr>
                    </w:div>
                  </w:divsChild>
                </w:div>
                <w:div w:id="2010450469">
                  <w:marLeft w:val="0"/>
                  <w:marRight w:val="0"/>
                  <w:marTop w:val="0"/>
                  <w:marBottom w:val="0"/>
                  <w:divBdr>
                    <w:top w:val="none" w:sz="0" w:space="0" w:color="auto"/>
                    <w:left w:val="none" w:sz="0" w:space="0" w:color="auto"/>
                    <w:bottom w:val="none" w:sz="0" w:space="0" w:color="auto"/>
                    <w:right w:val="none" w:sz="0" w:space="0" w:color="auto"/>
                  </w:divBdr>
                  <w:divsChild>
                    <w:div w:id="962466130">
                      <w:marLeft w:val="0"/>
                      <w:marRight w:val="0"/>
                      <w:marTop w:val="0"/>
                      <w:marBottom w:val="0"/>
                      <w:divBdr>
                        <w:top w:val="none" w:sz="0" w:space="0" w:color="auto"/>
                        <w:left w:val="none" w:sz="0" w:space="0" w:color="auto"/>
                        <w:bottom w:val="none" w:sz="0" w:space="0" w:color="auto"/>
                        <w:right w:val="none" w:sz="0" w:space="0" w:color="auto"/>
                      </w:divBdr>
                    </w:div>
                  </w:divsChild>
                </w:div>
                <w:div w:id="1721199385">
                  <w:marLeft w:val="0"/>
                  <w:marRight w:val="0"/>
                  <w:marTop w:val="0"/>
                  <w:marBottom w:val="0"/>
                  <w:divBdr>
                    <w:top w:val="none" w:sz="0" w:space="0" w:color="auto"/>
                    <w:left w:val="none" w:sz="0" w:space="0" w:color="auto"/>
                    <w:bottom w:val="none" w:sz="0" w:space="0" w:color="auto"/>
                    <w:right w:val="none" w:sz="0" w:space="0" w:color="auto"/>
                  </w:divBdr>
                  <w:divsChild>
                    <w:div w:id="906113677">
                      <w:marLeft w:val="0"/>
                      <w:marRight w:val="0"/>
                      <w:marTop w:val="0"/>
                      <w:marBottom w:val="0"/>
                      <w:divBdr>
                        <w:top w:val="none" w:sz="0" w:space="0" w:color="auto"/>
                        <w:left w:val="none" w:sz="0" w:space="0" w:color="auto"/>
                        <w:bottom w:val="none" w:sz="0" w:space="0" w:color="auto"/>
                        <w:right w:val="none" w:sz="0" w:space="0" w:color="auto"/>
                      </w:divBdr>
                    </w:div>
                  </w:divsChild>
                </w:div>
                <w:div w:id="679164327">
                  <w:marLeft w:val="0"/>
                  <w:marRight w:val="0"/>
                  <w:marTop w:val="0"/>
                  <w:marBottom w:val="0"/>
                  <w:divBdr>
                    <w:top w:val="none" w:sz="0" w:space="0" w:color="auto"/>
                    <w:left w:val="none" w:sz="0" w:space="0" w:color="auto"/>
                    <w:bottom w:val="none" w:sz="0" w:space="0" w:color="auto"/>
                    <w:right w:val="none" w:sz="0" w:space="0" w:color="auto"/>
                  </w:divBdr>
                  <w:divsChild>
                    <w:div w:id="999622707">
                      <w:marLeft w:val="0"/>
                      <w:marRight w:val="0"/>
                      <w:marTop w:val="0"/>
                      <w:marBottom w:val="0"/>
                      <w:divBdr>
                        <w:top w:val="none" w:sz="0" w:space="0" w:color="auto"/>
                        <w:left w:val="none" w:sz="0" w:space="0" w:color="auto"/>
                        <w:bottom w:val="none" w:sz="0" w:space="0" w:color="auto"/>
                        <w:right w:val="none" w:sz="0" w:space="0" w:color="auto"/>
                      </w:divBdr>
                    </w:div>
                  </w:divsChild>
                </w:div>
                <w:div w:id="535653965">
                  <w:marLeft w:val="0"/>
                  <w:marRight w:val="0"/>
                  <w:marTop w:val="0"/>
                  <w:marBottom w:val="0"/>
                  <w:divBdr>
                    <w:top w:val="none" w:sz="0" w:space="0" w:color="auto"/>
                    <w:left w:val="none" w:sz="0" w:space="0" w:color="auto"/>
                    <w:bottom w:val="none" w:sz="0" w:space="0" w:color="auto"/>
                    <w:right w:val="none" w:sz="0" w:space="0" w:color="auto"/>
                  </w:divBdr>
                  <w:divsChild>
                    <w:div w:id="1285650671">
                      <w:marLeft w:val="0"/>
                      <w:marRight w:val="0"/>
                      <w:marTop w:val="0"/>
                      <w:marBottom w:val="0"/>
                      <w:divBdr>
                        <w:top w:val="none" w:sz="0" w:space="0" w:color="auto"/>
                        <w:left w:val="none" w:sz="0" w:space="0" w:color="auto"/>
                        <w:bottom w:val="none" w:sz="0" w:space="0" w:color="auto"/>
                        <w:right w:val="none" w:sz="0" w:space="0" w:color="auto"/>
                      </w:divBdr>
                    </w:div>
                  </w:divsChild>
                </w:div>
                <w:div w:id="648824725">
                  <w:marLeft w:val="0"/>
                  <w:marRight w:val="0"/>
                  <w:marTop w:val="0"/>
                  <w:marBottom w:val="0"/>
                  <w:divBdr>
                    <w:top w:val="none" w:sz="0" w:space="0" w:color="auto"/>
                    <w:left w:val="none" w:sz="0" w:space="0" w:color="auto"/>
                    <w:bottom w:val="none" w:sz="0" w:space="0" w:color="auto"/>
                    <w:right w:val="none" w:sz="0" w:space="0" w:color="auto"/>
                  </w:divBdr>
                  <w:divsChild>
                    <w:div w:id="980615399">
                      <w:marLeft w:val="0"/>
                      <w:marRight w:val="0"/>
                      <w:marTop w:val="0"/>
                      <w:marBottom w:val="0"/>
                      <w:divBdr>
                        <w:top w:val="none" w:sz="0" w:space="0" w:color="auto"/>
                        <w:left w:val="none" w:sz="0" w:space="0" w:color="auto"/>
                        <w:bottom w:val="none" w:sz="0" w:space="0" w:color="auto"/>
                        <w:right w:val="none" w:sz="0" w:space="0" w:color="auto"/>
                      </w:divBdr>
                    </w:div>
                  </w:divsChild>
                </w:div>
                <w:div w:id="598098137">
                  <w:marLeft w:val="0"/>
                  <w:marRight w:val="0"/>
                  <w:marTop w:val="0"/>
                  <w:marBottom w:val="0"/>
                  <w:divBdr>
                    <w:top w:val="none" w:sz="0" w:space="0" w:color="auto"/>
                    <w:left w:val="none" w:sz="0" w:space="0" w:color="auto"/>
                    <w:bottom w:val="none" w:sz="0" w:space="0" w:color="auto"/>
                    <w:right w:val="none" w:sz="0" w:space="0" w:color="auto"/>
                  </w:divBdr>
                  <w:divsChild>
                    <w:div w:id="1116370233">
                      <w:marLeft w:val="0"/>
                      <w:marRight w:val="0"/>
                      <w:marTop w:val="0"/>
                      <w:marBottom w:val="0"/>
                      <w:divBdr>
                        <w:top w:val="none" w:sz="0" w:space="0" w:color="auto"/>
                        <w:left w:val="none" w:sz="0" w:space="0" w:color="auto"/>
                        <w:bottom w:val="none" w:sz="0" w:space="0" w:color="auto"/>
                        <w:right w:val="none" w:sz="0" w:space="0" w:color="auto"/>
                      </w:divBdr>
                    </w:div>
                  </w:divsChild>
                </w:div>
                <w:div w:id="598754022">
                  <w:marLeft w:val="0"/>
                  <w:marRight w:val="0"/>
                  <w:marTop w:val="0"/>
                  <w:marBottom w:val="0"/>
                  <w:divBdr>
                    <w:top w:val="none" w:sz="0" w:space="0" w:color="auto"/>
                    <w:left w:val="none" w:sz="0" w:space="0" w:color="auto"/>
                    <w:bottom w:val="none" w:sz="0" w:space="0" w:color="auto"/>
                    <w:right w:val="none" w:sz="0" w:space="0" w:color="auto"/>
                  </w:divBdr>
                  <w:divsChild>
                    <w:div w:id="1353414028">
                      <w:marLeft w:val="0"/>
                      <w:marRight w:val="0"/>
                      <w:marTop w:val="0"/>
                      <w:marBottom w:val="0"/>
                      <w:divBdr>
                        <w:top w:val="none" w:sz="0" w:space="0" w:color="auto"/>
                        <w:left w:val="none" w:sz="0" w:space="0" w:color="auto"/>
                        <w:bottom w:val="none" w:sz="0" w:space="0" w:color="auto"/>
                        <w:right w:val="none" w:sz="0" w:space="0" w:color="auto"/>
                      </w:divBdr>
                    </w:div>
                  </w:divsChild>
                </w:div>
                <w:div w:id="1609115538">
                  <w:marLeft w:val="0"/>
                  <w:marRight w:val="0"/>
                  <w:marTop w:val="0"/>
                  <w:marBottom w:val="0"/>
                  <w:divBdr>
                    <w:top w:val="none" w:sz="0" w:space="0" w:color="auto"/>
                    <w:left w:val="none" w:sz="0" w:space="0" w:color="auto"/>
                    <w:bottom w:val="none" w:sz="0" w:space="0" w:color="auto"/>
                    <w:right w:val="none" w:sz="0" w:space="0" w:color="auto"/>
                  </w:divBdr>
                  <w:divsChild>
                    <w:div w:id="48654352">
                      <w:marLeft w:val="0"/>
                      <w:marRight w:val="0"/>
                      <w:marTop w:val="0"/>
                      <w:marBottom w:val="0"/>
                      <w:divBdr>
                        <w:top w:val="none" w:sz="0" w:space="0" w:color="auto"/>
                        <w:left w:val="none" w:sz="0" w:space="0" w:color="auto"/>
                        <w:bottom w:val="none" w:sz="0" w:space="0" w:color="auto"/>
                        <w:right w:val="none" w:sz="0" w:space="0" w:color="auto"/>
                      </w:divBdr>
                    </w:div>
                  </w:divsChild>
                </w:div>
                <w:div w:id="1592859938">
                  <w:marLeft w:val="0"/>
                  <w:marRight w:val="0"/>
                  <w:marTop w:val="0"/>
                  <w:marBottom w:val="0"/>
                  <w:divBdr>
                    <w:top w:val="none" w:sz="0" w:space="0" w:color="auto"/>
                    <w:left w:val="none" w:sz="0" w:space="0" w:color="auto"/>
                    <w:bottom w:val="none" w:sz="0" w:space="0" w:color="auto"/>
                    <w:right w:val="none" w:sz="0" w:space="0" w:color="auto"/>
                  </w:divBdr>
                  <w:divsChild>
                    <w:div w:id="537619479">
                      <w:marLeft w:val="0"/>
                      <w:marRight w:val="0"/>
                      <w:marTop w:val="0"/>
                      <w:marBottom w:val="0"/>
                      <w:divBdr>
                        <w:top w:val="none" w:sz="0" w:space="0" w:color="auto"/>
                        <w:left w:val="none" w:sz="0" w:space="0" w:color="auto"/>
                        <w:bottom w:val="none" w:sz="0" w:space="0" w:color="auto"/>
                        <w:right w:val="none" w:sz="0" w:space="0" w:color="auto"/>
                      </w:divBdr>
                    </w:div>
                  </w:divsChild>
                </w:div>
                <w:div w:id="438916642">
                  <w:marLeft w:val="0"/>
                  <w:marRight w:val="0"/>
                  <w:marTop w:val="0"/>
                  <w:marBottom w:val="0"/>
                  <w:divBdr>
                    <w:top w:val="none" w:sz="0" w:space="0" w:color="auto"/>
                    <w:left w:val="none" w:sz="0" w:space="0" w:color="auto"/>
                    <w:bottom w:val="none" w:sz="0" w:space="0" w:color="auto"/>
                    <w:right w:val="none" w:sz="0" w:space="0" w:color="auto"/>
                  </w:divBdr>
                  <w:divsChild>
                    <w:div w:id="941035161">
                      <w:marLeft w:val="0"/>
                      <w:marRight w:val="0"/>
                      <w:marTop w:val="0"/>
                      <w:marBottom w:val="0"/>
                      <w:divBdr>
                        <w:top w:val="none" w:sz="0" w:space="0" w:color="auto"/>
                        <w:left w:val="none" w:sz="0" w:space="0" w:color="auto"/>
                        <w:bottom w:val="none" w:sz="0" w:space="0" w:color="auto"/>
                        <w:right w:val="none" w:sz="0" w:space="0" w:color="auto"/>
                      </w:divBdr>
                    </w:div>
                  </w:divsChild>
                </w:div>
                <w:div w:id="32930556">
                  <w:marLeft w:val="0"/>
                  <w:marRight w:val="0"/>
                  <w:marTop w:val="0"/>
                  <w:marBottom w:val="0"/>
                  <w:divBdr>
                    <w:top w:val="none" w:sz="0" w:space="0" w:color="auto"/>
                    <w:left w:val="none" w:sz="0" w:space="0" w:color="auto"/>
                    <w:bottom w:val="none" w:sz="0" w:space="0" w:color="auto"/>
                    <w:right w:val="none" w:sz="0" w:space="0" w:color="auto"/>
                  </w:divBdr>
                  <w:divsChild>
                    <w:div w:id="156921000">
                      <w:marLeft w:val="0"/>
                      <w:marRight w:val="0"/>
                      <w:marTop w:val="0"/>
                      <w:marBottom w:val="0"/>
                      <w:divBdr>
                        <w:top w:val="none" w:sz="0" w:space="0" w:color="auto"/>
                        <w:left w:val="none" w:sz="0" w:space="0" w:color="auto"/>
                        <w:bottom w:val="none" w:sz="0" w:space="0" w:color="auto"/>
                        <w:right w:val="none" w:sz="0" w:space="0" w:color="auto"/>
                      </w:divBdr>
                    </w:div>
                  </w:divsChild>
                </w:div>
                <w:div w:id="1097022352">
                  <w:marLeft w:val="0"/>
                  <w:marRight w:val="0"/>
                  <w:marTop w:val="0"/>
                  <w:marBottom w:val="0"/>
                  <w:divBdr>
                    <w:top w:val="none" w:sz="0" w:space="0" w:color="auto"/>
                    <w:left w:val="none" w:sz="0" w:space="0" w:color="auto"/>
                    <w:bottom w:val="none" w:sz="0" w:space="0" w:color="auto"/>
                    <w:right w:val="none" w:sz="0" w:space="0" w:color="auto"/>
                  </w:divBdr>
                  <w:divsChild>
                    <w:div w:id="823814166">
                      <w:marLeft w:val="0"/>
                      <w:marRight w:val="0"/>
                      <w:marTop w:val="0"/>
                      <w:marBottom w:val="0"/>
                      <w:divBdr>
                        <w:top w:val="none" w:sz="0" w:space="0" w:color="auto"/>
                        <w:left w:val="none" w:sz="0" w:space="0" w:color="auto"/>
                        <w:bottom w:val="none" w:sz="0" w:space="0" w:color="auto"/>
                        <w:right w:val="none" w:sz="0" w:space="0" w:color="auto"/>
                      </w:divBdr>
                    </w:div>
                  </w:divsChild>
                </w:div>
                <w:div w:id="1055591936">
                  <w:marLeft w:val="0"/>
                  <w:marRight w:val="0"/>
                  <w:marTop w:val="0"/>
                  <w:marBottom w:val="0"/>
                  <w:divBdr>
                    <w:top w:val="none" w:sz="0" w:space="0" w:color="auto"/>
                    <w:left w:val="none" w:sz="0" w:space="0" w:color="auto"/>
                    <w:bottom w:val="none" w:sz="0" w:space="0" w:color="auto"/>
                    <w:right w:val="none" w:sz="0" w:space="0" w:color="auto"/>
                  </w:divBdr>
                  <w:divsChild>
                    <w:div w:id="615336660">
                      <w:marLeft w:val="0"/>
                      <w:marRight w:val="0"/>
                      <w:marTop w:val="0"/>
                      <w:marBottom w:val="0"/>
                      <w:divBdr>
                        <w:top w:val="none" w:sz="0" w:space="0" w:color="auto"/>
                        <w:left w:val="none" w:sz="0" w:space="0" w:color="auto"/>
                        <w:bottom w:val="none" w:sz="0" w:space="0" w:color="auto"/>
                        <w:right w:val="none" w:sz="0" w:space="0" w:color="auto"/>
                      </w:divBdr>
                    </w:div>
                  </w:divsChild>
                </w:div>
                <w:div w:id="938180358">
                  <w:marLeft w:val="0"/>
                  <w:marRight w:val="0"/>
                  <w:marTop w:val="0"/>
                  <w:marBottom w:val="0"/>
                  <w:divBdr>
                    <w:top w:val="none" w:sz="0" w:space="0" w:color="auto"/>
                    <w:left w:val="none" w:sz="0" w:space="0" w:color="auto"/>
                    <w:bottom w:val="none" w:sz="0" w:space="0" w:color="auto"/>
                    <w:right w:val="none" w:sz="0" w:space="0" w:color="auto"/>
                  </w:divBdr>
                  <w:divsChild>
                    <w:div w:id="648902055">
                      <w:marLeft w:val="0"/>
                      <w:marRight w:val="0"/>
                      <w:marTop w:val="0"/>
                      <w:marBottom w:val="0"/>
                      <w:divBdr>
                        <w:top w:val="none" w:sz="0" w:space="0" w:color="auto"/>
                        <w:left w:val="none" w:sz="0" w:space="0" w:color="auto"/>
                        <w:bottom w:val="none" w:sz="0" w:space="0" w:color="auto"/>
                        <w:right w:val="none" w:sz="0" w:space="0" w:color="auto"/>
                      </w:divBdr>
                    </w:div>
                  </w:divsChild>
                </w:div>
                <w:div w:id="737246022">
                  <w:marLeft w:val="0"/>
                  <w:marRight w:val="0"/>
                  <w:marTop w:val="0"/>
                  <w:marBottom w:val="0"/>
                  <w:divBdr>
                    <w:top w:val="none" w:sz="0" w:space="0" w:color="auto"/>
                    <w:left w:val="none" w:sz="0" w:space="0" w:color="auto"/>
                    <w:bottom w:val="none" w:sz="0" w:space="0" w:color="auto"/>
                    <w:right w:val="none" w:sz="0" w:space="0" w:color="auto"/>
                  </w:divBdr>
                  <w:divsChild>
                    <w:div w:id="787814656">
                      <w:marLeft w:val="0"/>
                      <w:marRight w:val="0"/>
                      <w:marTop w:val="0"/>
                      <w:marBottom w:val="0"/>
                      <w:divBdr>
                        <w:top w:val="none" w:sz="0" w:space="0" w:color="auto"/>
                        <w:left w:val="none" w:sz="0" w:space="0" w:color="auto"/>
                        <w:bottom w:val="none" w:sz="0" w:space="0" w:color="auto"/>
                        <w:right w:val="none" w:sz="0" w:space="0" w:color="auto"/>
                      </w:divBdr>
                    </w:div>
                  </w:divsChild>
                </w:div>
                <w:div w:id="144472622">
                  <w:marLeft w:val="0"/>
                  <w:marRight w:val="0"/>
                  <w:marTop w:val="0"/>
                  <w:marBottom w:val="0"/>
                  <w:divBdr>
                    <w:top w:val="none" w:sz="0" w:space="0" w:color="auto"/>
                    <w:left w:val="none" w:sz="0" w:space="0" w:color="auto"/>
                    <w:bottom w:val="none" w:sz="0" w:space="0" w:color="auto"/>
                    <w:right w:val="none" w:sz="0" w:space="0" w:color="auto"/>
                  </w:divBdr>
                  <w:divsChild>
                    <w:div w:id="1765495587">
                      <w:marLeft w:val="0"/>
                      <w:marRight w:val="0"/>
                      <w:marTop w:val="0"/>
                      <w:marBottom w:val="0"/>
                      <w:divBdr>
                        <w:top w:val="none" w:sz="0" w:space="0" w:color="auto"/>
                        <w:left w:val="none" w:sz="0" w:space="0" w:color="auto"/>
                        <w:bottom w:val="none" w:sz="0" w:space="0" w:color="auto"/>
                        <w:right w:val="none" w:sz="0" w:space="0" w:color="auto"/>
                      </w:divBdr>
                    </w:div>
                  </w:divsChild>
                </w:div>
                <w:div w:id="15622665">
                  <w:marLeft w:val="0"/>
                  <w:marRight w:val="0"/>
                  <w:marTop w:val="0"/>
                  <w:marBottom w:val="0"/>
                  <w:divBdr>
                    <w:top w:val="none" w:sz="0" w:space="0" w:color="auto"/>
                    <w:left w:val="none" w:sz="0" w:space="0" w:color="auto"/>
                    <w:bottom w:val="none" w:sz="0" w:space="0" w:color="auto"/>
                    <w:right w:val="none" w:sz="0" w:space="0" w:color="auto"/>
                  </w:divBdr>
                  <w:divsChild>
                    <w:div w:id="1647734338">
                      <w:marLeft w:val="0"/>
                      <w:marRight w:val="0"/>
                      <w:marTop w:val="0"/>
                      <w:marBottom w:val="0"/>
                      <w:divBdr>
                        <w:top w:val="none" w:sz="0" w:space="0" w:color="auto"/>
                        <w:left w:val="none" w:sz="0" w:space="0" w:color="auto"/>
                        <w:bottom w:val="none" w:sz="0" w:space="0" w:color="auto"/>
                        <w:right w:val="none" w:sz="0" w:space="0" w:color="auto"/>
                      </w:divBdr>
                    </w:div>
                  </w:divsChild>
                </w:div>
                <w:div w:id="620381633">
                  <w:marLeft w:val="0"/>
                  <w:marRight w:val="0"/>
                  <w:marTop w:val="0"/>
                  <w:marBottom w:val="0"/>
                  <w:divBdr>
                    <w:top w:val="none" w:sz="0" w:space="0" w:color="auto"/>
                    <w:left w:val="none" w:sz="0" w:space="0" w:color="auto"/>
                    <w:bottom w:val="none" w:sz="0" w:space="0" w:color="auto"/>
                    <w:right w:val="none" w:sz="0" w:space="0" w:color="auto"/>
                  </w:divBdr>
                  <w:divsChild>
                    <w:div w:id="463815299">
                      <w:marLeft w:val="0"/>
                      <w:marRight w:val="0"/>
                      <w:marTop w:val="0"/>
                      <w:marBottom w:val="0"/>
                      <w:divBdr>
                        <w:top w:val="none" w:sz="0" w:space="0" w:color="auto"/>
                        <w:left w:val="none" w:sz="0" w:space="0" w:color="auto"/>
                        <w:bottom w:val="none" w:sz="0" w:space="0" w:color="auto"/>
                        <w:right w:val="none" w:sz="0" w:space="0" w:color="auto"/>
                      </w:divBdr>
                    </w:div>
                  </w:divsChild>
                </w:div>
                <w:div w:id="804273310">
                  <w:marLeft w:val="0"/>
                  <w:marRight w:val="0"/>
                  <w:marTop w:val="0"/>
                  <w:marBottom w:val="0"/>
                  <w:divBdr>
                    <w:top w:val="none" w:sz="0" w:space="0" w:color="auto"/>
                    <w:left w:val="none" w:sz="0" w:space="0" w:color="auto"/>
                    <w:bottom w:val="none" w:sz="0" w:space="0" w:color="auto"/>
                    <w:right w:val="none" w:sz="0" w:space="0" w:color="auto"/>
                  </w:divBdr>
                  <w:divsChild>
                    <w:div w:id="327711574">
                      <w:marLeft w:val="0"/>
                      <w:marRight w:val="0"/>
                      <w:marTop w:val="0"/>
                      <w:marBottom w:val="0"/>
                      <w:divBdr>
                        <w:top w:val="none" w:sz="0" w:space="0" w:color="auto"/>
                        <w:left w:val="none" w:sz="0" w:space="0" w:color="auto"/>
                        <w:bottom w:val="none" w:sz="0" w:space="0" w:color="auto"/>
                        <w:right w:val="none" w:sz="0" w:space="0" w:color="auto"/>
                      </w:divBdr>
                    </w:div>
                  </w:divsChild>
                </w:div>
                <w:div w:id="1011492678">
                  <w:marLeft w:val="0"/>
                  <w:marRight w:val="0"/>
                  <w:marTop w:val="0"/>
                  <w:marBottom w:val="0"/>
                  <w:divBdr>
                    <w:top w:val="none" w:sz="0" w:space="0" w:color="auto"/>
                    <w:left w:val="none" w:sz="0" w:space="0" w:color="auto"/>
                    <w:bottom w:val="none" w:sz="0" w:space="0" w:color="auto"/>
                    <w:right w:val="none" w:sz="0" w:space="0" w:color="auto"/>
                  </w:divBdr>
                  <w:divsChild>
                    <w:div w:id="544176595">
                      <w:marLeft w:val="0"/>
                      <w:marRight w:val="0"/>
                      <w:marTop w:val="0"/>
                      <w:marBottom w:val="0"/>
                      <w:divBdr>
                        <w:top w:val="none" w:sz="0" w:space="0" w:color="auto"/>
                        <w:left w:val="none" w:sz="0" w:space="0" w:color="auto"/>
                        <w:bottom w:val="none" w:sz="0" w:space="0" w:color="auto"/>
                        <w:right w:val="none" w:sz="0" w:space="0" w:color="auto"/>
                      </w:divBdr>
                    </w:div>
                  </w:divsChild>
                </w:div>
                <w:div w:id="1668634392">
                  <w:marLeft w:val="0"/>
                  <w:marRight w:val="0"/>
                  <w:marTop w:val="0"/>
                  <w:marBottom w:val="0"/>
                  <w:divBdr>
                    <w:top w:val="none" w:sz="0" w:space="0" w:color="auto"/>
                    <w:left w:val="none" w:sz="0" w:space="0" w:color="auto"/>
                    <w:bottom w:val="none" w:sz="0" w:space="0" w:color="auto"/>
                    <w:right w:val="none" w:sz="0" w:space="0" w:color="auto"/>
                  </w:divBdr>
                  <w:divsChild>
                    <w:div w:id="1046443492">
                      <w:marLeft w:val="0"/>
                      <w:marRight w:val="0"/>
                      <w:marTop w:val="0"/>
                      <w:marBottom w:val="0"/>
                      <w:divBdr>
                        <w:top w:val="none" w:sz="0" w:space="0" w:color="auto"/>
                        <w:left w:val="none" w:sz="0" w:space="0" w:color="auto"/>
                        <w:bottom w:val="none" w:sz="0" w:space="0" w:color="auto"/>
                        <w:right w:val="none" w:sz="0" w:space="0" w:color="auto"/>
                      </w:divBdr>
                    </w:div>
                  </w:divsChild>
                </w:div>
                <w:div w:id="562758033">
                  <w:marLeft w:val="0"/>
                  <w:marRight w:val="0"/>
                  <w:marTop w:val="0"/>
                  <w:marBottom w:val="0"/>
                  <w:divBdr>
                    <w:top w:val="none" w:sz="0" w:space="0" w:color="auto"/>
                    <w:left w:val="none" w:sz="0" w:space="0" w:color="auto"/>
                    <w:bottom w:val="none" w:sz="0" w:space="0" w:color="auto"/>
                    <w:right w:val="none" w:sz="0" w:space="0" w:color="auto"/>
                  </w:divBdr>
                  <w:divsChild>
                    <w:div w:id="1245839684">
                      <w:marLeft w:val="0"/>
                      <w:marRight w:val="0"/>
                      <w:marTop w:val="0"/>
                      <w:marBottom w:val="0"/>
                      <w:divBdr>
                        <w:top w:val="none" w:sz="0" w:space="0" w:color="auto"/>
                        <w:left w:val="none" w:sz="0" w:space="0" w:color="auto"/>
                        <w:bottom w:val="none" w:sz="0" w:space="0" w:color="auto"/>
                        <w:right w:val="none" w:sz="0" w:space="0" w:color="auto"/>
                      </w:divBdr>
                    </w:div>
                  </w:divsChild>
                </w:div>
                <w:div w:id="869298258">
                  <w:marLeft w:val="0"/>
                  <w:marRight w:val="0"/>
                  <w:marTop w:val="0"/>
                  <w:marBottom w:val="0"/>
                  <w:divBdr>
                    <w:top w:val="none" w:sz="0" w:space="0" w:color="auto"/>
                    <w:left w:val="none" w:sz="0" w:space="0" w:color="auto"/>
                    <w:bottom w:val="none" w:sz="0" w:space="0" w:color="auto"/>
                    <w:right w:val="none" w:sz="0" w:space="0" w:color="auto"/>
                  </w:divBdr>
                  <w:divsChild>
                    <w:div w:id="677000347">
                      <w:marLeft w:val="0"/>
                      <w:marRight w:val="0"/>
                      <w:marTop w:val="0"/>
                      <w:marBottom w:val="0"/>
                      <w:divBdr>
                        <w:top w:val="none" w:sz="0" w:space="0" w:color="auto"/>
                        <w:left w:val="none" w:sz="0" w:space="0" w:color="auto"/>
                        <w:bottom w:val="none" w:sz="0" w:space="0" w:color="auto"/>
                        <w:right w:val="none" w:sz="0" w:space="0" w:color="auto"/>
                      </w:divBdr>
                    </w:div>
                  </w:divsChild>
                </w:div>
                <w:div w:id="1159343510">
                  <w:marLeft w:val="0"/>
                  <w:marRight w:val="0"/>
                  <w:marTop w:val="0"/>
                  <w:marBottom w:val="0"/>
                  <w:divBdr>
                    <w:top w:val="none" w:sz="0" w:space="0" w:color="auto"/>
                    <w:left w:val="none" w:sz="0" w:space="0" w:color="auto"/>
                    <w:bottom w:val="none" w:sz="0" w:space="0" w:color="auto"/>
                    <w:right w:val="none" w:sz="0" w:space="0" w:color="auto"/>
                  </w:divBdr>
                  <w:divsChild>
                    <w:div w:id="648705214">
                      <w:marLeft w:val="0"/>
                      <w:marRight w:val="0"/>
                      <w:marTop w:val="0"/>
                      <w:marBottom w:val="0"/>
                      <w:divBdr>
                        <w:top w:val="none" w:sz="0" w:space="0" w:color="auto"/>
                        <w:left w:val="none" w:sz="0" w:space="0" w:color="auto"/>
                        <w:bottom w:val="none" w:sz="0" w:space="0" w:color="auto"/>
                        <w:right w:val="none" w:sz="0" w:space="0" w:color="auto"/>
                      </w:divBdr>
                    </w:div>
                  </w:divsChild>
                </w:div>
                <w:div w:id="649410158">
                  <w:marLeft w:val="0"/>
                  <w:marRight w:val="0"/>
                  <w:marTop w:val="0"/>
                  <w:marBottom w:val="0"/>
                  <w:divBdr>
                    <w:top w:val="none" w:sz="0" w:space="0" w:color="auto"/>
                    <w:left w:val="none" w:sz="0" w:space="0" w:color="auto"/>
                    <w:bottom w:val="none" w:sz="0" w:space="0" w:color="auto"/>
                    <w:right w:val="none" w:sz="0" w:space="0" w:color="auto"/>
                  </w:divBdr>
                  <w:divsChild>
                    <w:div w:id="1551918879">
                      <w:marLeft w:val="0"/>
                      <w:marRight w:val="0"/>
                      <w:marTop w:val="0"/>
                      <w:marBottom w:val="0"/>
                      <w:divBdr>
                        <w:top w:val="none" w:sz="0" w:space="0" w:color="auto"/>
                        <w:left w:val="none" w:sz="0" w:space="0" w:color="auto"/>
                        <w:bottom w:val="none" w:sz="0" w:space="0" w:color="auto"/>
                        <w:right w:val="none" w:sz="0" w:space="0" w:color="auto"/>
                      </w:divBdr>
                    </w:div>
                  </w:divsChild>
                </w:div>
                <w:div w:id="1837575406">
                  <w:marLeft w:val="0"/>
                  <w:marRight w:val="0"/>
                  <w:marTop w:val="0"/>
                  <w:marBottom w:val="0"/>
                  <w:divBdr>
                    <w:top w:val="none" w:sz="0" w:space="0" w:color="auto"/>
                    <w:left w:val="none" w:sz="0" w:space="0" w:color="auto"/>
                    <w:bottom w:val="none" w:sz="0" w:space="0" w:color="auto"/>
                    <w:right w:val="none" w:sz="0" w:space="0" w:color="auto"/>
                  </w:divBdr>
                  <w:divsChild>
                    <w:div w:id="1136221724">
                      <w:marLeft w:val="0"/>
                      <w:marRight w:val="0"/>
                      <w:marTop w:val="0"/>
                      <w:marBottom w:val="0"/>
                      <w:divBdr>
                        <w:top w:val="none" w:sz="0" w:space="0" w:color="auto"/>
                        <w:left w:val="none" w:sz="0" w:space="0" w:color="auto"/>
                        <w:bottom w:val="none" w:sz="0" w:space="0" w:color="auto"/>
                        <w:right w:val="none" w:sz="0" w:space="0" w:color="auto"/>
                      </w:divBdr>
                    </w:div>
                  </w:divsChild>
                </w:div>
                <w:div w:id="1555191606">
                  <w:marLeft w:val="0"/>
                  <w:marRight w:val="0"/>
                  <w:marTop w:val="0"/>
                  <w:marBottom w:val="0"/>
                  <w:divBdr>
                    <w:top w:val="none" w:sz="0" w:space="0" w:color="auto"/>
                    <w:left w:val="none" w:sz="0" w:space="0" w:color="auto"/>
                    <w:bottom w:val="none" w:sz="0" w:space="0" w:color="auto"/>
                    <w:right w:val="none" w:sz="0" w:space="0" w:color="auto"/>
                  </w:divBdr>
                  <w:divsChild>
                    <w:div w:id="910506704">
                      <w:marLeft w:val="0"/>
                      <w:marRight w:val="0"/>
                      <w:marTop w:val="0"/>
                      <w:marBottom w:val="0"/>
                      <w:divBdr>
                        <w:top w:val="none" w:sz="0" w:space="0" w:color="auto"/>
                        <w:left w:val="none" w:sz="0" w:space="0" w:color="auto"/>
                        <w:bottom w:val="none" w:sz="0" w:space="0" w:color="auto"/>
                        <w:right w:val="none" w:sz="0" w:space="0" w:color="auto"/>
                      </w:divBdr>
                    </w:div>
                  </w:divsChild>
                </w:div>
                <w:div w:id="1893147963">
                  <w:marLeft w:val="0"/>
                  <w:marRight w:val="0"/>
                  <w:marTop w:val="0"/>
                  <w:marBottom w:val="0"/>
                  <w:divBdr>
                    <w:top w:val="none" w:sz="0" w:space="0" w:color="auto"/>
                    <w:left w:val="none" w:sz="0" w:space="0" w:color="auto"/>
                    <w:bottom w:val="none" w:sz="0" w:space="0" w:color="auto"/>
                    <w:right w:val="none" w:sz="0" w:space="0" w:color="auto"/>
                  </w:divBdr>
                  <w:divsChild>
                    <w:div w:id="1367868442">
                      <w:marLeft w:val="0"/>
                      <w:marRight w:val="0"/>
                      <w:marTop w:val="0"/>
                      <w:marBottom w:val="0"/>
                      <w:divBdr>
                        <w:top w:val="none" w:sz="0" w:space="0" w:color="auto"/>
                        <w:left w:val="none" w:sz="0" w:space="0" w:color="auto"/>
                        <w:bottom w:val="none" w:sz="0" w:space="0" w:color="auto"/>
                        <w:right w:val="none" w:sz="0" w:space="0" w:color="auto"/>
                      </w:divBdr>
                    </w:div>
                  </w:divsChild>
                </w:div>
                <w:div w:id="637876826">
                  <w:marLeft w:val="0"/>
                  <w:marRight w:val="0"/>
                  <w:marTop w:val="0"/>
                  <w:marBottom w:val="0"/>
                  <w:divBdr>
                    <w:top w:val="none" w:sz="0" w:space="0" w:color="auto"/>
                    <w:left w:val="none" w:sz="0" w:space="0" w:color="auto"/>
                    <w:bottom w:val="none" w:sz="0" w:space="0" w:color="auto"/>
                    <w:right w:val="none" w:sz="0" w:space="0" w:color="auto"/>
                  </w:divBdr>
                  <w:divsChild>
                    <w:div w:id="1579897866">
                      <w:marLeft w:val="0"/>
                      <w:marRight w:val="0"/>
                      <w:marTop w:val="0"/>
                      <w:marBottom w:val="0"/>
                      <w:divBdr>
                        <w:top w:val="none" w:sz="0" w:space="0" w:color="auto"/>
                        <w:left w:val="none" w:sz="0" w:space="0" w:color="auto"/>
                        <w:bottom w:val="none" w:sz="0" w:space="0" w:color="auto"/>
                        <w:right w:val="none" w:sz="0" w:space="0" w:color="auto"/>
                      </w:divBdr>
                    </w:div>
                  </w:divsChild>
                </w:div>
                <w:div w:id="2081710332">
                  <w:marLeft w:val="0"/>
                  <w:marRight w:val="0"/>
                  <w:marTop w:val="0"/>
                  <w:marBottom w:val="0"/>
                  <w:divBdr>
                    <w:top w:val="none" w:sz="0" w:space="0" w:color="auto"/>
                    <w:left w:val="none" w:sz="0" w:space="0" w:color="auto"/>
                    <w:bottom w:val="none" w:sz="0" w:space="0" w:color="auto"/>
                    <w:right w:val="none" w:sz="0" w:space="0" w:color="auto"/>
                  </w:divBdr>
                  <w:divsChild>
                    <w:div w:id="801389011">
                      <w:marLeft w:val="0"/>
                      <w:marRight w:val="0"/>
                      <w:marTop w:val="0"/>
                      <w:marBottom w:val="0"/>
                      <w:divBdr>
                        <w:top w:val="none" w:sz="0" w:space="0" w:color="auto"/>
                        <w:left w:val="none" w:sz="0" w:space="0" w:color="auto"/>
                        <w:bottom w:val="none" w:sz="0" w:space="0" w:color="auto"/>
                        <w:right w:val="none" w:sz="0" w:space="0" w:color="auto"/>
                      </w:divBdr>
                    </w:div>
                  </w:divsChild>
                </w:div>
                <w:div w:id="604112825">
                  <w:marLeft w:val="0"/>
                  <w:marRight w:val="0"/>
                  <w:marTop w:val="0"/>
                  <w:marBottom w:val="0"/>
                  <w:divBdr>
                    <w:top w:val="none" w:sz="0" w:space="0" w:color="auto"/>
                    <w:left w:val="none" w:sz="0" w:space="0" w:color="auto"/>
                    <w:bottom w:val="none" w:sz="0" w:space="0" w:color="auto"/>
                    <w:right w:val="none" w:sz="0" w:space="0" w:color="auto"/>
                  </w:divBdr>
                  <w:divsChild>
                    <w:div w:id="1317491782">
                      <w:marLeft w:val="0"/>
                      <w:marRight w:val="0"/>
                      <w:marTop w:val="0"/>
                      <w:marBottom w:val="0"/>
                      <w:divBdr>
                        <w:top w:val="none" w:sz="0" w:space="0" w:color="auto"/>
                        <w:left w:val="none" w:sz="0" w:space="0" w:color="auto"/>
                        <w:bottom w:val="none" w:sz="0" w:space="0" w:color="auto"/>
                        <w:right w:val="none" w:sz="0" w:space="0" w:color="auto"/>
                      </w:divBdr>
                    </w:div>
                  </w:divsChild>
                </w:div>
                <w:div w:id="489446513">
                  <w:marLeft w:val="0"/>
                  <w:marRight w:val="0"/>
                  <w:marTop w:val="0"/>
                  <w:marBottom w:val="0"/>
                  <w:divBdr>
                    <w:top w:val="none" w:sz="0" w:space="0" w:color="auto"/>
                    <w:left w:val="none" w:sz="0" w:space="0" w:color="auto"/>
                    <w:bottom w:val="none" w:sz="0" w:space="0" w:color="auto"/>
                    <w:right w:val="none" w:sz="0" w:space="0" w:color="auto"/>
                  </w:divBdr>
                  <w:divsChild>
                    <w:div w:id="1490290039">
                      <w:marLeft w:val="0"/>
                      <w:marRight w:val="0"/>
                      <w:marTop w:val="0"/>
                      <w:marBottom w:val="0"/>
                      <w:divBdr>
                        <w:top w:val="none" w:sz="0" w:space="0" w:color="auto"/>
                        <w:left w:val="none" w:sz="0" w:space="0" w:color="auto"/>
                        <w:bottom w:val="none" w:sz="0" w:space="0" w:color="auto"/>
                        <w:right w:val="none" w:sz="0" w:space="0" w:color="auto"/>
                      </w:divBdr>
                    </w:div>
                  </w:divsChild>
                </w:div>
                <w:div w:id="1031372793">
                  <w:marLeft w:val="0"/>
                  <w:marRight w:val="0"/>
                  <w:marTop w:val="0"/>
                  <w:marBottom w:val="0"/>
                  <w:divBdr>
                    <w:top w:val="none" w:sz="0" w:space="0" w:color="auto"/>
                    <w:left w:val="none" w:sz="0" w:space="0" w:color="auto"/>
                    <w:bottom w:val="none" w:sz="0" w:space="0" w:color="auto"/>
                    <w:right w:val="none" w:sz="0" w:space="0" w:color="auto"/>
                  </w:divBdr>
                  <w:divsChild>
                    <w:div w:id="159276777">
                      <w:marLeft w:val="0"/>
                      <w:marRight w:val="0"/>
                      <w:marTop w:val="0"/>
                      <w:marBottom w:val="0"/>
                      <w:divBdr>
                        <w:top w:val="none" w:sz="0" w:space="0" w:color="auto"/>
                        <w:left w:val="none" w:sz="0" w:space="0" w:color="auto"/>
                        <w:bottom w:val="none" w:sz="0" w:space="0" w:color="auto"/>
                        <w:right w:val="none" w:sz="0" w:space="0" w:color="auto"/>
                      </w:divBdr>
                    </w:div>
                  </w:divsChild>
                </w:div>
                <w:div w:id="421531579">
                  <w:marLeft w:val="0"/>
                  <w:marRight w:val="0"/>
                  <w:marTop w:val="0"/>
                  <w:marBottom w:val="0"/>
                  <w:divBdr>
                    <w:top w:val="none" w:sz="0" w:space="0" w:color="auto"/>
                    <w:left w:val="none" w:sz="0" w:space="0" w:color="auto"/>
                    <w:bottom w:val="none" w:sz="0" w:space="0" w:color="auto"/>
                    <w:right w:val="none" w:sz="0" w:space="0" w:color="auto"/>
                  </w:divBdr>
                  <w:divsChild>
                    <w:div w:id="365645049">
                      <w:marLeft w:val="0"/>
                      <w:marRight w:val="0"/>
                      <w:marTop w:val="0"/>
                      <w:marBottom w:val="0"/>
                      <w:divBdr>
                        <w:top w:val="none" w:sz="0" w:space="0" w:color="auto"/>
                        <w:left w:val="none" w:sz="0" w:space="0" w:color="auto"/>
                        <w:bottom w:val="none" w:sz="0" w:space="0" w:color="auto"/>
                        <w:right w:val="none" w:sz="0" w:space="0" w:color="auto"/>
                      </w:divBdr>
                    </w:div>
                  </w:divsChild>
                </w:div>
                <w:div w:id="779764319">
                  <w:marLeft w:val="0"/>
                  <w:marRight w:val="0"/>
                  <w:marTop w:val="0"/>
                  <w:marBottom w:val="0"/>
                  <w:divBdr>
                    <w:top w:val="none" w:sz="0" w:space="0" w:color="auto"/>
                    <w:left w:val="none" w:sz="0" w:space="0" w:color="auto"/>
                    <w:bottom w:val="none" w:sz="0" w:space="0" w:color="auto"/>
                    <w:right w:val="none" w:sz="0" w:space="0" w:color="auto"/>
                  </w:divBdr>
                  <w:divsChild>
                    <w:div w:id="397484099">
                      <w:marLeft w:val="0"/>
                      <w:marRight w:val="0"/>
                      <w:marTop w:val="0"/>
                      <w:marBottom w:val="0"/>
                      <w:divBdr>
                        <w:top w:val="none" w:sz="0" w:space="0" w:color="auto"/>
                        <w:left w:val="none" w:sz="0" w:space="0" w:color="auto"/>
                        <w:bottom w:val="none" w:sz="0" w:space="0" w:color="auto"/>
                        <w:right w:val="none" w:sz="0" w:space="0" w:color="auto"/>
                      </w:divBdr>
                    </w:div>
                  </w:divsChild>
                </w:div>
                <w:div w:id="1815636801">
                  <w:marLeft w:val="0"/>
                  <w:marRight w:val="0"/>
                  <w:marTop w:val="0"/>
                  <w:marBottom w:val="0"/>
                  <w:divBdr>
                    <w:top w:val="none" w:sz="0" w:space="0" w:color="auto"/>
                    <w:left w:val="none" w:sz="0" w:space="0" w:color="auto"/>
                    <w:bottom w:val="none" w:sz="0" w:space="0" w:color="auto"/>
                    <w:right w:val="none" w:sz="0" w:space="0" w:color="auto"/>
                  </w:divBdr>
                  <w:divsChild>
                    <w:div w:id="1099250431">
                      <w:marLeft w:val="0"/>
                      <w:marRight w:val="0"/>
                      <w:marTop w:val="0"/>
                      <w:marBottom w:val="0"/>
                      <w:divBdr>
                        <w:top w:val="none" w:sz="0" w:space="0" w:color="auto"/>
                        <w:left w:val="none" w:sz="0" w:space="0" w:color="auto"/>
                        <w:bottom w:val="none" w:sz="0" w:space="0" w:color="auto"/>
                        <w:right w:val="none" w:sz="0" w:space="0" w:color="auto"/>
                      </w:divBdr>
                    </w:div>
                  </w:divsChild>
                </w:div>
                <w:div w:id="2104298189">
                  <w:marLeft w:val="0"/>
                  <w:marRight w:val="0"/>
                  <w:marTop w:val="0"/>
                  <w:marBottom w:val="0"/>
                  <w:divBdr>
                    <w:top w:val="none" w:sz="0" w:space="0" w:color="auto"/>
                    <w:left w:val="none" w:sz="0" w:space="0" w:color="auto"/>
                    <w:bottom w:val="none" w:sz="0" w:space="0" w:color="auto"/>
                    <w:right w:val="none" w:sz="0" w:space="0" w:color="auto"/>
                  </w:divBdr>
                  <w:divsChild>
                    <w:div w:id="1262572683">
                      <w:marLeft w:val="0"/>
                      <w:marRight w:val="0"/>
                      <w:marTop w:val="0"/>
                      <w:marBottom w:val="0"/>
                      <w:divBdr>
                        <w:top w:val="none" w:sz="0" w:space="0" w:color="auto"/>
                        <w:left w:val="none" w:sz="0" w:space="0" w:color="auto"/>
                        <w:bottom w:val="none" w:sz="0" w:space="0" w:color="auto"/>
                        <w:right w:val="none" w:sz="0" w:space="0" w:color="auto"/>
                      </w:divBdr>
                    </w:div>
                  </w:divsChild>
                </w:div>
                <w:div w:id="977608083">
                  <w:marLeft w:val="0"/>
                  <w:marRight w:val="0"/>
                  <w:marTop w:val="0"/>
                  <w:marBottom w:val="0"/>
                  <w:divBdr>
                    <w:top w:val="none" w:sz="0" w:space="0" w:color="auto"/>
                    <w:left w:val="none" w:sz="0" w:space="0" w:color="auto"/>
                    <w:bottom w:val="none" w:sz="0" w:space="0" w:color="auto"/>
                    <w:right w:val="none" w:sz="0" w:space="0" w:color="auto"/>
                  </w:divBdr>
                  <w:divsChild>
                    <w:div w:id="1800684857">
                      <w:marLeft w:val="0"/>
                      <w:marRight w:val="0"/>
                      <w:marTop w:val="0"/>
                      <w:marBottom w:val="0"/>
                      <w:divBdr>
                        <w:top w:val="none" w:sz="0" w:space="0" w:color="auto"/>
                        <w:left w:val="none" w:sz="0" w:space="0" w:color="auto"/>
                        <w:bottom w:val="none" w:sz="0" w:space="0" w:color="auto"/>
                        <w:right w:val="none" w:sz="0" w:space="0" w:color="auto"/>
                      </w:divBdr>
                    </w:div>
                  </w:divsChild>
                </w:div>
                <w:div w:id="504826093">
                  <w:marLeft w:val="0"/>
                  <w:marRight w:val="0"/>
                  <w:marTop w:val="0"/>
                  <w:marBottom w:val="0"/>
                  <w:divBdr>
                    <w:top w:val="none" w:sz="0" w:space="0" w:color="auto"/>
                    <w:left w:val="none" w:sz="0" w:space="0" w:color="auto"/>
                    <w:bottom w:val="none" w:sz="0" w:space="0" w:color="auto"/>
                    <w:right w:val="none" w:sz="0" w:space="0" w:color="auto"/>
                  </w:divBdr>
                  <w:divsChild>
                    <w:div w:id="277105533">
                      <w:marLeft w:val="0"/>
                      <w:marRight w:val="0"/>
                      <w:marTop w:val="0"/>
                      <w:marBottom w:val="0"/>
                      <w:divBdr>
                        <w:top w:val="none" w:sz="0" w:space="0" w:color="auto"/>
                        <w:left w:val="none" w:sz="0" w:space="0" w:color="auto"/>
                        <w:bottom w:val="none" w:sz="0" w:space="0" w:color="auto"/>
                        <w:right w:val="none" w:sz="0" w:space="0" w:color="auto"/>
                      </w:divBdr>
                    </w:div>
                  </w:divsChild>
                </w:div>
                <w:div w:id="686251044">
                  <w:marLeft w:val="0"/>
                  <w:marRight w:val="0"/>
                  <w:marTop w:val="0"/>
                  <w:marBottom w:val="0"/>
                  <w:divBdr>
                    <w:top w:val="none" w:sz="0" w:space="0" w:color="auto"/>
                    <w:left w:val="none" w:sz="0" w:space="0" w:color="auto"/>
                    <w:bottom w:val="none" w:sz="0" w:space="0" w:color="auto"/>
                    <w:right w:val="none" w:sz="0" w:space="0" w:color="auto"/>
                  </w:divBdr>
                  <w:divsChild>
                    <w:div w:id="69087019">
                      <w:marLeft w:val="0"/>
                      <w:marRight w:val="0"/>
                      <w:marTop w:val="0"/>
                      <w:marBottom w:val="0"/>
                      <w:divBdr>
                        <w:top w:val="none" w:sz="0" w:space="0" w:color="auto"/>
                        <w:left w:val="none" w:sz="0" w:space="0" w:color="auto"/>
                        <w:bottom w:val="none" w:sz="0" w:space="0" w:color="auto"/>
                        <w:right w:val="none" w:sz="0" w:space="0" w:color="auto"/>
                      </w:divBdr>
                    </w:div>
                  </w:divsChild>
                </w:div>
                <w:div w:id="1581015782">
                  <w:marLeft w:val="0"/>
                  <w:marRight w:val="0"/>
                  <w:marTop w:val="0"/>
                  <w:marBottom w:val="0"/>
                  <w:divBdr>
                    <w:top w:val="none" w:sz="0" w:space="0" w:color="auto"/>
                    <w:left w:val="none" w:sz="0" w:space="0" w:color="auto"/>
                    <w:bottom w:val="none" w:sz="0" w:space="0" w:color="auto"/>
                    <w:right w:val="none" w:sz="0" w:space="0" w:color="auto"/>
                  </w:divBdr>
                  <w:divsChild>
                    <w:div w:id="2047943408">
                      <w:marLeft w:val="0"/>
                      <w:marRight w:val="0"/>
                      <w:marTop w:val="0"/>
                      <w:marBottom w:val="0"/>
                      <w:divBdr>
                        <w:top w:val="none" w:sz="0" w:space="0" w:color="auto"/>
                        <w:left w:val="none" w:sz="0" w:space="0" w:color="auto"/>
                        <w:bottom w:val="none" w:sz="0" w:space="0" w:color="auto"/>
                        <w:right w:val="none" w:sz="0" w:space="0" w:color="auto"/>
                      </w:divBdr>
                    </w:div>
                  </w:divsChild>
                </w:div>
                <w:div w:id="1163203493">
                  <w:marLeft w:val="0"/>
                  <w:marRight w:val="0"/>
                  <w:marTop w:val="0"/>
                  <w:marBottom w:val="0"/>
                  <w:divBdr>
                    <w:top w:val="none" w:sz="0" w:space="0" w:color="auto"/>
                    <w:left w:val="none" w:sz="0" w:space="0" w:color="auto"/>
                    <w:bottom w:val="none" w:sz="0" w:space="0" w:color="auto"/>
                    <w:right w:val="none" w:sz="0" w:space="0" w:color="auto"/>
                  </w:divBdr>
                  <w:divsChild>
                    <w:div w:id="1188562943">
                      <w:marLeft w:val="0"/>
                      <w:marRight w:val="0"/>
                      <w:marTop w:val="0"/>
                      <w:marBottom w:val="0"/>
                      <w:divBdr>
                        <w:top w:val="none" w:sz="0" w:space="0" w:color="auto"/>
                        <w:left w:val="none" w:sz="0" w:space="0" w:color="auto"/>
                        <w:bottom w:val="none" w:sz="0" w:space="0" w:color="auto"/>
                        <w:right w:val="none" w:sz="0" w:space="0" w:color="auto"/>
                      </w:divBdr>
                    </w:div>
                  </w:divsChild>
                </w:div>
                <w:div w:id="1294287981">
                  <w:marLeft w:val="0"/>
                  <w:marRight w:val="0"/>
                  <w:marTop w:val="0"/>
                  <w:marBottom w:val="0"/>
                  <w:divBdr>
                    <w:top w:val="none" w:sz="0" w:space="0" w:color="auto"/>
                    <w:left w:val="none" w:sz="0" w:space="0" w:color="auto"/>
                    <w:bottom w:val="none" w:sz="0" w:space="0" w:color="auto"/>
                    <w:right w:val="none" w:sz="0" w:space="0" w:color="auto"/>
                  </w:divBdr>
                  <w:divsChild>
                    <w:div w:id="953099085">
                      <w:marLeft w:val="0"/>
                      <w:marRight w:val="0"/>
                      <w:marTop w:val="0"/>
                      <w:marBottom w:val="0"/>
                      <w:divBdr>
                        <w:top w:val="none" w:sz="0" w:space="0" w:color="auto"/>
                        <w:left w:val="none" w:sz="0" w:space="0" w:color="auto"/>
                        <w:bottom w:val="none" w:sz="0" w:space="0" w:color="auto"/>
                        <w:right w:val="none" w:sz="0" w:space="0" w:color="auto"/>
                      </w:divBdr>
                    </w:div>
                  </w:divsChild>
                </w:div>
                <w:div w:id="27679532">
                  <w:marLeft w:val="0"/>
                  <w:marRight w:val="0"/>
                  <w:marTop w:val="0"/>
                  <w:marBottom w:val="0"/>
                  <w:divBdr>
                    <w:top w:val="none" w:sz="0" w:space="0" w:color="auto"/>
                    <w:left w:val="none" w:sz="0" w:space="0" w:color="auto"/>
                    <w:bottom w:val="none" w:sz="0" w:space="0" w:color="auto"/>
                    <w:right w:val="none" w:sz="0" w:space="0" w:color="auto"/>
                  </w:divBdr>
                  <w:divsChild>
                    <w:div w:id="786891212">
                      <w:marLeft w:val="0"/>
                      <w:marRight w:val="0"/>
                      <w:marTop w:val="0"/>
                      <w:marBottom w:val="0"/>
                      <w:divBdr>
                        <w:top w:val="none" w:sz="0" w:space="0" w:color="auto"/>
                        <w:left w:val="none" w:sz="0" w:space="0" w:color="auto"/>
                        <w:bottom w:val="none" w:sz="0" w:space="0" w:color="auto"/>
                        <w:right w:val="none" w:sz="0" w:space="0" w:color="auto"/>
                      </w:divBdr>
                    </w:div>
                  </w:divsChild>
                </w:div>
                <w:div w:id="1828591266">
                  <w:marLeft w:val="0"/>
                  <w:marRight w:val="0"/>
                  <w:marTop w:val="0"/>
                  <w:marBottom w:val="0"/>
                  <w:divBdr>
                    <w:top w:val="none" w:sz="0" w:space="0" w:color="auto"/>
                    <w:left w:val="none" w:sz="0" w:space="0" w:color="auto"/>
                    <w:bottom w:val="none" w:sz="0" w:space="0" w:color="auto"/>
                    <w:right w:val="none" w:sz="0" w:space="0" w:color="auto"/>
                  </w:divBdr>
                  <w:divsChild>
                    <w:div w:id="1062823883">
                      <w:marLeft w:val="0"/>
                      <w:marRight w:val="0"/>
                      <w:marTop w:val="0"/>
                      <w:marBottom w:val="0"/>
                      <w:divBdr>
                        <w:top w:val="none" w:sz="0" w:space="0" w:color="auto"/>
                        <w:left w:val="none" w:sz="0" w:space="0" w:color="auto"/>
                        <w:bottom w:val="none" w:sz="0" w:space="0" w:color="auto"/>
                        <w:right w:val="none" w:sz="0" w:space="0" w:color="auto"/>
                      </w:divBdr>
                    </w:div>
                  </w:divsChild>
                </w:div>
                <w:div w:id="210768848">
                  <w:marLeft w:val="0"/>
                  <w:marRight w:val="0"/>
                  <w:marTop w:val="0"/>
                  <w:marBottom w:val="0"/>
                  <w:divBdr>
                    <w:top w:val="none" w:sz="0" w:space="0" w:color="auto"/>
                    <w:left w:val="none" w:sz="0" w:space="0" w:color="auto"/>
                    <w:bottom w:val="none" w:sz="0" w:space="0" w:color="auto"/>
                    <w:right w:val="none" w:sz="0" w:space="0" w:color="auto"/>
                  </w:divBdr>
                  <w:divsChild>
                    <w:div w:id="1260597619">
                      <w:marLeft w:val="0"/>
                      <w:marRight w:val="0"/>
                      <w:marTop w:val="0"/>
                      <w:marBottom w:val="0"/>
                      <w:divBdr>
                        <w:top w:val="none" w:sz="0" w:space="0" w:color="auto"/>
                        <w:left w:val="none" w:sz="0" w:space="0" w:color="auto"/>
                        <w:bottom w:val="none" w:sz="0" w:space="0" w:color="auto"/>
                        <w:right w:val="none" w:sz="0" w:space="0" w:color="auto"/>
                      </w:divBdr>
                    </w:div>
                  </w:divsChild>
                </w:div>
                <w:div w:id="2013215705">
                  <w:marLeft w:val="0"/>
                  <w:marRight w:val="0"/>
                  <w:marTop w:val="0"/>
                  <w:marBottom w:val="0"/>
                  <w:divBdr>
                    <w:top w:val="none" w:sz="0" w:space="0" w:color="auto"/>
                    <w:left w:val="none" w:sz="0" w:space="0" w:color="auto"/>
                    <w:bottom w:val="none" w:sz="0" w:space="0" w:color="auto"/>
                    <w:right w:val="none" w:sz="0" w:space="0" w:color="auto"/>
                  </w:divBdr>
                  <w:divsChild>
                    <w:div w:id="450443368">
                      <w:marLeft w:val="0"/>
                      <w:marRight w:val="0"/>
                      <w:marTop w:val="0"/>
                      <w:marBottom w:val="0"/>
                      <w:divBdr>
                        <w:top w:val="none" w:sz="0" w:space="0" w:color="auto"/>
                        <w:left w:val="none" w:sz="0" w:space="0" w:color="auto"/>
                        <w:bottom w:val="none" w:sz="0" w:space="0" w:color="auto"/>
                        <w:right w:val="none" w:sz="0" w:space="0" w:color="auto"/>
                      </w:divBdr>
                    </w:div>
                  </w:divsChild>
                </w:div>
                <w:div w:id="532227830">
                  <w:marLeft w:val="0"/>
                  <w:marRight w:val="0"/>
                  <w:marTop w:val="0"/>
                  <w:marBottom w:val="0"/>
                  <w:divBdr>
                    <w:top w:val="none" w:sz="0" w:space="0" w:color="auto"/>
                    <w:left w:val="none" w:sz="0" w:space="0" w:color="auto"/>
                    <w:bottom w:val="none" w:sz="0" w:space="0" w:color="auto"/>
                    <w:right w:val="none" w:sz="0" w:space="0" w:color="auto"/>
                  </w:divBdr>
                  <w:divsChild>
                    <w:div w:id="430469792">
                      <w:marLeft w:val="0"/>
                      <w:marRight w:val="0"/>
                      <w:marTop w:val="0"/>
                      <w:marBottom w:val="0"/>
                      <w:divBdr>
                        <w:top w:val="none" w:sz="0" w:space="0" w:color="auto"/>
                        <w:left w:val="none" w:sz="0" w:space="0" w:color="auto"/>
                        <w:bottom w:val="none" w:sz="0" w:space="0" w:color="auto"/>
                        <w:right w:val="none" w:sz="0" w:space="0" w:color="auto"/>
                      </w:divBdr>
                    </w:div>
                  </w:divsChild>
                </w:div>
                <w:div w:id="1827161579">
                  <w:marLeft w:val="0"/>
                  <w:marRight w:val="0"/>
                  <w:marTop w:val="0"/>
                  <w:marBottom w:val="0"/>
                  <w:divBdr>
                    <w:top w:val="none" w:sz="0" w:space="0" w:color="auto"/>
                    <w:left w:val="none" w:sz="0" w:space="0" w:color="auto"/>
                    <w:bottom w:val="none" w:sz="0" w:space="0" w:color="auto"/>
                    <w:right w:val="none" w:sz="0" w:space="0" w:color="auto"/>
                  </w:divBdr>
                  <w:divsChild>
                    <w:div w:id="1286699503">
                      <w:marLeft w:val="0"/>
                      <w:marRight w:val="0"/>
                      <w:marTop w:val="0"/>
                      <w:marBottom w:val="0"/>
                      <w:divBdr>
                        <w:top w:val="none" w:sz="0" w:space="0" w:color="auto"/>
                        <w:left w:val="none" w:sz="0" w:space="0" w:color="auto"/>
                        <w:bottom w:val="none" w:sz="0" w:space="0" w:color="auto"/>
                        <w:right w:val="none" w:sz="0" w:space="0" w:color="auto"/>
                      </w:divBdr>
                    </w:div>
                  </w:divsChild>
                </w:div>
                <w:div w:id="357857055">
                  <w:marLeft w:val="0"/>
                  <w:marRight w:val="0"/>
                  <w:marTop w:val="0"/>
                  <w:marBottom w:val="0"/>
                  <w:divBdr>
                    <w:top w:val="none" w:sz="0" w:space="0" w:color="auto"/>
                    <w:left w:val="none" w:sz="0" w:space="0" w:color="auto"/>
                    <w:bottom w:val="none" w:sz="0" w:space="0" w:color="auto"/>
                    <w:right w:val="none" w:sz="0" w:space="0" w:color="auto"/>
                  </w:divBdr>
                  <w:divsChild>
                    <w:div w:id="1511527686">
                      <w:marLeft w:val="0"/>
                      <w:marRight w:val="0"/>
                      <w:marTop w:val="0"/>
                      <w:marBottom w:val="0"/>
                      <w:divBdr>
                        <w:top w:val="none" w:sz="0" w:space="0" w:color="auto"/>
                        <w:left w:val="none" w:sz="0" w:space="0" w:color="auto"/>
                        <w:bottom w:val="none" w:sz="0" w:space="0" w:color="auto"/>
                        <w:right w:val="none" w:sz="0" w:space="0" w:color="auto"/>
                      </w:divBdr>
                    </w:div>
                  </w:divsChild>
                </w:div>
                <w:div w:id="1776168610">
                  <w:marLeft w:val="0"/>
                  <w:marRight w:val="0"/>
                  <w:marTop w:val="0"/>
                  <w:marBottom w:val="0"/>
                  <w:divBdr>
                    <w:top w:val="none" w:sz="0" w:space="0" w:color="auto"/>
                    <w:left w:val="none" w:sz="0" w:space="0" w:color="auto"/>
                    <w:bottom w:val="none" w:sz="0" w:space="0" w:color="auto"/>
                    <w:right w:val="none" w:sz="0" w:space="0" w:color="auto"/>
                  </w:divBdr>
                  <w:divsChild>
                    <w:div w:id="37704165">
                      <w:marLeft w:val="0"/>
                      <w:marRight w:val="0"/>
                      <w:marTop w:val="0"/>
                      <w:marBottom w:val="0"/>
                      <w:divBdr>
                        <w:top w:val="none" w:sz="0" w:space="0" w:color="auto"/>
                        <w:left w:val="none" w:sz="0" w:space="0" w:color="auto"/>
                        <w:bottom w:val="none" w:sz="0" w:space="0" w:color="auto"/>
                        <w:right w:val="none" w:sz="0" w:space="0" w:color="auto"/>
                      </w:divBdr>
                    </w:div>
                  </w:divsChild>
                </w:div>
                <w:div w:id="746682891">
                  <w:marLeft w:val="0"/>
                  <w:marRight w:val="0"/>
                  <w:marTop w:val="0"/>
                  <w:marBottom w:val="0"/>
                  <w:divBdr>
                    <w:top w:val="none" w:sz="0" w:space="0" w:color="auto"/>
                    <w:left w:val="none" w:sz="0" w:space="0" w:color="auto"/>
                    <w:bottom w:val="none" w:sz="0" w:space="0" w:color="auto"/>
                    <w:right w:val="none" w:sz="0" w:space="0" w:color="auto"/>
                  </w:divBdr>
                  <w:divsChild>
                    <w:div w:id="468594986">
                      <w:marLeft w:val="0"/>
                      <w:marRight w:val="0"/>
                      <w:marTop w:val="0"/>
                      <w:marBottom w:val="0"/>
                      <w:divBdr>
                        <w:top w:val="none" w:sz="0" w:space="0" w:color="auto"/>
                        <w:left w:val="none" w:sz="0" w:space="0" w:color="auto"/>
                        <w:bottom w:val="none" w:sz="0" w:space="0" w:color="auto"/>
                        <w:right w:val="none" w:sz="0" w:space="0" w:color="auto"/>
                      </w:divBdr>
                    </w:div>
                  </w:divsChild>
                </w:div>
                <w:div w:id="2010592555">
                  <w:marLeft w:val="0"/>
                  <w:marRight w:val="0"/>
                  <w:marTop w:val="0"/>
                  <w:marBottom w:val="0"/>
                  <w:divBdr>
                    <w:top w:val="none" w:sz="0" w:space="0" w:color="auto"/>
                    <w:left w:val="none" w:sz="0" w:space="0" w:color="auto"/>
                    <w:bottom w:val="none" w:sz="0" w:space="0" w:color="auto"/>
                    <w:right w:val="none" w:sz="0" w:space="0" w:color="auto"/>
                  </w:divBdr>
                  <w:divsChild>
                    <w:div w:id="584068653">
                      <w:marLeft w:val="0"/>
                      <w:marRight w:val="0"/>
                      <w:marTop w:val="0"/>
                      <w:marBottom w:val="0"/>
                      <w:divBdr>
                        <w:top w:val="none" w:sz="0" w:space="0" w:color="auto"/>
                        <w:left w:val="none" w:sz="0" w:space="0" w:color="auto"/>
                        <w:bottom w:val="none" w:sz="0" w:space="0" w:color="auto"/>
                        <w:right w:val="none" w:sz="0" w:space="0" w:color="auto"/>
                      </w:divBdr>
                    </w:div>
                  </w:divsChild>
                </w:div>
                <w:div w:id="1332878699">
                  <w:marLeft w:val="0"/>
                  <w:marRight w:val="0"/>
                  <w:marTop w:val="0"/>
                  <w:marBottom w:val="0"/>
                  <w:divBdr>
                    <w:top w:val="none" w:sz="0" w:space="0" w:color="auto"/>
                    <w:left w:val="none" w:sz="0" w:space="0" w:color="auto"/>
                    <w:bottom w:val="none" w:sz="0" w:space="0" w:color="auto"/>
                    <w:right w:val="none" w:sz="0" w:space="0" w:color="auto"/>
                  </w:divBdr>
                  <w:divsChild>
                    <w:div w:id="1277637214">
                      <w:marLeft w:val="0"/>
                      <w:marRight w:val="0"/>
                      <w:marTop w:val="0"/>
                      <w:marBottom w:val="0"/>
                      <w:divBdr>
                        <w:top w:val="none" w:sz="0" w:space="0" w:color="auto"/>
                        <w:left w:val="none" w:sz="0" w:space="0" w:color="auto"/>
                        <w:bottom w:val="none" w:sz="0" w:space="0" w:color="auto"/>
                        <w:right w:val="none" w:sz="0" w:space="0" w:color="auto"/>
                      </w:divBdr>
                    </w:div>
                  </w:divsChild>
                </w:div>
                <w:div w:id="1255475022">
                  <w:marLeft w:val="0"/>
                  <w:marRight w:val="0"/>
                  <w:marTop w:val="0"/>
                  <w:marBottom w:val="0"/>
                  <w:divBdr>
                    <w:top w:val="none" w:sz="0" w:space="0" w:color="auto"/>
                    <w:left w:val="none" w:sz="0" w:space="0" w:color="auto"/>
                    <w:bottom w:val="none" w:sz="0" w:space="0" w:color="auto"/>
                    <w:right w:val="none" w:sz="0" w:space="0" w:color="auto"/>
                  </w:divBdr>
                  <w:divsChild>
                    <w:div w:id="448210738">
                      <w:marLeft w:val="0"/>
                      <w:marRight w:val="0"/>
                      <w:marTop w:val="0"/>
                      <w:marBottom w:val="0"/>
                      <w:divBdr>
                        <w:top w:val="none" w:sz="0" w:space="0" w:color="auto"/>
                        <w:left w:val="none" w:sz="0" w:space="0" w:color="auto"/>
                        <w:bottom w:val="none" w:sz="0" w:space="0" w:color="auto"/>
                        <w:right w:val="none" w:sz="0" w:space="0" w:color="auto"/>
                      </w:divBdr>
                    </w:div>
                  </w:divsChild>
                </w:div>
                <w:div w:id="1113209579">
                  <w:marLeft w:val="0"/>
                  <w:marRight w:val="0"/>
                  <w:marTop w:val="0"/>
                  <w:marBottom w:val="0"/>
                  <w:divBdr>
                    <w:top w:val="none" w:sz="0" w:space="0" w:color="auto"/>
                    <w:left w:val="none" w:sz="0" w:space="0" w:color="auto"/>
                    <w:bottom w:val="none" w:sz="0" w:space="0" w:color="auto"/>
                    <w:right w:val="none" w:sz="0" w:space="0" w:color="auto"/>
                  </w:divBdr>
                  <w:divsChild>
                    <w:div w:id="1377074640">
                      <w:marLeft w:val="0"/>
                      <w:marRight w:val="0"/>
                      <w:marTop w:val="0"/>
                      <w:marBottom w:val="0"/>
                      <w:divBdr>
                        <w:top w:val="none" w:sz="0" w:space="0" w:color="auto"/>
                        <w:left w:val="none" w:sz="0" w:space="0" w:color="auto"/>
                        <w:bottom w:val="none" w:sz="0" w:space="0" w:color="auto"/>
                        <w:right w:val="none" w:sz="0" w:space="0" w:color="auto"/>
                      </w:divBdr>
                    </w:div>
                  </w:divsChild>
                </w:div>
                <w:div w:id="59139049">
                  <w:marLeft w:val="0"/>
                  <w:marRight w:val="0"/>
                  <w:marTop w:val="0"/>
                  <w:marBottom w:val="0"/>
                  <w:divBdr>
                    <w:top w:val="none" w:sz="0" w:space="0" w:color="auto"/>
                    <w:left w:val="none" w:sz="0" w:space="0" w:color="auto"/>
                    <w:bottom w:val="none" w:sz="0" w:space="0" w:color="auto"/>
                    <w:right w:val="none" w:sz="0" w:space="0" w:color="auto"/>
                  </w:divBdr>
                  <w:divsChild>
                    <w:div w:id="1788573628">
                      <w:marLeft w:val="0"/>
                      <w:marRight w:val="0"/>
                      <w:marTop w:val="0"/>
                      <w:marBottom w:val="0"/>
                      <w:divBdr>
                        <w:top w:val="none" w:sz="0" w:space="0" w:color="auto"/>
                        <w:left w:val="none" w:sz="0" w:space="0" w:color="auto"/>
                        <w:bottom w:val="none" w:sz="0" w:space="0" w:color="auto"/>
                        <w:right w:val="none" w:sz="0" w:space="0" w:color="auto"/>
                      </w:divBdr>
                    </w:div>
                  </w:divsChild>
                </w:div>
                <w:div w:id="256984083">
                  <w:marLeft w:val="0"/>
                  <w:marRight w:val="0"/>
                  <w:marTop w:val="0"/>
                  <w:marBottom w:val="0"/>
                  <w:divBdr>
                    <w:top w:val="none" w:sz="0" w:space="0" w:color="auto"/>
                    <w:left w:val="none" w:sz="0" w:space="0" w:color="auto"/>
                    <w:bottom w:val="none" w:sz="0" w:space="0" w:color="auto"/>
                    <w:right w:val="none" w:sz="0" w:space="0" w:color="auto"/>
                  </w:divBdr>
                  <w:divsChild>
                    <w:div w:id="363135413">
                      <w:marLeft w:val="0"/>
                      <w:marRight w:val="0"/>
                      <w:marTop w:val="0"/>
                      <w:marBottom w:val="0"/>
                      <w:divBdr>
                        <w:top w:val="none" w:sz="0" w:space="0" w:color="auto"/>
                        <w:left w:val="none" w:sz="0" w:space="0" w:color="auto"/>
                        <w:bottom w:val="none" w:sz="0" w:space="0" w:color="auto"/>
                        <w:right w:val="none" w:sz="0" w:space="0" w:color="auto"/>
                      </w:divBdr>
                    </w:div>
                  </w:divsChild>
                </w:div>
                <w:div w:id="619528061">
                  <w:marLeft w:val="0"/>
                  <w:marRight w:val="0"/>
                  <w:marTop w:val="0"/>
                  <w:marBottom w:val="0"/>
                  <w:divBdr>
                    <w:top w:val="none" w:sz="0" w:space="0" w:color="auto"/>
                    <w:left w:val="none" w:sz="0" w:space="0" w:color="auto"/>
                    <w:bottom w:val="none" w:sz="0" w:space="0" w:color="auto"/>
                    <w:right w:val="none" w:sz="0" w:space="0" w:color="auto"/>
                  </w:divBdr>
                  <w:divsChild>
                    <w:div w:id="502286559">
                      <w:marLeft w:val="0"/>
                      <w:marRight w:val="0"/>
                      <w:marTop w:val="0"/>
                      <w:marBottom w:val="0"/>
                      <w:divBdr>
                        <w:top w:val="none" w:sz="0" w:space="0" w:color="auto"/>
                        <w:left w:val="none" w:sz="0" w:space="0" w:color="auto"/>
                        <w:bottom w:val="none" w:sz="0" w:space="0" w:color="auto"/>
                        <w:right w:val="none" w:sz="0" w:space="0" w:color="auto"/>
                      </w:divBdr>
                    </w:div>
                  </w:divsChild>
                </w:div>
                <w:div w:id="202718295">
                  <w:marLeft w:val="0"/>
                  <w:marRight w:val="0"/>
                  <w:marTop w:val="0"/>
                  <w:marBottom w:val="0"/>
                  <w:divBdr>
                    <w:top w:val="none" w:sz="0" w:space="0" w:color="auto"/>
                    <w:left w:val="none" w:sz="0" w:space="0" w:color="auto"/>
                    <w:bottom w:val="none" w:sz="0" w:space="0" w:color="auto"/>
                    <w:right w:val="none" w:sz="0" w:space="0" w:color="auto"/>
                  </w:divBdr>
                  <w:divsChild>
                    <w:div w:id="745688870">
                      <w:marLeft w:val="0"/>
                      <w:marRight w:val="0"/>
                      <w:marTop w:val="0"/>
                      <w:marBottom w:val="0"/>
                      <w:divBdr>
                        <w:top w:val="none" w:sz="0" w:space="0" w:color="auto"/>
                        <w:left w:val="none" w:sz="0" w:space="0" w:color="auto"/>
                        <w:bottom w:val="none" w:sz="0" w:space="0" w:color="auto"/>
                        <w:right w:val="none" w:sz="0" w:space="0" w:color="auto"/>
                      </w:divBdr>
                    </w:div>
                  </w:divsChild>
                </w:div>
                <w:div w:id="1295137727">
                  <w:marLeft w:val="0"/>
                  <w:marRight w:val="0"/>
                  <w:marTop w:val="0"/>
                  <w:marBottom w:val="0"/>
                  <w:divBdr>
                    <w:top w:val="none" w:sz="0" w:space="0" w:color="auto"/>
                    <w:left w:val="none" w:sz="0" w:space="0" w:color="auto"/>
                    <w:bottom w:val="none" w:sz="0" w:space="0" w:color="auto"/>
                    <w:right w:val="none" w:sz="0" w:space="0" w:color="auto"/>
                  </w:divBdr>
                  <w:divsChild>
                    <w:div w:id="1776171144">
                      <w:marLeft w:val="0"/>
                      <w:marRight w:val="0"/>
                      <w:marTop w:val="0"/>
                      <w:marBottom w:val="0"/>
                      <w:divBdr>
                        <w:top w:val="none" w:sz="0" w:space="0" w:color="auto"/>
                        <w:left w:val="none" w:sz="0" w:space="0" w:color="auto"/>
                        <w:bottom w:val="none" w:sz="0" w:space="0" w:color="auto"/>
                        <w:right w:val="none" w:sz="0" w:space="0" w:color="auto"/>
                      </w:divBdr>
                    </w:div>
                  </w:divsChild>
                </w:div>
                <w:div w:id="2054503794">
                  <w:marLeft w:val="0"/>
                  <w:marRight w:val="0"/>
                  <w:marTop w:val="0"/>
                  <w:marBottom w:val="0"/>
                  <w:divBdr>
                    <w:top w:val="none" w:sz="0" w:space="0" w:color="auto"/>
                    <w:left w:val="none" w:sz="0" w:space="0" w:color="auto"/>
                    <w:bottom w:val="none" w:sz="0" w:space="0" w:color="auto"/>
                    <w:right w:val="none" w:sz="0" w:space="0" w:color="auto"/>
                  </w:divBdr>
                  <w:divsChild>
                    <w:div w:id="611286698">
                      <w:marLeft w:val="0"/>
                      <w:marRight w:val="0"/>
                      <w:marTop w:val="0"/>
                      <w:marBottom w:val="0"/>
                      <w:divBdr>
                        <w:top w:val="none" w:sz="0" w:space="0" w:color="auto"/>
                        <w:left w:val="none" w:sz="0" w:space="0" w:color="auto"/>
                        <w:bottom w:val="none" w:sz="0" w:space="0" w:color="auto"/>
                        <w:right w:val="none" w:sz="0" w:space="0" w:color="auto"/>
                      </w:divBdr>
                    </w:div>
                  </w:divsChild>
                </w:div>
                <w:div w:id="901334905">
                  <w:marLeft w:val="0"/>
                  <w:marRight w:val="0"/>
                  <w:marTop w:val="0"/>
                  <w:marBottom w:val="0"/>
                  <w:divBdr>
                    <w:top w:val="none" w:sz="0" w:space="0" w:color="auto"/>
                    <w:left w:val="none" w:sz="0" w:space="0" w:color="auto"/>
                    <w:bottom w:val="none" w:sz="0" w:space="0" w:color="auto"/>
                    <w:right w:val="none" w:sz="0" w:space="0" w:color="auto"/>
                  </w:divBdr>
                  <w:divsChild>
                    <w:div w:id="1735619173">
                      <w:marLeft w:val="0"/>
                      <w:marRight w:val="0"/>
                      <w:marTop w:val="0"/>
                      <w:marBottom w:val="0"/>
                      <w:divBdr>
                        <w:top w:val="none" w:sz="0" w:space="0" w:color="auto"/>
                        <w:left w:val="none" w:sz="0" w:space="0" w:color="auto"/>
                        <w:bottom w:val="none" w:sz="0" w:space="0" w:color="auto"/>
                        <w:right w:val="none" w:sz="0" w:space="0" w:color="auto"/>
                      </w:divBdr>
                    </w:div>
                  </w:divsChild>
                </w:div>
                <w:div w:id="1355841079">
                  <w:marLeft w:val="0"/>
                  <w:marRight w:val="0"/>
                  <w:marTop w:val="0"/>
                  <w:marBottom w:val="0"/>
                  <w:divBdr>
                    <w:top w:val="none" w:sz="0" w:space="0" w:color="auto"/>
                    <w:left w:val="none" w:sz="0" w:space="0" w:color="auto"/>
                    <w:bottom w:val="none" w:sz="0" w:space="0" w:color="auto"/>
                    <w:right w:val="none" w:sz="0" w:space="0" w:color="auto"/>
                  </w:divBdr>
                  <w:divsChild>
                    <w:div w:id="2131629146">
                      <w:marLeft w:val="0"/>
                      <w:marRight w:val="0"/>
                      <w:marTop w:val="0"/>
                      <w:marBottom w:val="0"/>
                      <w:divBdr>
                        <w:top w:val="none" w:sz="0" w:space="0" w:color="auto"/>
                        <w:left w:val="none" w:sz="0" w:space="0" w:color="auto"/>
                        <w:bottom w:val="none" w:sz="0" w:space="0" w:color="auto"/>
                        <w:right w:val="none" w:sz="0" w:space="0" w:color="auto"/>
                      </w:divBdr>
                    </w:div>
                  </w:divsChild>
                </w:div>
                <w:div w:id="958343243">
                  <w:marLeft w:val="0"/>
                  <w:marRight w:val="0"/>
                  <w:marTop w:val="0"/>
                  <w:marBottom w:val="0"/>
                  <w:divBdr>
                    <w:top w:val="none" w:sz="0" w:space="0" w:color="auto"/>
                    <w:left w:val="none" w:sz="0" w:space="0" w:color="auto"/>
                    <w:bottom w:val="none" w:sz="0" w:space="0" w:color="auto"/>
                    <w:right w:val="none" w:sz="0" w:space="0" w:color="auto"/>
                  </w:divBdr>
                  <w:divsChild>
                    <w:div w:id="772866189">
                      <w:marLeft w:val="0"/>
                      <w:marRight w:val="0"/>
                      <w:marTop w:val="0"/>
                      <w:marBottom w:val="0"/>
                      <w:divBdr>
                        <w:top w:val="none" w:sz="0" w:space="0" w:color="auto"/>
                        <w:left w:val="none" w:sz="0" w:space="0" w:color="auto"/>
                        <w:bottom w:val="none" w:sz="0" w:space="0" w:color="auto"/>
                        <w:right w:val="none" w:sz="0" w:space="0" w:color="auto"/>
                      </w:divBdr>
                    </w:div>
                  </w:divsChild>
                </w:div>
                <w:div w:id="1145656698">
                  <w:marLeft w:val="0"/>
                  <w:marRight w:val="0"/>
                  <w:marTop w:val="0"/>
                  <w:marBottom w:val="0"/>
                  <w:divBdr>
                    <w:top w:val="none" w:sz="0" w:space="0" w:color="auto"/>
                    <w:left w:val="none" w:sz="0" w:space="0" w:color="auto"/>
                    <w:bottom w:val="none" w:sz="0" w:space="0" w:color="auto"/>
                    <w:right w:val="none" w:sz="0" w:space="0" w:color="auto"/>
                  </w:divBdr>
                  <w:divsChild>
                    <w:div w:id="1340424945">
                      <w:marLeft w:val="0"/>
                      <w:marRight w:val="0"/>
                      <w:marTop w:val="0"/>
                      <w:marBottom w:val="0"/>
                      <w:divBdr>
                        <w:top w:val="none" w:sz="0" w:space="0" w:color="auto"/>
                        <w:left w:val="none" w:sz="0" w:space="0" w:color="auto"/>
                        <w:bottom w:val="none" w:sz="0" w:space="0" w:color="auto"/>
                        <w:right w:val="none" w:sz="0" w:space="0" w:color="auto"/>
                      </w:divBdr>
                    </w:div>
                  </w:divsChild>
                </w:div>
                <w:div w:id="584917720">
                  <w:marLeft w:val="0"/>
                  <w:marRight w:val="0"/>
                  <w:marTop w:val="0"/>
                  <w:marBottom w:val="0"/>
                  <w:divBdr>
                    <w:top w:val="none" w:sz="0" w:space="0" w:color="auto"/>
                    <w:left w:val="none" w:sz="0" w:space="0" w:color="auto"/>
                    <w:bottom w:val="none" w:sz="0" w:space="0" w:color="auto"/>
                    <w:right w:val="none" w:sz="0" w:space="0" w:color="auto"/>
                  </w:divBdr>
                  <w:divsChild>
                    <w:div w:id="1016078359">
                      <w:marLeft w:val="0"/>
                      <w:marRight w:val="0"/>
                      <w:marTop w:val="0"/>
                      <w:marBottom w:val="0"/>
                      <w:divBdr>
                        <w:top w:val="none" w:sz="0" w:space="0" w:color="auto"/>
                        <w:left w:val="none" w:sz="0" w:space="0" w:color="auto"/>
                        <w:bottom w:val="none" w:sz="0" w:space="0" w:color="auto"/>
                        <w:right w:val="none" w:sz="0" w:space="0" w:color="auto"/>
                      </w:divBdr>
                    </w:div>
                  </w:divsChild>
                </w:div>
                <w:div w:id="2131821875">
                  <w:marLeft w:val="0"/>
                  <w:marRight w:val="0"/>
                  <w:marTop w:val="0"/>
                  <w:marBottom w:val="0"/>
                  <w:divBdr>
                    <w:top w:val="none" w:sz="0" w:space="0" w:color="auto"/>
                    <w:left w:val="none" w:sz="0" w:space="0" w:color="auto"/>
                    <w:bottom w:val="none" w:sz="0" w:space="0" w:color="auto"/>
                    <w:right w:val="none" w:sz="0" w:space="0" w:color="auto"/>
                  </w:divBdr>
                  <w:divsChild>
                    <w:div w:id="1160849297">
                      <w:marLeft w:val="0"/>
                      <w:marRight w:val="0"/>
                      <w:marTop w:val="0"/>
                      <w:marBottom w:val="0"/>
                      <w:divBdr>
                        <w:top w:val="none" w:sz="0" w:space="0" w:color="auto"/>
                        <w:left w:val="none" w:sz="0" w:space="0" w:color="auto"/>
                        <w:bottom w:val="none" w:sz="0" w:space="0" w:color="auto"/>
                        <w:right w:val="none" w:sz="0" w:space="0" w:color="auto"/>
                      </w:divBdr>
                    </w:div>
                  </w:divsChild>
                </w:div>
                <w:div w:id="980039231">
                  <w:marLeft w:val="0"/>
                  <w:marRight w:val="0"/>
                  <w:marTop w:val="0"/>
                  <w:marBottom w:val="0"/>
                  <w:divBdr>
                    <w:top w:val="none" w:sz="0" w:space="0" w:color="auto"/>
                    <w:left w:val="none" w:sz="0" w:space="0" w:color="auto"/>
                    <w:bottom w:val="none" w:sz="0" w:space="0" w:color="auto"/>
                    <w:right w:val="none" w:sz="0" w:space="0" w:color="auto"/>
                  </w:divBdr>
                  <w:divsChild>
                    <w:div w:id="1947879347">
                      <w:marLeft w:val="0"/>
                      <w:marRight w:val="0"/>
                      <w:marTop w:val="0"/>
                      <w:marBottom w:val="0"/>
                      <w:divBdr>
                        <w:top w:val="none" w:sz="0" w:space="0" w:color="auto"/>
                        <w:left w:val="none" w:sz="0" w:space="0" w:color="auto"/>
                        <w:bottom w:val="none" w:sz="0" w:space="0" w:color="auto"/>
                        <w:right w:val="none" w:sz="0" w:space="0" w:color="auto"/>
                      </w:divBdr>
                    </w:div>
                  </w:divsChild>
                </w:div>
                <w:div w:id="1400594859">
                  <w:marLeft w:val="0"/>
                  <w:marRight w:val="0"/>
                  <w:marTop w:val="0"/>
                  <w:marBottom w:val="0"/>
                  <w:divBdr>
                    <w:top w:val="none" w:sz="0" w:space="0" w:color="auto"/>
                    <w:left w:val="none" w:sz="0" w:space="0" w:color="auto"/>
                    <w:bottom w:val="none" w:sz="0" w:space="0" w:color="auto"/>
                    <w:right w:val="none" w:sz="0" w:space="0" w:color="auto"/>
                  </w:divBdr>
                  <w:divsChild>
                    <w:div w:id="434520711">
                      <w:marLeft w:val="0"/>
                      <w:marRight w:val="0"/>
                      <w:marTop w:val="0"/>
                      <w:marBottom w:val="0"/>
                      <w:divBdr>
                        <w:top w:val="none" w:sz="0" w:space="0" w:color="auto"/>
                        <w:left w:val="none" w:sz="0" w:space="0" w:color="auto"/>
                        <w:bottom w:val="none" w:sz="0" w:space="0" w:color="auto"/>
                        <w:right w:val="none" w:sz="0" w:space="0" w:color="auto"/>
                      </w:divBdr>
                    </w:div>
                  </w:divsChild>
                </w:div>
                <w:div w:id="1172377504">
                  <w:marLeft w:val="0"/>
                  <w:marRight w:val="0"/>
                  <w:marTop w:val="0"/>
                  <w:marBottom w:val="0"/>
                  <w:divBdr>
                    <w:top w:val="none" w:sz="0" w:space="0" w:color="auto"/>
                    <w:left w:val="none" w:sz="0" w:space="0" w:color="auto"/>
                    <w:bottom w:val="none" w:sz="0" w:space="0" w:color="auto"/>
                    <w:right w:val="none" w:sz="0" w:space="0" w:color="auto"/>
                  </w:divBdr>
                  <w:divsChild>
                    <w:div w:id="173302286">
                      <w:marLeft w:val="0"/>
                      <w:marRight w:val="0"/>
                      <w:marTop w:val="0"/>
                      <w:marBottom w:val="0"/>
                      <w:divBdr>
                        <w:top w:val="none" w:sz="0" w:space="0" w:color="auto"/>
                        <w:left w:val="none" w:sz="0" w:space="0" w:color="auto"/>
                        <w:bottom w:val="none" w:sz="0" w:space="0" w:color="auto"/>
                        <w:right w:val="none" w:sz="0" w:space="0" w:color="auto"/>
                      </w:divBdr>
                    </w:div>
                  </w:divsChild>
                </w:div>
                <w:div w:id="1687513106">
                  <w:marLeft w:val="0"/>
                  <w:marRight w:val="0"/>
                  <w:marTop w:val="0"/>
                  <w:marBottom w:val="0"/>
                  <w:divBdr>
                    <w:top w:val="none" w:sz="0" w:space="0" w:color="auto"/>
                    <w:left w:val="none" w:sz="0" w:space="0" w:color="auto"/>
                    <w:bottom w:val="none" w:sz="0" w:space="0" w:color="auto"/>
                    <w:right w:val="none" w:sz="0" w:space="0" w:color="auto"/>
                  </w:divBdr>
                  <w:divsChild>
                    <w:div w:id="1895116459">
                      <w:marLeft w:val="0"/>
                      <w:marRight w:val="0"/>
                      <w:marTop w:val="0"/>
                      <w:marBottom w:val="0"/>
                      <w:divBdr>
                        <w:top w:val="none" w:sz="0" w:space="0" w:color="auto"/>
                        <w:left w:val="none" w:sz="0" w:space="0" w:color="auto"/>
                        <w:bottom w:val="none" w:sz="0" w:space="0" w:color="auto"/>
                        <w:right w:val="none" w:sz="0" w:space="0" w:color="auto"/>
                      </w:divBdr>
                    </w:div>
                  </w:divsChild>
                </w:div>
                <w:div w:id="179391648">
                  <w:marLeft w:val="0"/>
                  <w:marRight w:val="0"/>
                  <w:marTop w:val="0"/>
                  <w:marBottom w:val="0"/>
                  <w:divBdr>
                    <w:top w:val="none" w:sz="0" w:space="0" w:color="auto"/>
                    <w:left w:val="none" w:sz="0" w:space="0" w:color="auto"/>
                    <w:bottom w:val="none" w:sz="0" w:space="0" w:color="auto"/>
                    <w:right w:val="none" w:sz="0" w:space="0" w:color="auto"/>
                  </w:divBdr>
                  <w:divsChild>
                    <w:div w:id="578444875">
                      <w:marLeft w:val="0"/>
                      <w:marRight w:val="0"/>
                      <w:marTop w:val="0"/>
                      <w:marBottom w:val="0"/>
                      <w:divBdr>
                        <w:top w:val="none" w:sz="0" w:space="0" w:color="auto"/>
                        <w:left w:val="none" w:sz="0" w:space="0" w:color="auto"/>
                        <w:bottom w:val="none" w:sz="0" w:space="0" w:color="auto"/>
                        <w:right w:val="none" w:sz="0" w:space="0" w:color="auto"/>
                      </w:divBdr>
                    </w:div>
                  </w:divsChild>
                </w:div>
                <w:div w:id="967976927">
                  <w:marLeft w:val="0"/>
                  <w:marRight w:val="0"/>
                  <w:marTop w:val="0"/>
                  <w:marBottom w:val="0"/>
                  <w:divBdr>
                    <w:top w:val="none" w:sz="0" w:space="0" w:color="auto"/>
                    <w:left w:val="none" w:sz="0" w:space="0" w:color="auto"/>
                    <w:bottom w:val="none" w:sz="0" w:space="0" w:color="auto"/>
                    <w:right w:val="none" w:sz="0" w:space="0" w:color="auto"/>
                  </w:divBdr>
                  <w:divsChild>
                    <w:div w:id="575668536">
                      <w:marLeft w:val="0"/>
                      <w:marRight w:val="0"/>
                      <w:marTop w:val="0"/>
                      <w:marBottom w:val="0"/>
                      <w:divBdr>
                        <w:top w:val="none" w:sz="0" w:space="0" w:color="auto"/>
                        <w:left w:val="none" w:sz="0" w:space="0" w:color="auto"/>
                        <w:bottom w:val="none" w:sz="0" w:space="0" w:color="auto"/>
                        <w:right w:val="none" w:sz="0" w:space="0" w:color="auto"/>
                      </w:divBdr>
                    </w:div>
                  </w:divsChild>
                </w:div>
                <w:div w:id="1818451435">
                  <w:marLeft w:val="0"/>
                  <w:marRight w:val="0"/>
                  <w:marTop w:val="0"/>
                  <w:marBottom w:val="0"/>
                  <w:divBdr>
                    <w:top w:val="none" w:sz="0" w:space="0" w:color="auto"/>
                    <w:left w:val="none" w:sz="0" w:space="0" w:color="auto"/>
                    <w:bottom w:val="none" w:sz="0" w:space="0" w:color="auto"/>
                    <w:right w:val="none" w:sz="0" w:space="0" w:color="auto"/>
                  </w:divBdr>
                  <w:divsChild>
                    <w:div w:id="94387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91453">
          <w:marLeft w:val="0"/>
          <w:marRight w:val="0"/>
          <w:marTop w:val="0"/>
          <w:marBottom w:val="0"/>
          <w:divBdr>
            <w:top w:val="none" w:sz="0" w:space="0" w:color="auto"/>
            <w:left w:val="none" w:sz="0" w:space="0" w:color="auto"/>
            <w:bottom w:val="none" w:sz="0" w:space="0" w:color="auto"/>
            <w:right w:val="none" w:sz="0" w:space="0" w:color="auto"/>
          </w:divBdr>
        </w:div>
        <w:div w:id="1651863128">
          <w:marLeft w:val="0"/>
          <w:marRight w:val="0"/>
          <w:marTop w:val="0"/>
          <w:marBottom w:val="0"/>
          <w:divBdr>
            <w:top w:val="none" w:sz="0" w:space="0" w:color="auto"/>
            <w:left w:val="none" w:sz="0" w:space="0" w:color="auto"/>
            <w:bottom w:val="none" w:sz="0" w:space="0" w:color="auto"/>
            <w:right w:val="none" w:sz="0" w:space="0" w:color="auto"/>
          </w:divBdr>
        </w:div>
        <w:div w:id="1643190797">
          <w:marLeft w:val="0"/>
          <w:marRight w:val="0"/>
          <w:marTop w:val="0"/>
          <w:marBottom w:val="0"/>
          <w:divBdr>
            <w:top w:val="none" w:sz="0" w:space="0" w:color="auto"/>
            <w:left w:val="none" w:sz="0" w:space="0" w:color="auto"/>
            <w:bottom w:val="none" w:sz="0" w:space="0" w:color="auto"/>
            <w:right w:val="none" w:sz="0" w:space="0" w:color="auto"/>
          </w:divBdr>
        </w:div>
        <w:div w:id="1763989922">
          <w:marLeft w:val="0"/>
          <w:marRight w:val="0"/>
          <w:marTop w:val="0"/>
          <w:marBottom w:val="0"/>
          <w:divBdr>
            <w:top w:val="none" w:sz="0" w:space="0" w:color="auto"/>
            <w:left w:val="none" w:sz="0" w:space="0" w:color="auto"/>
            <w:bottom w:val="none" w:sz="0" w:space="0" w:color="auto"/>
            <w:right w:val="none" w:sz="0" w:space="0" w:color="auto"/>
          </w:divBdr>
        </w:div>
        <w:div w:id="1109350214">
          <w:marLeft w:val="0"/>
          <w:marRight w:val="0"/>
          <w:marTop w:val="0"/>
          <w:marBottom w:val="0"/>
          <w:divBdr>
            <w:top w:val="none" w:sz="0" w:space="0" w:color="auto"/>
            <w:left w:val="none" w:sz="0" w:space="0" w:color="auto"/>
            <w:bottom w:val="none" w:sz="0" w:space="0" w:color="auto"/>
            <w:right w:val="none" w:sz="0" w:space="0" w:color="auto"/>
          </w:divBdr>
        </w:div>
        <w:div w:id="1266696755">
          <w:marLeft w:val="0"/>
          <w:marRight w:val="0"/>
          <w:marTop w:val="0"/>
          <w:marBottom w:val="0"/>
          <w:divBdr>
            <w:top w:val="none" w:sz="0" w:space="0" w:color="auto"/>
            <w:left w:val="none" w:sz="0" w:space="0" w:color="auto"/>
            <w:bottom w:val="none" w:sz="0" w:space="0" w:color="auto"/>
            <w:right w:val="none" w:sz="0" w:space="0" w:color="auto"/>
          </w:divBdr>
        </w:div>
      </w:divsChild>
    </w:div>
    <w:div w:id="971519720">
      <w:marLeft w:val="0"/>
      <w:marRight w:val="0"/>
      <w:marTop w:val="0"/>
      <w:marBottom w:val="0"/>
      <w:divBdr>
        <w:top w:val="none" w:sz="0" w:space="0" w:color="auto"/>
        <w:left w:val="none" w:sz="0" w:space="0" w:color="auto"/>
        <w:bottom w:val="none" w:sz="0" w:space="0" w:color="auto"/>
        <w:right w:val="none" w:sz="0" w:space="0" w:color="auto"/>
      </w:divBdr>
      <w:divsChild>
        <w:div w:id="161164166">
          <w:marLeft w:val="0"/>
          <w:marRight w:val="0"/>
          <w:marTop w:val="0"/>
          <w:marBottom w:val="0"/>
          <w:divBdr>
            <w:top w:val="none" w:sz="0" w:space="0" w:color="auto"/>
            <w:left w:val="none" w:sz="0" w:space="0" w:color="auto"/>
            <w:bottom w:val="none" w:sz="0" w:space="0" w:color="auto"/>
            <w:right w:val="none" w:sz="0" w:space="0" w:color="auto"/>
          </w:divBdr>
        </w:div>
      </w:divsChild>
    </w:div>
    <w:div w:id="973294113">
      <w:marLeft w:val="0"/>
      <w:marRight w:val="0"/>
      <w:marTop w:val="0"/>
      <w:marBottom w:val="0"/>
      <w:divBdr>
        <w:top w:val="none" w:sz="0" w:space="0" w:color="auto"/>
        <w:left w:val="none" w:sz="0" w:space="0" w:color="auto"/>
        <w:bottom w:val="none" w:sz="0" w:space="0" w:color="auto"/>
        <w:right w:val="none" w:sz="0" w:space="0" w:color="auto"/>
      </w:divBdr>
      <w:divsChild>
        <w:div w:id="557671532">
          <w:marLeft w:val="0"/>
          <w:marRight w:val="0"/>
          <w:marTop w:val="0"/>
          <w:marBottom w:val="0"/>
          <w:divBdr>
            <w:top w:val="none" w:sz="0" w:space="0" w:color="auto"/>
            <w:left w:val="none" w:sz="0" w:space="0" w:color="auto"/>
            <w:bottom w:val="none" w:sz="0" w:space="0" w:color="auto"/>
            <w:right w:val="none" w:sz="0" w:space="0" w:color="auto"/>
          </w:divBdr>
        </w:div>
      </w:divsChild>
    </w:div>
    <w:div w:id="999046377">
      <w:marLeft w:val="0"/>
      <w:marRight w:val="0"/>
      <w:marTop w:val="0"/>
      <w:marBottom w:val="0"/>
      <w:divBdr>
        <w:top w:val="none" w:sz="0" w:space="0" w:color="auto"/>
        <w:left w:val="none" w:sz="0" w:space="0" w:color="auto"/>
        <w:bottom w:val="none" w:sz="0" w:space="0" w:color="auto"/>
        <w:right w:val="none" w:sz="0" w:space="0" w:color="auto"/>
      </w:divBdr>
      <w:divsChild>
        <w:div w:id="1155301333">
          <w:marLeft w:val="0"/>
          <w:marRight w:val="0"/>
          <w:marTop w:val="0"/>
          <w:marBottom w:val="0"/>
          <w:divBdr>
            <w:top w:val="none" w:sz="0" w:space="0" w:color="auto"/>
            <w:left w:val="none" w:sz="0" w:space="0" w:color="auto"/>
            <w:bottom w:val="none" w:sz="0" w:space="0" w:color="auto"/>
            <w:right w:val="none" w:sz="0" w:space="0" w:color="auto"/>
          </w:divBdr>
        </w:div>
      </w:divsChild>
    </w:div>
    <w:div w:id="1006126801">
      <w:bodyDiv w:val="1"/>
      <w:marLeft w:val="0"/>
      <w:marRight w:val="0"/>
      <w:marTop w:val="0"/>
      <w:marBottom w:val="0"/>
      <w:divBdr>
        <w:top w:val="none" w:sz="0" w:space="0" w:color="auto"/>
        <w:left w:val="none" w:sz="0" w:space="0" w:color="auto"/>
        <w:bottom w:val="none" w:sz="0" w:space="0" w:color="auto"/>
        <w:right w:val="none" w:sz="0" w:space="0" w:color="auto"/>
      </w:divBdr>
    </w:div>
    <w:div w:id="1021325296">
      <w:marLeft w:val="0"/>
      <w:marRight w:val="0"/>
      <w:marTop w:val="0"/>
      <w:marBottom w:val="0"/>
      <w:divBdr>
        <w:top w:val="none" w:sz="0" w:space="0" w:color="auto"/>
        <w:left w:val="none" w:sz="0" w:space="0" w:color="auto"/>
        <w:bottom w:val="none" w:sz="0" w:space="0" w:color="auto"/>
        <w:right w:val="none" w:sz="0" w:space="0" w:color="auto"/>
      </w:divBdr>
      <w:divsChild>
        <w:div w:id="1245529047">
          <w:marLeft w:val="0"/>
          <w:marRight w:val="0"/>
          <w:marTop w:val="0"/>
          <w:marBottom w:val="0"/>
          <w:divBdr>
            <w:top w:val="none" w:sz="0" w:space="0" w:color="auto"/>
            <w:left w:val="none" w:sz="0" w:space="0" w:color="auto"/>
            <w:bottom w:val="none" w:sz="0" w:space="0" w:color="auto"/>
            <w:right w:val="none" w:sz="0" w:space="0" w:color="auto"/>
          </w:divBdr>
        </w:div>
      </w:divsChild>
    </w:div>
    <w:div w:id="1027409762">
      <w:bodyDiv w:val="1"/>
      <w:marLeft w:val="0"/>
      <w:marRight w:val="0"/>
      <w:marTop w:val="0"/>
      <w:marBottom w:val="0"/>
      <w:divBdr>
        <w:top w:val="none" w:sz="0" w:space="0" w:color="auto"/>
        <w:left w:val="none" w:sz="0" w:space="0" w:color="auto"/>
        <w:bottom w:val="none" w:sz="0" w:space="0" w:color="auto"/>
        <w:right w:val="none" w:sz="0" w:space="0" w:color="auto"/>
      </w:divBdr>
    </w:div>
    <w:div w:id="1043748162">
      <w:bodyDiv w:val="1"/>
      <w:marLeft w:val="0"/>
      <w:marRight w:val="0"/>
      <w:marTop w:val="0"/>
      <w:marBottom w:val="0"/>
      <w:divBdr>
        <w:top w:val="none" w:sz="0" w:space="0" w:color="auto"/>
        <w:left w:val="none" w:sz="0" w:space="0" w:color="auto"/>
        <w:bottom w:val="none" w:sz="0" w:space="0" w:color="auto"/>
        <w:right w:val="none" w:sz="0" w:space="0" w:color="auto"/>
      </w:divBdr>
      <w:divsChild>
        <w:div w:id="809901451">
          <w:marLeft w:val="0"/>
          <w:marRight w:val="0"/>
          <w:marTop w:val="0"/>
          <w:marBottom w:val="0"/>
          <w:divBdr>
            <w:top w:val="none" w:sz="0" w:space="0" w:color="auto"/>
            <w:left w:val="none" w:sz="0" w:space="0" w:color="auto"/>
            <w:bottom w:val="none" w:sz="0" w:space="0" w:color="auto"/>
            <w:right w:val="none" w:sz="0" w:space="0" w:color="auto"/>
          </w:divBdr>
        </w:div>
        <w:div w:id="1608073444">
          <w:marLeft w:val="0"/>
          <w:marRight w:val="0"/>
          <w:marTop w:val="0"/>
          <w:marBottom w:val="0"/>
          <w:divBdr>
            <w:top w:val="none" w:sz="0" w:space="0" w:color="auto"/>
            <w:left w:val="none" w:sz="0" w:space="0" w:color="auto"/>
            <w:bottom w:val="none" w:sz="0" w:space="0" w:color="auto"/>
            <w:right w:val="none" w:sz="0" w:space="0" w:color="auto"/>
          </w:divBdr>
        </w:div>
        <w:div w:id="175770762">
          <w:marLeft w:val="0"/>
          <w:marRight w:val="0"/>
          <w:marTop w:val="0"/>
          <w:marBottom w:val="0"/>
          <w:divBdr>
            <w:top w:val="none" w:sz="0" w:space="0" w:color="auto"/>
            <w:left w:val="none" w:sz="0" w:space="0" w:color="auto"/>
            <w:bottom w:val="none" w:sz="0" w:space="0" w:color="auto"/>
            <w:right w:val="none" w:sz="0" w:space="0" w:color="auto"/>
          </w:divBdr>
        </w:div>
        <w:div w:id="27997617">
          <w:marLeft w:val="0"/>
          <w:marRight w:val="0"/>
          <w:marTop w:val="0"/>
          <w:marBottom w:val="0"/>
          <w:divBdr>
            <w:top w:val="none" w:sz="0" w:space="0" w:color="auto"/>
            <w:left w:val="none" w:sz="0" w:space="0" w:color="auto"/>
            <w:bottom w:val="none" w:sz="0" w:space="0" w:color="auto"/>
            <w:right w:val="none" w:sz="0" w:space="0" w:color="auto"/>
          </w:divBdr>
        </w:div>
        <w:div w:id="1404908377">
          <w:marLeft w:val="0"/>
          <w:marRight w:val="0"/>
          <w:marTop w:val="0"/>
          <w:marBottom w:val="0"/>
          <w:divBdr>
            <w:top w:val="none" w:sz="0" w:space="0" w:color="auto"/>
            <w:left w:val="none" w:sz="0" w:space="0" w:color="auto"/>
            <w:bottom w:val="none" w:sz="0" w:space="0" w:color="auto"/>
            <w:right w:val="none" w:sz="0" w:space="0" w:color="auto"/>
          </w:divBdr>
        </w:div>
        <w:div w:id="47802788">
          <w:marLeft w:val="0"/>
          <w:marRight w:val="0"/>
          <w:marTop w:val="0"/>
          <w:marBottom w:val="0"/>
          <w:divBdr>
            <w:top w:val="none" w:sz="0" w:space="0" w:color="auto"/>
            <w:left w:val="none" w:sz="0" w:space="0" w:color="auto"/>
            <w:bottom w:val="none" w:sz="0" w:space="0" w:color="auto"/>
            <w:right w:val="none" w:sz="0" w:space="0" w:color="auto"/>
          </w:divBdr>
        </w:div>
        <w:div w:id="1298415488">
          <w:marLeft w:val="0"/>
          <w:marRight w:val="0"/>
          <w:marTop w:val="0"/>
          <w:marBottom w:val="0"/>
          <w:divBdr>
            <w:top w:val="none" w:sz="0" w:space="0" w:color="auto"/>
            <w:left w:val="none" w:sz="0" w:space="0" w:color="auto"/>
            <w:bottom w:val="none" w:sz="0" w:space="0" w:color="auto"/>
            <w:right w:val="none" w:sz="0" w:space="0" w:color="auto"/>
          </w:divBdr>
        </w:div>
        <w:div w:id="1625190444">
          <w:marLeft w:val="0"/>
          <w:marRight w:val="0"/>
          <w:marTop w:val="0"/>
          <w:marBottom w:val="0"/>
          <w:divBdr>
            <w:top w:val="none" w:sz="0" w:space="0" w:color="auto"/>
            <w:left w:val="none" w:sz="0" w:space="0" w:color="auto"/>
            <w:bottom w:val="none" w:sz="0" w:space="0" w:color="auto"/>
            <w:right w:val="none" w:sz="0" w:space="0" w:color="auto"/>
          </w:divBdr>
        </w:div>
        <w:div w:id="1172141490">
          <w:marLeft w:val="0"/>
          <w:marRight w:val="0"/>
          <w:marTop w:val="0"/>
          <w:marBottom w:val="0"/>
          <w:divBdr>
            <w:top w:val="none" w:sz="0" w:space="0" w:color="auto"/>
            <w:left w:val="none" w:sz="0" w:space="0" w:color="auto"/>
            <w:bottom w:val="none" w:sz="0" w:space="0" w:color="auto"/>
            <w:right w:val="none" w:sz="0" w:space="0" w:color="auto"/>
          </w:divBdr>
        </w:div>
        <w:div w:id="1567063800">
          <w:marLeft w:val="0"/>
          <w:marRight w:val="0"/>
          <w:marTop w:val="0"/>
          <w:marBottom w:val="0"/>
          <w:divBdr>
            <w:top w:val="none" w:sz="0" w:space="0" w:color="auto"/>
            <w:left w:val="none" w:sz="0" w:space="0" w:color="auto"/>
            <w:bottom w:val="none" w:sz="0" w:space="0" w:color="auto"/>
            <w:right w:val="none" w:sz="0" w:space="0" w:color="auto"/>
          </w:divBdr>
        </w:div>
        <w:div w:id="450902552">
          <w:marLeft w:val="0"/>
          <w:marRight w:val="0"/>
          <w:marTop w:val="0"/>
          <w:marBottom w:val="0"/>
          <w:divBdr>
            <w:top w:val="none" w:sz="0" w:space="0" w:color="auto"/>
            <w:left w:val="none" w:sz="0" w:space="0" w:color="auto"/>
            <w:bottom w:val="none" w:sz="0" w:space="0" w:color="auto"/>
            <w:right w:val="none" w:sz="0" w:space="0" w:color="auto"/>
          </w:divBdr>
        </w:div>
        <w:div w:id="1717965139">
          <w:marLeft w:val="0"/>
          <w:marRight w:val="0"/>
          <w:marTop w:val="0"/>
          <w:marBottom w:val="0"/>
          <w:divBdr>
            <w:top w:val="none" w:sz="0" w:space="0" w:color="auto"/>
            <w:left w:val="none" w:sz="0" w:space="0" w:color="auto"/>
            <w:bottom w:val="none" w:sz="0" w:space="0" w:color="auto"/>
            <w:right w:val="none" w:sz="0" w:space="0" w:color="auto"/>
          </w:divBdr>
        </w:div>
        <w:div w:id="703019938">
          <w:marLeft w:val="0"/>
          <w:marRight w:val="0"/>
          <w:marTop w:val="0"/>
          <w:marBottom w:val="0"/>
          <w:divBdr>
            <w:top w:val="none" w:sz="0" w:space="0" w:color="auto"/>
            <w:left w:val="none" w:sz="0" w:space="0" w:color="auto"/>
            <w:bottom w:val="none" w:sz="0" w:space="0" w:color="auto"/>
            <w:right w:val="none" w:sz="0" w:space="0" w:color="auto"/>
          </w:divBdr>
        </w:div>
      </w:divsChild>
    </w:div>
    <w:div w:id="1064912652">
      <w:bodyDiv w:val="1"/>
      <w:marLeft w:val="0"/>
      <w:marRight w:val="0"/>
      <w:marTop w:val="0"/>
      <w:marBottom w:val="0"/>
      <w:divBdr>
        <w:top w:val="none" w:sz="0" w:space="0" w:color="auto"/>
        <w:left w:val="none" w:sz="0" w:space="0" w:color="auto"/>
        <w:bottom w:val="none" w:sz="0" w:space="0" w:color="auto"/>
        <w:right w:val="none" w:sz="0" w:space="0" w:color="auto"/>
      </w:divBdr>
    </w:div>
    <w:div w:id="1107502430">
      <w:marLeft w:val="0"/>
      <w:marRight w:val="0"/>
      <w:marTop w:val="0"/>
      <w:marBottom w:val="0"/>
      <w:divBdr>
        <w:top w:val="none" w:sz="0" w:space="0" w:color="auto"/>
        <w:left w:val="none" w:sz="0" w:space="0" w:color="auto"/>
        <w:bottom w:val="none" w:sz="0" w:space="0" w:color="auto"/>
        <w:right w:val="none" w:sz="0" w:space="0" w:color="auto"/>
      </w:divBdr>
      <w:divsChild>
        <w:div w:id="1267349890">
          <w:marLeft w:val="0"/>
          <w:marRight w:val="0"/>
          <w:marTop w:val="0"/>
          <w:marBottom w:val="0"/>
          <w:divBdr>
            <w:top w:val="none" w:sz="0" w:space="0" w:color="auto"/>
            <w:left w:val="none" w:sz="0" w:space="0" w:color="auto"/>
            <w:bottom w:val="none" w:sz="0" w:space="0" w:color="auto"/>
            <w:right w:val="none" w:sz="0" w:space="0" w:color="auto"/>
          </w:divBdr>
        </w:div>
      </w:divsChild>
    </w:div>
    <w:div w:id="1110005918">
      <w:bodyDiv w:val="1"/>
      <w:marLeft w:val="0"/>
      <w:marRight w:val="0"/>
      <w:marTop w:val="0"/>
      <w:marBottom w:val="0"/>
      <w:divBdr>
        <w:top w:val="none" w:sz="0" w:space="0" w:color="auto"/>
        <w:left w:val="none" w:sz="0" w:space="0" w:color="auto"/>
        <w:bottom w:val="none" w:sz="0" w:space="0" w:color="auto"/>
        <w:right w:val="none" w:sz="0" w:space="0" w:color="auto"/>
      </w:divBdr>
      <w:divsChild>
        <w:div w:id="1441216693">
          <w:marLeft w:val="0"/>
          <w:marRight w:val="0"/>
          <w:marTop w:val="0"/>
          <w:marBottom w:val="0"/>
          <w:divBdr>
            <w:top w:val="none" w:sz="0" w:space="0" w:color="auto"/>
            <w:left w:val="none" w:sz="0" w:space="0" w:color="auto"/>
            <w:bottom w:val="none" w:sz="0" w:space="0" w:color="auto"/>
            <w:right w:val="none" w:sz="0" w:space="0" w:color="auto"/>
          </w:divBdr>
        </w:div>
        <w:div w:id="131139166">
          <w:marLeft w:val="0"/>
          <w:marRight w:val="0"/>
          <w:marTop w:val="0"/>
          <w:marBottom w:val="0"/>
          <w:divBdr>
            <w:top w:val="none" w:sz="0" w:space="0" w:color="auto"/>
            <w:left w:val="none" w:sz="0" w:space="0" w:color="auto"/>
            <w:bottom w:val="none" w:sz="0" w:space="0" w:color="auto"/>
            <w:right w:val="none" w:sz="0" w:space="0" w:color="auto"/>
          </w:divBdr>
        </w:div>
        <w:div w:id="1236935079">
          <w:marLeft w:val="0"/>
          <w:marRight w:val="0"/>
          <w:marTop w:val="0"/>
          <w:marBottom w:val="0"/>
          <w:divBdr>
            <w:top w:val="none" w:sz="0" w:space="0" w:color="auto"/>
            <w:left w:val="none" w:sz="0" w:space="0" w:color="auto"/>
            <w:bottom w:val="none" w:sz="0" w:space="0" w:color="auto"/>
            <w:right w:val="none" w:sz="0" w:space="0" w:color="auto"/>
          </w:divBdr>
        </w:div>
        <w:div w:id="436871891">
          <w:marLeft w:val="0"/>
          <w:marRight w:val="0"/>
          <w:marTop w:val="0"/>
          <w:marBottom w:val="0"/>
          <w:divBdr>
            <w:top w:val="none" w:sz="0" w:space="0" w:color="auto"/>
            <w:left w:val="none" w:sz="0" w:space="0" w:color="auto"/>
            <w:bottom w:val="none" w:sz="0" w:space="0" w:color="auto"/>
            <w:right w:val="none" w:sz="0" w:space="0" w:color="auto"/>
          </w:divBdr>
        </w:div>
        <w:div w:id="2131316310">
          <w:marLeft w:val="0"/>
          <w:marRight w:val="0"/>
          <w:marTop w:val="0"/>
          <w:marBottom w:val="0"/>
          <w:divBdr>
            <w:top w:val="none" w:sz="0" w:space="0" w:color="auto"/>
            <w:left w:val="none" w:sz="0" w:space="0" w:color="auto"/>
            <w:bottom w:val="none" w:sz="0" w:space="0" w:color="auto"/>
            <w:right w:val="none" w:sz="0" w:space="0" w:color="auto"/>
          </w:divBdr>
        </w:div>
        <w:div w:id="804814555">
          <w:marLeft w:val="0"/>
          <w:marRight w:val="0"/>
          <w:marTop w:val="0"/>
          <w:marBottom w:val="0"/>
          <w:divBdr>
            <w:top w:val="none" w:sz="0" w:space="0" w:color="auto"/>
            <w:left w:val="none" w:sz="0" w:space="0" w:color="auto"/>
            <w:bottom w:val="none" w:sz="0" w:space="0" w:color="auto"/>
            <w:right w:val="none" w:sz="0" w:space="0" w:color="auto"/>
          </w:divBdr>
        </w:div>
      </w:divsChild>
    </w:div>
    <w:div w:id="1112673011">
      <w:marLeft w:val="0"/>
      <w:marRight w:val="0"/>
      <w:marTop w:val="0"/>
      <w:marBottom w:val="0"/>
      <w:divBdr>
        <w:top w:val="none" w:sz="0" w:space="0" w:color="auto"/>
        <w:left w:val="none" w:sz="0" w:space="0" w:color="auto"/>
        <w:bottom w:val="none" w:sz="0" w:space="0" w:color="auto"/>
        <w:right w:val="none" w:sz="0" w:space="0" w:color="auto"/>
      </w:divBdr>
      <w:divsChild>
        <w:div w:id="2242902">
          <w:marLeft w:val="0"/>
          <w:marRight w:val="0"/>
          <w:marTop w:val="0"/>
          <w:marBottom w:val="0"/>
          <w:divBdr>
            <w:top w:val="none" w:sz="0" w:space="0" w:color="auto"/>
            <w:left w:val="none" w:sz="0" w:space="0" w:color="auto"/>
            <w:bottom w:val="none" w:sz="0" w:space="0" w:color="auto"/>
            <w:right w:val="none" w:sz="0" w:space="0" w:color="auto"/>
          </w:divBdr>
        </w:div>
      </w:divsChild>
    </w:div>
    <w:div w:id="1147628223">
      <w:marLeft w:val="0"/>
      <w:marRight w:val="0"/>
      <w:marTop w:val="0"/>
      <w:marBottom w:val="0"/>
      <w:divBdr>
        <w:top w:val="none" w:sz="0" w:space="0" w:color="auto"/>
        <w:left w:val="none" w:sz="0" w:space="0" w:color="auto"/>
        <w:bottom w:val="none" w:sz="0" w:space="0" w:color="auto"/>
        <w:right w:val="none" w:sz="0" w:space="0" w:color="auto"/>
      </w:divBdr>
      <w:divsChild>
        <w:div w:id="1998681935">
          <w:marLeft w:val="0"/>
          <w:marRight w:val="0"/>
          <w:marTop w:val="0"/>
          <w:marBottom w:val="0"/>
          <w:divBdr>
            <w:top w:val="none" w:sz="0" w:space="0" w:color="auto"/>
            <w:left w:val="none" w:sz="0" w:space="0" w:color="auto"/>
            <w:bottom w:val="none" w:sz="0" w:space="0" w:color="auto"/>
            <w:right w:val="none" w:sz="0" w:space="0" w:color="auto"/>
          </w:divBdr>
        </w:div>
      </w:divsChild>
    </w:div>
    <w:div w:id="1162502081">
      <w:bodyDiv w:val="1"/>
      <w:marLeft w:val="0"/>
      <w:marRight w:val="0"/>
      <w:marTop w:val="0"/>
      <w:marBottom w:val="0"/>
      <w:divBdr>
        <w:top w:val="none" w:sz="0" w:space="0" w:color="auto"/>
        <w:left w:val="none" w:sz="0" w:space="0" w:color="auto"/>
        <w:bottom w:val="none" w:sz="0" w:space="0" w:color="auto"/>
        <w:right w:val="none" w:sz="0" w:space="0" w:color="auto"/>
      </w:divBdr>
      <w:divsChild>
        <w:div w:id="1905407899">
          <w:marLeft w:val="0"/>
          <w:marRight w:val="0"/>
          <w:marTop w:val="0"/>
          <w:marBottom w:val="0"/>
          <w:divBdr>
            <w:top w:val="none" w:sz="0" w:space="0" w:color="auto"/>
            <w:left w:val="none" w:sz="0" w:space="0" w:color="auto"/>
            <w:bottom w:val="none" w:sz="0" w:space="0" w:color="auto"/>
            <w:right w:val="none" w:sz="0" w:space="0" w:color="auto"/>
          </w:divBdr>
          <w:divsChild>
            <w:div w:id="1832981122">
              <w:marLeft w:val="0"/>
              <w:marRight w:val="0"/>
              <w:marTop w:val="0"/>
              <w:marBottom w:val="0"/>
              <w:divBdr>
                <w:top w:val="none" w:sz="0" w:space="0" w:color="auto"/>
                <w:left w:val="none" w:sz="0" w:space="0" w:color="auto"/>
                <w:bottom w:val="none" w:sz="0" w:space="0" w:color="auto"/>
                <w:right w:val="none" w:sz="0" w:space="0" w:color="auto"/>
              </w:divBdr>
            </w:div>
            <w:div w:id="603267617">
              <w:marLeft w:val="0"/>
              <w:marRight w:val="0"/>
              <w:marTop w:val="0"/>
              <w:marBottom w:val="0"/>
              <w:divBdr>
                <w:top w:val="none" w:sz="0" w:space="0" w:color="auto"/>
                <w:left w:val="none" w:sz="0" w:space="0" w:color="auto"/>
                <w:bottom w:val="none" w:sz="0" w:space="0" w:color="auto"/>
                <w:right w:val="none" w:sz="0" w:space="0" w:color="auto"/>
              </w:divBdr>
            </w:div>
            <w:div w:id="600064995">
              <w:marLeft w:val="0"/>
              <w:marRight w:val="0"/>
              <w:marTop w:val="0"/>
              <w:marBottom w:val="0"/>
              <w:divBdr>
                <w:top w:val="none" w:sz="0" w:space="0" w:color="auto"/>
                <w:left w:val="none" w:sz="0" w:space="0" w:color="auto"/>
                <w:bottom w:val="none" w:sz="0" w:space="0" w:color="auto"/>
                <w:right w:val="none" w:sz="0" w:space="0" w:color="auto"/>
              </w:divBdr>
            </w:div>
          </w:divsChild>
        </w:div>
        <w:div w:id="1431897759">
          <w:marLeft w:val="0"/>
          <w:marRight w:val="0"/>
          <w:marTop w:val="0"/>
          <w:marBottom w:val="0"/>
          <w:divBdr>
            <w:top w:val="none" w:sz="0" w:space="0" w:color="auto"/>
            <w:left w:val="none" w:sz="0" w:space="0" w:color="auto"/>
            <w:bottom w:val="none" w:sz="0" w:space="0" w:color="auto"/>
            <w:right w:val="none" w:sz="0" w:space="0" w:color="auto"/>
          </w:divBdr>
        </w:div>
        <w:div w:id="2094475675">
          <w:marLeft w:val="0"/>
          <w:marRight w:val="0"/>
          <w:marTop w:val="0"/>
          <w:marBottom w:val="0"/>
          <w:divBdr>
            <w:top w:val="none" w:sz="0" w:space="0" w:color="auto"/>
            <w:left w:val="none" w:sz="0" w:space="0" w:color="auto"/>
            <w:bottom w:val="none" w:sz="0" w:space="0" w:color="auto"/>
            <w:right w:val="none" w:sz="0" w:space="0" w:color="auto"/>
          </w:divBdr>
        </w:div>
      </w:divsChild>
    </w:div>
    <w:div w:id="1184324641">
      <w:marLeft w:val="0"/>
      <w:marRight w:val="0"/>
      <w:marTop w:val="0"/>
      <w:marBottom w:val="0"/>
      <w:divBdr>
        <w:top w:val="none" w:sz="0" w:space="0" w:color="auto"/>
        <w:left w:val="none" w:sz="0" w:space="0" w:color="auto"/>
        <w:bottom w:val="none" w:sz="0" w:space="0" w:color="auto"/>
        <w:right w:val="none" w:sz="0" w:space="0" w:color="auto"/>
      </w:divBdr>
      <w:divsChild>
        <w:div w:id="1204100553">
          <w:marLeft w:val="0"/>
          <w:marRight w:val="0"/>
          <w:marTop w:val="0"/>
          <w:marBottom w:val="0"/>
          <w:divBdr>
            <w:top w:val="none" w:sz="0" w:space="0" w:color="auto"/>
            <w:left w:val="none" w:sz="0" w:space="0" w:color="auto"/>
            <w:bottom w:val="none" w:sz="0" w:space="0" w:color="auto"/>
            <w:right w:val="none" w:sz="0" w:space="0" w:color="auto"/>
          </w:divBdr>
        </w:div>
      </w:divsChild>
    </w:div>
    <w:div w:id="1184856519">
      <w:bodyDiv w:val="1"/>
      <w:marLeft w:val="0"/>
      <w:marRight w:val="0"/>
      <w:marTop w:val="0"/>
      <w:marBottom w:val="0"/>
      <w:divBdr>
        <w:top w:val="none" w:sz="0" w:space="0" w:color="auto"/>
        <w:left w:val="none" w:sz="0" w:space="0" w:color="auto"/>
        <w:bottom w:val="none" w:sz="0" w:space="0" w:color="auto"/>
        <w:right w:val="none" w:sz="0" w:space="0" w:color="auto"/>
      </w:divBdr>
    </w:div>
    <w:div w:id="1222524275">
      <w:bodyDiv w:val="1"/>
      <w:marLeft w:val="0"/>
      <w:marRight w:val="0"/>
      <w:marTop w:val="0"/>
      <w:marBottom w:val="0"/>
      <w:divBdr>
        <w:top w:val="none" w:sz="0" w:space="0" w:color="auto"/>
        <w:left w:val="none" w:sz="0" w:space="0" w:color="auto"/>
        <w:bottom w:val="none" w:sz="0" w:space="0" w:color="auto"/>
        <w:right w:val="none" w:sz="0" w:space="0" w:color="auto"/>
      </w:divBdr>
    </w:div>
    <w:div w:id="1252739423">
      <w:marLeft w:val="0"/>
      <w:marRight w:val="0"/>
      <w:marTop w:val="0"/>
      <w:marBottom w:val="0"/>
      <w:divBdr>
        <w:top w:val="none" w:sz="0" w:space="0" w:color="auto"/>
        <w:left w:val="none" w:sz="0" w:space="0" w:color="auto"/>
        <w:bottom w:val="none" w:sz="0" w:space="0" w:color="auto"/>
        <w:right w:val="none" w:sz="0" w:space="0" w:color="auto"/>
      </w:divBdr>
      <w:divsChild>
        <w:div w:id="1476944221">
          <w:marLeft w:val="0"/>
          <w:marRight w:val="0"/>
          <w:marTop w:val="0"/>
          <w:marBottom w:val="0"/>
          <w:divBdr>
            <w:top w:val="none" w:sz="0" w:space="0" w:color="auto"/>
            <w:left w:val="none" w:sz="0" w:space="0" w:color="auto"/>
            <w:bottom w:val="none" w:sz="0" w:space="0" w:color="auto"/>
            <w:right w:val="none" w:sz="0" w:space="0" w:color="auto"/>
          </w:divBdr>
        </w:div>
      </w:divsChild>
    </w:div>
    <w:div w:id="1293632557">
      <w:marLeft w:val="0"/>
      <w:marRight w:val="0"/>
      <w:marTop w:val="0"/>
      <w:marBottom w:val="0"/>
      <w:divBdr>
        <w:top w:val="none" w:sz="0" w:space="0" w:color="auto"/>
        <w:left w:val="none" w:sz="0" w:space="0" w:color="auto"/>
        <w:bottom w:val="none" w:sz="0" w:space="0" w:color="auto"/>
        <w:right w:val="none" w:sz="0" w:space="0" w:color="auto"/>
      </w:divBdr>
      <w:divsChild>
        <w:div w:id="293827657">
          <w:marLeft w:val="0"/>
          <w:marRight w:val="0"/>
          <w:marTop w:val="0"/>
          <w:marBottom w:val="0"/>
          <w:divBdr>
            <w:top w:val="none" w:sz="0" w:space="0" w:color="auto"/>
            <w:left w:val="none" w:sz="0" w:space="0" w:color="auto"/>
            <w:bottom w:val="none" w:sz="0" w:space="0" w:color="auto"/>
            <w:right w:val="none" w:sz="0" w:space="0" w:color="auto"/>
          </w:divBdr>
        </w:div>
      </w:divsChild>
    </w:div>
    <w:div w:id="1295023458">
      <w:marLeft w:val="0"/>
      <w:marRight w:val="0"/>
      <w:marTop w:val="0"/>
      <w:marBottom w:val="0"/>
      <w:divBdr>
        <w:top w:val="none" w:sz="0" w:space="0" w:color="auto"/>
        <w:left w:val="none" w:sz="0" w:space="0" w:color="auto"/>
        <w:bottom w:val="none" w:sz="0" w:space="0" w:color="auto"/>
        <w:right w:val="none" w:sz="0" w:space="0" w:color="auto"/>
      </w:divBdr>
      <w:divsChild>
        <w:div w:id="1155997720">
          <w:marLeft w:val="0"/>
          <w:marRight w:val="0"/>
          <w:marTop w:val="0"/>
          <w:marBottom w:val="0"/>
          <w:divBdr>
            <w:top w:val="none" w:sz="0" w:space="0" w:color="auto"/>
            <w:left w:val="none" w:sz="0" w:space="0" w:color="auto"/>
            <w:bottom w:val="none" w:sz="0" w:space="0" w:color="auto"/>
            <w:right w:val="none" w:sz="0" w:space="0" w:color="auto"/>
          </w:divBdr>
        </w:div>
      </w:divsChild>
    </w:div>
    <w:div w:id="1352027563">
      <w:marLeft w:val="0"/>
      <w:marRight w:val="0"/>
      <w:marTop w:val="0"/>
      <w:marBottom w:val="0"/>
      <w:divBdr>
        <w:top w:val="none" w:sz="0" w:space="0" w:color="auto"/>
        <w:left w:val="none" w:sz="0" w:space="0" w:color="auto"/>
        <w:bottom w:val="none" w:sz="0" w:space="0" w:color="auto"/>
        <w:right w:val="none" w:sz="0" w:space="0" w:color="auto"/>
      </w:divBdr>
      <w:divsChild>
        <w:div w:id="1243221028">
          <w:marLeft w:val="0"/>
          <w:marRight w:val="0"/>
          <w:marTop w:val="0"/>
          <w:marBottom w:val="0"/>
          <w:divBdr>
            <w:top w:val="none" w:sz="0" w:space="0" w:color="auto"/>
            <w:left w:val="none" w:sz="0" w:space="0" w:color="auto"/>
            <w:bottom w:val="none" w:sz="0" w:space="0" w:color="auto"/>
            <w:right w:val="none" w:sz="0" w:space="0" w:color="auto"/>
          </w:divBdr>
        </w:div>
      </w:divsChild>
    </w:div>
    <w:div w:id="1370841306">
      <w:marLeft w:val="0"/>
      <w:marRight w:val="0"/>
      <w:marTop w:val="0"/>
      <w:marBottom w:val="0"/>
      <w:divBdr>
        <w:top w:val="none" w:sz="0" w:space="0" w:color="auto"/>
        <w:left w:val="none" w:sz="0" w:space="0" w:color="auto"/>
        <w:bottom w:val="none" w:sz="0" w:space="0" w:color="auto"/>
        <w:right w:val="none" w:sz="0" w:space="0" w:color="auto"/>
      </w:divBdr>
      <w:divsChild>
        <w:div w:id="1058869044">
          <w:marLeft w:val="0"/>
          <w:marRight w:val="0"/>
          <w:marTop w:val="0"/>
          <w:marBottom w:val="0"/>
          <w:divBdr>
            <w:top w:val="none" w:sz="0" w:space="0" w:color="auto"/>
            <w:left w:val="none" w:sz="0" w:space="0" w:color="auto"/>
            <w:bottom w:val="none" w:sz="0" w:space="0" w:color="auto"/>
            <w:right w:val="none" w:sz="0" w:space="0" w:color="auto"/>
          </w:divBdr>
        </w:div>
      </w:divsChild>
    </w:div>
    <w:div w:id="1388996969">
      <w:bodyDiv w:val="1"/>
      <w:marLeft w:val="0"/>
      <w:marRight w:val="0"/>
      <w:marTop w:val="0"/>
      <w:marBottom w:val="0"/>
      <w:divBdr>
        <w:top w:val="none" w:sz="0" w:space="0" w:color="auto"/>
        <w:left w:val="none" w:sz="0" w:space="0" w:color="auto"/>
        <w:bottom w:val="none" w:sz="0" w:space="0" w:color="auto"/>
        <w:right w:val="none" w:sz="0" w:space="0" w:color="auto"/>
      </w:divBdr>
      <w:divsChild>
        <w:div w:id="991178957">
          <w:marLeft w:val="0"/>
          <w:marRight w:val="0"/>
          <w:marTop w:val="0"/>
          <w:marBottom w:val="0"/>
          <w:divBdr>
            <w:top w:val="none" w:sz="0" w:space="0" w:color="auto"/>
            <w:left w:val="none" w:sz="0" w:space="0" w:color="auto"/>
            <w:bottom w:val="none" w:sz="0" w:space="0" w:color="auto"/>
            <w:right w:val="none" w:sz="0" w:space="0" w:color="auto"/>
          </w:divBdr>
        </w:div>
        <w:div w:id="1187326634">
          <w:marLeft w:val="0"/>
          <w:marRight w:val="0"/>
          <w:marTop w:val="0"/>
          <w:marBottom w:val="0"/>
          <w:divBdr>
            <w:top w:val="none" w:sz="0" w:space="0" w:color="auto"/>
            <w:left w:val="none" w:sz="0" w:space="0" w:color="auto"/>
            <w:bottom w:val="none" w:sz="0" w:space="0" w:color="auto"/>
            <w:right w:val="none" w:sz="0" w:space="0" w:color="auto"/>
          </w:divBdr>
        </w:div>
        <w:div w:id="1237284710">
          <w:marLeft w:val="0"/>
          <w:marRight w:val="0"/>
          <w:marTop w:val="0"/>
          <w:marBottom w:val="0"/>
          <w:divBdr>
            <w:top w:val="none" w:sz="0" w:space="0" w:color="auto"/>
            <w:left w:val="none" w:sz="0" w:space="0" w:color="auto"/>
            <w:bottom w:val="none" w:sz="0" w:space="0" w:color="auto"/>
            <w:right w:val="none" w:sz="0" w:space="0" w:color="auto"/>
          </w:divBdr>
          <w:divsChild>
            <w:div w:id="1326973231">
              <w:marLeft w:val="0"/>
              <w:marRight w:val="0"/>
              <w:marTop w:val="0"/>
              <w:marBottom w:val="0"/>
              <w:divBdr>
                <w:top w:val="none" w:sz="0" w:space="0" w:color="auto"/>
                <w:left w:val="none" w:sz="0" w:space="0" w:color="auto"/>
                <w:bottom w:val="none" w:sz="0" w:space="0" w:color="auto"/>
                <w:right w:val="none" w:sz="0" w:space="0" w:color="auto"/>
              </w:divBdr>
            </w:div>
            <w:div w:id="2048790754">
              <w:marLeft w:val="0"/>
              <w:marRight w:val="0"/>
              <w:marTop w:val="0"/>
              <w:marBottom w:val="0"/>
              <w:divBdr>
                <w:top w:val="none" w:sz="0" w:space="0" w:color="auto"/>
                <w:left w:val="none" w:sz="0" w:space="0" w:color="auto"/>
                <w:bottom w:val="none" w:sz="0" w:space="0" w:color="auto"/>
                <w:right w:val="none" w:sz="0" w:space="0" w:color="auto"/>
              </w:divBdr>
            </w:div>
            <w:div w:id="934898760">
              <w:marLeft w:val="0"/>
              <w:marRight w:val="0"/>
              <w:marTop w:val="0"/>
              <w:marBottom w:val="0"/>
              <w:divBdr>
                <w:top w:val="none" w:sz="0" w:space="0" w:color="auto"/>
                <w:left w:val="none" w:sz="0" w:space="0" w:color="auto"/>
                <w:bottom w:val="none" w:sz="0" w:space="0" w:color="auto"/>
                <w:right w:val="none" w:sz="0" w:space="0" w:color="auto"/>
              </w:divBdr>
            </w:div>
            <w:div w:id="865867384">
              <w:marLeft w:val="0"/>
              <w:marRight w:val="0"/>
              <w:marTop w:val="0"/>
              <w:marBottom w:val="0"/>
              <w:divBdr>
                <w:top w:val="none" w:sz="0" w:space="0" w:color="auto"/>
                <w:left w:val="none" w:sz="0" w:space="0" w:color="auto"/>
                <w:bottom w:val="none" w:sz="0" w:space="0" w:color="auto"/>
                <w:right w:val="none" w:sz="0" w:space="0" w:color="auto"/>
              </w:divBdr>
            </w:div>
            <w:div w:id="63727912">
              <w:marLeft w:val="0"/>
              <w:marRight w:val="0"/>
              <w:marTop w:val="0"/>
              <w:marBottom w:val="0"/>
              <w:divBdr>
                <w:top w:val="none" w:sz="0" w:space="0" w:color="auto"/>
                <w:left w:val="none" w:sz="0" w:space="0" w:color="auto"/>
                <w:bottom w:val="none" w:sz="0" w:space="0" w:color="auto"/>
                <w:right w:val="none" w:sz="0" w:space="0" w:color="auto"/>
              </w:divBdr>
            </w:div>
          </w:divsChild>
        </w:div>
        <w:div w:id="570431121">
          <w:marLeft w:val="0"/>
          <w:marRight w:val="0"/>
          <w:marTop w:val="0"/>
          <w:marBottom w:val="0"/>
          <w:divBdr>
            <w:top w:val="none" w:sz="0" w:space="0" w:color="auto"/>
            <w:left w:val="none" w:sz="0" w:space="0" w:color="auto"/>
            <w:bottom w:val="none" w:sz="0" w:space="0" w:color="auto"/>
            <w:right w:val="none" w:sz="0" w:space="0" w:color="auto"/>
          </w:divBdr>
        </w:div>
        <w:div w:id="1255363642">
          <w:marLeft w:val="0"/>
          <w:marRight w:val="0"/>
          <w:marTop w:val="0"/>
          <w:marBottom w:val="0"/>
          <w:divBdr>
            <w:top w:val="none" w:sz="0" w:space="0" w:color="auto"/>
            <w:left w:val="none" w:sz="0" w:space="0" w:color="auto"/>
            <w:bottom w:val="none" w:sz="0" w:space="0" w:color="auto"/>
            <w:right w:val="none" w:sz="0" w:space="0" w:color="auto"/>
          </w:divBdr>
        </w:div>
        <w:div w:id="1175654029">
          <w:marLeft w:val="0"/>
          <w:marRight w:val="0"/>
          <w:marTop w:val="0"/>
          <w:marBottom w:val="0"/>
          <w:divBdr>
            <w:top w:val="none" w:sz="0" w:space="0" w:color="auto"/>
            <w:left w:val="none" w:sz="0" w:space="0" w:color="auto"/>
            <w:bottom w:val="none" w:sz="0" w:space="0" w:color="auto"/>
            <w:right w:val="none" w:sz="0" w:space="0" w:color="auto"/>
          </w:divBdr>
        </w:div>
        <w:div w:id="1213812216">
          <w:marLeft w:val="0"/>
          <w:marRight w:val="0"/>
          <w:marTop w:val="0"/>
          <w:marBottom w:val="0"/>
          <w:divBdr>
            <w:top w:val="none" w:sz="0" w:space="0" w:color="auto"/>
            <w:left w:val="none" w:sz="0" w:space="0" w:color="auto"/>
            <w:bottom w:val="none" w:sz="0" w:space="0" w:color="auto"/>
            <w:right w:val="none" w:sz="0" w:space="0" w:color="auto"/>
          </w:divBdr>
        </w:div>
        <w:div w:id="801996751">
          <w:marLeft w:val="0"/>
          <w:marRight w:val="0"/>
          <w:marTop w:val="0"/>
          <w:marBottom w:val="0"/>
          <w:divBdr>
            <w:top w:val="none" w:sz="0" w:space="0" w:color="auto"/>
            <w:left w:val="none" w:sz="0" w:space="0" w:color="auto"/>
            <w:bottom w:val="none" w:sz="0" w:space="0" w:color="auto"/>
            <w:right w:val="none" w:sz="0" w:space="0" w:color="auto"/>
          </w:divBdr>
        </w:div>
        <w:div w:id="1581912722">
          <w:marLeft w:val="0"/>
          <w:marRight w:val="0"/>
          <w:marTop w:val="0"/>
          <w:marBottom w:val="0"/>
          <w:divBdr>
            <w:top w:val="none" w:sz="0" w:space="0" w:color="auto"/>
            <w:left w:val="none" w:sz="0" w:space="0" w:color="auto"/>
            <w:bottom w:val="none" w:sz="0" w:space="0" w:color="auto"/>
            <w:right w:val="none" w:sz="0" w:space="0" w:color="auto"/>
          </w:divBdr>
        </w:div>
        <w:div w:id="2095660103">
          <w:marLeft w:val="0"/>
          <w:marRight w:val="0"/>
          <w:marTop w:val="0"/>
          <w:marBottom w:val="0"/>
          <w:divBdr>
            <w:top w:val="none" w:sz="0" w:space="0" w:color="auto"/>
            <w:left w:val="none" w:sz="0" w:space="0" w:color="auto"/>
            <w:bottom w:val="none" w:sz="0" w:space="0" w:color="auto"/>
            <w:right w:val="none" w:sz="0" w:space="0" w:color="auto"/>
          </w:divBdr>
        </w:div>
        <w:div w:id="446432238">
          <w:marLeft w:val="0"/>
          <w:marRight w:val="0"/>
          <w:marTop w:val="0"/>
          <w:marBottom w:val="0"/>
          <w:divBdr>
            <w:top w:val="none" w:sz="0" w:space="0" w:color="auto"/>
            <w:left w:val="none" w:sz="0" w:space="0" w:color="auto"/>
            <w:bottom w:val="none" w:sz="0" w:space="0" w:color="auto"/>
            <w:right w:val="none" w:sz="0" w:space="0" w:color="auto"/>
          </w:divBdr>
        </w:div>
      </w:divsChild>
    </w:div>
    <w:div w:id="1399205900">
      <w:marLeft w:val="0"/>
      <w:marRight w:val="0"/>
      <w:marTop w:val="0"/>
      <w:marBottom w:val="0"/>
      <w:divBdr>
        <w:top w:val="none" w:sz="0" w:space="0" w:color="auto"/>
        <w:left w:val="none" w:sz="0" w:space="0" w:color="auto"/>
        <w:bottom w:val="none" w:sz="0" w:space="0" w:color="auto"/>
        <w:right w:val="none" w:sz="0" w:space="0" w:color="auto"/>
      </w:divBdr>
      <w:divsChild>
        <w:div w:id="382797927">
          <w:marLeft w:val="0"/>
          <w:marRight w:val="0"/>
          <w:marTop w:val="0"/>
          <w:marBottom w:val="0"/>
          <w:divBdr>
            <w:top w:val="none" w:sz="0" w:space="0" w:color="auto"/>
            <w:left w:val="none" w:sz="0" w:space="0" w:color="auto"/>
            <w:bottom w:val="none" w:sz="0" w:space="0" w:color="auto"/>
            <w:right w:val="none" w:sz="0" w:space="0" w:color="auto"/>
          </w:divBdr>
        </w:div>
      </w:divsChild>
    </w:div>
    <w:div w:id="1409380207">
      <w:bodyDiv w:val="1"/>
      <w:marLeft w:val="0"/>
      <w:marRight w:val="0"/>
      <w:marTop w:val="0"/>
      <w:marBottom w:val="0"/>
      <w:divBdr>
        <w:top w:val="none" w:sz="0" w:space="0" w:color="auto"/>
        <w:left w:val="none" w:sz="0" w:space="0" w:color="auto"/>
        <w:bottom w:val="none" w:sz="0" w:space="0" w:color="auto"/>
        <w:right w:val="none" w:sz="0" w:space="0" w:color="auto"/>
      </w:divBdr>
    </w:div>
    <w:div w:id="1568609932">
      <w:bodyDiv w:val="1"/>
      <w:marLeft w:val="0"/>
      <w:marRight w:val="0"/>
      <w:marTop w:val="0"/>
      <w:marBottom w:val="0"/>
      <w:divBdr>
        <w:top w:val="none" w:sz="0" w:space="0" w:color="auto"/>
        <w:left w:val="none" w:sz="0" w:space="0" w:color="auto"/>
        <w:bottom w:val="none" w:sz="0" w:space="0" w:color="auto"/>
        <w:right w:val="none" w:sz="0" w:space="0" w:color="auto"/>
      </w:divBdr>
      <w:divsChild>
        <w:div w:id="914626115">
          <w:marLeft w:val="0"/>
          <w:marRight w:val="0"/>
          <w:marTop w:val="0"/>
          <w:marBottom w:val="0"/>
          <w:divBdr>
            <w:top w:val="none" w:sz="0" w:space="0" w:color="auto"/>
            <w:left w:val="none" w:sz="0" w:space="0" w:color="auto"/>
            <w:bottom w:val="none" w:sz="0" w:space="0" w:color="auto"/>
            <w:right w:val="none" w:sz="0" w:space="0" w:color="auto"/>
          </w:divBdr>
          <w:divsChild>
            <w:div w:id="2023047734">
              <w:marLeft w:val="0"/>
              <w:marRight w:val="0"/>
              <w:marTop w:val="0"/>
              <w:marBottom w:val="0"/>
              <w:divBdr>
                <w:top w:val="none" w:sz="0" w:space="0" w:color="auto"/>
                <w:left w:val="none" w:sz="0" w:space="0" w:color="auto"/>
                <w:bottom w:val="none" w:sz="0" w:space="0" w:color="auto"/>
                <w:right w:val="none" w:sz="0" w:space="0" w:color="auto"/>
              </w:divBdr>
            </w:div>
          </w:divsChild>
        </w:div>
        <w:div w:id="1672491341">
          <w:marLeft w:val="0"/>
          <w:marRight w:val="0"/>
          <w:marTop w:val="0"/>
          <w:marBottom w:val="0"/>
          <w:divBdr>
            <w:top w:val="none" w:sz="0" w:space="0" w:color="auto"/>
            <w:left w:val="none" w:sz="0" w:space="0" w:color="auto"/>
            <w:bottom w:val="none" w:sz="0" w:space="0" w:color="auto"/>
            <w:right w:val="none" w:sz="0" w:space="0" w:color="auto"/>
          </w:divBdr>
          <w:divsChild>
            <w:div w:id="54371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47938">
      <w:bodyDiv w:val="1"/>
      <w:marLeft w:val="0"/>
      <w:marRight w:val="0"/>
      <w:marTop w:val="0"/>
      <w:marBottom w:val="0"/>
      <w:divBdr>
        <w:top w:val="none" w:sz="0" w:space="0" w:color="auto"/>
        <w:left w:val="none" w:sz="0" w:space="0" w:color="auto"/>
        <w:bottom w:val="none" w:sz="0" w:space="0" w:color="auto"/>
        <w:right w:val="none" w:sz="0" w:space="0" w:color="auto"/>
      </w:divBdr>
    </w:div>
    <w:div w:id="1593977452">
      <w:marLeft w:val="0"/>
      <w:marRight w:val="0"/>
      <w:marTop w:val="0"/>
      <w:marBottom w:val="0"/>
      <w:divBdr>
        <w:top w:val="none" w:sz="0" w:space="0" w:color="auto"/>
        <w:left w:val="none" w:sz="0" w:space="0" w:color="auto"/>
        <w:bottom w:val="none" w:sz="0" w:space="0" w:color="auto"/>
        <w:right w:val="none" w:sz="0" w:space="0" w:color="auto"/>
      </w:divBdr>
      <w:divsChild>
        <w:div w:id="1690178707">
          <w:marLeft w:val="0"/>
          <w:marRight w:val="0"/>
          <w:marTop w:val="0"/>
          <w:marBottom w:val="0"/>
          <w:divBdr>
            <w:top w:val="none" w:sz="0" w:space="0" w:color="auto"/>
            <w:left w:val="none" w:sz="0" w:space="0" w:color="auto"/>
            <w:bottom w:val="none" w:sz="0" w:space="0" w:color="auto"/>
            <w:right w:val="none" w:sz="0" w:space="0" w:color="auto"/>
          </w:divBdr>
        </w:div>
      </w:divsChild>
    </w:div>
    <w:div w:id="1631478064">
      <w:bodyDiv w:val="1"/>
      <w:marLeft w:val="0"/>
      <w:marRight w:val="0"/>
      <w:marTop w:val="0"/>
      <w:marBottom w:val="0"/>
      <w:divBdr>
        <w:top w:val="none" w:sz="0" w:space="0" w:color="auto"/>
        <w:left w:val="none" w:sz="0" w:space="0" w:color="auto"/>
        <w:bottom w:val="none" w:sz="0" w:space="0" w:color="auto"/>
        <w:right w:val="none" w:sz="0" w:space="0" w:color="auto"/>
      </w:divBdr>
    </w:div>
    <w:div w:id="1638954905">
      <w:bodyDiv w:val="1"/>
      <w:marLeft w:val="0"/>
      <w:marRight w:val="0"/>
      <w:marTop w:val="0"/>
      <w:marBottom w:val="0"/>
      <w:divBdr>
        <w:top w:val="none" w:sz="0" w:space="0" w:color="auto"/>
        <w:left w:val="none" w:sz="0" w:space="0" w:color="auto"/>
        <w:bottom w:val="none" w:sz="0" w:space="0" w:color="auto"/>
        <w:right w:val="none" w:sz="0" w:space="0" w:color="auto"/>
      </w:divBdr>
    </w:div>
    <w:div w:id="1685782965">
      <w:marLeft w:val="0"/>
      <w:marRight w:val="0"/>
      <w:marTop w:val="0"/>
      <w:marBottom w:val="0"/>
      <w:divBdr>
        <w:top w:val="none" w:sz="0" w:space="0" w:color="auto"/>
        <w:left w:val="none" w:sz="0" w:space="0" w:color="auto"/>
        <w:bottom w:val="none" w:sz="0" w:space="0" w:color="auto"/>
        <w:right w:val="none" w:sz="0" w:space="0" w:color="auto"/>
      </w:divBdr>
      <w:divsChild>
        <w:div w:id="1938324625">
          <w:marLeft w:val="0"/>
          <w:marRight w:val="0"/>
          <w:marTop w:val="0"/>
          <w:marBottom w:val="0"/>
          <w:divBdr>
            <w:top w:val="none" w:sz="0" w:space="0" w:color="auto"/>
            <w:left w:val="none" w:sz="0" w:space="0" w:color="auto"/>
            <w:bottom w:val="none" w:sz="0" w:space="0" w:color="auto"/>
            <w:right w:val="none" w:sz="0" w:space="0" w:color="auto"/>
          </w:divBdr>
        </w:div>
      </w:divsChild>
    </w:div>
    <w:div w:id="1690789872">
      <w:bodyDiv w:val="1"/>
      <w:marLeft w:val="0"/>
      <w:marRight w:val="0"/>
      <w:marTop w:val="0"/>
      <w:marBottom w:val="0"/>
      <w:divBdr>
        <w:top w:val="none" w:sz="0" w:space="0" w:color="auto"/>
        <w:left w:val="none" w:sz="0" w:space="0" w:color="auto"/>
        <w:bottom w:val="none" w:sz="0" w:space="0" w:color="auto"/>
        <w:right w:val="none" w:sz="0" w:space="0" w:color="auto"/>
      </w:divBdr>
    </w:div>
    <w:div w:id="1697267794">
      <w:bodyDiv w:val="1"/>
      <w:marLeft w:val="0"/>
      <w:marRight w:val="0"/>
      <w:marTop w:val="0"/>
      <w:marBottom w:val="0"/>
      <w:divBdr>
        <w:top w:val="none" w:sz="0" w:space="0" w:color="auto"/>
        <w:left w:val="none" w:sz="0" w:space="0" w:color="auto"/>
        <w:bottom w:val="none" w:sz="0" w:space="0" w:color="auto"/>
        <w:right w:val="none" w:sz="0" w:space="0" w:color="auto"/>
      </w:divBdr>
    </w:div>
    <w:div w:id="1710689466">
      <w:marLeft w:val="0"/>
      <w:marRight w:val="0"/>
      <w:marTop w:val="0"/>
      <w:marBottom w:val="0"/>
      <w:divBdr>
        <w:top w:val="none" w:sz="0" w:space="0" w:color="auto"/>
        <w:left w:val="none" w:sz="0" w:space="0" w:color="auto"/>
        <w:bottom w:val="none" w:sz="0" w:space="0" w:color="auto"/>
        <w:right w:val="none" w:sz="0" w:space="0" w:color="auto"/>
      </w:divBdr>
      <w:divsChild>
        <w:div w:id="1772160817">
          <w:marLeft w:val="0"/>
          <w:marRight w:val="0"/>
          <w:marTop w:val="0"/>
          <w:marBottom w:val="0"/>
          <w:divBdr>
            <w:top w:val="none" w:sz="0" w:space="0" w:color="auto"/>
            <w:left w:val="none" w:sz="0" w:space="0" w:color="auto"/>
            <w:bottom w:val="none" w:sz="0" w:space="0" w:color="auto"/>
            <w:right w:val="none" w:sz="0" w:space="0" w:color="auto"/>
          </w:divBdr>
        </w:div>
      </w:divsChild>
    </w:div>
    <w:div w:id="1725908862">
      <w:bodyDiv w:val="1"/>
      <w:marLeft w:val="0"/>
      <w:marRight w:val="0"/>
      <w:marTop w:val="0"/>
      <w:marBottom w:val="0"/>
      <w:divBdr>
        <w:top w:val="none" w:sz="0" w:space="0" w:color="auto"/>
        <w:left w:val="none" w:sz="0" w:space="0" w:color="auto"/>
        <w:bottom w:val="none" w:sz="0" w:space="0" w:color="auto"/>
        <w:right w:val="none" w:sz="0" w:space="0" w:color="auto"/>
      </w:divBdr>
    </w:div>
    <w:div w:id="1754860081">
      <w:bodyDiv w:val="1"/>
      <w:marLeft w:val="0"/>
      <w:marRight w:val="0"/>
      <w:marTop w:val="0"/>
      <w:marBottom w:val="0"/>
      <w:divBdr>
        <w:top w:val="none" w:sz="0" w:space="0" w:color="auto"/>
        <w:left w:val="none" w:sz="0" w:space="0" w:color="auto"/>
        <w:bottom w:val="none" w:sz="0" w:space="0" w:color="auto"/>
        <w:right w:val="none" w:sz="0" w:space="0" w:color="auto"/>
      </w:divBdr>
      <w:divsChild>
        <w:div w:id="296447421">
          <w:marLeft w:val="0"/>
          <w:marRight w:val="0"/>
          <w:marTop w:val="0"/>
          <w:marBottom w:val="0"/>
          <w:divBdr>
            <w:top w:val="none" w:sz="0" w:space="0" w:color="auto"/>
            <w:left w:val="none" w:sz="0" w:space="0" w:color="auto"/>
            <w:bottom w:val="none" w:sz="0" w:space="0" w:color="auto"/>
            <w:right w:val="none" w:sz="0" w:space="0" w:color="auto"/>
          </w:divBdr>
        </w:div>
        <w:div w:id="625354986">
          <w:marLeft w:val="0"/>
          <w:marRight w:val="0"/>
          <w:marTop w:val="0"/>
          <w:marBottom w:val="0"/>
          <w:divBdr>
            <w:top w:val="none" w:sz="0" w:space="0" w:color="auto"/>
            <w:left w:val="none" w:sz="0" w:space="0" w:color="auto"/>
            <w:bottom w:val="none" w:sz="0" w:space="0" w:color="auto"/>
            <w:right w:val="none" w:sz="0" w:space="0" w:color="auto"/>
          </w:divBdr>
        </w:div>
        <w:div w:id="1041707811">
          <w:marLeft w:val="0"/>
          <w:marRight w:val="0"/>
          <w:marTop w:val="0"/>
          <w:marBottom w:val="0"/>
          <w:divBdr>
            <w:top w:val="none" w:sz="0" w:space="0" w:color="auto"/>
            <w:left w:val="none" w:sz="0" w:space="0" w:color="auto"/>
            <w:bottom w:val="none" w:sz="0" w:space="0" w:color="auto"/>
            <w:right w:val="none" w:sz="0" w:space="0" w:color="auto"/>
          </w:divBdr>
        </w:div>
      </w:divsChild>
    </w:div>
    <w:div w:id="1771580532">
      <w:bodyDiv w:val="1"/>
      <w:marLeft w:val="0"/>
      <w:marRight w:val="0"/>
      <w:marTop w:val="0"/>
      <w:marBottom w:val="0"/>
      <w:divBdr>
        <w:top w:val="none" w:sz="0" w:space="0" w:color="auto"/>
        <w:left w:val="none" w:sz="0" w:space="0" w:color="auto"/>
        <w:bottom w:val="none" w:sz="0" w:space="0" w:color="auto"/>
        <w:right w:val="none" w:sz="0" w:space="0" w:color="auto"/>
      </w:divBdr>
    </w:div>
    <w:div w:id="1786464474">
      <w:bodyDiv w:val="1"/>
      <w:marLeft w:val="0"/>
      <w:marRight w:val="0"/>
      <w:marTop w:val="0"/>
      <w:marBottom w:val="0"/>
      <w:divBdr>
        <w:top w:val="none" w:sz="0" w:space="0" w:color="auto"/>
        <w:left w:val="none" w:sz="0" w:space="0" w:color="auto"/>
        <w:bottom w:val="none" w:sz="0" w:space="0" w:color="auto"/>
        <w:right w:val="none" w:sz="0" w:space="0" w:color="auto"/>
      </w:divBdr>
      <w:divsChild>
        <w:div w:id="1422603525">
          <w:marLeft w:val="0"/>
          <w:marRight w:val="0"/>
          <w:marTop w:val="0"/>
          <w:marBottom w:val="0"/>
          <w:divBdr>
            <w:top w:val="none" w:sz="0" w:space="0" w:color="auto"/>
            <w:left w:val="none" w:sz="0" w:space="0" w:color="auto"/>
            <w:bottom w:val="none" w:sz="0" w:space="0" w:color="auto"/>
            <w:right w:val="none" w:sz="0" w:space="0" w:color="auto"/>
          </w:divBdr>
        </w:div>
        <w:div w:id="379473348">
          <w:marLeft w:val="0"/>
          <w:marRight w:val="0"/>
          <w:marTop w:val="0"/>
          <w:marBottom w:val="0"/>
          <w:divBdr>
            <w:top w:val="none" w:sz="0" w:space="0" w:color="auto"/>
            <w:left w:val="none" w:sz="0" w:space="0" w:color="auto"/>
            <w:bottom w:val="none" w:sz="0" w:space="0" w:color="auto"/>
            <w:right w:val="none" w:sz="0" w:space="0" w:color="auto"/>
          </w:divBdr>
        </w:div>
      </w:divsChild>
    </w:div>
    <w:div w:id="1854296343">
      <w:marLeft w:val="0"/>
      <w:marRight w:val="0"/>
      <w:marTop w:val="0"/>
      <w:marBottom w:val="0"/>
      <w:divBdr>
        <w:top w:val="none" w:sz="0" w:space="0" w:color="auto"/>
        <w:left w:val="none" w:sz="0" w:space="0" w:color="auto"/>
        <w:bottom w:val="none" w:sz="0" w:space="0" w:color="auto"/>
        <w:right w:val="none" w:sz="0" w:space="0" w:color="auto"/>
      </w:divBdr>
      <w:divsChild>
        <w:div w:id="236793932">
          <w:marLeft w:val="0"/>
          <w:marRight w:val="0"/>
          <w:marTop w:val="0"/>
          <w:marBottom w:val="0"/>
          <w:divBdr>
            <w:top w:val="none" w:sz="0" w:space="0" w:color="auto"/>
            <w:left w:val="none" w:sz="0" w:space="0" w:color="auto"/>
            <w:bottom w:val="none" w:sz="0" w:space="0" w:color="auto"/>
            <w:right w:val="none" w:sz="0" w:space="0" w:color="auto"/>
          </w:divBdr>
        </w:div>
      </w:divsChild>
    </w:div>
    <w:div w:id="1872036140">
      <w:bodyDiv w:val="1"/>
      <w:marLeft w:val="0"/>
      <w:marRight w:val="0"/>
      <w:marTop w:val="0"/>
      <w:marBottom w:val="0"/>
      <w:divBdr>
        <w:top w:val="none" w:sz="0" w:space="0" w:color="auto"/>
        <w:left w:val="none" w:sz="0" w:space="0" w:color="auto"/>
        <w:bottom w:val="none" w:sz="0" w:space="0" w:color="auto"/>
        <w:right w:val="none" w:sz="0" w:space="0" w:color="auto"/>
      </w:divBdr>
      <w:divsChild>
        <w:div w:id="1362362851">
          <w:marLeft w:val="0"/>
          <w:marRight w:val="0"/>
          <w:marTop w:val="0"/>
          <w:marBottom w:val="0"/>
          <w:divBdr>
            <w:top w:val="none" w:sz="0" w:space="0" w:color="auto"/>
            <w:left w:val="none" w:sz="0" w:space="0" w:color="auto"/>
            <w:bottom w:val="none" w:sz="0" w:space="0" w:color="auto"/>
            <w:right w:val="none" w:sz="0" w:space="0" w:color="auto"/>
          </w:divBdr>
        </w:div>
        <w:div w:id="1727952262">
          <w:marLeft w:val="0"/>
          <w:marRight w:val="0"/>
          <w:marTop w:val="0"/>
          <w:marBottom w:val="0"/>
          <w:divBdr>
            <w:top w:val="none" w:sz="0" w:space="0" w:color="auto"/>
            <w:left w:val="none" w:sz="0" w:space="0" w:color="auto"/>
            <w:bottom w:val="none" w:sz="0" w:space="0" w:color="auto"/>
            <w:right w:val="none" w:sz="0" w:space="0" w:color="auto"/>
          </w:divBdr>
        </w:div>
        <w:div w:id="1308971102">
          <w:marLeft w:val="0"/>
          <w:marRight w:val="0"/>
          <w:marTop w:val="0"/>
          <w:marBottom w:val="0"/>
          <w:divBdr>
            <w:top w:val="none" w:sz="0" w:space="0" w:color="auto"/>
            <w:left w:val="none" w:sz="0" w:space="0" w:color="auto"/>
            <w:bottom w:val="none" w:sz="0" w:space="0" w:color="auto"/>
            <w:right w:val="none" w:sz="0" w:space="0" w:color="auto"/>
          </w:divBdr>
        </w:div>
        <w:div w:id="889850626">
          <w:marLeft w:val="0"/>
          <w:marRight w:val="0"/>
          <w:marTop w:val="0"/>
          <w:marBottom w:val="0"/>
          <w:divBdr>
            <w:top w:val="none" w:sz="0" w:space="0" w:color="auto"/>
            <w:left w:val="none" w:sz="0" w:space="0" w:color="auto"/>
            <w:bottom w:val="none" w:sz="0" w:space="0" w:color="auto"/>
            <w:right w:val="none" w:sz="0" w:space="0" w:color="auto"/>
          </w:divBdr>
        </w:div>
        <w:div w:id="1487549861">
          <w:marLeft w:val="0"/>
          <w:marRight w:val="0"/>
          <w:marTop w:val="0"/>
          <w:marBottom w:val="0"/>
          <w:divBdr>
            <w:top w:val="none" w:sz="0" w:space="0" w:color="auto"/>
            <w:left w:val="none" w:sz="0" w:space="0" w:color="auto"/>
            <w:bottom w:val="none" w:sz="0" w:space="0" w:color="auto"/>
            <w:right w:val="none" w:sz="0" w:space="0" w:color="auto"/>
          </w:divBdr>
        </w:div>
        <w:div w:id="157696271">
          <w:marLeft w:val="0"/>
          <w:marRight w:val="0"/>
          <w:marTop w:val="0"/>
          <w:marBottom w:val="0"/>
          <w:divBdr>
            <w:top w:val="none" w:sz="0" w:space="0" w:color="auto"/>
            <w:left w:val="none" w:sz="0" w:space="0" w:color="auto"/>
            <w:bottom w:val="none" w:sz="0" w:space="0" w:color="auto"/>
            <w:right w:val="none" w:sz="0" w:space="0" w:color="auto"/>
          </w:divBdr>
        </w:div>
        <w:div w:id="103578592">
          <w:marLeft w:val="0"/>
          <w:marRight w:val="0"/>
          <w:marTop w:val="0"/>
          <w:marBottom w:val="0"/>
          <w:divBdr>
            <w:top w:val="none" w:sz="0" w:space="0" w:color="auto"/>
            <w:left w:val="none" w:sz="0" w:space="0" w:color="auto"/>
            <w:bottom w:val="none" w:sz="0" w:space="0" w:color="auto"/>
            <w:right w:val="none" w:sz="0" w:space="0" w:color="auto"/>
          </w:divBdr>
          <w:divsChild>
            <w:div w:id="331295992">
              <w:marLeft w:val="0"/>
              <w:marRight w:val="0"/>
              <w:marTop w:val="0"/>
              <w:marBottom w:val="0"/>
              <w:divBdr>
                <w:top w:val="none" w:sz="0" w:space="0" w:color="auto"/>
                <w:left w:val="none" w:sz="0" w:space="0" w:color="auto"/>
                <w:bottom w:val="none" w:sz="0" w:space="0" w:color="auto"/>
                <w:right w:val="none" w:sz="0" w:space="0" w:color="auto"/>
              </w:divBdr>
            </w:div>
            <w:div w:id="1181092658">
              <w:marLeft w:val="0"/>
              <w:marRight w:val="0"/>
              <w:marTop w:val="0"/>
              <w:marBottom w:val="0"/>
              <w:divBdr>
                <w:top w:val="none" w:sz="0" w:space="0" w:color="auto"/>
                <w:left w:val="none" w:sz="0" w:space="0" w:color="auto"/>
                <w:bottom w:val="none" w:sz="0" w:space="0" w:color="auto"/>
                <w:right w:val="none" w:sz="0" w:space="0" w:color="auto"/>
              </w:divBdr>
            </w:div>
            <w:div w:id="55974479">
              <w:marLeft w:val="0"/>
              <w:marRight w:val="0"/>
              <w:marTop w:val="0"/>
              <w:marBottom w:val="0"/>
              <w:divBdr>
                <w:top w:val="none" w:sz="0" w:space="0" w:color="auto"/>
                <w:left w:val="none" w:sz="0" w:space="0" w:color="auto"/>
                <w:bottom w:val="none" w:sz="0" w:space="0" w:color="auto"/>
                <w:right w:val="none" w:sz="0" w:space="0" w:color="auto"/>
              </w:divBdr>
            </w:div>
            <w:div w:id="132416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95111">
      <w:bodyDiv w:val="1"/>
      <w:marLeft w:val="0"/>
      <w:marRight w:val="0"/>
      <w:marTop w:val="0"/>
      <w:marBottom w:val="0"/>
      <w:divBdr>
        <w:top w:val="none" w:sz="0" w:space="0" w:color="auto"/>
        <w:left w:val="none" w:sz="0" w:space="0" w:color="auto"/>
        <w:bottom w:val="none" w:sz="0" w:space="0" w:color="auto"/>
        <w:right w:val="none" w:sz="0" w:space="0" w:color="auto"/>
      </w:divBdr>
      <w:divsChild>
        <w:div w:id="1281306807">
          <w:marLeft w:val="0"/>
          <w:marRight w:val="0"/>
          <w:marTop w:val="0"/>
          <w:marBottom w:val="0"/>
          <w:divBdr>
            <w:top w:val="none" w:sz="0" w:space="0" w:color="auto"/>
            <w:left w:val="none" w:sz="0" w:space="0" w:color="auto"/>
            <w:bottom w:val="none" w:sz="0" w:space="0" w:color="auto"/>
            <w:right w:val="none" w:sz="0" w:space="0" w:color="auto"/>
          </w:divBdr>
          <w:divsChild>
            <w:div w:id="1113674001">
              <w:marLeft w:val="0"/>
              <w:marRight w:val="0"/>
              <w:marTop w:val="0"/>
              <w:marBottom w:val="0"/>
              <w:divBdr>
                <w:top w:val="none" w:sz="0" w:space="0" w:color="auto"/>
                <w:left w:val="none" w:sz="0" w:space="0" w:color="auto"/>
                <w:bottom w:val="none" w:sz="0" w:space="0" w:color="auto"/>
                <w:right w:val="none" w:sz="0" w:space="0" w:color="auto"/>
              </w:divBdr>
            </w:div>
            <w:div w:id="281233302">
              <w:marLeft w:val="0"/>
              <w:marRight w:val="0"/>
              <w:marTop w:val="0"/>
              <w:marBottom w:val="0"/>
              <w:divBdr>
                <w:top w:val="none" w:sz="0" w:space="0" w:color="auto"/>
                <w:left w:val="none" w:sz="0" w:space="0" w:color="auto"/>
                <w:bottom w:val="none" w:sz="0" w:space="0" w:color="auto"/>
                <w:right w:val="none" w:sz="0" w:space="0" w:color="auto"/>
              </w:divBdr>
            </w:div>
            <w:div w:id="684285730">
              <w:marLeft w:val="0"/>
              <w:marRight w:val="0"/>
              <w:marTop w:val="0"/>
              <w:marBottom w:val="0"/>
              <w:divBdr>
                <w:top w:val="none" w:sz="0" w:space="0" w:color="auto"/>
                <w:left w:val="none" w:sz="0" w:space="0" w:color="auto"/>
                <w:bottom w:val="none" w:sz="0" w:space="0" w:color="auto"/>
                <w:right w:val="none" w:sz="0" w:space="0" w:color="auto"/>
              </w:divBdr>
            </w:div>
          </w:divsChild>
        </w:div>
        <w:div w:id="92094597">
          <w:marLeft w:val="0"/>
          <w:marRight w:val="0"/>
          <w:marTop w:val="0"/>
          <w:marBottom w:val="0"/>
          <w:divBdr>
            <w:top w:val="none" w:sz="0" w:space="0" w:color="auto"/>
            <w:left w:val="none" w:sz="0" w:space="0" w:color="auto"/>
            <w:bottom w:val="none" w:sz="0" w:space="0" w:color="auto"/>
            <w:right w:val="none" w:sz="0" w:space="0" w:color="auto"/>
          </w:divBdr>
        </w:div>
        <w:div w:id="1072696897">
          <w:marLeft w:val="0"/>
          <w:marRight w:val="0"/>
          <w:marTop w:val="0"/>
          <w:marBottom w:val="0"/>
          <w:divBdr>
            <w:top w:val="none" w:sz="0" w:space="0" w:color="auto"/>
            <w:left w:val="none" w:sz="0" w:space="0" w:color="auto"/>
            <w:bottom w:val="none" w:sz="0" w:space="0" w:color="auto"/>
            <w:right w:val="none" w:sz="0" w:space="0" w:color="auto"/>
          </w:divBdr>
        </w:div>
      </w:divsChild>
    </w:div>
    <w:div w:id="1918321552">
      <w:marLeft w:val="0"/>
      <w:marRight w:val="0"/>
      <w:marTop w:val="0"/>
      <w:marBottom w:val="0"/>
      <w:divBdr>
        <w:top w:val="none" w:sz="0" w:space="0" w:color="auto"/>
        <w:left w:val="none" w:sz="0" w:space="0" w:color="auto"/>
        <w:bottom w:val="none" w:sz="0" w:space="0" w:color="auto"/>
        <w:right w:val="none" w:sz="0" w:space="0" w:color="auto"/>
      </w:divBdr>
      <w:divsChild>
        <w:div w:id="1890608528">
          <w:marLeft w:val="0"/>
          <w:marRight w:val="0"/>
          <w:marTop w:val="0"/>
          <w:marBottom w:val="0"/>
          <w:divBdr>
            <w:top w:val="none" w:sz="0" w:space="0" w:color="auto"/>
            <w:left w:val="none" w:sz="0" w:space="0" w:color="auto"/>
            <w:bottom w:val="none" w:sz="0" w:space="0" w:color="auto"/>
            <w:right w:val="none" w:sz="0" w:space="0" w:color="auto"/>
          </w:divBdr>
        </w:div>
      </w:divsChild>
    </w:div>
    <w:div w:id="1919362325">
      <w:bodyDiv w:val="1"/>
      <w:marLeft w:val="0"/>
      <w:marRight w:val="0"/>
      <w:marTop w:val="0"/>
      <w:marBottom w:val="0"/>
      <w:divBdr>
        <w:top w:val="none" w:sz="0" w:space="0" w:color="auto"/>
        <w:left w:val="none" w:sz="0" w:space="0" w:color="auto"/>
        <w:bottom w:val="none" w:sz="0" w:space="0" w:color="auto"/>
        <w:right w:val="none" w:sz="0" w:space="0" w:color="auto"/>
      </w:divBdr>
    </w:div>
    <w:div w:id="1932933929">
      <w:marLeft w:val="0"/>
      <w:marRight w:val="0"/>
      <w:marTop w:val="0"/>
      <w:marBottom w:val="0"/>
      <w:divBdr>
        <w:top w:val="none" w:sz="0" w:space="0" w:color="auto"/>
        <w:left w:val="none" w:sz="0" w:space="0" w:color="auto"/>
        <w:bottom w:val="none" w:sz="0" w:space="0" w:color="auto"/>
        <w:right w:val="none" w:sz="0" w:space="0" w:color="auto"/>
      </w:divBdr>
      <w:divsChild>
        <w:div w:id="77531426">
          <w:marLeft w:val="0"/>
          <w:marRight w:val="0"/>
          <w:marTop w:val="0"/>
          <w:marBottom w:val="0"/>
          <w:divBdr>
            <w:top w:val="none" w:sz="0" w:space="0" w:color="auto"/>
            <w:left w:val="none" w:sz="0" w:space="0" w:color="auto"/>
            <w:bottom w:val="none" w:sz="0" w:space="0" w:color="auto"/>
            <w:right w:val="none" w:sz="0" w:space="0" w:color="auto"/>
          </w:divBdr>
        </w:div>
      </w:divsChild>
    </w:div>
    <w:div w:id="1959945747">
      <w:bodyDiv w:val="1"/>
      <w:marLeft w:val="0"/>
      <w:marRight w:val="0"/>
      <w:marTop w:val="0"/>
      <w:marBottom w:val="0"/>
      <w:divBdr>
        <w:top w:val="none" w:sz="0" w:space="0" w:color="auto"/>
        <w:left w:val="none" w:sz="0" w:space="0" w:color="auto"/>
        <w:bottom w:val="none" w:sz="0" w:space="0" w:color="auto"/>
        <w:right w:val="none" w:sz="0" w:space="0" w:color="auto"/>
      </w:divBdr>
    </w:div>
    <w:div w:id="1986081840">
      <w:bodyDiv w:val="1"/>
      <w:marLeft w:val="0"/>
      <w:marRight w:val="0"/>
      <w:marTop w:val="0"/>
      <w:marBottom w:val="0"/>
      <w:divBdr>
        <w:top w:val="none" w:sz="0" w:space="0" w:color="auto"/>
        <w:left w:val="none" w:sz="0" w:space="0" w:color="auto"/>
        <w:bottom w:val="none" w:sz="0" w:space="0" w:color="auto"/>
        <w:right w:val="none" w:sz="0" w:space="0" w:color="auto"/>
      </w:divBdr>
      <w:divsChild>
        <w:div w:id="1818299555">
          <w:marLeft w:val="0"/>
          <w:marRight w:val="0"/>
          <w:marTop w:val="0"/>
          <w:marBottom w:val="0"/>
          <w:divBdr>
            <w:top w:val="none" w:sz="0" w:space="0" w:color="auto"/>
            <w:left w:val="none" w:sz="0" w:space="0" w:color="auto"/>
            <w:bottom w:val="none" w:sz="0" w:space="0" w:color="auto"/>
            <w:right w:val="none" w:sz="0" w:space="0" w:color="auto"/>
          </w:divBdr>
        </w:div>
        <w:div w:id="880166140">
          <w:marLeft w:val="0"/>
          <w:marRight w:val="0"/>
          <w:marTop w:val="0"/>
          <w:marBottom w:val="0"/>
          <w:divBdr>
            <w:top w:val="none" w:sz="0" w:space="0" w:color="auto"/>
            <w:left w:val="none" w:sz="0" w:space="0" w:color="auto"/>
            <w:bottom w:val="none" w:sz="0" w:space="0" w:color="auto"/>
            <w:right w:val="none" w:sz="0" w:space="0" w:color="auto"/>
          </w:divBdr>
        </w:div>
        <w:div w:id="651448729">
          <w:marLeft w:val="0"/>
          <w:marRight w:val="0"/>
          <w:marTop w:val="0"/>
          <w:marBottom w:val="0"/>
          <w:divBdr>
            <w:top w:val="none" w:sz="0" w:space="0" w:color="auto"/>
            <w:left w:val="none" w:sz="0" w:space="0" w:color="auto"/>
            <w:bottom w:val="none" w:sz="0" w:space="0" w:color="auto"/>
            <w:right w:val="none" w:sz="0" w:space="0" w:color="auto"/>
          </w:divBdr>
        </w:div>
      </w:divsChild>
    </w:div>
    <w:div w:id="1989896174">
      <w:bodyDiv w:val="1"/>
      <w:marLeft w:val="0"/>
      <w:marRight w:val="0"/>
      <w:marTop w:val="0"/>
      <w:marBottom w:val="0"/>
      <w:divBdr>
        <w:top w:val="none" w:sz="0" w:space="0" w:color="auto"/>
        <w:left w:val="none" w:sz="0" w:space="0" w:color="auto"/>
        <w:bottom w:val="none" w:sz="0" w:space="0" w:color="auto"/>
        <w:right w:val="none" w:sz="0" w:space="0" w:color="auto"/>
      </w:divBdr>
    </w:div>
    <w:div w:id="2103454184">
      <w:marLeft w:val="0"/>
      <w:marRight w:val="0"/>
      <w:marTop w:val="0"/>
      <w:marBottom w:val="0"/>
      <w:divBdr>
        <w:top w:val="none" w:sz="0" w:space="0" w:color="auto"/>
        <w:left w:val="none" w:sz="0" w:space="0" w:color="auto"/>
        <w:bottom w:val="none" w:sz="0" w:space="0" w:color="auto"/>
        <w:right w:val="none" w:sz="0" w:space="0" w:color="auto"/>
      </w:divBdr>
      <w:divsChild>
        <w:div w:id="1651136832">
          <w:marLeft w:val="0"/>
          <w:marRight w:val="0"/>
          <w:marTop w:val="0"/>
          <w:marBottom w:val="0"/>
          <w:divBdr>
            <w:top w:val="none" w:sz="0" w:space="0" w:color="auto"/>
            <w:left w:val="none" w:sz="0" w:space="0" w:color="auto"/>
            <w:bottom w:val="none" w:sz="0" w:space="0" w:color="auto"/>
            <w:right w:val="none" w:sz="0" w:space="0" w:color="auto"/>
          </w:divBdr>
        </w:div>
      </w:divsChild>
    </w:div>
    <w:div w:id="2147117519">
      <w:marLeft w:val="0"/>
      <w:marRight w:val="0"/>
      <w:marTop w:val="0"/>
      <w:marBottom w:val="0"/>
      <w:divBdr>
        <w:top w:val="none" w:sz="0" w:space="0" w:color="auto"/>
        <w:left w:val="none" w:sz="0" w:space="0" w:color="auto"/>
        <w:bottom w:val="none" w:sz="0" w:space="0" w:color="auto"/>
        <w:right w:val="none" w:sz="0" w:space="0" w:color="auto"/>
      </w:divBdr>
      <w:divsChild>
        <w:div w:id="7086539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it.ly/3yzb92I" TargetMode="External"/><Relationship Id="rId18" Type="http://schemas.openxmlformats.org/officeDocument/2006/relationships/image" Target="media/image2.png"/><Relationship Id="rId26" Type="http://schemas.openxmlformats.org/officeDocument/2006/relationships/image" Target="media/image6.emf"/><Relationship Id="rId39" Type="http://schemas.openxmlformats.org/officeDocument/2006/relationships/image" Target="media/image10.png"/><Relationship Id="rId21" Type="http://schemas.openxmlformats.org/officeDocument/2006/relationships/hyperlink" Target="https://diccionario.igac.gov.co/" TargetMode="External"/><Relationship Id="rId34" Type="http://schemas.openxmlformats.org/officeDocument/2006/relationships/hyperlink" Target="http://190.85.164.9:8080/SIGTIERRAS/visor/visor.jsp"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bit.ly/36Vfvp7" TargetMode="External"/><Relationship Id="rId20" Type="http://schemas.openxmlformats.org/officeDocument/2006/relationships/image" Target="media/image3.png"/><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chart" Target="charts/chart6.xml"/><Relationship Id="rId37" Type="http://schemas.openxmlformats.org/officeDocument/2006/relationships/hyperlink" Target="https://www.icde.gov.co/comunicaciones/noticias/la-icde-trabaja-en-el-plan-de-apertura-de-datos-abiertos-del-igac" TargetMode="External"/><Relationship Id="rId40" Type="http://schemas.openxmlformats.org/officeDocument/2006/relationships/hyperlink" Target="https://historico.cnsc.gov.co/index.php/conv-orden-nacional-2022" TargetMode="External"/><Relationship Id="rId5" Type="http://schemas.openxmlformats.org/officeDocument/2006/relationships/customXml" Target="../customXml/item5.xml"/><Relationship Id="rId15" Type="http://schemas.openxmlformats.org/officeDocument/2006/relationships/hyperlink" Target="https://bit.ly/3LnCKa8" TargetMode="External"/><Relationship Id="rId23" Type="http://schemas.openxmlformats.org/officeDocument/2006/relationships/image" Target="media/image5.png"/><Relationship Id="rId28" Type="http://schemas.openxmlformats.org/officeDocument/2006/relationships/chart" Target="charts/chart4.xml"/><Relationship Id="rId36" Type="http://schemas.openxmlformats.org/officeDocument/2006/relationships/hyperlink" Target="mailto:contactenos@igac.gov.co" TargetMode="External"/><Relationship Id="rId10" Type="http://schemas.openxmlformats.org/officeDocument/2006/relationships/footnotes" Target="footnotes.xml"/><Relationship Id="rId19" Type="http://schemas.openxmlformats.org/officeDocument/2006/relationships/hyperlink" Target="https://www.colombiaot.gov.co/docuvisor/" TargetMode="External"/><Relationship Id="rId31"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it.ly/3jeQhV1" TargetMode="External"/><Relationship Id="rId22" Type="http://schemas.openxmlformats.org/officeDocument/2006/relationships/image" Target="media/image4.png"/><Relationship Id="rId27" Type="http://schemas.openxmlformats.org/officeDocument/2006/relationships/chart" Target="charts/chart3.xml"/><Relationship Id="rId30" Type="http://schemas.openxmlformats.org/officeDocument/2006/relationships/image" Target="media/image8.png"/><Relationship Id="rId35" Type="http://schemas.openxmlformats.org/officeDocument/2006/relationships/hyperlink" Target="mailto:dirhabilitacion@igac.gov.co"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tableros.igac.gov.co/gestionimagenes/" TargetMode="External"/><Relationship Id="rId17" Type="http://schemas.openxmlformats.org/officeDocument/2006/relationships/hyperlink" Target="https://bit.ly/3H8zOwL" TargetMode="External"/><Relationship Id="rId25" Type="http://schemas.openxmlformats.org/officeDocument/2006/relationships/chart" Target="charts/chart2.xml"/><Relationship Id="rId33" Type="http://schemas.openxmlformats.org/officeDocument/2006/relationships/chart" Target="charts/chart7.xml"/><Relationship Id="rId38"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0_MAR\0_IGAC\INICIO%20ACTIVIDADES\INFORME%20DE%20EMPALME%20PRESIDENCIA%202018-2022\Julio%201%20de%202022\Versi&#243;n%20Final%20Julio%201%20de%202022\Cargados%20en%20el%20drive\tablas%20graficas%20informe%20empalmefinal202207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0_MAR\0_IGAC\INICIO%20ACTIVIDADES\INFORME%20DE%20EMPALME%20PRESIDENCIA%202018-2022\Julio%201%20de%202022\Versi&#243;n%20Final%20Julio%201%20de%202022\Cargados%20en%20el%20drive\tablas%20graficas%20informe%20empalmefinal202207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gacoffice365-my.sharepoint.com/personal/lida_zuleta_igac_gov_co/Documents/Revisi&#243;n%20Informes%20&#225;reas/Actualizaci&#243;n%20Corte%20Junio/DGC/tablas%20graficas%20informe%20empalmefinal202207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0_MAR\0_IGAC\INICIO%20ACTIVIDADES\INFORME%20DE%20EMPALME%20PRESIDENCIA%202018-2022\Julio%201%20de%202022\Versi&#243;n%20Final%20Julio%201%20de%202022\Cargados%20en%20el%20drive\tablas%20graficas%20informe%20empalmefinal202207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0_MAR\0_IGAC\INICIO%20ACTIVIDADES\INFORME%20DE%20EMPALME%20PRESIDENCIA%202018-2022\Julio%201%20de%202022\Versi&#243;n%20Final%20Julio%201%20de%202022\Cargados%20en%20el%20drive\tablas%20graficas%20informe%20empalmefinal202207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0_MAR\0_IGAC\INICIO%20ACTIVIDADES\INFORME%20DE%20EMPALME%20PRESIDENCIA%202018-2022\Julio%201%20de%202022\Versi&#243;n%20Final%20Julio%201%20de%202022\Cargados%20en%20el%20drive\tablas%20graficas%20informe%20empalmefinal2022070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 (2)'!$C$4:$C$8</c:f>
              <c:strCache>
                <c:ptCount val="5"/>
                <c:pt idx="0">
                  <c:v>2018</c:v>
                </c:pt>
                <c:pt idx="1">
                  <c:v>2019</c:v>
                </c:pt>
                <c:pt idx="2">
                  <c:v>2020</c:v>
                </c:pt>
                <c:pt idx="3">
                  <c:v>2021</c:v>
                </c:pt>
                <c:pt idx="4">
                  <c:v>2022 (JUNIO)</c:v>
                </c:pt>
              </c:strCache>
            </c:strRef>
          </c:cat>
          <c:val>
            <c:numRef>
              <c:f>'Hoja1 (2)'!$D$4:$D$8</c:f>
              <c:numCache>
                <c:formatCode>0.00%</c:formatCode>
                <c:ptCount val="5"/>
                <c:pt idx="0">
                  <c:v>5.6000000000000001E-2</c:v>
                </c:pt>
                <c:pt idx="1">
                  <c:v>2.2499999999999999E-2</c:v>
                </c:pt>
                <c:pt idx="2">
                  <c:v>0.15390000000000001</c:v>
                </c:pt>
                <c:pt idx="3">
                  <c:v>0.1953</c:v>
                </c:pt>
                <c:pt idx="4">
                  <c:v>0.40310000000000001</c:v>
                </c:pt>
              </c:numCache>
            </c:numRef>
          </c:val>
          <c:extLst>
            <c:ext xmlns:c16="http://schemas.microsoft.com/office/drawing/2014/chart" uri="{C3380CC4-5D6E-409C-BE32-E72D297353CC}">
              <c16:uniqueId val="{00000000-437A-4E07-987D-32A14A02A794}"/>
            </c:ext>
          </c:extLst>
        </c:ser>
        <c:dLbls>
          <c:showLegendKey val="0"/>
          <c:showVal val="0"/>
          <c:showCatName val="0"/>
          <c:showSerName val="0"/>
          <c:showPercent val="0"/>
          <c:showBubbleSize val="0"/>
        </c:dLbls>
        <c:gapWidth val="219"/>
        <c:overlap val="-27"/>
        <c:axId val="359938656"/>
        <c:axId val="359934304"/>
      </c:barChart>
      <c:catAx>
        <c:axId val="35993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359934304"/>
        <c:crosses val="autoZero"/>
        <c:auto val="1"/>
        <c:lblAlgn val="ctr"/>
        <c:lblOffset val="100"/>
        <c:noMultiLvlLbl val="0"/>
      </c:catAx>
      <c:valAx>
        <c:axId val="35993430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359938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Hoja1!$B$3</c:f>
              <c:strCache>
                <c:ptCount val="1"/>
                <c:pt idx="0">
                  <c:v>ha. actualizadas</c:v>
                </c:pt>
              </c:strCache>
            </c:strRef>
          </c:tx>
          <c:spPr>
            <a:solidFill>
              <a:schemeClr val="accent1"/>
            </a:solidFill>
            <a:ln>
              <a:noFill/>
            </a:ln>
            <a:effectLst/>
          </c:spPr>
          <c:invertIfNegative val="0"/>
          <c:cat>
            <c:numRef>
              <c:f>Hoja1!$A$4:$A$8</c:f>
              <c:numCache>
                <c:formatCode>General</c:formatCode>
                <c:ptCount val="5"/>
                <c:pt idx="0">
                  <c:v>2018</c:v>
                </c:pt>
                <c:pt idx="1">
                  <c:v>2019</c:v>
                </c:pt>
                <c:pt idx="2">
                  <c:v>2020</c:v>
                </c:pt>
                <c:pt idx="3">
                  <c:v>2021</c:v>
                </c:pt>
                <c:pt idx="4">
                  <c:v>2022</c:v>
                </c:pt>
              </c:numCache>
            </c:numRef>
          </c:cat>
          <c:val>
            <c:numRef>
              <c:f>Hoja1!$B$4:$B$8</c:f>
              <c:numCache>
                <c:formatCode>#,##0</c:formatCode>
                <c:ptCount val="5"/>
                <c:pt idx="0">
                  <c:v>653298</c:v>
                </c:pt>
                <c:pt idx="1">
                  <c:v>506108</c:v>
                </c:pt>
                <c:pt idx="2">
                  <c:v>7303881</c:v>
                </c:pt>
                <c:pt idx="3">
                  <c:v>1843856</c:v>
                </c:pt>
                <c:pt idx="4">
                  <c:v>23704941</c:v>
                </c:pt>
              </c:numCache>
            </c:numRef>
          </c:val>
          <c:extLst>
            <c:ext xmlns:c16="http://schemas.microsoft.com/office/drawing/2014/chart" uri="{C3380CC4-5D6E-409C-BE32-E72D297353CC}">
              <c16:uniqueId val="{00000000-EC89-4C82-AEBC-21FE1DC9EDB1}"/>
            </c:ext>
          </c:extLst>
        </c:ser>
        <c:dLbls>
          <c:showLegendKey val="0"/>
          <c:showVal val="0"/>
          <c:showCatName val="0"/>
          <c:showSerName val="0"/>
          <c:showPercent val="0"/>
          <c:showBubbleSize val="0"/>
        </c:dLbls>
        <c:gapWidth val="267"/>
        <c:overlap val="-43"/>
        <c:axId val="463570208"/>
        <c:axId val="463570752"/>
      </c:barChart>
      <c:catAx>
        <c:axId val="4635702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63570752"/>
        <c:crosses val="autoZero"/>
        <c:auto val="1"/>
        <c:lblAlgn val="ctr"/>
        <c:lblOffset val="100"/>
        <c:noMultiLvlLbl val="0"/>
      </c:catAx>
      <c:valAx>
        <c:axId val="46357075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63570208"/>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Table>
      <c:spPr>
        <a:solidFill>
          <a:sysClr val="window" lastClr="FFFFFF"/>
        </a:solid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b="1">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Intervención</c:v>
                </c:pt>
              </c:strCache>
            </c:strRef>
          </c:tx>
          <c:dPt>
            <c:idx val="0"/>
            <c:bubble3D val="0"/>
            <c:spPr>
              <a:solidFill>
                <a:schemeClr val="accent1">
                  <a:shade val="5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9E62-4658-90DE-D272102A771E}"/>
              </c:ext>
            </c:extLst>
          </c:dPt>
          <c:dPt>
            <c:idx val="1"/>
            <c:bubble3D val="0"/>
            <c:spPr>
              <a:solidFill>
                <a:schemeClr val="accent1">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9E62-4658-90DE-D272102A771E}"/>
              </c:ext>
            </c:extLst>
          </c:dPt>
          <c:dPt>
            <c:idx val="2"/>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5-9E62-4658-90DE-D272102A771E}"/>
              </c:ext>
            </c:extLst>
          </c:dPt>
          <c:dPt>
            <c:idx val="3"/>
            <c:bubble3D val="0"/>
            <c:spPr>
              <a:solidFill>
                <a:schemeClr val="accent1">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9E62-4658-90DE-D272102A771E}"/>
              </c:ext>
            </c:extLst>
          </c:dPt>
          <c:dPt>
            <c:idx val="4"/>
            <c:bubble3D val="0"/>
            <c:spPr>
              <a:solidFill>
                <a:schemeClr val="accent1">
                  <a:tint val="5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9E62-4658-90DE-D272102A771E}"/>
              </c:ext>
            </c:extLst>
          </c:dPt>
          <c:dLbls>
            <c:dLbl>
              <c:idx val="0"/>
              <c:layout>
                <c:manualLayout>
                  <c:x val="-0.11718111221087983"/>
                  <c:y val="5.84874565097967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62-4658-90DE-D272102A771E}"/>
                </c:ext>
              </c:extLst>
            </c:dLbl>
            <c:dLbl>
              <c:idx val="1"/>
              <c:layout>
                <c:manualLayout>
                  <c:x val="-0.13056605260177376"/>
                  <c:y val="-0.1594966908206241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62-4658-90DE-D272102A771E}"/>
                </c:ext>
              </c:extLst>
            </c:dLbl>
            <c:dLbl>
              <c:idx val="2"/>
              <c:layout>
                <c:manualLayout>
                  <c:x val="3.1119252682532881E-2"/>
                  <c:y val="-0.2295947890234650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62-4658-90DE-D272102A771E}"/>
                </c:ext>
              </c:extLst>
            </c:dLbl>
            <c:dLbl>
              <c:idx val="3"/>
              <c:layout>
                <c:manualLayout>
                  <c:x val="0.14224756614616418"/>
                  <c:y val="-0.1133547841403545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E62-4658-90DE-D272102A771E}"/>
                </c:ext>
              </c:extLst>
            </c:dLbl>
            <c:dLbl>
              <c:idx val="4"/>
              <c:layout>
                <c:manualLayout>
                  <c:x val="9.9483535477389862E-2"/>
                  <c:y val="7.022191993442680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E62-4658-90DE-D272102A771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Febrero 5.819.505 ha</c:v>
                </c:pt>
                <c:pt idx="1">
                  <c:v>Marzo 3.482.949 ha</c:v>
                </c:pt>
                <c:pt idx="2">
                  <c:v>Abril 4.236.997 ha</c:v>
                </c:pt>
                <c:pt idx="3">
                  <c:v>Mayo 4.313.219 ha</c:v>
                </c:pt>
                <c:pt idx="4">
                  <c:v>Junio 4.415.398 ha</c:v>
                </c:pt>
              </c:strCache>
            </c:strRef>
          </c:cat>
          <c:val>
            <c:numRef>
              <c:f>Hoja1!$B$2:$B$6</c:f>
              <c:numCache>
                <c:formatCode>#,##0</c:formatCode>
                <c:ptCount val="5"/>
                <c:pt idx="0">
                  <c:v>5819505</c:v>
                </c:pt>
                <c:pt idx="1">
                  <c:v>3482949</c:v>
                </c:pt>
                <c:pt idx="2">
                  <c:v>4236996.6057310002</c:v>
                </c:pt>
                <c:pt idx="3">
                  <c:v>4313218.7626360003</c:v>
                </c:pt>
                <c:pt idx="4">
                  <c:v>4415397.7981110001</c:v>
                </c:pt>
              </c:numCache>
            </c:numRef>
          </c:val>
          <c:extLst>
            <c:ext xmlns:c16="http://schemas.microsoft.com/office/drawing/2014/chart" uri="{C3380CC4-5D6E-409C-BE32-E72D297353CC}">
              <c16:uniqueId val="{0000000A-9E62-4658-90DE-D272102A771E}"/>
            </c:ext>
          </c:extLst>
        </c:ser>
        <c:dLbls>
          <c:showLegendKey val="0"/>
          <c:showVal val="0"/>
          <c:showCatName val="1"/>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Hoja1!$B$30</c:f>
              <c:strCache>
                <c:ptCount val="1"/>
                <c:pt idx="0">
                  <c:v>No. de trámites</c:v>
                </c:pt>
              </c:strCache>
            </c:strRef>
          </c:tx>
          <c:spPr>
            <a:solidFill>
              <a:srgbClr val="0070C0"/>
            </a:solidFill>
            <a:ln>
              <a:noFill/>
            </a:ln>
            <a:effectLst/>
          </c:spPr>
          <c:invertIfNegative val="0"/>
          <c:cat>
            <c:numRef>
              <c:f>Hoja1!$A$31:$A$38</c:f>
              <c:numCache>
                <c:formatCode>General</c:formatCode>
                <c:ptCount val="8"/>
                <c:pt idx="0">
                  <c:v>2015</c:v>
                </c:pt>
                <c:pt idx="1">
                  <c:v>2016</c:v>
                </c:pt>
                <c:pt idx="2">
                  <c:v>2017</c:v>
                </c:pt>
                <c:pt idx="3">
                  <c:v>2018</c:v>
                </c:pt>
                <c:pt idx="4">
                  <c:v>2019</c:v>
                </c:pt>
                <c:pt idx="5">
                  <c:v>2020</c:v>
                </c:pt>
                <c:pt idx="6">
                  <c:v>2021</c:v>
                </c:pt>
                <c:pt idx="7">
                  <c:v>2022</c:v>
                </c:pt>
              </c:numCache>
            </c:numRef>
          </c:cat>
          <c:val>
            <c:numRef>
              <c:f>Hoja1!$B$31:$B$38</c:f>
              <c:numCache>
                <c:formatCode>#,##0</c:formatCode>
                <c:ptCount val="8"/>
                <c:pt idx="0">
                  <c:v>1176307</c:v>
                </c:pt>
                <c:pt idx="1">
                  <c:v>1134059</c:v>
                </c:pt>
                <c:pt idx="2">
                  <c:v>1003228</c:v>
                </c:pt>
                <c:pt idx="3">
                  <c:v>920962</c:v>
                </c:pt>
                <c:pt idx="4">
                  <c:v>922437</c:v>
                </c:pt>
                <c:pt idx="5">
                  <c:v>546303</c:v>
                </c:pt>
                <c:pt idx="6">
                  <c:v>421323</c:v>
                </c:pt>
                <c:pt idx="7">
                  <c:v>87471</c:v>
                </c:pt>
              </c:numCache>
            </c:numRef>
          </c:val>
          <c:extLst>
            <c:ext xmlns:c16="http://schemas.microsoft.com/office/drawing/2014/chart" uri="{C3380CC4-5D6E-409C-BE32-E72D297353CC}">
              <c16:uniqueId val="{00000000-2282-4CDA-A798-AB942D03281B}"/>
            </c:ext>
          </c:extLst>
        </c:ser>
        <c:dLbls>
          <c:showLegendKey val="0"/>
          <c:showVal val="0"/>
          <c:showCatName val="0"/>
          <c:showSerName val="0"/>
          <c:showPercent val="0"/>
          <c:showBubbleSize val="0"/>
        </c:dLbls>
        <c:gapWidth val="267"/>
        <c:overlap val="-43"/>
        <c:axId val="463571840"/>
        <c:axId val="463572384"/>
      </c:barChart>
      <c:catAx>
        <c:axId val="4635718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463572384"/>
        <c:crosses val="autoZero"/>
        <c:auto val="1"/>
        <c:lblAlgn val="ctr"/>
        <c:lblOffset val="100"/>
        <c:noMultiLvlLbl val="0"/>
      </c:catAx>
      <c:valAx>
        <c:axId val="4635723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s-CO"/>
          </a:p>
        </c:txPr>
        <c:crossAx val="463571840"/>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s-CO"/>
          </a:p>
        </c:txPr>
      </c:dTable>
      <c:spPr>
        <a:solidFill>
          <a:sysClr val="window" lastClr="FFFFFF"/>
        </a:solid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accent1"/>
              </a:solidFill>
            </a:ln>
            <a:effectLst/>
          </c:spPr>
          <c:invertIfNegative val="0"/>
          <c:dLbls>
            <c:dLbl>
              <c:idx val="2"/>
              <c:tx>
                <c:rich>
                  <a:bodyPr/>
                  <a:lstStyle/>
                  <a:p>
                    <a:r>
                      <a:rPr lang="en-US"/>
                      <a:t>1.666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879-43A6-A985-7055E12A74E2}"/>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&amp; TABLAS'!$C$5:$F$5</c:f>
              <c:strCache>
                <c:ptCount val="4"/>
                <c:pt idx="0">
                  <c:v>2019</c:v>
                </c:pt>
                <c:pt idx="1">
                  <c:v>2020</c:v>
                </c:pt>
                <c:pt idx="2">
                  <c:v>2021</c:v>
                </c:pt>
                <c:pt idx="3">
                  <c:v>2022 (JUNIO)</c:v>
                </c:pt>
              </c:strCache>
            </c:strRef>
          </c:cat>
          <c:val>
            <c:numRef>
              <c:f>'GRÁFICOS &amp; TABLAS'!$C$6:$F$6</c:f>
              <c:numCache>
                <c:formatCode>General</c:formatCode>
                <c:ptCount val="4"/>
                <c:pt idx="0">
                  <c:v>762</c:v>
                </c:pt>
                <c:pt idx="1">
                  <c:v>994</c:v>
                </c:pt>
                <c:pt idx="2" formatCode="#,##0">
                  <c:v>1666</c:v>
                </c:pt>
                <c:pt idx="3">
                  <c:v>531</c:v>
                </c:pt>
              </c:numCache>
            </c:numRef>
          </c:val>
          <c:extLst>
            <c:ext xmlns:c16="http://schemas.microsoft.com/office/drawing/2014/chart" uri="{C3380CC4-5D6E-409C-BE32-E72D297353CC}">
              <c16:uniqueId val="{00000001-B879-43A6-A985-7055E12A74E2}"/>
            </c:ext>
          </c:extLst>
        </c:ser>
        <c:dLbls>
          <c:showLegendKey val="0"/>
          <c:showVal val="0"/>
          <c:showCatName val="0"/>
          <c:showSerName val="0"/>
          <c:showPercent val="0"/>
          <c:showBubbleSize val="0"/>
        </c:dLbls>
        <c:gapWidth val="300"/>
        <c:axId val="184651024"/>
        <c:axId val="184652656"/>
      </c:barChart>
      <c:catAx>
        <c:axId val="184651024"/>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b="1">
                    <a:solidFill>
                      <a:sysClr val="windowText" lastClr="000000"/>
                    </a:solidFill>
                  </a:rPr>
                  <a:t>AÑO</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4652656"/>
        <c:crosses val="autoZero"/>
        <c:auto val="1"/>
        <c:lblAlgn val="ctr"/>
        <c:lblOffset val="100"/>
        <c:noMultiLvlLbl val="0"/>
      </c:catAx>
      <c:valAx>
        <c:axId val="184652656"/>
        <c:scaling>
          <c:orientation val="minMax"/>
        </c:scaling>
        <c:delete val="1"/>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b="1">
                    <a:solidFill>
                      <a:sysClr val="windowText" lastClr="000000"/>
                    </a:solidFill>
                  </a:rPr>
                  <a:t>CANTIDAD</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out"/>
        <c:minorTickMark val="none"/>
        <c:tickLblPos val="nextTo"/>
        <c:crossAx val="18465102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129818090690084E-2"/>
          <c:y val="0.16693938031096092"/>
          <c:w val="0.93900847070616578"/>
          <c:h val="0.62568767607218634"/>
        </c:manualLayout>
      </c:layout>
      <c:barChart>
        <c:barDir val="col"/>
        <c:grouping val="clustered"/>
        <c:varyColors val="0"/>
        <c:ser>
          <c:idx val="0"/>
          <c:order val="0"/>
          <c:tx>
            <c:strRef>
              <c:f>'GRÁFICOS &amp; TABLAS'!$I$6</c:f>
              <c:strCache>
                <c:ptCount val="1"/>
                <c:pt idx="0">
                  <c:v>Solicitadas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&amp; TABLAS'!$J$4:$M$5</c:f>
              <c:strCache>
                <c:ptCount val="4"/>
                <c:pt idx="0">
                  <c:v>2019</c:v>
                </c:pt>
                <c:pt idx="1">
                  <c:v>2020</c:v>
                </c:pt>
                <c:pt idx="2">
                  <c:v>2021</c:v>
                </c:pt>
                <c:pt idx="3">
                  <c:v>2022 (JUNIO)</c:v>
                </c:pt>
              </c:strCache>
            </c:strRef>
          </c:cat>
          <c:val>
            <c:numRef>
              <c:f>'GRÁFICOS &amp; TABLAS'!$J$6:$M$6</c:f>
              <c:numCache>
                <c:formatCode>#,##0</c:formatCode>
                <c:ptCount val="4"/>
                <c:pt idx="0">
                  <c:v>2589</c:v>
                </c:pt>
                <c:pt idx="1">
                  <c:v>4208</c:v>
                </c:pt>
                <c:pt idx="2">
                  <c:v>5566</c:v>
                </c:pt>
                <c:pt idx="3">
                  <c:v>2488</c:v>
                </c:pt>
              </c:numCache>
            </c:numRef>
          </c:val>
          <c:extLst>
            <c:ext xmlns:c16="http://schemas.microsoft.com/office/drawing/2014/chart" uri="{C3380CC4-5D6E-409C-BE32-E72D297353CC}">
              <c16:uniqueId val="{00000000-9CF5-4D01-9B7D-4F05CAD1FFA0}"/>
            </c:ext>
          </c:extLst>
        </c:ser>
        <c:ser>
          <c:idx val="1"/>
          <c:order val="1"/>
          <c:tx>
            <c:strRef>
              <c:f>'GRÁFICOS &amp; TABLAS'!$I$7</c:f>
              <c:strCache>
                <c:ptCount val="1"/>
                <c:pt idx="0">
                  <c:v>Atendidas</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&amp; TABLAS'!$J$4:$M$5</c:f>
              <c:strCache>
                <c:ptCount val="4"/>
                <c:pt idx="0">
                  <c:v>2019</c:v>
                </c:pt>
                <c:pt idx="1">
                  <c:v>2020</c:v>
                </c:pt>
                <c:pt idx="2">
                  <c:v>2021</c:v>
                </c:pt>
                <c:pt idx="3">
                  <c:v>2022 (JUNIO)</c:v>
                </c:pt>
              </c:strCache>
            </c:strRef>
          </c:cat>
          <c:val>
            <c:numRef>
              <c:f>'GRÁFICOS &amp; TABLAS'!$J$7:$M$7</c:f>
              <c:numCache>
                <c:formatCode>#,##0</c:formatCode>
                <c:ptCount val="4"/>
                <c:pt idx="0">
                  <c:v>2239</c:v>
                </c:pt>
                <c:pt idx="1">
                  <c:v>3699</c:v>
                </c:pt>
                <c:pt idx="2">
                  <c:v>4974</c:v>
                </c:pt>
                <c:pt idx="3">
                  <c:v>1789</c:v>
                </c:pt>
              </c:numCache>
            </c:numRef>
          </c:val>
          <c:extLst>
            <c:ext xmlns:c16="http://schemas.microsoft.com/office/drawing/2014/chart" uri="{C3380CC4-5D6E-409C-BE32-E72D297353CC}">
              <c16:uniqueId val="{00000001-9CF5-4D01-9B7D-4F05CAD1FFA0}"/>
            </c:ext>
          </c:extLst>
        </c:ser>
        <c:dLbls>
          <c:showLegendKey val="0"/>
          <c:showVal val="0"/>
          <c:showCatName val="0"/>
          <c:showSerName val="0"/>
          <c:showPercent val="0"/>
          <c:showBubbleSize val="0"/>
        </c:dLbls>
        <c:gapWidth val="219"/>
        <c:overlap val="-27"/>
        <c:axId val="184659728"/>
        <c:axId val="184648848"/>
      </c:barChart>
      <c:catAx>
        <c:axId val="18465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4648848"/>
        <c:crosses val="autoZero"/>
        <c:auto val="1"/>
        <c:lblAlgn val="ctr"/>
        <c:lblOffset val="100"/>
        <c:noMultiLvlLbl val="0"/>
      </c:catAx>
      <c:valAx>
        <c:axId val="184648848"/>
        <c:scaling>
          <c:orientation val="minMax"/>
        </c:scaling>
        <c:delete val="1"/>
        <c:axPos val="l"/>
        <c:numFmt formatCode="#,##0" sourceLinked="1"/>
        <c:majorTickMark val="none"/>
        <c:minorTickMark val="none"/>
        <c:tickLblPos val="nextTo"/>
        <c:crossAx val="18465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&amp; TABLAS'!$R$5:$V$5</c:f>
              <c:strCache>
                <c:ptCount val="5"/>
                <c:pt idx="0">
                  <c:v>2018</c:v>
                </c:pt>
                <c:pt idx="1">
                  <c:v>2019</c:v>
                </c:pt>
                <c:pt idx="2">
                  <c:v>2020</c:v>
                </c:pt>
                <c:pt idx="3">
                  <c:v>2021</c:v>
                </c:pt>
                <c:pt idx="4">
                  <c:v>2022 (JUNIO)</c:v>
                </c:pt>
              </c:strCache>
            </c:strRef>
          </c:cat>
          <c:val>
            <c:numRef>
              <c:f>'GRÁFICOS &amp; TABLAS'!$R$6:$V$6</c:f>
              <c:numCache>
                <c:formatCode>0.00%</c:formatCode>
                <c:ptCount val="5"/>
                <c:pt idx="0">
                  <c:v>0.47399999999999998</c:v>
                </c:pt>
                <c:pt idx="1">
                  <c:v>0.57769999999999999</c:v>
                </c:pt>
                <c:pt idx="2">
                  <c:v>0.65469999999999995</c:v>
                </c:pt>
                <c:pt idx="3">
                  <c:v>0.66849999999999998</c:v>
                </c:pt>
                <c:pt idx="4">
                  <c:v>0.68459999999999999</c:v>
                </c:pt>
              </c:numCache>
            </c:numRef>
          </c:val>
          <c:extLst>
            <c:ext xmlns:c16="http://schemas.microsoft.com/office/drawing/2014/chart" uri="{C3380CC4-5D6E-409C-BE32-E72D297353CC}">
              <c16:uniqueId val="{00000000-CE63-4275-B161-AC83E236BB30}"/>
            </c:ext>
          </c:extLst>
        </c:ser>
        <c:dLbls>
          <c:showLegendKey val="0"/>
          <c:showVal val="0"/>
          <c:showCatName val="0"/>
          <c:showSerName val="0"/>
          <c:showPercent val="0"/>
          <c:showBubbleSize val="0"/>
        </c:dLbls>
        <c:gapWidth val="300"/>
        <c:axId val="184646128"/>
        <c:axId val="184655920"/>
      </c:barChart>
      <c:catAx>
        <c:axId val="18464612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b="1">
                    <a:solidFill>
                      <a:sysClr val="windowText" lastClr="000000"/>
                    </a:solidFill>
                  </a:rPr>
                  <a:t>AÑO</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4655920"/>
        <c:crosses val="autoZero"/>
        <c:auto val="1"/>
        <c:lblAlgn val="ctr"/>
        <c:lblOffset val="100"/>
        <c:noMultiLvlLbl val="0"/>
      </c:catAx>
      <c:valAx>
        <c:axId val="184655920"/>
        <c:scaling>
          <c:orientation val="minMax"/>
        </c:scaling>
        <c:delete val="1"/>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b="1">
                    <a:solidFill>
                      <a:sysClr val="windowText" lastClr="000000"/>
                    </a:solidFill>
                  </a:rPr>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0.00%" sourceLinked="1"/>
        <c:majorTickMark val="out"/>
        <c:minorTickMark val="none"/>
        <c:tickLblPos val="nextTo"/>
        <c:crossAx val="184646128"/>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276625CFD27D1498575AF34930493D1" ma:contentTypeVersion="13" ma:contentTypeDescription="Crear nuevo documento." ma:contentTypeScope="" ma:versionID="e194e4e80ad404bcc046683730d9ebcf">
  <xsd:schema xmlns:xsd="http://www.w3.org/2001/XMLSchema" xmlns:xs="http://www.w3.org/2001/XMLSchema" xmlns:p="http://schemas.microsoft.com/office/2006/metadata/properties" xmlns:ns3="f4e97146-1905-40ad-82c2-4d5ca2c95475" xmlns:ns4="dc4206d7-6c95-46ef-806c-22280fad7814" targetNamespace="http://schemas.microsoft.com/office/2006/metadata/properties" ma:root="true" ma:fieldsID="0bc4593f310cc6a6c89fc5180a0003fd" ns3:_="" ns4:_="">
    <xsd:import namespace="f4e97146-1905-40ad-82c2-4d5ca2c95475"/>
    <xsd:import namespace="dc4206d7-6c95-46ef-806c-22280fad781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97146-1905-40ad-82c2-4d5ca2c954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4206d7-6c95-46ef-806c-22280fad781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g5kYS79tz90cf3CvCZ7VwtmSOiCg==">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</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5D220C-0494-4064-A86D-F2F5B583ECBB}">
  <ds:schemaRefs>
    <ds:schemaRef ds:uri="http://schemas.openxmlformats.org/officeDocument/2006/bibliography"/>
  </ds:schemaRefs>
</ds:datastoreItem>
</file>

<file path=customXml/itemProps2.xml><?xml version="1.0" encoding="utf-8"?>
<ds:datastoreItem xmlns:ds="http://schemas.openxmlformats.org/officeDocument/2006/customXml" ds:itemID="{B28A13CE-8FA5-42D3-B254-BF33BCDA9975}">
  <ds:schemaRefs>
    <ds:schemaRef ds:uri="http://schemas.microsoft.com/sharepoint/v3/contenttype/forms"/>
  </ds:schemaRefs>
</ds:datastoreItem>
</file>

<file path=customXml/itemProps3.xml><?xml version="1.0" encoding="utf-8"?>
<ds:datastoreItem xmlns:ds="http://schemas.openxmlformats.org/officeDocument/2006/customXml" ds:itemID="{8EFE02D8-B7B5-4BF4-9A66-1F4660324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97146-1905-40ad-82c2-4d5ca2c95475"/>
    <ds:schemaRef ds:uri="dc4206d7-6c95-46ef-806c-22280fad78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9AA0842-893A-4E64-8668-744CCC01C2D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102</Pages>
  <Words>39448</Words>
  <Characters>216964</Characters>
  <Application>Microsoft Office Word</Application>
  <DocSecurity>0</DocSecurity>
  <Lines>1808</Lines>
  <Paragraphs>511</Paragraphs>
  <ScaleCrop>false</ScaleCrop>
  <Company/>
  <LinksUpToDate>false</LinksUpToDate>
  <CharactersWithSpaces>255901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Lina Paola Cardozo Orjuela</dc:creator>
  <cp:lastModifiedBy>Jerson Guillermo Ramirez Gonzalez</cp:lastModifiedBy>
  <cp:revision>6</cp:revision>
  <dcterms:created xsi:type="dcterms:W3CDTF">2022-07-18T22:54:00Z</dcterms:created>
  <dcterms:modified xsi:type="dcterms:W3CDTF">2022-08-16T00:58:00Z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0x010100F276625CFD27D1498575AF34930493D1</vt:lpwstr>
  </property>
</Properties>
</file>