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156B" w14:textId="77777777" w:rsidR="00EF4FF9" w:rsidRDefault="000D6346">
      <w:pPr>
        <w:spacing w:before="240" w:after="240"/>
        <w:jc w:val="center"/>
        <w:rPr>
          <w:rFonts w:ascii="Times New Roman" w:hAnsi="Times New Roman"/>
          <w:b/>
          <w:sz w:val="24"/>
          <w:szCs w:val="24"/>
        </w:rPr>
      </w:pPr>
      <w:bookmarkStart w:id="0" w:name="_heading=h.gjdgxs" w:colFirst="0" w:colLast="0"/>
      <w:bookmarkEnd w:id="0"/>
      <w:r>
        <w:rPr>
          <w:rFonts w:ascii="Times New Roman" w:hAnsi="Times New Roman"/>
          <w:b/>
          <w:sz w:val="24"/>
          <w:szCs w:val="24"/>
        </w:rPr>
        <w:t>PROYECTO DE LEY N° _____ de 2022</w:t>
      </w:r>
    </w:p>
    <w:p w14:paraId="678077A5" w14:textId="77777777" w:rsidR="00EF4FF9" w:rsidRDefault="000D6346">
      <w:pPr>
        <w:spacing w:before="240" w:after="240"/>
        <w:jc w:val="center"/>
        <w:rPr>
          <w:rFonts w:ascii="Times New Roman" w:hAnsi="Times New Roman"/>
          <w:b/>
          <w:sz w:val="24"/>
          <w:szCs w:val="24"/>
        </w:rPr>
      </w:pPr>
      <w:bookmarkStart w:id="1" w:name="_heading=h.30j0zll" w:colFirst="0" w:colLast="0"/>
      <w:bookmarkEnd w:id="1"/>
      <w:r>
        <w:rPr>
          <w:rFonts w:ascii="Times New Roman" w:hAnsi="Times New Roman"/>
          <w:b/>
          <w:sz w:val="24"/>
          <w:szCs w:val="24"/>
        </w:rPr>
        <w:t>“Por medio de la cual se tipifica el retiro sin consentimiento del preservativo o barrera de protección sexual durante las relaciones sexuales, se agrega un parágrafo al delito de acoso sexual y se dictan otras disposiciones”</w:t>
      </w:r>
    </w:p>
    <w:p w14:paraId="467AE39C" w14:textId="77777777" w:rsidR="00EF4FF9" w:rsidRDefault="000D6346">
      <w:pPr>
        <w:spacing w:before="240" w:after="240"/>
        <w:jc w:val="center"/>
        <w:rPr>
          <w:rFonts w:ascii="Times New Roman" w:hAnsi="Times New Roman"/>
          <w:sz w:val="24"/>
          <w:szCs w:val="24"/>
        </w:rPr>
      </w:pPr>
      <w:r>
        <w:rPr>
          <w:rFonts w:ascii="Times New Roman" w:hAnsi="Times New Roman"/>
          <w:sz w:val="24"/>
          <w:szCs w:val="24"/>
        </w:rPr>
        <w:t>El Congreso de Colombia</w:t>
      </w:r>
    </w:p>
    <w:p w14:paraId="737ABC5F" w14:textId="77777777" w:rsidR="00EF4FF9" w:rsidRDefault="000D6346">
      <w:pPr>
        <w:spacing w:before="240" w:after="240"/>
        <w:jc w:val="center"/>
        <w:rPr>
          <w:rFonts w:ascii="Times New Roman" w:hAnsi="Times New Roman"/>
          <w:b/>
          <w:sz w:val="24"/>
          <w:szCs w:val="24"/>
        </w:rPr>
      </w:pPr>
      <w:r>
        <w:rPr>
          <w:rFonts w:ascii="Times New Roman" w:hAnsi="Times New Roman"/>
          <w:b/>
          <w:sz w:val="24"/>
          <w:szCs w:val="24"/>
        </w:rPr>
        <w:t>DECRETA:</w:t>
      </w:r>
    </w:p>
    <w:p w14:paraId="46998D82" w14:textId="77777777" w:rsidR="00EF4FF9" w:rsidRDefault="000D6346">
      <w:pPr>
        <w:spacing w:before="240" w:after="240"/>
        <w:jc w:val="both"/>
        <w:rPr>
          <w:rFonts w:ascii="Times New Roman" w:hAnsi="Times New Roman"/>
          <w:sz w:val="24"/>
          <w:szCs w:val="24"/>
        </w:rPr>
      </w:pPr>
      <w:bookmarkStart w:id="2" w:name="_heading=h.1fob9te" w:colFirst="0" w:colLast="0"/>
      <w:bookmarkEnd w:id="2"/>
      <w:r>
        <w:rPr>
          <w:rFonts w:ascii="Times New Roman" w:hAnsi="Times New Roman"/>
          <w:b/>
          <w:sz w:val="24"/>
          <w:szCs w:val="24"/>
        </w:rPr>
        <w:t xml:space="preserve">Artículo 1. Objeto. </w:t>
      </w:r>
      <w:r>
        <w:rPr>
          <w:rFonts w:ascii="Times New Roman" w:hAnsi="Times New Roman"/>
          <w:sz w:val="24"/>
          <w:szCs w:val="24"/>
        </w:rPr>
        <w:t>La presente ley tiene por objeto tipificar como un delito autónomo la práctica del retiro del condón, preservativo</w:t>
      </w:r>
      <w:r>
        <w:rPr>
          <w:rFonts w:ascii="Times New Roman" w:hAnsi="Times New Roman"/>
        </w:rPr>
        <w:t xml:space="preserve"> </w:t>
      </w:r>
      <w:r>
        <w:rPr>
          <w:rFonts w:ascii="Times New Roman" w:hAnsi="Times New Roman"/>
          <w:sz w:val="24"/>
          <w:szCs w:val="24"/>
        </w:rPr>
        <w:t xml:space="preserve">u otra barrera de protección sexual durante las relaciones sexuales sin el consentimiento verbal explícito de la otra persona. Así mismo, se agrega un parágrafo al artículo 210-A del Código Penal de manera que se considere como acoso sexual otra modalidad de la misma práctica. </w:t>
      </w:r>
    </w:p>
    <w:p w14:paraId="0BD69DF4" w14:textId="77777777" w:rsidR="00EF4FF9" w:rsidRDefault="000D6346">
      <w:pPr>
        <w:jc w:val="both"/>
        <w:rPr>
          <w:rFonts w:ascii="Times New Roman" w:hAnsi="Times New Roman"/>
          <w:sz w:val="24"/>
          <w:szCs w:val="24"/>
        </w:rPr>
      </w:pPr>
      <w:r>
        <w:rPr>
          <w:rFonts w:ascii="Times New Roman" w:hAnsi="Times New Roman"/>
          <w:b/>
          <w:sz w:val="24"/>
          <w:szCs w:val="24"/>
        </w:rPr>
        <w:t>Artículo 2.</w:t>
      </w:r>
      <w:r>
        <w:rPr>
          <w:rFonts w:ascii="Times New Roman" w:hAnsi="Times New Roman"/>
          <w:sz w:val="24"/>
          <w:szCs w:val="24"/>
        </w:rPr>
        <w:t xml:space="preserve"> Adiciónese el artículo 210-B a la Ley 599 de 2000, el cual quedará así:</w:t>
      </w:r>
    </w:p>
    <w:p w14:paraId="4376586E" w14:textId="77777777" w:rsidR="00EF4FF9" w:rsidRDefault="000D6346">
      <w:pPr>
        <w:ind w:left="709" w:right="709"/>
        <w:jc w:val="both"/>
        <w:rPr>
          <w:rFonts w:ascii="Times New Roman" w:hAnsi="Times New Roman"/>
          <w:b/>
          <w:sz w:val="24"/>
          <w:szCs w:val="24"/>
        </w:rPr>
      </w:pPr>
      <w:r>
        <w:rPr>
          <w:rFonts w:ascii="Times New Roman" w:hAnsi="Times New Roman"/>
          <w:b/>
          <w:sz w:val="24"/>
          <w:szCs w:val="24"/>
        </w:rPr>
        <w:t>Artículo 210-B. Retiro del condón, preservativo o barrera de protección sexual sin consentimiento.</w:t>
      </w:r>
      <w:r>
        <w:rPr>
          <w:rFonts w:ascii="Times New Roman" w:hAnsi="Times New Roman"/>
          <w:sz w:val="24"/>
          <w:szCs w:val="24"/>
        </w:rPr>
        <w:t xml:space="preserve"> Quien durante el acto sexual realice acceso carnal tras retirar de manera consciente un condón o preservativo del miembro viril sin el consentimiento verbal explícito de la otra persona, incurrirá en prisión de dos (2) a cuatro (4) años. A la misma sanción estará sujeto quien continúe una relación sexual tras retirar sin el consentimiento verbal explícito de la otra persona cualquier barrera de protección sexual como un condón femenino, diafragma, capuchones cervicales o esponjas anticonceptivas, entre otros. </w:t>
      </w:r>
    </w:p>
    <w:p w14:paraId="2E2B560B" w14:textId="77777777" w:rsidR="00EF4FF9" w:rsidRDefault="000D6346">
      <w:pPr>
        <w:jc w:val="both"/>
        <w:rPr>
          <w:rFonts w:ascii="Times New Roman" w:hAnsi="Times New Roman"/>
          <w:sz w:val="24"/>
          <w:szCs w:val="24"/>
        </w:rPr>
      </w:pPr>
      <w:r>
        <w:rPr>
          <w:rFonts w:ascii="Times New Roman" w:hAnsi="Times New Roman"/>
          <w:b/>
          <w:sz w:val="24"/>
          <w:szCs w:val="24"/>
        </w:rPr>
        <w:t>Artículo 3.</w:t>
      </w:r>
      <w:r>
        <w:rPr>
          <w:rFonts w:ascii="Times New Roman" w:hAnsi="Times New Roman"/>
          <w:sz w:val="24"/>
          <w:szCs w:val="24"/>
        </w:rPr>
        <w:t xml:space="preserve"> Agréguese un parágrafo al artículo 210A de la Ley 599 de 2000, el cual quedará así:</w:t>
      </w:r>
    </w:p>
    <w:p w14:paraId="4F90B4EB" w14:textId="77777777" w:rsidR="00EF4FF9" w:rsidRDefault="000D6346">
      <w:pPr>
        <w:ind w:left="709" w:right="709"/>
        <w:jc w:val="both"/>
        <w:rPr>
          <w:rFonts w:ascii="Times New Roman" w:hAnsi="Times New Roman"/>
          <w:sz w:val="24"/>
          <w:szCs w:val="24"/>
        </w:rPr>
      </w:pPr>
      <w:r>
        <w:rPr>
          <w:rFonts w:ascii="Times New Roman" w:hAnsi="Times New Roman"/>
          <w:b/>
          <w:sz w:val="24"/>
          <w:szCs w:val="24"/>
        </w:rPr>
        <w:t>Artículo 210 A. Acoso sexual.</w:t>
      </w:r>
      <w:r>
        <w:rPr>
          <w:rFonts w:ascii="Times New Roman" w:hAnsi="Times New Roman"/>
          <w:sz w:val="24"/>
          <w:szCs w:val="24"/>
        </w:rPr>
        <w:t xml:space="preserve"> 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14:paraId="7D797BCD" w14:textId="77777777" w:rsidR="00EF4FF9" w:rsidRDefault="000D6346">
      <w:pPr>
        <w:ind w:left="709" w:right="709"/>
        <w:jc w:val="both"/>
        <w:rPr>
          <w:rFonts w:ascii="Times New Roman" w:hAnsi="Times New Roman"/>
          <w:sz w:val="24"/>
          <w:szCs w:val="24"/>
        </w:rPr>
      </w:pPr>
      <w:bookmarkStart w:id="3" w:name="_heading=h.3znysh7" w:colFirst="0" w:colLast="0"/>
      <w:bookmarkEnd w:id="3"/>
      <w:r>
        <w:rPr>
          <w:rFonts w:ascii="Times New Roman" w:hAnsi="Times New Roman"/>
          <w:b/>
          <w:sz w:val="24"/>
          <w:szCs w:val="24"/>
        </w:rPr>
        <w:t>Parágrafo.</w:t>
      </w:r>
      <w:r>
        <w:rPr>
          <w:rFonts w:ascii="Times New Roman" w:hAnsi="Times New Roman"/>
          <w:sz w:val="24"/>
          <w:szCs w:val="24"/>
        </w:rPr>
        <w:t xml:space="preserve"> A la misma pena quedará sometido quien conscientemente cause contacto entre su órgano sexual, del cual haya retirado un preservativo o </w:t>
      </w:r>
      <w:r>
        <w:rPr>
          <w:rFonts w:ascii="Times New Roman" w:hAnsi="Times New Roman"/>
          <w:sz w:val="24"/>
          <w:szCs w:val="24"/>
        </w:rPr>
        <w:lastRenderedPageBreak/>
        <w:t xml:space="preserve">condón, y la parte íntima de otra persona que no haya dado consentimiento verbal explícito para que este sea retirado; y la persona que cause contacto entre su parte íntima y el órgano sexual de otro a quien la persona le haya retirado un preservativo o condón sin su consentimiento verbal explícito. </w:t>
      </w:r>
    </w:p>
    <w:p w14:paraId="388F5EE9" w14:textId="77777777" w:rsidR="00EF4FF9" w:rsidRDefault="000D6346">
      <w:pPr>
        <w:spacing w:before="240" w:after="240"/>
        <w:jc w:val="both"/>
        <w:rPr>
          <w:rFonts w:ascii="Times New Roman" w:hAnsi="Times New Roman"/>
          <w:sz w:val="24"/>
          <w:szCs w:val="24"/>
        </w:rPr>
      </w:pPr>
      <w:r>
        <w:rPr>
          <w:rFonts w:ascii="Times New Roman" w:hAnsi="Times New Roman"/>
          <w:b/>
          <w:sz w:val="24"/>
          <w:szCs w:val="24"/>
        </w:rPr>
        <w:t xml:space="preserve">Artículo 4. </w:t>
      </w:r>
      <w:r>
        <w:rPr>
          <w:rFonts w:ascii="Times New Roman" w:hAnsi="Times New Roman"/>
          <w:sz w:val="24"/>
          <w:szCs w:val="24"/>
        </w:rPr>
        <w:t xml:space="preserve">Los medios de comunicación que funcionan con recursos públicos podrán, sin aumentar sus costos, crear campañas de difusión para generar consciencia sobre el carácter delictivo de la práctica a la que hace referencia la presente ley y educar sobre los mecanismos de denuncia y reparación. </w:t>
      </w:r>
    </w:p>
    <w:p w14:paraId="6F38D8CC" w14:textId="77777777" w:rsidR="00EF4FF9" w:rsidRDefault="000D6346">
      <w:pPr>
        <w:spacing w:before="240" w:after="240"/>
        <w:jc w:val="both"/>
        <w:rPr>
          <w:rFonts w:ascii="Times New Roman" w:hAnsi="Times New Roman"/>
          <w:sz w:val="24"/>
          <w:szCs w:val="24"/>
        </w:rPr>
      </w:pPr>
      <w:r>
        <w:rPr>
          <w:rFonts w:ascii="Times New Roman" w:hAnsi="Times New Roman"/>
          <w:b/>
          <w:sz w:val="24"/>
          <w:szCs w:val="24"/>
        </w:rPr>
        <w:t xml:space="preserve">Parágrafo. </w:t>
      </w:r>
      <w:r>
        <w:rPr>
          <w:rFonts w:ascii="Times New Roman" w:hAnsi="Times New Roman"/>
          <w:sz w:val="24"/>
          <w:szCs w:val="24"/>
        </w:rPr>
        <w:t xml:space="preserve">Los medios de comunicación privado podrán hacer lo mismo a lo que se hace referencia en el presente artículo. </w:t>
      </w:r>
    </w:p>
    <w:p w14:paraId="72E2073D" w14:textId="77777777" w:rsidR="00EF4FF9" w:rsidRDefault="000D6346">
      <w:pPr>
        <w:spacing w:before="240" w:after="240"/>
        <w:jc w:val="both"/>
        <w:rPr>
          <w:rFonts w:ascii="Times New Roman" w:hAnsi="Times New Roman"/>
          <w:sz w:val="24"/>
          <w:szCs w:val="24"/>
        </w:rPr>
      </w:pPr>
      <w:r>
        <w:rPr>
          <w:rFonts w:ascii="Times New Roman" w:hAnsi="Times New Roman"/>
          <w:b/>
          <w:sz w:val="24"/>
          <w:szCs w:val="24"/>
        </w:rPr>
        <w:t>Artículo 5. Vigencia.</w:t>
      </w:r>
      <w:r>
        <w:rPr>
          <w:rFonts w:ascii="Times New Roman" w:hAnsi="Times New Roman"/>
          <w:sz w:val="24"/>
          <w:szCs w:val="24"/>
        </w:rPr>
        <w:t xml:space="preserve"> La presente ley regirá inmediatamente después de su promulgación.</w:t>
      </w:r>
    </w:p>
    <w:p w14:paraId="643C962F"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De los Honorables Congresistas,</w:t>
      </w:r>
    </w:p>
    <w:tbl>
      <w:tblPr>
        <w:tblStyle w:val="a"/>
        <w:tblW w:w="8828" w:type="dxa"/>
        <w:tblInd w:w="0" w:type="dxa"/>
        <w:tblLayout w:type="fixed"/>
        <w:tblLook w:val="0400" w:firstRow="0" w:lastRow="0" w:firstColumn="0" w:lastColumn="0" w:noHBand="0" w:noVBand="1"/>
      </w:tblPr>
      <w:tblGrid>
        <w:gridCol w:w="4414"/>
        <w:gridCol w:w="4414"/>
      </w:tblGrid>
      <w:tr w:rsidR="00F112DD" w14:paraId="08F1A0E9" w14:textId="77777777" w:rsidTr="000D6346">
        <w:tc>
          <w:tcPr>
            <w:tcW w:w="4414" w:type="dxa"/>
          </w:tcPr>
          <w:p w14:paraId="7E672691" w14:textId="77777777" w:rsidR="00F112DD" w:rsidRDefault="00F112DD" w:rsidP="00F112DD">
            <w:pPr>
              <w:tabs>
                <w:tab w:val="left" w:pos="1834"/>
              </w:tabs>
              <w:jc w:val="center"/>
              <w:rPr>
                <w:rFonts w:ascii="Times New Roman" w:hAnsi="Times New Roman"/>
                <w:b/>
                <w:noProof/>
                <w:sz w:val="24"/>
                <w:szCs w:val="24"/>
              </w:rPr>
            </w:pPr>
          </w:p>
          <w:p w14:paraId="41ECCA80" w14:textId="563F765F" w:rsidR="00F112DD" w:rsidRDefault="00F112DD" w:rsidP="00F112DD">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6DEF0981" w14:textId="77777777" w:rsidR="00F112DD" w:rsidRDefault="00F112DD" w:rsidP="00F112DD">
            <w:pPr>
              <w:jc w:val="center"/>
              <w:rPr>
                <w:rFonts w:ascii="Times New Roman" w:hAnsi="Times New Roman"/>
                <w:b/>
                <w:noProof/>
                <w:sz w:val="24"/>
                <w:szCs w:val="24"/>
                <w:lang w:val="es-CO" w:eastAsia="es-CO"/>
              </w:rPr>
            </w:pPr>
          </w:p>
          <w:p w14:paraId="02BF88D9" w14:textId="295C14BB" w:rsidR="00F112DD" w:rsidRDefault="00F112DD" w:rsidP="00F112DD">
            <w:pPr>
              <w:jc w:val="center"/>
              <w:rPr>
                <w:rFonts w:ascii="Times New Roman" w:hAnsi="Times New Roman"/>
                <w:b/>
                <w:sz w:val="24"/>
                <w:szCs w:val="24"/>
              </w:rPr>
            </w:pPr>
            <w:r>
              <w:rPr>
                <w:rFonts w:ascii="Times New Roman" w:hAnsi="Times New Roman"/>
                <w:b/>
                <w:noProof/>
                <w:sz w:val="24"/>
                <w:szCs w:val="24"/>
                <w:lang w:val="es-CO" w:eastAsia="es-CO"/>
              </w:rPr>
              <w:t>JOHN JAIRO ROLDÁN AVENDAÑO</w:t>
            </w:r>
            <w:r>
              <w:rPr>
                <w:rFonts w:ascii="Times New Roman" w:hAnsi="Times New Roman"/>
                <w:b/>
                <w:sz w:val="24"/>
                <w:szCs w:val="24"/>
              </w:rPr>
              <w:br/>
            </w: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F112DD" w14:paraId="596BB5E8" w14:textId="77777777" w:rsidTr="000D6346">
        <w:tc>
          <w:tcPr>
            <w:tcW w:w="4414" w:type="dxa"/>
          </w:tcPr>
          <w:p w14:paraId="570A2405" w14:textId="0A767719" w:rsidR="00F112DD" w:rsidRDefault="00F112DD" w:rsidP="00F112DD">
            <w:pPr>
              <w:jc w:val="center"/>
              <w:rPr>
                <w:rFonts w:ascii="Times New Roman" w:hAnsi="Times New Roman"/>
                <w:sz w:val="24"/>
                <w:szCs w:val="24"/>
              </w:rPr>
            </w:pPr>
            <w:r>
              <w:rPr>
                <w:rFonts w:ascii="Times New Roman" w:hAnsi="Times New Roman"/>
                <w:b/>
                <w:sz w:val="24"/>
                <w:szCs w:val="24"/>
              </w:rPr>
              <w:br/>
              <w:t>JUAN CARLOS LOZADA VARGAS</w:t>
            </w:r>
            <w:r>
              <w:rPr>
                <w:rFonts w:ascii="Times New Roman" w:hAnsi="Times New Roman"/>
                <w:b/>
                <w:sz w:val="24"/>
                <w:szCs w:val="24"/>
              </w:rPr>
              <w:br/>
            </w:r>
            <w:r>
              <w:rPr>
                <w:rFonts w:ascii="Times New Roman" w:hAnsi="Times New Roman"/>
                <w:sz w:val="24"/>
                <w:szCs w:val="24"/>
              </w:rPr>
              <w:t>Representante a la Cámara por Bogotá D.C</w:t>
            </w:r>
            <w:r>
              <w:rPr>
                <w:rFonts w:ascii="Times New Roman" w:hAnsi="Times New Roman"/>
                <w:sz w:val="24"/>
                <w:szCs w:val="24"/>
              </w:rPr>
              <w:br/>
              <w:t>Partido Liberal</w:t>
            </w:r>
          </w:p>
        </w:tc>
        <w:tc>
          <w:tcPr>
            <w:tcW w:w="4414" w:type="dxa"/>
          </w:tcPr>
          <w:p w14:paraId="51ED9F76" w14:textId="77777777" w:rsidR="00F112DD" w:rsidRDefault="00F112DD" w:rsidP="00F112DD">
            <w:pPr>
              <w:jc w:val="center"/>
              <w:rPr>
                <w:rFonts w:ascii="Times New Roman" w:hAnsi="Times New Roman"/>
                <w:b/>
                <w:color w:val="000000"/>
                <w:sz w:val="24"/>
                <w:szCs w:val="24"/>
              </w:rPr>
            </w:pPr>
          </w:p>
          <w:p w14:paraId="2425CE65" w14:textId="2310ADF0" w:rsidR="00F112DD" w:rsidRDefault="00F112DD" w:rsidP="00F112DD">
            <w:pPr>
              <w:jc w:val="center"/>
              <w:rPr>
                <w:rFonts w:ascii="Times New Roman" w:hAnsi="Times New Roman"/>
                <w:sz w:val="24"/>
                <w:szCs w:val="24"/>
              </w:rPr>
            </w:pPr>
            <w:r w:rsidRPr="00446110">
              <w:rPr>
                <w:rFonts w:ascii="Times New Roman" w:hAnsi="Times New Roman"/>
                <w:b/>
                <w:color w:val="000000"/>
                <w:sz w:val="24"/>
                <w:szCs w:val="24"/>
              </w:rPr>
              <w:t>CARLOS FELIPE QUINTERO OVALLE</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w:t>
            </w:r>
            <w:r>
              <w:rPr>
                <w:rFonts w:ascii="Times New Roman" w:hAnsi="Times New Roman"/>
                <w:sz w:val="24"/>
                <w:szCs w:val="24"/>
              </w:rPr>
              <w:t>el Cesar</w:t>
            </w:r>
          </w:p>
        </w:tc>
      </w:tr>
      <w:tr w:rsidR="00F112DD" w14:paraId="38FA85D4" w14:textId="77777777" w:rsidTr="000D6346">
        <w:tblPrEx>
          <w:tblLook w:val="04A0" w:firstRow="1" w:lastRow="0" w:firstColumn="1" w:lastColumn="0" w:noHBand="0" w:noVBand="1"/>
        </w:tblPrEx>
        <w:tc>
          <w:tcPr>
            <w:tcW w:w="4414" w:type="dxa"/>
          </w:tcPr>
          <w:p w14:paraId="4C11A4B3" w14:textId="77777777" w:rsidR="00F112DD" w:rsidRDefault="00F112DD" w:rsidP="00F112DD">
            <w:pPr>
              <w:jc w:val="center"/>
              <w:rPr>
                <w:rFonts w:ascii="Times New Roman" w:hAnsi="Times New Roman"/>
                <w:b/>
                <w:sz w:val="24"/>
                <w:szCs w:val="24"/>
              </w:rPr>
            </w:pPr>
          </w:p>
          <w:p w14:paraId="5EF8A4D3" w14:textId="54BF5AF7" w:rsidR="00F112DD" w:rsidRDefault="00F112DD" w:rsidP="00F112DD">
            <w:pPr>
              <w:jc w:val="center"/>
              <w:rPr>
                <w:rFonts w:ascii="Times New Roman" w:hAnsi="Times New Roman"/>
                <w:b/>
                <w:sz w:val="24"/>
                <w:szCs w:val="24"/>
              </w:rPr>
            </w:pPr>
            <w:r w:rsidRPr="00F112DD">
              <w:rPr>
                <w:rFonts w:ascii="Times New Roman" w:hAnsi="Times New Roman"/>
                <w:b/>
                <w:sz w:val="24"/>
                <w:szCs w:val="24"/>
              </w:rPr>
              <w:t>DANIEL CARVALHO</w:t>
            </w:r>
            <w:r>
              <w:rPr>
                <w:rFonts w:ascii="Times New Roman" w:hAnsi="Times New Roman"/>
                <w:b/>
                <w:sz w:val="24"/>
                <w:szCs w:val="24"/>
              </w:rPr>
              <w:t xml:space="preserve"> MEJÍA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10386F9F" w14:textId="77777777" w:rsidR="00F112DD" w:rsidRDefault="00F112DD" w:rsidP="00F112DD">
            <w:pPr>
              <w:jc w:val="center"/>
              <w:rPr>
                <w:rFonts w:ascii="Times New Roman" w:hAnsi="Times New Roman"/>
                <w:b/>
                <w:sz w:val="24"/>
                <w:szCs w:val="24"/>
              </w:rPr>
            </w:pPr>
          </w:p>
          <w:p w14:paraId="14A5D574" w14:textId="78F0577F" w:rsidR="00F112DD" w:rsidRPr="00F112DD" w:rsidRDefault="00F112DD" w:rsidP="00F112DD">
            <w:pPr>
              <w:jc w:val="center"/>
              <w:rPr>
                <w:rFonts w:ascii="Times New Roman" w:hAnsi="Times New Roman"/>
                <w:b/>
                <w:sz w:val="24"/>
                <w:szCs w:val="24"/>
              </w:rPr>
            </w:pPr>
            <w:r w:rsidRPr="00A20549">
              <w:rPr>
                <w:rFonts w:ascii="Times New Roman" w:hAnsi="Times New Roman"/>
                <w:b/>
                <w:sz w:val="24"/>
                <w:szCs w:val="24"/>
              </w:rPr>
              <w:t>JEZMI LIZETH BARRAZA ARRAUT</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Atlántico </w:t>
            </w:r>
          </w:p>
        </w:tc>
      </w:tr>
      <w:tr w:rsidR="00F112DD" w14:paraId="7384C9C1" w14:textId="77777777" w:rsidTr="000D6346">
        <w:tblPrEx>
          <w:tblLook w:val="04A0" w:firstRow="1" w:lastRow="0" w:firstColumn="1" w:lastColumn="0" w:noHBand="0" w:noVBand="1"/>
        </w:tblPrEx>
        <w:tc>
          <w:tcPr>
            <w:tcW w:w="4414" w:type="dxa"/>
          </w:tcPr>
          <w:p w14:paraId="7DECE2D0" w14:textId="77777777" w:rsidR="00F112DD" w:rsidRDefault="00F112DD" w:rsidP="00F112DD">
            <w:pPr>
              <w:jc w:val="center"/>
              <w:rPr>
                <w:rFonts w:ascii="Times New Roman" w:hAnsi="Times New Roman"/>
                <w:b/>
                <w:sz w:val="24"/>
                <w:szCs w:val="24"/>
              </w:rPr>
            </w:pPr>
          </w:p>
          <w:p w14:paraId="697A95D8" w14:textId="48E6F94F" w:rsidR="00F112DD" w:rsidRPr="001903A6" w:rsidRDefault="001903A6" w:rsidP="001903A6">
            <w:pPr>
              <w:jc w:val="center"/>
              <w:rPr>
                <w:rFonts w:ascii="Times New Roman" w:hAnsi="Times New Roman"/>
                <w:b/>
                <w:sz w:val="24"/>
                <w:szCs w:val="24"/>
              </w:rPr>
            </w:pPr>
            <w:r>
              <w:rPr>
                <w:rFonts w:ascii="Times New Roman" w:hAnsi="Times New Roman"/>
                <w:b/>
                <w:sz w:val="24"/>
                <w:szCs w:val="24"/>
              </w:rPr>
              <w:lastRenderedPageBreak/>
              <w:t>OLGA BEATRIZ GONZÁLEZ CORREA</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del Tolima</w:t>
            </w:r>
          </w:p>
        </w:tc>
        <w:tc>
          <w:tcPr>
            <w:tcW w:w="4414" w:type="dxa"/>
          </w:tcPr>
          <w:p w14:paraId="2163F8FE" w14:textId="77777777" w:rsidR="001903A6" w:rsidRDefault="001903A6" w:rsidP="00F112DD">
            <w:pPr>
              <w:jc w:val="center"/>
              <w:rPr>
                <w:rFonts w:ascii="Times New Roman" w:hAnsi="Times New Roman"/>
                <w:b/>
                <w:sz w:val="24"/>
                <w:szCs w:val="24"/>
              </w:rPr>
            </w:pPr>
          </w:p>
          <w:p w14:paraId="5E335D07" w14:textId="07099AD7" w:rsidR="00F112DD" w:rsidRDefault="001903A6" w:rsidP="001903A6">
            <w:pPr>
              <w:jc w:val="center"/>
              <w:rPr>
                <w:rFonts w:ascii="Times New Roman" w:hAnsi="Times New Roman"/>
                <w:sz w:val="24"/>
                <w:szCs w:val="24"/>
              </w:rPr>
            </w:pPr>
            <w:r>
              <w:rPr>
                <w:rFonts w:ascii="Times New Roman" w:hAnsi="Times New Roman"/>
                <w:b/>
                <w:sz w:val="24"/>
                <w:szCs w:val="24"/>
              </w:rPr>
              <w:lastRenderedPageBreak/>
              <w:t>JOSÉ OCTAVIO CARDONA LEÓN</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w:t>
            </w:r>
            <w:proofErr w:type="spellStart"/>
            <w:r>
              <w:rPr>
                <w:rFonts w:ascii="Times New Roman" w:hAnsi="Times New Roman"/>
                <w:sz w:val="24"/>
                <w:szCs w:val="24"/>
              </w:rPr>
              <w:t>del</w:t>
            </w:r>
            <w:proofErr w:type="spellEnd"/>
            <w:r>
              <w:rPr>
                <w:rFonts w:ascii="Times New Roman" w:hAnsi="Times New Roman"/>
                <w:sz w:val="24"/>
                <w:szCs w:val="24"/>
              </w:rPr>
              <w:t xml:space="preserve"> Caldas</w:t>
            </w:r>
          </w:p>
        </w:tc>
      </w:tr>
      <w:tr w:rsidR="00F112DD" w14:paraId="5D928314" w14:textId="77777777" w:rsidTr="000D6346">
        <w:tblPrEx>
          <w:tblLook w:val="04A0" w:firstRow="1" w:lastRow="0" w:firstColumn="1" w:lastColumn="0" w:noHBand="0" w:noVBand="1"/>
        </w:tblPrEx>
        <w:tc>
          <w:tcPr>
            <w:tcW w:w="4414" w:type="dxa"/>
          </w:tcPr>
          <w:p w14:paraId="6F833FA0" w14:textId="5198F78D" w:rsidR="00F112DD" w:rsidRPr="001903A6" w:rsidRDefault="001903A6" w:rsidP="001903A6">
            <w:pPr>
              <w:jc w:val="center"/>
              <w:rPr>
                <w:rFonts w:ascii="Times New Roman" w:hAnsi="Times New Roman"/>
                <w:b/>
                <w:sz w:val="24"/>
                <w:szCs w:val="24"/>
              </w:rPr>
            </w:pPr>
            <w:r w:rsidRPr="001903A6">
              <w:rPr>
                <w:rFonts w:ascii="Times New Roman" w:hAnsi="Times New Roman"/>
                <w:b/>
                <w:sz w:val="24"/>
                <w:szCs w:val="24"/>
              </w:rPr>
              <w:lastRenderedPageBreak/>
              <w:t>SANDRA BIBIANA ARISTIZABAL SALEG</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del Quindío</w:t>
            </w:r>
          </w:p>
        </w:tc>
        <w:tc>
          <w:tcPr>
            <w:tcW w:w="4414" w:type="dxa"/>
          </w:tcPr>
          <w:p w14:paraId="41FE8DCB" w14:textId="1F60B60E" w:rsidR="00F112DD" w:rsidRDefault="001903A6" w:rsidP="00F112DD">
            <w:pPr>
              <w:jc w:val="center"/>
              <w:rPr>
                <w:rFonts w:ascii="Times New Roman" w:hAnsi="Times New Roman"/>
                <w:sz w:val="24"/>
                <w:szCs w:val="24"/>
              </w:rPr>
            </w:pPr>
            <w:r>
              <w:rPr>
                <w:rFonts w:ascii="Times New Roman" w:hAnsi="Times New Roman"/>
                <w:b/>
                <w:sz w:val="24"/>
                <w:szCs w:val="24"/>
              </w:rPr>
              <w:t>PIEDAD CORREAL RUBIANO</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del Quindío</w:t>
            </w:r>
          </w:p>
        </w:tc>
      </w:tr>
      <w:tr w:rsidR="00F112DD" w14:paraId="24B16119" w14:textId="77777777" w:rsidTr="000D6346">
        <w:tblPrEx>
          <w:tblLook w:val="04A0" w:firstRow="1" w:lastRow="0" w:firstColumn="1" w:lastColumn="0" w:noHBand="0" w:noVBand="1"/>
        </w:tblPrEx>
        <w:tc>
          <w:tcPr>
            <w:tcW w:w="4414" w:type="dxa"/>
          </w:tcPr>
          <w:p w14:paraId="4073B0B2" w14:textId="3CE74EEB" w:rsidR="00F112DD" w:rsidRPr="000D6346" w:rsidRDefault="000D6346" w:rsidP="000D6346">
            <w:pPr>
              <w:jc w:val="center"/>
              <w:rPr>
                <w:rFonts w:ascii="Times New Roman" w:hAnsi="Times New Roman"/>
                <w:b/>
                <w:sz w:val="24"/>
                <w:szCs w:val="24"/>
              </w:rPr>
            </w:pPr>
            <w:r w:rsidRPr="000D6346">
              <w:rPr>
                <w:rFonts w:ascii="Times New Roman" w:hAnsi="Times New Roman"/>
                <w:b/>
                <w:sz w:val="24"/>
                <w:szCs w:val="24"/>
              </w:rPr>
              <w:t>GERMÁN ROGELIO ROZO ANIS</w:t>
            </w:r>
            <w:r>
              <w:rPr>
                <w:rFonts w:ascii="Times New Roman" w:hAnsi="Times New Roman"/>
                <w:b/>
                <w:sz w:val="24"/>
                <w:szCs w:val="24"/>
              </w:rPr>
              <w:br/>
            </w:r>
            <w:r w:rsidR="001903A6">
              <w:rPr>
                <w:rFonts w:ascii="Times New Roman" w:hAnsi="Times New Roman"/>
                <w:sz w:val="24"/>
                <w:szCs w:val="24"/>
              </w:rPr>
              <w:t>Representante a la Cámara</w:t>
            </w:r>
            <w:r w:rsidR="001903A6">
              <w:rPr>
                <w:rFonts w:ascii="Times New Roman" w:hAnsi="Times New Roman"/>
                <w:b/>
                <w:sz w:val="24"/>
                <w:szCs w:val="24"/>
              </w:rPr>
              <w:br/>
            </w:r>
            <w:r w:rsidR="001903A6">
              <w:rPr>
                <w:rFonts w:ascii="Times New Roman" w:hAnsi="Times New Roman"/>
                <w:sz w:val="24"/>
                <w:szCs w:val="24"/>
              </w:rPr>
              <w:t xml:space="preserve">Departamento de </w:t>
            </w:r>
            <w:r>
              <w:rPr>
                <w:rFonts w:ascii="Times New Roman" w:hAnsi="Times New Roman"/>
                <w:sz w:val="24"/>
                <w:szCs w:val="24"/>
              </w:rPr>
              <w:t xml:space="preserve">Arauca </w:t>
            </w:r>
          </w:p>
        </w:tc>
        <w:tc>
          <w:tcPr>
            <w:tcW w:w="4414" w:type="dxa"/>
          </w:tcPr>
          <w:p w14:paraId="7AC64E28" w14:textId="095BE557" w:rsidR="000D6346" w:rsidRDefault="001903A6" w:rsidP="000D6346">
            <w:pPr>
              <w:jc w:val="center"/>
              <w:rPr>
                <w:rFonts w:ascii="Times New Roman" w:hAnsi="Times New Roman"/>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r>
      <w:tr w:rsidR="001903A6" w14:paraId="6AEBB92B" w14:textId="77777777" w:rsidTr="000D6346">
        <w:tblPrEx>
          <w:tblLook w:val="04A0" w:firstRow="1" w:lastRow="0" w:firstColumn="1" w:lastColumn="0" w:noHBand="0" w:noVBand="1"/>
        </w:tblPrEx>
        <w:tc>
          <w:tcPr>
            <w:tcW w:w="4414" w:type="dxa"/>
          </w:tcPr>
          <w:p w14:paraId="62C8F8A0" w14:textId="3BB4E264" w:rsidR="001903A6" w:rsidRDefault="000D6346" w:rsidP="000D6346">
            <w:pPr>
              <w:jc w:val="center"/>
              <w:rPr>
                <w:rFonts w:ascii="Times New Roman" w:hAnsi="Times New Roman"/>
                <w:sz w:val="24"/>
                <w:szCs w:val="24"/>
              </w:rPr>
            </w:pPr>
            <w:r w:rsidRPr="000D6346">
              <w:rPr>
                <w:rFonts w:ascii="Times New Roman" w:hAnsi="Times New Roman"/>
                <w:b/>
                <w:sz w:val="24"/>
                <w:szCs w:val="24"/>
              </w:rPr>
              <w:t>ÁLVARO LEONEL RUEDA CABALLERO</w:t>
            </w:r>
            <w:r>
              <w:rPr>
                <w:rFonts w:ascii="Times New Roman" w:hAnsi="Times New Roman"/>
                <w:sz w:val="24"/>
                <w:szCs w:val="24"/>
              </w:rPr>
              <w:br/>
            </w:r>
            <w:r w:rsidR="001903A6">
              <w:rPr>
                <w:rFonts w:ascii="Times New Roman" w:hAnsi="Times New Roman"/>
                <w:sz w:val="24"/>
                <w:szCs w:val="24"/>
              </w:rPr>
              <w:t>Representante a la Cámara</w:t>
            </w:r>
            <w:r w:rsidR="001903A6">
              <w:rPr>
                <w:rFonts w:ascii="Times New Roman" w:hAnsi="Times New Roman"/>
                <w:b/>
                <w:sz w:val="24"/>
                <w:szCs w:val="24"/>
              </w:rPr>
              <w:br/>
            </w:r>
            <w:r w:rsidR="001903A6">
              <w:rPr>
                <w:rFonts w:ascii="Times New Roman" w:hAnsi="Times New Roman"/>
                <w:sz w:val="24"/>
                <w:szCs w:val="24"/>
              </w:rPr>
              <w:t xml:space="preserve">Departamento del </w:t>
            </w:r>
            <w:r>
              <w:rPr>
                <w:rFonts w:ascii="Times New Roman" w:hAnsi="Times New Roman"/>
                <w:sz w:val="24"/>
                <w:szCs w:val="24"/>
              </w:rPr>
              <w:t>Santander</w:t>
            </w:r>
          </w:p>
        </w:tc>
        <w:tc>
          <w:tcPr>
            <w:tcW w:w="4414" w:type="dxa"/>
          </w:tcPr>
          <w:p w14:paraId="52F70E48" w14:textId="1B252E8D" w:rsidR="001903A6" w:rsidRDefault="000D6346" w:rsidP="00430F8A">
            <w:pPr>
              <w:jc w:val="center"/>
              <w:rPr>
                <w:rFonts w:ascii="Times New Roman" w:hAnsi="Times New Roman"/>
                <w:sz w:val="24"/>
                <w:szCs w:val="24"/>
              </w:rPr>
            </w:pPr>
            <w:r w:rsidRPr="000D6346">
              <w:rPr>
                <w:rFonts w:ascii="Times New Roman" w:hAnsi="Times New Roman"/>
                <w:b/>
                <w:sz w:val="24"/>
                <w:szCs w:val="24"/>
              </w:rPr>
              <w:t xml:space="preserve">HÉCTOR DAVID CHAPARRO </w:t>
            </w:r>
            <w:proofErr w:type="spellStart"/>
            <w:r w:rsidRPr="000D6346">
              <w:rPr>
                <w:rFonts w:ascii="Times New Roman" w:hAnsi="Times New Roman"/>
                <w:b/>
                <w:sz w:val="24"/>
                <w:szCs w:val="24"/>
              </w:rPr>
              <w:t>CHAPARRO</w:t>
            </w:r>
            <w:proofErr w:type="spellEnd"/>
            <w:r>
              <w:rPr>
                <w:rFonts w:ascii="Times New Roman" w:hAnsi="Times New Roman"/>
                <w:sz w:val="24"/>
                <w:szCs w:val="24"/>
              </w:rPr>
              <w:t xml:space="preserve"> </w:t>
            </w:r>
            <w:r>
              <w:rPr>
                <w:rFonts w:ascii="Times New Roman" w:hAnsi="Times New Roman"/>
                <w:sz w:val="24"/>
                <w:szCs w:val="24"/>
              </w:rPr>
              <w:br/>
            </w:r>
            <w:r w:rsidR="001903A6">
              <w:rPr>
                <w:rFonts w:ascii="Times New Roman" w:hAnsi="Times New Roman"/>
                <w:sz w:val="24"/>
                <w:szCs w:val="24"/>
              </w:rPr>
              <w:t>Representante a la Cámara</w:t>
            </w:r>
            <w:r w:rsidR="001903A6">
              <w:rPr>
                <w:rFonts w:ascii="Times New Roman" w:hAnsi="Times New Roman"/>
                <w:b/>
                <w:sz w:val="24"/>
                <w:szCs w:val="24"/>
              </w:rPr>
              <w:br/>
            </w:r>
            <w:r w:rsidR="001903A6">
              <w:rPr>
                <w:rFonts w:ascii="Times New Roman" w:hAnsi="Times New Roman"/>
                <w:sz w:val="24"/>
                <w:szCs w:val="24"/>
              </w:rPr>
              <w:t xml:space="preserve">Departamento </w:t>
            </w:r>
            <w:proofErr w:type="spellStart"/>
            <w:r w:rsidR="001903A6">
              <w:rPr>
                <w:rFonts w:ascii="Times New Roman" w:hAnsi="Times New Roman"/>
                <w:sz w:val="24"/>
                <w:szCs w:val="24"/>
              </w:rPr>
              <w:t>del</w:t>
            </w:r>
            <w:proofErr w:type="spellEnd"/>
            <w:r w:rsidR="001903A6">
              <w:rPr>
                <w:rFonts w:ascii="Times New Roman" w:hAnsi="Times New Roman"/>
                <w:sz w:val="24"/>
                <w:szCs w:val="24"/>
              </w:rPr>
              <w:t xml:space="preserve"> </w:t>
            </w:r>
            <w:r w:rsidR="00430F8A">
              <w:rPr>
                <w:rFonts w:ascii="Times New Roman" w:hAnsi="Times New Roman"/>
                <w:sz w:val="24"/>
                <w:szCs w:val="24"/>
              </w:rPr>
              <w:t>Boyacá</w:t>
            </w:r>
          </w:p>
        </w:tc>
      </w:tr>
    </w:tbl>
    <w:p w14:paraId="0491EE09" w14:textId="77777777" w:rsidR="00EF4FF9" w:rsidRDefault="00EF4FF9">
      <w:pPr>
        <w:spacing w:before="240" w:after="240"/>
        <w:jc w:val="center"/>
        <w:rPr>
          <w:rFonts w:ascii="Times New Roman" w:hAnsi="Times New Roman"/>
          <w:b/>
          <w:sz w:val="24"/>
          <w:szCs w:val="24"/>
        </w:rPr>
      </w:pPr>
    </w:p>
    <w:p w14:paraId="6D6592B4" w14:textId="7EDEBC7A" w:rsidR="00EF4FF9" w:rsidRDefault="00EF4FF9">
      <w:pPr>
        <w:spacing w:before="240" w:after="240"/>
        <w:jc w:val="center"/>
        <w:rPr>
          <w:rFonts w:ascii="Times New Roman" w:hAnsi="Times New Roman"/>
          <w:b/>
          <w:sz w:val="24"/>
          <w:szCs w:val="24"/>
        </w:rPr>
      </w:pPr>
    </w:p>
    <w:p w14:paraId="41F18011" w14:textId="68CAEDCE" w:rsidR="001A3137" w:rsidRDefault="001A3137">
      <w:pPr>
        <w:spacing w:before="240" w:after="240"/>
        <w:jc w:val="center"/>
        <w:rPr>
          <w:rFonts w:ascii="Times New Roman" w:hAnsi="Times New Roman"/>
          <w:b/>
          <w:sz w:val="24"/>
          <w:szCs w:val="24"/>
        </w:rPr>
      </w:pPr>
    </w:p>
    <w:p w14:paraId="4C11EBAD" w14:textId="668B1EA4" w:rsidR="001A3137" w:rsidRDefault="001A3137">
      <w:pPr>
        <w:spacing w:before="240" w:after="240"/>
        <w:jc w:val="center"/>
        <w:rPr>
          <w:rFonts w:ascii="Times New Roman" w:hAnsi="Times New Roman"/>
          <w:b/>
          <w:sz w:val="24"/>
          <w:szCs w:val="24"/>
        </w:rPr>
      </w:pPr>
    </w:p>
    <w:p w14:paraId="02236EC5" w14:textId="245D3257" w:rsidR="001A3137" w:rsidRDefault="001A3137">
      <w:pPr>
        <w:spacing w:before="240" w:after="240"/>
        <w:jc w:val="center"/>
        <w:rPr>
          <w:rFonts w:ascii="Times New Roman" w:hAnsi="Times New Roman"/>
          <w:b/>
          <w:sz w:val="24"/>
          <w:szCs w:val="24"/>
        </w:rPr>
      </w:pPr>
    </w:p>
    <w:p w14:paraId="266104FB" w14:textId="7308E5B3" w:rsidR="001A3137" w:rsidRDefault="001A3137">
      <w:pPr>
        <w:spacing w:before="240" w:after="240"/>
        <w:jc w:val="center"/>
        <w:rPr>
          <w:rFonts w:ascii="Times New Roman" w:hAnsi="Times New Roman"/>
          <w:b/>
          <w:sz w:val="24"/>
          <w:szCs w:val="24"/>
        </w:rPr>
      </w:pPr>
    </w:p>
    <w:p w14:paraId="37610009" w14:textId="1F4B246D" w:rsidR="001A3137" w:rsidRDefault="001A3137">
      <w:pPr>
        <w:spacing w:before="240" w:after="240"/>
        <w:jc w:val="center"/>
        <w:rPr>
          <w:rFonts w:ascii="Times New Roman" w:hAnsi="Times New Roman"/>
          <w:b/>
          <w:sz w:val="24"/>
          <w:szCs w:val="24"/>
        </w:rPr>
      </w:pPr>
    </w:p>
    <w:p w14:paraId="20C12432" w14:textId="2C96474A" w:rsidR="001A3137" w:rsidRDefault="001A3137">
      <w:pPr>
        <w:spacing w:before="240" w:after="240"/>
        <w:jc w:val="center"/>
        <w:rPr>
          <w:rFonts w:ascii="Times New Roman" w:hAnsi="Times New Roman"/>
          <w:b/>
          <w:sz w:val="24"/>
          <w:szCs w:val="24"/>
        </w:rPr>
      </w:pPr>
    </w:p>
    <w:p w14:paraId="1C39B368" w14:textId="6CA4683B" w:rsidR="001A3137" w:rsidRDefault="001A3137">
      <w:pPr>
        <w:spacing w:before="240" w:after="240"/>
        <w:jc w:val="center"/>
        <w:rPr>
          <w:rFonts w:ascii="Times New Roman" w:hAnsi="Times New Roman"/>
          <w:b/>
          <w:sz w:val="24"/>
          <w:szCs w:val="24"/>
        </w:rPr>
      </w:pPr>
    </w:p>
    <w:p w14:paraId="7A3F9C43" w14:textId="77777777" w:rsidR="001A3137" w:rsidRDefault="001A3137">
      <w:pPr>
        <w:spacing w:before="240" w:after="240"/>
        <w:jc w:val="center"/>
        <w:rPr>
          <w:rFonts w:ascii="Times New Roman" w:hAnsi="Times New Roman"/>
          <w:b/>
          <w:sz w:val="24"/>
          <w:szCs w:val="24"/>
        </w:rPr>
      </w:pPr>
    </w:p>
    <w:p w14:paraId="342652A0" w14:textId="77777777" w:rsidR="00EF4FF9" w:rsidRDefault="000D6346">
      <w:pPr>
        <w:spacing w:before="240" w:after="240"/>
        <w:jc w:val="center"/>
        <w:rPr>
          <w:rFonts w:ascii="Times New Roman" w:hAnsi="Times New Roman"/>
          <w:b/>
          <w:sz w:val="24"/>
          <w:szCs w:val="24"/>
        </w:rPr>
      </w:pPr>
      <w:r>
        <w:rPr>
          <w:rFonts w:ascii="Times New Roman" w:hAnsi="Times New Roman"/>
          <w:b/>
          <w:sz w:val="24"/>
          <w:szCs w:val="24"/>
        </w:rPr>
        <w:lastRenderedPageBreak/>
        <w:t>EXPOSICIÓN DE MOTIVOS</w:t>
      </w:r>
    </w:p>
    <w:p w14:paraId="3D3C9C77" w14:textId="77777777" w:rsidR="00EF4FF9" w:rsidRDefault="000D6346">
      <w:pPr>
        <w:numPr>
          <w:ilvl w:val="0"/>
          <w:numId w:val="4"/>
        </w:numPr>
        <w:pBdr>
          <w:top w:val="nil"/>
          <w:left w:val="nil"/>
          <w:bottom w:val="nil"/>
          <w:right w:val="nil"/>
          <w:between w:val="nil"/>
        </w:pBdr>
        <w:spacing w:before="240" w:after="240"/>
        <w:jc w:val="both"/>
        <w:rPr>
          <w:rFonts w:ascii="Times New Roman" w:hAnsi="Times New Roman"/>
          <w:b/>
          <w:color w:val="000000"/>
          <w:sz w:val="24"/>
          <w:szCs w:val="24"/>
        </w:rPr>
      </w:pPr>
      <w:r>
        <w:rPr>
          <w:rFonts w:ascii="Times New Roman" w:hAnsi="Times New Roman"/>
          <w:b/>
          <w:color w:val="000000"/>
          <w:sz w:val="24"/>
          <w:szCs w:val="24"/>
        </w:rPr>
        <w:t>INTRODUCCIÓN</w:t>
      </w:r>
    </w:p>
    <w:p w14:paraId="594B60FD"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El presente proyecto de ley apunta a que se tipifique como un delito el acceder carnalmente a otra persona durante una relación sexual tras retirar el preservativo o condón del miembro viril sin el consentimiento verbal explícito de la misma. Así mismo, se considerará como acoso sexual el causar contacto entre el miembro viril del que se haya retirado un condón o preservativo sin consentimiento y la parte íntima de otra persona. </w:t>
      </w:r>
    </w:p>
    <w:p w14:paraId="3BD4A8FF" w14:textId="77777777" w:rsidR="00EF4FF9" w:rsidRDefault="000D6346">
      <w:pPr>
        <w:spacing w:before="240" w:after="240"/>
        <w:jc w:val="both"/>
        <w:rPr>
          <w:rFonts w:ascii="Times New Roman" w:hAnsi="Times New Roman"/>
          <w:sz w:val="24"/>
          <w:szCs w:val="24"/>
        </w:rPr>
      </w:pPr>
      <w:bookmarkStart w:id="4" w:name="_heading=h.2et92p0" w:colFirst="0" w:colLast="0"/>
      <w:bookmarkEnd w:id="4"/>
      <w:r>
        <w:rPr>
          <w:rFonts w:ascii="Times New Roman" w:hAnsi="Times New Roman"/>
          <w:sz w:val="24"/>
          <w:szCs w:val="24"/>
        </w:rPr>
        <w:t>Esta práctica – denominada “</w:t>
      </w:r>
      <w:proofErr w:type="spellStart"/>
      <w:r>
        <w:rPr>
          <w:rFonts w:ascii="Times New Roman" w:hAnsi="Times New Roman"/>
          <w:sz w:val="24"/>
          <w:szCs w:val="24"/>
        </w:rPr>
        <w:t>stealthing</w:t>
      </w:r>
      <w:proofErr w:type="spellEnd"/>
      <w:r>
        <w:rPr>
          <w:rFonts w:ascii="Times New Roman" w:hAnsi="Times New Roman"/>
          <w:sz w:val="24"/>
          <w:szCs w:val="24"/>
        </w:rPr>
        <w:t xml:space="preserve">” en inglés – ha cobrado visibilidad en los últimos años considerando que diferentes personas la han sufrido al tener relaciones sexuales con sus parejas. La evidencia muestra que esto representa una vulneración del consentimiento y que supone un aumento en el riesgo de contagio de enfermedades de transmisión sexual y del embarazo no deseado. Por esto, se propone al Congreso de la República crear un tipo penal autónomo de retiro del condón o preservativo sin consentimiento y se agregue un parágrafo que considere la conducta como acoso sexual cuando esta práctica no implique acceso carnal. </w:t>
      </w:r>
    </w:p>
    <w:p w14:paraId="6864055E"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Por lo tanto, esta exposición de motivos se desarrolla de la siguiente manera. En la siguiente sección, se presenta el contexto y la justificación de la iniciativa. Esto incluye la definición de la misma y la cifras que se encuentran al respecto. Posteriormente, se mostrará cómo se han aproximado diferentes Estados a la situación y qué medidas se han tomado. Finalmente, se señala y se justifica la propuesta de regulación. </w:t>
      </w:r>
    </w:p>
    <w:p w14:paraId="602ED2F8" w14:textId="77777777" w:rsidR="00EF4FF9" w:rsidRDefault="000D6346">
      <w:pPr>
        <w:numPr>
          <w:ilvl w:val="0"/>
          <w:numId w:val="4"/>
        </w:numPr>
        <w:pBdr>
          <w:top w:val="nil"/>
          <w:left w:val="nil"/>
          <w:bottom w:val="nil"/>
          <w:right w:val="nil"/>
          <w:between w:val="nil"/>
        </w:pBdr>
        <w:spacing w:before="240" w:after="240"/>
        <w:jc w:val="both"/>
        <w:rPr>
          <w:rFonts w:ascii="Times New Roman" w:hAnsi="Times New Roman"/>
          <w:b/>
          <w:color w:val="000000"/>
          <w:sz w:val="24"/>
          <w:szCs w:val="24"/>
        </w:rPr>
      </w:pPr>
      <w:r>
        <w:rPr>
          <w:rFonts w:ascii="Times New Roman" w:hAnsi="Times New Roman"/>
          <w:b/>
          <w:color w:val="000000"/>
          <w:sz w:val="24"/>
          <w:szCs w:val="24"/>
        </w:rPr>
        <w:t xml:space="preserve">CONTEXTO Y JUSTIFICACIÓN </w:t>
      </w:r>
    </w:p>
    <w:p w14:paraId="7F605C8A"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Se ha nombrado como </w:t>
      </w:r>
      <w:proofErr w:type="spellStart"/>
      <w:r>
        <w:rPr>
          <w:rFonts w:ascii="Times New Roman" w:hAnsi="Times New Roman"/>
          <w:sz w:val="24"/>
          <w:szCs w:val="24"/>
        </w:rPr>
        <w:t>stealthing</w:t>
      </w:r>
      <w:proofErr w:type="spellEnd"/>
      <w:r>
        <w:rPr>
          <w:rFonts w:ascii="Times New Roman" w:hAnsi="Times New Roman"/>
          <w:sz w:val="24"/>
          <w:szCs w:val="24"/>
        </w:rPr>
        <w:t xml:space="preserve"> – anglicismo que podría traducirse como “sigilosamente” o “</w:t>
      </w:r>
      <w:proofErr w:type="spellStart"/>
      <w:r>
        <w:rPr>
          <w:rFonts w:ascii="Times New Roman" w:hAnsi="Times New Roman"/>
          <w:sz w:val="24"/>
          <w:szCs w:val="24"/>
        </w:rPr>
        <w:t>sigilosiando</w:t>
      </w:r>
      <w:proofErr w:type="spellEnd"/>
      <w:r>
        <w:rPr>
          <w:rFonts w:ascii="Times New Roman" w:hAnsi="Times New Roman"/>
          <w:sz w:val="24"/>
          <w:szCs w:val="24"/>
        </w:rPr>
        <w:t>” – a la práctica en la que durante una relación sexual consentida que implica coito, se retira el preservativo o condón del miembro viril sin el consentimiento de la otra persona y se continua con la relación sexual. Esta ha cobrado visibilidad especialmente a través de testimonios de víctimas y perpetradores a través de redes sociales.</w:t>
      </w:r>
    </w:p>
    <w:p w14:paraId="2ECB2247"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En Colombia no existen estudios que permiten observar la incidencia de esta conducta. Existen, en todo caso, algunos estudios realizados en otros países y que permiten darle una dimensión cuantitativa. En ese sentido, un estudio realizado en 503 en mujeres de entre 21 y 30 años respecto a la resistencia del uso del condón concluyó que un 12% de las participantes habían sido víctimas de esta práctica. El estudio afirma, en todo caso, que los datos pueden </w:t>
      </w:r>
      <w:r>
        <w:rPr>
          <w:rFonts w:ascii="Times New Roman" w:hAnsi="Times New Roman"/>
          <w:sz w:val="24"/>
          <w:szCs w:val="24"/>
        </w:rPr>
        <w:lastRenderedPageBreak/>
        <w:t xml:space="preserve">subestimar la ocurrencia de esta práctica, considerando que el retiro del condón sin consentimiento puede ocurrir sin el conocimiento de la víctima (Davis, </w:t>
      </w:r>
      <w:proofErr w:type="spellStart"/>
      <w:r>
        <w:rPr>
          <w:rFonts w:ascii="Times New Roman" w:hAnsi="Times New Roman"/>
          <w:sz w:val="24"/>
          <w:szCs w:val="24"/>
        </w:rPr>
        <w:t>Stappenbeck</w:t>
      </w:r>
      <w:proofErr w:type="spellEnd"/>
      <w:r>
        <w:rPr>
          <w:rFonts w:ascii="Times New Roman" w:hAnsi="Times New Roman"/>
          <w:sz w:val="24"/>
          <w:szCs w:val="24"/>
        </w:rPr>
        <w:t xml:space="preserve">, Masters &amp; George; 2019). </w:t>
      </w:r>
    </w:p>
    <w:p w14:paraId="41EED948"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Otro estudio adelantado en 626 hombres jóvenes reporta que al menos el 10% de los participantes aceptó haber retirado su condón sin consentimiento alguna vez desde los 14 años, con un promedio de 3,62 veces. Así mismo, el estudio señala que es más probable que realicen la práctica los hombres con actitudes agresivas contra mujeres, o que reportan antecedentes de agresión sexual (Davis; 2019). En todo caso, debe tenerse en cuenta que la práctica no sólo afecta a mujeres, considerando que también se han reportado casos en que las víctimas son hombres. </w:t>
      </w:r>
    </w:p>
    <w:p w14:paraId="031270AF"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Alexandra Brodsky, investigadora de Centro Nacional del </w:t>
      </w:r>
      <w:proofErr w:type="spellStart"/>
      <w:r>
        <w:rPr>
          <w:rFonts w:ascii="Times New Roman" w:hAnsi="Times New Roman"/>
          <w:sz w:val="24"/>
          <w:szCs w:val="24"/>
        </w:rPr>
        <w:t>National</w:t>
      </w:r>
      <w:proofErr w:type="spellEnd"/>
      <w:r>
        <w:rPr>
          <w:rFonts w:ascii="Times New Roman" w:hAnsi="Times New Roman"/>
          <w:sz w:val="24"/>
          <w:szCs w:val="24"/>
        </w:rPr>
        <w:t xml:space="preserve"> </w:t>
      </w:r>
      <w:proofErr w:type="spellStart"/>
      <w:r>
        <w:rPr>
          <w:rFonts w:ascii="Times New Roman" w:hAnsi="Times New Roman"/>
          <w:sz w:val="24"/>
          <w:szCs w:val="24"/>
        </w:rPr>
        <w:t>Women’s</w:t>
      </w:r>
      <w:proofErr w:type="spellEnd"/>
      <w:r>
        <w:rPr>
          <w:rFonts w:ascii="Times New Roman" w:hAnsi="Times New Roman"/>
          <w:sz w:val="24"/>
          <w:szCs w:val="24"/>
        </w:rPr>
        <w:t xml:space="preserve"> </w:t>
      </w:r>
      <w:proofErr w:type="spellStart"/>
      <w:r>
        <w:rPr>
          <w:rFonts w:ascii="Times New Roman" w:hAnsi="Times New Roman"/>
          <w:sz w:val="24"/>
          <w:szCs w:val="24"/>
        </w:rPr>
        <w:t>Law</w:t>
      </w:r>
      <w:proofErr w:type="spellEnd"/>
      <w:r>
        <w:rPr>
          <w:rFonts w:ascii="Times New Roman" w:hAnsi="Times New Roman"/>
          <w:sz w:val="24"/>
          <w:szCs w:val="24"/>
        </w:rPr>
        <w:t xml:space="preserve"> Center de Estados Unidos, afirma que esta “(…) práctica pone a las parejas en riesgo de embarazos no deseados y enfermedades de transmisión sexual (ETS) y, las sobrevivientes explican, se siente como una violación de la confianza y una negación de la autonomía, no muy diferente de una </w:t>
      </w:r>
      <w:proofErr w:type="gramStart"/>
      <w:r>
        <w:rPr>
          <w:rFonts w:ascii="Times New Roman" w:hAnsi="Times New Roman"/>
          <w:sz w:val="24"/>
          <w:szCs w:val="24"/>
        </w:rPr>
        <w:t>violación”  (</w:t>
      </w:r>
      <w:proofErr w:type="gramEnd"/>
      <w:r>
        <w:rPr>
          <w:rFonts w:ascii="Times New Roman" w:hAnsi="Times New Roman"/>
          <w:sz w:val="24"/>
          <w:szCs w:val="24"/>
        </w:rPr>
        <w:t>2016). En ese mismo sentido, Brodsky (2016) señala que el retiro del condón o preservativo al que se hace referencia debe considerarse como por fuera del consentimiento dado inicialmente para la relación sexual considerando que el contacto de la piel con un condón es un acto físicamente diferente al contacto con la piel de un pene, por lo que requiere un consentimiento diferente. Es esta consideración – la vulneración del consentimiento – lo que sugiere la necesidad de una respuesta penal al considerarlo una conducta que no debe ser tolerada socialmente.</w:t>
      </w:r>
    </w:p>
    <w:p w14:paraId="75798EA9" w14:textId="77777777" w:rsidR="00EF4FF9" w:rsidRDefault="000D6346">
      <w:pPr>
        <w:spacing w:before="240" w:after="240"/>
        <w:jc w:val="both"/>
        <w:rPr>
          <w:rFonts w:ascii="Times New Roman" w:hAnsi="Times New Roman"/>
          <w:b/>
          <w:sz w:val="24"/>
          <w:szCs w:val="24"/>
        </w:rPr>
      </w:pPr>
      <w:r>
        <w:rPr>
          <w:rFonts w:ascii="Times New Roman" w:hAnsi="Times New Roman"/>
          <w:b/>
          <w:sz w:val="24"/>
          <w:szCs w:val="24"/>
        </w:rPr>
        <w:t xml:space="preserve">III.   APROXIMACIÓN EN OTROS ESTADOS AL STEALTHING      </w:t>
      </w:r>
    </w:p>
    <w:p w14:paraId="5362E63A"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A continuación, se presenta las aproximaciones legales y judiciales que otros países han tenido al </w:t>
      </w:r>
      <w:proofErr w:type="spellStart"/>
      <w:r>
        <w:rPr>
          <w:rFonts w:ascii="Times New Roman" w:hAnsi="Times New Roman"/>
          <w:sz w:val="24"/>
          <w:szCs w:val="24"/>
        </w:rPr>
        <w:t>stealthing</w:t>
      </w:r>
      <w:proofErr w:type="spellEnd"/>
      <w:r>
        <w:rPr>
          <w:rFonts w:ascii="Times New Roman" w:hAnsi="Times New Roman"/>
          <w:sz w:val="24"/>
          <w:szCs w:val="24"/>
        </w:rPr>
        <w:t xml:space="preserve">. Los países que se analizan son Chile, Estados Unidos, Australia, Nueva Zelanda y Reino Unido. </w:t>
      </w:r>
    </w:p>
    <w:p w14:paraId="14272128" w14:textId="77777777" w:rsidR="00EF4FF9" w:rsidRDefault="000D6346">
      <w:pPr>
        <w:numPr>
          <w:ilvl w:val="0"/>
          <w:numId w:val="2"/>
        </w:numPr>
        <w:pBdr>
          <w:top w:val="nil"/>
          <w:left w:val="nil"/>
          <w:bottom w:val="nil"/>
          <w:right w:val="nil"/>
          <w:between w:val="nil"/>
        </w:pBdr>
        <w:jc w:val="both"/>
        <w:rPr>
          <w:rFonts w:ascii="Times New Roman" w:hAnsi="Times New Roman"/>
          <w:b/>
          <w:color w:val="000000"/>
          <w:sz w:val="24"/>
          <w:szCs w:val="24"/>
        </w:rPr>
      </w:pPr>
      <w:r>
        <w:rPr>
          <w:rFonts w:ascii="Times New Roman" w:hAnsi="Times New Roman"/>
          <w:b/>
          <w:color w:val="000000"/>
          <w:sz w:val="24"/>
          <w:szCs w:val="24"/>
        </w:rPr>
        <w:t xml:space="preserve">Chile </w:t>
      </w:r>
    </w:p>
    <w:p w14:paraId="3C2FA617" w14:textId="77777777" w:rsidR="00EF4FF9" w:rsidRDefault="000D6346">
      <w:pPr>
        <w:jc w:val="both"/>
        <w:rPr>
          <w:rFonts w:ascii="Times New Roman" w:hAnsi="Times New Roman"/>
          <w:sz w:val="24"/>
          <w:szCs w:val="24"/>
        </w:rPr>
      </w:pPr>
      <w:r>
        <w:rPr>
          <w:rFonts w:ascii="Times New Roman" w:hAnsi="Times New Roman"/>
          <w:sz w:val="24"/>
          <w:szCs w:val="24"/>
        </w:rPr>
        <w:t>En Chile se presentó un proyecto de ley que tiene el mismo objetivo que este. La redacción presentada establece un tipo autónomo según el cual, “(e)l que, sin el consentimiento de la víctima, remueva el preservativo durante las relaciones sexuales, será castigado con la pena de presidio menor en su grado mínimo” (</w:t>
      </w:r>
      <w:proofErr w:type="spellStart"/>
      <w:r>
        <w:rPr>
          <w:rFonts w:ascii="Times New Roman" w:hAnsi="Times New Roman"/>
          <w:sz w:val="24"/>
          <w:szCs w:val="24"/>
        </w:rPr>
        <w:t>Orsini</w:t>
      </w:r>
      <w:proofErr w:type="spellEnd"/>
      <w:r>
        <w:rPr>
          <w:rFonts w:ascii="Times New Roman" w:hAnsi="Times New Roman"/>
          <w:sz w:val="24"/>
          <w:szCs w:val="24"/>
        </w:rPr>
        <w:t xml:space="preserve"> et al., 2021). Esto, de acuerdo con el proyecto </w:t>
      </w:r>
      <w:r>
        <w:rPr>
          <w:rFonts w:ascii="Times New Roman" w:hAnsi="Times New Roman"/>
          <w:sz w:val="24"/>
          <w:szCs w:val="24"/>
        </w:rPr>
        <w:lastRenderedPageBreak/>
        <w:t xml:space="preserve">de ley, se traduce en una pena de privación de la libertad de entre 61 y 540 días, o sea con un máximo de poco menos que un año y medio. </w:t>
      </w:r>
    </w:p>
    <w:p w14:paraId="0B03A0CB" w14:textId="77777777" w:rsidR="00EF4FF9" w:rsidRDefault="000D6346">
      <w:pPr>
        <w:jc w:val="both"/>
        <w:rPr>
          <w:rFonts w:ascii="Times New Roman" w:hAnsi="Times New Roman"/>
          <w:sz w:val="24"/>
          <w:szCs w:val="24"/>
        </w:rPr>
      </w:pPr>
      <w:r>
        <w:rPr>
          <w:rFonts w:ascii="Times New Roman" w:hAnsi="Times New Roman"/>
          <w:sz w:val="24"/>
          <w:szCs w:val="24"/>
        </w:rPr>
        <w:t>Las diputadas llaman la atención sobre los mismos elementos ya expresados en este exposición de motivos para esta propuesta: “(…) la lesividad de la práctica en las personas con una eventual transmisión sexual o los efectos adversos en su salud mental que el acto puede producir (…)” y que “(…) se debe considerar como una forma de agresión a la autonomía sexual, en la medida en que, a pesar de ser una relación sexual consentida, no existió el consentimiento para remover el condón” (</w:t>
      </w:r>
      <w:proofErr w:type="spellStart"/>
      <w:r>
        <w:rPr>
          <w:rFonts w:ascii="Times New Roman" w:hAnsi="Times New Roman"/>
          <w:sz w:val="24"/>
          <w:szCs w:val="24"/>
        </w:rPr>
        <w:t>Orsini</w:t>
      </w:r>
      <w:proofErr w:type="spellEnd"/>
      <w:r>
        <w:rPr>
          <w:rFonts w:ascii="Times New Roman" w:hAnsi="Times New Roman"/>
          <w:sz w:val="24"/>
          <w:szCs w:val="24"/>
        </w:rPr>
        <w:t xml:space="preserve"> et al., 2021).</w:t>
      </w:r>
    </w:p>
    <w:p w14:paraId="253C3675" w14:textId="77777777" w:rsidR="00EF4FF9" w:rsidRDefault="000D6346">
      <w:pPr>
        <w:numPr>
          <w:ilvl w:val="0"/>
          <w:numId w:val="2"/>
        </w:numPr>
        <w:pBdr>
          <w:top w:val="nil"/>
          <w:left w:val="nil"/>
          <w:bottom w:val="nil"/>
          <w:right w:val="nil"/>
          <w:between w:val="nil"/>
        </w:pBdr>
        <w:jc w:val="both"/>
        <w:rPr>
          <w:rFonts w:ascii="Times New Roman" w:hAnsi="Times New Roman"/>
          <w:b/>
          <w:color w:val="000000"/>
          <w:sz w:val="24"/>
          <w:szCs w:val="24"/>
        </w:rPr>
      </w:pPr>
      <w:r>
        <w:rPr>
          <w:rFonts w:ascii="Times New Roman" w:hAnsi="Times New Roman"/>
          <w:b/>
          <w:color w:val="000000"/>
          <w:sz w:val="24"/>
          <w:szCs w:val="24"/>
        </w:rPr>
        <w:t xml:space="preserve">EE.UU. </w:t>
      </w:r>
    </w:p>
    <w:p w14:paraId="1201EE83" w14:textId="77777777" w:rsidR="00EF4FF9" w:rsidRDefault="000D6346">
      <w:pPr>
        <w:jc w:val="both"/>
        <w:rPr>
          <w:rFonts w:ascii="Times New Roman" w:hAnsi="Times New Roman"/>
          <w:sz w:val="24"/>
          <w:szCs w:val="24"/>
        </w:rPr>
      </w:pPr>
      <w:r>
        <w:rPr>
          <w:rFonts w:ascii="Times New Roman" w:hAnsi="Times New Roman"/>
          <w:sz w:val="24"/>
          <w:szCs w:val="24"/>
        </w:rPr>
        <w:t>En California se aprobó una reforma estatal en la que se considera como “</w:t>
      </w:r>
      <w:r>
        <w:rPr>
          <w:rFonts w:ascii="Times New Roman" w:hAnsi="Times New Roman"/>
          <w:i/>
          <w:sz w:val="24"/>
          <w:szCs w:val="24"/>
        </w:rPr>
        <w:t xml:space="preserve">sexual </w:t>
      </w:r>
      <w:proofErr w:type="spellStart"/>
      <w:r>
        <w:rPr>
          <w:rFonts w:ascii="Times New Roman" w:hAnsi="Times New Roman"/>
          <w:i/>
          <w:sz w:val="24"/>
          <w:szCs w:val="24"/>
        </w:rPr>
        <w:t>battery</w:t>
      </w:r>
      <w:proofErr w:type="spellEnd"/>
      <w:r>
        <w:rPr>
          <w:rFonts w:ascii="Times New Roman" w:hAnsi="Times New Roman"/>
          <w:i/>
          <w:sz w:val="24"/>
          <w:szCs w:val="24"/>
        </w:rPr>
        <w:t xml:space="preserve">” </w:t>
      </w:r>
      <w:r>
        <w:rPr>
          <w:rFonts w:ascii="Times New Roman" w:hAnsi="Times New Roman"/>
          <w:sz w:val="24"/>
          <w:szCs w:val="24"/>
        </w:rPr>
        <w:t xml:space="preserve">– traducido como “agresión sexual” – dos tipos de conductas: </w:t>
      </w:r>
    </w:p>
    <w:p w14:paraId="6F27E06B" w14:textId="77777777" w:rsidR="00EF4FF9" w:rsidRDefault="000D6346">
      <w:pPr>
        <w:numPr>
          <w:ilvl w:val="0"/>
          <w:numId w:val="1"/>
        </w:numPr>
        <w:pBdr>
          <w:top w:val="nil"/>
          <w:left w:val="nil"/>
          <w:bottom w:val="nil"/>
          <w:right w:val="nil"/>
          <w:between w:val="nil"/>
        </w:pBdr>
        <w:spacing w:after="0" w:line="259" w:lineRule="auto"/>
        <w:jc w:val="both"/>
        <w:rPr>
          <w:rFonts w:ascii="Times New Roman" w:hAnsi="Times New Roman"/>
          <w:color w:val="000000"/>
          <w:sz w:val="24"/>
          <w:szCs w:val="24"/>
        </w:rPr>
      </w:pPr>
      <w:r>
        <w:rPr>
          <w:rFonts w:ascii="Times New Roman" w:hAnsi="Times New Roman"/>
          <w:color w:val="000000"/>
          <w:sz w:val="24"/>
          <w:szCs w:val="24"/>
        </w:rPr>
        <w:t xml:space="preserve">Causar contacto entre un órgano sexual, del cual ha sido retirado un condón, y la parte de íntima de otra persona que no consistió verbalmente que el condón fuera retirado; </w:t>
      </w:r>
    </w:p>
    <w:p w14:paraId="67D957FD" w14:textId="77777777" w:rsidR="00EF4FF9" w:rsidRDefault="000D6346">
      <w:pPr>
        <w:numPr>
          <w:ilvl w:val="0"/>
          <w:numId w:val="1"/>
        </w:numPr>
        <w:pBdr>
          <w:top w:val="nil"/>
          <w:left w:val="nil"/>
          <w:bottom w:val="nil"/>
          <w:right w:val="nil"/>
          <w:between w:val="nil"/>
        </w:pBdr>
        <w:spacing w:after="160" w:line="259" w:lineRule="auto"/>
        <w:jc w:val="both"/>
        <w:rPr>
          <w:rFonts w:ascii="Times New Roman" w:hAnsi="Times New Roman"/>
          <w:color w:val="000000"/>
          <w:sz w:val="24"/>
          <w:szCs w:val="24"/>
        </w:rPr>
      </w:pPr>
      <w:r>
        <w:rPr>
          <w:rFonts w:ascii="Times New Roman" w:hAnsi="Times New Roman"/>
          <w:color w:val="000000"/>
          <w:sz w:val="24"/>
          <w:szCs w:val="24"/>
        </w:rPr>
        <w:t>y causar contacto entre la parte íntima de una persona y el órgano sexual de otro al que la persona removió un condón sin su consentimiento verbal</w:t>
      </w:r>
      <w:r>
        <w:rPr>
          <w:rFonts w:ascii="Times New Roman" w:hAnsi="Times New Roman"/>
          <w:color w:val="000000"/>
          <w:sz w:val="24"/>
          <w:szCs w:val="24"/>
          <w:vertAlign w:val="superscript"/>
        </w:rPr>
        <w:footnoteReference w:id="1"/>
      </w:r>
      <w:r>
        <w:rPr>
          <w:rFonts w:ascii="Times New Roman" w:hAnsi="Times New Roman"/>
          <w:color w:val="000000"/>
          <w:sz w:val="24"/>
          <w:szCs w:val="24"/>
        </w:rPr>
        <w:t xml:space="preserve"> (California </w:t>
      </w:r>
      <w:proofErr w:type="spellStart"/>
      <w:r>
        <w:rPr>
          <w:rFonts w:ascii="Times New Roman" w:hAnsi="Times New Roman"/>
          <w:color w:val="000000"/>
          <w:sz w:val="24"/>
          <w:szCs w:val="24"/>
        </w:rPr>
        <w:t>Legislative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Information</w:t>
      </w:r>
      <w:proofErr w:type="spellEnd"/>
      <w:r>
        <w:rPr>
          <w:rFonts w:ascii="Times New Roman" w:hAnsi="Times New Roman"/>
          <w:color w:val="000000"/>
          <w:sz w:val="24"/>
          <w:szCs w:val="24"/>
        </w:rPr>
        <w:t xml:space="preserve">, 2021). </w:t>
      </w:r>
    </w:p>
    <w:p w14:paraId="18116D23" w14:textId="77777777" w:rsidR="00EF4FF9" w:rsidRDefault="000D6346">
      <w:pPr>
        <w:jc w:val="both"/>
        <w:rPr>
          <w:rFonts w:ascii="Times New Roman" w:hAnsi="Times New Roman"/>
          <w:sz w:val="24"/>
          <w:szCs w:val="24"/>
        </w:rPr>
      </w:pPr>
      <w:r>
        <w:rPr>
          <w:rFonts w:ascii="Times New Roman" w:hAnsi="Times New Roman"/>
          <w:sz w:val="24"/>
          <w:szCs w:val="24"/>
        </w:rPr>
        <w:t>En EE.UU. las conductas calificadas como “</w:t>
      </w:r>
      <w:r>
        <w:rPr>
          <w:rFonts w:ascii="Times New Roman" w:hAnsi="Times New Roman"/>
          <w:i/>
          <w:sz w:val="24"/>
          <w:szCs w:val="24"/>
        </w:rPr>
        <w:t xml:space="preserve">sexual </w:t>
      </w:r>
      <w:proofErr w:type="spellStart"/>
      <w:r>
        <w:rPr>
          <w:rFonts w:ascii="Times New Roman" w:hAnsi="Times New Roman"/>
          <w:i/>
          <w:sz w:val="24"/>
          <w:szCs w:val="24"/>
        </w:rPr>
        <w:t>battery</w:t>
      </w:r>
      <w:proofErr w:type="spellEnd"/>
      <w:r>
        <w:rPr>
          <w:rFonts w:ascii="Times New Roman" w:hAnsi="Times New Roman"/>
          <w:i/>
          <w:sz w:val="24"/>
          <w:szCs w:val="24"/>
        </w:rPr>
        <w:t xml:space="preserve">” </w:t>
      </w:r>
      <w:r>
        <w:rPr>
          <w:rFonts w:ascii="Times New Roman" w:hAnsi="Times New Roman"/>
          <w:sz w:val="24"/>
          <w:szCs w:val="24"/>
        </w:rPr>
        <w:t>– “agresión sexual” – son aquellas en que hay un contacto no consentido del cuerpo de otra persona para la satisfacción sexual del agresor. La aproximación de California implica la facilidad para acceder a una reparación por la vía civil, y no establece la conducta como un delito (</w:t>
      </w:r>
      <w:proofErr w:type="spellStart"/>
      <w:r>
        <w:rPr>
          <w:rFonts w:ascii="Times New Roman" w:hAnsi="Times New Roman"/>
          <w:sz w:val="24"/>
          <w:szCs w:val="24"/>
        </w:rPr>
        <w:t>Nakase</w:t>
      </w:r>
      <w:proofErr w:type="spellEnd"/>
      <w:r>
        <w:rPr>
          <w:rFonts w:ascii="Times New Roman" w:hAnsi="Times New Roman"/>
          <w:sz w:val="24"/>
          <w:szCs w:val="24"/>
        </w:rPr>
        <w:t xml:space="preserve"> </w:t>
      </w:r>
      <w:proofErr w:type="spellStart"/>
      <w:r>
        <w:rPr>
          <w:rFonts w:ascii="Times New Roman" w:hAnsi="Times New Roman"/>
          <w:sz w:val="24"/>
          <w:szCs w:val="24"/>
        </w:rPr>
        <w:t>Law</w:t>
      </w:r>
      <w:proofErr w:type="spellEnd"/>
      <w:r>
        <w:rPr>
          <w:rFonts w:ascii="Times New Roman" w:hAnsi="Times New Roman"/>
          <w:sz w:val="24"/>
          <w:szCs w:val="24"/>
        </w:rPr>
        <w:t xml:space="preserve"> </w:t>
      </w:r>
      <w:proofErr w:type="spellStart"/>
      <w:r>
        <w:rPr>
          <w:rFonts w:ascii="Times New Roman" w:hAnsi="Times New Roman"/>
          <w:sz w:val="24"/>
          <w:szCs w:val="24"/>
        </w:rPr>
        <w:t>Firm</w:t>
      </w:r>
      <w:proofErr w:type="spellEnd"/>
      <w:r>
        <w:rPr>
          <w:rFonts w:ascii="Times New Roman" w:hAnsi="Times New Roman"/>
          <w:sz w:val="24"/>
          <w:szCs w:val="24"/>
        </w:rPr>
        <w:t xml:space="preserve">, s.f.). </w:t>
      </w:r>
    </w:p>
    <w:p w14:paraId="6F94A497" w14:textId="77777777" w:rsidR="00EF4FF9" w:rsidRDefault="000D6346">
      <w:pPr>
        <w:jc w:val="both"/>
        <w:rPr>
          <w:rFonts w:ascii="Times New Roman" w:hAnsi="Times New Roman"/>
          <w:sz w:val="24"/>
          <w:szCs w:val="24"/>
        </w:rPr>
      </w:pPr>
      <w:r>
        <w:rPr>
          <w:rFonts w:ascii="Times New Roman" w:hAnsi="Times New Roman"/>
          <w:sz w:val="24"/>
          <w:szCs w:val="24"/>
        </w:rPr>
        <w:t xml:space="preserve">Actualmente, cursa en proyecto que busca abordar el fenómeno a nivel federal, de manera que “(…) cualquier persona podrá iniciar una acción civil contra la persona que (…) emprenda un retiro no consentido de una barrera de protección sexual”. La novedad de la propuesta está en que busca ampliar el espectro de protección: por un lado, considera la posibilidad de que la </w:t>
      </w:r>
      <w:r>
        <w:rPr>
          <w:rFonts w:ascii="Times New Roman" w:hAnsi="Times New Roman"/>
          <w:i/>
          <w:sz w:val="24"/>
          <w:szCs w:val="24"/>
        </w:rPr>
        <w:t xml:space="preserve">barrera de protección sexual </w:t>
      </w:r>
      <w:r>
        <w:rPr>
          <w:rFonts w:ascii="Times New Roman" w:hAnsi="Times New Roman"/>
          <w:sz w:val="24"/>
          <w:szCs w:val="24"/>
        </w:rPr>
        <w:t xml:space="preserve">no sea únicamente un preservativo o </w:t>
      </w:r>
      <w:r>
        <w:rPr>
          <w:rFonts w:ascii="Times New Roman" w:hAnsi="Times New Roman"/>
          <w:sz w:val="24"/>
          <w:szCs w:val="24"/>
        </w:rPr>
        <w:lastRenderedPageBreak/>
        <w:t>condón; y, por otro, considera la posibilidad de que el condón no esté únicamente en un órgano sexual masculino sino también, por ejemplo, en un objeto como un juguete sexual</w:t>
      </w:r>
      <w:r>
        <w:rPr>
          <w:rFonts w:ascii="Times New Roman" w:hAnsi="Times New Roman"/>
          <w:sz w:val="24"/>
          <w:szCs w:val="24"/>
          <w:vertAlign w:val="superscript"/>
        </w:rPr>
        <w:footnoteReference w:id="2"/>
      </w:r>
      <w:r>
        <w:rPr>
          <w:rFonts w:ascii="Times New Roman" w:hAnsi="Times New Roman"/>
          <w:sz w:val="24"/>
          <w:szCs w:val="24"/>
        </w:rPr>
        <w:t xml:space="preserve">. </w:t>
      </w:r>
    </w:p>
    <w:p w14:paraId="347B1CA2" w14:textId="77777777" w:rsidR="00EF4FF9" w:rsidRDefault="000D6346">
      <w:pPr>
        <w:numPr>
          <w:ilvl w:val="0"/>
          <w:numId w:val="2"/>
        </w:numPr>
        <w:pBdr>
          <w:top w:val="nil"/>
          <w:left w:val="nil"/>
          <w:bottom w:val="nil"/>
          <w:right w:val="nil"/>
          <w:between w:val="nil"/>
        </w:pBdr>
        <w:jc w:val="both"/>
        <w:rPr>
          <w:rFonts w:ascii="Times New Roman" w:hAnsi="Times New Roman"/>
          <w:b/>
          <w:color w:val="000000"/>
          <w:sz w:val="24"/>
          <w:szCs w:val="24"/>
        </w:rPr>
      </w:pPr>
      <w:r>
        <w:rPr>
          <w:rFonts w:ascii="Times New Roman" w:hAnsi="Times New Roman"/>
          <w:b/>
          <w:color w:val="000000"/>
          <w:sz w:val="24"/>
          <w:szCs w:val="24"/>
        </w:rPr>
        <w:t xml:space="preserve">Australia </w:t>
      </w:r>
    </w:p>
    <w:p w14:paraId="72063C5A" w14:textId="77777777" w:rsidR="00EF4FF9" w:rsidRDefault="000D6346">
      <w:pPr>
        <w:jc w:val="both"/>
        <w:rPr>
          <w:rFonts w:ascii="Times New Roman" w:hAnsi="Times New Roman"/>
          <w:sz w:val="24"/>
          <w:szCs w:val="24"/>
        </w:rPr>
      </w:pPr>
      <w:r>
        <w:rPr>
          <w:rFonts w:ascii="Times New Roman" w:hAnsi="Times New Roman"/>
          <w:sz w:val="24"/>
          <w:szCs w:val="24"/>
        </w:rPr>
        <w:t xml:space="preserve">Una investigación de </w:t>
      </w:r>
      <w:proofErr w:type="spellStart"/>
      <w:r>
        <w:rPr>
          <w:rFonts w:ascii="Times New Roman" w:hAnsi="Times New Roman"/>
          <w:sz w:val="24"/>
          <w:szCs w:val="24"/>
        </w:rPr>
        <w:t>Chesser</w:t>
      </w:r>
      <w:proofErr w:type="spellEnd"/>
      <w:r>
        <w:rPr>
          <w:rFonts w:ascii="Times New Roman" w:hAnsi="Times New Roman"/>
          <w:sz w:val="24"/>
          <w:szCs w:val="24"/>
        </w:rPr>
        <w:t xml:space="preserve"> &amp; </w:t>
      </w:r>
      <w:proofErr w:type="spellStart"/>
      <w:r>
        <w:rPr>
          <w:rFonts w:ascii="Times New Roman" w:hAnsi="Times New Roman"/>
          <w:sz w:val="24"/>
          <w:szCs w:val="24"/>
        </w:rPr>
        <w:t>Zahra</w:t>
      </w:r>
      <w:proofErr w:type="spellEnd"/>
      <w:r>
        <w:rPr>
          <w:rFonts w:ascii="Times New Roman" w:hAnsi="Times New Roman"/>
          <w:sz w:val="24"/>
          <w:szCs w:val="24"/>
        </w:rPr>
        <w:t xml:space="preserve"> (2019), analizando la legislación australiana en la materia, sugieren como el mejor curso de acción la creación de un tipo autónomo que criminalice el retiro no consentido del preservativo. Reconocen que esta aproximación tiene el riesgo de que reste importancia a la conducta, toda vez que puede interpretarse como </w:t>
      </w:r>
      <w:r>
        <w:rPr>
          <w:rFonts w:ascii="Times New Roman" w:hAnsi="Times New Roman"/>
          <w:i/>
          <w:sz w:val="24"/>
          <w:szCs w:val="24"/>
        </w:rPr>
        <w:t>menos grave</w:t>
      </w:r>
      <w:r>
        <w:rPr>
          <w:rFonts w:ascii="Times New Roman" w:hAnsi="Times New Roman"/>
          <w:sz w:val="24"/>
          <w:szCs w:val="24"/>
        </w:rPr>
        <w:t xml:space="preserve"> que otras conductas de agresión sexual, y que, </w:t>
      </w:r>
      <w:r>
        <w:rPr>
          <w:rFonts w:ascii="Times New Roman" w:hAnsi="Times New Roman"/>
          <w:i/>
          <w:sz w:val="24"/>
          <w:szCs w:val="24"/>
        </w:rPr>
        <w:t>aunque mala, no es una acción tan mala</w:t>
      </w:r>
      <w:r>
        <w:rPr>
          <w:rFonts w:ascii="Times New Roman" w:hAnsi="Times New Roman"/>
          <w:sz w:val="24"/>
          <w:szCs w:val="24"/>
        </w:rPr>
        <w:t xml:space="preserve">. Sin embargo, se afirma que el beneficio de esta aproximación es garantizar que no haya una confusión entre esta y otras prácticas contra la integridad sexual. </w:t>
      </w:r>
    </w:p>
    <w:p w14:paraId="7446502A" w14:textId="77777777" w:rsidR="00EF4FF9" w:rsidRDefault="000D6346">
      <w:pPr>
        <w:jc w:val="both"/>
        <w:rPr>
          <w:rFonts w:ascii="Times New Roman" w:hAnsi="Times New Roman"/>
          <w:sz w:val="24"/>
          <w:szCs w:val="24"/>
        </w:rPr>
      </w:pPr>
      <w:r>
        <w:rPr>
          <w:rFonts w:ascii="Times New Roman" w:hAnsi="Times New Roman"/>
          <w:sz w:val="24"/>
          <w:szCs w:val="24"/>
        </w:rPr>
        <w:t>El 14 de otubre del 2021 entró en vigencia una modificación a la legislación penal en el Territorio de la Capital Australiana, modificando la lista no exhaustiva de casos en que se vulnera el consentimiento de una persona para relaciones (Buchanan, K., 2021). En ese sentido, se establece que una persona no consintió un acto cuando “(…) participa en el acto por una tergiversación por otra persona respecto al uso de un condón”</w:t>
      </w:r>
      <w:r>
        <w:rPr>
          <w:rFonts w:ascii="Times New Roman" w:hAnsi="Times New Roman"/>
          <w:sz w:val="24"/>
          <w:szCs w:val="24"/>
          <w:vertAlign w:val="superscript"/>
        </w:rPr>
        <w:footnoteReference w:id="3"/>
      </w:r>
      <w:r>
        <w:rPr>
          <w:rFonts w:ascii="Times New Roman" w:hAnsi="Times New Roman"/>
          <w:sz w:val="24"/>
          <w:szCs w:val="24"/>
        </w:rPr>
        <w:t xml:space="preserve"> (</w:t>
      </w:r>
      <w:proofErr w:type="spellStart"/>
      <w:r>
        <w:rPr>
          <w:rFonts w:ascii="Times New Roman" w:hAnsi="Times New Roman"/>
          <w:sz w:val="24"/>
          <w:szCs w:val="24"/>
        </w:rPr>
        <w:t>Australian</w:t>
      </w:r>
      <w:proofErr w:type="spellEnd"/>
      <w:r>
        <w:rPr>
          <w:rFonts w:ascii="Times New Roman" w:hAnsi="Times New Roman"/>
          <w:sz w:val="24"/>
          <w:szCs w:val="24"/>
        </w:rPr>
        <w:t xml:space="preserve"> Capital </w:t>
      </w:r>
      <w:proofErr w:type="spellStart"/>
      <w:r>
        <w:rPr>
          <w:rFonts w:ascii="Times New Roman" w:hAnsi="Times New Roman"/>
          <w:sz w:val="24"/>
          <w:szCs w:val="24"/>
        </w:rPr>
        <w:t>Territory</w:t>
      </w:r>
      <w:proofErr w:type="spellEnd"/>
      <w:r>
        <w:rPr>
          <w:rFonts w:ascii="Times New Roman" w:hAnsi="Times New Roman"/>
          <w:sz w:val="24"/>
          <w:szCs w:val="24"/>
        </w:rPr>
        <w:t>, 2022).</w:t>
      </w:r>
    </w:p>
    <w:p w14:paraId="487E44AF" w14:textId="77777777" w:rsidR="00EF4FF9" w:rsidRDefault="000D6346">
      <w:pPr>
        <w:numPr>
          <w:ilvl w:val="0"/>
          <w:numId w:val="2"/>
        </w:numPr>
        <w:pBdr>
          <w:top w:val="nil"/>
          <w:left w:val="nil"/>
          <w:bottom w:val="nil"/>
          <w:right w:val="nil"/>
          <w:between w:val="nil"/>
        </w:pBdr>
        <w:jc w:val="both"/>
        <w:rPr>
          <w:rFonts w:ascii="Times New Roman" w:hAnsi="Times New Roman"/>
          <w:b/>
          <w:color w:val="000000"/>
          <w:sz w:val="24"/>
          <w:szCs w:val="24"/>
        </w:rPr>
      </w:pPr>
      <w:r>
        <w:rPr>
          <w:rFonts w:ascii="Times New Roman" w:hAnsi="Times New Roman"/>
          <w:b/>
          <w:color w:val="000000"/>
          <w:sz w:val="24"/>
          <w:szCs w:val="24"/>
        </w:rPr>
        <w:t xml:space="preserve">Nueva Zelanda </w:t>
      </w:r>
    </w:p>
    <w:p w14:paraId="2F1DB6EE" w14:textId="77777777" w:rsidR="00EF4FF9" w:rsidRDefault="000D6346">
      <w:pPr>
        <w:jc w:val="both"/>
        <w:rPr>
          <w:rFonts w:ascii="Times New Roman" w:hAnsi="Times New Roman"/>
          <w:sz w:val="24"/>
          <w:szCs w:val="24"/>
        </w:rPr>
      </w:pPr>
      <w:r>
        <w:rPr>
          <w:rFonts w:ascii="Times New Roman" w:hAnsi="Times New Roman"/>
          <w:sz w:val="24"/>
          <w:szCs w:val="24"/>
        </w:rPr>
        <w:t>En Nueva Zelanda un hombre fue condenado por el delito equivalente a acceso carnal violento al removerse el preservativo sin consentimiento durante una relación sexual consensuada con una trabajadora sexual (</w:t>
      </w:r>
      <w:proofErr w:type="spellStart"/>
      <w:r>
        <w:rPr>
          <w:rFonts w:ascii="Times New Roman" w:hAnsi="Times New Roman"/>
          <w:sz w:val="24"/>
          <w:szCs w:val="24"/>
        </w:rPr>
        <w:t>Adetunji</w:t>
      </w:r>
      <w:proofErr w:type="spellEnd"/>
      <w:r>
        <w:rPr>
          <w:rFonts w:ascii="Times New Roman" w:hAnsi="Times New Roman"/>
          <w:sz w:val="24"/>
          <w:szCs w:val="24"/>
        </w:rPr>
        <w:t xml:space="preserve">, 2021). Este, que representa la primera condena en el país al respecto, muestra una aproximación diferente a las anteriormente mencionadas, toda vez que se procesa la conducta de manera equivalente a una violación y sin modificar o crear normas. </w:t>
      </w:r>
    </w:p>
    <w:p w14:paraId="21FF9BA2" w14:textId="77777777" w:rsidR="00EF4FF9" w:rsidRDefault="000D6346">
      <w:pPr>
        <w:numPr>
          <w:ilvl w:val="0"/>
          <w:numId w:val="2"/>
        </w:numPr>
        <w:pBdr>
          <w:top w:val="nil"/>
          <w:left w:val="nil"/>
          <w:bottom w:val="nil"/>
          <w:right w:val="nil"/>
          <w:between w:val="nil"/>
        </w:pBdr>
        <w:jc w:val="both"/>
        <w:rPr>
          <w:rFonts w:ascii="Times New Roman" w:hAnsi="Times New Roman"/>
          <w:b/>
          <w:color w:val="000000"/>
          <w:sz w:val="24"/>
          <w:szCs w:val="24"/>
        </w:rPr>
      </w:pPr>
      <w:r>
        <w:rPr>
          <w:rFonts w:ascii="Times New Roman" w:hAnsi="Times New Roman"/>
          <w:b/>
          <w:color w:val="000000"/>
          <w:sz w:val="24"/>
          <w:szCs w:val="24"/>
        </w:rPr>
        <w:t>Reino Unido</w:t>
      </w:r>
    </w:p>
    <w:p w14:paraId="66026127" w14:textId="77777777" w:rsidR="00EF4FF9" w:rsidRDefault="000D6346">
      <w:pPr>
        <w:jc w:val="both"/>
        <w:rPr>
          <w:rFonts w:ascii="Times New Roman" w:hAnsi="Times New Roman"/>
          <w:sz w:val="24"/>
          <w:szCs w:val="24"/>
        </w:rPr>
      </w:pPr>
      <w:r>
        <w:rPr>
          <w:rFonts w:ascii="Times New Roman" w:hAnsi="Times New Roman"/>
          <w:sz w:val="24"/>
          <w:szCs w:val="24"/>
        </w:rPr>
        <w:lastRenderedPageBreak/>
        <w:t>En Reino Unido ha habido una tendencia similar a la de Nueva Zelanda en la casuística: el retiro no consentido del condón se ha tramitado como una violación, es decir como acceso carnal violento. En al menos dos casos se ha fallado considerando que el consentimiento inicial para la relación sexual estaba condicionado al uso de un condón o preservativo (</w:t>
      </w:r>
      <w:proofErr w:type="spellStart"/>
      <w:r>
        <w:rPr>
          <w:rFonts w:ascii="Times New Roman" w:hAnsi="Times New Roman"/>
          <w:sz w:val="24"/>
          <w:szCs w:val="24"/>
        </w:rPr>
        <w:t>The</w:t>
      </w:r>
      <w:proofErr w:type="spellEnd"/>
      <w:r>
        <w:rPr>
          <w:rFonts w:ascii="Times New Roman" w:hAnsi="Times New Roman"/>
          <w:sz w:val="24"/>
          <w:szCs w:val="24"/>
        </w:rPr>
        <w:t xml:space="preserve"> Crown </w:t>
      </w:r>
      <w:proofErr w:type="spellStart"/>
      <w:r>
        <w:rPr>
          <w:rFonts w:ascii="Times New Roman" w:hAnsi="Times New Roman"/>
          <w:sz w:val="24"/>
          <w:szCs w:val="24"/>
        </w:rPr>
        <w:t>Prosecution</w:t>
      </w:r>
      <w:proofErr w:type="spellEnd"/>
      <w:r>
        <w:rPr>
          <w:rFonts w:ascii="Times New Roman" w:hAnsi="Times New Roman"/>
          <w:sz w:val="24"/>
          <w:szCs w:val="24"/>
        </w:rPr>
        <w:t xml:space="preserve"> </w:t>
      </w:r>
      <w:proofErr w:type="spellStart"/>
      <w:r>
        <w:rPr>
          <w:rFonts w:ascii="Times New Roman" w:hAnsi="Times New Roman"/>
          <w:sz w:val="24"/>
          <w:szCs w:val="24"/>
        </w:rPr>
        <w:t>Service</w:t>
      </w:r>
      <w:proofErr w:type="spellEnd"/>
      <w:r>
        <w:rPr>
          <w:rFonts w:ascii="Times New Roman" w:hAnsi="Times New Roman"/>
          <w:sz w:val="24"/>
          <w:szCs w:val="24"/>
        </w:rPr>
        <w:t xml:space="preserve">, s.f.). </w:t>
      </w:r>
    </w:p>
    <w:p w14:paraId="04560411" w14:textId="77777777" w:rsidR="00EF4FF9" w:rsidRDefault="000D6346">
      <w:pPr>
        <w:spacing w:before="240" w:after="240"/>
        <w:jc w:val="both"/>
        <w:rPr>
          <w:rFonts w:ascii="Times New Roman" w:hAnsi="Times New Roman"/>
          <w:b/>
          <w:sz w:val="24"/>
          <w:szCs w:val="24"/>
        </w:rPr>
      </w:pPr>
      <w:r>
        <w:rPr>
          <w:rFonts w:ascii="Times New Roman" w:hAnsi="Times New Roman"/>
          <w:b/>
          <w:sz w:val="24"/>
          <w:szCs w:val="24"/>
        </w:rPr>
        <w:t>IV. MEDIDAS PROPUESTAS Y EVIDENCIA</w:t>
      </w:r>
    </w:p>
    <w:p w14:paraId="72E6AD0E" w14:textId="77777777" w:rsidR="00EF4FF9" w:rsidRDefault="000D6346">
      <w:pPr>
        <w:jc w:val="both"/>
        <w:rPr>
          <w:rFonts w:ascii="Times New Roman" w:hAnsi="Times New Roman"/>
          <w:sz w:val="24"/>
          <w:szCs w:val="24"/>
        </w:rPr>
      </w:pPr>
      <w:r>
        <w:rPr>
          <w:rFonts w:ascii="Times New Roman" w:hAnsi="Times New Roman"/>
          <w:sz w:val="24"/>
          <w:szCs w:val="24"/>
        </w:rPr>
        <w:t>Considerando el análisis anterior, la propuesta que se realiza en esta ley tiene los siguientes elementos:</w:t>
      </w:r>
    </w:p>
    <w:p w14:paraId="1689EAB9" w14:textId="77777777" w:rsidR="00EF4FF9" w:rsidRDefault="000D6346">
      <w:pPr>
        <w:numPr>
          <w:ilvl w:val="0"/>
          <w:numId w:val="3"/>
        </w:numPr>
        <w:pBdr>
          <w:top w:val="nil"/>
          <w:left w:val="nil"/>
          <w:bottom w:val="nil"/>
          <w:right w:val="nil"/>
          <w:between w:val="nil"/>
        </w:pBdr>
        <w:spacing w:after="0" w:line="259" w:lineRule="auto"/>
        <w:jc w:val="both"/>
        <w:rPr>
          <w:rFonts w:ascii="Times New Roman" w:hAnsi="Times New Roman"/>
          <w:color w:val="000000"/>
          <w:sz w:val="24"/>
          <w:szCs w:val="24"/>
        </w:rPr>
      </w:pPr>
      <w:r>
        <w:rPr>
          <w:rFonts w:ascii="Times New Roman" w:hAnsi="Times New Roman"/>
          <w:color w:val="000000"/>
          <w:sz w:val="24"/>
          <w:szCs w:val="24"/>
        </w:rPr>
        <w:t xml:space="preserve">El retiro no consentido del condón en una relación sexual implica una vulneración al consentimiento inicialmente prestado para la misma. </w:t>
      </w:r>
    </w:p>
    <w:p w14:paraId="43FE7FC4" w14:textId="77777777" w:rsidR="00EF4FF9" w:rsidRDefault="000D6346">
      <w:pPr>
        <w:numPr>
          <w:ilvl w:val="0"/>
          <w:numId w:val="3"/>
        </w:numPr>
        <w:pBdr>
          <w:top w:val="nil"/>
          <w:left w:val="nil"/>
          <w:bottom w:val="nil"/>
          <w:right w:val="nil"/>
          <w:between w:val="nil"/>
        </w:pBdr>
        <w:spacing w:after="0" w:line="259" w:lineRule="auto"/>
        <w:jc w:val="both"/>
        <w:rPr>
          <w:rFonts w:ascii="Times New Roman" w:hAnsi="Times New Roman"/>
          <w:color w:val="000000"/>
          <w:sz w:val="24"/>
          <w:szCs w:val="24"/>
        </w:rPr>
      </w:pPr>
      <w:r>
        <w:rPr>
          <w:rFonts w:ascii="Times New Roman" w:hAnsi="Times New Roman"/>
          <w:color w:val="000000"/>
          <w:sz w:val="24"/>
          <w:szCs w:val="24"/>
        </w:rPr>
        <w:t xml:space="preserve">Esa vulneración del consentimiento de considerarse como diferente de la que se da en un caso de acceso carnal violento. </w:t>
      </w:r>
    </w:p>
    <w:p w14:paraId="157863C3" w14:textId="77777777" w:rsidR="00EF4FF9" w:rsidRDefault="000D6346">
      <w:pPr>
        <w:numPr>
          <w:ilvl w:val="0"/>
          <w:numId w:val="3"/>
        </w:numPr>
        <w:pBdr>
          <w:top w:val="nil"/>
          <w:left w:val="nil"/>
          <w:bottom w:val="nil"/>
          <w:right w:val="nil"/>
          <w:between w:val="nil"/>
        </w:pBdr>
        <w:spacing w:after="0" w:line="259" w:lineRule="auto"/>
        <w:jc w:val="both"/>
        <w:rPr>
          <w:rFonts w:ascii="Times New Roman" w:hAnsi="Times New Roman"/>
          <w:color w:val="000000"/>
          <w:sz w:val="24"/>
          <w:szCs w:val="24"/>
        </w:rPr>
      </w:pPr>
      <w:r>
        <w:rPr>
          <w:rFonts w:ascii="Times New Roman" w:hAnsi="Times New Roman"/>
          <w:color w:val="000000"/>
          <w:sz w:val="24"/>
          <w:szCs w:val="24"/>
        </w:rPr>
        <w:t xml:space="preserve">El retiro del condón durante una relación sexual puede materializarse tanto cuando haya contacto como cuando haya acceso carnal. Ambas condutas deben quedar proscritas y asignárseles un desvalor diferente. </w:t>
      </w:r>
    </w:p>
    <w:p w14:paraId="4697F659" w14:textId="77777777" w:rsidR="00EF4FF9" w:rsidRDefault="000D6346">
      <w:pPr>
        <w:numPr>
          <w:ilvl w:val="0"/>
          <w:numId w:val="3"/>
        </w:numPr>
        <w:pBdr>
          <w:top w:val="nil"/>
          <w:left w:val="nil"/>
          <w:bottom w:val="nil"/>
          <w:right w:val="nil"/>
          <w:between w:val="nil"/>
        </w:pBdr>
        <w:spacing w:after="0" w:line="259" w:lineRule="auto"/>
        <w:jc w:val="both"/>
        <w:rPr>
          <w:rFonts w:ascii="Times New Roman" w:hAnsi="Times New Roman"/>
          <w:color w:val="000000"/>
          <w:sz w:val="24"/>
          <w:szCs w:val="24"/>
        </w:rPr>
      </w:pPr>
      <w:r>
        <w:rPr>
          <w:rFonts w:ascii="Times New Roman" w:hAnsi="Times New Roman"/>
          <w:color w:val="000000"/>
          <w:sz w:val="24"/>
          <w:szCs w:val="24"/>
        </w:rPr>
        <w:t xml:space="preserve">La conducta puede ser cometida por hombres y mujeres. </w:t>
      </w:r>
    </w:p>
    <w:p w14:paraId="4ED28B40" w14:textId="77777777" w:rsidR="00EF4FF9" w:rsidRDefault="000D6346">
      <w:pPr>
        <w:numPr>
          <w:ilvl w:val="0"/>
          <w:numId w:val="3"/>
        </w:numPr>
        <w:pBdr>
          <w:top w:val="nil"/>
          <w:left w:val="nil"/>
          <w:bottom w:val="nil"/>
          <w:right w:val="nil"/>
          <w:between w:val="nil"/>
        </w:pBdr>
        <w:spacing w:after="160" w:line="259" w:lineRule="auto"/>
        <w:jc w:val="both"/>
        <w:rPr>
          <w:rFonts w:ascii="Times New Roman" w:hAnsi="Times New Roman"/>
          <w:color w:val="000000"/>
          <w:sz w:val="24"/>
          <w:szCs w:val="24"/>
        </w:rPr>
      </w:pPr>
      <w:r>
        <w:rPr>
          <w:rFonts w:ascii="Times New Roman" w:hAnsi="Times New Roman"/>
          <w:color w:val="000000"/>
          <w:sz w:val="24"/>
          <w:szCs w:val="24"/>
        </w:rPr>
        <w:t xml:space="preserve">El condón o preservativo no es la única barrera que puede usarse en la relación sexual y que, al ser retirada sin consentimiento explícito, puede suponer un vicio al consentimiento. </w:t>
      </w:r>
    </w:p>
    <w:p w14:paraId="7E34E4B2" w14:textId="77777777" w:rsidR="00EF4FF9" w:rsidRDefault="000D6346">
      <w:pPr>
        <w:jc w:val="both"/>
        <w:rPr>
          <w:rFonts w:ascii="Times New Roman" w:hAnsi="Times New Roman"/>
          <w:sz w:val="24"/>
          <w:szCs w:val="24"/>
        </w:rPr>
      </w:pPr>
      <w:r>
        <w:rPr>
          <w:rFonts w:ascii="Times New Roman" w:hAnsi="Times New Roman"/>
          <w:sz w:val="24"/>
          <w:szCs w:val="24"/>
        </w:rPr>
        <w:t xml:space="preserve">En ese sentido: </w:t>
      </w:r>
    </w:p>
    <w:p w14:paraId="4E3687AF" w14:textId="77777777" w:rsidR="00EF4FF9" w:rsidRDefault="000D6346">
      <w:pPr>
        <w:jc w:val="both"/>
        <w:rPr>
          <w:rFonts w:ascii="Times New Roman" w:hAnsi="Times New Roman"/>
          <w:sz w:val="24"/>
          <w:szCs w:val="24"/>
        </w:rPr>
      </w:pPr>
      <w:r>
        <w:rPr>
          <w:rFonts w:ascii="Times New Roman" w:hAnsi="Times New Roman"/>
          <w:sz w:val="24"/>
          <w:szCs w:val="24"/>
        </w:rPr>
        <w:t xml:space="preserve">Si bien, como se mostró anteriormente, Reino Unido y Australia han optado a través de la jurisprudencia por procesar esta conducta como una violación (“rape”), es decir, como un acceso carnal violento; se propone optar por la visión de Brodsky (2016) y sugerida igualmente por </w:t>
      </w:r>
      <w:proofErr w:type="spellStart"/>
      <w:r>
        <w:rPr>
          <w:rFonts w:ascii="Times New Roman" w:hAnsi="Times New Roman"/>
          <w:sz w:val="24"/>
          <w:szCs w:val="24"/>
        </w:rPr>
        <w:t>Chesser</w:t>
      </w:r>
      <w:proofErr w:type="spellEnd"/>
      <w:r>
        <w:rPr>
          <w:rFonts w:ascii="Times New Roman" w:hAnsi="Times New Roman"/>
          <w:sz w:val="24"/>
          <w:szCs w:val="24"/>
        </w:rPr>
        <w:t xml:space="preserve"> &amp; </w:t>
      </w:r>
      <w:proofErr w:type="spellStart"/>
      <w:r>
        <w:rPr>
          <w:rFonts w:ascii="Times New Roman" w:hAnsi="Times New Roman"/>
          <w:sz w:val="24"/>
          <w:szCs w:val="24"/>
        </w:rPr>
        <w:t>Zahra</w:t>
      </w:r>
      <w:proofErr w:type="spellEnd"/>
      <w:r>
        <w:rPr>
          <w:rFonts w:ascii="Times New Roman" w:hAnsi="Times New Roman"/>
          <w:sz w:val="24"/>
          <w:szCs w:val="24"/>
        </w:rPr>
        <w:t xml:space="preserve"> (2019) respecto a cómo tratar la conducta: es decir, la creación de un tipo autónomo de retiro del preservativo o condón sin consentimiento. Esta aproximación cumple dos objetivos: en primer lugar, recoge el hecho de no asignar el mismo desvalor (en términos punitivos) al acceso carnal violento y al retiro del preservativo sin consentimiento; y redunda en una mayor prevención general negativo al establecer claramente que esa conducta se proscribe de manera explícita. </w:t>
      </w:r>
    </w:p>
    <w:p w14:paraId="1D002AB4" w14:textId="77777777" w:rsidR="00EF4FF9" w:rsidRDefault="000D6346">
      <w:pPr>
        <w:jc w:val="both"/>
        <w:rPr>
          <w:rFonts w:ascii="Times New Roman" w:hAnsi="Times New Roman"/>
          <w:sz w:val="24"/>
          <w:szCs w:val="24"/>
        </w:rPr>
      </w:pPr>
      <w:r>
        <w:rPr>
          <w:rFonts w:ascii="Times New Roman" w:hAnsi="Times New Roman"/>
          <w:sz w:val="24"/>
          <w:szCs w:val="24"/>
        </w:rPr>
        <w:t xml:space="preserve">Ahora, debe considerarse la redacción del proyecto análogo a nivel federal en Estados Unidos sobre la misma materia. Como se mencionó previamente, este amplia el rango de los elementos que se utilizan como protección durante una relación sexual, e introduce el </w:t>
      </w:r>
      <w:r>
        <w:rPr>
          <w:rFonts w:ascii="Times New Roman" w:hAnsi="Times New Roman"/>
          <w:sz w:val="24"/>
          <w:szCs w:val="24"/>
        </w:rPr>
        <w:lastRenderedPageBreak/>
        <w:t>concepto de “barrera de protección sexual”. Esto se refiere a los métodos anticonceptivos de barrera, que incluyen “(…) los condones (masculinos y femeninos), el diafragma, los capuchones cervicales y las esponjas anticonceptivas (…)” (</w:t>
      </w:r>
      <w:proofErr w:type="spellStart"/>
      <w:r>
        <w:rPr>
          <w:rFonts w:ascii="Times New Roman" w:hAnsi="Times New Roman"/>
          <w:sz w:val="24"/>
          <w:szCs w:val="24"/>
        </w:rPr>
        <w:t>Cigna</w:t>
      </w:r>
      <w:proofErr w:type="spellEnd"/>
      <w:r>
        <w:rPr>
          <w:rFonts w:ascii="Times New Roman" w:hAnsi="Times New Roman"/>
          <w:sz w:val="24"/>
          <w:szCs w:val="24"/>
        </w:rPr>
        <w:t xml:space="preserve">, s.f.), entre otros. Por lo tanto, vale la pena considerar agregar esta consideración a la redacción del artículo. </w:t>
      </w:r>
    </w:p>
    <w:p w14:paraId="2A7304F9" w14:textId="77777777" w:rsidR="00EF4FF9" w:rsidRDefault="000D6346">
      <w:pPr>
        <w:jc w:val="both"/>
        <w:rPr>
          <w:rFonts w:ascii="Times New Roman" w:hAnsi="Times New Roman"/>
          <w:sz w:val="24"/>
          <w:szCs w:val="24"/>
        </w:rPr>
      </w:pPr>
      <w:r>
        <w:rPr>
          <w:rFonts w:ascii="Times New Roman" w:hAnsi="Times New Roman"/>
          <w:sz w:val="24"/>
          <w:szCs w:val="24"/>
        </w:rPr>
        <w:t>En ese caso, la propuesta consiste en agregar un artículo 210-B al Código Penal, el cual tendría la siguiente redacción:</w:t>
      </w:r>
    </w:p>
    <w:p w14:paraId="1992862C" w14:textId="77777777" w:rsidR="00EF4FF9" w:rsidRDefault="000D6346">
      <w:pPr>
        <w:ind w:left="709" w:right="709"/>
        <w:jc w:val="both"/>
        <w:rPr>
          <w:rFonts w:ascii="Times New Roman" w:hAnsi="Times New Roman"/>
          <w:b/>
          <w:sz w:val="24"/>
          <w:szCs w:val="24"/>
        </w:rPr>
      </w:pPr>
      <w:r>
        <w:rPr>
          <w:rFonts w:ascii="Times New Roman" w:hAnsi="Times New Roman"/>
          <w:b/>
          <w:sz w:val="24"/>
          <w:szCs w:val="24"/>
        </w:rPr>
        <w:t>Artículo 210-B. Retiro del condón, preservativo o barrera de protección sexual sin consentimiento.</w:t>
      </w:r>
      <w:r>
        <w:rPr>
          <w:rFonts w:ascii="Times New Roman" w:hAnsi="Times New Roman"/>
          <w:sz w:val="24"/>
          <w:szCs w:val="24"/>
        </w:rPr>
        <w:t xml:space="preserve"> Quien durante el acto sexual realice acceso carnal tras retirar de manera consciente un condón o preservativo del miembro viril sin el consentimiento verbal explícito de la otra persona, incurrirá en prisión de dos (2) a cuatro (4) años. A la misma sanción estará sujeto quien continúe una relación sexual tras retirar sin el consentimiento verbal explícito de la otra persona cualquier barrera de protección sexual como un condón femenino, diafragma, capuchones cervicales o esponjas anticonceptivas, entre otros. </w:t>
      </w:r>
    </w:p>
    <w:p w14:paraId="253204ED" w14:textId="77777777" w:rsidR="00EF4FF9" w:rsidRDefault="000D6346">
      <w:pPr>
        <w:jc w:val="both"/>
        <w:rPr>
          <w:rFonts w:ascii="Times New Roman" w:hAnsi="Times New Roman"/>
          <w:sz w:val="24"/>
          <w:szCs w:val="24"/>
        </w:rPr>
      </w:pPr>
      <w:r>
        <w:rPr>
          <w:rFonts w:ascii="Times New Roman" w:hAnsi="Times New Roman"/>
          <w:sz w:val="24"/>
          <w:szCs w:val="24"/>
        </w:rPr>
        <w:t>Adicionalmente, considerando como se dijo previamente que el retiro del condón o barrera de protección sexual puede viciar el consentimiento cuando haya contacto y no sólo cuando haya acceso carnal, se propone recoger y adaptar la redacción utilizada por el Estado de California. En ese caso, se adapta la misma como un parágrafo de manera que dicha conducta sea considerada como un delito de acoso sexual. Por lo tanto, dicho parágrafo plantea lo siguiente:</w:t>
      </w:r>
    </w:p>
    <w:p w14:paraId="0AF3C1C1" w14:textId="77777777" w:rsidR="00EF4FF9" w:rsidRDefault="000D6346">
      <w:pPr>
        <w:ind w:left="709" w:right="709"/>
        <w:jc w:val="both"/>
        <w:rPr>
          <w:rFonts w:ascii="Times New Roman" w:hAnsi="Times New Roman"/>
          <w:sz w:val="24"/>
          <w:szCs w:val="24"/>
        </w:rPr>
      </w:pPr>
      <w:r>
        <w:rPr>
          <w:rFonts w:ascii="Times New Roman" w:hAnsi="Times New Roman"/>
          <w:b/>
          <w:sz w:val="24"/>
          <w:szCs w:val="24"/>
        </w:rPr>
        <w:t>Parágrafo.</w:t>
      </w:r>
      <w:r>
        <w:rPr>
          <w:rFonts w:ascii="Times New Roman" w:hAnsi="Times New Roman"/>
          <w:sz w:val="24"/>
          <w:szCs w:val="24"/>
        </w:rPr>
        <w:t xml:space="preserve"> A la misma pena quedará sometido quien conscientemente cause contacto entre su órgano sexual, del cual haya retirado un preservativo o condón, y la parte íntima de otra persona que no haya dado consentimiento verbal explícito para que el condón sea retirado; y la persona que cause contacto entre su parte íntima y el órgano sexual de otro a quien la persona le haya retirado un preservativo o condón sin su consentimiento verbal explícito. </w:t>
      </w:r>
    </w:p>
    <w:p w14:paraId="445CD1CB" w14:textId="77777777" w:rsidR="00EF4FF9" w:rsidRDefault="000D6346">
      <w:pPr>
        <w:jc w:val="both"/>
        <w:rPr>
          <w:rFonts w:ascii="Times New Roman" w:hAnsi="Times New Roman"/>
          <w:sz w:val="24"/>
          <w:szCs w:val="24"/>
        </w:rPr>
      </w:pPr>
      <w:r>
        <w:rPr>
          <w:rFonts w:ascii="Times New Roman" w:hAnsi="Times New Roman"/>
          <w:sz w:val="24"/>
          <w:szCs w:val="24"/>
        </w:rPr>
        <w:t xml:space="preserve">Considerando que el efecto disuasivo de la ley penal depende del conocimiento de la ilegalidad de la conducta que se busca evitar, se propone un artículo adicional en que se incentiva la creación de campañas de educación respecto al retiro no consentido del preservativo, y los mecanismos de denuncia y reparación de la misma. </w:t>
      </w:r>
    </w:p>
    <w:p w14:paraId="37E939EE" w14:textId="77777777" w:rsidR="00EF4FF9" w:rsidRDefault="000D6346">
      <w:pPr>
        <w:jc w:val="both"/>
        <w:rPr>
          <w:rFonts w:ascii="Times New Roman" w:hAnsi="Times New Roman"/>
          <w:b/>
          <w:sz w:val="24"/>
          <w:szCs w:val="24"/>
        </w:rPr>
      </w:pPr>
      <w:r>
        <w:rPr>
          <w:rFonts w:ascii="Times New Roman" w:hAnsi="Times New Roman"/>
          <w:sz w:val="24"/>
          <w:szCs w:val="24"/>
        </w:rPr>
        <w:t xml:space="preserve">Finalmente, se debe considerar que los elementos de la responsabilidad civil existen habilitan a las víctimas de esto hecho la iniciación de procesos tendientes la reparación del daño. Esto, </w:t>
      </w:r>
      <w:r>
        <w:rPr>
          <w:rFonts w:ascii="Times New Roman" w:hAnsi="Times New Roman"/>
          <w:sz w:val="24"/>
          <w:szCs w:val="24"/>
        </w:rPr>
        <w:lastRenderedPageBreak/>
        <w:t xml:space="preserve">bien a través del incidente de reparación que se habilita concluido el proceso penal, o a través del acceso a la jurisdicción civil. Por lo tanto, si bien no amerita una modificación específica en ese sentido, se pide a las víctimas considerar esta vía en caso de que no quieran acceder al proceso penal. </w:t>
      </w:r>
    </w:p>
    <w:p w14:paraId="0960297E" w14:textId="77777777" w:rsidR="00EF4FF9" w:rsidRDefault="000D6346">
      <w:pPr>
        <w:spacing w:before="240" w:after="240"/>
        <w:jc w:val="both"/>
        <w:rPr>
          <w:rFonts w:ascii="Times New Roman" w:hAnsi="Times New Roman"/>
          <w:b/>
          <w:sz w:val="24"/>
          <w:szCs w:val="24"/>
        </w:rPr>
      </w:pPr>
      <w:r>
        <w:rPr>
          <w:rFonts w:ascii="Times New Roman" w:hAnsi="Times New Roman"/>
          <w:b/>
          <w:sz w:val="24"/>
          <w:szCs w:val="24"/>
        </w:rPr>
        <w:t>VI.</w:t>
      </w:r>
      <w:r>
        <w:rPr>
          <w:rFonts w:ascii="Times New Roman" w:hAnsi="Times New Roman"/>
          <w:sz w:val="24"/>
          <w:szCs w:val="24"/>
        </w:rPr>
        <w:t xml:space="preserve">          </w:t>
      </w:r>
      <w:r>
        <w:rPr>
          <w:rFonts w:ascii="Times New Roman" w:hAnsi="Times New Roman"/>
          <w:b/>
          <w:sz w:val="24"/>
          <w:szCs w:val="24"/>
        </w:rPr>
        <w:t>CONFLICTO DE INTERESES</w:t>
      </w:r>
    </w:p>
    <w:p w14:paraId="49248BEF"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w:t>
      </w:r>
    </w:p>
    <w:p w14:paraId="1A191C67"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Este proyecto de ley podría generar un beneficio directo, únicamente respecto al artículo 11 sobre Incentivos Tributarios para el Alojamiento de los Beneficiarios de la Ley, para aquel congresista cuyo cónyuge, compañero o compañera permanente, o parientes dentro del segundo grado de consanguinidad, segundo de afinidad o primero civil tenga intereses o sean prestadores de servicios turísticos clasificados como establecimientos de alojamiento y hospedaje.</w:t>
      </w:r>
    </w:p>
    <w:p w14:paraId="50636752"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En lo demás, considerando que busca beneficios generales para quienes están relacionados con los servicios de salud, de manera que estos se presten bien en el marco de la pandemia, no se considera que genere conflictos de intereses. En todo caso, esto no exime a que el congresista que así lo considere, manifieste otras razones por la que pueda tener conflictos de intereses. </w:t>
      </w:r>
    </w:p>
    <w:p w14:paraId="107F8EB5" w14:textId="77777777" w:rsidR="00EF4FF9" w:rsidRDefault="000D6346">
      <w:pPr>
        <w:spacing w:before="240" w:after="240"/>
        <w:ind w:left="720"/>
        <w:jc w:val="both"/>
        <w:rPr>
          <w:rFonts w:ascii="Times New Roman" w:hAnsi="Times New Roman"/>
          <w:b/>
          <w:sz w:val="24"/>
          <w:szCs w:val="24"/>
        </w:rPr>
      </w:pPr>
      <w:r>
        <w:rPr>
          <w:rFonts w:ascii="Times New Roman" w:hAnsi="Times New Roman"/>
          <w:b/>
          <w:sz w:val="24"/>
          <w:szCs w:val="24"/>
        </w:rPr>
        <w:t>VII.</w:t>
      </w:r>
      <w:r>
        <w:rPr>
          <w:rFonts w:ascii="Times New Roman" w:hAnsi="Times New Roman"/>
          <w:sz w:val="24"/>
          <w:szCs w:val="24"/>
        </w:rPr>
        <w:t xml:space="preserve">        </w:t>
      </w:r>
      <w:r>
        <w:rPr>
          <w:rFonts w:ascii="Times New Roman" w:hAnsi="Times New Roman"/>
          <w:b/>
          <w:sz w:val="24"/>
          <w:szCs w:val="24"/>
        </w:rPr>
        <w:t>BIBLIOGRAFÍA</w:t>
      </w:r>
    </w:p>
    <w:p w14:paraId="08926809" w14:textId="77777777" w:rsidR="00EF4FF9" w:rsidRDefault="000D6346">
      <w:pPr>
        <w:spacing w:before="240" w:after="240"/>
        <w:jc w:val="both"/>
        <w:rPr>
          <w:rFonts w:ascii="Times New Roman" w:hAnsi="Times New Roman"/>
          <w:sz w:val="24"/>
          <w:szCs w:val="24"/>
        </w:rPr>
      </w:pPr>
      <w:proofErr w:type="spellStart"/>
      <w:r>
        <w:rPr>
          <w:rFonts w:ascii="Times New Roman" w:hAnsi="Times New Roman"/>
          <w:sz w:val="24"/>
          <w:szCs w:val="24"/>
        </w:rPr>
        <w:t>Adetunji</w:t>
      </w:r>
      <w:proofErr w:type="spellEnd"/>
      <w:r>
        <w:rPr>
          <w:rFonts w:ascii="Times New Roman" w:hAnsi="Times New Roman"/>
          <w:sz w:val="24"/>
          <w:szCs w:val="24"/>
        </w:rPr>
        <w:t xml:space="preserve">, J. (28 de abril de 2021). </w:t>
      </w:r>
      <w:r w:rsidRPr="009F2163">
        <w:rPr>
          <w:rFonts w:ascii="Times New Roman" w:hAnsi="Times New Roman"/>
          <w:sz w:val="24"/>
          <w:szCs w:val="24"/>
          <w:lang w:val="en-GB"/>
        </w:rPr>
        <w:t xml:space="preserve">New Zealand’s first successful ‘stealthing’ prosecution leads the way for law changes in Australia and elsewhere.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Conversation</w:t>
      </w:r>
      <w:proofErr w:type="spellEnd"/>
      <w:r>
        <w:rPr>
          <w:rFonts w:ascii="Times New Roman" w:hAnsi="Times New Roman"/>
          <w:sz w:val="24"/>
          <w:szCs w:val="24"/>
        </w:rPr>
        <w:t>. Recuperado de: https://theconversation.com/new-zealands-first-successful-stealthing-prosecution-leads-the-way-for-law-changes-in-australia-and-elsewhere-159323</w:t>
      </w:r>
    </w:p>
    <w:p w14:paraId="73ADD02C" w14:textId="77777777" w:rsidR="00EF4FF9" w:rsidRPr="009F2163" w:rsidRDefault="000D6346">
      <w:pPr>
        <w:spacing w:before="240" w:after="240"/>
        <w:jc w:val="both"/>
        <w:rPr>
          <w:rFonts w:ascii="Times New Roman" w:hAnsi="Times New Roman"/>
          <w:sz w:val="24"/>
          <w:szCs w:val="24"/>
          <w:lang w:val="en-GB"/>
        </w:rPr>
      </w:pPr>
      <w:proofErr w:type="spellStart"/>
      <w:r>
        <w:rPr>
          <w:rFonts w:ascii="Times New Roman" w:hAnsi="Times New Roman"/>
          <w:sz w:val="24"/>
          <w:szCs w:val="24"/>
        </w:rPr>
        <w:t>Australian</w:t>
      </w:r>
      <w:proofErr w:type="spellEnd"/>
      <w:r>
        <w:rPr>
          <w:rFonts w:ascii="Times New Roman" w:hAnsi="Times New Roman"/>
          <w:sz w:val="24"/>
          <w:szCs w:val="24"/>
        </w:rPr>
        <w:t xml:space="preserve"> Capital </w:t>
      </w:r>
      <w:proofErr w:type="spellStart"/>
      <w:r>
        <w:rPr>
          <w:rFonts w:ascii="Times New Roman" w:hAnsi="Times New Roman"/>
          <w:sz w:val="24"/>
          <w:szCs w:val="24"/>
        </w:rPr>
        <w:t>Territory</w:t>
      </w:r>
      <w:proofErr w:type="spellEnd"/>
      <w:r>
        <w:rPr>
          <w:rFonts w:ascii="Times New Roman" w:hAnsi="Times New Roman"/>
          <w:sz w:val="24"/>
          <w:szCs w:val="24"/>
        </w:rPr>
        <w:t xml:space="preserve">. (12 de mayo de 2022). </w:t>
      </w:r>
      <w:r w:rsidRPr="009F2163">
        <w:rPr>
          <w:rFonts w:ascii="Times New Roman" w:hAnsi="Times New Roman"/>
          <w:sz w:val="24"/>
          <w:szCs w:val="24"/>
          <w:lang w:val="en-GB"/>
        </w:rPr>
        <w:t xml:space="preserve">Crimes Act 1900. Act Government. </w:t>
      </w:r>
      <w:proofErr w:type="spellStart"/>
      <w:r w:rsidRPr="009F2163">
        <w:rPr>
          <w:rFonts w:ascii="Times New Roman" w:hAnsi="Times New Roman"/>
          <w:sz w:val="24"/>
          <w:szCs w:val="24"/>
          <w:lang w:val="en-GB"/>
        </w:rPr>
        <w:t>Recuperado</w:t>
      </w:r>
      <w:proofErr w:type="spellEnd"/>
      <w:r w:rsidRPr="009F2163">
        <w:rPr>
          <w:rFonts w:ascii="Times New Roman" w:hAnsi="Times New Roman"/>
          <w:sz w:val="24"/>
          <w:szCs w:val="24"/>
          <w:lang w:val="en-GB"/>
        </w:rPr>
        <w:t xml:space="preserve"> de: </w:t>
      </w:r>
      <w:hyperlink r:id="rId8">
        <w:r w:rsidRPr="009F2163">
          <w:rPr>
            <w:rFonts w:ascii="Times New Roman" w:hAnsi="Times New Roman"/>
            <w:color w:val="0563C1"/>
            <w:sz w:val="24"/>
            <w:szCs w:val="24"/>
            <w:u w:val="single"/>
            <w:lang w:val="en-GB"/>
          </w:rPr>
          <w:t>https://www.legislation.act.gov.au/View/a/1900-40/current/html/1900-40.html</w:t>
        </w:r>
      </w:hyperlink>
    </w:p>
    <w:p w14:paraId="6E181CF2" w14:textId="77777777" w:rsidR="00EF4FF9" w:rsidRPr="009F2163" w:rsidRDefault="000D6346">
      <w:pPr>
        <w:spacing w:before="240" w:after="240"/>
        <w:jc w:val="both"/>
        <w:rPr>
          <w:rFonts w:ascii="Times New Roman" w:hAnsi="Times New Roman"/>
          <w:sz w:val="24"/>
          <w:szCs w:val="24"/>
          <w:lang w:val="en-GB"/>
        </w:rPr>
      </w:pPr>
      <w:r w:rsidRPr="009F2163">
        <w:rPr>
          <w:rFonts w:ascii="Times New Roman" w:hAnsi="Times New Roman"/>
          <w:sz w:val="24"/>
          <w:szCs w:val="24"/>
          <w:lang w:val="en-GB"/>
        </w:rPr>
        <w:t xml:space="preserve">Brianna </w:t>
      </w:r>
      <w:proofErr w:type="spellStart"/>
      <w:r w:rsidRPr="009F2163">
        <w:rPr>
          <w:rFonts w:ascii="Times New Roman" w:hAnsi="Times New Roman"/>
          <w:sz w:val="24"/>
          <w:szCs w:val="24"/>
          <w:lang w:val="en-GB"/>
        </w:rPr>
        <w:t>Chesser</w:t>
      </w:r>
      <w:proofErr w:type="spellEnd"/>
      <w:r w:rsidRPr="009F2163">
        <w:rPr>
          <w:rFonts w:ascii="Times New Roman" w:hAnsi="Times New Roman"/>
          <w:sz w:val="24"/>
          <w:szCs w:val="24"/>
          <w:lang w:val="en-GB"/>
        </w:rPr>
        <w:t xml:space="preserve"> &amp; April Zahra (2019) Stealthing: a criminal </w:t>
      </w:r>
      <w:proofErr w:type="gramStart"/>
      <w:r w:rsidRPr="009F2163">
        <w:rPr>
          <w:rFonts w:ascii="Times New Roman" w:hAnsi="Times New Roman"/>
          <w:sz w:val="24"/>
          <w:szCs w:val="24"/>
          <w:lang w:val="en-GB"/>
        </w:rPr>
        <w:t>offence?,</w:t>
      </w:r>
      <w:proofErr w:type="gramEnd"/>
      <w:r w:rsidRPr="009F2163">
        <w:rPr>
          <w:rFonts w:ascii="Times New Roman" w:hAnsi="Times New Roman"/>
          <w:sz w:val="24"/>
          <w:szCs w:val="24"/>
          <w:lang w:val="en-GB"/>
        </w:rPr>
        <w:t xml:space="preserve"> Current Issues in Criminal Justice, 31:2, 217-235, DOI: 10.1080/10345329.2019.1604474</w:t>
      </w:r>
    </w:p>
    <w:p w14:paraId="2E1B5E96" w14:textId="77777777" w:rsidR="00EF4FF9" w:rsidRPr="009F2163" w:rsidRDefault="000D6346">
      <w:pPr>
        <w:spacing w:before="240" w:after="240"/>
        <w:jc w:val="both"/>
        <w:rPr>
          <w:rFonts w:ascii="Times New Roman" w:hAnsi="Times New Roman"/>
          <w:sz w:val="24"/>
          <w:szCs w:val="24"/>
          <w:lang w:val="en-GB"/>
        </w:rPr>
      </w:pPr>
      <w:r w:rsidRPr="009F2163">
        <w:rPr>
          <w:rFonts w:ascii="Times New Roman" w:hAnsi="Times New Roman"/>
          <w:sz w:val="24"/>
          <w:szCs w:val="24"/>
          <w:lang w:val="en-GB"/>
        </w:rPr>
        <w:lastRenderedPageBreak/>
        <w:t xml:space="preserve">Brodsky, A. (2016). Rape-adjacent: Imagining legal responses to </w:t>
      </w:r>
      <w:proofErr w:type="spellStart"/>
      <w:r w:rsidRPr="009F2163">
        <w:rPr>
          <w:rFonts w:ascii="Times New Roman" w:hAnsi="Times New Roman"/>
          <w:sz w:val="24"/>
          <w:szCs w:val="24"/>
          <w:lang w:val="en-GB"/>
        </w:rPr>
        <w:t>nonconsensual</w:t>
      </w:r>
      <w:proofErr w:type="spellEnd"/>
      <w:r w:rsidRPr="009F2163">
        <w:rPr>
          <w:rFonts w:ascii="Times New Roman" w:hAnsi="Times New Roman"/>
          <w:sz w:val="24"/>
          <w:szCs w:val="24"/>
          <w:lang w:val="en-GB"/>
        </w:rPr>
        <w:t xml:space="preserve"> condom removal. </w:t>
      </w:r>
      <w:r w:rsidRPr="009F2163">
        <w:rPr>
          <w:rFonts w:ascii="Times New Roman" w:hAnsi="Times New Roman"/>
          <w:i/>
          <w:sz w:val="24"/>
          <w:szCs w:val="24"/>
          <w:lang w:val="en-GB"/>
        </w:rPr>
        <w:t>Colum. J. Gender &amp; L.</w:t>
      </w:r>
      <w:r w:rsidRPr="009F2163">
        <w:rPr>
          <w:rFonts w:ascii="Times New Roman" w:hAnsi="Times New Roman"/>
          <w:sz w:val="24"/>
          <w:szCs w:val="24"/>
          <w:lang w:val="en-GB"/>
        </w:rPr>
        <w:t>, </w:t>
      </w:r>
      <w:r w:rsidRPr="009F2163">
        <w:rPr>
          <w:rFonts w:ascii="Times New Roman" w:hAnsi="Times New Roman"/>
          <w:i/>
          <w:sz w:val="24"/>
          <w:szCs w:val="24"/>
          <w:lang w:val="en-GB"/>
        </w:rPr>
        <w:t>32</w:t>
      </w:r>
      <w:r w:rsidRPr="009F2163">
        <w:rPr>
          <w:rFonts w:ascii="Times New Roman" w:hAnsi="Times New Roman"/>
          <w:sz w:val="24"/>
          <w:szCs w:val="24"/>
          <w:lang w:val="en-GB"/>
        </w:rPr>
        <w:t>, 183.</w:t>
      </w:r>
    </w:p>
    <w:p w14:paraId="6B085EE8" w14:textId="77777777" w:rsidR="00EF4FF9" w:rsidRPr="009F2163" w:rsidRDefault="000D6346">
      <w:pPr>
        <w:spacing w:before="240" w:after="240"/>
        <w:jc w:val="both"/>
        <w:rPr>
          <w:rFonts w:ascii="Times New Roman" w:hAnsi="Times New Roman"/>
          <w:sz w:val="24"/>
          <w:szCs w:val="24"/>
          <w:lang w:val="en-GB"/>
        </w:rPr>
      </w:pPr>
      <w:r w:rsidRPr="009F2163">
        <w:rPr>
          <w:rFonts w:ascii="Times New Roman" w:hAnsi="Times New Roman"/>
          <w:sz w:val="24"/>
          <w:szCs w:val="24"/>
          <w:lang w:val="en-GB"/>
        </w:rPr>
        <w:t xml:space="preserve">Buchanan, K. (2021). Australia: Australian Capital Territory Criminalizes </w:t>
      </w:r>
      <w:proofErr w:type="spellStart"/>
      <w:r w:rsidRPr="009F2163">
        <w:rPr>
          <w:rFonts w:ascii="Times New Roman" w:hAnsi="Times New Roman"/>
          <w:sz w:val="24"/>
          <w:szCs w:val="24"/>
          <w:lang w:val="en-GB"/>
        </w:rPr>
        <w:t>Nonconsensual</w:t>
      </w:r>
      <w:proofErr w:type="spellEnd"/>
      <w:r w:rsidRPr="009F2163">
        <w:rPr>
          <w:rFonts w:ascii="Times New Roman" w:hAnsi="Times New Roman"/>
          <w:sz w:val="24"/>
          <w:szCs w:val="24"/>
          <w:lang w:val="en-GB"/>
        </w:rPr>
        <w:t xml:space="preserve"> Removal of Condom During Sex. Library of Congress. </w:t>
      </w:r>
      <w:proofErr w:type="spellStart"/>
      <w:r w:rsidRPr="009F2163">
        <w:rPr>
          <w:rFonts w:ascii="Times New Roman" w:hAnsi="Times New Roman"/>
          <w:sz w:val="24"/>
          <w:szCs w:val="24"/>
          <w:lang w:val="en-GB"/>
        </w:rPr>
        <w:t>Recuperado</w:t>
      </w:r>
      <w:proofErr w:type="spellEnd"/>
      <w:r w:rsidRPr="009F2163">
        <w:rPr>
          <w:rFonts w:ascii="Times New Roman" w:hAnsi="Times New Roman"/>
          <w:sz w:val="24"/>
          <w:szCs w:val="24"/>
          <w:lang w:val="en-GB"/>
        </w:rPr>
        <w:t xml:space="preserve"> de: </w:t>
      </w:r>
      <w:hyperlink r:id="rId9">
        <w:r w:rsidRPr="009F2163">
          <w:rPr>
            <w:rFonts w:ascii="Times New Roman" w:hAnsi="Times New Roman"/>
            <w:color w:val="0563C1"/>
            <w:sz w:val="24"/>
            <w:szCs w:val="24"/>
            <w:u w:val="single"/>
            <w:lang w:val="en-GB"/>
          </w:rPr>
          <w:t>https://www.loc.gov/item/global-legal-monitor/2021-10-18/australia-australian-capital-territory-criminalizes-nonconsensual-removal-of-condom-during-sex/</w:t>
        </w:r>
      </w:hyperlink>
    </w:p>
    <w:p w14:paraId="3B2DCFE2"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California </w:t>
      </w:r>
      <w:proofErr w:type="spellStart"/>
      <w:r>
        <w:rPr>
          <w:rFonts w:ascii="Times New Roman" w:hAnsi="Times New Roman"/>
          <w:sz w:val="24"/>
          <w:szCs w:val="24"/>
        </w:rPr>
        <w:t>Legislative</w:t>
      </w:r>
      <w:proofErr w:type="spellEnd"/>
      <w:r>
        <w:rPr>
          <w:rFonts w:ascii="Times New Roman" w:hAnsi="Times New Roman"/>
          <w:sz w:val="24"/>
          <w:szCs w:val="24"/>
        </w:rPr>
        <w:t xml:space="preserve"> </w:t>
      </w:r>
      <w:proofErr w:type="spellStart"/>
      <w:r>
        <w:rPr>
          <w:rFonts w:ascii="Times New Roman" w:hAnsi="Times New Roman"/>
          <w:sz w:val="24"/>
          <w:szCs w:val="24"/>
        </w:rPr>
        <w:t>Information</w:t>
      </w:r>
      <w:proofErr w:type="spellEnd"/>
      <w:r>
        <w:rPr>
          <w:rFonts w:ascii="Times New Roman" w:hAnsi="Times New Roman"/>
          <w:sz w:val="24"/>
          <w:szCs w:val="24"/>
        </w:rPr>
        <w:t xml:space="preserve">. (08 de octubre de 2021). </w:t>
      </w:r>
      <w:r w:rsidRPr="009F2163">
        <w:rPr>
          <w:rFonts w:ascii="Times New Roman" w:hAnsi="Times New Roman"/>
          <w:sz w:val="24"/>
          <w:szCs w:val="24"/>
          <w:lang w:val="en-GB"/>
        </w:rPr>
        <w:t xml:space="preserve">AB-453 Sexual battery: </w:t>
      </w:r>
      <w:proofErr w:type="spellStart"/>
      <w:r w:rsidRPr="009F2163">
        <w:rPr>
          <w:rFonts w:ascii="Times New Roman" w:hAnsi="Times New Roman"/>
          <w:sz w:val="24"/>
          <w:szCs w:val="24"/>
          <w:lang w:val="en-GB"/>
        </w:rPr>
        <w:t>nonconsensual</w:t>
      </w:r>
      <w:proofErr w:type="spellEnd"/>
      <w:r w:rsidRPr="009F2163">
        <w:rPr>
          <w:rFonts w:ascii="Times New Roman" w:hAnsi="Times New Roman"/>
          <w:sz w:val="24"/>
          <w:szCs w:val="24"/>
          <w:lang w:val="en-GB"/>
        </w:rPr>
        <w:t xml:space="preserve"> condom removal. </w:t>
      </w:r>
      <w:r>
        <w:rPr>
          <w:rFonts w:ascii="Times New Roman" w:hAnsi="Times New Roman"/>
          <w:sz w:val="24"/>
          <w:szCs w:val="24"/>
        </w:rPr>
        <w:t xml:space="preserve">Recuperado de: </w:t>
      </w:r>
      <w:hyperlink r:id="rId10">
        <w:r>
          <w:rPr>
            <w:rFonts w:ascii="Times New Roman" w:hAnsi="Times New Roman"/>
            <w:color w:val="0563C1"/>
            <w:sz w:val="24"/>
            <w:szCs w:val="24"/>
            <w:u w:val="single"/>
          </w:rPr>
          <w:t>https://leginfo.legislature.ca.gov/faces/billTextClient.xhtml?bill_id=202120220AB453</w:t>
        </w:r>
      </w:hyperlink>
    </w:p>
    <w:p w14:paraId="678CF6A1" w14:textId="77777777" w:rsidR="00EF4FF9" w:rsidRDefault="000D6346">
      <w:pPr>
        <w:spacing w:before="240" w:after="240"/>
        <w:jc w:val="both"/>
        <w:rPr>
          <w:rFonts w:ascii="Times New Roman" w:hAnsi="Times New Roman"/>
          <w:sz w:val="24"/>
          <w:szCs w:val="24"/>
        </w:rPr>
      </w:pPr>
      <w:proofErr w:type="spellStart"/>
      <w:r>
        <w:rPr>
          <w:rFonts w:ascii="Times New Roman" w:hAnsi="Times New Roman"/>
          <w:sz w:val="24"/>
          <w:szCs w:val="24"/>
        </w:rPr>
        <w:t>Cigna</w:t>
      </w:r>
      <w:proofErr w:type="spellEnd"/>
      <w:r>
        <w:rPr>
          <w:rFonts w:ascii="Times New Roman" w:hAnsi="Times New Roman"/>
          <w:sz w:val="24"/>
          <w:szCs w:val="24"/>
        </w:rPr>
        <w:t xml:space="preserve">. (s.f.). Métodos anticonceptivos de barrera. Recuperado de: </w:t>
      </w:r>
      <w:hyperlink r:id="rId11" w:anchor=":~:text=Los%20m%C3%A9todos%20de%20barrera%20incluyen,que%20tiene%20un%20extremo%20cerrado">
        <w:r>
          <w:rPr>
            <w:rFonts w:ascii="Times New Roman" w:hAnsi="Times New Roman"/>
            <w:color w:val="0563C1"/>
            <w:sz w:val="24"/>
            <w:szCs w:val="24"/>
            <w:u w:val="single"/>
          </w:rPr>
          <w:t>https://www.cigna.com/es-us/individuals-families/health-wellness/hw/mtodos-anticonceptivos-de-barrera-zm2456#:~:text=Los%20m%C3%A9todos%20de%20barrera%20incluyen,que%20tiene%20un%20extremo%20cerrado</w:t>
        </w:r>
      </w:hyperlink>
      <w:r>
        <w:rPr>
          <w:rFonts w:ascii="Times New Roman" w:hAnsi="Times New Roman"/>
          <w:sz w:val="24"/>
          <w:szCs w:val="24"/>
        </w:rPr>
        <w:t xml:space="preserve">. </w:t>
      </w:r>
    </w:p>
    <w:p w14:paraId="25DE5D0D" w14:textId="77777777" w:rsidR="00EF4FF9" w:rsidRPr="009F2163" w:rsidRDefault="000D6346">
      <w:pPr>
        <w:spacing w:before="240" w:after="240"/>
        <w:jc w:val="both"/>
        <w:rPr>
          <w:rFonts w:ascii="Times New Roman" w:hAnsi="Times New Roman"/>
          <w:sz w:val="24"/>
          <w:szCs w:val="24"/>
          <w:lang w:val="en-GB"/>
        </w:rPr>
      </w:pPr>
      <w:r w:rsidRPr="009F2163">
        <w:rPr>
          <w:rFonts w:ascii="Times New Roman" w:hAnsi="Times New Roman"/>
          <w:sz w:val="24"/>
          <w:szCs w:val="24"/>
          <w:lang w:val="en-GB"/>
        </w:rPr>
        <w:t xml:space="preserve">Davis, K. C. (2019). “Stealthing”: Factors associated with young men’s </w:t>
      </w:r>
      <w:proofErr w:type="spellStart"/>
      <w:r w:rsidRPr="009F2163">
        <w:rPr>
          <w:rFonts w:ascii="Times New Roman" w:hAnsi="Times New Roman"/>
          <w:sz w:val="24"/>
          <w:szCs w:val="24"/>
          <w:lang w:val="en-GB"/>
        </w:rPr>
        <w:t>nonconsensual</w:t>
      </w:r>
      <w:proofErr w:type="spellEnd"/>
      <w:r w:rsidRPr="009F2163">
        <w:rPr>
          <w:rFonts w:ascii="Times New Roman" w:hAnsi="Times New Roman"/>
          <w:sz w:val="24"/>
          <w:szCs w:val="24"/>
          <w:lang w:val="en-GB"/>
        </w:rPr>
        <w:t xml:space="preserve"> condom removal. Health psychology, 38(11), 997.</w:t>
      </w:r>
    </w:p>
    <w:p w14:paraId="5EA4780A" w14:textId="77777777" w:rsidR="00EF4FF9" w:rsidRPr="009F2163" w:rsidRDefault="000D6346">
      <w:pPr>
        <w:spacing w:before="240" w:after="240"/>
        <w:jc w:val="both"/>
        <w:rPr>
          <w:rFonts w:ascii="Times New Roman" w:hAnsi="Times New Roman"/>
          <w:sz w:val="24"/>
          <w:szCs w:val="24"/>
          <w:lang w:val="en-GB"/>
        </w:rPr>
      </w:pPr>
      <w:r w:rsidRPr="009F2163">
        <w:rPr>
          <w:rFonts w:ascii="Times New Roman" w:hAnsi="Times New Roman"/>
          <w:sz w:val="24"/>
          <w:szCs w:val="24"/>
          <w:lang w:val="en-GB"/>
        </w:rPr>
        <w:t xml:space="preserve">Davis, K. C., </w:t>
      </w:r>
      <w:proofErr w:type="spellStart"/>
      <w:r w:rsidRPr="009F2163">
        <w:rPr>
          <w:rFonts w:ascii="Times New Roman" w:hAnsi="Times New Roman"/>
          <w:sz w:val="24"/>
          <w:szCs w:val="24"/>
          <w:lang w:val="en-GB"/>
        </w:rPr>
        <w:t>Stappenbeck</w:t>
      </w:r>
      <w:proofErr w:type="spellEnd"/>
      <w:r w:rsidRPr="009F2163">
        <w:rPr>
          <w:rFonts w:ascii="Times New Roman" w:hAnsi="Times New Roman"/>
          <w:sz w:val="24"/>
          <w:szCs w:val="24"/>
          <w:lang w:val="en-GB"/>
        </w:rPr>
        <w:t xml:space="preserve">, C. A., Masters, N. T., &amp; George, W. H. (2019). Young women's experiences with coercive and noncoercive condom use resistance: examination of an understudied sexual risk </w:t>
      </w:r>
      <w:proofErr w:type="spellStart"/>
      <w:r w:rsidRPr="009F2163">
        <w:rPr>
          <w:rFonts w:ascii="Times New Roman" w:hAnsi="Times New Roman"/>
          <w:sz w:val="24"/>
          <w:szCs w:val="24"/>
          <w:lang w:val="en-GB"/>
        </w:rPr>
        <w:t>behavior</w:t>
      </w:r>
      <w:proofErr w:type="spellEnd"/>
      <w:r w:rsidRPr="009F2163">
        <w:rPr>
          <w:rFonts w:ascii="Times New Roman" w:hAnsi="Times New Roman"/>
          <w:sz w:val="24"/>
          <w:szCs w:val="24"/>
          <w:lang w:val="en-GB"/>
        </w:rPr>
        <w:t>. Women's Health Issues, 29(3), 231-237.</w:t>
      </w:r>
    </w:p>
    <w:p w14:paraId="669DF9F0" w14:textId="77777777" w:rsidR="00EF4FF9" w:rsidRPr="009F2163" w:rsidRDefault="000D6346">
      <w:pPr>
        <w:spacing w:before="240" w:after="240"/>
        <w:jc w:val="both"/>
        <w:rPr>
          <w:rFonts w:ascii="Times New Roman" w:hAnsi="Times New Roman"/>
          <w:sz w:val="24"/>
          <w:szCs w:val="24"/>
          <w:lang w:val="en-GB"/>
        </w:rPr>
      </w:pPr>
      <w:r w:rsidRPr="009F2163">
        <w:rPr>
          <w:rFonts w:ascii="Times New Roman" w:hAnsi="Times New Roman"/>
          <w:sz w:val="24"/>
          <w:szCs w:val="24"/>
          <w:lang w:val="en-GB"/>
        </w:rPr>
        <w:t xml:space="preserve">Maloney, C.B. (2022). To create a civil action for non-consensual sexual protection barrier removal, and for other purposes. House of Representatives of USA. </w:t>
      </w:r>
      <w:proofErr w:type="spellStart"/>
      <w:r w:rsidRPr="009F2163">
        <w:rPr>
          <w:rFonts w:ascii="Times New Roman" w:hAnsi="Times New Roman"/>
          <w:sz w:val="24"/>
          <w:szCs w:val="24"/>
          <w:lang w:val="en-GB"/>
        </w:rPr>
        <w:t>Recuperado</w:t>
      </w:r>
      <w:proofErr w:type="spellEnd"/>
      <w:r w:rsidRPr="009F2163">
        <w:rPr>
          <w:rFonts w:ascii="Times New Roman" w:hAnsi="Times New Roman"/>
          <w:sz w:val="24"/>
          <w:szCs w:val="24"/>
          <w:lang w:val="en-GB"/>
        </w:rPr>
        <w:t xml:space="preserve"> de: </w:t>
      </w:r>
    </w:p>
    <w:p w14:paraId="558A5204" w14:textId="77777777" w:rsidR="00EF4FF9" w:rsidRPr="009F2163" w:rsidRDefault="000D6346">
      <w:pPr>
        <w:spacing w:before="240" w:after="240"/>
        <w:jc w:val="both"/>
        <w:rPr>
          <w:rFonts w:ascii="Times New Roman" w:hAnsi="Times New Roman"/>
          <w:sz w:val="24"/>
          <w:szCs w:val="24"/>
          <w:lang w:val="en-GB"/>
        </w:rPr>
      </w:pPr>
      <w:r w:rsidRPr="009F2163">
        <w:rPr>
          <w:rFonts w:ascii="Times New Roman" w:hAnsi="Times New Roman"/>
          <w:sz w:val="24"/>
          <w:szCs w:val="24"/>
          <w:lang w:val="en-GB"/>
        </w:rPr>
        <w:t>Nakase Law Firm. (</w:t>
      </w:r>
      <w:proofErr w:type="spellStart"/>
      <w:r w:rsidRPr="009F2163">
        <w:rPr>
          <w:rFonts w:ascii="Times New Roman" w:hAnsi="Times New Roman"/>
          <w:sz w:val="24"/>
          <w:szCs w:val="24"/>
          <w:lang w:val="en-GB"/>
        </w:rPr>
        <w:t>s.f.</w:t>
      </w:r>
      <w:proofErr w:type="spellEnd"/>
      <w:r w:rsidRPr="009F2163">
        <w:rPr>
          <w:rFonts w:ascii="Times New Roman" w:hAnsi="Times New Roman"/>
          <w:sz w:val="24"/>
          <w:szCs w:val="24"/>
          <w:lang w:val="en-GB"/>
        </w:rPr>
        <w:t xml:space="preserve">). Sexual Battery Laws, Definition, Elements, &amp; Affirmative </w:t>
      </w:r>
      <w:proofErr w:type="spellStart"/>
      <w:r w:rsidRPr="009F2163">
        <w:rPr>
          <w:rFonts w:ascii="Times New Roman" w:hAnsi="Times New Roman"/>
          <w:sz w:val="24"/>
          <w:szCs w:val="24"/>
          <w:lang w:val="en-GB"/>
        </w:rPr>
        <w:t>Defenses</w:t>
      </w:r>
      <w:proofErr w:type="spellEnd"/>
      <w:r w:rsidRPr="009F2163">
        <w:rPr>
          <w:rFonts w:ascii="Times New Roman" w:hAnsi="Times New Roman"/>
          <w:sz w:val="24"/>
          <w:szCs w:val="24"/>
          <w:lang w:val="en-GB"/>
        </w:rPr>
        <w:t xml:space="preserve">, California. Sexual Battery is Not Rape. </w:t>
      </w:r>
      <w:proofErr w:type="spellStart"/>
      <w:r w:rsidRPr="009F2163">
        <w:rPr>
          <w:rFonts w:ascii="Times New Roman" w:hAnsi="Times New Roman"/>
          <w:sz w:val="24"/>
          <w:szCs w:val="24"/>
          <w:lang w:val="en-GB"/>
        </w:rPr>
        <w:t>Recuperado</w:t>
      </w:r>
      <w:proofErr w:type="spellEnd"/>
      <w:r w:rsidRPr="009F2163">
        <w:rPr>
          <w:rFonts w:ascii="Times New Roman" w:hAnsi="Times New Roman"/>
          <w:sz w:val="24"/>
          <w:szCs w:val="24"/>
          <w:lang w:val="en-GB"/>
        </w:rPr>
        <w:t xml:space="preserve"> de: </w:t>
      </w:r>
      <w:hyperlink r:id="rId12" w:anchor=":~:text=What%20happened%3F-,What%20is%20California%20Law%20for%20Sexual%20Battery%3F,person%20directly%20or%20indirectly%20results">
        <w:r w:rsidRPr="009F2163">
          <w:rPr>
            <w:rFonts w:ascii="Times New Roman" w:hAnsi="Times New Roman"/>
            <w:color w:val="0563C1"/>
            <w:sz w:val="24"/>
            <w:szCs w:val="24"/>
            <w:u w:val="single"/>
            <w:lang w:val="en-GB"/>
          </w:rPr>
          <w:t>https://nakaselawfirm.com/personal-injury-lawyers/sexual-battery-laws-california/#:~:text=What%20happened%3F-,What%20is%20California%20Law%20for%20Sexual%20Battery%3F,person%20directly%20or%20indirectly%20results</w:t>
        </w:r>
      </w:hyperlink>
      <w:r w:rsidRPr="009F2163">
        <w:rPr>
          <w:rFonts w:ascii="Times New Roman" w:hAnsi="Times New Roman"/>
          <w:sz w:val="24"/>
          <w:szCs w:val="24"/>
          <w:lang w:val="en-GB"/>
        </w:rPr>
        <w:t xml:space="preserve">. </w:t>
      </w:r>
    </w:p>
    <w:p w14:paraId="36793786" w14:textId="77777777" w:rsidR="00EF4FF9" w:rsidRDefault="000D6346">
      <w:pPr>
        <w:spacing w:before="240" w:after="240"/>
        <w:jc w:val="both"/>
        <w:rPr>
          <w:rFonts w:ascii="Times New Roman" w:hAnsi="Times New Roman"/>
          <w:sz w:val="24"/>
          <w:szCs w:val="24"/>
        </w:rPr>
      </w:pPr>
      <w:proofErr w:type="spellStart"/>
      <w:r>
        <w:rPr>
          <w:rFonts w:ascii="Times New Roman" w:hAnsi="Times New Roman"/>
          <w:sz w:val="24"/>
          <w:szCs w:val="24"/>
        </w:rPr>
        <w:t>Orsini</w:t>
      </w:r>
      <w:proofErr w:type="spellEnd"/>
      <w:r>
        <w:rPr>
          <w:rFonts w:ascii="Times New Roman" w:hAnsi="Times New Roman"/>
          <w:sz w:val="24"/>
          <w:szCs w:val="24"/>
        </w:rPr>
        <w:t xml:space="preserve">, M.; Olivera, E.; Fernández, M.; Hernando, M.; Rojas, C.; Santibáñez, M.; </w:t>
      </w:r>
      <w:proofErr w:type="spellStart"/>
      <w:r>
        <w:rPr>
          <w:rFonts w:ascii="Times New Roman" w:hAnsi="Times New Roman"/>
          <w:sz w:val="24"/>
          <w:szCs w:val="24"/>
        </w:rPr>
        <w:t>Yeomans</w:t>
      </w:r>
      <w:proofErr w:type="spellEnd"/>
      <w:r>
        <w:rPr>
          <w:rFonts w:ascii="Times New Roman" w:hAnsi="Times New Roman"/>
          <w:sz w:val="24"/>
          <w:szCs w:val="24"/>
        </w:rPr>
        <w:t xml:space="preserve">, G. (26 de octubre de 2021). PROYECTO DE LEY QUE SANCIONA EL RETIRO NO CONSENTIDO DEL CONDÓN. Cámara de Diputados y Diputadas de Chile. Recuperado </w:t>
      </w:r>
      <w:r>
        <w:rPr>
          <w:rFonts w:ascii="Times New Roman" w:hAnsi="Times New Roman"/>
          <w:sz w:val="24"/>
          <w:szCs w:val="24"/>
        </w:rPr>
        <w:lastRenderedPageBreak/>
        <w:t xml:space="preserve">de: </w:t>
      </w:r>
      <w:hyperlink r:id="rId13">
        <w:r>
          <w:rPr>
            <w:rFonts w:ascii="Times New Roman" w:hAnsi="Times New Roman"/>
            <w:color w:val="0563C1"/>
            <w:sz w:val="24"/>
            <w:szCs w:val="24"/>
            <w:u w:val="single"/>
          </w:rPr>
          <w:t>https://obtienearchivo.bcn.cl/obtienearchivo?id=recursoslegales/10221.3/64831/17/Bol14665-34_20211127.pdf</w:t>
        </w:r>
      </w:hyperlink>
      <w:r>
        <w:rPr>
          <w:rFonts w:ascii="Times New Roman" w:hAnsi="Times New Roman"/>
          <w:sz w:val="24"/>
          <w:szCs w:val="24"/>
        </w:rPr>
        <w:t xml:space="preserve"> </w:t>
      </w:r>
    </w:p>
    <w:p w14:paraId="6353E1E0"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 xml:space="preserve">Recuperado de:   </w:t>
      </w:r>
      <w:hyperlink r:id="rId14">
        <w:r>
          <w:rPr>
            <w:rFonts w:ascii="Times New Roman" w:hAnsi="Times New Roman"/>
            <w:color w:val="0563C1"/>
            <w:sz w:val="24"/>
            <w:szCs w:val="24"/>
            <w:u w:val="single"/>
          </w:rPr>
          <w:t>https://maloney.house.gov/sites/maloney.house.gov/files/Final%20Stealthing%20Bill.pdf</w:t>
        </w:r>
      </w:hyperlink>
    </w:p>
    <w:p w14:paraId="240D322E" w14:textId="77777777" w:rsidR="00EF4FF9" w:rsidRDefault="000D6346">
      <w:pPr>
        <w:spacing w:before="240" w:after="240"/>
        <w:jc w:val="both"/>
        <w:rPr>
          <w:rFonts w:ascii="Times New Roman" w:hAnsi="Times New Roman"/>
          <w:sz w:val="24"/>
          <w:szCs w:val="24"/>
        </w:rPr>
      </w:pPr>
      <w:r w:rsidRPr="009F2163">
        <w:rPr>
          <w:rFonts w:ascii="Times New Roman" w:hAnsi="Times New Roman"/>
          <w:sz w:val="24"/>
          <w:szCs w:val="24"/>
          <w:lang w:val="en-GB"/>
        </w:rPr>
        <w:t>The Crown Prosecution Service. (</w:t>
      </w:r>
      <w:proofErr w:type="spellStart"/>
      <w:r w:rsidRPr="009F2163">
        <w:rPr>
          <w:rFonts w:ascii="Times New Roman" w:hAnsi="Times New Roman"/>
          <w:sz w:val="24"/>
          <w:szCs w:val="24"/>
          <w:lang w:val="en-GB"/>
        </w:rPr>
        <w:t>s.f.</w:t>
      </w:r>
      <w:proofErr w:type="spellEnd"/>
      <w:r w:rsidRPr="009F2163">
        <w:rPr>
          <w:rFonts w:ascii="Times New Roman" w:hAnsi="Times New Roman"/>
          <w:sz w:val="24"/>
          <w:szCs w:val="24"/>
          <w:lang w:val="en-GB"/>
        </w:rPr>
        <w:t xml:space="preserve">). Rape and Sexual Offences: Chapter 3: Consent. </w:t>
      </w:r>
      <w:r>
        <w:rPr>
          <w:rFonts w:ascii="Times New Roman" w:hAnsi="Times New Roman"/>
          <w:sz w:val="24"/>
          <w:szCs w:val="24"/>
        </w:rPr>
        <w:t xml:space="preserve">Recuperado de: </w:t>
      </w:r>
      <w:hyperlink r:id="rId15" w:anchor="a07">
        <w:r>
          <w:rPr>
            <w:rFonts w:ascii="Times New Roman" w:hAnsi="Times New Roman"/>
            <w:color w:val="0563C1"/>
            <w:sz w:val="24"/>
            <w:szCs w:val="24"/>
            <w:u w:val="single"/>
          </w:rPr>
          <w:t>https://web.archive.org/web/20170509180545/http://www.cps.gov.uk/legal/p_to_r/rape_and_sexual_offences/consent/#a07#a07</w:t>
        </w:r>
      </w:hyperlink>
    </w:p>
    <w:p w14:paraId="294AE674" w14:textId="77777777" w:rsidR="00EF4FF9" w:rsidRDefault="000D6346">
      <w:pPr>
        <w:spacing w:before="240" w:after="240"/>
        <w:jc w:val="both"/>
        <w:rPr>
          <w:rFonts w:ascii="Times New Roman" w:hAnsi="Times New Roman"/>
          <w:sz w:val="24"/>
          <w:szCs w:val="24"/>
        </w:rPr>
      </w:pPr>
      <w:r>
        <w:rPr>
          <w:rFonts w:ascii="Times New Roman" w:hAnsi="Times New Roman"/>
          <w:sz w:val="24"/>
          <w:szCs w:val="24"/>
        </w:rPr>
        <w:t>De los Honorables Congresistas,</w:t>
      </w:r>
    </w:p>
    <w:tbl>
      <w:tblPr>
        <w:tblStyle w:val="a"/>
        <w:tblW w:w="8828" w:type="dxa"/>
        <w:tblInd w:w="0" w:type="dxa"/>
        <w:tblLayout w:type="fixed"/>
        <w:tblLook w:val="0400" w:firstRow="0" w:lastRow="0" w:firstColumn="0" w:lastColumn="0" w:noHBand="0" w:noVBand="1"/>
      </w:tblPr>
      <w:tblGrid>
        <w:gridCol w:w="4414"/>
        <w:gridCol w:w="4414"/>
      </w:tblGrid>
      <w:tr w:rsidR="000D6346" w14:paraId="1649AB6B" w14:textId="77777777" w:rsidTr="007E1AFB">
        <w:tc>
          <w:tcPr>
            <w:tcW w:w="4414" w:type="dxa"/>
          </w:tcPr>
          <w:p w14:paraId="14B8B1DA" w14:textId="77777777" w:rsidR="000D6346" w:rsidRDefault="000D6346" w:rsidP="007E1AFB">
            <w:pPr>
              <w:tabs>
                <w:tab w:val="left" w:pos="1834"/>
              </w:tabs>
              <w:jc w:val="center"/>
              <w:rPr>
                <w:rFonts w:ascii="Times New Roman" w:hAnsi="Times New Roman"/>
                <w:b/>
                <w:noProof/>
                <w:sz w:val="24"/>
                <w:szCs w:val="24"/>
              </w:rPr>
            </w:pPr>
          </w:p>
          <w:p w14:paraId="0C8BA7C7" w14:textId="77777777" w:rsidR="000D6346" w:rsidRDefault="000D6346" w:rsidP="007E1AFB">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64B03DE1" w14:textId="77777777" w:rsidR="000D6346" w:rsidRDefault="000D6346" w:rsidP="007E1AFB">
            <w:pPr>
              <w:jc w:val="center"/>
              <w:rPr>
                <w:rFonts w:ascii="Times New Roman" w:hAnsi="Times New Roman"/>
                <w:b/>
                <w:noProof/>
                <w:sz w:val="24"/>
                <w:szCs w:val="24"/>
                <w:lang w:val="es-CO" w:eastAsia="es-CO"/>
              </w:rPr>
            </w:pPr>
          </w:p>
          <w:p w14:paraId="5842D09B" w14:textId="77777777" w:rsidR="000D6346" w:rsidRDefault="000D6346" w:rsidP="007E1AFB">
            <w:pPr>
              <w:jc w:val="center"/>
              <w:rPr>
                <w:rFonts w:ascii="Times New Roman" w:hAnsi="Times New Roman"/>
                <w:b/>
                <w:sz w:val="24"/>
                <w:szCs w:val="24"/>
              </w:rPr>
            </w:pPr>
            <w:r>
              <w:rPr>
                <w:rFonts w:ascii="Times New Roman" w:hAnsi="Times New Roman"/>
                <w:b/>
                <w:noProof/>
                <w:sz w:val="24"/>
                <w:szCs w:val="24"/>
                <w:lang w:val="es-CO" w:eastAsia="es-CO"/>
              </w:rPr>
              <w:t>JOHN JAIRO ROLDÁN AVENDAÑO</w:t>
            </w:r>
            <w:r>
              <w:rPr>
                <w:rFonts w:ascii="Times New Roman" w:hAnsi="Times New Roman"/>
                <w:b/>
                <w:sz w:val="24"/>
                <w:szCs w:val="24"/>
              </w:rPr>
              <w:br/>
            </w: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0D6346" w14:paraId="1E303684" w14:textId="77777777" w:rsidTr="007E1AFB">
        <w:tc>
          <w:tcPr>
            <w:tcW w:w="4414" w:type="dxa"/>
          </w:tcPr>
          <w:p w14:paraId="2341EAEF" w14:textId="77777777" w:rsidR="000D6346" w:rsidRDefault="000D6346" w:rsidP="007E1AFB">
            <w:pPr>
              <w:jc w:val="center"/>
              <w:rPr>
                <w:rFonts w:ascii="Times New Roman" w:hAnsi="Times New Roman"/>
                <w:sz w:val="24"/>
                <w:szCs w:val="24"/>
              </w:rPr>
            </w:pPr>
            <w:r>
              <w:rPr>
                <w:rFonts w:ascii="Times New Roman" w:hAnsi="Times New Roman"/>
                <w:b/>
                <w:sz w:val="24"/>
                <w:szCs w:val="24"/>
              </w:rPr>
              <w:br/>
              <w:t>JUAN CARLOS LOZADA VARGAS</w:t>
            </w:r>
            <w:r>
              <w:rPr>
                <w:rFonts w:ascii="Times New Roman" w:hAnsi="Times New Roman"/>
                <w:b/>
                <w:sz w:val="24"/>
                <w:szCs w:val="24"/>
              </w:rPr>
              <w:br/>
            </w:r>
            <w:r>
              <w:rPr>
                <w:rFonts w:ascii="Times New Roman" w:hAnsi="Times New Roman"/>
                <w:sz w:val="24"/>
                <w:szCs w:val="24"/>
              </w:rPr>
              <w:t>Representante a la Cámara por Bogotá D.C</w:t>
            </w:r>
            <w:r>
              <w:rPr>
                <w:rFonts w:ascii="Times New Roman" w:hAnsi="Times New Roman"/>
                <w:sz w:val="24"/>
                <w:szCs w:val="24"/>
              </w:rPr>
              <w:br/>
              <w:t>Partido Liberal</w:t>
            </w:r>
          </w:p>
        </w:tc>
        <w:tc>
          <w:tcPr>
            <w:tcW w:w="4414" w:type="dxa"/>
          </w:tcPr>
          <w:p w14:paraId="32DE9C1B" w14:textId="77777777" w:rsidR="000D6346" w:rsidRDefault="000D6346" w:rsidP="007E1AFB">
            <w:pPr>
              <w:jc w:val="center"/>
              <w:rPr>
                <w:rFonts w:ascii="Times New Roman" w:hAnsi="Times New Roman"/>
                <w:b/>
                <w:color w:val="000000"/>
                <w:sz w:val="24"/>
                <w:szCs w:val="24"/>
              </w:rPr>
            </w:pPr>
          </w:p>
          <w:p w14:paraId="21178403" w14:textId="77777777" w:rsidR="000D6346" w:rsidRDefault="000D6346" w:rsidP="007E1AFB">
            <w:pPr>
              <w:jc w:val="center"/>
              <w:rPr>
                <w:rFonts w:ascii="Times New Roman" w:hAnsi="Times New Roman"/>
                <w:sz w:val="24"/>
                <w:szCs w:val="24"/>
              </w:rPr>
            </w:pPr>
            <w:r w:rsidRPr="00446110">
              <w:rPr>
                <w:rFonts w:ascii="Times New Roman" w:hAnsi="Times New Roman"/>
                <w:b/>
                <w:color w:val="000000"/>
                <w:sz w:val="24"/>
                <w:szCs w:val="24"/>
              </w:rPr>
              <w:t>CARLOS FELIPE QUINTERO OVALLE</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w:t>
            </w:r>
            <w:r>
              <w:rPr>
                <w:rFonts w:ascii="Times New Roman" w:hAnsi="Times New Roman"/>
                <w:sz w:val="24"/>
                <w:szCs w:val="24"/>
              </w:rPr>
              <w:t>el Cesar</w:t>
            </w:r>
          </w:p>
        </w:tc>
      </w:tr>
      <w:tr w:rsidR="000D6346" w14:paraId="7FF48558" w14:textId="77777777" w:rsidTr="007E1AFB">
        <w:tblPrEx>
          <w:tblLook w:val="04A0" w:firstRow="1" w:lastRow="0" w:firstColumn="1" w:lastColumn="0" w:noHBand="0" w:noVBand="1"/>
        </w:tblPrEx>
        <w:tc>
          <w:tcPr>
            <w:tcW w:w="4414" w:type="dxa"/>
          </w:tcPr>
          <w:p w14:paraId="60FDBEF0" w14:textId="77777777" w:rsidR="000D6346" w:rsidRDefault="000D6346" w:rsidP="007E1AFB">
            <w:pPr>
              <w:jc w:val="center"/>
              <w:rPr>
                <w:rFonts w:ascii="Times New Roman" w:hAnsi="Times New Roman"/>
                <w:b/>
                <w:sz w:val="24"/>
                <w:szCs w:val="24"/>
              </w:rPr>
            </w:pPr>
            <w:r w:rsidRPr="00F112DD">
              <w:rPr>
                <w:rFonts w:ascii="Times New Roman" w:hAnsi="Times New Roman"/>
                <w:b/>
                <w:sz w:val="24"/>
                <w:szCs w:val="24"/>
              </w:rPr>
              <w:t>DANIEL CARVALHO</w:t>
            </w:r>
            <w:r>
              <w:rPr>
                <w:rFonts w:ascii="Times New Roman" w:hAnsi="Times New Roman"/>
                <w:b/>
                <w:sz w:val="24"/>
                <w:szCs w:val="24"/>
              </w:rPr>
              <w:t xml:space="preserve"> MEJÍA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7B4422B5" w14:textId="77777777" w:rsidR="000D6346" w:rsidRPr="00F112DD" w:rsidRDefault="000D6346" w:rsidP="007E1AFB">
            <w:pPr>
              <w:jc w:val="center"/>
              <w:rPr>
                <w:rFonts w:ascii="Times New Roman" w:hAnsi="Times New Roman"/>
                <w:b/>
                <w:sz w:val="24"/>
                <w:szCs w:val="24"/>
              </w:rPr>
            </w:pPr>
            <w:r w:rsidRPr="00A20549">
              <w:rPr>
                <w:rFonts w:ascii="Times New Roman" w:hAnsi="Times New Roman"/>
                <w:b/>
                <w:sz w:val="24"/>
                <w:szCs w:val="24"/>
              </w:rPr>
              <w:t>JEZMI LIZETH BARRAZA ARRAUT</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Atlántico </w:t>
            </w:r>
          </w:p>
        </w:tc>
      </w:tr>
      <w:tr w:rsidR="000D6346" w14:paraId="792D38FE" w14:textId="77777777" w:rsidTr="007E1AFB">
        <w:tblPrEx>
          <w:tblLook w:val="04A0" w:firstRow="1" w:lastRow="0" w:firstColumn="1" w:lastColumn="0" w:noHBand="0" w:noVBand="1"/>
        </w:tblPrEx>
        <w:tc>
          <w:tcPr>
            <w:tcW w:w="4414" w:type="dxa"/>
          </w:tcPr>
          <w:p w14:paraId="62AC75A1" w14:textId="77777777" w:rsidR="000D6346" w:rsidRDefault="000D6346" w:rsidP="007E1AFB">
            <w:pPr>
              <w:jc w:val="center"/>
              <w:rPr>
                <w:rFonts w:ascii="Times New Roman" w:hAnsi="Times New Roman"/>
                <w:b/>
                <w:sz w:val="24"/>
                <w:szCs w:val="24"/>
              </w:rPr>
            </w:pPr>
          </w:p>
          <w:p w14:paraId="0D299AA7" w14:textId="77777777" w:rsidR="000D6346" w:rsidRPr="001903A6" w:rsidRDefault="000D6346" w:rsidP="007E1AFB">
            <w:pPr>
              <w:jc w:val="center"/>
              <w:rPr>
                <w:rFonts w:ascii="Times New Roman" w:hAnsi="Times New Roman"/>
                <w:b/>
                <w:sz w:val="24"/>
                <w:szCs w:val="24"/>
              </w:rPr>
            </w:pPr>
            <w:r>
              <w:rPr>
                <w:rFonts w:ascii="Times New Roman" w:hAnsi="Times New Roman"/>
                <w:b/>
                <w:sz w:val="24"/>
                <w:szCs w:val="24"/>
              </w:rPr>
              <w:t>OLGA BEATRIZ GONZÁLEZ CORREA</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del Tolima</w:t>
            </w:r>
          </w:p>
        </w:tc>
        <w:tc>
          <w:tcPr>
            <w:tcW w:w="4414" w:type="dxa"/>
          </w:tcPr>
          <w:p w14:paraId="101EA122" w14:textId="77777777" w:rsidR="000D6346" w:rsidRDefault="000D6346" w:rsidP="007E1AFB">
            <w:pPr>
              <w:jc w:val="center"/>
              <w:rPr>
                <w:rFonts w:ascii="Times New Roman" w:hAnsi="Times New Roman"/>
                <w:b/>
                <w:sz w:val="24"/>
                <w:szCs w:val="24"/>
              </w:rPr>
            </w:pPr>
          </w:p>
          <w:p w14:paraId="02184C21" w14:textId="77777777" w:rsidR="000D6346" w:rsidRDefault="000D6346" w:rsidP="007E1AFB">
            <w:pPr>
              <w:jc w:val="center"/>
              <w:rPr>
                <w:rFonts w:ascii="Times New Roman" w:hAnsi="Times New Roman"/>
                <w:sz w:val="24"/>
                <w:szCs w:val="24"/>
              </w:rPr>
            </w:pPr>
            <w:r>
              <w:rPr>
                <w:rFonts w:ascii="Times New Roman" w:hAnsi="Times New Roman"/>
                <w:b/>
                <w:sz w:val="24"/>
                <w:szCs w:val="24"/>
              </w:rPr>
              <w:t>JOSÉ OCTAVIO CARDONA LEÓN</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w:t>
            </w:r>
            <w:proofErr w:type="spellStart"/>
            <w:r>
              <w:rPr>
                <w:rFonts w:ascii="Times New Roman" w:hAnsi="Times New Roman"/>
                <w:sz w:val="24"/>
                <w:szCs w:val="24"/>
              </w:rPr>
              <w:t>del</w:t>
            </w:r>
            <w:proofErr w:type="spellEnd"/>
            <w:r>
              <w:rPr>
                <w:rFonts w:ascii="Times New Roman" w:hAnsi="Times New Roman"/>
                <w:sz w:val="24"/>
                <w:szCs w:val="24"/>
              </w:rPr>
              <w:t xml:space="preserve"> Caldas</w:t>
            </w:r>
          </w:p>
        </w:tc>
      </w:tr>
      <w:tr w:rsidR="000D6346" w14:paraId="270C8C50" w14:textId="77777777" w:rsidTr="007E1AFB">
        <w:tblPrEx>
          <w:tblLook w:val="04A0" w:firstRow="1" w:lastRow="0" w:firstColumn="1" w:lastColumn="0" w:noHBand="0" w:noVBand="1"/>
        </w:tblPrEx>
        <w:tc>
          <w:tcPr>
            <w:tcW w:w="4414" w:type="dxa"/>
          </w:tcPr>
          <w:p w14:paraId="56F07284" w14:textId="77777777" w:rsidR="000D6346" w:rsidRPr="001903A6" w:rsidRDefault="000D6346" w:rsidP="007E1AFB">
            <w:pPr>
              <w:jc w:val="center"/>
              <w:rPr>
                <w:rFonts w:ascii="Times New Roman" w:hAnsi="Times New Roman"/>
                <w:b/>
                <w:sz w:val="24"/>
                <w:szCs w:val="24"/>
              </w:rPr>
            </w:pPr>
            <w:r w:rsidRPr="001903A6">
              <w:rPr>
                <w:rFonts w:ascii="Times New Roman" w:hAnsi="Times New Roman"/>
                <w:b/>
                <w:sz w:val="24"/>
                <w:szCs w:val="24"/>
              </w:rPr>
              <w:lastRenderedPageBreak/>
              <w:t>SANDRA BIBIANA ARISTIZABAL SALEG</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del Quindío</w:t>
            </w:r>
          </w:p>
        </w:tc>
        <w:tc>
          <w:tcPr>
            <w:tcW w:w="4414" w:type="dxa"/>
          </w:tcPr>
          <w:p w14:paraId="616627AA" w14:textId="77777777" w:rsidR="000D6346" w:rsidRDefault="000D6346" w:rsidP="007E1AFB">
            <w:pPr>
              <w:jc w:val="center"/>
              <w:rPr>
                <w:rFonts w:ascii="Times New Roman" w:hAnsi="Times New Roman"/>
                <w:sz w:val="24"/>
                <w:szCs w:val="24"/>
              </w:rPr>
            </w:pPr>
            <w:r>
              <w:rPr>
                <w:rFonts w:ascii="Times New Roman" w:hAnsi="Times New Roman"/>
                <w:b/>
                <w:sz w:val="24"/>
                <w:szCs w:val="24"/>
              </w:rPr>
              <w:t>PIEDAD CORREAL RUBIANO</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del Quindío</w:t>
            </w:r>
          </w:p>
        </w:tc>
      </w:tr>
      <w:tr w:rsidR="000D6346" w14:paraId="3BFB91B2" w14:textId="77777777" w:rsidTr="007E1AFB">
        <w:tblPrEx>
          <w:tblLook w:val="04A0" w:firstRow="1" w:lastRow="0" w:firstColumn="1" w:lastColumn="0" w:noHBand="0" w:noVBand="1"/>
        </w:tblPrEx>
        <w:tc>
          <w:tcPr>
            <w:tcW w:w="4414" w:type="dxa"/>
          </w:tcPr>
          <w:p w14:paraId="276F8D97" w14:textId="77777777" w:rsidR="000D6346" w:rsidRPr="000D6346" w:rsidRDefault="000D6346" w:rsidP="007E1AFB">
            <w:pPr>
              <w:jc w:val="center"/>
              <w:rPr>
                <w:rFonts w:ascii="Times New Roman" w:hAnsi="Times New Roman"/>
                <w:b/>
                <w:sz w:val="24"/>
                <w:szCs w:val="24"/>
              </w:rPr>
            </w:pPr>
            <w:bookmarkStart w:id="5" w:name="_GoBack"/>
            <w:r w:rsidRPr="000D6346">
              <w:rPr>
                <w:rFonts w:ascii="Times New Roman" w:hAnsi="Times New Roman"/>
                <w:b/>
                <w:sz w:val="24"/>
                <w:szCs w:val="24"/>
              </w:rPr>
              <w:t>GERMÁN ROGELIO ROZO ANIS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Arauca </w:t>
            </w:r>
            <w:bookmarkEnd w:id="5"/>
          </w:p>
        </w:tc>
        <w:tc>
          <w:tcPr>
            <w:tcW w:w="4414" w:type="dxa"/>
          </w:tcPr>
          <w:p w14:paraId="7D9799FE" w14:textId="77777777" w:rsidR="000D6346" w:rsidRDefault="000D6346" w:rsidP="007E1AFB">
            <w:pPr>
              <w:jc w:val="center"/>
              <w:rPr>
                <w:rFonts w:ascii="Times New Roman" w:hAnsi="Times New Roman"/>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r>
      <w:tr w:rsidR="000D6346" w14:paraId="3E807B58" w14:textId="77777777" w:rsidTr="007E1AFB">
        <w:tblPrEx>
          <w:tblLook w:val="04A0" w:firstRow="1" w:lastRow="0" w:firstColumn="1" w:lastColumn="0" w:noHBand="0" w:noVBand="1"/>
        </w:tblPrEx>
        <w:tc>
          <w:tcPr>
            <w:tcW w:w="4414" w:type="dxa"/>
          </w:tcPr>
          <w:p w14:paraId="3D112D36" w14:textId="77777777" w:rsidR="000D6346" w:rsidRDefault="000D6346" w:rsidP="007E1AFB">
            <w:pPr>
              <w:jc w:val="center"/>
              <w:rPr>
                <w:rFonts w:ascii="Times New Roman" w:hAnsi="Times New Roman"/>
                <w:sz w:val="24"/>
                <w:szCs w:val="24"/>
              </w:rPr>
            </w:pPr>
            <w:r w:rsidRPr="000D6346">
              <w:rPr>
                <w:rFonts w:ascii="Times New Roman" w:hAnsi="Times New Roman"/>
                <w:b/>
                <w:sz w:val="24"/>
                <w:szCs w:val="24"/>
              </w:rPr>
              <w:t>ÁLVARO LEONEL RUEDA CABALLERO</w:t>
            </w:r>
            <w:r>
              <w:rPr>
                <w:rFonts w:ascii="Times New Roman" w:hAnsi="Times New Roman"/>
                <w:sz w:val="24"/>
                <w:szCs w:val="24"/>
              </w:rPr>
              <w:br/>
              <w:t>Representante a la Cámara</w:t>
            </w:r>
            <w:r>
              <w:rPr>
                <w:rFonts w:ascii="Times New Roman" w:hAnsi="Times New Roman"/>
                <w:b/>
                <w:sz w:val="24"/>
                <w:szCs w:val="24"/>
              </w:rPr>
              <w:br/>
            </w:r>
            <w:r>
              <w:rPr>
                <w:rFonts w:ascii="Times New Roman" w:hAnsi="Times New Roman"/>
                <w:sz w:val="24"/>
                <w:szCs w:val="24"/>
              </w:rPr>
              <w:t>Departamento del Santander</w:t>
            </w:r>
          </w:p>
        </w:tc>
        <w:tc>
          <w:tcPr>
            <w:tcW w:w="4414" w:type="dxa"/>
          </w:tcPr>
          <w:p w14:paraId="57003866" w14:textId="181F8204" w:rsidR="000D6346" w:rsidRDefault="000D6346" w:rsidP="007E1AFB">
            <w:pPr>
              <w:jc w:val="center"/>
              <w:rPr>
                <w:rFonts w:ascii="Times New Roman" w:hAnsi="Times New Roman"/>
                <w:sz w:val="24"/>
                <w:szCs w:val="24"/>
              </w:rPr>
            </w:pPr>
            <w:r w:rsidRPr="000D6346">
              <w:rPr>
                <w:rFonts w:ascii="Times New Roman" w:hAnsi="Times New Roman"/>
                <w:b/>
                <w:sz w:val="24"/>
                <w:szCs w:val="24"/>
              </w:rPr>
              <w:t xml:space="preserve">HÉCTOR DAVID CHAPARRO </w:t>
            </w:r>
            <w:proofErr w:type="spellStart"/>
            <w:r w:rsidRPr="000D6346">
              <w:rPr>
                <w:rFonts w:ascii="Times New Roman" w:hAnsi="Times New Roman"/>
                <w:b/>
                <w:sz w:val="24"/>
                <w:szCs w:val="24"/>
              </w:rPr>
              <w:t>CHAPARRO</w:t>
            </w:r>
            <w:proofErr w:type="spellEnd"/>
            <w:r>
              <w:rPr>
                <w:rFonts w:ascii="Times New Roman" w:hAnsi="Times New Roman"/>
                <w:sz w:val="24"/>
                <w:szCs w:val="24"/>
              </w:rPr>
              <w:t xml:space="preserve"> </w:t>
            </w:r>
            <w:r>
              <w:rPr>
                <w:rFonts w:ascii="Times New Roman" w:hAnsi="Times New Roman"/>
                <w:sz w:val="24"/>
                <w:szCs w:val="24"/>
              </w:rPr>
              <w:br/>
              <w:t>Representante a la Cámara</w:t>
            </w:r>
            <w:r>
              <w:rPr>
                <w:rFonts w:ascii="Times New Roman" w:hAnsi="Times New Roman"/>
                <w:b/>
                <w:sz w:val="24"/>
                <w:szCs w:val="24"/>
              </w:rPr>
              <w:br/>
            </w:r>
            <w:r>
              <w:rPr>
                <w:rFonts w:ascii="Times New Roman" w:hAnsi="Times New Roman"/>
                <w:sz w:val="24"/>
                <w:szCs w:val="24"/>
              </w:rPr>
              <w:t xml:space="preserve">Departamento </w:t>
            </w:r>
            <w:proofErr w:type="spellStart"/>
            <w:r>
              <w:rPr>
                <w:rFonts w:ascii="Times New Roman" w:hAnsi="Times New Roman"/>
                <w:sz w:val="24"/>
                <w:szCs w:val="24"/>
              </w:rPr>
              <w:t>del</w:t>
            </w:r>
            <w:proofErr w:type="spellEnd"/>
            <w:r>
              <w:rPr>
                <w:rFonts w:ascii="Times New Roman" w:hAnsi="Times New Roman"/>
                <w:sz w:val="24"/>
                <w:szCs w:val="24"/>
              </w:rPr>
              <w:t xml:space="preserve"> </w:t>
            </w:r>
            <w:r w:rsidR="00430F8A">
              <w:rPr>
                <w:rFonts w:ascii="Times New Roman" w:hAnsi="Times New Roman"/>
                <w:sz w:val="24"/>
                <w:szCs w:val="24"/>
              </w:rPr>
              <w:t>Boyacá</w:t>
            </w:r>
          </w:p>
        </w:tc>
      </w:tr>
    </w:tbl>
    <w:p w14:paraId="031BBC91" w14:textId="77777777" w:rsidR="00EF4FF9" w:rsidRDefault="00EF4FF9" w:rsidP="008262C1">
      <w:pPr>
        <w:rPr>
          <w:rFonts w:ascii="Times New Roman" w:hAnsi="Times New Roman"/>
          <w:sz w:val="24"/>
          <w:szCs w:val="24"/>
        </w:rPr>
      </w:pPr>
    </w:p>
    <w:sectPr w:rsidR="00EF4FF9">
      <w:headerReference w:type="default" r:id="rId16"/>
      <w:footerReference w:type="default" r:id="rId17"/>
      <w:pgSz w:w="12240" w:h="15840"/>
      <w:pgMar w:top="1418" w:right="1701" w:bottom="1418" w:left="1701"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1DEC9" w14:textId="77777777" w:rsidR="00A36F7F" w:rsidRDefault="00A36F7F">
      <w:pPr>
        <w:spacing w:after="0" w:line="240" w:lineRule="auto"/>
      </w:pPr>
      <w:r>
        <w:separator/>
      </w:r>
    </w:p>
  </w:endnote>
  <w:endnote w:type="continuationSeparator" w:id="0">
    <w:p w14:paraId="00169670" w14:textId="77777777" w:rsidR="00A36F7F" w:rsidRDefault="00A3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363A" w14:textId="20AC5734" w:rsidR="00EF4FF9" w:rsidRPr="009F2163" w:rsidRDefault="009F2163" w:rsidP="009F2163">
    <w:pPr>
      <w:spacing w:before="240" w:after="240"/>
      <w:jc w:val="center"/>
      <w:rPr>
        <w:rFonts w:ascii="Times New Roman" w:hAnsi="Times New Roman"/>
        <w:b/>
        <w:i/>
        <w:iCs/>
        <w:sz w:val="24"/>
        <w:szCs w:val="24"/>
      </w:rPr>
    </w:pPr>
    <w:r w:rsidRPr="009F2163">
      <w:rPr>
        <w:rFonts w:ascii="Times New Roman" w:hAnsi="Times New Roman"/>
        <w:b/>
        <w:i/>
        <w:iCs/>
        <w:sz w:val="24"/>
        <w:szCs w:val="24"/>
      </w:rPr>
      <w:t>“Por medio de la cual se tipifica el retiro sin consentimiento del preservativo o barrera de protección sexual durante las relaciones sexuales, se agrega un parágrafo al delito de acoso sexual y se dictan otras disposiciones”</w:t>
    </w:r>
    <w:r w:rsidRPr="009F2163">
      <w:rPr>
        <w:rFonts w:eastAsia="Calibri" w:cs="Calibri"/>
        <w:i/>
        <w:iCs/>
        <w:color w:val="000000"/>
        <w:sz w:val="20"/>
        <w:szCs w:val="20"/>
      </w:rPr>
      <w:t xml:space="preserve">                                                                                                                        </w:t>
    </w:r>
  </w:p>
  <w:p w14:paraId="0CFE10B6" w14:textId="77777777" w:rsidR="00EF4FF9" w:rsidRDefault="00EF4FF9">
    <w:pPr>
      <w:pBdr>
        <w:top w:val="nil"/>
        <w:left w:val="nil"/>
        <w:bottom w:val="nil"/>
        <w:right w:val="nil"/>
        <w:between w:val="nil"/>
      </w:pBdr>
      <w:tabs>
        <w:tab w:val="center" w:pos="4252"/>
        <w:tab w:val="right" w:pos="8504"/>
      </w:tabs>
      <w:spacing w:after="0" w:line="240" w:lineRule="auto"/>
      <w:rPr>
        <w:rFonts w:eastAsia="Calibri" w:cs="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59A8B" w14:textId="77777777" w:rsidR="00A36F7F" w:rsidRDefault="00A36F7F">
      <w:pPr>
        <w:spacing w:after="0" w:line="240" w:lineRule="auto"/>
      </w:pPr>
      <w:r>
        <w:separator/>
      </w:r>
    </w:p>
  </w:footnote>
  <w:footnote w:type="continuationSeparator" w:id="0">
    <w:p w14:paraId="63927266" w14:textId="77777777" w:rsidR="00A36F7F" w:rsidRDefault="00A36F7F">
      <w:pPr>
        <w:spacing w:after="0" w:line="240" w:lineRule="auto"/>
      </w:pPr>
      <w:r>
        <w:continuationSeparator/>
      </w:r>
    </w:p>
  </w:footnote>
  <w:footnote w:id="1">
    <w:p w14:paraId="6A22415B" w14:textId="77777777" w:rsidR="00EF4FF9" w:rsidRPr="009F2163" w:rsidRDefault="000D6346">
      <w:pPr>
        <w:pBdr>
          <w:top w:val="nil"/>
          <w:left w:val="nil"/>
          <w:bottom w:val="nil"/>
          <w:right w:val="nil"/>
          <w:between w:val="nil"/>
        </w:pBdr>
        <w:spacing w:after="0" w:line="240" w:lineRule="auto"/>
        <w:jc w:val="both"/>
        <w:rPr>
          <w:rFonts w:ascii="Arial" w:eastAsia="Arial" w:hAnsi="Arial" w:cs="Arial"/>
          <w:color w:val="000000"/>
          <w:sz w:val="20"/>
          <w:szCs w:val="20"/>
          <w:lang w:val="en-GB"/>
        </w:rPr>
      </w:pPr>
      <w:r>
        <w:rPr>
          <w:vertAlign w:val="superscript"/>
        </w:rPr>
        <w:footnoteRef/>
      </w:r>
      <w:r w:rsidRPr="009F2163">
        <w:rPr>
          <w:rFonts w:ascii="Arial" w:eastAsia="Arial" w:hAnsi="Arial" w:cs="Arial"/>
          <w:color w:val="000000"/>
          <w:sz w:val="20"/>
          <w:szCs w:val="20"/>
          <w:lang w:val="en-GB"/>
        </w:rPr>
        <w:t xml:space="preserve"> Para mayor claridad, a continuación se presenta la cita original: “This bill would additionally provide that a person commits a sexual battery who causes contact between a sexual organ, from which a condom has been removed, and the intimate part of another who did not verbally consent to the condom being removed. The bill would also specify that a person commits a sexual battery who causes contact between an intimate part of the person and a sexual organ of another from which the person removed a condom without verbal consent”.</w:t>
      </w:r>
    </w:p>
  </w:footnote>
  <w:footnote w:id="2">
    <w:p w14:paraId="3F322643" w14:textId="77777777" w:rsidR="00EF4FF9" w:rsidRPr="009F2163" w:rsidRDefault="000D6346">
      <w:pPr>
        <w:pBdr>
          <w:top w:val="nil"/>
          <w:left w:val="nil"/>
          <w:bottom w:val="nil"/>
          <w:right w:val="nil"/>
          <w:between w:val="nil"/>
        </w:pBdr>
        <w:spacing w:after="0" w:line="240" w:lineRule="auto"/>
        <w:jc w:val="both"/>
        <w:rPr>
          <w:rFonts w:ascii="Arial" w:eastAsia="Arial" w:hAnsi="Arial" w:cs="Arial"/>
          <w:color w:val="000000"/>
          <w:sz w:val="20"/>
          <w:szCs w:val="20"/>
          <w:lang w:val="en-GB"/>
        </w:rPr>
      </w:pPr>
      <w:r>
        <w:rPr>
          <w:vertAlign w:val="superscript"/>
        </w:rPr>
        <w:footnoteRef/>
      </w:r>
      <w:r w:rsidRPr="009F2163">
        <w:rPr>
          <w:rFonts w:ascii="Arial" w:eastAsia="Arial" w:hAnsi="Arial" w:cs="Arial"/>
          <w:color w:val="000000"/>
          <w:sz w:val="20"/>
          <w:szCs w:val="20"/>
          <w:lang w:val="en-GB"/>
        </w:rPr>
        <w:t xml:space="preserve"> La cita original plantea lo siguiente: “The term ‘‘non-consensual sexual protection barrier removal’’ means removal of a sexual protection barrier from a body part, including the genitals, or an object being used by a person for sexual contact with another person without the consent of each person involved in such sexual contact, causing sexual contact between the body parts, including the genitals, or objects being used for sexual contact, and the body of any person engaged in such sexual contact” (Maloney, 2022).</w:t>
      </w:r>
    </w:p>
  </w:footnote>
  <w:footnote w:id="3">
    <w:p w14:paraId="01F2A8E4" w14:textId="77777777" w:rsidR="00EF4FF9" w:rsidRPr="009F2163" w:rsidRDefault="000D6346">
      <w:pPr>
        <w:pBdr>
          <w:top w:val="nil"/>
          <w:left w:val="nil"/>
          <w:bottom w:val="nil"/>
          <w:right w:val="nil"/>
          <w:between w:val="nil"/>
        </w:pBdr>
        <w:spacing w:after="0" w:line="240" w:lineRule="auto"/>
        <w:jc w:val="both"/>
        <w:rPr>
          <w:rFonts w:ascii="Arial" w:eastAsia="Arial" w:hAnsi="Arial" w:cs="Arial"/>
          <w:color w:val="000000"/>
          <w:sz w:val="20"/>
          <w:szCs w:val="20"/>
          <w:lang w:val="en-GB"/>
        </w:rPr>
      </w:pPr>
      <w:r>
        <w:rPr>
          <w:vertAlign w:val="superscript"/>
        </w:rPr>
        <w:footnoteRef/>
      </w:r>
      <w:r w:rsidRPr="009F2163">
        <w:rPr>
          <w:rFonts w:ascii="Arial" w:eastAsia="Arial" w:hAnsi="Arial" w:cs="Arial"/>
          <w:color w:val="000000"/>
          <w:sz w:val="20"/>
          <w:szCs w:val="20"/>
          <w:lang w:val="en-GB"/>
        </w:rPr>
        <w:t xml:space="preserve"> La cita original dice: “(…) participates in the act because of an intentional misrepresentation by </w:t>
      </w:r>
    </w:p>
    <w:p w14:paraId="5545F06B" w14:textId="77777777" w:rsidR="00EF4FF9" w:rsidRPr="009F2163" w:rsidRDefault="000D6346">
      <w:pPr>
        <w:pBdr>
          <w:top w:val="nil"/>
          <w:left w:val="nil"/>
          <w:bottom w:val="nil"/>
          <w:right w:val="nil"/>
          <w:between w:val="nil"/>
        </w:pBdr>
        <w:spacing w:after="0" w:line="240" w:lineRule="auto"/>
        <w:jc w:val="both"/>
        <w:rPr>
          <w:rFonts w:ascii="Arial" w:eastAsia="Arial" w:hAnsi="Arial" w:cs="Arial"/>
          <w:color w:val="000000"/>
          <w:sz w:val="20"/>
          <w:szCs w:val="20"/>
          <w:lang w:val="en-GB"/>
        </w:rPr>
      </w:pPr>
      <w:r w:rsidRPr="009F2163">
        <w:rPr>
          <w:rFonts w:ascii="Arial" w:eastAsia="Arial" w:hAnsi="Arial" w:cs="Arial"/>
          <w:color w:val="000000"/>
          <w:sz w:val="20"/>
          <w:szCs w:val="20"/>
          <w:lang w:val="en-GB"/>
        </w:rPr>
        <w:t xml:space="preserve">another person about the use of a condom”.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2F7E" w14:textId="77777777" w:rsidR="00EF4FF9" w:rsidRDefault="000D6346">
    <w:pPr>
      <w:pBdr>
        <w:top w:val="nil"/>
        <w:left w:val="nil"/>
        <w:bottom w:val="nil"/>
        <w:right w:val="nil"/>
        <w:between w:val="nil"/>
      </w:pBdr>
      <w:tabs>
        <w:tab w:val="center" w:pos="4252"/>
        <w:tab w:val="right" w:pos="8504"/>
      </w:tabs>
      <w:spacing w:after="0" w:line="240" w:lineRule="auto"/>
      <w:rPr>
        <w:rFonts w:eastAsia="Calibri" w:cs="Calibri"/>
        <w:color w:val="000000"/>
      </w:rPr>
    </w:pPr>
    <w:r>
      <w:rPr>
        <w:noProof/>
        <w:lang w:val="es-CO" w:eastAsia="es-CO"/>
      </w:rPr>
      <w:drawing>
        <wp:anchor distT="0" distB="0" distL="114300" distR="114300" simplePos="0" relativeHeight="251658240" behindDoc="0" locked="0" layoutInCell="1" hidden="0" allowOverlap="1" wp14:anchorId="21DBDEA9" wp14:editId="0AF9B7BD">
          <wp:simplePos x="0" y="0"/>
          <wp:positionH relativeFrom="column">
            <wp:posOffset>1915477</wp:posOffset>
          </wp:positionH>
          <wp:positionV relativeFrom="paragraph">
            <wp:posOffset>6985</wp:posOffset>
          </wp:positionV>
          <wp:extent cx="1781175" cy="922655"/>
          <wp:effectExtent l="0" t="0" r="0" b="0"/>
          <wp:wrapSquare wrapText="bothSides" distT="0" distB="0" distL="114300" distR="114300"/>
          <wp:docPr id="37" name="image2.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2.jpg" descr="Resultado de imagen para logo camara de representantes"/>
                  <pic:cNvPicPr preferRelativeResize="0"/>
                </pic:nvPicPr>
                <pic:blipFill>
                  <a:blip r:embed="rId1"/>
                  <a:srcRect/>
                  <a:stretch>
                    <a:fillRect/>
                  </a:stretch>
                </pic:blipFill>
                <pic:spPr>
                  <a:xfrm>
                    <a:off x="0" y="0"/>
                    <a:ext cx="1781175" cy="922655"/>
                  </a:xfrm>
                  <a:prstGeom prst="rect">
                    <a:avLst/>
                  </a:prstGeom>
                  <a:ln/>
                </pic:spPr>
              </pic:pic>
            </a:graphicData>
          </a:graphic>
        </wp:anchor>
      </w:drawing>
    </w:r>
  </w:p>
  <w:p w14:paraId="1B3CE265" w14:textId="77777777" w:rsidR="00EF4FF9" w:rsidRDefault="00EF4FF9">
    <w:pPr>
      <w:pBdr>
        <w:top w:val="nil"/>
        <w:left w:val="nil"/>
        <w:bottom w:val="nil"/>
        <w:right w:val="nil"/>
        <w:between w:val="nil"/>
      </w:pBdr>
      <w:tabs>
        <w:tab w:val="center" w:pos="4252"/>
        <w:tab w:val="right" w:pos="8504"/>
      </w:tabs>
      <w:spacing w:after="0" w:line="240" w:lineRule="auto"/>
      <w:rPr>
        <w:rFonts w:eastAsia="Calibri" w:cs="Calibri"/>
        <w:color w:val="000000"/>
      </w:rPr>
    </w:pPr>
  </w:p>
  <w:p w14:paraId="09C60C92" w14:textId="77777777" w:rsidR="00EF4FF9" w:rsidRDefault="00EF4FF9">
    <w:pPr>
      <w:pBdr>
        <w:top w:val="nil"/>
        <w:left w:val="nil"/>
        <w:bottom w:val="nil"/>
        <w:right w:val="nil"/>
        <w:between w:val="nil"/>
      </w:pBdr>
      <w:tabs>
        <w:tab w:val="center" w:pos="4252"/>
        <w:tab w:val="right" w:pos="8504"/>
      </w:tabs>
      <w:spacing w:after="0" w:line="240" w:lineRule="auto"/>
      <w:rPr>
        <w:rFonts w:eastAsia="Calibri" w:cs="Calibri"/>
        <w:color w:val="000000"/>
      </w:rPr>
    </w:pPr>
  </w:p>
  <w:p w14:paraId="0DDCE248" w14:textId="77777777" w:rsidR="00EF4FF9" w:rsidRDefault="00EF4FF9">
    <w:pPr>
      <w:pBdr>
        <w:top w:val="nil"/>
        <w:left w:val="nil"/>
        <w:bottom w:val="nil"/>
        <w:right w:val="nil"/>
        <w:between w:val="nil"/>
      </w:pBdr>
      <w:tabs>
        <w:tab w:val="center" w:pos="4252"/>
        <w:tab w:val="right" w:pos="8504"/>
      </w:tabs>
      <w:spacing w:after="0" w:line="240" w:lineRule="auto"/>
      <w:rPr>
        <w:rFonts w:eastAsia="Calibri" w:cs="Calibri"/>
        <w:color w:val="000000"/>
      </w:rPr>
    </w:pPr>
  </w:p>
  <w:p w14:paraId="6DE1A232" w14:textId="77777777" w:rsidR="00EF4FF9" w:rsidRDefault="00EF4FF9">
    <w:pPr>
      <w:pBdr>
        <w:top w:val="nil"/>
        <w:left w:val="nil"/>
        <w:bottom w:val="nil"/>
        <w:right w:val="nil"/>
        <w:between w:val="nil"/>
      </w:pBdr>
      <w:tabs>
        <w:tab w:val="center" w:pos="4252"/>
        <w:tab w:val="right" w:pos="8504"/>
      </w:tabs>
      <w:spacing w:after="0" w:line="240" w:lineRule="auto"/>
      <w:rPr>
        <w:rFonts w:eastAsia="Calibri" w:cs="Calibri"/>
        <w:color w:val="000000"/>
      </w:rPr>
    </w:pPr>
  </w:p>
  <w:p w14:paraId="1D9CCE3A" w14:textId="3B8D4890" w:rsidR="00EF4FF9" w:rsidRDefault="00EF4FF9" w:rsidP="009F2163">
    <w:pPr>
      <w:pBdr>
        <w:top w:val="nil"/>
        <w:left w:val="nil"/>
        <w:bottom w:val="nil"/>
        <w:right w:val="nil"/>
        <w:between w:val="nil"/>
      </w:pBdr>
      <w:tabs>
        <w:tab w:val="center" w:pos="4252"/>
        <w:tab w:val="right" w:pos="8504"/>
      </w:tabs>
      <w:spacing w:after="0" w:line="240" w:lineRule="auto"/>
      <w:rPr>
        <w:rFonts w:ascii="Pinyon Script" w:eastAsia="Pinyon Script" w:hAnsi="Pinyon Script" w:cs="Pinyon Script"/>
        <w:b/>
        <w:color w:val="000000"/>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76264"/>
    <w:multiLevelType w:val="multilevel"/>
    <w:tmpl w:val="B7B08136"/>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127F54"/>
    <w:multiLevelType w:val="multilevel"/>
    <w:tmpl w:val="398AD5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DA5B0B"/>
    <w:multiLevelType w:val="multilevel"/>
    <w:tmpl w:val="0750C5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230423"/>
    <w:multiLevelType w:val="multilevel"/>
    <w:tmpl w:val="E7F8AF9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F9"/>
    <w:rsid w:val="000D6346"/>
    <w:rsid w:val="001903A6"/>
    <w:rsid w:val="001A3137"/>
    <w:rsid w:val="00430F8A"/>
    <w:rsid w:val="005A6E82"/>
    <w:rsid w:val="008262C1"/>
    <w:rsid w:val="009F2163"/>
    <w:rsid w:val="00A36F7F"/>
    <w:rsid w:val="00EF4FF9"/>
    <w:rsid w:val="00F112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6EDE"/>
  <w15:docId w15:val="{0AEB6E6C-577E-415F-B2CD-B564CEAD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03"/>
    <w:rPr>
      <w:rFonts w:eastAsia="Times New Roman"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E320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E3203"/>
    <w:rPr>
      <w:lang w:val="es-ES"/>
    </w:rPr>
  </w:style>
  <w:style w:type="paragraph" w:styleId="Piedepgina">
    <w:name w:val="footer"/>
    <w:basedOn w:val="Normal"/>
    <w:link w:val="PiedepginaCar"/>
    <w:uiPriority w:val="99"/>
    <w:unhideWhenUsed/>
    <w:rsid w:val="00BE3203"/>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E3203"/>
    <w:rPr>
      <w:lang w:val="es-ES"/>
    </w:rPr>
  </w:style>
  <w:style w:type="character" w:styleId="Hipervnculo">
    <w:name w:val="Hyperlink"/>
    <w:basedOn w:val="Fuentedeprrafopredeter"/>
    <w:uiPriority w:val="99"/>
    <w:unhideWhenUsed/>
    <w:rsid w:val="00BE3203"/>
    <w:rPr>
      <w:color w:val="0563C1" w:themeColor="hyperlink"/>
      <w:u w:val="single"/>
    </w:rPr>
  </w:style>
  <w:style w:type="table" w:styleId="Tablaconcuadrcula">
    <w:name w:val="Table Grid"/>
    <w:basedOn w:val="Tablanormal"/>
    <w:uiPriority w:val="39"/>
    <w:rsid w:val="00BE3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09AD"/>
    <w:pPr>
      <w:ind w:left="720"/>
      <w:contextualSpacing/>
    </w:pPr>
  </w:style>
  <w:style w:type="paragraph" w:styleId="Textonotapie">
    <w:name w:val="footnote text"/>
    <w:basedOn w:val="Normal"/>
    <w:link w:val="TextonotapieCar"/>
    <w:uiPriority w:val="99"/>
    <w:semiHidden/>
    <w:unhideWhenUsed/>
    <w:rsid w:val="00FA36C6"/>
    <w:pPr>
      <w:spacing w:after="0" w:line="240" w:lineRule="auto"/>
      <w:jc w:val="both"/>
    </w:pPr>
    <w:rPr>
      <w:rFonts w:ascii="Arial" w:eastAsiaTheme="minorHAnsi" w:hAnsi="Arial" w:cstheme="minorBidi"/>
      <w:sz w:val="20"/>
      <w:szCs w:val="20"/>
      <w:lang w:val="es-CO" w:eastAsia="en-US"/>
    </w:rPr>
  </w:style>
  <w:style w:type="character" w:customStyle="1" w:styleId="TextonotapieCar">
    <w:name w:val="Texto nota pie Car"/>
    <w:basedOn w:val="Fuentedeprrafopredeter"/>
    <w:link w:val="Textonotapie"/>
    <w:uiPriority w:val="99"/>
    <w:semiHidden/>
    <w:rsid w:val="00FA36C6"/>
    <w:rPr>
      <w:rFonts w:ascii="Arial" w:hAnsi="Arial"/>
      <w:sz w:val="20"/>
      <w:szCs w:val="20"/>
    </w:rPr>
  </w:style>
  <w:style w:type="character" w:styleId="Refdenotaalpie">
    <w:name w:val="footnote reference"/>
    <w:basedOn w:val="Fuentedeprrafopredeter"/>
    <w:uiPriority w:val="99"/>
    <w:semiHidden/>
    <w:unhideWhenUsed/>
    <w:rsid w:val="00FA36C6"/>
    <w:rPr>
      <w:vertAlign w:val="superscript"/>
    </w:rPr>
  </w:style>
  <w:style w:type="character" w:customStyle="1" w:styleId="UnresolvedMention">
    <w:name w:val="Unresolved Mention"/>
    <w:basedOn w:val="Fuentedeprrafopredeter"/>
    <w:uiPriority w:val="99"/>
    <w:semiHidden/>
    <w:unhideWhenUsed/>
    <w:rsid w:val="001831CB"/>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9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View/a/1900-40/current/html/1900-40.html" TargetMode="External"/><Relationship Id="rId13" Type="http://schemas.openxmlformats.org/officeDocument/2006/relationships/hyperlink" Target="https://obtienearchivo.bcn.cl/obtienearchivo?id=recursoslegales/10221.3/64831/17/Bol14665-34_20211127.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kaselawfirm.com/personal-injury-lawyers/sexual-battery-laws-califor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gna.com/es-us/individuals-families/health-wellness/hw/mtodos-anticonceptivos-de-barrera-zm2456" TargetMode="External"/><Relationship Id="rId5" Type="http://schemas.openxmlformats.org/officeDocument/2006/relationships/webSettings" Target="webSettings.xml"/><Relationship Id="rId15" Type="http://schemas.openxmlformats.org/officeDocument/2006/relationships/hyperlink" Target="https://web.archive.org/web/20170509180545/http://www.cps.gov.uk/legal/p_to_r/rape_and_sexual_offences/consent/" TargetMode="External"/><Relationship Id="rId10" Type="http://schemas.openxmlformats.org/officeDocument/2006/relationships/hyperlink" Target="https://leginfo.legislature.ca.gov/faces/billTextClient.xhtml?bill_id=202120220AB4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c.gov/item/global-legal-monitor/2021-10-18/australia-australian-capital-territory-criminalizes-nonconsensual-removal-of-condom-during-sex/" TargetMode="External"/><Relationship Id="rId14" Type="http://schemas.openxmlformats.org/officeDocument/2006/relationships/hyperlink" Target="https://maloney.house.gov/sites/maloney.house.gov/files/Final%20Stealthing%20Bil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YspZ6tVTs+GEKbR1f+JdKMp5Q==">AMUW2mVu2TeThfmxXYQEu/Rfpxf6LgZTKKNwj09ttUfrqOmEkAIv8+P8CqtUbtL9AEbFMB6VTIo22+P/QDAegY98Svu6ieaiGm8C5N6pQctP5VKLesDs4wkGmnPakOCO+ZPE/Smf2oOnerhNfBzg1LJrZPtUbptBWmjTFHCSn+moEXfQWJuf173oNul9icUid+VbKM9eD3JB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3744</Words>
  <Characters>20598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Uribe Quintero</dc:creator>
  <cp:lastModifiedBy>Juan Sebastian  Uribe Quintero UTL</cp:lastModifiedBy>
  <cp:revision>4</cp:revision>
  <dcterms:created xsi:type="dcterms:W3CDTF">2022-07-21T21:15:00Z</dcterms:created>
  <dcterms:modified xsi:type="dcterms:W3CDTF">2022-07-21T21:51:00Z</dcterms:modified>
</cp:coreProperties>
</file>