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C5CF" w14:textId="77777777" w:rsidR="00806CA4" w:rsidRPr="00827AEA" w:rsidRDefault="009537CB" w:rsidP="00806CA4">
      <w:pPr>
        <w:tabs>
          <w:tab w:val="center" w:pos="4419"/>
          <w:tab w:val="right" w:pos="8838"/>
        </w:tabs>
        <w:jc w:val="right"/>
        <w:rPr>
          <w:rFonts w:ascii="Bookman Old Style" w:hAnsi="Bookman Old Style" w:cstheme="minorHAnsi"/>
          <w:b/>
          <w:sz w:val="22"/>
          <w:szCs w:val="22"/>
        </w:rPr>
      </w:pPr>
      <w:r w:rsidRPr="00827AEA">
        <w:rPr>
          <w:rFonts w:ascii="Bookman Old Style" w:hAnsi="Bookman Old Style" w:cstheme="minorHAnsi"/>
          <w:b/>
          <w:sz w:val="22"/>
          <w:szCs w:val="22"/>
        </w:rPr>
        <w:t>Bogotá D.C., 20 de julio de 2022</w:t>
      </w:r>
    </w:p>
    <w:p w14:paraId="5B9B91D4" w14:textId="77777777" w:rsidR="00806CA4" w:rsidRPr="00827AEA" w:rsidRDefault="00806CA4" w:rsidP="00806CA4">
      <w:pPr>
        <w:rPr>
          <w:rFonts w:ascii="Bookman Old Style" w:hAnsi="Bookman Old Style" w:cstheme="minorHAnsi"/>
          <w:b/>
          <w:sz w:val="22"/>
          <w:szCs w:val="22"/>
        </w:rPr>
      </w:pPr>
    </w:p>
    <w:p w14:paraId="7A366720" w14:textId="77777777" w:rsidR="00806CA4" w:rsidRPr="00827AEA" w:rsidRDefault="00806CA4" w:rsidP="00806CA4">
      <w:pPr>
        <w:rPr>
          <w:rFonts w:ascii="Bookman Old Style" w:hAnsi="Bookman Old Style" w:cstheme="minorHAnsi"/>
          <w:b/>
          <w:sz w:val="22"/>
          <w:szCs w:val="22"/>
        </w:rPr>
      </w:pPr>
    </w:p>
    <w:p w14:paraId="141F3329" w14:textId="77777777" w:rsidR="00806CA4" w:rsidRPr="00827AEA" w:rsidRDefault="00806CA4" w:rsidP="00806CA4">
      <w:pPr>
        <w:rPr>
          <w:rFonts w:ascii="Bookman Old Style" w:hAnsi="Bookman Old Style" w:cstheme="minorHAnsi"/>
          <w:b/>
          <w:sz w:val="22"/>
          <w:szCs w:val="22"/>
        </w:rPr>
      </w:pPr>
    </w:p>
    <w:p w14:paraId="0BFA5B2E" w14:textId="77777777" w:rsidR="00806CA4" w:rsidRPr="00827AEA" w:rsidRDefault="00806CA4" w:rsidP="00806CA4">
      <w:pPr>
        <w:rPr>
          <w:rFonts w:ascii="Bookman Old Style" w:hAnsi="Bookman Old Style" w:cstheme="minorHAnsi"/>
          <w:b/>
          <w:sz w:val="22"/>
          <w:szCs w:val="22"/>
        </w:rPr>
      </w:pPr>
    </w:p>
    <w:p w14:paraId="1E88986E" w14:textId="77777777" w:rsidR="00806CA4" w:rsidRPr="00827AEA" w:rsidRDefault="00806CA4" w:rsidP="00806CA4">
      <w:pPr>
        <w:rPr>
          <w:rFonts w:ascii="Bookman Old Style" w:hAnsi="Bookman Old Style" w:cstheme="minorHAnsi"/>
          <w:b/>
          <w:sz w:val="22"/>
          <w:szCs w:val="22"/>
        </w:rPr>
      </w:pPr>
    </w:p>
    <w:p w14:paraId="794C6795" w14:textId="77777777" w:rsidR="00806CA4" w:rsidRPr="00827AEA" w:rsidRDefault="00806CA4" w:rsidP="00806CA4">
      <w:pPr>
        <w:rPr>
          <w:rFonts w:ascii="Bookman Old Style" w:hAnsi="Bookman Old Style" w:cstheme="minorHAnsi"/>
          <w:b/>
          <w:sz w:val="22"/>
          <w:szCs w:val="22"/>
        </w:rPr>
      </w:pPr>
    </w:p>
    <w:p w14:paraId="032EC51B" w14:textId="77777777" w:rsidR="00806CA4" w:rsidRPr="00827AEA" w:rsidRDefault="00806CA4" w:rsidP="00806CA4">
      <w:pPr>
        <w:rPr>
          <w:rFonts w:ascii="Bookman Old Style" w:hAnsi="Bookman Old Style" w:cstheme="minorHAnsi"/>
          <w:sz w:val="22"/>
          <w:szCs w:val="22"/>
        </w:rPr>
      </w:pPr>
      <w:r w:rsidRPr="00827AEA">
        <w:rPr>
          <w:rFonts w:ascii="Bookman Old Style" w:hAnsi="Bookman Old Style" w:cstheme="minorHAnsi"/>
          <w:sz w:val="22"/>
          <w:szCs w:val="22"/>
        </w:rPr>
        <w:t>Doctor</w:t>
      </w:r>
    </w:p>
    <w:p w14:paraId="6D636131" w14:textId="75E8A83D" w:rsidR="00806CA4" w:rsidRPr="000A50CD" w:rsidRDefault="000A50CD" w:rsidP="00806CA4">
      <w:pPr>
        <w:rPr>
          <w:rFonts w:ascii="Bookman Old Style" w:hAnsi="Bookman Old Style" w:cstheme="minorHAnsi"/>
          <w:b/>
          <w:bCs/>
          <w:sz w:val="22"/>
          <w:szCs w:val="22"/>
        </w:rPr>
      </w:pPr>
      <w:r w:rsidRPr="000A50CD">
        <w:rPr>
          <w:rFonts w:ascii="Bookman Old Style" w:hAnsi="Bookman Old Style" w:cstheme="minorHAnsi"/>
          <w:b/>
          <w:bCs/>
          <w:sz w:val="22"/>
          <w:szCs w:val="22"/>
        </w:rPr>
        <w:t xml:space="preserve">SECRETARIO GENERAL </w:t>
      </w:r>
    </w:p>
    <w:p w14:paraId="189496E1" w14:textId="77777777" w:rsidR="00806CA4" w:rsidRPr="00827AEA" w:rsidRDefault="00806CA4" w:rsidP="00806CA4">
      <w:pPr>
        <w:rPr>
          <w:rFonts w:ascii="Bookman Old Style" w:hAnsi="Bookman Old Style" w:cstheme="minorHAnsi"/>
          <w:sz w:val="22"/>
          <w:szCs w:val="22"/>
        </w:rPr>
      </w:pPr>
      <w:r w:rsidRPr="00827AEA">
        <w:rPr>
          <w:rFonts w:ascii="Bookman Old Style" w:hAnsi="Bookman Old Style" w:cstheme="minorHAnsi"/>
          <w:sz w:val="22"/>
          <w:szCs w:val="22"/>
        </w:rPr>
        <w:t>Honorable Cámara de Representantes</w:t>
      </w:r>
    </w:p>
    <w:p w14:paraId="176CF5CE" w14:textId="77777777" w:rsidR="00806CA4" w:rsidRPr="00827AEA" w:rsidRDefault="00806CA4" w:rsidP="00806CA4">
      <w:pPr>
        <w:rPr>
          <w:rFonts w:ascii="Bookman Old Style" w:hAnsi="Bookman Old Style" w:cstheme="minorHAnsi"/>
          <w:sz w:val="22"/>
          <w:szCs w:val="22"/>
        </w:rPr>
      </w:pPr>
      <w:r w:rsidRPr="00827AEA">
        <w:rPr>
          <w:rFonts w:ascii="Bookman Old Style" w:hAnsi="Bookman Old Style" w:cstheme="minorHAnsi"/>
          <w:sz w:val="22"/>
          <w:szCs w:val="22"/>
        </w:rPr>
        <w:t xml:space="preserve">Ciudad </w:t>
      </w:r>
    </w:p>
    <w:p w14:paraId="4A1E9EED" w14:textId="77777777" w:rsidR="00806CA4" w:rsidRPr="00827AEA" w:rsidRDefault="00806CA4" w:rsidP="00806CA4">
      <w:pPr>
        <w:rPr>
          <w:rFonts w:ascii="Bookman Old Style" w:hAnsi="Bookman Old Style" w:cstheme="minorHAnsi"/>
          <w:b/>
          <w:sz w:val="22"/>
          <w:szCs w:val="22"/>
        </w:rPr>
      </w:pPr>
    </w:p>
    <w:p w14:paraId="13C3C1B1" w14:textId="77777777" w:rsidR="00806CA4" w:rsidRPr="00827AEA" w:rsidRDefault="00806CA4" w:rsidP="00806CA4">
      <w:pPr>
        <w:rPr>
          <w:rFonts w:ascii="Bookman Old Style" w:hAnsi="Bookman Old Style" w:cstheme="minorHAnsi"/>
          <w:b/>
          <w:sz w:val="22"/>
          <w:szCs w:val="22"/>
        </w:rPr>
      </w:pPr>
    </w:p>
    <w:p w14:paraId="57EA63BD" w14:textId="77777777" w:rsidR="00806CA4" w:rsidRPr="00827AEA" w:rsidRDefault="00806CA4" w:rsidP="00806CA4">
      <w:pPr>
        <w:rPr>
          <w:rFonts w:ascii="Bookman Old Style" w:hAnsi="Bookman Old Style" w:cstheme="minorHAnsi"/>
          <w:b/>
          <w:sz w:val="22"/>
          <w:szCs w:val="22"/>
        </w:rPr>
      </w:pPr>
    </w:p>
    <w:p w14:paraId="56012B97" w14:textId="77777777" w:rsidR="00806CA4" w:rsidRPr="00827AEA" w:rsidRDefault="00806CA4" w:rsidP="00806CA4">
      <w:pPr>
        <w:jc w:val="right"/>
        <w:rPr>
          <w:rFonts w:ascii="Bookman Old Style" w:hAnsi="Bookman Old Style" w:cstheme="minorHAnsi"/>
          <w:b/>
          <w:sz w:val="22"/>
          <w:szCs w:val="22"/>
        </w:rPr>
      </w:pPr>
      <w:r w:rsidRPr="00827AEA">
        <w:rPr>
          <w:rFonts w:ascii="Bookman Old Style" w:hAnsi="Bookman Old Style" w:cstheme="minorHAnsi"/>
          <w:b/>
          <w:sz w:val="22"/>
          <w:szCs w:val="22"/>
        </w:rPr>
        <w:t>REF: RADICACIÓN PROYECTO DE LEY</w:t>
      </w:r>
    </w:p>
    <w:p w14:paraId="05F22935" w14:textId="77777777" w:rsidR="00806CA4" w:rsidRPr="00827AEA" w:rsidRDefault="00806CA4" w:rsidP="00806CA4">
      <w:pPr>
        <w:rPr>
          <w:rFonts w:ascii="Bookman Old Style" w:hAnsi="Bookman Old Style" w:cstheme="minorHAnsi"/>
          <w:b/>
          <w:sz w:val="22"/>
          <w:szCs w:val="22"/>
        </w:rPr>
      </w:pPr>
    </w:p>
    <w:p w14:paraId="36239891" w14:textId="77777777" w:rsidR="00806CA4" w:rsidRPr="00827AEA" w:rsidRDefault="00806CA4" w:rsidP="00806CA4">
      <w:pPr>
        <w:rPr>
          <w:rFonts w:ascii="Bookman Old Style" w:hAnsi="Bookman Old Style" w:cstheme="minorHAnsi"/>
          <w:b/>
          <w:sz w:val="22"/>
          <w:szCs w:val="22"/>
        </w:rPr>
      </w:pPr>
    </w:p>
    <w:p w14:paraId="0EA0C301" w14:textId="77777777" w:rsidR="00806CA4" w:rsidRPr="00827AEA" w:rsidRDefault="00806CA4" w:rsidP="00806CA4">
      <w:pPr>
        <w:rPr>
          <w:rFonts w:ascii="Bookman Old Style" w:hAnsi="Bookman Old Style" w:cstheme="minorHAnsi"/>
          <w:b/>
          <w:sz w:val="22"/>
          <w:szCs w:val="22"/>
        </w:rPr>
      </w:pPr>
    </w:p>
    <w:p w14:paraId="4865A60D" w14:textId="77777777" w:rsidR="00806CA4" w:rsidRPr="00827AEA" w:rsidRDefault="00806CA4" w:rsidP="00806CA4">
      <w:pPr>
        <w:rPr>
          <w:rFonts w:ascii="Bookman Old Style" w:hAnsi="Bookman Old Style" w:cstheme="minorHAnsi"/>
          <w:b/>
          <w:sz w:val="22"/>
          <w:szCs w:val="22"/>
        </w:rPr>
      </w:pPr>
    </w:p>
    <w:p w14:paraId="7EA00C66" w14:textId="77777777" w:rsidR="00806CA4" w:rsidRPr="00827AEA" w:rsidRDefault="00806CA4" w:rsidP="00806CA4">
      <w:pPr>
        <w:rPr>
          <w:rFonts w:ascii="Bookman Old Style" w:hAnsi="Bookman Old Style" w:cstheme="minorHAnsi"/>
          <w:bCs/>
          <w:sz w:val="22"/>
          <w:szCs w:val="22"/>
        </w:rPr>
      </w:pPr>
      <w:r w:rsidRPr="00827AEA">
        <w:rPr>
          <w:rFonts w:ascii="Bookman Old Style" w:hAnsi="Bookman Old Style" w:cstheme="minorHAnsi"/>
          <w:bCs/>
          <w:sz w:val="22"/>
          <w:szCs w:val="22"/>
        </w:rPr>
        <w:t>Respetado Señor Secretario General:</w:t>
      </w:r>
    </w:p>
    <w:p w14:paraId="5D08906D" w14:textId="77777777" w:rsidR="00806CA4" w:rsidRPr="00827AEA" w:rsidRDefault="00806CA4" w:rsidP="00806CA4">
      <w:pPr>
        <w:rPr>
          <w:rFonts w:ascii="Bookman Old Style" w:hAnsi="Bookman Old Style" w:cstheme="minorHAnsi"/>
          <w:b/>
          <w:sz w:val="22"/>
          <w:szCs w:val="22"/>
        </w:rPr>
      </w:pPr>
    </w:p>
    <w:p w14:paraId="2C998AAD" w14:textId="45E6E1EC" w:rsidR="00806CA4" w:rsidRPr="00827AEA" w:rsidRDefault="00806CA4" w:rsidP="00806CA4">
      <w:pPr>
        <w:jc w:val="both"/>
        <w:rPr>
          <w:rFonts w:ascii="Bookman Old Style" w:hAnsi="Bookman Old Style" w:cs="Arial"/>
          <w:i/>
          <w:sz w:val="22"/>
          <w:szCs w:val="22"/>
        </w:rPr>
      </w:pPr>
      <w:r w:rsidRPr="00827AEA">
        <w:rPr>
          <w:rFonts w:ascii="Bookman Old Style" w:hAnsi="Bookman Old Style" w:cstheme="minorHAnsi"/>
          <w:sz w:val="22"/>
          <w:szCs w:val="22"/>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AF1FAD">
        <w:rPr>
          <w:rFonts w:ascii="Bookman Old Style" w:hAnsi="Bookman Old Style" w:cstheme="minorHAnsi"/>
          <w:i/>
          <w:sz w:val="22"/>
          <w:szCs w:val="22"/>
        </w:rPr>
        <w:t>“</w:t>
      </w:r>
      <w:r w:rsidRPr="00AF1FAD">
        <w:rPr>
          <w:rFonts w:ascii="Bookman Old Style" w:hAnsi="Bookman Old Style" w:cs="Arial"/>
          <w:i/>
          <w:sz w:val="22"/>
          <w:szCs w:val="22"/>
        </w:rPr>
        <w:t>Por medio del cual se crea el delito de Fracking en la Ley 599 del 2000</w:t>
      </w:r>
      <w:r w:rsidR="00AF1FAD">
        <w:rPr>
          <w:rFonts w:ascii="Bookman Old Style" w:hAnsi="Bookman Old Style" w:cs="Arial"/>
          <w:i/>
          <w:sz w:val="22"/>
          <w:szCs w:val="22"/>
        </w:rPr>
        <w:t xml:space="preserve"> </w:t>
      </w:r>
      <w:r w:rsidR="00AF1FAD" w:rsidRPr="00AF1FAD">
        <w:rPr>
          <w:rFonts w:ascii="Bookman Old Style" w:hAnsi="Bookman Old Style" w:cs="Arial"/>
          <w:b/>
          <w:bCs/>
          <w:i/>
          <w:sz w:val="22"/>
          <w:szCs w:val="22"/>
        </w:rPr>
        <w:t>(Delito Fracking)</w:t>
      </w:r>
      <w:r w:rsidRPr="00AF1FAD">
        <w:rPr>
          <w:rFonts w:ascii="Bookman Old Style" w:hAnsi="Bookman Old Style" w:cs="Arial"/>
          <w:b/>
          <w:bCs/>
          <w:i/>
          <w:sz w:val="22"/>
          <w:szCs w:val="22"/>
        </w:rPr>
        <w:t>”</w:t>
      </w:r>
    </w:p>
    <w:p w14:paraId="1969E9F7" w14:textId="6544644E" w:rsidR="00806CA4" w:rsidRPr="00827AEA" w:rsidRDefault="00806CA4" w:rsidP="00806CA4">
      <w:pPr>
        <w:jc w:val="both"/>
        <w:rPr>
          <w:rFonts w:ascii="Bookman Old Style" w:hAnsi="Bookman Old Style" w:cs="Arial"/>
          <w:i/>
          <w:sz w:val="22"/>
          <w:szCs w:val="22"/>
        </w:rPr>
      </w:pPr>
    </w:p>
    <w:p w14:paraId="0F41576A" w14:textId="1D4DD6E4" w:rsidR="00806CA4" w:rsidRPr="00827AEA" w:rsidRDefault="00806CA4" w:rsidP="00806CA4">
      <w:pPr>
        <w:jc w:val="both"/>
        <w:rPr>
          <w:rFonts w:ascii="Bookman Old Style" w:hAnsi="Bookman Old Style" w:cstheme="minorHAnsi"/>
          <w:sz w:val="22"/>
          <w:szCs w:val="22"/>
        </w:rPr>
      </w:pPr>
      <w:r w:rsidRPr="00827AEA">
        <w:rPr>
          <w:rFonts w:ascii="Bookman Old Style" w:hAnsi="Bookman Old Style" w:cstheme="minorHAnsi"/>
          <w:sz w:val="22"/>
          <w:szCs w:val="22"/>
        </w:rPr>
        <w:t xml:space="preserve">Cordialmente, </w:t>
      </w:r>
    </w:p>
    <w:p w14:paraId="58C33734" w14:textId="4273DCDD" w:rsidR="00806CA4" w:rsidRPr="00827AEA" w:rsidRDefault="00806CA4" w:rsidP="00806CA4">
      <w:pPr>
        <w:rPr>
          <w:rFonts w:ascii="Bookman Old Style" w:hAnsi="Bookman Old Style" w:cstheme="minorHAnsi"/>
          <w:sz w:val="22"/>
          <w:szCs w:val="22"/>
        </w:rPr>
      </w:pPr>
    </w:p>
    <w:p w14:paraId="54299A7C" w14:textId="0C528395" w:rsidR="00806CA4" w:rsidRPr="00827AEA" w:rsidRDefault="00806CA4" w:rsidP="00CC3A27">
      <w:pPr>
        <w:pBdr>
          <w:top w:val="nil"/>
          <w:left w:val="nil"/>
          <w:bottom w:val="nil"/>
          <w:right w:val="nil"/>
          <w:between w:val="nil"/>
        </w:pBdr>
        <w:ind w:right="115"/>
        <w:jc w:val="center"/>
        <w:rPr>
          <w:rFonts w:ascii="Bookman Old Style" w:hAnsi="Bookman Old Style" w:cstheme="minorHAnsi"/>
          <w:sz w:val="22"/>
          <w:szCs w:val="22"/>
        </w:rPr>
      </w:pPr>
    </w:p>
    <w:p w14:paraId="5B1863A8" w14:textId="6589673D" w:rsidR="00806CA4" w:rsidRPr="00827AEA" w:rsidRDefault="00806CA4" w:rsidP="00CC3A27">
      <w:pPr>
        <w:pBdr>
          <w:top w:val="nil"/>
          <w:left w:val="nil"/>
          <w:bottom w:val="nil"/>
          <w:right w:val="nil"/>
          <w:between w:val="nil"/>
        </w:pBdr>
        <w:ind w:right="115"/>
        <w:jc w:val="center"/>
        <w:rPr>
          <w:rFonts w:ascii="Bookman Old Style" w:hAnsi="Bookman Old Style" w:cstheme="minorHAnsi"/>
          <w:sz w:val="22"/>
          <w:szCs w:val="22"/>
        </w:rPr>
      </w:pPr>
    </w:p>
    <w:p w14:paraId="51B4115A" w14:textId="2F1EC9A2" w:rsidR="00806CA4" w:rsidRPr="00827AEA" w:rsidRDefault="00806CA4" w:rsidP="00CC3A27">
      <w:pPr>
        <w:pBdr>
          <w:top w:val="nil"/>
          <w:left w:val="nil"/>
          <w:bottom w:val="nil"/>
          <w:right w:val="nil"/>
          <w:between w:val="nil"/>
        </w:pBdr>
        <w:ind w:right="115"/>
        <w:jc w:val="center"/>
        <w:rPr>
          <w:rFonts w:ascii="Bookman Old Style" w:hAnsi="Bookman Old Style" w:cstheme="minorHAnsi"/>
          <w:sz w:val="22"/>
          <w:szCs w:val="22"/>
        </w:rPr>
      </w:pPr>
    </w:p>
    <w:p w14:paraId="040A8410" w14:textId="77777777" w:rsidR="00806CA4" w:rsidRPr="00827AEA" w:rsidRDefault="00806CA4" w:rsidP="00CC3A27">
      <w:pPr>
        <w:pBdr>
          <w:top w:val="nil"/>
          <w:left w:val="nil"/>
          <w:bottom w:val="nil"/>
          <w:right w:val="nil"/>
          <w:between w:val="nil"/>
        </w:pBdr>
        <w:ind w:right="115"/>
        <w:jc w:val="center"/>
        <w:rPr>
          <w:rFonts w:ascii="Bookman Old Style" w:hAnsi="Bookman Old Style" w:cstheme="minorHAnsi"/>
          <w:b/>
          <w:sz w:val="22"/>
          <w:szCs w:val="22"/>
        </w:rPr>
      </w:pPr>
      <w:r w:rsidRPr="00827AEA">
        <w:rPr>
          <w:rFonts w:ascii="Bookman Old Style" w:hAnsi="Bookman Old Style" w:cstheme="minorHAnsi"/>
          <w:sz w:val="22"/>
          <w:szCs w:val="22"/>
        </w:rPr>
        <w:t>__________________________________</w:t>
      </w:r>
      <w:r w:rsidRPr="00827AEA">
        <w:rPr>
          <w:rFonts w:ascii="Bookman Old Style" w:hAnsi="Bookman Old Style" w:cstheme="minorHAnsi"/>
          <w:sz w:val="22"/>
          <w:szCs w:val="22"/>
        </w:rPr>
        <w:br/>
      </w:r>
      <w:r w:rsidRPr="00827AEA">
        <w:rPr>
          <w:rFonts w:ascii="Bookman Old Style" w:hAnsi="Bookman Old Style" w:cstheme="minorHAnsi"/>
          <w:b/>
          <w:sz w:val="22"/>
          <w:szCs w:val="22"/>
        </w:rPr>
        <w:t>JUAN CARLOS LOZADA VARGAS.</w:t>
      </w:r>
    </w:p>
    <w:p w14:paraId="22790F8A" w14:textId="77777777" w:rsidR="00806CA4" w:rsidRPr="00827AEA" w:rsidRDefault="00806CA4" w:rsidP="00CC3A27">
      <w:pPr>
        <w:pBdr>
          <w:top w:val="nil"/>
          <w:left w:val="nil"/>
          <w:bottom w:val="nil"/>
          <w:right w:val="nil"/>
          <w:between w:val="nil"/>
        </w:pBdr>
        <w:ind w:right="115"/>
        <w:jc w:val="center"/>
        <w:rPr>
          <w:rFonts w:ascii="Bookman Old Style" w:hAnsi="Bookman Old Style" w:cstheme="minorHAnsi"/>
          <w:sz w:val="22"/>
          <w:szCs w:val="22"/>
        </w:rPr>
      </w:pPr>
      <w:r w:rsidRPr="00827AEA">
        <w:rPr>
          <w:rFonts w:ascii="Bookman Old Style" w:hAnsi="Bookman Old Style" w:cstheme="minorHAnsi"/>
          <w:sz w:val="22"/>
          <w:szCs w:val="22"/>
        </w:rPr>
        <w:t>Representante a la Cámara por Bogotá D.C.</w:t>
      </w:r>
      <w:r w:rsidRPr="00827AEA">
        <w:rPr>
          <w:rFonts w:ascii="Bookman Old Style" w:hAnsi="Bookman Old Style" w:cstheme="minorHAnsi"/>
          <w:sz w:val="22"/>
          <w:szCs w:val="22"/>
        </w:rPr>
        <w:br/>
        <w:t>Partido Liberal Colombiano</w:t>
      </w:r>
    </w:p>
    <w:p w14:paraId="1955DDAD" w14:textId="77777777" w:rsidR="00806CA4" w:rsidRPr="00827AEA" w:rsidRDefault="00806CA4" w:rsidP="003F50C8">
      <w:pPr>
        <w:jc w:val="center"/>
        <w:rPr>
          <w:rFonts w:ascii="Bookman Old Style" w:hAnsi="Bookman Old Style" w:cs="Arial"/>
          <w:b/>
          <w:sz w:val="22"/>
          <w:szCs w:val="22"/>
        </w:rPr>
      </w:pPr>
    </w:p>
    <w:p w14:paraId="0E2606B3" w14:textId="77777777" w:rsidR="00806CA4" w:rsidRPr="00827AEA" w:rsidRDefault="00806CA4" w:rsidP="00737F9F">
      <w:pPr>
        <w:rPr>
          <w:rFonts w:ascii="Bookman Old Style" w:hAnsi="Bookman Old Style" w:cs="Arial"/>
          <w:b/>
          <w:sz w:val="22"/>
          <w:szCs w:val="22"/>
        </w:rPr>
      </w:pPr>
    </w:p>
    <w:p w14:paraId="63DBB420" w14:textId="798B1CA0" w:rsidR="00806CA4" w:rsidRDefault="00806CA4" w:rsidP="003F50C8">
      <w:pPr>
        <w:jc w:val="center"/>
        <w:rPr>
          <w:rFonts w:ascii="Bookman Old Style" w:hAnsi="Bookman Old Style" w:cs="Arial"/>
          <w:b/>
          <w:sz w:val="22"/>
          <w:szCs w:val="22"/>
        </w:rPr>
      </w:pPr>
    </w:p>
    <w:p w14:paraId="68D618B0" w14:textId="787E0DCC" w:rsidR="000A50CD" w:rsidRDefault="000A50CD" w:rsidP="003F50C8">
      <w:pPr>
        <w:jc w:val="center"/>
        <w:rPr>
          <w:rFonts w:ascii="Bookman Old Style" w:hAnsi="Bookman Old Style" w:cs="Arial"/>
          <w:b/>
          <w:sz w:val="22"/>
          <w:szCs w:val="22"/>
        </w:rPr>
      </w:pPr>
    </w:p>
    <w:p w14:paraId="16E4409A" w14:textId="77777777" w:rsidR="000A50CD" w:rsidRPr="00827AEA" w:rsidRDefault="000A50CD" w:rsidP="003F50C8">
      <w:pPr>
        <w:jc w:val="center"/>
        <w:rPr>
          <w:rFonts w:ascii="Bookman Old Style" w:hAnsi="Bookman Old Style" w:cs="Arial"/>
          <w:b/>
          <w:sz w:val="22"/>
          <w:szCs w:val="22"/>
        </w:rPr>
      </w:pPr>
    </w:p>
    <w:p w14:paraId="7E9A2B2E" w14:textId="77777777" w:rsidR="00806CA4" w:rsidRDefault="00806CA4" w:rsidP="003F50C8">
      <w:pPr>
        <w:jc w:val="center"/>
        <w:rPr>
          <w:rFonts w:ascii="Bookman Old Style" w:hAnsi="Bookman Old Style" w:cs="Arial"/>
          <w:b/>
          <w:sz w:val="22"/>
          <w:szCs w:val="22"/>
        </w:rPr>
      </w:pPr>
    </w:p>
    <w:p w14:paraId="7B7771B4" w14:textId="77777777" w:rsidR="00827AEA" w:rsidRDefault="00827AEA" w:rsidP="003F50C8">
      <w:pPr>
        <w:jc w:val="center"/>
        <w:rPr>
          <w:rFonts w:ascii="Bookman Old Style" w:hAnsi="Bookman Old Style" w:cs="Arial"/>
          <w:b/>
          <w:sz w:val="22"/>
          <w:szCs w:val="22"/>
        </w:rPr>
      </w:pPr>
    </w:p>
    <w:p w14:paraId="3051F91B" w14:textId="77777777" w:rsidR="00827AEA" w:rsidRDefault="00827AEA" w:rsidP="003F50C8">
      <w:pPr>
        <w:jc w:val="center"/>
        <w:rPr>
          <w:rFonts w:ascii="Bookman Old Style" w:hAnsi="Bookman Old Style" w:cs="Arial"/>
          <w:b/>
          <w:sz w:val="22"/>
          <w:szCs w:val="22"/>
        </w:rPr>
      </w:pPr>
    </w:p>
    <w:p w14:paraId="53CE5E3E" w14:textId="77777777" w:rsidR="00383F34" w:rsidRPr="003F50C8" w:rsidRDefault="00F51DAF" w:rsidP="003F50C8">
      <w:pPr>
        <w:jc w:val="center"/>
        <w:rPr>
          <w:rFonts w:ascii="Bookman Old Style" w:hAnsi="Bookman Old Style" w:cs="Arial"/>
          <w:b/>
          <w:sz w:val="22"/>
          <w:szCs w:val="22"/>
        </w:rPr>
      </w:pPr>
      <w:r w:rsidRPr="003F50C8">
        <w:rPr>
          <w:rFonts w:ascii="Bookman Old Style" w:hAnsi="Bookman Old Style" w:cs="Arial"/>
          <w:b/>
          <w:sz w:val="22"/>
          <w:szCs w:val="22"/>
        </w:rPr>
        <w:t>PROYECTO DE LEY</w:t>
      </w:r>
      <w:r w:rsidR="009537CB">
        <w:rPr>
          <w:rFonts w:ascii="Bookman Old Style" w:hAnsi="Bookman Old Style" w:cs="Arial"/>
          <w:b/>
          <w:sz w:val="22"/>
          <w:szCs w:val="22"/>
        </w:rPr>
        <w:t xml:space="preserve"> ______ de 2022</w:t>
      </w:r>
    </w:p>
    <w:p w14:paraId="2F025DC5" w14:textId="77777777" w:rsidR="003F50C8" w:rsidRDefault="003F50C8" w:rsidP="003F50C8">
      <w:pPr>
        <w:jc w:val="center"/>
        <w:rPr>
          <w:rFonts w:ascii="Bookman Old Style" w:hAnsi="Bookman Old Style" w:cs="Arial"/>
          <w:i/>
          <w:sz w:val="22"/>
          <w:szCs w:val="22"/>
        </w:rPr>
      </w:pPr>
    </w:p>
    <w:p w14:paraId="08D421F7" w14:textId="77777777" w:rsidR="00383F34" w:rsidRPr="003F50C8" w:rsidRDefault="00383F34" w:rsidP="003F50C8">
      <w:pPr>
        <w:jc w:val="center"/>
        <w:rPr>
          <w:rFonts w:ascii="Bookman Old Style" w:hAnsi="Bookman Old Style" w:cs="Arial"/>
          <w:i/>
          <w:sz w:val="22"/>
          <w:szCs w:val="22"/>
        </w:rPr>
      </w:pPr>
      <w:r w:rsidRPr="003F50C8">
        <w:rPr>
          <w:rFonts w:ascii="Bookman Old Style" w:hAnsi="Bookman Old Style" w:cs="Arial"/>
          <w:i/>
          <w:sz w:val="22"/>
          <w:szCs w:val="22"/>
        </w:rPr>
        <w:t>“Por medio del cual se cr</w:t>
      </w:r>
      <w:r w:rsidR="00EB28EC" w:rsidRPr="003F50C8">
        <w:rPr>
          <w:rFonts w:ascii="Bookman Old Style" w:hAnsi="Bookman Old Style" w:cs="Arial"/>
          <w:i/>
          <w:sz w:val="22"/>
          <w:szCs w:val="22"/>
        </w:rPr>
        <w:t>ea el delito de Fracking en la L</w:t>
      </w:r>
      <w:r w:rsidRPr="003F50C8">
        <w:rPr>
          <w:rFonts w:ascii="Bookman Old Style" w:hAnsi="Bookman Old Style" w:cs="Arial"/>
          <w:i/>
          <w:sz w:val="22"/>
          <w:szCs w:val="22"/>
        </w:rPr>
        <w:t>ey 599 del 2000”</w:t>
      </w:r>
    </w:p>
    <w:p w14:paraId="4D27BA93" w14:textId="77777777" w:rsidR="00F21D37" w:rsidRPr="003F50C8" w:rsidRDefault="00F21D37" w:rsidP="003F50C8">
      <w:pPr>
        <w:rPr>
          <w:rFonts w:ascii="Bookman Old Style" w:hAnsi="Bookman Old Style" w:cs="Arial"/>
          <w:i/>
          <w:sz w:val="22"/>
          <w:szCs w:val="22"/>
        </w:rPr>
      </w:pPr>
    </w:p>
    <w:p w14:paraId="082D7BF0" w14:textId="77777777" w:rsidR="003F50C8" w:rsidRDefault="005706CF" w:rsidP="003F50C8">
      <w:pPr>
        <w:tabs>
          <w:tab w:val="left" w:pos="824"/>
          <w:tab w:val="center" w:pos="4419"/>
        </w:tabs>
        <w:rPr>
          <w:rFonts w:ascii="Bookman Old Style" w:hAnsi="Bookman Old Style" w:cs="Arial"/>
          <w:b/>
          <w:sz w:val="22"/>
          <w:szCs w:val="22"/>
        </w:rPr>
      </w:pPr>
      <w:r w:rsidRPr="003F50C8">
        <w:rPr>
          <w:rFonts w:ascii="Bookman Old Style" w:hAnsi="Bookman Old Style" w:cs="Arial"/>
          <w:b/>
          <w:sz w:val="22"/>
          <w:szCs w:val="22"/>
        </w:rPr>
        <w:tab/>
      </w:r>
      <w:r w:rsidRPr="003F50C8">
        <w:rPr>
          <w:rFonts w:ascii="Bookman Old Style" w:hAnsi="Bookman Old Style" w:cs="Arial"/>
          <w:b/>
          <w:sz w:val="22"/>
          <w:szCs w:val="22"/>
        </w:rPr>
        <w:tab/>
      </w:r>
    </w:p>
    <w:p w14:paraId="53F85431" w14:textId="77777777" w:rsidR="00F51DAF" w:rsidRPr="003F50C8" w:rsidRDefault="00F51DAF" w:rsidP="003F50C8">
      <w:pPr>
        <w:tabs>
          <w:tab w:val="left" w:pos="824"/>
          <w:tab w:val="center" w:pos="4419"/>
        </w:tabs>
        <w:jc w:val="center"/>
        <w:rPr>
          <w:rFonts w:ascii="Bookman Old Style" w:hAnsi="Bookman Old Style" w:cs="Arial"/>
          <w:b/>
          <w:sz w:val="22"/>
          <w:szCs w:val="22"/>
        </w:rPr>
      </w:pPr>
      <w:r w:rsidRPr="003F50C8">
        <w:rPr>
          <w:rFonts w:ascii="Bookman Old Style" w:hAnsi="Bookman Old Style" w:cs="Arial"/>
          <w:b/>
          <w:sz w:val="22"/>
          <w:szCs w:val="22"/>
        </w:rPr>
        <w:t>EL CONGRESO DE COLOMBIA</w:t>
      </w:r>
    </w:p>
    <w:p w14:paraId="78C2C9DE" w14:textId="77777777" w:rsidR="00F51DAF" w:rsidRPr="003F50C8" w:rsidRDefault="00F51DAF" w:rsidP="003F50C8">
      <w:pPr>
        <w:jc w:val="center"/>
        <w:rPr>
          <w:rFonts w:ascii="Bookman Old Style" w:hAnsi="Bookman Old Style" w:cs="Arial"/>
          <w:b/>
          <w:sz w:val="22"/>
          <w:szCs w:val="22"/>
        </w:rPr>
      </w:pPr>
    </w:p>
    <w:p w14:paraId="63C74355" w14:textId="77777777" w:rsidR="003F50C8" w:rsidRDefault="003F50C8" w:rsidP="003F50C8">
      <w:pPr>
        <w:jc w:val="center"/>
        <w:rPr>
          <w:rFonts w:ascii="Bookman Old Style" w:hAnsi="Bookman Old Style" w:cs="Arial"/>
          <w:b/>
          <w:sz w:val="22"/>
          <w:szCs w:val="22"/>
        </w:rPr>
      </w:pPr>
    </w:p>
    <w:p w14:paraId="6E6EED1E" w14:textId="77777777" w:rsidR="00F51DAF" w:rsidRPr="003F50C8" w:rsidRDefault="00F51DAF" w:rsidP="003F50C8">
      <w:pPr>
        <w:jc w:val="center"/>
        <w:rPr>
          <w:rFonts w:ascii="Bookman Old Style" w:hAnsi="Bookman Old Style" w:cs="Arial"/>
          <w:b/>
          <w:sz w:val="22"/>
          <w:szCs w:val="22"/>
        </w:rPr>
      </w:pPr>
      <w:r w:rsidRPr="003F50C8">
        <w:rPr>
          <w:rFonts w:ascii="Bookman Old Style" w:hAnsi="Bookman Old Style" w:cs="Arial"/>
          <w:b/>
          <w:sz w:val="22"/>
          <w:szCs w:val="22"/>
        </w:rPr>
        <w:t>DECRETA</w:t>
      </w:r>
    </w:p>
    <w:p w14:paraId="308B7E8D" w14:textId="77777777" w:rsidR="00E7749D" w:rsidRPr="003F50C8" w:rsidRDefault="00E7749D" w:rsidP="003F50C8">
      <w:pPr>
        <w:jc w:val="both"/>
        <w:rPr>
          <w:rFonts w:ascii="Bookman Old Style" w:hAnsi="Bookman Old Style" w:cs="Arial"/>
          <w:b/>
          <w:sz w:val="22"/>
          <w:szCs w:val="22"/>
        </w:rPr>
      </w:pPr>
    </w:p>
    <w:p w14:paraId="7282BB5D" w14:textId="77777777" w:rsidR="003F50C8" w:rsidRDefault="003F50C8" w:rsidP="003F50C8">
      <w:pPr>
        <w:jc w:val="both"/>
        <w:rPr>
          <w:rFonts w:ascii="Bookman Old Style" w:hAnsi="Bookman Old Style" w:cs="Arial"/>
          <w:b/>
          <w:bCs/>
          <w:sz w:val="22"/>
          <w:szCs w:val="22"/>
          <w:shd w:val="clear" w:color="auto" w:fill="FFFFFF"/>
        </w:rPr>
      </w:pPr>
    </w:p>
    <w:p w14:paraId="1C5ADE51" w14:textId="77777777" w:rsidR="00383F34" w:rsidRPr="003F50C8" w:rsidRDefault="00383F34" w:rsidP="003F50C8">
      <w:pPr>
        <w:jc w:val="both"/>
        <w:rPr>
          <w:rFonts w:ascii="Bookman Old Style" w:hAnsi="Bookman Old Style" w:cs="Arial"/>
          <w:bCs/>
          <w:sz w:val="22"/>
          <w:szCs w:val="22"/>
          <w:shd w:val="clear" w:color="auto" w:fill="FFFFFF"/>
        </w:rPr>
      </w:pPr>
      <w:r w:rsidRPr="003F50C8">
        <w:rPr>
          <w:rFonts w:ascii="Bookman Old Style" w:hAnsi="Bookman Old Style" w:cs="Arial"/>
          <w:b/>
          <w:bCs/>
          <w:sz w:val="22"/>
          <w:szCs w:val="22"/>
          <w:shd w:val="clear" w:color="auto" w:fill="FFFFFF"/>
        </w:rPr>
        <w:t xml:space="preserve">ARTÍCULO 1o. </w:t>
      </w:r>
      <w:r w:rsidR="009537CB">
        <w:rPr>
          <w:rFonts w:ascii="Bookman Old Style" w:hAnsi="Bookman Old Style" w:cs="Arial"/>
          <w:bCs/>
          <w:sz w:val="22"/>
          <w:szCs w:val="22"/>
          <w:shd w:val="clear" w:color="auto" w:fill="FFFFFF"/>
        </w:rPr>
        <w:t>Adiciónese el artículo 332</w:t>
      </w:r>
      <w:r w:rsidRPr="003F50C8">
        <w:rPr>
          <w:rFonts w:ascii="Bookman Old Style" w:hAnsi="Bookman Old Style" w:cs="Arial"/>
          <w:bCs/>
          <w:sz w:val="22"/>
          <w:szCs w:val="22"/>
          <w:shd w:val="clear" w:color="auto" w:fill="FFFFFF"/>
        </w:rPr>
        <w:t>A al Título XI, “De los delitos contra los recursos naturales y el medio ambiente”, el cual quedará así:</w:t>
      </w:r>
    </w:p>
    <w:p w14:paraId="650F82E5" w14:textId="77777777" w:rsidR="00383F34" w:rsidRPr="003F50C8" w:rsidRDefault="00383F34" w:rsidP="003F50C8">
      <w:pPr>
        <w:jc w:val="both"/>
        <w:rPr>
          <w:rFonts w:ascii="Bookman Old Style" w:hAnsi="Bookman Old Style"/>
          <w:b/>
          <w:sz w:val="22"/>
          <w:szCs w:val="22"/>
        </w:rPr>
      </w:pPr>
    </w:p>
    <w:p w14:paraId="1F1D713F" w14:textId="77777777" w:rsidR="00383F34" w:rsidRPr="003F50C8" w:rsidRDefault="009537CB" w:rsidP="003F50C8">
      <w:pPr>
        <w:ind w:left="851" w:right="900"/>
        <w:jc w:val="both"/>
        <w:rPr>
          <w:rFonts w:ascii="Bookman Old Style" w:hAnsi="Bookman Old Style"/>
          <w:i/>
          <w:sz w:val="22"/>
          <w:szCs w:val="22"/>
        </w:rPr>
      </w:pPr>
      <w:r>
        <w:rPr>
          <w:rFonts w:ascii="Bookman Old Style" w:hAnsi="Bookman Old Style"/>
          <w:b/>
          <w:i/>
          <w:sz w:val="22"/>
          <w:szCs w:val="22"/>
        </w:rPr>
        <w:t>ARTÍCULO 332</w:t>
      </w:r>
      <w:r w:rsidR="00383F34" w:rsidRPr="003F50C8">
        <w:rPr>
          <w:rFonts w:ascii="Bookman Old Style" w:hAnsi="Bookman Old Style"/>
          <w:b/>
          <w:i/>
          <w:sz w:val="22"/>
          <w:szCs w:val="22"/>
        </w:rPr>
        <w:t>A. Fracking.</w:t>
      </w:r>
      <w:r w:rsidR="00383F34" w:rsidRPr="003F50C8">
        <w:rPr>
          <w:rFonts w:ascii="Bookman Old Style" w:hAnsi="Bookman Old Style"/>
          <w:i/>
          <w:sz w:val="22"/>
          <w:szCs w:val="22"/>
        </w:rPr>
        <w:t xml:space="preserve"> El que realice actividades de </w:t>
      </w:r>
      <w:r>
        <w:rPr>
          <w:rFonts w:ascii="Bookman Old Style" w:hAnsi="Bookman Old Style"/>
          <w:i/>
          <w:sz w:val="22"/>
          <w:szCs w:val="22"/>
        </w:rPr>
        <w:t>sísmica, exploración, explotación o</w:t>
      </w:r>
      <w:r w:rsidR="00383F34" w:rsidRPr="003F50C8">
        <w:rPr>
          <w:rFonts w:ascii="Bookman Old Style" w:hAnsi="Bookman Old Style"/>
          <w:i/>
          <w:sz w:val="22"/>
          <w:szCs w:val="22"/>
        </w:rPr>
        <w:t xml:space="preserve"> aprovechamiento del suelo o del subsuelo a través del método de fractura</w:t>
      </w:r>
      <w:r w:rsidR="009C439F" w:rsidRPr="003F50C8">
        <w:rPr>
          <w:rFonts w:ascii="Bookman Old Style" w:hAnsi="Bookman Old Style"/>
          <w:i/>
          <w:sz w:val="22"/>
          <w:szCs w:val="22"/>
        </w:rPr>
        <w:t>ción</w:t>
      </w:r>
      <w:r w:rsidR="00383F34" w:rsidRPr="003F50C8">
        <w:rPr>
          <w:rFonts w:ascii="Bookman Old Style" w:hAnsi="Bookman Old Style"/>
          <w:i/>
          <w:sz w:val="22"/>
          <w:szCs w:val="22"/>
        </w:rPr>
        <w:t xml:space="preserve"> hidráulica, incurrirá, </w:t>
      </w:r>
      <w:r w:rsidR="00383F34" w:rsidRPr="003F50C8">
        <w:rPr>
          <w:rFonts w:ascii="Bookman Old Style" w:hAnsi="Bookman Old Style"/>
          <w:bCs/>
          <w:i/>
          <w:sz w:val="22"/>
          <w:szCs w:val="22"/>
        </w:rPr>
        <w:t>sin perjuicio de las sanciones administrativas a que hubiere lugar,</w:t>
      </w:r>
      <w:r w:rsidR="00383F34" w:rsidRPr="003F50C8">
        <w:rPr>
          <w:rFonts w:ascii="Bookman Old Style" w:hAnsi="Bookman Old Style"/>
          <w:i/>
          <w:sz w:val="22"/>
          <w:szCs w:val="22"/>
        </w:rPr>
        <w:t xml:space="preserve"> en prisión de </w:t>
      </w:r>
      <w:r>
        <w:rPr>
          <w:rFonts w:ascii="Bookman Old Style" w:hAnsi="Bookman Old Style"/>
          <w:i/>
          <w:sz w:val="22"/>
          <w:szCs w:val="22"/>
        </w:rPr>
        <w:t xml:space="preserve">noventa y seis </w:t>
      </w:r>
      <w:r w:rsidR="00EC4A8F" w:rsidRPr="003F50C8">
        <w:rPr>
          <w:rFonts w:ascii="Bookman Old Style" w:hAnsi="Bookman Old Style"/>
          <w:i/>
          <w:sz w:val="22"/>
          <w:szCs w:val="22"/>
        </w:rPr>
        <w:t>(96</w:t>
      </w:r>
      <w:r w:rsidR="00383F34" w:rsidRPr="003F50C8">
        <w:rPr>
          <w:rFonts w:ascii="Bookman Old Style" w:hAnsi="Bookman Old Style"/>
          <w:i/>
          <w:sz w:val="22"/>
          <w:szCs w:val="22"/>
        </w:rPr>
        <w:t xml:space="preserve">) a ciento ochenta (180) meses </w:t>
      </w:r>
      <w:r w:rsidR="00383F34" w:rsidRPr="003F50C8">
        <w:rPr>
          <w:rFonts w:ascii="Bookman Old Style" w:hAnsi="Bookman Old Style"/>
          <w:bCs/>
          <w:i/>
          <w:sz w:val="22"/>
          <w:szCs w:val="22"/>
        </w:rPr>
        <w:t xml:space="preserve">y </w:t>
      </w:r>
      <w:r w:rsidR="00383F34" w:rsidRPr="003F50C8">
        <w:rPr>
          <w:rFonts w:ascii="Bookman Old Style" w:hAnsi="Bookman Old Style"/>
          <w:i/>
          <w:sz w:val="22"/>
          <w:szCs w:val="22"/>
        </w:rPr>
        <w:t>multa de ciento treinta y cuatro (134) a cincuenta mil (50.000) salarios mínimos legales mensuales vigentes.</w:t>
      </w:r>
    </w:p>
    <w:p w14:paraId="478E407F" w14:textId="77777777" w:rsidR="00645E04" w:rsidRPr="003F50C8" w:rsidRDefault="00645E04" w:rsidP="003F50C8">
      <w:pPr>
        <w:ind w:left="851" w:right="900"/>
        <w:jc w:val="both"/>
        <w:rPr>
          <w:rFonts w:ascii="Bookman Old Style" w:hAnsi="Bookman Old Style"/>
          <w:bCs/>
          <w:i/>
          <w:sz w:val="22"/>
          <w:szCs w:val="22"/>
        </w:rPr>
      </w:pPr>
    </w:p>
    <w:p w14:paraId="374D3456" w14:textId="77777777" w:rsidR="002E1FE2" w:rsidRPr="003F50C8" w:rsidRDefault="00383F34" w:rsidP="003F50C8">
      <w:pPr>
        <w:ind w:left="851" w:right="900"/>
        <w:jc w:val="both"/>
        <w:rPr>
          <w:rFonts w:ascii="Bookman Old Style" w:hAnsi="Bookman Old Style"/>
          <w:bCs/>
          <w:i/>
          <w:sz w:val="22"/>
          <w:szCs w:val="22"/>
        </w:rPr>
      </w:pPr>
      <w:r w:rsidRPr="003F50C8">
        <w:rPr>
          <w:rFonts w:ascii="Bookman Old Style" w:hAnsi="Bookman Old Style"/>
          <w:bCs/>
          <w:i/>
          <w:sz w:val="22"/>
          <w:szCs w:val="22"/>
        </w:rPr>
        <w:t xml:space="preserve">La pena se aumentará de una tercera parte a la mitad cuando con la conducta se </w:t>
      </w:r>
      <w:r w:rsidRPr="003F50C8">
        <w:rPr>
          <w:rFonts w:ascii="Bookman Old Style" w:hAnsi="Bookman Old Style"/>
          <w:i/>
          <w:sz w:val="22"/>
          <w:szCs w:val="22"/>
        </w:rPr>
        <w:t>destruya, inutilice o haga desaparecer el suelo, subsuelo o sus recursos naturales</w:t>
      </w:r>
      <w:r w:rsidRPr="003F50C8">
        <w:rPr>
          <w:rFonts w:ascii="Bookman Old Style" w:hAnsi="Bookman Old Style"/>
          <w:bCs/>
          <w:i/>
          <w:sz w:val="22"/>
          <w:szCs w:val="22"/>
        </w:rPr>
        <w:t xml:space="preserve"> o altere o destruya acuíferos.</w:t>
      </w:r>
    </w:p>
    <w:p w14:paraId="27DD85CF" w14:textId="77777777" w:rsidR="0023038F" w:rsidRPr="003F50C8" w:rsidRDefault="0023038F" w:rsidP="003F50C8">
      <w:pPr>
        <w:ind w:right="333"/>
        <w:jc w:val="both"/>
        <w:rPr>
          <w:rFonts w:ascii="Bookman Old Style" w:hAnsi="Bookman Old Style"/>
          <w:bCs/>
          <w:i/>
          <w:sz w:val="22"/>
          <w:szCs w:val="22"/>
        </w:rPr>
      </w:pPr>
    </w:p>
    <w:p w14:paraId="7863235F" w14:textId="77777777" w:rsidR="003F50C8" w:rsidRDefault="003F50C8" w:rsidP="003F50C8">
      <w:pPr>
        <w:ind w:right="333"/>
        <w:jc w:val="both"/>
        <w:rPr>
          <w:rFonts w:ascii="Bookman Old Style" w:hAnsi="Bookman Old Style" w:cs="Arial"/>
          <w:b/>
          <w:bCs/>
          <w:sz w:val="22"/>
          <w:szCs w:val="22"/>
          <w:shd w:val="clear" w:color="auto" w:fill="FFFFFF"/>
        </w:rPr>
      </w:pPr>
    </w:p>
    <w:p w14:paraId="0E50F72A" w14:textId="4E399FC0" w:rsidR="0023038F" w:rsidRPr="003F50C8" w:rsidRDefault="0023038F" w:rsidP="003F50C8">
      <w:pPr>
        <w:ind w:right="333"/>
        <w:jc w:val="both"/>
        <w:rPr>
          <w:rFonts w:ascii="Bookman Old Style" w:hAnsi="Bookman Old Style"/>
          <w:bCs/>
          <w:sz w:val="22"/>
          <w:szCs w:val="22"/>
        </w:rPr>
      </w:pPr>
      <w:r w:rsidRPr="003F50C8">
        <w:rPr>
          <w:rFonts w:ascii="Bookman Old Style" w:hAnsi="Bookman Old Style" w:cs="Arial"/>
          <w:b/>
          <w:bCs/>
          <w:sz w:val="22"/>
          <w:szCs w:val="22"/>
          <w:shd w:val="clear" w:color="auto" w:fill="FFFFFF"/>
        </w:rPr>
        <w:t xml:space="preserve">ARTÍCULO 2o. </w:t>
      </w:r>
      <w:r w:rsidRPr="003F50C8">
        <w:rPr>
          <w:rFonts w:ascii="Bookman Old Style" w:hAnsi="Bookman Old Style"/>
          <w:b/>
          <w:bCs/>
          <w:sz w:val="22"/>
          <w:szCs w:val="22"/>
        </w:rPr>
        <w:t>Vigencia.</w:t>
      </w:r>
      <w:r w:rsidRPr="003F50C8">
        <w:rPr>
          <w:rFonts w:ascii="Bookman Old Style" w:hAnsi="Bookman Old Style"/>
          <w:bCs/>
          <w:i/>
          <w:sz w:val="22"/>
          <w:szCs w:val="22"/>
        </w:rPr>
        <w:t xml:space="preserve"> </w:t>
      </w:r>
      <w:r w:rsidRPr="003F50C8">
        <w:rPr>
          <w:rFonts w:ascii="Bookman Old Style" w:hAnsi="Bookman Old Style"/>
          <w:bCs/>
          <w:sz w:val="22"/>
          <w:szCs w:val="22"/>
        </w:rPr>
        <w:t xml:space="preserve">La presente ley </w:t>
      </w:r>
      <w:r w:rsidR="00497FFC" w:rsidRPr="003F50C8">
        <w:rPr>
          <w:rFonts w:ascii="Bookman Old Style" w:hAnsi="Bookman Old Style"/>
          <w:bCs/>
          <w:sz w:val="22"/>
          <w:szCs w:val="22"/>
        </w:rPr>
        <w:t>rige a partir de la fecha de su promulgación y deroga las disposiciones que le sean contrarias.</w:t>
      </w:r>
    </w:p>
    <w:p w14:paraId="5326BF47" w14:textId="4F793C1A" w:rsidR="002E1FE2" w:rsidRPr="003F50C8" w:rsidRDefault="002E1FE2" w:rsidP="003F50C8">
      <w:pPr>
        <w:jc w:val="both"/>
        <w:rPr>
          <w:rFonts w:ascii="Bookman Old Style" w:hAnsi="Bookman Old Style" w:cs="Arial"/>
          <w:sz w:val="22"/>
          <w:szCs w:val="22"/>
        </w:rPr>
      </w:pPr>
    </w:p>
    <w:p w14:paraId="1084E967" w14:textId="6C3A120B" w:rsidR="00460BF2" w:rsidRPr="003F50C8" w:rsidRDefault="00460BF2" w:rsidP="003F50C8">
      <w:pPr>
        <w:jc w:val="both"/>
        <w:rPr>
          <w:rFonts w:ascii="Bookman Old Style" w:hAnsi="Bookman Old Style" w:cs="Arial"/>
          <w:sz w:val="22"/>
          <w:szCs w:val="22"/>
        </w:rPr>
      </w:pPr>
      <w:r w:rsidRPr="003F50C8">
        <w:rPr>
          <w:rFonts w:ascii="Bookman Old Style" w:hAnsi="Bookman Old Style" w:cs="Arial"/>
          <w:sz w:val="22"/>
          <w:szCs w:val="22"/>
        </w:rPr>
        <w:t>Cordialmente,</w:t>
      </w:r>
    </w:p>
    <w:p w14:paraId="55FAC964" w14:textId="0C45F914" w:rsidR="00F21D37" w:rsidRPr="003F50C8" w:rsidRDefault="00F21D37" w:rsidP="003F50C8">
      <w:pPr>
        <w:jc w:val="both"/>
        <w:rPr>
          <w:rFonts w:ascii="Bookman Old Style" w:hAnsi="Bookman Old Style" w:cs="Arial"/>
          <w:sz w:val="22"/>
          <w:szCs w:val="22"/>
        </w:rPr>
      </w:pPr>
    </w:p>
    <w:p w14:paraId="110CEB48" w14:textId="4FB78C67" w:rsidR="003F50C8" w:rsidRDefault="003F50C8" w:rsidP="003F50C8">
      <w:pPr>
        <w:pStyle w:val="Sinespaciado"/>
        <w:tabs>
          <w:tab w:val="left" w:pos="8055"/>
        </w:tabs>
        <w:jc w:val="center"/>
        <w:rPr>
          <w:rFonts w:ascii="Bookman Old Style" w:hAnsi="Bookman Old Style" w:cs="Arial"/>
          <w:b/>
        </w:rPr>
      </w:pPr>
    </w:p>
    <w:p w14:paraId="37AAD67D" w14:textId="77777777" w:rsidR="003F50C8" w:rsidRDefault="003F50C8" w:rsidP="003F50C8">
      <w:pPr>
        <w:pStyle w:val="Sinespaciado"/>
        <w:tabs>
          <w:tab w:val="left" w:pos="8055"/>
        </w:tabs>
        <w:jc w:val="center"/>
        <w:rPr>
          <w:rFonts w:ascii="Bookman Old Style" w:hAnsi="Bookman Old Style" w:cs="Arial"/>
          <w:b/>
        </w:rPr>
      </w:pPr>
    </w:p>
    <w:p w14:paraId="2FF34F21" w14:textId="77777777" w:rsidR="00F21D37" w:rsidRPr="003F50C8" w:rsidRDefault="00F21D37" w:rsidP="003F50C8">
      <w:pPr>
        <w:pStyle w:val="Sinespaciado"/>
        <w:tabs>
          <w:tab w:val="left" w:pos="8055"/>
        </w:tabs>
        <w:jc w:val="center"/>
        <w:rPr>
          <w:rFonts w:ascii="Bookman Old Style" w:hAnsi="Bookman Old Style" w:cs="Arial"/>
          <w:b/>
        </w:rPr>
      </w:pPr>
      <w:r w:rsidRPr="003F50C8">
        <w:rPr>
          <w:rFonts w:ascii="Bookman Old Style" w:hAnsi="Bookman Old Style" w:cs="Arial"/>
          <w:b/>
        </w:rPr>
        <w:t>JUAN CARLOS LOZADA VARGAS</w:t>
      </w:r>
    </w:p>
    <w:p w14:paraId="242F7709" w14:textId="77777777" w:rsidR="00815F8B" w:rsidRPr="003F50C8" w:rsidRDefault="00815F8B" w:rsidP="003F50C8">
      <w:pPr>
        <w:pStyle w:val="Sinespaciado"/>
        <w:tabs>
          <w:tab w:val="left" w:pos="8055"/>
        </w:tabs>
        <w:jc w:val="center"/>
        <w:rPr>
          <w:rFonts w:ascii="Bookman Old Style" w:hAnsi="Bookman Old Style" w:cs="Arial"/>
        </w:rPr>
      </w:pPr>
      <w:r w:rsidRPr="003F50C8">
        <w:rPr>
          <w:rFonts w:ascii="Bookman Old Style" w:hAnsi="Bookman Old Style" w:cs="Arial"/>
        </w:rPr>
        <w:t>Representante a la Cámara</w:t>
      </w:r>
    </w:p>
    <w:p w14:paraId="4BF66A23" w14:textId="77777777" w:rsidR="00737F9F" w:rsidRPr="009537CB" w:rsidRDefault="009537CB" w:rsidP="009537CB">
      <w:pPr>
        <w:pStyle w:val="Sinespaciado"/>
        <w:tabs>
          <w:tab w:val="left" w:pos="8055"/>
        </w:tabs>
        <w:jc w:val="center"/>
        <w:rPr>
          <w:rFonts w:ascii="Bookman Old Style" w:hAnsi="Bookman Old Style" w:cs="Arial"/>
        </w:rPr>
        <w:sectPr w:rsidR="00737F9F" w:rsidRPr="009537CB" w:rsidSect="00C76566">
          <w:headerReference w:type="default" r:id="rId8"/>
          <w:footerReference w:type="default" r:id="rId9"/>
          <w:pgSz w:w="12240" w:h="15840"/>
          <w:pgMar w:top="2410" w:right="1701" w:bottom="1417" w:left="1701" w:header="708" w:footer="708" w:gutter="0"/>
          <w:cols w:space="708"/>
          <w:docGrid w:linePitch="360"/>
        </w:sectPr>
      </w:pPr>
      <w:r>
        <w:rPr>
          <w:rFonts w:ascii="Bookman Old Style" w:hAnsi="Bookman Old Style" w:cs="Arial"/>
        </w:rPr>
        <w:t>Partido Liberal</w:t>
      </w:r>
    </w:p>
    <w:p w14:paraId="4752A0B3" w14:textId="77777777" w:rsidR="006D6125" w:rsidRDefault="006D6125" w:rsidP="00737F9F">
      <w:pPr>
        <w:pStyle w:val="Sinespaciado"/>
        <w:pBdr>
          <w:bottom w:val="single" w:sz="4" w:space="1" w:color="auto"/>
        </w:pBdr>
        <w:tabs>
          <w:tab w:val="left" w:pos="8055"/>
        </w:tabs>
        <w:rPr>
          <w:rFonts w:ascii="Bookman Old Style" w:hAnsi="Bookman Old Style" w:cs="Arial"/>
          <w:b/>
        </w:rPr>
      </w:pPr>
    </w:p>
    <w:p w14:paraId="47EBC0A7" w14:textId="77777777" w:rsidR="00460BF2" w:rsidRPr="003F50C8" w:rsidRDefault="000D565C" w:rsidP="003F50C8">
      <w:pPr>
        <w:pStyle w:val="Sinespaciado"/>
        <w:pBdr>
          <w:bottom w:val="single" w:sz="4" w:space="1" w:color="auto"/>
        </w:pBdr>
        <w:tabs>
          <w:tab w:val="left" w:pos="8055"/>
        </w:tabs>
        <w:jc w:val="center"/>
        <w:rPr>
          <w:rFonts w:ascii="Bookman Old Style" w:hAnsi="Bookman Old Style" w:cs="Arial"/>
          <w:b/>
        </w:rPr>
      </w:pPr>
      <w:r w:rsidRPr="003F50C8">
        <w:rPr>
          <w:rFonts w:ascii="Bookman Old Style" w:hAnsi="Bookman Old Style" w:cs="Arial"/>
          <w:b/>
        </w:rPr>
        <w:t>E</w:t>
      </w:r>
      <w:r w:rsidR="00460BF2" w:rsidRPr="003F50C8">
        <w:rPr>
          <w:rFonts w:ascii="Bookman Old Style" w:hAnsi="Bookman Old Style" w:cs="Arial"/>
          <w:b/>
        </w:rPr>
        <w:t>XPOSICI</w:t>
      </w:r>
      <w:r w:rsidR="00737F9F">
        <w:rPr>
          <w:rFonts w:ascii="Bookman Old Style" w:hAnsi="Bookman Old Style" w:cs="Arial"/>
          <w:b/>
        </w:rPr>
        <w:t>Ó</w:t>
      </w:r>
      <w:r w:rsidR="00460BF2" w:rsidRPr="003F50C8">
        <w:rPr>
          <w:rFonts w:ascii="Bookman Old Style" w:hAnsi="Bookman Old Style" w:cs="Arial"/>
          <w:b/>
        </w:rPr>
        <w:t>N DE MOTIVOS</w:t>
      </w:r>
      <w:r w:rsidR="006A3355" w:rsidRPr="003F50C8">
        <w:rPr>
          <w:rFonts w:ascii="Bookman Old Style" w:hAnsi="Bookman Old Style" w:cs="Arial"/>
          <w:b/>
        </w:rPr>
        <w:t>.</w:t>
      </w:r>
    </w:p>
    <w:p w14:paraId="3A4AA767" w14:textId="77777777" w:rsidR="006A3355" w:rsidRDefault="006A3355" w:rsidP="003F50C8">
      <w:pPr>
        <w:pStyle w:val="Sinespaciado"/>
        <w:tabs>
          <w:tab w:val="left" w:pos="8055"/>
        </w:tabs>
        <w:jc w:val="center"/>
        <w:rPr>
          <w:rFonts w:ascii="Bookman Old Style" w:hAnsi="Bookman Old Style" w:cs="Arial"/>
          <w:b/>
        </w:rPr>
      </w:pPr>
    </w:p>
    <w:p w14:paraId="5D04E100" w14:textId="2C962C04" w:rsidR="009537CB" w:rsidRDefault="009537CB" w:rsidP="009537CB">
      <w:pPr>
        <w:pBdr>
          <w:top w:val="nil"/>
          <w:left w:val="nil"/>
          <w:bottom w:val="nil"/>
          <w:right w:val="nil"/>
          <w:between w:val="nil"/>
        </w:pBdr>
        <w:ind w:right="115"/>
        <w:rPr>
          <w:rFonts w:ascii="Bookman Old Style" w:eastAsia="Calibri" w:hAnsi="Bookman Old Style" w:cs="Calibri"/>
          <w:sz w:val="22"/>
          <w:szCs w:val="22"/>
        </w:rPr>
      </w:pPr>
      <w:r>
        <w:rPr>
          <w:rFonts w:ascii="Bookman Old Style" w:eastAsia="Calibri" w:hAnsi="Bookman Old Style" w:cs="Calibri"/>
          <w:sz w:val="22"/>
          <w:szCs w:val="22"/>
        </w:rPr>
        <w:t xml:space="preserve">La presente exposición de motivos está compuesta por </w:t>
      </w:r>
      <w:r w:rsidR="00B716AE">
        <w:rPr>
          <w:rFonts w:ascii="Bookman Old Style" w:eastAsia="Calibri" w:hAnsi="Bookman Old Style" w:cs="Calibri"/>
          <w:sz w:val="22"/>
          <w:szCs w:val="22"/>
        </w:rPr>
        <w:t xml:space="preserve">ocho </w:t>
      </w:r>
      <w:r>
        <w:rPr>
          <w:rFonts w:ascii="Bookman Old Style" w:eastAsia="Calibri" w:hAnsi="Bookman Old Style" w:cs="Calibri"/>
          <w:sz w:val="22"/>
          <w:szCs w:val="22"/>
        </w:rPr>
        <w:t>(</w:t>
      </w:r>
      <w:r w:rsidR="00B716AE">
        <w:rPr>
          <w:rFonts w:ascii="Bookman Old Style" w:eastAsia="Calibri" w:hAnsi="Bookman Old Style" w:cs="Calibri"/>
          <w:sz w:val="22"/>
          <w:szCs w:val="22"/>
        </w:rPr>
        <w:t>8</w:t>
      </w:r>
      <w:r>
        <w:rPr>
          <w:rFonts w:ascii="Bookman Old Style" w:eastAsia="Calibri" w:hAnsi="Bookman Old Style" w:cs="Calibri"/>
          <w:sz w:val="22"/>
          <w:szCs w:val="22"/>
        </w:rPr>
        <w:t>) apartes:</w:t>
      </w:r>
    </w:p>
    <w:p w14:paraId="1F389AE3" w14:textId="77777777" w:rsidR="005D4D57" w:rsidRPr="009537CB" w:rsidRDefault="005D4D57" w:rsidP="009537CB">
      <w:pPr>
        <w:pBdr>
          <w:top w:val="nil"/>
          <w:left w:val="nil"/>
          <w:bottom w:val="nil"/>
          <w:right w:val="nil"/>
          <w:between w:val="nil"/>
        </w:pBdr>
        <w:ind w:right="115"/>
        <w:rPr>
          <w:rFonts w:ascii="Bookman Old Style" w:eastAsia="Calibri" w:hAnsi="Bookman Old Style" w:cs="Calibri"/>
          <w:sz w:val="22"/>
          <w:szCs w:val="22"/>
        </w:rPr>
      </w:pPr>
    </w:p>
    <w:p w14:paraId="599AC0CB" w14:textId="77777777" w:rsidR="009537CB" w:rsidRDefault="009537CB" w:rsidP="009537CB">
      <w:pPr>
        <w:pBdr>
          <w:top w:val="nil"/>
          <w:left w:val="nil"/>
          <w:bottom w:val="nil"/>
          <w:right w:val="nil"/>
          <w:between w:val="nil"/>
        </w:pBdr>
        <w:ind w:right="115"/>
        <w:rPr>
          <w:rFonts w:ascii="Bookman Old Style" w:eastAsia="Calibri" w:hAnsi="Bookman Old Style" w:cs="Calibri"/>
          <w:b/>
          <w:sz w:val="22"/>
          <w:szCs w:val="22"/>
        </w:rPr>
      </w:pPr>
      <w:r w:rsidRPr="009537CB">
        <w:rPr>
          <w:rFonts w:ascii="Bookman Old Style" w:eastAsia="Calibri" w:hAnsi="Bookman Old Style" w:cs="Calibri"/>
          <w:b/>
          <w:sz w:val="22"/>
          <w:szCs w:val="22"/>
        </w:rPr>
        <w:t>CONTENIDO.</w:t>
      </w:r>
    </w:p>
    <w:p w14:paraId="20E30CC8" w14:textId="77777777" w:rsidR="009537CB" w:rsidRPr="009537CB" w:rsidRDefault="009537CB" w:rsidP="009537CB">
      <w:pPr>
        <w:pBdr>
          <w:top w:val="nil"/>
          <w:left w:val="nil"/>
          <w:bottom w:val="nil"/>
          <w:right w:val="nil"/>
          <w:between w:val="nil"/>
        </w:pBdr>
        <w:ind w:right="115"/>
        <w:rPr>
          <w:rFonts w:ascii="Bookman Old Style" w:eastAsia="Calibri" w:hAnsi="Bookman Old Style" w:cs="Calibri"/>
          <w:b/>
          <w:sz w:val="22"/>
          <w:szCs w:val="22"/>
        </w:rPr>
      </w:pPr>
    </w:p>
    <w:p w14:paraId="416E10C0" w14:textId="77777777" w:rsidR="009537CB" w:rsidRP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Objeto</w:t>
      </w:r>
      <w:r w:rsidR="005D4D57">
        <w:rPr>
          <w:rFonts w:ascii="Bookman Old Style" w:eastAsia="Calibri" w:hAnsi="Bookman Old Style" w:cs="Calibri"/>
          <w:bCs/>
          <w:sz w:val="22"/>
          <w:szCs w:val="22"/>
        </w:rPr>
        <w:t xml:space="preserve"> del Proyecto de Ley</w:t>
      </w:r>
      <w:r w:rsidRPr="009537CB">
        <w:rPr>
          <w:rFonts w:ascii="Bookman Old Style" w:eastAsia="Calibri" w:hAnsi="Bookman Old Style" w:cs="Calibri"/>
          <w:bCs/>
          <w:sz w:val="22"/>
          <w:szCs w:val="22"/>
        </w:rPr>
        <w:t>.</w:t>
      </w:r>
    </w:p>
    <w:p w14:paraId="36856327" w14:textId="77777777" w:rsidR="009537CB" w:rsidRP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Antecedentes del Proyecto.</w:t>
      </w:r>
    </w:p>
    <w:p w14:paraId="36399AFF" w14:textId="77777777" w:rsidR="009537CB" w:rsidRPr="009537CB" w:rsidRDefault="005D4D57"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Justificación</w:t>
      </w:r>
      <w:r w:rsidR="009537CB" w:rsidRPr="009537CB">
        <w:rPr>
          <w:rFonts w:ascii="Bookman Old Style" w:eastAsia="Calibri" w:hAnsi="Bookman Old Style" w:cs="Calibri"/>
          <w:bCs/>
          <w:sz w:val="22"/>
          <w:szCs w:val="22"/>
        </w:rPr>
        <w:t>.</w:t>
      </w:r>
      <w:r w:rsidR="009537CB" w:rsidRPr="009537CB">
        <w:rPr>
          <w:rFonts w:ascii="Bookman Old Style" w:eastAsia="Calibri" w:hAnsi="Bookman Old Style" w:cs="Calibri"/>
          <w:bCs/>
          <w:sz w:val="22"/>
          <w:szCs w:val="22"/>
        </w:rPr>
        <w:br/>
      </w:r>
      <w:r w:rsidR="009537CB">
        <w:rPr>
          <w:rFonts w:ascii="Bookman Old Style" w:eastAsia="Calibri" w:hAnsi="Bookman Old Style" w:cs="Calibri"/>
          <w:bCs/>
          <w:sz w:val="22"/>
          <w:szCs w:val="22"/>
        </w:rPr>
        <w:t>3</w:t>
      </w:r>
      <w:r w:rsidR="009537CB" w:rsidRPr="009537CB">
        <w:rPr>
          <w:rFonts w:ascii="Bookman Old Style" w:eastAsia="Calibri" w:hAnsi="Bookman Old Style" w:cs="Calibri"/>
          <w:bCs/>
          <w:sz w:val="22"/>
          <w:szCs w:val="22"/>
        </w:rPr>
        <w:t>.1 Derecho a gozar de un ambiente sano.</w:t>
      </w:r>
      <w:r w:rsidR="009537CB" w:rsidRPr="009537CB">
        <w:rPr>
          <w:rFonts w:ascii="Bookman Old Style" w:eastAsia="Calibri" w:hAnsi="Bookman Old Style" w:cs="Calibri"/>
          <w:bCs/>
          <w:sz w:val="22"/>
          <w:szCs w:val="22"/>
        </w:rPr>
        <w:br/>
      </w:r>
      <w:r w:rsidR="009537CB">
        <w:rPr>
          <w:rFonts w:ascii="Bookman Old Style" w:eastAsia="Calibri" w:hAnsi="Bookman Old Style" w:cs="Calibri"/>
          <w:bCs/>
          <w:sz w:val="22"/>
          <w:szCs w:val="22"/>
        </w:rPr>
        <w:t>3</w:t>
      </w:r>
      <w:r w:rsidR="009537CB" w:rsidRPr="009537CB">
        <w:rPr>
          <w:rFonts w:ascii="Bookman Old Style" w:eastAsia="Calibri" w:hAnsi="Bookman Old Style" w:cs="Calibri"/>
          <w:bCs/>
          <w:sz w:val="22"/>
          <w:szCs w:val="22"/>
        </w:rPr>
        <w:t>.2 Impactos del Fracking sobre el medio ambiente.</w:t>
      </w:r>
      <w:r w:rsidR="009537CB" w:rsidRPr="009537CB">
        <w:rPr>
          <w:rFonts w:ascii="Bookman Old Style" w:eastAsia="Calibri" w:hAnsi="Bookman Old Style" w:cs="Calibri"/>
          <w:bCs/>
          <w:sz w:val="22"/>
          <w:szCs w:val="22"/>
        </w:rPr>
        <w:br/>
      </w:r>
      <w:r w:rsidR="009537CB">
        <w:rPr>
          <w:rFonts w:ascii="Bookman Old Style" w:eastAsia="Calibri" w:hAnsi="Bookman Old Style" w:cs="Calibri"/>
          <w:bCs/>
          <w:sz w:val="22"/>
          <w:szCs w:val="22"/>
        </w:rPr>
        <w:t>3</w:t>
      </w:r>
      <w:r w:rsidR="009537CB" w:rsidRPr="009537CB">
        <w:rPr>
          <w:rFonts w:ascii="Bookman Old Style" w:eastAsia="Calibri" w:hAnsi="Bookman Old Style" w:cs="Calibri"/>
          <w:bCs/>
          <w:sz w:val="22"/>
          <w:szCs w:val="22"/>
        </w:rPr>
        <w:t>.2.1 Impacto sobre el agua (acuíferos y superficial).</w:t>
      </w:r>
    </w:p>
    <w:p w14:paraId="5AFBFB95"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.2.2 Impacto sobre la biodiversidad.</w:t>
      </w:r>
    </w:p>
    <w:p w14:paraId="0FEF5FE5"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.2.3 Sismicidad inducida.</w:t>
      </w:r>
    </w:p>
    <w:p w14:paraId="6D3E82B8"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.2.4 Crisis Climática.</w:t>
      </w:r>
    </w:p>
    <w:p w14:paraId="1229C555"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.3 Impactos del Fracking sobre la salud y las comunidades.</w:t>
      </w:r>
    </w:p>
    <w:p w14:paraId="6784045A"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.3.1 Impactos sobre la salud pública.</w:t>
      </w:r>
    </w:p>
    <w:p w14:paraId="4EA7CC8F"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.3.1 Impactos sobre las comunidades.</w:t>
      </w:r>
    </w:p>
    <w:p w14:paraId="165F57F4"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.4 Accidentes relacionados con el Fracking.</w:t>
      </w:r>
    </w:p>
    <w:p w14:paraId="62BDE27D"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.5 Prohibición del Fracking a nivel internacional.</w:t>
      </w:r>
    </w:p>
    <w:p w14:paraId="29A6ADC1"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.6 Pronunciamiento de Entidades Nacionales y Organizaciones Internacionales.</w:t>
      </w:r>
    </w:p>
    <w:p w14:paraId="7A647E81" w14:textId="77777777"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.6.1 Pronunciamiento de la Contraloría General de la República.</w:t>
      </w:r>
    </w:p>
    <w:p w14:paraId="7C56204F" w14:textId="642F359F" w:rsid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.6.2 Pronunciamiento de la Conferencia de las Naciones Unidas sobre Comercio y Desarrollo (UNCTAD).</w:t>
      </w:r>
    </w:p>
    <w:p w14:paraId="0228F4F9" w14:textId="5AFC2180" w:rsidR="00234FAD" w:rsidRPr="009537CB" w:rsidRDefault="00234FAD"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3.7 Estado actual del fracking en Colombia.</w:t>
      </w:r>
    </w:p>
    <w:p w14:paraId="0F2263E0" w14:textId="0325225D" w:rsidR="009537CB" w:rsidRPr="009537CB" w:rsidRDefault="009537CB"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3</w:t>
      </w:r>
      <w:r w:rsidRPr="009537CB">
        <w:rPr>
          <w:rFonts w:ascii="Bookman Old Style" w:eastAsia="Calibri" w:hAnsi="Bookman Old Style" w:cs="Calibri"/>
          <w:bCs/>
          <w:sz w:val="22"/>
          <w:szCs w:val="22"/>
        </w:rPr>
        <w:t>.</w:t>
      </w:r>
      <w:r w:rsidR="00234FAD">
        <w:rPr>
          <w:rFonts w:ascii="Bookman Old Style" w:eastAsia="Calibri" w:hAnsi="Bookman Old Style" w:cs="Calibri"/>
          <w:bCs/>
          <w:sz w:val="22"/>
          <w:szCs w:val="22"/>
        </w:rPr>
        <w:t>8</w:t>
      </w:r>
      <w:r w:rsidRPr="009537CB">
        <w:rPr>
          <w:rFonts w:ascii="Bookman Old Style" w:eastAsia="Calibri" w:hAnsi="Bookman Old Style" w:cs="Calibri"/>
          <w:bCs/>
          <w:sz w:val="22"/>
          <w:szCs w:val="22"/>
        </w:rPr>
        <w:t xml:space="preserve"> Cambio de paradigma en el modelo de desarrollo.</w:t>
      </w:r>
    </w:p>
    <w:p w14:paraId="355E2E84" w14:textId="7B1C569D" w:rsid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Constitucionalidad del Proyecto.</w:t>
      </w:r>
    </w:p>
    <w:p w14:paraId="0933B8CE" w14:textId="260D70C9" w:rsidR="0049582F" w:rsidRDefault="0049582F"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Principio de Precaución.</w:t>
      </w:r>
    </w:p>
    <w:p w14:paraId="6CAC9A78" w14:textId="4A2A9FDC" w:rsidR="00057BAF" w:rsidRPr="009537CB" w:rsidRDefault="00057BAF" w:rsidP="00AF1FAD">
      <w:pPr>
        <w:pStyle w:val="Prrafodelista"/>
        <w:numPr>
          <w:ilvl w:val="1"/>
          <w:numId w:val="13"/>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El principio de precaución ante el derecho a la salud.</w:t>
      </w:r>
    </w:p>
    <w:p w14:paraId="792B42E2" w14:textId="77777777" w:rsidR="009537CB" w:rsidRP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Principio de Última Ratio y deber de intervención del Estado.</w:t>
      </w:r>
    </w:p>
    <w:p w14:paraId="0BB1DC81" w14:textId="77777777" w:rsidR="009537CB" w:rsidRP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Competencia del Congreso.</w:t>
      </w:r>
    </w:p>
    <w:p w14:paraId="4164F2D7" w14:textId="5DBB63F3" w:rsidR="009537CB" w:rsidRPr="009537CB" w:rsidRDefault="00B716AE"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7</w:t>
      </w:r>
      <w:r w:rsidR="009537CB" w:rsidRPr="009537CB">
        <w:rPr>
          <w:rFonts w:ascii="Bookman Old Style" w:eastAsia="Calibri" w:hAnsi="Bookman Old Style" w:cs="Calibri"/>
          <w:bCs/>
          <w:sz w:val="22"/>
          <w:szCs w:val="22"/>
        </w:rPr>
        <w:t>.1 Constitucional.</w:t>
      </w:r>
    </w:p>
    <w:p w14:paraId="58C501DD" w14:textId="1BF2E0CB" w:rsidR="009537CB" w:rsidRPr="009537CB" w:rsidRDefault="00B716AE" w:rsidP="009537CB">
      <w:pPr>
        <w:pStyle w:val="Prrafodelista"/>
        <w:pBdr>
          <w:top w:val="nil"/>
          <w:left w:val="nil"/>
          <w:bottom w:val="nil"/>
          <w:right w:val="nil"/>
          <w:between w:val="nil"/>
        </w:pBdr>
        <w:ind w:left="360" w:right="115"/>
        <w:rPr>
          <w:rFonts w:ascii="Bookman Old Style" w:eastAsia="Calibri" w:hAnsi="Bookman Old Style" w:cs="Calibri"/>
          <w:bCs/>
          <w:sz w:val="22"/>
          <w:szCs w:val="22"/>
        </w:rPr>
      </w:pPr>
      <w:r>
        <w:rPr>
          <w:rFonts w:ascii="Bookman Old Style" w:eastAsia="Calibri" w:hAnsi="Bookman Old Style" w:cs="Calibri"/>
          <w:bCs/>
          <w:sz w:val="22"/>
          <w:szCs w:val="22"/>
        </w:rPr>
        <w:t>7</w:t>
      </w:r>
      <w:r w:rsidR="009537CB" w:rsidRPr="009537CB">
        <w:rPr>
          <w:rFonts w:ascii="Bookman Old Style" w:eastAsia="Calibri" w:hAnsi="Bookman Old Style" w:cs="Calibri"/>
          <w:bCs/>
          <w:sz w:val="22"/>
          <w:szCs w:val="22"/>
        </w:rPr>
        <w:t>.2 Legal.</w:t>
      </w:r>
    </w:p>
    <w:p w14:paraId="18E55A5F" w14:textId="77777777" w:rsidR="009537CB" w:rsidRPr="009537CB" w:rsidRDefault="009537CB" w:rsidP="003B3170">
      <w:pPr>
        <w:pStyle w:val="Prrafodelista"/>
        <w:numPr>
          <w:ilvl w:val="0"/>
          <w:numId w:val="13"/>
        </w:numPr>
        <w:pBdr>
          <w:top w:val="nil"/>
          <w:left w:val="nil"/>
          <w:bottom w:val="nil"/>
          <w:right w:val="nil"/>
          <w:between w:val="nil"/>
        </w:pBdr>
        <w:ind w:right="115"/>
        <w:rPr>
          <w:rFonts w:ascii="Bookman Old Style" w:eastAsia="Calibri" w:hAnsi="Bookman Old Style" w:cs="Calibri"/>
          <w:bCs/>
          <w:sz w:val="22"/>
          <w:szCs w:val="22"/>
        </w:rPr>
      </w:pPr>
      <w:r w:rsidRPr="009537CB">
        <w:rPr>
          <w:rFonts w:ascii="Bookman Old Style" w:eastAsia="Calibri" w:hAnsi="Bookman Old Style" w:cs="Calibri"/>
          <w:bCs/>
          <w:sz w:val="22"/>
          <w:szCs w:val="22"/>
        </w:rPr>
        <w:t>Conflicto de Interés.</w:t>
      </w:r>
    </w:p>
    <w:p w14:paraId="31C8B53F" w14:textId="77777777" w:rsidR="009537CB" w:rsidRPr="003F50C8" w:rsidRDefault="009537CB" w:rsidP="003F50C8">
      <w:pPr>
        <w:pStyle w:val="Sinespaciado"/>
        <w:tabs>
          <w:tab w:val="left" w:pos="8055"/>
        </w:tabs>
        <w:jc w:val="center"/>
        <w:rPr>
          <w:rFonts w:ascii="Bookman Old Style" w:hAnsi="Bookman Old Style" w:cs="Arial"/>
          <w:b/>
        </w:rPr>
      </w:pPr>
    </w:p>
    <w:p w14:paraId="7BDDF758" w14:textId="77777777" w:rsidR="006A3355" w:rsidRPr="003F50C8" w:rsidRDefault="006A3355" w:rsidP="009537CB">
      <w:pPr>
        <w:pStyle w:val="Prrafodelista"/>
        <w:numPr>
          <w:ilvl w:val="0"/>
          <w:numId w:val="1"/>
        </w:numPr>
        <w:jc w:val="center"/>
        <w:rPr>
          <w:rFonts w:ascii="Bookman Old Style" w:hAnsi="Bookman Old Style"/>
          <w:b/>
          <w:bCs/>
          <w:color w:val="000000" w:themeColor="text1"/>
          <w:sz w:val="22"/>
          <w:szCs w:val="22"/>
        </w:rPr>
      </w:pPr>
      <w:bookmarkStart w:id="0" w:name="OLE_LINK7"/>
      <w:r w:rsidRPr="003F50C8">
        <w:rPr>
          <w:rFonts w:ascii="Bookman Old Style" w:hAnsi="Bookman Old Style"/>
          <w:b/>
          <w:bCs/>
          <w:color w:val="000000" w:themeColor="text1"/>
          <w:sz w:val="22"/>
          <w:szCs w:val="22"/>
        </w:rPr>
        <w:t>OBJETO</w:t>
      </w:r>
      <w:bookmarkEnd w:id="0"/>
      <w:r w:rsidR="009476AF">
        <w:rPr>
          <w:rFonts w:ascii="Bookman Old Style" w:hAnsi="Bookman Old Style"/>
          <w:b/>
          <w:bCs/>
          <w:color w:val="000000" w:themeColor="text1"/>
          <w:sz w:val="22"/>
          <w:szCs w:val="22"/>
        </w:rPr>
        <w:t xml:space="preserve"> DEL PROYECTO DE LEY</w:t>
      </w:r>
      <w:r w:rsidRPr="003F50C8">
        <w:rPr>
          <w:rFonts w:ascii="Bookman Old Style" w:hAnsi="Bookman Old Style"/>
          <w:b/>
          <w:bCs/>
          <w:color w:val="000000" w:themeColor="text1"/>
          <w:sz w:val="22"/>
          <w:szCs w:val="22"/>
        </w:rPr>
        <w:t>.</w:t>
      </w:r>
    </w:p>
    <w:p w14:paraId="0D66D36C" w14:textId="77777777" w:rsidR="006A3355" w:rsidRPr="003F50C8" w:rsidRDefault="006A3355" w:rsidP="003F50C8">
      <w:pPr>
        <w:jc w:val="both"/>
        <w:rPr>
          <w:rFonts w:ascii="Bookman Old Style" w:hAnsi="Bookman Old Style"/>
          <w:b/>
          <w:bCs/>
          <w:color w:val="000000" w:themeColor="text1"/>
          <w:sz w:val="22"/>
          <w:szCs w:val="22"/>
        </w:rPr>
      </w:pPr>
    </w:p>
    <w:p w14:paraId="3CC991CE" w14:textId="77777777" w:rsidR="003B05FB" w:rsidRPr="003F50C8" w:rsidRDefault="00DF530A" w:rsidP="003F50C8">
      <w:pPr>
        <w:jc w:val="both"/>
        <w:rPr>
          <w:rFonts w:ascii="Bookman Old Style" w:hAnsi="Bookman Old Style" w:cs="Arial"/>
          <w:sz w:val="22"/>
          <w:szCs w:val="22"/>
        </w:rPr>
      </w:pPr>
      <w:r w:rsidRPr="003F50C8">
        <w:rPr>
          <w:rFonts w:ascii="Bookman Old Style" w:hAnsi="Bookman Old Style" w:cs="Arial"/>
          <w:sz w:val="22"/>
          <w:szCs w:val="22"/>
        </w:rPr>
        <w:t>El presente Proyecto de l</w:t>
      </w:r>
      <w:r w:rsidR="001A1466" w:rsidRPr="003F50C8">
        <w:rPr>
          <w:rFonts w:ascii="Bookman Old Style" w:hAnsi="Bookman Old Style" w:cs="Arial"/>
          <w:sz w:val="22"/>
          <w:szCs w:val="22"/>
        </w:rPr>
        <w:t xml:space="preserve">ey tiene como objeto crear el delito </w:t>
      </w:r>
      <w:r w:rsidR="005D4D57">
        <w:rPr>
          <w:rFonts w:ascii="Bookman Old Style" w:hAnsi="Bookman Old Style" w:cs="Arial"/>
          <w:sz w:val="22"/>
          <w:szCs w:val="22"/>
        </w:rPr>
        <w:t>de Fracking en el Código Penal C</w:t>
      </w:r>
      <w:r w:rsidR="001A1466" w:rsidRPr="003F50C8">
        <w:rPr>
          <w:rFonts w:ascii="Bookman Old Style" w:hAnsi="Bookman Old Style" w:cs="Arial"/>
          <w:sz w:val="22"/>
          <w:szCs w:val="22"/>
        </w:rPr>
        <w:t xml:space="preserve">olombiano, para tal efecto, se adiciona un artículo al Título XI, “De los delitos contra los recursos naturales y el medio ambiente” de la Ley 599 del 2000, consecuencia del actuar típico, antijurídico y reprochable de quien comete la </w:t>
      </w:r>
      <w:r w:rsidR="001A1466" w:rsidRPr="003F50C8">
        <w:rPr>
          <w:rFonts w:ascii="Bookman Old Style" w:hAnsi="Bookman Old Style" w:cs="Arial"/>
          <w:sz w:val="22"/>
          <w:szCs w:val="22"/>
        </w:rPr>
        <w:lastRenderedPageBreak/>
        <w:t xml:space="preserve">conducta, estableciendo de manera coherente y armónica unos mínimos y máximos punitivos, tanto en tiempos como en multas, en aras de garantizar el derecho </w:t>
      </w:r>
      <w:r w:rsidR="009537CB">
        <w:rPr>
          <w:rFonts w:ascii="Bookman Old Style" w:hAnsi="Bookman Old Style" w:cs="Arial"/>
          <w:sz w:val="22"/>
          <w:szCs w:val="22"/>
        </w:rPr>
        <w:t xml:space="preserve">constitucional </w:t>
      </w:r>
      <w:r w:rsidR="001A1466" w:rsidRPr="003F50C8">
        <w:rPr>
          <w:rFonts w:ascii="Bookman Old Style" w:hAnsi="Bookman Old Style" w:cs="Arial"/>
          <w:sz w:val="22"/>
          <w:szCs w:val="22"/>
        </w:rPr>
        <w:t>a gozar de un ambiente sano.</w:t>
      </w:r>
    </w:p>
    <w:p w14:paraId="1BEB4ED3" w14:textId="77777777" w:rsidR="00FB4CE7" w:rsidRPr="003F50C8" w:rsidRDefault="00FB4CE7" w:rsidP="003F50C8">
      <w:pPr>
        <w:jc w:val="both"/>
        <w:rPr>
          <w:rFonts w:ascii="Bookman Old Style" w:hAnsi="Bookman Old Style"/>
          <w:bCs/>
          <w:color w:val="000000" w:themeColor="text1"/>
          <w:sz w:val="22"/>
          <w:szCs w:val="22"/>
        </w:rPr>
      </w:pPr>
    </w:p>
    <w:p w14:paraId="2D3BB6F7" w14:textId="77777777" w:rsidR="00912731" w:rsidRPr="003F50C8" w:rsidRDefault="00FB4CE7" w:rsidP="009537CB">
      <w:pPr>
        <w:pStyle w:val="Prrafodelista"/>
        <w:numPr>
          <w:ilvl w:val="0"/>
          <w:numId w:val="1"/>
        </w:numPr>
        <w:jc w:val="center"/>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A</w:t>
      </w:r>
      <w:r w:rsidR="00234078" w:rsidRPr="003F50C8">
        <w:rPr>
          <w:rFonts w:ascii="Bookman Old Style" w:hAnsi="Bookman Old Style"/>
          <w:b/>
          <w:bCs/>
          <w:color w:val="000000" w:themeColor="text1"/>
          <w:sz w:val="22"/>
          <w:szCs w:val="22"/>
        </w:rPr>
        <w:t>NTECEDENTES DEL PROYECTO.</w:t>
      </w:r>
    </w:p>
    <w:p w14:paraId="66E6F20D" w14:textId="77777777" w:rsidR="00912731" w:rsidRPr="003F50C8" w:rsidRDefault="00912731" w:rsidP="003F50C8">
      <w:pPr>
        <w:jc w:val="both"/>
        <w:rPr>
          <w:rFonts w:ascii="Bookman Old Style" w:hAnsi="Bookman Old Style"/>
          <w:b/>
          <w:bCs/>
          <w:color w:val="000000" w:themeColor="text1"/>
          <w:sz w:val="22"/>
          <w:szCs w:val="22"/>
          <w:highlight w:val="cyan"/>
        </w:rPr>
      </w:pPr>
    </w:p>
    <w:p w14:paraId="44E0D223" w14:textId="77777777" w:rsidR="00837C2D" w:rsidRPr="003F50C8" w:rsidRDefault="00837C2D"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El Congr</w:t>
      </w:r>
      <w:r w:rsidR="005D4D57">
        <w:rPr>
          <w:rFonts w:ascii="Bookman Old Style" w:hAnsi="Bookman Old Style"/>
          <w:bCs/>
          <w:color w:val="000000" w:themeColor="text1"/>
          <w:sz w:val="22"/>
          <w:szCs w:val="22"/>
        </w:rPr>
        <w:t>eso de la República en la</w:t>
      </w:r>
      <w:r w:rsidRPr="003F50C8">
        <w:rPr>
          <w:rFonts w:ascii="Bookman Old Style" w:hAnsi="Bookman Old Style"/>
          <w:bCs/>
          <w:color w:val="000000" w:themeColor="text1"/>
          <w:sz w:val="22"/>
          <w:szCs w:val="22"/>
        </w:rPr>
        <w:t xml:space="preserve"> leg</w:t>
      </w:r>
      <w:r w:rsidR="00835410">
        <w:rPr>
          <w:rFonts w:ascii="Bookman Old Style" w:hAnsi="Bookman Old Style"/>
          <w:bCs/>
          <w:color w:val="000000" w:themeColor="text1"/>
          <w:sz w:val="22"/>
          <w:szCs w:val="22"/>
        </w:rPr>
        <w:t xml:space="preserve">islatura </w:t>
      </w:r>
      <w:r w:rsidRPr="003F50C8">
        <w:rPr>
          <w:rFonts w:ascii="Bookman Old Style" w:hAnsi="Bookman Old Style"/>
          <w:bCs/>
          <w:color w:val="000000" w:themeColor="text1"/>
          <w:sz w:val="22"/>
          <w:szCs w:val="22"/>
        </w:rPr>
        <w:t>201</w:t>
      </w:r>
      <w:r w:rsidR="00835410">
        <w:rPr>
          <w:rFonts w:ascii="Bookman Old Style" w:hAnsi="Bookman Old Style"/>
          <w:bCs/>
          <w:color w:val="000000" w:themeColor="text1"/>
          <w:sz w:val="22"/>
          <w:szCs w:val="22"/>
        </w:rPr>
        <w:t>9-2020,</w:t>
      </w:r>
      <w:r w:rsidR="00890E40" w:rsidRPr="003F50C8">
        <w:rPr>
          <w:rFonts w:ascii="Bookman Old Style" w:hAnsi="Bookman Old Style"/>
          <w:bCs/>
          <w:color w:val="000000" w:themeColor="text1"/>
          <w:sz w:val="22"/>
          <w:szCs w:val="22"/>
        </w:rPr>
        <w:t xml:space="preserve"> tramitó el Proyecto de L</w:t>
      </w:r>
      <w:r w:rsidRPr="003F50C8">
        <w:rPr>
          <w:rFonts w:ascii="Bookman Old Style" w:hAnsi="Bookman Old Style"/>
          <w:bCs/>
          <w:color w:val="000000" w:themeColor="text1"/>
          <w:sz w:val="22"/>
          <w:szCs w:val="22"/>
        </w:rPr>
        <w:t>ey número 283 de 2019 Cámara</w:t>
      </w:r>
      <w:r w:rsidR="005D4D57">
        <w:rPr>
          <w:rFonts w:ascii="Bookman Old Style" w:hAnsi="Bookman Old Style"/>
          <w:bCs/>
          <w:color w:val="000000" w:themeColor="text1"/>
          <w:sz w:val="22"/>
          <w:szCs w:val="22"/>
        </w:rPr>
        <w:t xml:space="preserve"> – 446 de 2021 Senado</w:t>
      </w:r>
      <w:r w:rsidRPr="003F50C8">
        <w:rPr>
          <w:rFonts w:ascii="Bookman Old Style" w:hAnsi="Bookman Old Style"/>
          <w:bCs/>
          <w:color w:val="000000" w:themeColor="text1"/>
          <w:sz w:val="22"/>
          <w:szCs w:val="22"/>
        </w:rPr>
        <w:t>, “</w:t>
      </w:r>
      <w:r w:rsidRPr="003F50C8">
        <w:rPr>
          <w:rFonts w:ascii="Bookman Old Style" w:hAnsi="Bookman Old Style"/>
          <w:bCs/>
          <w:i/>
          <w:color w:val="000000" w:themeColor="text1"/>
          <w:sz w:val="22"/>
          <w:szCs w:val="22"/>
        </w:rPr>
        <w:t>Por medio del cual se sustituye el Título XI, “De los delitos contra los recursos naturales y el medio ambiente” de la ley 599 del 2000</w:t>
      </w:r>
      <w:r w:rsidR="005D4D57">
        <w:rPr>
          <w:rFonts w:ascii="Bookman Old Style" w:hAnsi="Bookman Old Style"/>
          <w:bCs/>
          <w:i/>
          <w:color w:val="000000" w:themeColor="text1"/>
          <w:sz w:val="22"/>
          <w:szCs w:val="22"/>
        </w:rPr>
        <w:t>, se modifica la ley 906 de 2004 y se dictan otras disposiciones</w:t>
      </w:r>
      <w:r w:rsidR="005D4D57">
        <w:rPr>
          <w:rFonts w:ascii="Bookman Old Style" w:hAnsi="Bookman Old Style"/>
          <w:bCs/>
          <w:color w:val="000000" w:themeColor="text1"/>
          <w:sz w:val="22"/>
          <w:szCs w:val="22"/>
        </w:rPr>
        <w:t xml:space="preserve">”, </w:t>
      </w:r>
      <w:r w:rsidRPr="003F50C8">
        <w:rPr>
          <w:rFonts w:ascii="Bookman Old Style" w:hAnsi="Bookman Old Style"/>
          <w:bCs/>
          <w:color w:val="000000" w:themeColor="text1"/>
          <w:sz w:val="22"/>
          <w:szCs w:val="22"/>
        </w:rPr>
        <w:t>de autoría del H.R. Juan Carlos Lozada Vargas</w:t>
      </w:r>
      <w:r w:rsidR="005D4D57">
        <w:rPr>
          <w:rFonts w:ascii="Bookman Old Style" w:hAnsi="Bookman Old Style"/>
          <w:bCs/>
          <w:color w:val="000000" w:themeColor="text1"/>
          <w:sz w:val="22"/>
          <w:szCs w:val="22"/>
        </w:rPr>
        <w:t xml:space="preserve"> (</w:t>
      </w:r>
      <w:r w:rsidR="005D4D57" w:rsidRPr="005D4D57">
        <w:rPr>
          <w:rFonts w:ascii="Bookman Old Style" w:hAnsi="Bookman Old Style"/>
          <w:bCs/>
          <w:i/>
          <w:color w:val="000000" w:themeColor="text1"/>
          <w:sz w:val="22"/>
          <w:szCs w:val="22"/>
        </w:rPr>
        <w:t>Ley 2111 de</w:t>
      </w:r>
      <w:r w:rsidR="005D4D57">
        <w:rPr>
          <w:rFonts w:ascii="Bookman Old Style" w:hAnsi="Bookman Old Style"/>
          <w:bCs/>
          <w:i/>
          <w:color w:val="000000" w:themeColor="text1"/>
          <w:sz w:val="22"/>
          <w:szCs w:val="22"/>
        </w:rPr>
        <w:t>l 29 de julio de</w:t>
      </w:r>
      <w:r w:rsidR="005D4D57" w:rsidRPr="005D4D57">
        <w:rPr>
          <w:rFonts w:ascii="Bookman Old Style" w:hAnsi="Bookman Old Style"/>
          <w:bCs/>
          <w:i/>
          <w:color w:val="000000" w:themeColor="text1"/>
          <w:sz w:val="22"/>
          <w:szCs w:val="22"/>
        </w:rPr>
        <w:t xml:space="preserve"> 2021</w:t>
      </w:r>
      <w:r w:rsidR="005D4D57">
        <w:rPr>
          <w:rFonts w:ascii="Bookman Old Style" w:hAnsi="Bookman Old Style"/>
          <w:bCs/>
          <w:color w:val="000000" w:themeColor="text1"/>
          <w:sz w:val="22"/>
          <w:szCs w:val="22"/>
        </w:rPr>
        <w:t>)</w:t>
      </w:r>
      <w:r w:rsidRPr="003F50C8">
        <w:rPr>
          <w:rFonts w:ascii="Bookman Old Style" w:hAnsi="Bookman Old Style"/>
          <w:bCs/>
          <w:color w:val="000000" w:themeColor="text1"/>
          <w:sz w:val="22"/>
          <w:szCs w:val="22"/>
        </w:rPr>
        <w:t>.</w:t>
      </w:r>
    </w:p>
    <w:p w14:paraId="7FEA5464" w14:textId="77777777" w:rsidR="00837C2D" w:rsidRPr="003F50C8" w:rsidRDefault="00837C2D" w:rsidP="003F50C8">
      <w:pPr>
        <w:jc w:val="both"/>
        <w:rPr>
          <w:rFonts w:ascii="Bookman Old Style" w:hAnsi="Bookman Old Style"/>
          <w:bCs/>
          <w:color w:val="000000" w:themeColor="text1"/>
          <w:sz w:val="22"/>
          <w:szCs w:val="22"/>
        </w:rPr>
      </w:pPr>
    </w:p>
    <w:p w14:paraId="5BB46BB3" w14:textId="77777777" w:rsidR="00837C2D" w:rsidRDefault="00835410" w:rsidP="003F50C8">
      <w:pPr>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Dicho proyecto fue aprobado en sus distintos debates</w:t>
      </w:r>
      <w:r w:rsidR="00837C2D" w:rsidRPr="003F50C8">
        <w:rPr>
          <w:rFonts w:ascii="Bookman Old Style" w:hAnsi="Bookman Old Style"/>
          <w:bCs/>
          <w:color w:val="000000" w:themeColor="text1"/>
          <w:sz w:val="22"/>
          <w:szCs w:val="22"/>
        </w:rPr>
        <w:t xml:space="preserve"> con las modificaciones </w:t>
      </w:r>
      <w:r>
        <w:rPr>
          <w:rFonts w:ascii="Bookman Old Style" w:hAnsi="Bookman Old Style"/>
          <w:bCs/>
          <w:color w:val="000000" w:themeColor="text1"/>
          <w:sz w:val="22"/>
          <w:szCs w:val="22"/>
        </w:rPr>
        <w:t>que surgían en su discusión</w:t>
      </w:r>
      <w:r w:rsidR="00837C2D" w:rsidRPr="003F50C8">
        <w:rPr>
          <w:rFonts w:ascii="Bookman Old Style" w:hAnsi="Bookman Old Style"/>
          <w:bCs/>
          <w:color w:val="000000" w:themeColor="text1"/>
          <w:sz w:val="22"/>
          <w:szCs w:val="22"/>
        </w:rPr>
        <w:t xml:space="preserve">, excluyendo </w:t>
      </w:r>
      <w:r w:rsidR="007A6E60" w:rsidRPr="003F50C8">
        <w:rPr>
          <w:rFonts w:ascii="Bookman Old Style" w:hAnsi="Bookman Old Style"/>
          <w:bCs/>
          <w:color w:val="000000" w:themeColor="text1"/>
          <w:sz w:val="22"/>
          <w:szCs w:val="22"/>
        </w:rPr>
        <w:t xml:space="preserve">de dicho proyecto </w:t>
      </w:r>
      <w:r>
        <w:rPr>
          <w:rFonts w:ascii="Bookman Old Style" w:hAnsi="Bookman Old Style"/>
          <w:bCs/>
          <w:color w:val="000000" w:themeColor="text1"/>
          <w:sz w:val="22"/>
          <w:szCs w:val="22"/>
        </w:rPr>
        <w:t>el delito de Fracking, el cual</w:t>
      </w:r>
      <w:r w:rsidR="00837C2D" w:rsidRPr="003F50C8">
        <w:rPr>
          <w:rFonts w:ascii="Bookman Old Style" w:hAnsi="Bookman Old Style"/>
          <w:bCs/>
          <w:color w:val="000000" w:themeColor="text1"/>
          <w:sz w:val="22"/>
          <w:szCs w:val="22"/>
        </w:rPr>
        <w:t xml:space="preserve"> se dejaría para una discusión independiente, en la Comisión Primera Constitucional Permanente d</w:t>
      </w:r>
      <w:r w:rsidR="009537CB">
        <w:rPr>
          <w:rFonts w:ascii="Bookman Old Style" w:hAnsi="Bookman Old Style"/>
          <w:bCs/>
          <w:color w:val="000000" w:themeColor="text1"/>
          <w:sz w:val="22"/>
          <w:szCs w:val="22"/>
        </w:rPr>
        <w:t>e la Cámara de Representantes.</w:t>
      </w:r>
    </w:p>
    <w:p w14:paraId="3394971B" w14:textId="77777777" w:rsidR="005D4D57" w:rsidRDefault="005D4D57" w:rsidP="003F50C8">
      <w:pPr>
        <w:jc w:val="both"/>
        <w:rPr>
          <w:rFonts w:ascii="Bookman Old Style" w:hAnsi="Bookman Old Style"/>
          <w:bCs/>
          <w:color w:val="000000" w:themeColor="text1"/>
          <w:sz w:val="22"/>
          <w:szCs w:val="22"/>
        </w:rPr>
      </w:pPr>
    </w:p>
    <w:p w14:paraId="6675C1EB" w14:textId="77777777" w:rsidR="005D4D57" w:rsidRPr="003F50C8" w:rsidRDefault="005D4D57" w:rsidP="003F50C8">
      <w:pPr>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El 20 de julio de 2020 fue radicado por el H.R. Juan Carlos Lozada Vargas el Proyecto de Ley 013 de 2020C “</w:t>
      </w:r>
      <w:r w:rsidR="00835410" w:rsidRPr="00835410">
        <w:rPr>
          <w:rFonts w:ascii="Bookman Old Style" w:hAnsi="Bookman Old Style"/>
          <w:bCs/>
          <w:i/>
          <w:color w:val="000000" w:themeColor="text1"/>
          <w:sz w:val="22"/>
          <w:szCs w:val="22"/>
        </w:rPr>
        <w:t>Por medio del cual se crea el delito de fracking en la ley 599 del 2000</w:t>
      </w:r>
      <w:r w:rsidR="00835410" w:rsidRPr="00835410">
        <w:rPr>
          <w:rFonts w:ascii="Bookman Old Style" w:hAnsi="Bookman Old Style"/>
          <w:bCs/>
          <w:color w:val="000000" w:themeColor="text1"/>
          <w:sz w:val="22"/>
          <w:szCs w:val="22"/>
        </w:rPr>
        <w:t>”</w:t>
      </w:r>
      <w:r w:rsidR="00835410">
        <w:rPr>
          <w:rFonts w:ascii="Bookman Old Style" w:hAnsi="Bookman Old Style"/>
          <w:bCs/>
          <w:color w:val="000000" w:themeColor="text1"/>
          <w:sz w:val="22"/>
          <w:szCs w:val="22"/>
        </w:rPr>
        <w:t>. Sin embargo, por tiempos fue archivado.</w:t>
      </w:r>
    </w:p>
    <w:p w14:paraId="4E9D4FC7" w14:textId="77777777" w:rsidR="00837C2D" w:rsidRPr="003F50C8" w:rsidRDefault="00837C2D" w:rsidP="003F50C8">
      <w:pPr>
        <w:jc w:val="both"/>
        <w:rPr>
          <w:rFonts w:ascii="Bookman Old Style" w:hAnsi="Bookman Old Style"/>
          <w:bCs/>
          <w:color w:val="000000" w:themeColor="text1"/>
          <w:sz w:val="22"/>
          <w:szCs w:val="22"/>
        </w:rPr>
      </w:pPr>
    </w:p>
    <w:p w14:paraId="040A655B" w14:textId="77777777" w:rsidR="008C3609" w:rsidRPr="003F50C8" w:rsidRDefault="00837C2D"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 xml:space="preserve">Por tal razón, se presenta </w:t>
      </w:r>
      <w:r w:rsidR="00835410">
        <w:rPr>
          <w:rFonts w:ascii="Bookman Old Style" w:hAnsi="Bookman Old Style"/>
          <w:bCs/>
          <w:color w:val="000000" w:themeColor="text1"/>
          <w:sz w:val="22"/>
          <w:szCs w:val="22"/>
        </w:rPr>
        <w:t xml:space="preserve">nuevamente </w:t>
      </w:r>
      <w:r w:rsidRPr="003F50C8">
        <w:rPr>
          <w:rFonts w:ascii="Bookman Old Style" w:hAnsi="Bookman Old Style"/>
          <w:bCs/>
          <w:color w:val="000000" w:themeColor="text1"/>
          <w:sz w:val="22"/>
          <w:szCs w:val="22"/>
        </w:rPr>
        <w:t>esta iniciativa legislativa</w:t>
      </w:r>
      <w:r w:rsidR="00835410">
        <w:rPr>
          <w:rFonts w:ascii="Bookman Old Style" w:hAnsi="Bookman Old Style"/>
          <w:bCs/>
          <w:color w:val="000000" w:themeColor="text1"/>
          <w:sz w:val="22"/>
          <w:szCs w:val="22"/>
        </w:rPr>
        <w:t>,</w:t>
      </w:r>
      <w:r w:rsidRPr="003F50C8">
        <w:rPr>
          <w:rFonts w:ascii="Bookman Old Style" w:hAnsi="Bookman Old Style"/>
          <w:bCs/>
          <w:color w:val="000000" w:themeColor="text1"/>
          <w:sz w:val="22"/>
          <w:szCs w:val="22"/>
        </w:rPr>
        <w:t xml:space="preserve"> que retoma de manera independiente el delito de Fracking en el Código Penal colombiano.</w:t>
      </w:r>
    </w:p>
    <w:p w14:paraId="1DDF024B" w14:textId="77777777" w:rsidR="00837C2D" w:rsidRPr="003F50C8" w:rsidRDefault="00837C2D" w:rsidP="003F50C8">
      <w:pPr>
        <w:jc w:val="both"/>
        <w:rPr>
          <w:rFonts w:ascii="Bookman Old Style" w:hAnsi="Bookman Old Style"/>
          <w:bCs/>
          <w:color w:val="000000" w:themeColor="text1"/>
          <w:sz w:val="22"/>
          <w:szCs w:val="22"/>
        </w:rPr>
      </w:pPr>
    </w:p>
    <w:p w14:paraId="0F67AD7F" w14:textId="77777777" w:rsidR="00AB2F66" w:rsidRPr="003F50C8" w:rsidRDefault="00827AEA" w:rsidP="009537CB">
      <w:pPr>
        <w:pStyle w:val="Prrafodelista"/>
        <w:numPr>
          <w:ilvl w:val="0"/>
          <w:numId w:val="1"/>
        </w:numPr>
        <w:jc w:val="center"/>
        <w:rPr>
          <w:rFonts w:ascii="Bookman Old Style" w:hAnsi="Bookman Old Style"/>
          <w:b/>
          <w:bCs/>
          <w:sz w:val="22"/>
          <w:szCs w:val="22"/>
        </w:rPr>
      </w:pPr>
      <w:r>
        <w:rPr>
          <w:rFonts w:ascii="Bookman Old Style" w:hAnsi="Bookman Old Style"/>
          <w:b/>
          <w:bCs/>
          <w:color w:val="000000" w:themeColor="text1"/>
          <w:sz w:val="22"/>
          <w:szCs w:val="22"/>
        </w:rPr>
        <w:t>JUSTIFICACIÓ</w:t>
      </w:r>
      <w:r w:rsidR="009476AF">
        <w:rPr>
          <w:rFonts w:ascii="Bookman Old Style" w:hAnsi="Bookman Old Style"/>
          <w:b/>
          <w:bCs/>
          <w:color w:val="000000" w:themeColor="text1"/>
          <w:sz w:val="22"/>
          <w:szCs w:val="22"/>
        </w:rPr>
        <w:t>N</w:t>
      </w:r>
      <w:r w:rsidR="00AB2F66" w:rsidRPr="003F50C8">
        <w:rPr>
          <w:rFonts w:ascii="Bookman Old Style" w:hAnsi="Bookman Old Style"/>
          <w:b/>
          <w:bCs/>
          <w:color w:val="000000" w:themeColor="text1"/>
          <w:sz w:val="22"/>
          <w:szCs w:val="22"/>
        </w:rPr>
        <w:t>.</w:t>
      </w:r>
    </w:p>
    <w:p w14:paraId="1777A819" w14:textId="77777777" w:rsidR="00C66826" w:rsidRPr="003F50C8" w:rsidRDefault="00C66826" w:rsidP="003F50C8">
      <w:pPr>
        <w:jc w:val="both"/>
        <w:rPr>
          <w:rFonts w:ascii="Bookman Old Style" w:hAnsi="Bookman Old Style"/>
          <w:bCs/>
          <w:i/>
          <w:color w:val="000000" w:themeColor="text1"/>
          <w:sz w:val="22"/>
          <w:szCs w:val="22"/>
        </w:rPr>
      </w:pPr>
      <w:bookmarkStart w:id="1" w:name="OLE_LINK10"/>
    </w:p>
    <w:p w14:paraId="64787B15" w14:textId="77777777" w:rsidR="005E3ECD" w:rsidRDefault="005E3ECD" w:rsidP="005E3ECD">
      <w:pPr>
        <w:pStyle w:val="NormalWeb"/>
        <w:spacing w:before="0" w:beforeAutospacing="0" w:after="0" w:afterAutospacing="0"/>
        <w:jc w:val="both"/>
        <w:rPr>
          <w:rFonts w:ascii="Bookman Old Style" w:hAnsi="Bookman Old Style"/>
          <w:color w:val="000000" w:themeColor="text1"/>
          <w:sz w:val="22"/>
          <w:szCs w:val="22"/>
        </w:rPr>
      </w:pPr>
      <w:r w:rsidRPr="434B6C77">
        <w:rPr>
          <w:rFonts w:ascii="Bookman Old Style" w:hAnsi="Bookman Old Style"/>
          <w:color w:val="000000" w:themeColor="text1"/>
          <w:sz w:val="22"/>
          <w:szCs w:val="22"/>
        </w:rPr>
        <w:t>El Estado, como garante de la aplicación y protección de los principios, deberes, derechos, e intereses sociales contenidos en su Constitución Política, debe a través de sus herramientas jurídico-normativas, brindar los mecanismos y herramientas necesarios para que dicha protección sea real</w:t>
      </w:r>
      <w:r>
        <w:rPr>
          <w:rFonts w:ascii="Bookman Old Style" w:hAnsi="Bookman Old Style"/>
          <w:color w:val="000000" w:themeColor="text1"/>
          <w:sz w:val="22"/>
          <w:szCs w:val="22"/>
        </w:rPr>
        <w:t>.</w:t>
      </w:r>
    </w:p>
    <w:p w14:paraId="7D16B0B6" w14:textId="77777777" w:rsidR="005E3ECD" w:rsidRDefault="005E3ECD" w:rsidP="005E3ECD">
      <w:pPr>
        <w:pStyle w:val="NormalWeb"/>
        <w:spacing w:before="0" w:beforeAutospacing="0" w:after="0" w:afterAutospacing="0"/>
        <w:jc w:val="both"/>
        <w:rPr>
          <w:color w:val="000000" w:themeColor="text1"/>
        </w:rPr>
      </w:pPr>
    </w:p>
    <w:p w14:paraId="6A863F62" w14:textId="7A1843BB" w:rsidR="005E3ECD" w:rsidRPr="002561C1" w:rsidRDefault="005E3ECD" w:rsidP="005E3ECD">
      <w:pPr>
        <w:pStyle w:val="NormalWeb"/>
        <w:spacing w:before="0" w:beforeAutospacing="0" w:after="0" w:afterAutospacing="0"/>
        <w:jc w:val="both"/>
        <w:rPr>
          <w:rFonts w:ascii="Bookman Old Style" w:hAnsi="Bookman Old Style"/>
          <w:color w:val="000000" w:themeColor="text1"/>
          <w:sz w:val="22"/>
          <w:szCs w:val="22"/>
        </w:rPr>
      </w:pPr>
      <w:r w:rsidRPr="002561C1">
        <w:rPr>
          <w:rFonts w:ascii="Bookman Old Style" w:hAnsi="Bookman Old Style"/>
          <w:color w:val="000000" w:themeColor="text1"/>
          <w:sz w:val="22"/>
          <w:szCs w:val="22"/>
        </w:rPr>
        <w:t>Es así como</w:t>
      </w:r>
      <w:r w:rsidR="00E842DC">
        <w:rPr>
          <w:rFonts w:ascii="Bookman Old Style" w:hAnsi="Bookman Old Style"/>
          <w:color w:val="000000" w:themeColor="text1"/>
          <w:sz w:val="22"/>
          <w:szCs w:val="22"/>
        </w:rPr>
        <w:t>,</w:t>
      </w:r>
      <w:r w:rsidRPr="002561C1">
        <w:rPr>
          <w:rFonts w:ascii="Bookman Old Style" w:hAnsi="Bookman Old Style"/>
          <w:color w:val="000000" w:themeColor="text1"/>
          <w:sz w:val="22"/>
          <w:szCs w:val="22"/>
        </w:rPr>
        <w:t xml:space="preserve"> ante la</w:t>
      </w:r>
      <w:r>
        <w:rPr>
          <w:rFonts w:ascii="Bookman Old Style" w:hAnsi="Bookman Old Style"/>
          <w:color w:val="000000" w:themeColor="text1"/>
          <w:sz w:val="22"/>
          <w:szCs w:val="22"/>
        </w:rPr>
        <w:t xml:space="preserve"> posibilidad de que existan</w:t>
      </w:r>
      <w:r w:rsidRPr="002561C1">
        <w:rPr>
          <w:rFonts w:ascii="Bookman Old Style" w:hAnsi="Bookman Old Style"/>
          <w:color w:val="000000" w:themeColor="text1"/>
          <w:sz w:val="22"/>
          <w:szCs w:val="22"/>
        </w:rPr>
        <w:t xml:space="preserve"> </w:t>
      </w:r>
      <w:r>
        <w:rPr>
          <w:rFonts w:ascii="Bookman Old Style" w:hAnsi="Bookman Old Style"/>
          <w:color w:val="000000" w:themeColor="text1"/>
          <w:sz w:val="22"/>
          <w:szCs w:val="22"/>
        </w:rPr>
        <w:t>conductas de los</w:t>
      </w:r>
      <w:r w:rsidRPr="002561C1">
        <w:rPr>
          <w:rFonts w:ascii="Bookman Old Style" w:hAnsi="Bookman Old Style"/>
          <w:color w:val="000000" w:themeColor="text1"/>
          <w:sz w:val="22"/>
          <w:szCs w:val="22"/>
        </w:rPr>
        <w:t xml:space="preserve"> ciudadanos </w:t>
      </w:r>
      <w:r>
        <w:rPr>
          <w:rFonts w:ascii="Bookman Old Style" w:hAnsi="Bookman Old Style"/>
          <w:color w:val="000000" w:themeColor="text1"/>
          <w:sz w:val="22"/>
          <w:szCs w:val="22"/>
        </w:rPr>
        <w:t>que afecten o pongan en peligro aquellos bienes o valores que</w:t>
      </w:r>
      <w:r w:rsidRPr="002561C1">
        <w:rPr>
          <w:rFonts w:ascii="Bookman Old Style" w:hAnsi="Bookman Old Style"/>
          <w:color w:val="000000" w:themeColor="text1"/>
          <w:sz w:val="22"/>
          <w:szCs w:val="22"/>
        </w:rPr>
        <w:t xml:space="preserve"> el Estado ha</w:t>
      </w:r>
      <w:r>
        <w:rPr>
          <w:rFonts w:ascii="Bookman Old Style" w:hAnsi="Bookman Old Style"/>
          <w:color w:val="000000" w:themeColor="text1"/>
          <w:sz w:val="22"/>
          <w:szCs w:val="22"/>
        </w:rPr>
        <w:t xml:space="preserve"> determinado que deben ser objeto de protección, se han creado normas tendientes</w:t>
      </w:r>
      <w:r w:rsidRPr="002561C1">
        <w:rPr>
          <w:rFonts w:ascii="Bookman Old Style" w:hAnsi="Bookman Old Style"/>
          <w:color w:val="000000" w:themeColor="text1"/>
          <w:sz w:val="22"/>
          <w:szCs w:val="22"/>
        </w:rPr>
        <w:t xml:space="preserve"> </w:t>
      </w:r>
      <w:r>
        <w:rPr>
          <w:rFonts w:ascii="Bookman Old Style" w:hAnsi="Bookman Old Style"/>
          <w:color w:val="000000" w:themeColor="text1"/>
          <w:sz w:val="22"/>
          <w:szCs w:val="22"/>
        </w:rPr>
        <w:t>a limitar ciertos</w:t>
      </w:r>
      <w:r w:rsidRPr="002561C1">
        <w:rPr>
          <w:rFonts w:ascii="Bookman Old Style" w:hAnsi="Bookman Old Style"/>
          <w:color w:val="000000" w:themeColor="text1"/>
          <w:sz w:val="22"/>
          <w:szCs w:val="22"/>
        </w:rPr>
        <w:t xml:space="preserve"> comportamientos</w:t>
      </w:r>
      <w:r>
        <w:rPr>
          <w:rFonts w:ascii="Bookman Old Style" w:hAnsi="Bookman Old Style"/>
          <w:color w:val="000000" w:themeColor="text1"/>
          <w:sz w:val="22"/>
          <w:szCs w:val="22"/>
        </w:rPr>
        <w:t>. Normas que, en caso de ser desconocidas, prevén</w:t>
      </w:r>
      <w:r w:rsidRPr="002561C1">
        <w:rPr>
          <w:rFonts w:ascii="Bookman Old Style" w:hAnsi="Bookman Old Style"/>
          <w:color w:val="000000" w:themeColor="text1"/>
          <w:sz w:val="22"/>
          <w:szCs w:val="22"/>
        </w:rPr>
        <w:t xml:space="preserve"> una consecuencia jurídica </w:t>
      </w:r>
      <w:r>
        <w:rPr>
          <w:rFonts w:ascii="Bookman Old Style" w:hAnsi="Bookman Old Style"/>
          <w:color w:val="000000" w:themeColor="text1"/>
          <w:sz w:val="22"/>
          <w:szCs w:val="22"/>
        </w:rPr>
        <w:t xml:space="preserve">de naturaleza sancionatoria que puede tener </w:t>
      </w:r>
      <w:r w:rsidRPr="002561C1">
        <w:rPr>
          <w:rFonts w:ascii="Bookman Old Style" w:hAnsi="Bookman Old Style"/>
          <w:color w:val="000000" w:themeColor="text1"/>
          <w:sz w:val="22"/>
          <w:szCs w:val="22"/>
        </w:rPr>
        <w:t xml:space="preserve">naturalezas, civil, fiscal, administrativa, policiva, disciplinaria, penal, entre otras. </w:t>
      </w:r>
    </w:p>
    <w:p w14:paraId="3B3A89D0" w14:textId="77777777" w:rsidR="005E3ECD" w:rsidRPr="00D31B8B" w:rsidRDefault="005E3ECD" w:rsidP="005E3ECD">
      <w:pPr>
        <w:pStyle w:val="NormalWeb"/>
        <w:spacing w:before="0" w:beforeAutospacing="0" w:after="0" w:afterAutospacing="0"/>
        <w:jc w:val="both"/>
        <w:rPr>
          <w:rFonts w:ascii="Bookman Old Style" w:hAnsi="Bookman Old Style"/>
          <w:color w:val="000000" w:themeColor="text1"/>
          <w:sz w:val="22"/>
          <w:szCs w:val="22"/>
        </w:rPr>
      </w:pPr>
    </w:p>
    <w:p w14:paraId="4FC5CA07" w14:textId="77777777" w:rsidR="005E3ECD" w:rsidRPr="002561C1" w:rsidRDefault="005E3ECD" w:rsidP="005E3ECD">
      <w:pPr>
        <w:pStyle w:val="NormalWeb"/>
        <w:spacing w:before="0" w:beforeAutospacing="0" w:after="0" w:afterAutospacing="0"/>
        <w:jc w:val="both"/>
        <w:rPr>
          <w:rFonts w:ascii="Bookman Old Style" w:hAnsi="Bookman Old Style"/>
          <w:color w:val="000000" w:themeColor="text1"/>
          <w:sz w:val="22"/>
          <w:szCs w:val="22"/>
        </w:rPr>
      </w:pPr>
      <w:r w:rsidRPr="002561C1">
        <w:rPr>
          <w:rFonts w:ascii="Bookman Old Style" w:hAnsi="Bookman Old Style"/>
          <w:color w:val="000000" w:themeColor="text1"/>
          <w:sz w:val="22"/>
          <w:szCs w:val="22"/>
        </w:rPr>
        <w:t>De</w:t>
      </w:r>
      <w:r>
        <w:rPr>
          <w:rFonts w:ascii="Bookman Old Style" w:hAnsi="Bookman Old Style"/>
          <w:color w:val="000000" w:themeColor="text1"/>
          <w:sz w:val="22"/>
          <w:szCs w:val="22"/>
        </w:rPr>
        <w:t>ntro</w:t>
      </w:r>
      <w:r w:rsidRPr="002561C1">
        <w:rPr>
          <w:rFonts w:ascii="Bookman Old Style" w:hAnsi="Bookman Old Style"/>
          <w:color w:val="000000" w:themeColor="text1"/>
          <w:sz w:val="22"/>
          <w:szCs w:val="22"/>
        </w:rPr>
        <w:t xml:space="preserve"> este universo normativo sancionatorio</w:t>
      </w:r>
      <w:r>
        <w:rPr>
          <w:rFonts w:ascii="Bookman Old Style" w:hAnsi="Bookman Old Style"/>
          <w:color w:val="000000" w:themeColor="text1"/>
          <w:sz w:val="22"/>
          <w:szCs w:val="22"/>
        </w:rPr>
        <w:t xml:space="preserve">, se considera que aquellos bienes jurídicos que detentan un muy alto valor dentro del ordenamiento ya que se reputan </w:t>
      </w:r>
      <w:r w:rsidRPr="00A9198A">
        <w:rPr>
          <w:rFonts w:ascii="Bookman Old Style" w:hAnsi="Bookman Old Style"/>
          <w:color w:val="000000" w:themeColor="text1"/>
          <w:sz w:val="22"/>
          <w:szCs w:val="22"/>
        </w:rPr>
        <w:t>indispensables para una pacífica y libre convivencia, requieren el mayor grado de protección</w:t>
      </w:r>
      <w:r>
        <w:rPr>
          <w:rFonts w:ascii="Bookman Old Style" w:hAnsi="Bookman Old Style"/>
          <w:color w:val="000000" w:themeColor="text1"/>
          <w:sz w:val="22"/>
          <w:szCs w:val="22"/>
        </w:rPr>
        <w:t xml:space="preserve">. Así, la Constitución reconoce que la materialización de ciertas </w:t>
      </w:r>
      <w:r>
        <w:rPr>
          <w:rFonts w:ascii="Bookman Old Style" w:hAnsi="Bookman Old Style"/>
          <w:color w:val="000000" w:themeColor="text1"/>
          <w:sz w:val="22"/>
          <w:szCs w:val="22"/>
        </w:rPr>
        <w:lastRenderedPageBreak/>
        <w:t xml:space="preserve">conductas que puedan afectarlos o ponerlos en peligro, debe ser sancionada incluso con la limitación </w:t>
      </w:r>
      <w:r w:rsidRPr="002561C1">
        <w:rPr>
          <w:rFonts w:ascii="Bookman Old Style" w:hAnsi="Bookman Old Style"/>
          <w:color w:val="000000" w:themeColor="text1"/>
          <w:sz w:val="22"/>
          <w:szCs w:val="22"/>
        </w:rPr>
        <w:t>de derechos</w:t>
      </w:r>
      <w:r>
        <w:rPr>
          <w:rFonts w:ascii="Bookman Old Style" w:hAnsi="Bookman Old Style"/>
          <w:color w:val="000000" w:themeColor="text1"/>
          <w:sz w:val="22"/>
          <w:szCs w:val="22"/>
        </w:rPr>
        <w:t xml:space="preserve"> fundamentales, como es el caso de la libertad.</w:t>
      </w:r>
    </w:p>
    <w:p w14:paraId="71E443BC" w14:textId="77777777" w:rsidR="005E3ECD" w:rsidRDefault="005E3ECD" w:rsidP="005E3ECD">
      <w:pPr>
        <w:pStyle w:val="NormalWeb"/>
        <w:spacing w:before="0" w:beforeAutospacing="0" w:after="0" w:afterAutospacing="0"/>
        <w:jc w:val="both"/>
        <w:rPr>
          <w:rFonts w:ascii="Bookman Old Style" w:hAnsi="Bookman Old Style"/>
          <w:color w:val="000000" w:themeColor="text1"/>
          <w:sz w:val="22"/>
          <w:szCs w:val="22"/>
        </w:rPr>
      </w:pPr>
    </w:p>
    <w:p w14:paraId="5D07714A" w14:textId="77777777" w:rsidR="005E3ECD" w:rsidRDefault="005E3ECD" w:rsidP="005E3ECD">
      <w:pPr>
        <w:pStyle w:val="NormalWeb"/>
        <w:spacing w:before="0" w:beforeAutospacing="0" w:after="0" w:afterAutospacing="0"/>
        <w:jc w:val="both"/>
        <w:rPr>
          <w:rFonts w:ascii="Bookman Old Style" w:hAnsi="Bookman Old Style"/>
          <w:color w:val="000000" w:themeColor="text1"/>
          <w:sz w:val="22"/>
          <w:szCs w:val="22"/>
        </w:rPr>
      </w:pPr>
      <w:r w:rsidRPr="00CC6173">
        <w:rPr>
          <w:rFonts w:ascii="Bookman Old Style" w:hAnsi="Bookman Old Style"/>
          <w:color w:val="000000" w:themeColor="text1"/>
          <w:sz w:val="22"/>
          <w:szCs w:val="22"/>
        </w:rPr>
        <w:t xml:space="preserve">No obstante, estos bienes jurídicos de mayor entidad deben ser delimitados de forma previa y atendiendo a unos criterios que se explicarán a continuación. </w:t>
      </w:r>
    </w:p>
    <w:p w14:paraId="0192169A" w14:textId="77777777" w:rsidR="005E3ECD" w:rsidRPr="00CC6173" w:rsidRDefault="005E3ECD" w:rsidP="005E3ECD">
      <w:pPr>
        <w:pStyle w:val="NormalWeb"/>
        <w:spacing w:before="0" w:beforeAutospacing="0" w:after="0" w:afterAutospacing="0"/>
        <w:jc w:val="both"/>
        <w:rPr>
          <w:rFonts w:ascii="Bookman Old Style" w:hAnsi="Bookman Old Style"/>
          <w:color w:val="000000" w:themeColor="text1"/>
          <w:sz w:val="22"/>
          <w:szCs w:val="22"/>
        </w:rPr>
      </w:pPr>
    </w:p>
    <w:p w14:paraId="5C79C8F1" w14:textId="77777777" w:rsidR="005E3ECD" w:rsidRDefault="005E3ECD" w:rsidP="005E3ECD">
      <w:pPr>
        <w:pStyle w:val="NormalWeb"/>
        <w:spacing w:before="0" w:beforeAutospacing="0" w:after="0" w:afterAutospacing="0"/>
        <w:jc w:val="both"/>
        <w:rPr>
          <w:rFonts w:ascii="Bookman Old Style" w:eastAsia="Bookman Old Style" w:hAnsi="Bookman Old Style" w:cs="Bookman Old Style"/>
          <w:i/>
          <w:iCs/>
          <w:color w:val="2D2D2D"/>
          <w:sz w:val="22"/>
          <w:szCs w:val="22"/>
        </w:rPr>
      </w:pPr>
      <w:r>
        <w:rPr>
          <w:rFonts w:ascii="Bookman Old Style" w:hAnsi="Bookman Old Style"/>
          <w:color w:val="000000" w:themeColor="text1"/>
          <w:sz w:val="22"/>
          <w:szCs w:val="22"/>
        </w:rPr>
        <w:t xml:space="preserve">Sobre este asunto la Corte Constitucional ha referido que </w:t>
      </w:r>
      <w:r w:rsidRPr="05CEA356">
        <w:rPr>
          <w:rFonts w:ascii="Bookman Old Style" w:hAnsi="Bookman Old Style"/>
          <w:color w:val="000000" w:themeColor="text1"/>
          <w:sz w:val="22"/>
          <w:szCs w:val="22"/>
        </w:rPr>
        <w:t xml:space="preserve">“...  </w:t>
      </w:r>
      <w:r w:rsidRPr="05CEA356">
        <w:rPr>
          <w:rFonts w:ascii="Bookman Old Style" w:hAnsi="Bookman Old Style"/>
          <w:i/>
          <w:iCs/>
          <w:sz w:val="22"/>
          <w:szCs w:val="22"/>
        </w:rPr>
        <w:t>l</w:t>
      </w:r>
      <w:r w:rsidRPr="05CEA356">
        <w:rPr>
          <w:rFonts w:ascii="Bookman Old Style" w:eastAsia="Bookman Old Style" w:hAnsi="Bookman Old Style" w:cs="Bookman Old Style"/>
          <w:i/>
          <w:iCs/>
          <w:sz w:val="22"/>
          <w:szCs w:val="22"/>
        </w:rPr>
        <w:t>a selección de los bienes jurídicos merecedores de protección, el señalamiento de las conductas capaces de afectarlos, la distinción entre delitos y contravenciones, así como las consecuentes diferencias de regímenes sancionatorios y de procedimientos obedecen a la política criminal del Estado en cuya concepción y diseño se reconoce al legislador, en lo no regulado directamente por el Constituyente, un margen de acción que se inscribe dentro de la llamada libertad de configuración</w:t>
      </w:r>
      <w:r>
        <w:rPr>
          <w:rStyle w:val="Refdenotaalpie"/>
          <w:rFonts w:ascii="Bookman Old Style" w:eastAsia="Bookman Old Style" w:hAnsi="Bookman Old Style" w:cs="Bookman Old Style"/>
          <w:i/>
          <w:iCs/>
          <w:sz w:val="22"/>
          <w:szCs w:val="22"/>
        </w:rPr>
        <w:footnoteReference w:id="1"/>
      </w:r>
      <w:r w:rsidRPr="05CEA356">
        <w:rPr>
          <w:rFonts w:ascii="Bookman Old Style" w:eastAsia="Bookman Old Style" w:hAnsi="Bookman Old Style" w:cs="Bookman Old Style"/>
          <w:i/>
          <w:iCs/>
          <w:sz w:val="22"/>
          <w:szCs w:val="22"/>
        </w:rPr>
        <w:t>"</w:t>
      </w:r>
    </w:p>
    <w:p w14:paraId="471EABD4" w14:textId="77777777" w:rsidR="005E3ECD" w:rsidRDefault="005E3ECD" w:rsidP="005E3ECD">
      <w:pPr>
        <w:pStyle w:val="NormalWeb"/>
        <w:spacing w:before="0" w:beforeAutospacing="0" w:after="0" w:afterAutospacing="0"/>
        <w:jc w:val="both"/>
        <w:rPr>
          <w:color w:val="000000" w:themeColor="text1"/>
          <w:sz w:val="22"/>
          <w:szCs w:val="22"/>
        </w:rPr>
      </w:pPr>
    </w:p>
    <w:p w14:paraId="7EB2C6FE" w14:textId="77777777" w:rsidR="005E3ECD" w:rsidRDefault="005E3ECD" w:rsidP="005E3ECD">
      <w:pPr>
        <w:pStyle w:val="NormalWeb"/>
        <w:spacing w:before="0" w:beforeAutospacing="0" w:after="0" w:afterAutospacing="0"/>
        <w:jc w:val="both"/>
        <w:rPr>
          <w:rFonts w:ascii="Bookman Old Style" w:hAnsi="Bookman Old Style"/>
          <w:sz w:val="22"/>
          <w:szCs w:val="22"/>
        </w:rPr>
      </w:pPr>
      <w:r w:rsidRPr="497DE876">
        <w:rPr>
          <w:rFonts w:ascii="Bookman Old Style" w:hAnsi="Bookman Old Style"/>
          <w:color w:val="000000" w:themeColor="text1"/>
          <w:sz w:val="22"/>
          <w:szCs w:val="22"/>
        </w:rPr>
        <w:t>Sin embargo, al momento de definir los bienes jurídicos a salvaguardar y las conductas que los afectan, y que deben ser proscritas, el contenido de la Constitución Política y el bloque de constitucionalidad, fundado en el reconocimiento y respeto de la dignidad humana, son límites a la libertad de configuración del legislador en materia penal. Esto, en tanto que uno de los fines del Estado Social de Derecho es garantizar la efectividad de los principios, derechos y deberes consagrados tanto en la Constitución como en los convenios internacionales ratificados por Colombia.</w:t>
      </w:r>
    </w:p>
    <w:p w14:paraId="2B88FC74" w14:textId="77777777" w:rsidR="005E3ECD" w:rsidRDefault="005E3ECD" w:rsidP="005E3ECD">
      <w:pPr>
        <w:pStyle w:val="NormalWeb"/>
        <w:spacing w:before="0" w:beforeAutospacing="0" w:after="0" w:afterAutospacing="0"/>
        <w:jc w:val="both"/>
        <w:rPr>
          <w:color w:val="000000" w:themeColor="text1"/>
          <w:sz w:val="22"/>
          <w:szCs w:val="22"/>
        </w:rPr>
      </w:pPr>
    </w:p>
    <w:p w14:paraId="4149C37C" w14:textId="77777777" w:rsidR="005E3ECD" w:rsidRDefault="005E3ECD" w:rsidP="005E3ECD">
      <w:pPr>
        <w:pStyle w:val="NormalWeb"/>
        <w:spacing w:before="0" w:beforeAutospacing="0" w:after="0" w:afterAutospacing="0"/>
        <w:jc w:val="both"/>
        <w:rPr>
          <w:rFonts w:ascii="Bookman Old Style" w:eastAsia="Bookman Old Style" w:hAnsi="Bookman Old Style" w:cs="Bookman Old Style"/>
          <w:i/>
          <w:iCs/>
          <w:sz w:val="22"/>
          <w:szCs w:val="22"/>
        </w:rPr>
      </w:pPr>
      <w:r w:rsidRPr="497DE876">
        <w:rPr>
          <w:rFonts w:ascii="Bookman Old Style" w:hAnsi="Bookman Old Style"/>
          <w:color w:val="000000" w:themeColor="text1"/>
          <w:sz w:val="22"/>
          <w:szCs w:val="22"/>
        </w:rPr>
        <w:t xml:space="preserve">Línea que ha reiterado la </w:t>
      </w:r>
      <w:r>
        <w:rPr>
          <w:rFonts w:ascii="Bookman Old Style" w:hAnsi="Bookman Old Style"/>
          <w:color w:val="000000" w:themeColor="text1"/>
          <w:sz w:val="22"/>
          <w:szCs w:val="22"/>
        </w:rPr>
        <w:t>C</w:t>
      </w:r>
      <w:r w:rsidRPr="497DE876">
        <w:rPr>
          <w:rFonts w:ascii="Bookman Old Style" w:hAnsi="Bookman Old Style"/>
          <w:color w:val="000000" w:themeColor="text1"/>
          <w:sz w:val="22"/>
          <w:szCs w:val="22"/>
        </w:rPr>
        <w:t xml:space="preserve">orte en su Sentencia C-939 de 2002, </w:t>
      </w:r>
      <w:r w:rsidRPr="497DE876">
        <w:rPr>
          <w:rFonts w:ascii="Bookman Old Style" w:hAnsi="Bookman Old Style"/>
          <w:i/>
          <w:iCs/>
          <w:color w:val="000000" w:themeColor="text1"/>
          <w:sz w:val="22"/>
          <w:szCs w:val="22"/>
        </w:rPr>
        <w:t>“</w:t>
      </w:r>
      <w:r w:rsidRPr="497DE876">
        <w:rPr>
          <w:rFonts w:ascii="Bookman Old Style" w:eastAsia="Bookman Old Style" w:hAnsi="Bookman Old Style" w:cs="Bookman Old Style"/>
          <w:i/>
          <w:iCs/>
          <w:sz w:val="22"/>
          <w:szCs w:val="22"/>
        </w:rPr>
        <w:t>Respecto del poder punitivo ordinario del Estado, la Corte Constitucional ha reiterado que el legislador goza de amplia competencia (libertad de configuración legislativa) para definir cuales conductas han de ser consideradas punibles y fijar las penas correspondientes a tales comportamientos. Así mismo, ha indicado que, frente al ejercicio de dicha libertad de configuración, la Constitución opera como un mecanismo de “control de límites de competencia del legislador, con el fin de evitar excesos punitivos”</w:t>
      </w:r>
      <w:r>
        <w:rPr>
          <w:rFonts w:ascii="Bookman Old Style" w:eastAsia="Bookman Old Style" w:hAnsi="Bookman Old Style" w:cs="Bookman Old Style"/>
          <w:i/>
          <w:iCs/>
          <w:sz w:val="22"/>
          <w:szCs w:val="22"/>
        </w:rPr>
        <w:t>.</w:t>
      </w:r>
    </w:p>
    <w:p w14:paraId="45DD419D" w14:textId="77777777" w:rsidR="005E3ECD" w:rsidRDefault="005E3ECD" w:rsidP="005E3ECD">
      <w:pPr>
        <w:pStyle w:val="NormalWeb"/>
        <w:spacing w:before="0" w:beforeAutospacing="0" w:after="0" w:afterAutospacing="0"/>
        <w:jc w:val="both"/>
        <w:rPr>
          <w:rFonts w:ascii="Bookman Old Style" w:eastAsia="Bookman Old Style" w:hAnsi="Bookman Old Style" w:cs="Bookman Old Style"/>
          <w:i/>
          <w:iCs/>
          <w:sz w:val="22"/>
          <w:szCs w:val="22"/>
        </w:rPr>
      </w:pPr>
    </w:p>
    <w:p w14:paraId="542B0E82" w14:textId="77777777" w:rsidR="005E3ECD" w:rsidRDefault="005E3ECD" w:rsidP="005E3ECD">
      <w:pPr>
        <w:pStyle w:val="NormalWeb"/>
        <w:spacing w:before="0" w:beforeAutospacing="0" w:after="0" w:afterAutospacing="0"/>
        <w:jc w:val="both"/>
        <w:rPr>
          <w:rFonts w:ascii="Bookman Old Style" w:eastAsia="Bookman Old Style" w:hAnsi="Bookman Old Style" w:cs="Bookman Old Style"/>
          <w:sz w:val="22"/>
          <w:szCs w:val="22"/>
        </w:rPr>
      </w:pPr>
      <w:r w:rsidRPr="00605100">
        <w:rPr>
          <w:rFonts w:ascii="Bookman Old Style" w:eastAsia="Bookman Old Style" w:hAnsi="Bookman Old Style" w:cs="Bookman Old Style"/>
          <w:sz w:val="22"/>
          <w:szCs w:val="22"/>
        </w:rPr>
        <w:t>También se considera relevante recordar lo que dispuso el Alto Tribunal en</w:t>
      </w:r>
      <w:r>
        <w:rPr>
          <w:rFonts w:ascii="Bookman Old Style" w:eastAsia="Bookman Old Style" w:hAnsi="Bookman Old Style" w:cs="Bookman Old Style"/>
          <w:sz w:val="22"/>
          <w:szCs w:val="22"/>
        </w:rPr>
        <w:t xml:space="preserve"> </w:t>
      </w:r>
      <w:r w:rsidRPr="00605100">
        <w:rPr>
          <w:rFonts w:ascii="Bookman Old Style" w:hAnsi="Bookman Old Style"/>
          <w:color w:val="000000" w:themeColor="text1"/>
          <w:sz w:val="22"/>
          <w:szCs w:val="22"/>
        </w:rPr>
        <w:t>la sentencia</w:t>
      </w:r>
      <w:r w:rsidRPr="497DE876">
        <w:rPr>
          <w:rFonts w:ascii="Bookman Old Style" w:hAnsi="Bookman Old Style"/>
          <w:color w:val="000000" w:themeColor="text1"/>
          <w:sz w:val="22"/>
          <w:szCs w:val="22"/>
        </w:rPr>
        <w:t xml:space="preserve"> </w:t>
      </w:r>
      <w:r w:rsidRPr="497DE876">
        <w:rPr>
          <w:rFonts w:ascii="Bookman Old Style" w:eastAsia="Bookman Old Style" w:hAnsi="Bookman Old Style" w:cs="Bookman Old Style"/>
          <w:color w:val="000000" w:themeColor="text1"/>
          <w:sz w:val="22"/>
          <w:szCs w:val="22"/>
        </w:rPr>
        <w:t>C-181 de 2002</w:t>
      </w:r>
      <w:r>
        <w:rPr>
          <w:rFonts w:ascii="Bookman Old Style" w:eastAsia="Bookman Old Style" w:hAnsi="Bookman Old Style" w:cs="Bookman Old Style"/>
          <w:color w:val="000000" w:themeColor="text1"/>
          <w:sz w:val="22"/>
          <w:szCs w:val="22"/>
        </w:rPr>
        <w:t>, en la que se reconoció que</w:t>
      </w:r>
      <w:r w:rsidRPr="497DE876">
        <w:rPr>
          <w:rFonts w:ascii="Bookman Old Style" w:eastAsia="Bookman Old Style" w:hAnsi="Bookman Old Style" w:cs="Bookman Old Style"/>
          <w:color w:val="000000" w:themeColor="text1"/>
          <w:sz w:val="22"/>
          <w:szCs w:val="22"/>
        </w:rPr>
        <w:t xml:space="preserve"> </w:t>
      </w:r>
      <w:r w:rsidRPr="77340D2D">
        <w:rPr>
          <w:rFonts w:ascii="Bookman Old Style" w:eastAsia="Bookman Old Style" w:hAnsi="Bookman Old Style" w:cs="Bookman Old Style"/>
          <w:color w:val="000000" w:themeColor="text1"/>
          <w:sz w:val="22"/>
          <w:szCs w:val="22"/>
        </w:rPr>
        <w:t>“</w:t>
      </w:r>
      <w:r w:rsidRPr="497DE876">
        <w:rPr>
          <w:rFonts w:ascii="Bookman Old Style" w:eastAsia="Bookman Old Style" w:hAnsi="Bookman Old Style" w:cs="Bookman Old Style"/>
          <w:i/>
          <w:iCs/>
          <w:sz w:val="22"/>
          <w:szCs w:val="22"/>
        </w:rPr>
        <w:t>Aunque el legislador goza de un amplio margen de discrecionalidad al momento de decidir cuáles conductas merecen juicio de reprochabilidad jurídica, dicha autonomía se encuentra restringida por las pautas que imponen la proporcionalidad y la vigencia de los principios de convivencia pacífica y el orden justo. A esto habría que agregar que el legislador está obligado a mantener las garantías mínimas que se ha comprometido proteger en el ámbito internacional en torno a la protección de los derechos de los asociados.</w:t>
      </w:r>
      <w:r w:rsidRPr="497DE876">
        <w:rPr>
          <w:rFonts w:ascii="Bookman Old Style" w:eastAsia="Bookman Old Style" w:hAnsi="Bookman Old Style" w:cs="Bookman Old Style"/>
          <w:sz w:val="22"/>
          <w:szCs w:val="22"/>
        </w:rPr>
        <w:t xml:space="preserve">”. </w:t>
      </w:r>
    </w:p>
    <w:p w14:paraId="12D86F57" w14:textId="77777777" w:rsidR="005E3ECD" w:rsidRDefault="005E3ECD" w:rsidP="005E3ECD">
      <w:pPr>
        <w:pStyle w:val="NormalWeb"/>
        <w:spacing w:before="0" w:beforeAutospacing="0" w:after="0" w:afterAutospacing="0"/>
        <w:jc w:val="both"/>
        <w:rPr>
          <w:sz w:val="22"/>
          <w:szCs w:val="22"/>
        </w:rPr>
      </w:pPr>
    </w:p>
    <w:p w14:paraId="1434157B" w14:textId="77777777" w:rsidR="005E3ECD" w:rsidRDefault="005E3ECD" w:rsidP="005E3ECD">
      <w:pPr>
        <w:pStyle w:val="NormalWeb"/>
        <w:spacing w:before="0" w:beforeAutospacing="0" w:after="0" w:afterAutospacing="0"/>
        <w:jc w:val="both"/>
        <w:rPr>
          <w:rFonts w:ascii="Bookman Old Style" w:hAnsi="Bookman Old Style"/>
          <w:i/>
          <w:iCs/>
          <w:sz w:val="22"/>
          <w:szCs w:val="22"/>
        </w:rPr>
      </w:pPr>
      <w:r w:rsidRPr="497DE876">
        <w:rPr>
          <w:rFonts w:ascii="Bookman Old Style" w:hAnsi="Bookman Old Style"/>
          <w:color w:val="000000" w:themeColor="text1"/>
          <w:sz w:val="22"/>
          <w:szCs w:val="22"/>
        </w:rPr>
        <w:t xml:space="preserve">Por </w:t>
      </w:r>
      <w:r>
        <w:rPr>
          <w:rFonts w:ascii="Bookman Old Style" w:hAnsi="Bookman Old Style"/>
          <w:color w:val="000000" w:themeColor="text1"/>
          <w:sz w:val="22"/>
          <w:szCs w:val="22"/>
        </w:rPr>
        <w:t>otra parte,</w:t>
      </w:r>
      <w:r w:rsidRPr="497DE876">
        <w:rPr>
          <w:rFonts w:ascii="Bookman Old Style" w:hAnsi="Bookman Old Style"/>
          <w:color w:val="000000" w:themeColor="text1"/>
          <w:sz w:val="22"/>
          <w:szCs w:val="22"/>
        </w:rPr>
        <w:t xml:space="preserve"> la Corte Suprema de Justicia, sala de casación penal, en sentencia de casación RAD 29.183 de noviembre de 2018, señaló de manera contundente </w:t>
      </w:r>
      <w:r w:rsidRPr="497DE876">
        <w:rPr>
          <w:rFonts w:ascii="Bookman Old Style" w:hAnsi="Bookman Old Style"/>
          <w:color w:val="000000" w:themeColor="text1"/>
          <w:sz w:val="22"/>
          <w:szCs w:val="22"/>
        </w:rPr>
        <w:lastRenderedPageBreak/>
        <w:t xml:space="preserve">que: </w:t>
      </w:r>
      <w:r w:rsidRPr="497DE876">
        <w:rPr>
          <w:rFonts w:ascii="Bookman Old Style" w:hAnsi="Bookman Old Style"/>
          <w:i/>
          <w:iCs/>
          <w:color w:val="000000" w:themeColor="text1"/>
          <w:sz w:val="22"/>
          <w:szCs w:val="22"/>
        </w:rPr>
        <w:t>“el bien jurídico constituye la única instancia legitimante del poder punitivo del Estado Social de Derecho, de allí que el legislador no puede establecer como delitos conductas que no lo afecten”.</w:t>
      </w:r>
    </w:p>
    <w:p w14:paraId="2D28BDFE" w14:textId="77777777" w:rsidR="005E3ECD" w:rsidRDefault="005E3ECD" w:rsidP="005E3ECD">
      <w:pPr>
        <w:pStyle w:val="NormalWeb"/>
        <w:spacing w:before="0" w:beforeAutospacing="0" w:after="0" w:afterAutospacing="0"/>
        <w:jc w:val="both"/>
        <w:rPr>
          <w:i/>
          <w:iCs/>
          <w:color w:val="000000" w:themeColor="text1"/>
          <w:sz w:val="22"/>
          <w:szCs w:val="22"/>
        </w:rPr>
      </w:pPr>
    </w:p>
    <w:p w14:paraId="0F0D767E" w14:textId="77777777" w:rsidR="005E3ECD" w:rsidRDefault="005E3ECD" w:rsidP="005E3ECD">
      <w:pPr>
        <w:pStyle w:val="NormalWeb"/>
        <w:spacing w:before="0" w:beforeAutospacing="0" w:after="0" w:afterAutospacing="0"/>
        <w:jc w:val="both"/>
        <w:rPr>
          <w:rFonts w:ascii="Bookman Old Style" w:hAnsi="Bookman Old Style"/>
          <w:color w:val="000000" w:themeColor="text1"/>
          <w:sz w:val="22"/>
          <w:szCs w:val="22"/>
        </w:rPr>
      </w:pPr>
      <w:r w:rsidRPr="009D7FFE">
        <w:rPr>
          <w:rFonts w:ascii="Bookman Old Style" w:hAnsi="Bookman Old Style"/>
          <w:color w:val="000000" w:themeColor="text1"/>
          <w:sz w:val="22"/>
          <w:szCs w:val="22"/>
        </w:rPr>
        <w:t>De lo anterior se desprende entonces que el Estado en ejercicio del poder punitivo que le es conferido por vía de la Constitución, tiene la facultad de proteger a través del derecho penal aquellos bienes jurídicos que, por revestir una altísima importancia, demandan</w:t>
      </w:r>
      <w:r>
        <w:rPr>
          <w:rFonts w:ascii="Bookman Old Style" w:hAnsi="Bookman Old Style"/>
          <w:color w:val="000000" w:themeColor="text1"/>
          <w:sz w:val="22"/>
          <w:szCs w:val="22"/>
        </w:rPr>
        <w:t xml:space="preserve"> una protección reforzada. Esta facultad se materializa a través del ejercicio legislativo que, luego de un proceso democrático y participativo, regula las conductas que han de tipificarse como verdaderos delitos, con el objetivo de disuadir su acontecer.</w:t>
      </w:r>
    </w:p>
    <w:p w14:paraId="1287829D" w14:textId="77777777" w:rsidR="005E3ECD" w:rsidRDefault="005E3ECD" w:rsidP="005E3ECD">
      <w:pPr>
        <w:pStyle w:val="NormalWeb"/>
        <w:spacing w:before="0" w:beforeAutospacing="0" w:after="0" w:afterAutospacing="0"/>
        <w:jc w:val="both"/>
        <w:rPr>
          <w:rFonts w:ascii="Bookman Old Style" w:hAnsi="Bookman Old Style"/>
          <w:color w:val="000000" w:themeColor="text1"/>
          <w:sz w:val="22"/>
          <w:szCs w:val="22"/>
        </w:rPr>
      </w:pPr>
    </w:p>
    <w:p w14:paraId="73AA7568" w14:textId="77777777" w:rsidR="005E3ECD" w:rsidRPr="009D7FFE" w:rsidRDefault="005E3ECD" w:rsidP="005E3ECD">
      <w:pPr>
        <w:pStyle w:val="NormalWeb"/>
        <w:spacing w:before="0" w:beforeAutospacing="0" w:after="0" w:afterAutospacing="0"/>
        <w:jc w:val="both"/>
        <w:rPr>
          <w:rFonts w:ascii="Bookman Old Style" w:hAnsi="Bookman Old Style"/>
          <w:color w:val="000000" w:themeColor="text1"/>
          <w:sz w:val="22"/>
          <w:szCs w:val="22"/>
        </w:rPr>
      </w:pPr>
      <w:r>
        <w:rPr>
          <w:rFonts w:ascii="Bookman Old Style" w:hAnsi="Bookman Old Style"/>
          <w:color w:val="000000" w:themeColor="text1"/>
          <w:sz w:val="22"/>
          <w:szCs w:val="22"/>
        </w:rPr>
        <w:t>Ahora bien, es claro que esta facultad encuentra unos límites de rango constitucional y además demanda que los bienes jurídicos que se pretenden proteger sean de tal entidad que justifiquen la limitación de ciertos derechos fundamentales, como la libertad.</w:t>
      </w:r>
      <w:r w:rsidRPr="009D7FFE">
        <w:rPr>
          <w:rFonts w:ascii="Bookman Old Style" w:hAnsi="Bookman Old Style"/>
          <w:color w:val="000000" w:themeColor="text1"/>
          <w:sz w:val="22"/>
          <w:szCs w:val="22"/>
        </w:rPr>
        <w:t xml:space="preserve"> </w:t>
      </w:r>
      <w:r>
        <w:rPr>
          <w:rFonts w:ascii="Bookman Old Style" w:hAnsi="Bookman Old Style"/>
          <w:color w:val="000000" w:themeColor="text1"/>
          <w:sz w:val="22"/>
          <w:szCs w:val="22"/>
        </w:rPr>
        <w:t xml:space="preserve">Así, no todo bien jurídico puede ser materia del derecho penal, así como tampoco todas las conductas que tengan la potencialidad de afectarlo. </w:t>
      </w:r>
    </w:p>
    <w:p w14:paraId="6D6715B5" w14:textId="77777777" w:rsidR="005E3ECD" w:rsidRDefault="005E3ECD" w:rsidP="005E3ECD">
      <w:pPr>
        <w:pStyle w:val="NormalWeb"/>
        <w:spacing w:before="0" w:beforeAutospacing="0" w:after="0" w:afterAutospacing="0"/>
        <w:jc w:val="both"/>
        <w:rPr>
          <w:rFonts w:ascii="Bookman Old Style" w:eastAsia="Bookman Old Style" w:hAnsi="Bookman Old Style" w:cs="Bookman Old Style"/>
          <w:sz w:val="22"/>
          <w:szCs w:val="22"/>
        </w:rPr>
      </w:pPr>
    </w:p>
    <w:p w14:paraId="26B8B592" w14:textId="77777777" w:rsidR="005E3ECD" w:rsidRDefault="005E3ECD" w:rsidP="005E3ECD">
      <w:pPr>
        <w:pStyle w:val="NormalWeb"/>
        <w:spacing w:before="0" w:beforeAutospacing="0" w:after="0" w:afterAutospacing="0" w:line="259"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Se concluye entonces </w:t>
      </w:r>
      <w:r w:rsidRPr="497DE876">
        <w:rPr>
          <w:rFonts w:ascii="Bookman Old Style" w:hAnsi="Bookman Old Style"/>
          <w:color w:val="000000" w:themeColor="text1"/>
          <w:sz w:val="22"/>
          <w:szCs w:val="22"/>
        </w:rPr>
        <w:t xml:space="preserve">que, 1) </w:t>
      </w:r>
      <w:r w:rsidRPr="002561C1">
        <w:rPr>
          <w:rFonts w:ascii="Bookman Old Style" w:hAnsi="Bookman Old Style"/>
          <w:color w:val="000000" w:themeColor="text1"/>
          <w:sz w:val="22"/>
          <w:szCs w:val="22"/>
        </w:rPr>
        <w:t>únicamente</w:t>
      </w:r>
      <w:r w:rsidRPr="497DE876">
        <w:rPr>
          <w:rFonts w:ascii="Bookman Old Style" w:hAnsi="Bookman Old Style"/>
          <w:color w:val="000000" w:themeColor="text1"/>
          <w:sz w:val="22"/>
          <w:szCs w:val="22"/>
        </w:rPr>
        <w:t xml:space="preserve"> pueden ser tipificadas conductas que afecten un bien jurídico con relevancia constitucional; 2) al definir los tipos penales, el legislador está sometido al contenido material de los derechos constitucionales, así como a los tratados y convenios internacionales relativos a derechos humanos</w:t>
      </w:r>
      <w:r w:rsidRPr="7366C2A3">
        <w:rPr>
          <w:rFonts w:ascii="Bookman Old Style" w:hAnsi="Bookman Old Style"/>
          <w:color w:val="000000" w:themeColor="text1"/>
          <w:sz w:val="22"/>
          <w:szCs w:val="22"/>
        </w:rPr>
        <w:t>;</w:t>
      </w:r>
      <w:r w:rsidRPr="497DE876">
        <w:rPr>
          <w:rFonts w:ascii="Bookman Old Style" w:hAnsi="Bookman Old Style"/>
          <w:color w:val="000000" w:themeColor="text1"/>
          <w:sz w:val="22"/>
          <w:szCs w:val="22"/>
        </w:rPr>
        <w:t xml:space="preserve"> y 3) </w:t>
      </w:r>
      <w:r w:rsidRPr="77340D2D">
        <w:rPr>
          <w:rFonts w:ascii="Bookman Old Style" w:hAnsi="Bookman Old Style"/>
          <w:color w:val="000000" w:themeColor="text1"/>
          <w:sz w:val="22"/>
          <w:szCs w:val="22"/>
        </w:rPr>
        <w:t>solo</w:t>
      </w:r>
      <w:r w:rsidRPr="497DE876">
        <w:rPr>
          <w:rFonts w:ascii="Bookman Old Style" w:hAnsi="Bookman Old Style"/>
          <w:color w:val="000000" w:themeColor="text1"/>
          <w:sz w:val="22"/>
          <w:szCs w:val="22"/>
        </w:rPr>
        <w:t xml:space="preserve"> se puede constituir como delito aquellos comportamientos que los particulares o los agentes del Estado puedan cometer y que verdaderamente ostentan la potencialidad de dañar o poner en riesgo los bienes jurídicos protegidos por la norma.</w:t>
      </w:r>
      <w:r>
        <w:rPr>
          <w:rFonts w:ascii="Bookman Old Style" w:hAnsi="Bookman Old Style"/>
          <w:color w:val="000000" w:themeColor="text1"/>
          <w:sz w:val="22"/>
          <w:szCs w:val="22"/>
        </w:rPr>
        <w:t xml:space="preserve"> </w:t>
      </w:r>
    </w:p>
    <w:p w14:paraId="171A5C69" w14:textId="77777777" w:rsidR="005E3ECD" w:rsidRDefault="005E3ECD" w:rsidP="005E3ECD">
      <w:pPr>
        <w:pStyle w:val="NormalWeb"/>
        <w:spacing w:before="0" w:beforeAutospacing="0" w:after="0" w:afterAutospacing="0" w:line="259" w:lineRule="auto"/>
        <w:jc w:val="both"/>
        <w:rPr>
          <w:rFonts w:ascii="Bookman Old Style" w:hAnsi="Bookman Old Style"/>
          <w:color w:val="000000" w:themeColor="text1"/>
          <w:sz w:val="22"/>
          <w:szCs w:val="22"/>
        </w:rPr>
      </w:pPr>
    </w:p>
    <w:p w14:paraId="6957EEBA" w14:textId="77777777" w:rsidR="005E3ECD" w:rsidRDefault="005E3ECD" w:rsidP="005E3ECD">
      <w:pPr>
        <w:pStyle w:val="NormalWeb"/>
        <w:spacing w:before="0" w:beforeAutospacing="0" w:after="0" w:afterAutospacing="0" w:line="259"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Estos principios deben ser tenidos en cuenta al momento de estudiar si un bien jurídico puede o no ser tutelado por normas de carácter penal y si las conductas tipificadas por el Legislador como delito se ajustan a los parámetros y límites constitucionales en esta materia. </w:t>
      </w:r>
    </w:p>
    <w:p w14:paraId="6D6E3374" w14:textId="77777777" w:rsidR="00E33812" w:rsidRDefault="00E33812" w:rsidP="005E3ECD">
      <w:pPr>
        <w:pStyle w:val="NormalWeb"/>
        <w:spacing w:before="0" w:beforeAutospacing="0" w:after="0" w:afterAutospacing="0" w:line="259" w:lineRule="auto"/>
        <w:jc w:val="both"/>
        <w:rPr>
          <w:rFonts w:ascii="Bookman Old Style" w:hAnsi="Bookman Old Style"/>
          <w:color w:val="000000" w:themeColor="text1"/>
          <w:sz w:val="22"/>
          <w:szCs w:val="22"/>
        </w:rPr>
      </w:pPr>
    </w:p>
    <w:p w14:paraId="37B8D9D5" w14:textId="77777777" w:rsidR="00E33812" w:rsidRPr="00E33812" w:rsidRDefault="00E33812" w:rsidP="00E33812">
      <w:pPr>
        <w:pStyle w:val="Prrafodelista"/>
        <w:numPr>
          <w:ilvl w:val="1"/>
          <w:numId w:val="1"/>
        </w:numPr>
        <w:ind w:left="0" w:firstLine="0"/>
        <w:jc w:val="both"/>
        <w:rPr>
          <w:rFonts w:ascii="Bookman Old Style" w:hAnsi="Bookman Old Style"/>
          <w:bCs/>
          <w:color w:val="000000" w:themeColor="text1"/>
          <w:sz w:val="22"/>
          <w:szCs w:val="22"/>
        </w:rPr>
      </w:pPr>
      <w:r w:rsidRPr="003F50C8">
        <w:rPr>
          <w:rFonts w:ascii="Bookman Old Style" w:hAnsi="Bookman Old Style"/>
          <w:b/>
          <w:bCs/>
          <w:color w:val="000000" w:themeColor="text1"/>
          <w:sz w:val="22"/>
          <w:szCs w:val="22"/>
        </w:rPr>
        <w:t>DERECHO A GOZAR DE UN AMBIENTE SANO</w:t>
      </w:r>
      <w:r>
        <w:rPr>
          <w:rFonts w:ascii="Bookman Old Style" w:hAnsi="Bookman Old Style"/>
          <w:b/>
          <w:bCs/>
          <w:color w:val="000000" w:themeColor="text1"/>
          <w:sz w:val="22"/>
          <w:szCs w:val="22"/>
        </w:rPr>
        <w:t>.</w:t>
      </w:r>
    </w:p>
    <w:p w14:paraId="4989A169" w14:textId="77777777" w:rsidR="005E3ECD" w:rsidRDefault="005E3ECD" w:rsidP="003F50C8">
      <w:pPr>
        <w:jc w:val="both"/>
        <w:rPr>
          <w:rFonts w:ascii="Bookman Old Style" w:hAnsi="Bookman Old Style"/>
          <w:bCs/>
          <w:color w:val="000000" w:themeColor="text1"/>
          <w:sz w:val="22"/>
          <w:szCs w:val="22"/>
        </w:rPr>
      </w:pPr>
    </w:p>
    <w:p w14:paraId="40021B9A" w14:textId="77777777" w:rsidR="00E33812" w:rsidRPr="008C543C" w:rsidRDefault="00E33812" w:rsidP="003B3170">
      <w:pPr>
        <w:pStyle w:val="NormalWeb"/>
        <w:numPr>
          <w:ilvl w:val="0"/>
          <w:numId w:val="15"/>
        </w:numPr>
        <w:spacing w:before="0" w:beforeAutospacing="0" w:after="0" w:afterAutospacing="0" w:line="259" w:lineRule="auto"/>
        <w:ind w:left="284" w:hanging="284"/>
        <w:jc w:val="both"/>
        <w:rPr>
          <w:rFonts w:ascii="Bookman Old Style" w:hAnsi="Bookman Old Style"/>
          <w:b/>
          <w:bCs/>
          <w:sz w:val="22"/>
          <w:szCs w:val="22"/>
        </w:rPr>
      </w:pPr>
      <w:r w:rsidRPr="008C543C">
        <w:rPr>
          <w:rFonts w:ascii="Bookman Old Style" w:hAnsi="Bookman Old Style"/>
          <w:b/>
          <w:bCs/>
          <w:color w:val="000000" w:themeColor="text1"/>
          <w:sz w:val="22"/>
          <w:szCs w:val="22"/>
        </w:rPr>
        <w:t>El medio ambiente como bien jurídico tutelado por el derecho penal.</w:t>
      </w:r>
    </w:p>
    <w:p w14:paraId="2BE9B059" w14:textId="77777777" w:rsidR="00E33812" w:rsidRDefault="00E33812" w:rsidP="00E33812">
      <w:pPr>
        <w:pStyle w:val="NormalWeb"/>
        <w:spacing w:before="0" w:beforeAutospacing="0" w:after="0" w:afterAutospacing="0" w:line="259" w:lineRule="auto"/>
        <w:jc w:val="both"/>
        <w:rPr>
          <w:color w:val="000000"/>
        </w:rPr>
      </w:pPr>
    </w:p>
    <w:p w14:paraId="3F1F1229" w14:textId="77777777" w:rsidR="00E33812" w:rsidRPr="00350A78" w:rsidRDefault="00E33812" w:rsidP="00E33812">
      <w:pPr>
        <w:pStyle w:val="NormalWeb"/>
        <w:spacing w:before="0" w:beforeAutospacing="0" w:after="0" w:afterAutospacing="0"/>
        <w:jc w:val="both"/>
        <w:rPr>
          <w:rFonts w:ascii="Bookman Old Style" w:hAnsi="Bookman Old Style"/>
          <w:color w:val="000000"/>
          <w:sz w:val="22"/>
          <w:szCs w:val="22"/>
        </w:rPr>
      </w:pPr>
      <w:r w:rsidRPr="00350A78">
        <w:rPr>
          <w:rFonts w:ascii="Bookman Old Style" w:hAnsi="Bookman Old Style"/>
          <w:color w:val="000000"/>
          <w:sz w:val="22"/>
          <w:szCs w:val="22"/>
        </w:rPr>
        <w:t xml:space="preserve">Colombia es un país megadiverso, rico en gran variedad de especies de flora, fauna y ecosistemas, a lo largo de toda su geografía nacional. La Constitución Política de Colombia a través de sus artículos 79, 80 y 95 estableció el derecho más colectivo de los humanos: el derecho a gozar de un ambiente sano, determinando que es </w:t>
      </w:r>
      <w:r w:rsidRPr="00350A78">
        <w:rPr>
          <w:rFonts w:ascii="Bookman Old Style" w:hAnsi="Bookman Old Style"/>
          <w:color w:val="000000"/>
          <w:sz w:val="22"/>
          <w:szCs w:val="22"/>
        </w:rPr>
        <w:lastRenderedPageBreak/>
        <w:t>deber del Estado y de los ciudadanos, proteger la diversidad e integridad del ambiente y las áreas de especial importancia ecológica.</w:t>
      </w:r>
    </w:p>
    <w:p w14:paraId="260881D8" w14:textId="77777777" w:rsidR="00E33812" w:rsidRPr="00350A78" w:rsidRDefault="00E33812" w:rsidP="00E33812">
      <w:pPr>
        <w:pStyle w:val="NormalWeb"/>
        <w:spacing w:before="0" w:beforeAutospacing="0" w:after="0" w:afterAutospacing="0"/>
        <w:jc w:val="both"/>
        <w:rPr>
          <w:rFonts w:ascii="Bookman Old Style" w:hAnsi="Bookman Old Style"/>
          <w:sz w:val="22"/>
          <w:szCs w:val="22"/>
        </w:rPr>
      </w:pPr>
    </w:p>
    <w:p w14:paraId="2F69F1DE"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“ARTÍCULO 79. Todas las personas tienen derecho a gozar de un ambiente sano. La ley garantizará la participación de la comunidad en las decisiones que puedan afectarlo.</w:t>
      </w:r>
    </w:p>
    <w:p w14:paraId="0E70A68C"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12B1F49F"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Es deber del Estado proteger la diversidad e integridad del ambiente, conservar las áreas de especial importancia ecológica y fomentar la educación para el logro de estos fines.”</w:t>
      </w:r>
    </w:p>
    <w:p w14:paraId="50022E3C"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7EB48FA8"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“ARTÍCULO 80. El Estado planificará el manejo y aprovechamiento de los recursos naturales, para garantizar su desarrollo sostenible, su conservación, restauración o sustitución.</w:t>
      </w:r>
    </w:p>
    <w:p w14:paraId="6FF81464"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1B3343FB"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Además, deberá prevenir y controlar los factores de deterioro ambiental, imponer las sanciones legales y exigir la reparación de los daños causados.</w:t>
      </w:r>
    </w:p>
    <w:p w14:paraId="18C3AD35"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25D88680"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Así mismo, cooperará con otras naciones en la protección de los ecosistemas situados en las zonas fronterizas.”</w:t>
      </w:r>
    </w:p>
    <w:p w14:paraId="7EAC9179"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3D55B8E8"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“ARTÍCULO 95. La calidad de colombiano enaltece a todos los miembros de la comunidad nacional. Todos están en el deber de engrandecerla y dignificarla. El ejercicio de los derechos y libertades reconocidos en esta Constitución implica responsabilidades.</w:t>
      </w:r>
    </w:p>
    <w:p w14:paraId="1CA37021"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Toda persona está obligada a cumplir la Constitución y las leyes.</w:t>
      </w:r>
    </w:p>
    <w:p w14:paraId="45115F48"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Son deberes de la persona y del ciudadano:</w:t>
      </w:r>
    </w:p>
    <w:p w14:paraId="468116F6"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615AB1FC"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w:t>
      </w:r>
    </w:p>
    <w:p w14:paraId="6F6AE97C" w14:textId="77777777" w:rsidR="00E33812" w:rsidRPr="00350A78" w:rsidRDefault="00E33812" w:rsidP="00E33812">
      <w:pPr>
        <w:pStyle w:val="NormalWeb"/>
        <w:spacing w:before="0" w:beforeAutospacing="0" w:after="0" w:afterAutospacing="0"/>
        <w:ind w:left="270" w:right="270"/>
        <w:jc w:val="both"/>
        <w:rPr>
          <w:rFonts w:ascii="Bookman Old Style" w:hAnsi="Bookman Old Style"/>
          <w:i/>
          <w:iCs/>
          <w:color w:val="000000"/>
          <w:sz w:val="22"/>
          <w:szCs w:val="22"/>
        </w:rPr>
      </w:pPr>
    </w:p>
    <w:p w14:paraId="738C2B30" w14:textId="77777777" w:rsidR="00E33812" w:rsidRPr="00350A78" w:rsidRDefault="00E33812" w:rsidP="00E33812">
      <w:pPr>
        <w:pStyle w:val="NormalWeb"/>
        <w:spacing w:before="0" w:beforeAutospacing="0" w:after="0" w:afterAutospacing="0"/>
        <w:ind w:left="270" w:right="270"/>
        <w:jc w:val="both"/>
        <w:rPr>
          <w:rFonts w:ascii="Bookman Old Style" w:hAnsi="Bookman Old Style"/>
          <w:sz w:val="22"/>
          <w:szCs w:val="22"/>
        </w:rPr>
      </w:pPr>
      <w:r w:rsidRPr="031548A8">
        <w:rPr>
          <w:rFonts w:ascii="Bookman Old Style" w:hAnsi="Bookman Old Style"/>
          <w:i/>
          <w:color w:val="000000" w:themeColor="text1"/>
          <w:sz w:val="22"/>
          <w:szCs w:val="22"/>
        </w:rPr>
        <w:t>8. Proteger los recursos culturales y naturales del país y velar por la conservación de un ambiente sano; (…)”.</w:t>
      </w:r>
    </w:p>
    <w:p w14:paraId="6361B510" w14:textId="77777777" w:rsidR="00E33812" w:rsidRPr="00350A78" w:rsidRDefault="00E33812" w:rsidP="00E33812">
      <w:pPr>
        <w:pStyle w:val="NormalWeb"/>
        <w:spacing w:before="0" w:beforeAutospacing="0" w:after="0" w:afterAutospacing="0"/>
        <w:jc w:val="both"/>
        <w:rPr>
          <w:rFonts w:ascii="Bookman Old Style" w:hAnsi="Bookman Old Style"/>
          <w:color w:val="000000"/>
          <w:sz w:val="22"/>
          <w:szCs w:val="22"/>
        </w:rPr>
      </w:pPr>
    </w:p>
    <w:p w14:paraId="366C24EB" w14:textId="77777777" w:rsidR="00E33812" w:rsidRDefault="00E33812" w:rsidP="00E33812">
      <w:pPr>
        <w:pStyle w:val="NormalWeb"/>
        <w:spacing w:before="0" w:beforeAutospacing="0" w:after="0" w:afterAutospacing="0"/>
        <w:jc w:val="both"/>
        <w:rPr>
          <w:rFonts w:ascii="Bookman Old Style" w:hAnsi="Bookman Old Style"/>
          <w:sz w:val="22"/>
          <w:szCs w:val="22"/>
        </w:rPr>
      </w:pPr>
      <w:r w:rsidRPr="497DE876">
        <w:rPr>
          <w:rFonts w:ascii="Bookman Old Style" w:hAnsi="Bookman Old Style"/>
          <w:color w:val="000000" w:themeColor="text1"/>
          <w:sz w:val="22"/>
          <w:szCs w:val="22"/>
        </w:rPr>
        <w:t xml:space="preserve">A fin de materializar dicho mandato, una de las medidas adoptadas en pro de darle alcance al artículo 79 constitucional, fue la de incluir en </w:t>
      </w:r>
      <w:r>
        <w:rPr>
          <w:rFonts w:ascii="Bookman Old Style" w:hAnsi="Bookman Old Style"/>
          <w:color w:val="000000" w:themeColor="text1"/>
          <w:sz w:val="22"/>
          <w:szCs w:val="22"/>
        </w:rPr>
        <w:t>la Ley 599 de 2000, Código Penal, un título denominado</w:t>
      </w:r>
      <w:r w:rsidRPr="2737E003">
        <w:rPr>
          <w:rFonts w:ascii="Bookman Old Style" w:hAnsi="Bookman Old Style"/>
          <w:color w:val="000000" w:themeColor="text1"/>
          <w:sz w:val="22"/>
          <w:szCs w:val="22"/>
        </w:rPr>
        <w:t xml:space="preserve"> "</w:t>
      </w:r>
      <w:r w:rsidRPr="2737E003">
        <w:rPr>
          <w:rFonts w:ascii="Bookman Old Style" w:hAnsi="Bookman Old Style"/>
          <w:i/>
          <w:iCs/>
          <w:color w:val="000000" w:themeColor="text1"/>
          <w:sz w:val="22"/>
          <w:szCs w:val="22"/>
        </w:rPr>
        <w:t>De los delitos contra los recursos naturales y el medio ambiente</w:t>
      </w:r>
      <w:r w:rsidRPr="2737E003">
        <w:rPr>
          <w:rFonts w:ascii="Bookman Old Style" w:hAnsi="Bookman Old Style"/>
          <w:color w:val="000000" w:themeColor="text1"/>
          <w:sz w:val="22"/>
          <w:szCs w:val="22"/>
        </w:rPr>
        <w:t>"</w:t>
      </w:r>
      <w:r>
        <w:rPr>
          <w:rFonts w:ascii="Bookman Old Style" w:hAnsi="Bookman Old Style"/>
          <w:color w:val="000000" w:themeColor="text1"/>
          <w:sz w:val="22"/>
          <w:szCs w:val="22"/>
        </w:rPr>
        <w:t xml:space="preserve">. En este aparte de la ley, el Legislador tipificó </w:t>
      </w:r>
      <w:r w:rsidRPr="7248DE47">
        <w:rPr>
          <w:rFonts w:ascii="Bookman Old Style" w:hAnsi="Bookman Old Style"/>
          <w:color w:val="000000" w:themeColor="text1"/>
          <w:sz w:val="22"/>
          <w:szCs w:val="22"/>
        </w:rPr>
        <w:t>en el año 2000</w:t>
      </w:r>
      <w:r>
        <w:rPr>
          <w:rFonts w:ascii="Bookman Old Style" w:hAnsi="Bookman Old Style"/>
          <w:color w:val="000000" w:themeColor="text1"/>
          <w:sz w:val="22"/>
          <w:szCs w:val="22"/>
        </w:rPr>
        <w:t xml:space="preserve">, </w:t>
      </w:r>
      <w:r w:rsidRPr="497DE876">
        <w:rPr>
          <w:rFonts w:ascii="Bookman Old Style" w:hAnsi="Bookman Old Style"/>
          <w:color w:val="000000" w:themeColor="text1"/>
          <w:sz w:val="22"/>
          <w:szCs w:val="22"/>
        </w:rPr>
        <w:t>aquellas conductas que gener</w:t>
      </w:r>
      <w:r>
        <w:rPr>
          <w:rFonts w:ascii="Bookman Old Style" w:hAnsi="Bookman Old Style"/>
          <w:color w:val="000000" w:themeColor="text1"/>
          <w:sz w:val="22"/>
          <w:szCs w:val="22"/>
        </w:rPr>
        <w:t>a</w:t>
      </w:r>
      <w:r w:rsidRPr="497DE876">
        <w:rPr>
          <w:rFonts w:ascii="Bookman Old Style" w:hAnsi="Bookman Old Style"/>
          <w:color w:val="000000" w:themeColor="text1"/>
          <w:sz w:val="22"/>
          <w:szCs w:val="22"/>
        </w:rPr>
        <w:t xml:space="preserve">n un daño o pongan en riesgo los recursos naturales tanto renovables como no renovables del país. </w:t>
      </w:r>
    </w:p>
    <w:p w14:paraId="6DD119BE" w14:textId="77777777" w:rsidR="00E33812" w:rsidRPr="00350A78" w:rsidRDefault="00E33812" w:rsidP="00E33812">
      <w:pPr>
        <w:pStyle w:val="NormalWeb"/>
        <w:spacing w:before="0" w:beforeAutospacing="0" w:after="0" w:afterAutospacing="0"/>
        <w:jc w:val="both"/>
        <w:rPr>
          <w:rFonts w:ascii="Bookman Old Style" w:hAnsi="Bookman Old Style"/>
          <w:color w:val="000000" w:themeColor="text1"/>
          <w:sz w:val="22"/>
          <w:szCs w:val="22"/>
        </w:rPr>
      </w:pPr>
    </w:p>
    <w:p w14:paraId="09D58E14" w14:textId="77777777" w:rsidR="00E33812" w:rsidRDefault="00E33812" w:rsidP="00E33812">
      <w:pPr>
        <w:pStyle w:val="NormalWeb"/>
        <w:spacing w:before="0" w:beforeAutospacing="0" w:after="0" w:afterAutospacing="0"/>
        <w:jc w:val="both"/>
        <w:rPr>
          <w:rFonts w:ascii="Bookman Old Style" w:hAnsi="Bookman Old Style"/>
          <w:color w:val="000000"/>
          <w:sz w:val="22"/>
          <w:szCs w:val="22"/>
        </w:rPr>
      </w:pPr>
      <w:r w:rsidRPr="497DE876">
        <w:rPr>
          <w:rFonts w:ascii="Bookman Old Style" w:hAnsi="Bookman Old Style"/>
          <w:color w:val="000000" w:themeColor="text1"/>
          <w:sz w:val="22"/>
          <w:szCs w:val="22"/>
        </w:rPr>
        <w:t>Se reconoció entonces al medio ambiente y su salvaguarda, no sólo como un bien jurídico tutelado, sino</w:t>
      </w:r>
      <w:r w:rsidRPr="2737E003">
        <w:rPr>
          <w:rFonts w:ascii="Bookman Old Style" w:hAnsi="Bookman Old Style"/>
          <w:color w:val="000000" w:themeColor="text1"/>
          <w:sz w:val="22"/>
          <w:szCs w:val="22"/>
        </w:rPr>
        <w:t>,</w:t>
      </w:r>
      <w:r w:rsidRPr="497DE876">
        <w:rPr>
          <w:rFonts w:ascii="Bookman Old Style" w:hAnsi="Bookman Old Style"/>
          <w:color w:val="000000" w:themeColor="text1"/>
          <w:sz w:val="22"/>
          <w:szCs w:val="22"/>
        </w:rPr>
        <w:t xml:space="preserve"> además, como uno de los objetivos y fines del Estado Social de Derecho, el cual se encuentra íntimamente ligado con la reivindicación de los </w:t>
      </w:r>
      <w:r w:rsidRPr="497DE876">
        <w:rPr>
          <w:rFonts w:ascii="Bookman Old Style" w:hAnsi="Bookman Old Style"/>
          <w:color w:val="000000" w:themeColor="text1"/>
          <w:sz w:val="22"/>
          <w:szCs w:val="22"/>
        </w:rPr>
        <w:lastRenderedPageBreak/>
        <w:t>derechos fundamentales, especialmente con los derechos a la vida y a la salud de las personas.</w:t>
      </w:r>
      <w:r w:rsidRPr="6F45821B">
        <w:rPr>
          <w:rFonts w:ascii="Bookman Old Style" w:hAnsi="Bookman Old Style"/>
          <w:color w:val="000000" w:themeColor="text1"/>
          <w:sz w:val="22"/>
          <w:szCs w:val="22"/>
        </w:rPr>
        <w:t xml:space="preserve"> Aunado a que</w:t>
      </w:r>
      <w:r w:rsidRPr="00350A78">
        <w:rPr>
          <w:rFonts w:ascii="Bookman Old Style" w:hAnsi="Bookman Old Style"/>
          <w:color w:val="000000"/>
          <w:sz w:val="22"/>
          <w:szCs w:val="22"/>
        </w:rPr>
        <w:t xml:space="preserve"> cuenta con relevancia y sustento no solo en los artículos 79, 80 y 96 de la Constitución Política de Colombia, también en el bloque de constitucionalidad, respecto de convenios internacionales ratificados por Colombia </w:t>
      </w:r>
      <w:r w:rsidRPr="002561C1">
        <w:rPr>
          <w:rFonts w:ascii="Bookman Old Style" w:hAnsi="Bookman Old Style"/>
          <w:color w:val="000000"/>
          <w:sz w:val="22"/>
          <w:szCs w:val="22"/>
        </w:rPr>
        <w:t>como lo son:</w:t>
      </w:r>
      <w:r>
        <w:rPr>
          <w:rFonts w:ascii="Bookman Old Style" w:hAnsi="Bookman Old Style"/>
          <w:color w:val="000000"/>
          <w:sz w:val="22"/>
          <w:szCs w:val="22"/>
        </w:rPr>
        <w:t xml:space="preserve"> el Convenio Marco de las Naciones Unidas, el Protocolo de San Salvador y el Tratado de Cooperación Amazónica</w:t>
      </w:r>
      <w:r w:rsidRPr="002561C1">
        <w:rPr>
          <w:rFonts w:ascii="Bookman Old Style" w:hAnsi="Bookman Old Style"/>
          <w:color w:val="000000"/>
          <w:sz w:val="22"/>
          <w:szCs w:val="22"/>
        </w:rPr>
        <w:t xml:space="preserve"> (región</w:t>
      </w:r>
      <w:r w:rsidRPr="00350A78">
        <w:rPr>
          <w:rFonts w:ascii="Bookman Old Style" w:hAnsi="Bookman Old Style"/>
          <w:color w:val="000000"/>
          <w:sz w:val="22"/>
          <w:szCs w:val="22"/>
        </w:rPr>
        <w:t xml:space="preserve"> donde los delitos ambientales de aprovechamiento ilícito de recursos naturales, deforestación, tráfico de fauna y apropiación ilegal de baldíos tienen mayor ocurrencia), entre otros.</w:t>
      </w:r>
    </w:p>
    <w:p w14:paraId="60B85913" w14:textId="77777777" w:rsidR="00E33812" w:rsidRDefault="00E33812" w:rsidP="00E33812">
      <w:pPr>
        <w:pStyle w:val="NormalWeb"/>
        <w:spacing w:before="0" w:beforeAutospacing="0" w:after="0" w:afterAutospacing="0"/>
        <w:jc w:val="both"/>
        <w:rPr>
          <w:rFonts w:ascii="Bookman Old Style" w:hAnsi="Bookman Old Style"/>
          <w:color w:val="000000"/>
          <w:sz w:val="22"/>
          <w:szCs w:val="22"/>
        </w:rPr>
      </w:pPr>
    </w:p>
    <w:p w14:paraId="1B3E1681" w14:textId="77777777" w:rsidR="00E33812" w:rsidRPr="00E33812" w:rsidRDefault="00E33812" w:rsidP="00E33812">
      <w:pPr>
        <w:pStyle w:val="NormalWeb"/>
        <w:spacing w:before="0" w:beforeAutospacing="0" w:after="0" w:afterAutospacing="0"/>
        <w:jc w:val="both"/>
        <w:rPr>
          <w:rFonts w:ascii="Bookman Old Style" w:hAnsi="Bookman Old Style"/>
          <w:sz w:val="22"/>
          <w:szCs w:val="22"/>
        </w:rPr>
      </w:pPr>
      <w:r w:rsidRPr="31053350">
        <w:rPr>
          <w:rFonts w:ascii="Bookman Old Style" w:hAnsi="Bookman Old Style"/>
          <w:color w:val="000000" w:themeColor="text1"/>
          <w:sz w:val="22"/>
          <w:szCs w:val="22"/>
        </w:rPr>
        <w:t xml:space="preserve">Así, desde el año 2000 existen normas de carácter penal tenientes a la protección del ambiente, los recursos naturales y los ecosistemas nacionales. </w:t>
      </w:r>
    </w:p>
    <w:p w14:paraId="37F21C38" w14:textId="77777777" w:rsidR="00370225" w:rsidRPr="003F50C8" w:rsidRDefault="00370225" w:rsidP="003F50C8">
      <w:pPr>
        <w:jc w:val="both"/>
        <w:rPr>
          <w:rFonts w:ascii="Bookman Old Style" w:hAnsi="Bookman Old Style"/>
          <w:bCs/>
          <w:color w:val="000000" w:themeColor="text1"/>
          <w:sz w:val="22"/>
          <w:szCs w:val="22"/>
        </w:rPr>
      </w:pPr>
    </w:p>
    <w:p w14:paraId="5E316383" w14:textId="77777777" w:rsidR="004E280A" w:rsidRDefault="00370225"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Sin embargo, ante las nuevas dinámicas sociales, políticas y económicas que afronta el planeta, es necesario robustecer la lucha contra la alteración y destrucción del ambiente, penalizando conductas que, a pesar de no encontrarse tipificadas, afectan los recursos naturales, la biodiversidad del país, los ecosistemas, contribuyen al cambio climático y en últimas, impiden el goce a un ambiente sano.</w:t>
      </w:r>
    </w:p>
    <w:p w14:paraId="27C38A42" w14:textId="77777777" w:rsidR="00E33812" w:rsidRDefault="00E33812" w:rsidP="003F50C8">
      <w:pPr>
        <w:jc w:val="both"/>
        <w:rPr>
          <w:rFonts w:ascii="Bookman Old Style" w:hAnsi="Bookman Old Style"/>
          <w:bCs/>
          <w:color w:val="000000" w:themeColor="text1"/>
          <w:sz w:val="22"/>
          <w:szCs w:val="22"/>
        </w:rPr>
      </w:pPr>
    </w:p>
    <w:p w14:paraId="139BCE83" w14:textId="77777777" w:rsidR="00E33812" w:rsidRDefault="00E33812" w:rsidP="00E33812">
      <w:pPr>
        <w:jc w:val="both"/>
        <w:rPr>
          <w:rFonts w:ascii="Bookman Old Style" w:hAnsi="Bookman Old Style"/>
          <w:color w:val="000000" w:themeColor="text1"/>
          <w:sz w:val="22"/>
          <w:szCs w:val="22"/>
        </w:rPr>
      </w:pPr>
      <w:r>
        <w:rPr>
          <w:rFonts w:ascii="Bookman Old Style" w:hAnsi="Bookman Old Style"/>
          <w:bCs/>
          <w:color w:val="000000" w:themeColor="text1"/>
          <w:sz w:val="22"/>
          <w:szCs w:val="22"/>
        </w:rPr>
        <w:t xml:space="preserve">Fue así como el Honorable Congreso de la República expidió en el año 2021 la Ley de Delitos Ambientales (Ley 2111 de 2021), </w:t>
      </w:r>
      <w:r w:rsidRPr="7366C2A3">
        <w:rPr>
          <w:rFonts w:ascii="Bookman Old Style" w:hAnsi="Bookman Old Style"/>
          <w:i/>
          <w:iCs/>
          <w:color w:val="000000" w:themeColor="text1"/>
          <w:sz w:val="22"/>
          <w:szCs w:val="22"/>
        </w:rPr>
        <w:t>"Por medio del cual se sustituye el título xi "de los delitos contra los recursos naturales y el medio ambiente" de la ley 599 de 2000, se modifica la ley 906 de 2004 y se dictan otras disposiciones</w:t>
      </w:r>
      <w:r>
        <w:rPr>
          <w:rFonts w:ascii="Bookman Old Style" w:hAnsi="Bookman Old Style"/>
          <w:color w:val="000000" w:themeColor="text1"/>
          <w:sz w:val="22"/>
          <w:szCs w:val="22"/>
        </w:rPr>
        <w:t>". En donde:</w:t>
      </w:r>
    </w:p>
    <w:p w14:paraId="5B4E2478" w14:textId="77777777" w:rsidR="00E33812" w:rsidRDefault="00E33812" w:rsidP="00E33812">
      <w:pPr>
        <w:jc w:val="both"/>
        <w:rPr>
          <w:rFonts w:ascii="Bookman Old Style" w:hAnsi="Bookman Old Style"/>
          <w:color w:val="000000" w:themeColor="text1"/>
          <w:sz w:val="22"/>
          <w:szCs w:val="22"/>
        </w:rPr>
      </w:pPr>
    </w:p>
    <w:p w14:paraId="5FDA083A" w14:textId="77777777" w:rsidR="00E33812" w:rsidRDefault="00E33812" w:rsidP="003B3170">
      <w:pPr>
        <w:pStyle w:val="NormalWeb"/>
        <w:numPr>
          <w:ilvl w:val="0"/>
          <w:numId w:val="16"/>
        </w:numPr>
        <w:spacing w:before="0" w:beforeAutospacing="0" w:after="0" w:afterAutospacing="0"/>
        <w:jc w:val="both"/>
        <w:rPr>
          <w:rFonts w:asciiTheme="minorHAnsi" w:eastAsiaTheme="minorEastAsia" w:hAnsiTheme="minorHAnsi" w:cstheme="minorBidi"/>
          <w:color w:val="000000" w:themeColor="text1"/>
          <w:sz w:val="22"/>
          <w:szCs w:val="22"/>
        </w:rPr>
      </w:pPr>
      <w:r>
        <w:rPr>
          <w:rFonts w:ascii="Bookman Old Style" w:hAnsi="Bookman Old Style"/>
          <w:color w:val="000000" w:themeColor="text1"/>
          <w:sz w:val="22"/>
          <w:szCs w:val="22"/>
        </w:rPr>
        <w:t>B</w:t>
      </w:r>
      <w:r w:rsidRPr="7366C2A3">
        <w:rPr>
          <w:rFonts w:ascii="Bookman Old Style" w:hAnsi="Bookman Old Style"/>
          <w:color w:val="000000" w:themeColor="text1"/>
          <w:sz w:val="22"/>
          <w:szCs w:val="22"/>
        </w:rPr>
        <w:t xml:space="preserve">uscó crear </w:t>
      </w:r>
      <w:r>
        <w:rPr>
          <w:rFonts w:ascii="Bookman Old Style" w:hAnsi="Bookman Old Style"/>
          <w:color w:val="000000" w:themeColor="text1"/>
          <w:sz w:val="22"/>
          <w:szCs w:val="22"/>
        </w:rPr>
        <w:t xml:space="preserve">nuevas </w:t>
      </w:r>
      <w:r w:rsidRPr="7366C2A3">
        <w:rPr>
          <w:rFonts w:ascii="Bookman Old Style" w:hAnsi="Bookman Old Style"/>
          <w:color w:val="000000" w:themeColor="text1"/>
          <w:sz w:val="22"/>
          <w:szCs w:val="22"/>
        </w:rPr>
        <w:t>herramientas, de naturaleza penal, para la salvaguarda de un bien jurídico tutelado de relevancia constitucional como lo es el medio ambiente.</w:t>
      </w:r>
    </w:p>
    <w:p w14:paraId="4A7A83D8" w14:textId="77777777" w:rsidR="00E33812" w:rsidRDefault="00E33812" w:rsidP="003B3170">
      <w:pPr>
        <w:pStyle w:val="NormalWeb"/>
        <w:numPr>
          <w:ilvl w:val="0"/>
          <w:numId w:val="16"/>
        </w:numPr>
        <w:spacing w:before="0" w:beforeAutospacing="0" w:after="0" w:afterAutospacing="0"/>
        <w:jc w:val="both"/>
        <w:rPr>
          <w:color w:val="000000" w:themeColor="text1"/>
          <w:sz w:val="22"/>
          <w:szCs w:val="22"/>
        </w:rPr>
      </w:pPr>
      <w:r w:rsidRPr="05CEA356">
        <w:rPr>
          <w:rFonts w:ascii="Bookman Old Style" w:hAnsi="Bookman Old Style"/>
          <w:color w:val="000000" w:themeColor="text1"/>
          <w:sz w:val="22"/>
          <w:szCs w:val="22"/>
        </w:rPr>
        <w:t xml:space="preserve">Definió </w:t>
      </w:r>
      <w:r>
        <w:rPr>
          <w:rFonts w:ascii="Bookman Old Style" w:hAnsi="Bookman Old Style"/>
          <w:color w:val="000000" w:themeColor="text1"/>
          <w:sz w:val="22"/>
          <w:szCs w:val="22"/>
        </w:rPr>
        <w:t xml:space="preserve">aquellas conductas que debían ser sancionadas, previa identificación de los límites derivados de los mandatos constitucionales y de </w:t>
      </w:r>
      <w:r w:rsidRPr="05CEA356">
        <w:rPr>
          <w:rFonts w:ascii="Bookman Old Style" w:hAnsi="Bookman Old Style"/>
          <w:color w:val="000000" w:themeColor="text1"/>
          <w:sz w:val="22"/>
          <w:szCs w:val="22"/>
        </w:rPr>
        <w:t xml:space="preserve">los tratados y convenios internacionales relativos a derechos humanos, </w:t>
      </w:r>
      <w:r w:rsidRPr="3B216E9E">
        <w:rPr>
          <w:rFonts w:ascii="Bookman Old Style" w:hAnsi="Bookman Old Style"/>
          <w:color w:val="000000" w:themeColor="text1"/>
          <w:sz w:val="22"/>
          <w:szCs w:val="22"/>
        </w:rPr>
        <w:t>a saber: i) Tráfico de fauna; ii) Deforestación; iii) Promoción y financiación de la deforestación; iv) Financiación de invasión a áreas de especial importancia ecológica; v) Apropiación ilegal de baldíos de la nación; y vi) Financiación de la apropiación ilegal de baldíos de la nación.</w:t>
      </w:r>
    </w:p>
    <w:p w14:paraId="5920C916" w14:textId="77777777" w:rsidR="00E33812" w:rsidRPr="00E33812" w:rsidRDefault="00E33812" w:rsidP="003B3170">
      <w:pPr>
        <w:pStyle w:val="NormalWeb"/>
        <w:numPr>
          <w:ilvl w:val="0"/>
          <w:numId w:val="16"/>
        </w:numPr>
        <w:spacing w:before="0" w:beforeAutospacing="0" w:after="0" w:afterAutospacing="0"/>
        <w:jc w:val="both"/>
        <w:rPr>
          <w:color w:val="000000" w:themeColor="text1"/>
          <w:sz w:val="22"/>
          <w:szCs w:val="22"/>
        </w:rPr>
      </w:pPr>
      <w:r w:rsidRPr="7366C2A3">
        <w:rPr>
          <w:rFonts w:ascii="Bookman Old Style" w:hAnsi="Bookman Old Style"/>
          <w:color w:val="000000" w:themeColor="text1"/>
          <w:sz w:val="22"/>
          <w:szCs w:val="22"/>
        </w:rPr>
        <w:t>Determinó que las conductas enmarcadas en los nuevos tipos penales, de realizarse, t</w:t>
      </w:r>
      <w:r>
        <w:rPr>
          <w:rFonts w:ascii="Bookman Old Style" w:hAnsi="Bookman Old Style"/>
          <w:color w:val="000000" w:themeColor="text1"/>
          <w:sz w:val="22"/>
          <w:szCs w:val="22"/>
        </w:rPr>
        <w:t>enían</w:t>
      </w:r>
      <w:r w:rsidRPr="7366C2A3">
        <w:rPr>
          <w:rFonts w:ascii="Bookman Old Style" w:hAnsi="Bookman Old Style"/>
          <w:color w:val="000000" w:themeColor="text1"/>
          <w:sz w:val="22"/>
          <w:szCs w:val="22"/>
        </w:rPr>
        <w:t xml:space="preserve"> la capacidad de alterar, destruir o poner en riesgo el bien jurídico tutelado del medio ambiente. </w:t>
      </w:r>
    </w:p>
    <w:p w14:paraId="59CF461B" w14:textId="77777777" w:rsidR="00370225" w:rsidRDefault="00370225" w:rsidP="003F50C8">
      <w:pPr>
        <w:rPr>
          <w:rFonts w:ascii="Bookman Old Style" w:hAnsi="Bookman Old Style"/>
          <w:bCs/>
          <w:color w:val="000000" w:themeColor="text1"/>
          <w:sz w:val="22"/>
          <w:szCs w:val="22"/>
        </w:rPr>
      </w:pPr>
    </w:p>
    <w:p w14:paraId="7FC14FF9" w14:textId="77777777" w:rsidR="00E33812" w:rsidRPr="00E33812" w:rsidRDefault="00E33812" w:rsidP="00E33812">
      <w:pPr>
        <w:pStyle w:val="NormalWeb"/>
        <w:spacing w:before="0" w:beforeAutospacing="0" w:after="0" w:afterAutospacing="0"/>
        <w:jc w:val="both"/>
        <w:rPr>
          <w:rFonts w:ascii="Bookman Old Style" w:hAnsi="Bookman Old Style"/>
          <w:color w:val="000000" w:themeColor="text1"/>
          <w:sz w:val="22"/>
          <w:szCs w:val="22"/>
        </w:rPr>
      </w:pPr>
      <w:r w:rsidRPr="7366C2A3">
        <w:rPr>
          <w:rFonts w:ascii="Bookman Old Style" w:hAnsi="Bookman Old Style"/>
          <w:color w:val="000000" w:themeColor="text1"/>
          <w:sz w:val="22"/>
          <w:szCs w:val="22"/>
        </w:rPr>
        <w:t>Siendo el medio ambiente el pilar en donde subsisten todas las especies, es un deber y una necesidad salvaguardarlo por todos los medios jurídico-legales del Estado,</w:t>
      </w:r>
      <w:r>
        <w:rPr>
          <w:rFonts w:ascii="Bookman Old Style" w:hAnsi="Bookman Old Style"/>
          <w:color w:val="000000" w:themeColor="text1"/>
          <w:sz w:val="22"/>
          <w:szCs w:val="22"/>
        </w:rPr>
        <w:t xml:space="preserve"> especialmente de aquellas</w:t>
      </w:r>
      <w:r w:rsidRPr="7366C2A3">
        <w:rPr>
          <w:rFonts w:ascii="Bookman Old Style" w:hAnsi="Bookman Old Style"/>
          <w:color w:val="000000" w:themeColor="text1"/>
          <w:sz w:val="22"/>
          <w:szCs w:val="22"/>
        </w:rPr>
        <w:t xml:space="preserve"> dinámicas sociales, políticas y económicas que </w:t>
      </w:r>
      <w:r>
        <w:rPr>
          <w:rFonts w:ascii="Bookman Old Style" w:hAnsi="Bookman Old Style"/>
          <w:color w:val="000000" w:themeColor="text1"/>
          <w:sz w:val="22"/>
          <w:szCs w:val="22"/>
        </w:rPr>
        <w:t xml:space="preserve">se materializan </w:t>
      </w:r>
      <w:r w:rsidRPr="7366C2A3">
        <w:rPr>
          <w:rFonts w:ascii="Bookman Old Style" w:hAnsi="Bookman Old Style"/>
          <w:color w:val="000000" w:themeColor="text1"/>
          <w:sz w:val="22"/>
          <w:szCs w:val="22"/>
        </w:rPr>
        <w:t>en la destrucción de los recursos naturales</w:t>
      </w:r>
      <w:r>
        <w:rPr>
          <w:rFonts w:ascii="Bookman Old Style" w:hAnsi="Bookman Old Style"/>
          <w:color w:val="000000" w:themeColor="text1"/>
          <w:sz w:val="22"/>
          <w:szCs w:val="22"/>
        </w:rPr>
        <w:t xml:space="preserve">. Por lo que es pertinente </w:t>
      </w:r>
      <w:r>
        <w:rPr>
          <w:rFonts w:ascii="Bookman Old Style" w:hAnsi="Bookman Old Style"/>
          <w:color w:val="000000" w:themeColor="text1"/>
          <w:sz w:val="22"/>
          <w:szCs w:val="22"/>
        </w:rPr>
        <w:lastRenderedPageBreak/>
        <w:t>incluir dentro del catálogo penal la conducta objeto de este proyecto, para evitar un daño irrever</w:t>
      </w:r>
      <w:r w:rsidR="00827AEA">
        <w:rPr>
          <w:rFonts w:ascii="Bookman Old Style" w:hAnsi="Bookman Old Style"/>
          <w:color w:val="000000" w:themeColor="text1"/>
          <w:sz w:val="22"/>
          <w:szCs w:val="22"/>
        </w:rPr>
        <w:t>sible en nuestros ecosistemas.</w:t>
      </w:r>
    </w:p>
    <w:p w14:paraId="3625FF50" w14:textId="77777777" w:rsidR="00E33812" w:rsidRPr="003F50C8" w:rsidRDefault="00E33812" w:rsidP="003F50C8">
      <w:pPr>
        <w:rPr>
          <w:rFonts w:ascii="Bookman Old Style" w:hAnsi="Bookman Old Style"/>
          <w:bCs/>
          <w:color w:val="000000" w:themeColor="text1"/>
          <w:sz w:val="22"/>
          <w:szCs w:val="22"/>
        </w:rPr>
      </w:pPr>
    </w:p>
    <w:p w14:paraId="6AC083A4" w14:textId="77777777" w:rsidR="005F4692" w:rsidRPr="003F50C8" w:rsidRDefault="003B05FB" w:rsidP="009476AF">
      <w:pPr>
        <w:pStyle w:val="Prrafodelista"/>
        <w:numPr>
          <w:ilvl w:val="1"/>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DEL FRACKING SOBRE EL MEDIO AMBIENTE</w:t>
      </w:r>
      <w:r w:rsidR="009476AF">
        <w:rPr>
          <w:rFonts w:ascii="Bookman Old Style" w:hAnsi="Bookman Old Style"/>
          <w:b/>
          <w:bCs/>
          <w:color w:val="000000" w:themeColor="text1"/>
          <w:sz w:val="22"/>
          <w:szCs w:val="22"/>
        </w:rPr>
        <w:t>.</w:t>
      </w:r>
    </w:p>
    <w:p w14:paraId="768713C6" w14:textId="77777777" w:rsidR="005F4692" w:rsidRPr="003F50C8" w:rsidRDefault="005F4692" w:rsidP="003F50C8">
      <w:pPr>
        <w:ind w:left="360"/>
        <w:jc w:val="both"/>
        <w:rPr>
          <w:rFonts w:ascii="Bookman Old Style" w:hAnsi="Bookman Old Style"/>
          <w:b/>
          <w:bCs/>
          <w:color w:val="000000" w:themeColor="text1"/>
          <w:sz w:val="22"/>
          <w:szCs w:val="22"/>
        </w:rPr>
      </w:pPr>
    </w:p>
    <w:p w14:paraId="370E9408" w14:textId="77777777" w:rsidR="00645E04" w:rsidRPr="003F50C8" w:rsidRDefault="00645E04" w:rsidP="003F50C8">
      <w:pPr>
        <w:pStyle w:val="Sinespaciado"/>
        <w:jc w:val="both"/>
        <w:rPr>
          <w:rFonts w:ascii="Bookman Old Style" w:hAnsi="Bookman Old Style" w:cstheme="minorHAnsi"/>
        </w:rPr>
      </w:pPr>
      <w:r w:rsidRPr="003F50C8">
        <w:rPr>
          <w:rFonts w:ascii="Bookman Old Style" w:hAnsi="Bookman Old Style" w:cstheme="minorHAnsi"/>
        </w:rPr>
        <w:t xml:space="preserve">Las sustancias químicas y desechos tóxicos del </w:t>
      </w:r>
      <w:r w:rsidRPr="003F50C8">
        <w:rPr>
          <w:rFonts w:ascii="Bookman Old Style" w:hAnsi="Bookman Old Style" w:cstheme="minorHAnsi"/>
          <w:i/>
        </w:rPr>
        <w:t xml:space="preserve">fracking </w:t>
      </w:r>
      <w:r w:rsidRPr="003F50C8">
        <w:rPr>
          <w:rFonts w:ascii="Bookman Old Style" w:hAnsi="Bookman Old Style" w:cstheme="minorHAnsi"/>
        </w:rPr>
        <w:t>pueden contaminar aguas superficiales y subterráneas, el suelo</w:t>
      </w:r>
      <w:r w:rsidR="00DC174A" w:rsidRPr="003F50C8">
        <w:rPr>
          <w:rFonts w:ascii="Bookman Old Style" w:hAnsi="Bookman Old Style" w:cstheme="minorHAnsi"/>
        </w:rPr>
        <w:t xml:space="preserve"> y contribuir a la crisis climática</w:t>
      </w:r>
      <w:r w:rsidRPr="003F50C8">
        <w:rPr>
          <w:rFonts w:ascii="Bookman Old Style" w:hAnsi="Bookman Old Style" w:cstheme="minorHAnsi"/>
        </w:rPr>
        <w:t xml:space="preserve">. Esta contaminación puede ser grave </w:t>
      </w:r>
      <w:r w:rsidR="009D08BD" w:rsidRPr="003F50C8">
        <w:rPr>
          <w:rFonts w:ascii="Bookman Old Style" w:hAnsi="Bookman Old Style" w:cstheme="minorHAnsi"/>
        </w:rPr>
        <w:t xml:space="preserve">y en muchos casos irreversible, </w:t>
      </w:r>
      <w:r w:rsidRPr="003F50C8">
        <w:rPr>
          <w:rFonts w:ascii="Bookman Old Style" w:hAnsi="Bookman Old Style" w:cstheme="minorHAnsi"/>
        </w:rPr>
        <w:t xml:space="preserve">por </w:t>
      </w:r>
      <w:r w:rsidR="009D08BD" w:rsidRPr="003F50C8">
        <w:rPr>
          <w:rFonts w:ascii="Bookman Old Style" w:hAnsi="Bookman Old Style" w:cstheme="minorHAnsi"/>
        </w:rPr>
        <w:t xml:space="preserve">ejemplo, </w:t>
      </w:r>
      <w:r w:rsidRPr="003F50C8">
        <w:rPr>
          <w:rFonts w:ascii="Bookman Old Style" w:hAnsi="Bookman Old Style" w:cstheme="minorHAnsi"/>
        </w:rPr>
        <w:t>las aguas r</w:t>
      </w:r>
      <w:r w:rsidR="009D08BD" w:rsidRPr="003F50C8">
        <w:rPr>
          <w:rFonts w:ascii="Bookman Old Style" w:hAnsi="Bookman Old Style" w:cstheme="minorHAnsi"/>
        </w:rPr>
        <w:t xml:space="preserve">esiduales tóxicas del fracking </w:t>
      </w:r>
      <w:r w:rsidRPr="003F50C8">
        <w:rPr>
          <w:rFonts w:ascii="Bookman Old Style" w:hAnsi="Bookman Old Style" w:cstheme="minorHAnsi"/>
        </w:rPr>
        <w:t>pueden contener concentraciones elevadas de elementos radiactivos como el Radio</w:t>
      </w:r>
      <w:r w:rsidRPr="003F50C8">
        <w:rPr>
          <w:rStyle w:val="Refdenotaalpie"/>
          <w:rFonts w:ascii="Bookman Old Style" w:hAnsi="Bookman Old Style" w:cstheme="minorHAnsi"/>
        </w:rPr>
        <w:footnoteReference w:id="2"/>
      </w:r>
      <w:r w:rsidR="00690F6F" w:rsidRPr="003F50C8">
        <w:rPr>
          <w:rFonts w:ascii="Bookman Old Style" w:hAnsi="Bookman Old Style" w:cstheme="minorHAnsi"/>
        </w:rPr>
        <w:t xml:space="preserve"> y </w:t>
      </w:r>
      <w:r w:rsidRPr="003F50C8">
        <w:rPr>
          <w:rFonts w:ascii="Bookman Old Style" w:hAnsi="Bookman Old Style" w:cstheme="minorHAnsi"/>
        </w:rPr>
        <w:t>en casos de derrames, filtracione</w:t>
      </w:r>
      <w:r w:rsidR="00690F6F" w:rsidRPr="003F50C8">
        <w:rPr>
          <w:rFonts w:ascii="Bookman Old Style" w:hAnsi="Bookman Old Style" w:cstheme="minorHAnsi"/>
        </w:rPr>
        <w:t xml:space="preserve">s o una disposición deficiente, </w:t>
      </w:r>
      <w:r w:rsidRPr="003F50C8">
        <w:rPr>
          <w:rFonts w:ascii="Bookman Old Style" w:hAnsi="Bookman Old Style" w:cstheme="minorHAnsi"/>
        </w:rPr>
        <w:t>pueden afectar acuíferos, ríos, suelos</w:t>
      </w:r>
      <w:r w:rsidR="00A60DB0" w:rsidRPr="003F50C8">
        <w:rPr>
          <w:rFonts w:ascii="Bookman Old Style" w:hAnsi="Bookman Old Style" w:cstheme="minorHAnsi"/>
        </w:rPr>
        <w:t xml:space="preserve"> y otros elementos del ambiente</w:t>
      </w:r>
      <w:r w:rsidRPr="003F50C8">
        <w:rPr>
          <w:rStyle w:val="Refdenotaalpie"/>
          <w:rFonts w:ascii="Bookman Old Style" w:hAnsi="Bookman Old Style" w:cstheme="minorHAnsi"/>
        </w:rPr>
        <w:footnoteReference w:id="3"/>
      </w:r>
      <w:r w:rsidR="00A60DB0" w:rsidRPr="003F50C8">
        <w:rPr>
          <w:rFonts w:ascii="Bookman Old Style" w:hAnsi="Bookman Old Style" w:cstheme="minorHAnsi"/>
        </w:rPr>
        <w:t>.</w:t>
      </w:r>
    </w:p>
    <w:p w14:paraId="4551CF8C" w14:textId="77777777" w:rsidR="00645E04" w:rsidRPr="003F50C8" w:rsidRDefault="00645E04" w:rsidP="003F50C8">
      <w:pPr>
        <w:ind w:left="360"/>
        <w:jc w:val="both"/>
        <w:rPr>
          <w:rFonts w:ascii="Bookman Old Style" w:hAnsi="Bookman Old Style"/>
          <w:b/>
          <w:bCs/>
          <w:color w:val="000000" w:themeColor="text1"/>
          <w:sz w:val="22"/>
          <w:szCs w:val="22"/>
        </w:rPr>
      </w:pPr>
    </w:p>
    <w:p w14:paraId="6E940320" w14:textId="77777777" w:rsidR="00121C56" w:rsidRPr="003F50C8" w:rsidRDefault="009476AF" w:rsidP="009476AF">
      <w:pPr>
        <w:pStyle w:val="Prrafodelista"/>
        <w:numPr>
          <w:ilvl w:val="2"/>
          <w:numId w:val="1"/>
        </w:numPr>
        <w:ind w:left="0" w:firstLine="0"/>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Impacto</w:t>
      </w:r>
      <w:r w:rsidR="005F4692" w:rsidRPr="003F50C8">
        <w:rPr>
          <w:rFonts w:ascii="Bookman Old Style" w:hAnsi="Bookman Old Style"/>
          <w:b/>
          <w:bCs/>
          <w:color w:val="000000" w:themeColor="text1"/>
          <w:sz w:val="22"/>
          <w:szCs w:val="22"/>
        </w:rPr>
        <w:t xml:space="preserve"> sobre el agua (acuíferos y superficial)</w:t>
      </w:r>
      <w:r>
        <w:rPr>
          <w:rFonts w:ascii="Bookman Old Style" w:hAnsi="Bookman Old Style"/>
          <w:b/>
          <w:bCs/>
          <w:color w:val="000000" w:themeColor="text1"/>
          <w:sz w:val="22"/>
          <w:szCs w:val="22"/>
        </w:rPr>
        <w:t>.</w:t>
      </w:r>
    </w:p>
    <w:p w14:paraId="3F48D797" w14:textId="77777777" w:rsidR="0025698B" w:rsidRPr="003F50C8" w:rsidRDefault="0025698B" w:rsidP="003F50C8">
      <w:pPr>
        <w:pStyle w:val="Sinespaciado"/>
        <w:jc w:val="both"/>
        <w:rPr>
          <w:rFonts w:ascii="Bookman Old Style" w:hAnsi="Bookman Old Style" w:cstheme="minorHAnsi"/>
        </w:rPr>
      </w:pPr>
    </w:p>
    <w:p w14:paraId="68838429" w14:textId="45818FEA" w:rsidR="0025698B" w:rsidRPr="003F50C8" w:rsidRDefault="0025698B" w:rsidP="003F50C8">
      <w:pPr>
        <w:pStyle w:val="Sinespaciado"/>
        <w:jc w:val="both"/>
        <w:rPr>
          <w:rFonts w:ascii="Bookman Old Style" w:hAnsi="Bookman Old Style" w:cstheme="minorHAnsi"/>
          <w:lang w:val="es-ES"/>
        </w:rPr>
      </w:pPr>
      <w:r w:rsidRPr="003F50C8">
        <w:rPr>
          <w:rFonts w:ascii="Bookman Old Style" w:hAnsi="Bookman Old Style" w:cstheme="minorHAnsi"/>
          <w:lang w:val="es-ES"/>
        </w:rPr>
        <w:t>La Agencia Nacional de Hidrocarburos</w:t>
      </w:r>
      <w:r w:rsidR="001D62C2" w:rsidRPr="003F50C8">
        <w:rPr>
          <w:rStyle w:val="Refdenotaalpie"/>
          <w:rFonts w:ascii="Bookman Old Style" w:hAnsi="Bookman Old Style" w:cstheme="minorHAnsi"/>
          <w:lang w:val="es-ES"/>
        </w:rPr>
        <w:footnoteReference w:id="4"/>
      </w:r>
      <w:r w:rsidRPr="003F50C8">
        <w:rPr>
          <w:rFonts w:ascii="Bookman Old Style" w:hAnsi="Bookman Old Style" w:cstheme="minorHAnsi"/>
          <w:lang w:val="es-ES"/>
        </w:rPr>
        <w:t xml:space="preserve"> </w:t>
      </w:r>
      <w:r w:rsidR="001D62C2" w:rsidRPr="003F50C8">
        <w:rPr>
          <w:rFonts w:ascii="Bookman Old Style" w:hAnsi="Bookman Old Style" w:cstheme="minorHAnsi"/>
          <w:lang w:val="es-ES"/>
        </w:rPr>
        <w:t xml:space="preserve">sobre este tema </w:t>
      </w:r>
      <w:r w:rsidR="00E842DC">
        <w:rPr>
          <w:rFonts w:ascii="Bookman Old Style" w:hAnsi="Bookman Old Style" w:cstheme="minorHAnsi"/>
          <w:lang w:val="es-ES"/>
        </w:rPr>
        <w:t>ha reconocido</w:t>
      </w:r>
      <w:r w:rsidR="00E842DC" w:rsidRPr="003F50C8">
        <w:rPr>
          <w:rFonts w:ascii="Bookman Old Style" w:hAnsi="Bookman Old Style" w:cstheme="minorHAnsi"/>
          <w:lang w:val="es-ES"/>
        </w:rPr>
        <w:t xml:space="preserve"> </w:t>
      </w:r>
      <w:r w:rsidR="001D62C2" w:rsidRPr="003F50C8">
        <w:rPr>
          <w:rFonts w:ascii="Bookman Old Style" w:hAnsi="Bookman Old Style" w:cstheme="minorHAnsi"/>
          <w:lang w:val="es-ES"/>
        </w:rPr>
        <w:t>que:</w:t>
      </w:r>
    </w:p>
    <w:p w14:paraId="1871FD9A" w14:textId="77777777" w:rsidR="00645E04" w:rsidRPr="003F50C8" w:rsidRDefault="00645E04" w:rsidP="003F50C8">
      <w:pPr>
        <w:pStyle w:val="Sinespaciado"/>
        <w:ind w:left="709" w:hanging="425"/>
        <w:jc w:val="both"/>
        <w:rPr>
          <w:rFonts w:ascii="Bookman Old Style" w:hAnsi="Bookman Old Style" w:cstheme="minorHAnsi"/>
          <w:lang w:val="es-ES"/>
        </w:rPr>
      </w:pPr>
    </w:p>
    <w:p w14:paraId="681AB537" w14:textId="77777777" w:rsidR="003F50C8" w:rsidRDefault="001B1F4F" w:rsidP="003B3170">
      <w:pPr>
        <w:pStyle w:val="Sinespaciado"/>
        <w:numPr>
          <w:ilvl w:val="0"/>
          <w:numId w:val="3"/>
        </w:numPr>
        <w:ind w:left="993" w:right="616" w:hanging="142"/>
        <w:jc w:val="both"/>
        <w:rPr>
          <w:rFonts w:ascii="Bookman Old Style" w:hAnsi="Bookman Old Style" w:cstheme="minorHAnsi"/>
          <w:i/>
          <w:lang w:val="es-ES"/>
        </w:rPr>
      </w:pPr>
      <w:r w:rsidRPr="003F50C8">
        <w:rPr>
          <w:rFonts w:ascii="Bookman Old Style" w:hAnsi="Bookman Old Style" w:cstheme="minorHAnsi"/>
          <w:lang w:val="es-ES"/>
        </w:rPr>
        <w:t>“</w:t>
      </w:r>
      <w:r w:rsidR="00645E04" w:rsidRPr="003F50C8">
        <w:rPr>
          <w:rFonts w:ascii="Bookman Old Style" w:hAnsi="Bookman Old Style" w:cstheme="minorHAnsi"/>
          <w:i/>
          <w:lang w:val="es-ES"/>
        </w:rPr>
        <w:t>Sí se han presentado incidentes de contaminación de acuíferos en países como Estados Unidos y Canadá, aunque los mismos han sido por fallas en la integridad de los pozos o por derrames en la superficie.</w:t>
      </w:r>
    </w:p>
    <w:p w14:paraId="63A6E8A1" w14:textId="77777777" w:rsidR="00645E04" w:rsidRPr="003F50C8" w:rsidRDefault="00645E04" w:rsidP="009476AF">
      <w:pPr>
        <w:pStyle w:val="Sinespaciado"/>
        <w:ind w:left="993" w:right="616" w:hanging="142"/>
        <w:jc w:val="both"/>
        <w:rPr>
          <w:rFonts w:ascii="Bookman Old Style" w:hAnsi="Bookman Old Style" w:cstheme="minorHAnsi"/>
          <w:i/>
          <w:lang w:val="es-ES"/>
        </w:rPr>
      </w:pPr>
      <w:r w:rsidRPr="003F50C8">
        <w:rPr>
          <w:rFonts w:ascii="Bookman Old Style" w:hAnsi="Bookman Old Style" w:cstheme="minorHAnsi"/>
          <w:i/>
          <w:lang w:val="es-ES"/>
        </w:rPr>
        <w:t xml:space="preserve"> </w:t>
      </w:r>
    </w:p>
    <w:p w14:paraId="153746AD" w14:textId="77777777" w:rsidR="00645E04" w:rsidRDefault="00645E04" w:rsidP="003B3170">
      <w:pPr>
        <w:pStyle w:val="Sinespaciado"/>
        <w:numPr>
          <w:ilvl w:val="0"/>
          <w:numId w:val="3"/>
        </w:numPr>
        <w:ind w:left="993" w:right="616" w:hanging="142"/>
        <w:jc w:val="both"/>
        <w:rPr>
          <w:rFonts w:ascii="Bookman Old Style" w:hAnsi="Bookman Old Style" w:cstheme="minorHAnsi"/>
          <w:i/>
          <w:lang w:val="es-ES"/>
        </w:rPr>
      </w:pPr>
      <w:r w:rsidRPr="003F50C8">
        <w:rPr>
          <w:rFonts w:ascii="Bookman Old Style" w:hAnsi="Bookman Old Style" w:cstheme="minorHAnsi"/>
          <w:i/>
          <w:lang w:val="es-ES"/>
        </w:rPr>
        <w:t>Para el desarrollo de dicha actividad se requiere un nivel de agua mayor al que se emplea en los yacimientos convencionales.</w:t>
      </w:r>
    </w:p>
    <w:p w14:paraId="049F1AB1" w14:textId="77777777" w:rsidR="003F50C8" w:rsidRPr="003F50C8" w:rsidRDefault="003F50C8" w:rsidP="009476AF">
      <w:pPr>
        <w:pStyle w:val="Sinespaciado"/>
        <w:ind w:left="993" w:right="616" w:hanging="142"/>
        <w:jc w:val="both"/>
        <w:rPr>
          <w:rFonts w:ascii="Bookman Old Style" w:hAnsi="Bookman Old Style" w:cstheme="minorHAnsi"/>
          <w:i/>
          <w:lang w:val="es-ES"/>
        </w:rPr>
      </w:pPr>
    </w:p>
    <w:p w14:paraId="66CFA27C" w14:textId="77777777" w:rsidR="00A05AAF" w:rsidRPr="003F50C8" w:rsidRDefault="00645E04" w:rsidP="003B3170">
      <w:pPr>
        <w:pStyle w:val="Sinespaciado"/>
        <w:numPr>
          <w:ilvl w:val="0"/>
          <w:numId w:val="3"/>
        </w:numPr>
        <w:ind w:left="993" w:right="616" w:hanging="142"/>
        <w:jc w:val="both"/>
        <w:rPr>
          <w:rFonts w:ascii="Bookman Old Style" w:hAnsi="Bookman Old Style" w:cstheme="minorHAnsi"/>
          <w:i/>
          <w:lang w:val="es-ES"/>
        </w:rPr>
      </w:pPr>
      <w:r w:rsidRPr="003F50C8">
        <w:rPr>
          <w:rFonts w:ascii="Bookman Old Style" w:hAnsi="Bookman Old Style" w:cstheme="minorHAnsi"/>
          <w:i/>
          <w:lang w:val="es-ES"/>
        </w:rPr>
        <w:t>El fluido de retorno, además del fluido inyectado puede arrastrar componentes peligrosos naturalmente presentes en el yacimiento que no estaban en la superficie.</w:t>
      </w:r>
    </w:p>
    <w:p w14:paraId="46995300" w14:textId="77777777" w:rsidR="003F50C8" w:rsidRPr="003F50C8" w:rsidRDefault="003F50C8" w:rsidP="009476AF">
      <w:pPr>
        <w:pStyle w:val="Sinespaciado"/>
        <w:ind w:left="993" w:right="616" w:hanging="142"/>
        <w:jc w:val="both"/>
        <w:rPr>
          <w:rFonts w:ascii="Bookman Old Style" w:hAnsi="Bookman Old Style" w:cstheme="minorHAnsi"/>
          <w:i/>
          <w:lang w:val="es-ES"/>
        </w:rPr>
      </w:pPr>
    </w:p>
    <w:p w14:paraId="03120CAF" w14:textId="7B373D94" w:rsidR="00645E04" w:rsidRDefault="00645E04" w:rsidP="003B3170">
      <w:pPr>
        <w:pStyle w:val="Sinespaciado"/>
        <w:numPr>
          <w:ilvl w:val="0"/>
          <w:numId w:val="3"/>
        </w:numPr>
        <w:ind w:left="993" w:right="616" w:hanging="142"/>
        <w:jc w:val="both"/>
        <w:rPr>
          <w:rFonts w:ascii="Bookman Old Style" w:hAnsi="Bookman Old Style" w:cstheme="minorHAnsi"/>
          <w:i/>
          <w:lang w:val="es-ES"/>
        </w:rPr>
      </w:pPr>
      <w:r w:rsidRPr="003F50C8">
        <w:rPr>
          <w:rFonts w:ascii="Bookman Old Style" w:hAnsi="Bookman Old Style" w:cstheme="minorHAnsi"/>
          <w:i/>
          <w:lang w:val="es-ES"/>
        </w:rPr>
        <w:t>Durante la estimulación hidráulica se pueden presentar emisiones por parte de los generadores que inyectan el fluido en los pozos, así como generar ruido durante la actividad.</w:t>
      </w:r>
    </w:p>
    <w:p w14:paraId="114261B9" w14:textId="77777777" w:rsidR="00E842DC" w:rsidRPr="003F50C8" w:rsidRDefault="00E842DC" w:rsidP="00EE5267">
      <w:pPr>
        <w:pStyle w:val="Sinespaciado"/>
        <w:ind w:right="616"/>
        <w:jc w:val="both"/>
        <w:rPr>
          <w:rFonts w:ascii="Bookman Old Style" w:hAnsi="Bookman Old Style" w:cstheme="minorHAnsi"/>
          <w:i/>
          <w:lang w:val="es-ES"/>
        </w:rPr>
      </w:pPr>
    </w:p>
    <w:p w14:paraId="667D3558" w14:textId="77777777" w:rsidR="00645E04" w:rsidRDefault="00645E04" w:rsidP="003B3170">
      <w:pPr>
        <w:pStyle w:val="Sinespaciado"/>
        <w:numPr>
          <w:ilvl w:val="0"/>
          <w:numId w:val="3"/>
        </w:numPr>
        <w:ind w:left="993" w:right="616" w:hanging="142"/>
        <w:jc w:val="both"/>
        <w:rPr>
          <w:rFonts w:ascii="Bookman Old Style" w:hAnsi="Bookman Old Style" w:cstheme="minorHAnsi"/>
          <w:i/>
          <w:lang w:val="es-ES"/>
        </w:rPr>
      </w:pPr>
      <w:r w:rsidRPr="003F50C8">
        <w:rPr>
          <w:rFonts w:ascii="Bookman Old Style" w:hAnsi="Bookman Old Style" w:cstheme="minorHAnsi"/>
          <w:i/>
          <w:lang w:val="es-ES"/>
        </w:rPr>
        <w:t xml:space="preserve">En cuanto a la potabilización el agua empleada, es posible alcanzar la calidad de agua hasta un 70%, aunque no se tienen en cuenta los </w:t>
      </w:r>
      <w:r w:rsidRPr="003F50C8">
        <w:rPr>
          <w:rFonts w:ascii="Bookman Old Style" w:hAnsi="Bookman Old Style" w:cstheme="minorHAnsi"/>
          <w:i/>
          <w:lang w:val="es-ES"/>
        </w:rPr>
        <w:lastRenderedPageBreak/>
        <w:t>altos costos para dicho tratamiento pues es necesario el empleo de tecnología de punta.</w:t>
      </w:r>
    </w:p>
    <w:p w14:paraId="6C744B68" w14:textId="77777777" w:rsidR="003F50C8" w:rsidRPr="003F50C8" w:rsidRDefault="003F50C8" w:rsidP="009476AF">
      <w:pPr>
        <w:pStyle w:val="Sinespaciado"/>
        <w:ind w:left="993" w:right="616" w:hanging="142"/>
        <w:jc w:val="both"/>
        <w:rPr>
          <w:rFonts w:ascii="Bookman Old Style" w:hAnsi="Bookman Old Style" w:cstheme="minorHAnsi"/>
          <w:i/>
          <w:lang w:val="es-ES"/>
        </w:rPr>
      </w:pPr>
    </w:p>
    <w:p w14:paraId="447DCED7" w14:textId="77777777" w:rsidR="00112A43" w:rsidRPr="003F50C8" w:rsidRDefault="00645E04" w:rsidP="003B3170">
      <w:pPr>
        <w:pStyle w:val="Sinespaciado"/>
        <w:numPr>
          <w:ilvl w:val="0"/>
          <w:numId w:val="3"/>
        </w:numPr>
        <w:ind w:left="993" w:right="616" w:hanging="142"/>
        <w:jc w:val="both"/>
        <w:rPr>
          <w:rFonts w:ascii="Bookman Old Style" w:hAnsi="Bookman Old Style" w:cstheme="minorHAnsi"/>
          <w:lang w:val="es-ES"/>
        </w:rPr>
      </w:pPr>
      <w:r w:rsidRPr="003F50C8">
        <w:rPr>
          <w:rFonts w:ascii="Bookman Old Style" w:hAnsi="Bookman Old Style" w:cstheme="minorHAnsi"/>
          <w:i/>
          <w:lang w:val="es-ES"/>
        </w:rPr>
        <w:t>Sobre las medidas de contingencia se tiene solamente tanques cerrados con tapa y ventilación.</w:t>
      </w:r>
      <w:r w:rsidRPr="003F50C8">
        <w:rPr>
          <w:rFonts w:ascii="Bookman Old Style" w:hAnsi="Bookman Old Style" w:cstheme="minorHAnsi"/>
          <w:lang w:val="es-ES"/>
        </w:rPr>
        <w:t>”</w:t>
      </w:r>
    </w:p>
    <w:p w14:paraId="2974E3E6" w14:textId="77777777" w:rsidR="00112A43" w:rsidRPr="003F50C8" w:rsidRDefault="00112A43" w:rsidP="003F50C8">
      <w:pPr>
        <w:pStyle w:val="Sinespaciado"/>
        <w:jc w:val="both"/>
        <w:rPr>
          <w:rFonts w:ascii="Bookman Old Style" w:hAnsi="Bookman Old Style" w:cstheme="minorHAnsi"/>
          <w:lang w:val="es-ES"/>
        </w:rPr>
      </w:pPr>
    </w:p>
    <w:p w14:paraId="0457C793" w14:textId="0A52E550" w:rsidR="008C1F34" w:rsidRPr="003F50C8" w:rsidRDefault="00574CC3"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Por su parte, el</w:t>
      </w:r>
      <w:r w:rsidR="008C1F34" w:rsidRPr="003F50C8">
        <w:rPr>
          <w:rFonts w:ascii="Bookman Old Style" w:hAnsi="Bookman Old Style"/>
          <w:sz w:val="22"/>
          <w:szCs w:val="22"/>
          <w:lang w:val="es-ES"/>
        </w:rPr>
        <w:t xml:space="preserve"> estudio de 2018 de la Universidad de Duke y publicado en el </w:t>
      </w:r>
      <w:r w:rsidR="008C1F34" w:rsidRPr="003F50C8">
        <w:rPr>
          <w:rFonts w:ascii="Bookman Old Style" w:hAnsi="Bookman Old Style"/>
          <w:i/>
          <w:sz w:val="22"/>
          <w:szCs w:val="22"/>
          <w:lang w:val="es-ES"/>
        </w:rPr>
        <w:t>Journal of Science Advances</w:t>
      </w:r>
      <w:r w:rsidR="00746C35" w:rsidRPr="003F50C8">
        <w:rPr>
          <w:rStyle w:val="Refdenotaalpie"/>
          <w:rFonts w:ascii="Bookman Old Style" w:hAnsi="Bookman Old Style"/>
          <w:i/>
          <w:sz w:val="22"/>
          <w:szCs w:val="22"/>
          <w:lang w:val="es-ES"/>
        </w:rPr>
        <w:footnoteReference w:id="5"/>
      </w:r>
      <w:r w:rsidR="00977E32" w:rsidRPr="003F50C8">
        <w:rPr>
          <w:rFonts w:ascii="Bookman Old Style" w:hAnsi="Bookman Old Style"/>
          <w:sz w:val="22"/>
          <w:szCs w:val="22"/>
          <w:lang w:val="es-ES"/>
        </w:rPr>
        <w:t xml:space="preserve">, </w:t>
      </w:r>
      <w:r w:rsidR="008C1F34" w:rsidRPr="003F50C8">
        <w:rPr>
          <w:rFonts w:ascii="Bookman Old Style" w:hAnsi="Bookman Old Style"/>
          <w:sz w:val="22"/>
          <w:szCs w:val="22"/>
          <w:lang w:val="es-ES"/>
        </w:rPr>
        <w:t>encontró que</w:t>
      </w:r>
      <w:r w:rsidR="00E842DC">
        <w:rPr>
          <w:rFonts w:ascii="Bookman Old Style" w:hAnsi="Bookman Old Style"/>
          <w:sz w:val="22"/>
          <w:szCs w:val="22"/>
          <w:lang w:val="es-ES"/>
        </w:rPr>
        <w:t>,</w:t>
      </w:r>
      <w:r w:rsidR="008C1F34" w:rsidRPr="003F50C8">
        <w:rPr>
          <w:rFonts w:ascii="Bookman Old Style" w:hAnsi="Bookman Old Style"/>
          <w:sz w:val="22"/>
          <w:szCs w:val="22"/>
          <w:lang w:val="es-ES"/>
        </w:rPr>
        <w:t xml:space="preserve"> así no se tenga en cuenta la contaminación que pueda generar sobre el agua, el fracking sí genera una presión sobre los recursos hídricos. </w:t>
      </w:r>
      <w:r w:rsidR="00A55869" w:rsidRPr="003F50C8">
        <w:rPr>
          <w:rFonts w:ascii="Bookman Old Style" w:hAnsi="Bookman Old Style"/>
          <w:sz w:val="22"/>
          <w:szCs w:val="22"/>
          <w:lang w:val="es-ES"/>
        </w:rPr>
        <w:t>Dicho</w:t>
      </w:r>
      <w:r w:rsidR="008C1F34" w:rsidRPr="003F50C8">
        <w:rPr>
          <w:rFonts w:ascii="Bookman Old Style" w:hAnsi="Bookman Old Style"/>
          <w:sz w:val="22"/>
          <w:szCs w:val="22"/>
          <w:lang w:val="es-ES"/>
        </w:rPr>
        <w:t xml:space="preserve"> estudió </w:t>
      </w:r>
      <w:r w:rsidR="00A55869" w:rsidRPr="003F50C8">
        <w:rPr>
          <w:rFonts w:ascii="Bookman Old Style" w:hAnsi="Bookman Old Style"/>
          <w:sz w:val="22"/>
          <w:szCs w:val="22"/>
          <w:lang w:val="es-ES"/>
        </w:rPr>
        <w:t>se basó en</w:t>
      </w:r>
      <w:r w:rsidR="008C1F34" w:rsidRPr="003F50C8">
        <w:rPr>
          <w:rFonts w:ascii="Bookman Old Style" w:hAnsi="Bookman Old Style"/>
          <w:sz w:val="22"/>
          <w:szCs w:val="22"/>
          <w:lang w:val="es-ES"/>
        </w:rPr>
        <w:t xml:space="preserve"> datos </w:t>
      </w:r>
      <w:r w:rsidR="00A55869" w:rsidRPr="003F50C8">
        <w:rPr>
          <w:rFonts w:ascii="Bookman Old Style" w:hAnsi="Bookman Old Style"/>
          <w:sz w:val="22"/>
          <w:szCs w:val="22"/>
          <w:lang w:val="es-ES"/>
        </w:rPr>
        <w:t xml:space="preserve">tomados </w:t>
      </w:r>
      <w:r w:rsidR="008C1F34" w:rsidRPr="003F50C8">
        <w:rPr>
          <w:rFonts w:ascii="Bookman Old Style" w:hAnsi="Bookman Old Style"/>
          <w:sz w:val="22"/>
          <w:szCs w:val="22"/>
          <w:lang w:val="es-ES"/>
        </w:rPr>
        <w:t>entre</w:t>
      </w:r>
      <w:r w:rsidR="00A55869" w:rsidRPr="003F50C8">
        <w:rPr>
          <w:rFonts w:ascii="Bookman Old Style" w:hAnsi="Bookman Old Style"/>
          <w:sz w:val="22"/>
          <w:szCs w:val="22"/>
          <w:lang w:val="es-ES"/>
        </w:rPr>
        <w:t xml:space="preserve"> los años</w:t>
      </w:r>
      <w:r w:rsidR="008C1F34" w:rsidRPr="003F50C8">
        <w:rPr>
          <w:rFonts w:ascii="Bookman Old Style" w:hAnsi="Bookman Old Style"/>
          <w:sz w:val="22"/>
          <w:szCs w:val="22"/>
          <w:lang w:val="es-ES"/>
        </w:rPr>
        <w:t xml:space="preserve"> 2011 y 2016 de 12,000 pozos en </w:t>
      </w:r>
      <w:r w:rsidR="00A55869" w:rsidRPr="003F50C8">
        <w:rPr>
          <w:rFonts w:ascii="Bookman Old Style" w:hAnsi="Bookman Old Style"/>
          <w:sz w:val="22"/>
          <w:szCs w:val="22"/>
          <w:lang w:val="es-ES"/>
        </w:rPr>
        <w:t>Estados Unidos</w:t>
      </w:r>
      <w:r w:rsidR="008C1F34" w:rsidRPr="003F50C8">
        <w:rPr>
          <w:rFonts w:ascii="Bookman Old Style" w:hAnsi="Bookman Old Style"/>
          <w:sz w:val="22"/>
          <w:szCs w:val="22"/>
          <w:lang w:val="es-ES"/>
        </w:rPr>
        <w:t xml:space="preserve"> y encontró:</w:t>
      </w:r>
      <w:r w:rsidR="00977E32" w:rsidRPr="003F50C8">
        <w:rPr>
          <w:rFonts w:ascii="Bookman Old Style" w:hAnsi="Bookman Old Style"/>
          <w:sz w:val="22"/>
          <w:szCs w:val="22"/>
          <w:lang w:val="es-ES"/>
        </w:rPr>
        <w:t xml:space="preserve"> </w:t>
      </w:r>
    </w:p>
    <w:p w14:paraId="368FFDC9" w14:textId="77777777" w:rsidR="008C1F34" w:rsidRPr="003F50C8" w:rsidRDefault="008C1F34" w:rsidP="009476AF">
      <w:pPr>
        <w:ind w:left="1134" w:hanging="283"/>
        <w:jc w:val="both"/>
        <w:rPr>
          <w:rFonts w:ascii="Bookman Old Style" w:hAnsi="Bookman Old Style"/>
          <w:sz w:val="22"/>
          <w:szCs w:val="22"/>
          <w:lang w:val="es-ES"/>
        </w:rPr>
      </w:pPr>
    </w:p>
    <w:p w14:paraId="4D07E860" w14:textId="77777777" w:rsidR="007B0C6B" w:rsidRDefault="008C1F34" w:rsidP="003B3170">
      <w:pPr>
        <w:pStyle w:val="Prrafodelista"/>
        <w:numPr>
          <w:ilvl w:val="0"/>
          <w:numId w:val="4"/>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 xml:space="preserve">Crecimiento de hasta el 770% en el uso de agua por pozo de fracking en las principales regiones de </w:t>
      </w:r>
      <w:r w:rsidR="00A55869" w:rsidRPr="003F50C8">
        <w:rPr>
          <w:rFonts w:ascii="Bookman Old Style" w:hAnsi="Bookman Old Style"/>
          <w:sz w:val="22"/>
          <w:szCs w:val="22"/>
          <w:lang w:val="es-ES"/>
        </w:rPr>
        <w:t>Estados Unidos</w:t>
      </w:r>
      <w:r w:rsidRPr="003F50C8">
        <w:rPr>
          <w:rFonts w:ascii="Bookman Old Style" w:hAnsi="Bookman Old Style"/>
          <w:sz w:val="22"/>
          <w:szCs w:val="22"/>
          <w:lang w:val="es-ES"/>
        </w:rPr>
        <w:t>.</w:t>
      </w:r>
    </w:p>
    <w:p w14:paraId="436A9B58" w14:textId="77777777" w:rsidR="003F50C8" w:rsidRPr="003F50C8" w:rsidRDefault="003F50C8" w:rsidP="009476AF">
      <w:pPr>
        <w:pStyle w:val="Prrafodelista"/>
        <w:ind w:left="284" w:right="333" w:hanging="284"/>
        <w:jc w:val="both"/>
        <w:rPr>
          <w:rFonts w:ascii="Bookman Old Style" w:hAnsi="Bookman Old Style"/>
          <w:sz w:val="22"/>
          <w:szCs w:val="22"/>
          <w:lang w:val="es-ES"/>
        </w:rPr>
      </w:pPr>
    </w:p>
    <w:p w14:paraId="6BD64B18" w14:textId="77777777" w:rsidR="000D2028" w:rsidRDefault="008C1F34" w:rsidP="003B3170">
      <w:pPr>
        <w:pStyle w:val="Prrafodelista"/>
        <w:numPr>
          <w:ilvl w:val="0"/>
          <w:numId w:val="4"/>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El agua residual generada por los pozos de fracking durante el primer año de producción ha incrementado hasta en un 1,440% para ese mismo periodo.</w:t>
      </w:r>
    </w:p>
    <w:p w14:paraId="170BC68A" w14:textId="77777777" w:rsidR="003F50C8" w:rsidRPr="003F50C8" w:rsidRDefault="003F50C8" w:rsidP="009476AF">
      <w:pPr>
        <w:ind w:left="284" w:right="333" w:hanging="284"/>
        <w:jc w:val="both"/>
        <w:rPr>
          <w:rFonts w:ascii="Bookman Old Style" w:hAnsi="Bookman Old Style"/>
          <w:sz w:val="22"/>
          <w:szCs w:val="22"/>
          <w:lang w:val="es-ES"/>
        </w:rPr>
      </w:pPr>
    </w:p>
    <w:p w14:paraId="39CC687C" w14:textId="77777777" w:rsidR="008C1F34" w:rsidRPr="003F50C8" w:rsidRDefault="008C1F34" w:rsidP="003B3170">
      <w:pPr>
        <w:pStyle w:val="Prrafodelista"/>
        <w:numPr>
          <w:ilvl w:val="0"/>
          <w:numId w:val="4"/>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Si se sigue con la misma tendencia</w:t>
      </w:r>
      <w:r w:rsidR="000D2028" w:rsidRPr="003F50C8">
        <w:rPr>
          <w:rFonts w:ascii="Bookman Old Style" w:hAnsi="Bookman Old Style"/>
          <w:sz w:val="22"/>
          <w:szCs w:val="22"/>
          <w:lang w:val="es-ES"/>
        </w:rPr>
        <w:t>,</w:t>
      </w:r>
      <w:r w:rsidRPr="003F50C8">
        <w:rPr>
          <w:rFonts w:ascii="Bookman Old Style" w:hAnsi="Bookman Old Style"/>
          <w:sz w:val="22"/>
          <w:szCs w:val="22"/>
          <w:lang w:val="es-ES"/>
        </w:rPr>
        <w:t xml:space="preserve"> la huella del fracking sobre el agua se puede incrementar hasta 50 veces en algunas regiones para el 2030, generando </w:t>
      </w:r>
      <w:r w:rsidR="004D71DE" w:rsidRPr="003F50C8">
        <w:rPr>
          <w:rFonts w:ascii="Bookman Old Style" w:hAnsi="Bookman Old Style"/>
          <w:sz w:val="22"/>
          <w:szCs w:val="22"/>
          <w:lang w:val="es-ES"/>
        </w:rPr>
        <w:t>conflictos sobre la disponibilidad del agua,</w:t>
      </w:r>
      <w:r w:rsidRPr="003F50C8">
        <w:rPr>
          <w:rFonts w:ascii="Bookman Old Style" w:hAnsi="Bookman Old Style"/>
          <w:sz w:val="22"/>
          <w:szCs w:val="22"/>
          <w:lang w:val="es-ES"/>
        </w:rPr>
        <w:t xml:space="preserve"> especial</w:t>
      </w:r>
      <w:r w:rsidR="00090785" w:rsidRPr="003F50C8">
        <w:rPr>
          <w:rFonts w:ascii="Bookman Old Style" w:hAnsi="Bookman Old Style"/>
          <w:sz w:val="22"/>
          <w:szCs w:val="22"/>
          <w:lang w:val="es-ES"/>
        </w:rPr>
        <w:t>mente en regiones áridas y semi</w:t>
      </w:r>
      <w:r w:rsidRPr="003F50C8">
        <w:rPr>
          <w:rFonts w:ascii="Bookman Old Style" w:hAnsi="Bookman Old Style"/>
          <w:sz w:val="22"/>
          <w:szCs w:val="22"/>
          <w:lang w:val="es-ES"/>
        </w:rPr>
        <w:t>áridas.</w:t>
      </w:r>
    </w:p>
    <w:p w14:paraId="71D13A68" w14:textId="77777777" w:rsidR="003F50C8" w:rsidRDefault="003F50C8" w:rsidP="003F50C8">
      <w:pPr>
        <w:pStyle w:val="Prrafodelista"/>
        <w:ind w:left="0"/>
        <w:jc w:val="both"/>
        <w:rPr>
          <w:rFonts w:ascii="Bookman Old Style" w:hAnsi="Bookman Old Style"/>
          <w:sz w:val="22"/>
          <w:szCs w:val="22"/>
          <w:lang w:val="es-ES"/>
        </w:rPr>
      </w:pPr>
    </w:p>
    <w:p w14:paraId="02BA8E10" w14:textId="77777777" w:rsidR="007E129E" w:rsidRDefault="007E129E"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Adicionalmente, </w:t>
      </w:r>
      <w:r w:rsidR="001474C3" w:rsidRPr="003F50C8">
        <w:rPr>
          <w:rFonts w:ascii="Bookman Old Style" w:hAnsi="Bookman Old Style"/>
          <w:sz w:val="22"/>
          <w:szCs w:val="22"/>
          <w:lang w:val="es-ES"/>
        </w:rPr>
        <w:t>el</w:t>
      </w:r>
      <w:r w:rsidRPr="003F50C8">
        <w:rPr>
          <w:rFonts w:ascii="Bookman Old Style" w:hAnsi="Bookman Old Style"/>
          <w:sz w:val="22"/>
          <w:szCs w:val="22"/>
          <w:lang w:val="es-ES"/>
        </w:rPr>
        <w:t xml:space="preserve"> estudio de la Agencia para la Protección del Ambiente</w:t>
      </w:r>
      <w:r w:rsidR="00BC23F8" w:rsidRPr="003F50C8">
        <w:rPr>
          <w:rStyle w:val="Refdenotaalpie"/>
          <w:rFonts w:ascii="Bookman Old Style" w:hAnsi="Bookman Old Style"/>
          <w:sz w:val="22"/>
          <w:szCs w:val="22"/>
          <w:lang w:val="es-ES"/>
        </w:rPr>
        <w:footnoteReference w:id="6"/>
      </w:r>
      <w:r w:rsidRPr="003F50C8">
        <w:rPr>
          <w:rFonts w:ascii="Bookman Old Style" w:hAnsi="Bookman Old Style"/>
          <w:sz w:val="22"/>
          <w:szCs w:val="22"/>
          <w:lang w:val="es-ES"/>
        </w:rPr>
        <w:t xml:space="preserve"> de Estados Unidos (</w:t>
      </w:r>
      <w:r w:rsidRPr="003F50C8">
        <w:rPr>
          <w:rFonts w:ascii="Bookman Old Style" w:hAnsi="Bookman Old Style"/>
          <w:i/>
          <w:sz w:val="22"/>
          <w:szCs w:val="22"/>
          <w:lang w:val="es-ES"/>
        </w:rPr>
        <w:t>Environmental Protection Agency – EPA</w:t>
      </w:r>
      <w:r w:rsidRPr="003F50C8">
        <w:rPr>
          <w:rFonts w:ascii="Bookman Old Style" w:hAnsi="Bookman Old Style"/>
          <w:sz w:val="22"/>
          <w:szCs w:val="22"/>
          <w:lang w:val="es-ES"/>
        </w:rPr>
        <w:t>) publicado en 2016 sobre el impacto del fracking en el ciclo del agua y el agua para el consumo humano</w:t>
      </w:r>
      <w:r w:rsidR="001474C3"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los siguientes riesgos sin dar especificidad sobre su impacto:</w:t>
      </w:r>
    </w:p>
    <w:p w14:paraId="49E8AD0A" w14:textId="77777777" w:rsidR="003F50C8" w:rsidRPr="003F50C8" w:rsidRDefault="003F50C8" w:rsidP="003F50C8">
      <w:pPr>
        <w:pStyle w:val="Prrafodelista"/>
        <w:ind w:left="0"/>
        <w:jc w:val="both"/>
        <w:rPr>
          <w:rFonts w:ascii="Bookman Old Style" w:hAnsi="Bookman Old Style"/>
          <w:sz w:val="22"/>
          <w:szCs w:val="22"/>
          <w:lang w:val="es-ES"/>
        </w:rPr>
      </w:pPr>
    </w:p>
    <w:p w14:paraId="7E433F6F" w14:textId="77777777" w:rsidR="007E129E" w:rsidRDefault="007E129E" w:rsidP="003B3170">
      <w:pPr>
        <w:pStyle w:val="Prrafodelista"/>
        <w:numPr>
          <w:ilvl w:val="0"/>
          <w:numId w:val="5"/>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Disminución del agua en lugares con recursos hídricos limitados.</w:t>
      </w:r>
    </w:p>
    <w:p w14:paraId="74E57E41" w14:textId="77777777" w:rsidR="003F50C8" w:rsidRPr="003F50C8" w:rsidRDefault="003F50C8" w:rsidP="009476AF">
      <w:pPr>
        <w:pStyle w:val="Prrafodelista"/>
        <w:ind w:left="284" w:right="333" w:hanging="284"/>
        <w:jc w:val="both"/>
        <w:rPr>
          <w:rFonts w:ascii="Bookman Old Style" w:hAnsi="Bookman Old Style"/>
          <w:sz w:val="22"/>
          <w:szCs w:val="22"/>
          <w:lang w:val="es-ES"/>
        </w:rPr>
      </w:pPr>
    </w:p>
    <w:p w14:paraId="23298A69" w14:textId="77777777" w:rsidR="007B0C6B" w:rsidRDefault="007E129E" w:rsidP="003B3170">
      <w:pPr>
        <w:pStyle w:val="Prrafodelista"/>
        <w:numPr>
          <w:ilvl w:val="0"/>
          <w:numId w:val="5"/>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Derrames en el manejo de fluidos de fracking que ocasiona concentraciones altas de químicos que llegan a los acuíferos.</w:t>
      </w:r>
    </w:p>
    <w:p w14:paraId="0BAFAF4C" w14:textId="77777777" w:rsidR="003F50C8" w:rsidRPr="003F50C8" w:rsidRDefault="003F50C8" w:rsidP="009476AF">
      <w:pPr>
        <w:ind w:left="284" w:right="333" w:hanging="284"/>
        <w:jc w:val="both"/>
        <w:rPr>
          <w:rFonts w:ascii="Bookman Old Style" w:hAnsi="Bookman Old Style"/>
          <w:sz w:val="22"/>
          <w:szCs w:val="22"/>
          <w:lang w:val="es-ES"/>
        </w:rPr>
      </w:pPr>
    </w:p>
    <w:p w14:paraId="6DE49F38" w14:textId="77777777" w:rsidR="007B0C6B" w:rsidRPr="003F50C8" w:rsidRDefault="007E129E" w:rsidP="003B3170">
      <w:pPr>
        <w:pStyle w:val="Prrafodelista"/>
        <w:numPr>
          <w:ilvl w:val="0"/>
          <w:numId w:val="5"/>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La inyección de fluidos de fracking a pozos que no tienen una integridad mecánica suficiente hace que gases y líquidos contaminen los recursos hídricos.</w:t>
      </w:r>
    </w:p>
    <w:p w14:paraId="76BD126A" w14:textId="77777777" w:rsidR="007E129E" w:rsidRPr="003F50C8" w:rsidRDefault="007E129E" w:rsidP="003B3170">
      <w:pPr>
        <w:pStyle w:val="Prrafodelista"/>
        <w:numPr>
          <w:ilvl w:val="0"/>
          <w:numId w:val="5"/>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Deshecho inapropiado de agua residual de fracking que puede terminar en la superficie o contaminando acuíferos en lugares profundos.</w:t>
      </w:r>
      <w:r w:rsidR="001474C3" w:rsidRPr="003F50C8">
        <w:rPr>
          <w:rFonts w:ascii="Bookman Old Style" w:hAnsi="Bookman Old Style"/>
          <w:sz w:val="22"/>
          <w:szCs w:val="22"/>
          <w:lang w:val="es-ES"/>
        </w:rPr>
        <w:t xml:space="preserve"> </w:t>
      </w:r>
    </w:p>
    <w:p w14:paraId="4E785C13" w14:textId="77777777" w:rsidR="001474C3" w:rsidRPr="003F50C8" w:rsidRDefault="001474C3" w:rsidP="003F50C8">
      <w:pPr>
        <w:pStyle w:val="Prrafodelista"/>
        <w:rPr>
          <w:rFonts w:ascii="Bookman Old Style" w:hAnsi="Bookman Old Style"/>
          <w:sz w:val="22"/>
          <w:szCs w:val="22"/>
          <w:lang w:val="es-ES"/>
        </w:rPr>
      </w:pPr>
    </w:p>
    <w:p w14:paraId="7A713092" w14:textId="77777777" w:rsidR="007E129E" w:rsidRPr="003F50C8" w:rsidRDefault="00D0290E" w:rsidP="003B3170">
      <w:pPr>
        <w:pStyle w:val="Prrafodelista"/>
        <w:numPr>
          <w:ilvl w:val="0"/>
          <w:numId w:val="11"/>
        </w:numPr>
        <w:ind w:left="284" w:hanging="284"/>
        <w:jc w:val="both"/>
        <w:rPr>
          <w:rFonts w:ascii="Bookman Old Style" w:hAnsi="Bookman Old Style"/>
          <w:b/>
          <w:sz w:val="22"/>
          <w:szCs w:val="22"/>
          <w:lang w:val="es-ES"/>
        </w:rPr>
      </w:pPr>
      <w:r w:rsidRPr="003F50C8">
        <w:rPr>
          <w:rFonts w:ascii="Bookman Old Style" w:hAnsi="Bookman Old Style"/>
          <w:b/>
          <w:sz w:val="22"/>
          <w:szCs w:val="22"/>
          <w:lang w:val="es-ES"/>
        </w:rPr>
        <w:lastRenderedPageBreak/>
        <w:t>“</w:t>
      </w:r>
      <w:r w:rsidR="007E129E" w:rsidRPr="003F50C8">
        <w:rPr>
          <w:rFonts w:ascii="Bookman Old Style" w:hAnsi="Bookman Old Style"/>
          <w:b/>
          <w:sz w:val="22"/>
          <w:szCs w:val="22"/>
          <w:lang w:val="es-ES"/>
        </w:rPr>
        <w:t>Es importante resaltar que el agua que se usa en el fracking se pierde definitivamente para el ciclo hidrológico ya que:</w:t>
      </w:r>
      <w:r w:rsidR="00BC23F8" w:rsidRPr="003F50C8">
        <w:rPr>
          <w:rFonts w:ascii="Bookman Old Style" w:hAnsi="Bookman Old Style"/>
          <w:b/>
          <w:sz w:val="22"/>
          <w:szCs w:val="22"/>
          <w:lang w:val="es-ES"/>
        </w:rPr>
        <w:t xml:space="preserve"> </w:t>
      </w:r>
    </w:p>
    <w:p w14:paraId="636151EA" w14:textId="77777777" w:rsidR="00BC23F8" w:rsidRPr="003F50C8" w:rsidRDefault="00BC23F8" w:rsidP="003F50C8">
      <w:pPr>
        <w:jc w:val="both"/>
        <w:rPr>
          <w:rFonts w:ascii="Bookman Old Style" w:hAnsi="Bookman Old Style"/>
          <w:b/>
          <w:sz w:val="22"/>
          <w:szCs w:val="22"/>
          <w:lang w:val="es-ES"/>
        </w:rPr>
      </w:pPr>
    </w:p>
    <w:p w14:paraId="27906808" w14:textId="77777777" w:rsidR="007E129E" w:rsidRPr="003F50C8" w:rsidRDefault="007E129E" w:rsidP="003B3170">
      <w:pPr>
        <w:pStyle w:val="Prrafodelista"/>
        <w:numPr>
          <w:ilvl w:val="0"/>
          <w:numId w:val="10"/>
        </w:numPr>
        <w:ind w:left="1134" w:right="616" w:hanging="283"/>
        <w:jc w:val="both"/>
        <w:rPr>
          <w:rFonts w:ascii="Bookman Old Style" w:hAnsi="Bookman Old Style"/>
          <w:i/>
          <w:sz w:val="22"/>
          <w:szCs w:val="22"/>
          <w:lang w:val="es-ES"/>
        </w:rPr>
      </w:pPr>
      <w:r w:rsidRPr="003F50C8">
        <w:rPr>
          <w:rFonts w:ascii="Bookman Old Style" w:hAnsi="Bookman Old Style"/>
          <w:i/>
          <w:sz w:val="22"/>
          <w:szCs w:val="22"/>
          <w:lang w:val="es-ES"/>
        </w:rPr>
        <w:t>Permanece en el pozo, o</w:t>
      </w:r>
    </w:p>
    <w:p w14:paraId="69F3D591" w14:textId="77777777" w:rsidR="007E129E" w:rsidRPr="003F50C8" w:rsidRDefault="007E129E" w:rsidP="003B3170">
      <w:pPr>
        <w:pStyle w:val="Prrafodelista"/>
        <w:numPr>
          <w:ilvl w:val="0"/>
          <w:numId w:val="10"/>
        </w:numPr>
        <w:ind w:left="1134" w:right="616" w:hanging="283"/>
        <w:jc w:val="both"/>
        <w:rPr>
          <w:rFonts w:ascii="Bookman Old Style" w:hAnsi="Bookman Old Style"/>
          <w:i/>
          <w:sz w:val="22"/>
          <w:szCs w:val="22"/>
          <w:lang w:val="es-ES"/>
        </w:rPr>
      </w:pPr>
      <w:r w:rsidRPr="003F50C8">
        <w:rPr>
          <w:rFonts w:ascii="Bookman Old Style" w:hAnsi="Bookman Old Style"/>
          <w:i/>
          <w:sz w:val="22"/>
          <w:szCs w:val="22"/>
          <w:lang w:val="es-ES"/>
        </w:rPr>
        <w:t xml:space="preserve">Se recicla para el fracking de nuevos pozos, o </w:t>
      </w:r>
    </w:p>
    <w:p w14:paraId="4A5513A3" w14:textId="77777777" w:rsidR="00D0290E" w:rsidRPr="003F50C8" w:rsidRDefault="007E129E" w:rsidP="003B3170">
      <w:pPr>
        <w:pStyle w:val="Prrafodelista"/>
        <w:numPr>
          <w:ilvl w:val="0"/>
          <w:numId w:val="10"/>
        </w:numPr>
        <w:ind w:left="1134" w:right="616" w:hanging="283"/>
        <w:jc w:val="both"/>
        <w:rPr>
          <w:rFonts w:ascii="Bookman Old Style" w:hAnsi="Bookman Old Style"/>
          <w:i/>
          <w:sz w:val="22"/>
          <w:szCs w:val="22"/>
          <w:lang w:val="es-ES"/>
        </w:rPr>
      </w:pPr>
      <w:r w:rsidRPr="003F50C8">
        <w:rPr>
          <w:rFonts w:ascii="Bookman Old Style" w:hAnsi="Bookman Old Style"/>
          <w:i/>
          <w:sz w:val="22"/>
          <w:szCs w:val="22"/>
          <w:lang w:val="es-ES"/>
        </w:rPr>
        <w:t>Se desecha en pozos profundos para descartar l</w:t>
      </w:r>
      <w:r w:rsidR="00D0290E" w:rsidRPr="003F50C8">
        <w:rPr>
          <w:rFonts w:ascii="Bookman Old Style" w:hAnsi="Bookman Old Style"/>
          <w:i/>
          <w:sz w:val="22"/>
          <w:szCs w:val="22"/>
          <w:lang w:val="es-ES"/>
        </w:rPr>
        <w:t xml:space="preserve">os remanentes de la operación. </w:t>
      </w:r>
    </w:p>
    <w:p w14:paraId="3CDF26A3" w14:textId="77777777" w:rsidR="009476AF" w:rsidRDefault="009476AF" w:rsidP="009476AF">
      <w:pPr>
        <w:ind w:left="1134" w:hanging="283"/>
        <w:jc w:val="both"/>
        <w:rPr>
          <w:rFonts w:ascii="Bookman Old Style" w:hAnsi="Bookman Old Style"/>
          <w:i/>
          <w:sz w:val="22"/>
          <w:szCs w:val="22"/>
          <w:lang w:val="es-ES"/>
        </w:rPr>
      </w:pPr>
    </w:p>
    <w:p w14:paraId="57DA0D8F" w14:textId="77777777" w:rsidR="007E129E" w:rsidRPr="003F50C8" w:rsidRDefault="007E129E" w:rsidP="009476AF">
      <w:pPr>
        <w:ind w:left="851" w:right="616"/>
        <w:jc w:val="both"/>
        <w:rPr>
          <w:rFonts w:ascii="Bookman Old Style" w:hAnsi="Bookman Old Style"/>
          <w:i/>
          <w:sz w:val="22"/>
          <w:szCs w:val="22"/>
          <w:lang w:val="es-ES"/>
        </w:rPr>
      </w:pPr>
      <w:r w:rsidRPr="003F50C8">
        <w:rPr>
          <w:rFonts w:ascii="Bookman Old Style" w:hAnsi="Bookman Old Style"/>
          <w:i/>
          <w:sz w:val="22"/>
          <w:szCs w:val="22"/>
          <w:lang w:val="es-ES"/>
        </w:rPr>
        <w:t>Por cualquiera de estas causas, además de estar contaminada, no queda disponible para recargar los acuíferos.</w:t>
      </w:r>
      <w:r w:rsidR="00D31B96" w:rsidRPr="003F50C8">
        <w:rPr>
          <w:rFonts w:ascii="Bookman Old Style" w:hAnsi="Bookman Old Style"/>
          <w:i/>
          <w:sz w:val="22"/>
          <w:szCs w:val="22"/>
          <w:lang w:val="es-ES"/>
        </w:rPr>
        <w:t>”</w:t>
      </w:r>
      <w:r w:rsidR="00D0290E" w:rsidRPr="003F50C8">
        <w:rPr>
          <w:rStyle w:val="Refdenotaalpie"/>
          <w:rFonts w:ascii="Bookman Old Style" w:hAnsi="Bookman Old Style"/>
          <w:b/>
          <w:sz w:val="22"/>
          <w:szCs w:val="22"/>
          <w:lang w:val="es-ES"/>
        </w:rPr>
        <w:t xml:space="preserve"> </w:t>
      </w:r>
      <w:r w:rsidR="00D0290E" w:rsidRPr="003F50C8">
        <w:rPr>
          <w:rStyle w:val="Refdenotaalpie"/>
          <w:rFonts w:ascii="Bookman Old Style" w:hAnsi="Bookman Old Style"/>
          <w:sz w:val="22"/>
          <w:szCs w:val="22"/>
          <w:lang w:val="es-ES"/>
        </w:rPr>
        <w:footnoteReference w:id="7"/>
      </w:r>
    </w:p>
    <w:p w14:paraId="634718B0" w14:textId="77777777" w:rsidR="007E129E" w:rsidRPr="003F50C8" w:rsidRDefault="007E129E" w:rsidP="003F50C8">
      <w:pPr>
        <w:jc w:val="both"/>
        <w:rPr>
          <w:rFonts w:ascii="Bookman Old Style" w:hAnsi="Bookman Old Style"/>
          <w:sz w:val="22"/>
          <w:szCs w:val="22"/>
          <w:lang w:val="es-ES"/>
        </w:rPr>
      </w:pPr>
    </w:p>
    <w:p w14:paraId="398B0DCD" w14:textId="77777777" w:rsidR="007E129E" w:rsidRPr="003F50C8" w:rsidRDefault="007E129E" w:rsidP="003B3170">
      <w:pPr>
        <w:pStyle w:val="Prrafodelista"/>
        <w:numPr>
          <w:ilvl w:val="0"/>
          <w:numId w:val="11"/>
        </w:numPr>
        <w:ind w:left="284" w:hanging="284"/>
        <w:jc w:val="both"/>
        <w:rPr>
          <w:rFonts w:ascii="Bookman Old Style" w:hAnsi="Bookman Old Style"/>
          <w:b/>
          <w:sz w:val="22"/>
          <w:szCs w:val="22"/>
          <w:lang w:val="es-ES"/>
        </w:rPr>
      </w:pPr>
      <w:r w:rsidRPr="003F50C8">
        <w:rPr>
          <w:rFonts w:ascii="Bookman Old Style" w:hAnsi="Bookman Old Style"/>
          <w:b/>
          <w:sz w:val="22"/>
          <w:szCs w:val="22"/>
          <w:lang w:val="es-ES"/>
        </w:rPr>
        <w:t>Cantidad de agua usada en el fracking</w:t>
      </w:r>
      <w:r w:rsidR="00BC23F8" w:rsidRPr="003F50C8">
        <w:rPr>
          <w:rStyle w:val="Refdenotaalpie"/>
          <w:rFonts w:ascii="Bookman Old Style" w:hAnsi="Bookman Old Style"/>
          <w:b/>
          <w:sz w:val="22"/>
          <w:szCs w:val="22"/>
          <w:lang w:val="es-ES"/>
        </w:rPr>
        <w:footnoteReference w:id="8"/>
      </w:r>
      <w:r w:rsidRPr="003F50C8">
        <w:rPr>
          <w:rFonts w:ascii="Bookman Old Style" w:hAnsi="Bookman Old Style"/>
          <w:b/>
          <w:sz w:val="22"/>
          <w:szCs w:val="22"/>
          <w:lang w:val="es-ES"/>
        </w:rPr>
        <w:t>:</w:t>
      </w:r>
    </w:p>
    <w:p w14:paraId="269D4099" w14:textId="77777777" w:rsidR="007E129E" w:rsidRPr="003F50C8" w:rsidRDefault="007E129E" w:rsidP="003F50C8">
      <w:pPr>
        <w:jc w:val="both"/>
        <w:rPr>
          <w:rFonts w:ascii="Bookman Old Style" w:hAnsi="Bookman Old Style"/>
          <w:sz w:val="22"/>
          <w:szCs w:val="22"/>
          <w:lang w:val="es-ES"/>
        </w:rPr>
      </w:pPr>
    </w:p>
    <w:p w14:paraId="79C4003A" w14:textId="77777777" w:rsidR="007E129E" w:rsidRDefault="007E129E" w:rsidP="003B3170">
      <w:pPr>
        <w:pStyle w:val="Prrafodelista"/>
        <w:numPr>
          <w:ilvl w:val="0"/>
          <w:numId w:val="6"/>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No hay un pozo típico y el uso del agua depende de la formación de la roca, el operador, si es vertical u horizontal. También parte del agua se recicla, lo que baja el consumo neto.</w:t>
      </w:r>
    </w:p>
    <w:p w14:paraId="6F499852" w14:textId="77777777" w:rsidR="003F50C8" w:rsidRPr="003F50C8" w:rsidRDefault="003F50C8" w:rsidP="00A43A7E">
      <w:pPr>
        <w:pStyle w:val="Prrafodelista"/>
        <w:ind w:left="284" w:right="333" w:hanging="284"/>
        <w:jc w:val="both"/>
        <w:rPr>
          <w:rFonts w:ascii="Bookman Old Style" w:hAnsi="Bookman Old Style"/>
          <w:sz w:val="22"/>
          <w:szCs w:val="22"/>
          <w:lang w:val="es-ES"/>
        </w:rPr>
      </w:pPr>
    </w:p>
    <w:p w14:paraId="75656750" w14:textId="77777777" w:rsidR="007E129E" w:rsidRPr="003F50C8" w:rsidRDefault="007E129E" w:rsidP="003B3170">
      <w:pPr>
        <w:pStyle w:val="Prrafodelista"/>
        <w:numPr>
          <w:ilvl w:val="0"/>
          <w:numId w:val="6"/>
        </w:numPr>
        <w:ind w:left="284" w:right="333" w:hanging="284"/>
        <w:jc w:val="both"/>
        <w:rPr>
          <w:rFonts w:ascii="Bookman Old Style" w:hAnsi="Bookman Old Style"/>
          <w:sz w:val="22"/>
          <w:szCs w:val="22"/>
          <w:lang w:val="es-ES"/>
        </w:rPr>
      </w:pPr>
      <w:r w:rsidRPr="003F50C8">
        <w:rPr>
          <w:rFonts w:ascii="Bookman Old Style" w:hAnsi="Bookman Old Style"/>
          <w:sz w:val="22"/>
          <w:szCs w:val="22"/>
          <w:lang w:val="es-ES"/>
        </w:rPr>
        <w:t>El consumo de agua puede estar ent</w:t>
      </w:r>
      <w:r w:rsidR="00BC23F8" w:rsidRPr="003F50C8">
        <w:rPr>
          <w:rFonts w:ascii="Bookman Old Style" w:hAnsi="Bookman Old Style"/>
          <w:sz w:val="22"/>
          <w:szCs w:val="22"/>
          <w:lang w:val="es-ES"/>
        </w:rPr>
        <w:t>r</w:t>
      </w:r>
      <w:r w:rsidRPr="003F50C8">
        <w:rPr>
          <w:rFonts w:ascii="Bookman Old Style" w:hAnsi="Bookman Old Style"/>
          <w:sz w:val="22"/>
          <w:szCs w:val="22"/>
          <w:lang w:val="es-ES"/>
        </w:rPr>
        <w:t>e 1.5 millones de galones a 16 millones. Algunos ejemplos de uso de agua</w:t>
      </w:r>
      <w:r w:rsidR="002D0394" w:rsidRPr="003F50C8">
        <w:rPr>
          <w:rFonts w:ascii="Bookman Old Style" w:hAnsi="Bookman Old Style"/>
          <w:sz w:val="22"/>
          <w:szCs w:val="22"/>
          <w:lang w:val="es-ES"/>
        </w:rPr>
        <w:t xml:space="preserve"> son</w:t>
      </w:r>
      <w:r w:rsidRPr="003F50C8">
        <w:rPr>
          <w:rFonts w:ascii="Bookman Old Style" w:hAnsi="Bookman Old Style"/>
          <w:sz w:val="22"/>
          <w:szCs w:val="22"/>
          <w:lang w:val="es-ES"/>
        </w:rPr>
        <w:t>:</w:t>
      </w:r>
    </w:p>
    <w:p w14:paraId="4E396D0F" w14:textId="77777777" w:rsidR="00BC23F8" w:rsidRPr="003F50C8" w:rsidRDefault="00BC23F8" w:rsidP="003F50C8">
      <w:pPr>
        <w:pStyle w:val="Prrafodelista"/>
        <w:ind w:left="360"/>
        <w:jc w:val="both"/>
        <w:rPr>
          <w:rFonts w:ascii="Bookman Old Style" w:hAnsi="Bookman Old Style"/>
          <w:sz w:val="22"/>
          <w:szCs w:val="22"/>
          <w:lang w:val="es-ES"/>
        </w:rPr>
      </w:pPr>
    </w:p>
    <w:p w14:paraId="0C19C22D" w14:textId="77777777" w:rsidR="007E129E" w:rsidRDefault="007E129E" w:rsidP="003B3170">
      <w:pPr>
        <w:numPr>
          <w:ilvl w:val="1"/>
          <w:numId w:val="7"/>
        </w:numPr>
        <w:ind w:left="851" w:right="333" w:hanging="284"/>
        <w:jc w:val="both"/>
        <w:rPr>
          <w:rFonts w:ascii="Bookman Old Style" w:hAnsi="Bookman Old Style"/>
          <w:sz w:val="22"/>
          <w:szCs w:val="22"/>
          <w:lang w:val="en-US"/>
        </w:rPr>
      </w:pPr>
      <w:r w:rsidRPr="003F50C8">
        <w:rPr>
          <w:rFonts w:ascii="Bookman Old Style" w:hAnsi="Bookman Old Style"/>
          <w:sz w:val="22"/>
          <w:szCs w:val="22"/>
          <w:lang w:val="en-US"/>
        </w:rPr>
        <w:t xml:space="preserve">Marcellus Shale, Pennsylvania, 4.5 </w:t>
      </w:r>
      <w:r w:rsidR="00B92508" w:rsidRPr="003F50C8">
        <w:rPr>
          <w:rFonts w:ascii="Bookman Old Style" w:hAnsi="Bookman Old Style"/>
          <w:sz w:val="22"/>
          <w:szCs w:val="22"/>
          <w:lang w:val="en-US"/>
        </w:rPr>
        <w:t>millones de</w:t>
      </w:r>
      <w:r w:rsidRPr="003F50C8">
        <w:rPr>
          <w:rFonts w:ascii="Bookman Old Style" w:hAnsi="Bookman Old Style"/>
          <w:sz w:val="22"/>
          <w:szCs w:val="22"/>
          <w:lang w:val="en-US"/>
        </w:rPr>
        <w:t xml:space="preserve"> </w:t>
      </w:r>
      <w:r w:rsidR="00B92508" w:rsidRPr="003F50C8">
        <w:rPr>
          <w:rFonts w:ascii="Bookman Old Style" w:hAnsi="Bookman Old Style"/>
          <w:sz w:val="22"/>
          <w:szCs w:val="22"/>
          <w:lang w:val="en-US"/>
        </w:rPr>
        <w:t>galones</w:t>
      </w:r>
      <w:r w:rsidRPr="003F50C8">
        <w:rPr>
          <w:rFonts w:ascii="Bookman Old Style" w:hAnsi="Bookman Old Style"/>
          <w:sz w:val="22"/>
          <w:szCs w:val="22"/>
          <w:lang w:val="en-US"/>
        </w:rPr>
        <w:t xml:space="preserve"> (Risser, 2012, </w:t>
      </w:r>
      <w:hyperlink r:id="rId10" w:history="1">
        <w:r w:rsidRPr="003F50C8">
          <w:rPr>
            <w:rStyle w:val="Hipervnculo"/>
            <w:rFonts w:ascii="Bookman Old Style" w:hAnsi="Bookman Old Style"/>
            <w:color w:val="auto"/>
            <w:sz w:val="22"/>
            <w:szCs w:val="22"/>
            <w:u w:val="none"/>
            <w:lang w:val="en-US"/>
          </w:rPr>
          <w:t>USGS Public Lecture, "Shale gas, Hydraulic Fracturing, and Induced Earthquakes"</w:t>
        </w:r>
      </w:hyperlink>
      <w:r w:rsidRPr="003F50C8">
        <w:rPr>
          <w:rFonts w:ascii="Bookman Old Style" w:hAnsi="Bookman Old Style"/>
          <w:sz w:val="22"/>
          <w:szCs w:val="22"/>
          <w:lang w:val="en-US"/>
        </w:rPr>
        <w:t>)</w:t>
      </w:r>
    </w:p>
    <w:p w14:paraId="533AF723" w14:textId="77777777" w:rsidR="003F50C8" w:rsidRPr="003F50C8" w:rsidRDefault="003F50C8" w:rsidP="009476AF">
      <w:pPr>
        <w:ind w:left="851" w:right="333" w:hanging="284"/>
        <w:jc w:val="both"/>
        <w:rPr>
          <w:rFonts w:ascii="Bookman Old Style" w:hAnsi="Bookman Old Style"/>
          <w:sz w:val="22"/>
          <w:szCs w:val="22"/>
          <w:lang w:val="en-US"/>
        </w:rPr>
      </w:pPr>
    </w:p>
    <w:p w14:paraId="1827DBCC" w14:textId="77777777" w:rsidR="007E129E" w:rsidRDefault="007E129E" w:rsidP="003B3170">
      <w:pPr>
        <w:numPr>
          <w:ilvl w:val="1"/>
          <w:numId w:val="7"/>
        </w:numPr>
        <w:ind w:left="851" w:right="333" w:hanging="284"/>
        <w:jc w:val="both"/>
        <w:rPr>
          <w:rFonts w:ascii="Bookman Old Style" w:hAnsi="Bookman Old Style"/>
          <w:sz w:val="22"/>
          <w:szCs w:val="22"/>
          <w:lang w:val="en-US"/>
        </w:rPr>
      </w:pPr>
      <w:r w:rsidRPr="003F50C8">
        <w:rPr>
          <w:rFonts w:ascii="Bookman Old Style" w:hAnsi="Bookman Old Style"/>
          <w:sz w:val="22"/>
          <w:szCs w:val="22"/>
          <w:lang w:val="en-US"/>
        </w:rPr>
        <w:t xml:space="preserve">Wattenburg Sandstone, Colorado, 2.7 </w:t>
      </w:r>
      <w:r w:rsidR="00B92508" w:rsidRPr="003F50C8">
        <w:rPr>
          <w:rFonts w:ascii="Bookman Old Style" w:hAnsi="Bookman Old Style"/>
          <w:sz w:val="22"/>
          <w:szCs w:val="22"/>
          <w:lang w:val="en-US"/>
        </w:rPr>
        <w:t>millones de</w:t>
      </w:r>
      <w:r w:rsidRPr="003F50C8">
        <w:rPr>
          <w:rFonts w:ascii="Bookman Old Style" w:hAnsi="Bookman Old Style"/>
          <w:sz w:val="22"/>
          <w:szCs w:val="22"/>
          <w:lang w:val="en-US"/>
        </w:rPr>
        <w:t xml:space="preserve"> </w:t>
      </w:r>
      <w:r w:rsidR="00B92508" w:rsidRPr="003F50C8">
        <w:rPr>
          <w:rFonts w:ascii="Bookman Old Style" w:hAnsi="Bookman Old Style"/>
          <w:sz w:val="22"/>
          <w:szCs w:val="22"/>
          <w:lang w:val="en-US"/>
        </w:rPr>
        <w:t>galones</w:t>
      </w:r>
      <w:r w:rsidRPr="003F50C8">
        <w:rPr>
          <w:rFonts w:ascii="Bookman Old Style" w:hAnsi="Bookman Old Style"/>
          <w:sz w:val="22"/>
          <w:szCs w:val="22"/>
          <w:lang w:val="en-US"/>
        </w:rPr>
        <w:t xml:space="preserve"> (Goodwin and others, 2012, Oil and Gas Journal)</w:t>
      </w:r>
    </w:p>
    <w:p w14:paraId="4C27F208" w14:textId="77777777" w:rsidR="003F50C8" w:rsidRPr="003F50C8" w:rsidRDefault="003F50C8" w:rsidP="009476AF">
      <w:pPr>
        <w:ind w:left="851" w:right="333" w:hanging="284"/>
        <w:jc w:val="both"/>
        <w:rPr>
          <w:rFonts w:ascii="Bookman Old Style" w:hAnsi="Bookman Old Style"/>
          <w:sz w:val="22"/>
          <w:szCs w:val="22"/>
          <w:lang w:val="en-US"/>
        </w:rPr>
      </w:pPr>
    </w:p>
    <w:p w14:paraId="337CFD57" w14:textId="77777777" w:rsidR="007E129E" w:rsidRDefault="007E129E" w:rsidP="003B3170">
      <w:pPr>
        <w:numPr>
          <w:ilvl w:val="1"/>
          <w:numId w:val="7"/>
        </w:numPr>
        <w:ind w:left="851" w:right="333" w:hanging="284"/>
        <w:jc w:val="both"/>
        <w:rPr>
          <w:rFonts w:ascii="Bookman Old Style" w:hAnsi="Bookman Old Style"/>
          <w:sz w:val="22"/>
          <w:szCs w:val="22"/>
          <w:lang w:val="en-US"/>
        </w:rPr>
      </w:pPr>
      <w:r w:rsidRPr="003F50C8">
        <w:rPr>
          <w:rFonts w:ascii="Bookman Old Style" w:hAnsi="Bookman Old Style"/>
          <w:sz w:val="22"/>
          <w:szCs w:val="22"/>
          <w:lang w:val="en-US"/>
        </w:rPr>
        <w:t xml:space="preserve">Barnett Shale, Texas, 2.8 </w:t>
      </w:r>
      <w:r w:rsidR="00B92508" w:rsidRPr="003F50C8">
        <w:rPr>
          <w:rFonts w:ascii="Bookman Old Style" w:hAnsi="Bookman Old Style"/>
          <w:sz w:val="22"/>
          <w:szCs w:val="22"/>
          <w:lang w:val="en-US"/>
        </w:rPr>
        <w:t>millones de galones</w:t>
      </w:r>
      <w:r w:rsidRPr="003F50C8">
        <w:rPr>
          <w:rFonts w:ascii="Bookman Old Style" w:hAnsi="Bookman Old Style"/>
          <w:sz w:val="22"/>
          <w:szCs w:val="22"/>
          <w:lang w:val="en-US"/>
        </w:rPr>
        <w:t xml:space="preserve"> (Nicot and Scanlon, 2012, Environmental Science and Technology)</w:t>
      </w:r>
    </w:p>
    <w:p w14:paraId="5D0FC3AD" w14:textId="77777777" w:rsidR="003F50C8" w:rsidRPr="003F50C8" w:rsidRDefault="003F50C8" w:rsidP="009476AF">
      <w:pPr>
        <w:ind w:left="851" w:right="333" w:hanging="284"/>
        <w:jc w:val="both"/>
        <w:rPr>
          <w:rFonts w:ascii="Bookman Old Style" w:hAnsi="Bookman Old Style"/>
          <w:sz w:val="22"/>
          <w:szCs w:val="22"/>
          <w:lang w:val="en-US"/>
        </w:rPr>
      </w:pPr>
    </w:p>
    <w:p w14:paraId="40D2B238" w14:textId="77777777" w:rsidR="007E129E" w:rsidRDefault="007E129E" w:rsidP="003B3170">
      <w:pPr>
        <w:numPr>
          <w:ilvl w:val="1"/>
          <w:numId w:val="7"/>
        </w:numPr>
        <w:ind w:left="851" w:right="333" w:hanging="284"/>
        <w:jc w:val="both"/>
        <w:rPr>
          <w:rFonts w:ascii="Bookman Old Style" w:hAnsi="Bookman Old Style"/>
          <w:sz w:val="22"/>
          <w:szCs w:val="22"/>
          <w:lang w:val="en-US"/>
        </w:rPr>
      </w:pPr>
      <w:r w:rsidRPr="003F50C8">
        <w:rPr>
          <w:rFonts w:ascii="Bookman Old Style" w:hAnsi="Bookman Old Style"/>
          <w:sz w:val="22"/>
          <w:szCs w:val="22"/>
          <w:lang w:val="en-US"/>
        </w:rPr>
        <w:t xml:space="preserve">Eagle Ford Shale, Texas, 4.3 </w:t>
      </w:r>
      <w:r w:rsidR="00B92508" w:rsidRPr="003F50C8">
        <w:rPr>
          <w:rFonts w:ascii="Bookman Old Style" w:hAnsi="Bookman Old Style"/>
          <w:sz w:val="22"/>
          <w:szCs w:val="22"/>
          <w:lang w:val="en-US"/>
        </w:rPr>
        <w:t xml:space="preserve">millones de galones </w:t>
      </w:r>
      <w:r w:rsidRPr="003F50C8">
        <w:rPr>
          <w:rFonts w:ascii="Bookman Old Style" w:hAnsi="Bookman Old Style"/>
          <w:sz w:val="22"/>
          <w:szCs w:val="22"/>
          <w:lang w:val="en-US"/>
        </w:rPr>
        <w:t>(Nicot and Scanlon, 2012, Environmental Science and Technology)</w:t>
      </w:r>
    </w:p>
    <w:p w14:paraId="6E0BD72C" w14:textId="77777777" w:rsidR="003F50C8" w:rsidRPr="003F50C8" w:rsidRDefault="003F50C8" w:rsidP="009476AF">
      <w:pPr>
        <w:ind w:left="851" w:right="333" w:hanging="284"/>
        <w:jc w:val="both"/>
        <w:rPr>
          <w:rFonts w:ascii="Bookman Old Style" w:hAnsi="Bookman Old Style"/>
          <w:sz w:val="22"/>
          <w:szCs w:val="22"/>
          <w:lang w:val="en-US"/>
        </w:rPr>
      </w:pPr>
    </w:p>
    <w:p w14:paraId="574AA21A" w14:textId="77777777" w:rsidR="007E129E" w:rsidRDefault="007E129E" w:rsidP="003B3170">
      <w:pPr>
        <w:numPr>
          <w:ilvl w:val="1"/>
          <w:numId w:val="7"/>
        </w:numPr>
        <w:ind w:left="851" w:right="333" w:hanging="284"/>
        <w:jc w:val="both"/>
        <w:rPr>
          <w:rFonts w:ascii="Bookman Old Style" w:hAnsi="Bookman Old Style"/>
          <w:sz w:val="22"/>
          <w:szCs w:val="22"/>
          <w:lang w:val="en-US"/>
        </w:rPr>
      </w:pPr>
      <w:r w:rsidRPr="003F50C8">
        <w:rPr>
          <w:rFonts w:ascii="Bookman Old Style" w:hAnsi="Bookman Old Style"/>
          <w:sz w:val="22"/>
          <w:szCs w:val="22"/>
          <w:lang w:val="en-US"/>
        </w:rPr>
        <w:t xml:space="preserve">Haynesville Shale, Texas, 5.7 </w:t>
      </w:r>
      <w:r w:rsidR="00B92508" w:rsidRPr="003F50C8">
        <w:rPr>
          <w:rFonts w:ascii="Bookman Old Style" w:hAnsi="Bookman Old Style"/>
          <w:sz w:val="22"/>
          <w:szCs w:val="22"/>
          <w:lang w:val="en-US"/>
        </w:rPr>
        <w:t xml:space="preserve">millones de galones </w:t>
      </w:r>
      <w:r w:rsidRPr="003F50C8">
        <w:rPr>
          <w:rFonts w:ascii="Bookman Old Style" w:hAnsi="Bookman Old Style"/>
          <w:sz w:val="22"/>
          <w:szCs w:val="22"/>
          <w:lang w:val="en-US"/>
        </w:rPr>
        <w:t>(Nicot and Scanlon, 2012, Environmental Science and Technology)</w:t>
      </w:r>
    </w:p>
    <w:p w14:paraId="6539A7AB" w14:textId="77777777" w:rsidR="003F50C8" w:rsidRPr="003F50C8" w:rsidRDefault="003F50C8" w:rsidP="009476AF">
      <w:pPr>
        <w:ind w:left="851" w:right="333" w:hanging="284"/>
        <w:jc w:val="both"/>
        <w:rPr>
          <w:rFonts w:ascii="Bookman Old Style" w:hAnsi="Bookman Old Style"/>
          <w:sz w:val="22"/>
          <w:szCs w:val="22"/>
          <w:lang w:val="en-US"/>
        </w:rPr>
      </w:pPr>
    </w:p>
    <w:p w14:paraId="6FE23E5C" w14:textId="77777777" w:rsidR="007E129E" w:rsidRDefault="007E129E" w:rsidP="003B3170">
      <w:pPr>
        <w:numPr>
          <w:ilvl w:val="1"/>
          <w:numId w:val="7"/>
        </w:numPr>
        <w:ind w:left="851" w:right="333" w:hanging="284"/>
        <w:jc w:val="both"/>
        <w:rPr>
          <w:rFonts w:ascii="Bookman Old Style" w:hAnsi="Bookman Old Style"/>
          <w:sz w:val="22"/>
          <w:szCs w:val="22"/>
          <w:lang w:val="es-ES"/>
        </w:rPr>
      </w:pPr>
      <w:r w:rsidRPr="003F50C8">
        <w:rPr>
          <w:rFonts w:ascii="Bookman Old Style" w:hAnsi="Bookman Old Style"/>
          <w:sz w:val="22"/>
          <w:szCs w:val="22"/>
          <w:lang w:val="es-ES"/>
        </w:rPr>
        <w:t xml:space="preserve">Bakken Formation, North Dakota, 1.5 </w:t>
      </w:r>
      <w:r w:rsidR="00B92508" w:rsidRPr="003F50C8">
        <w:rPr>
          <w:rFonts w:ascii="Bookman Old Style" w:hAnsi="Bookman Old Style"/>
          <w:sz w:val="22"/>
          <w:szCs w:val="22"/>
          <w:lang w:val="es-ES"/>
        </w:rPr>
        <w:t xml:space="preserve">millones de galones </w:t>
      </w:r>
      <w:r w:rsidRPr="003F50C8">
        <w:rPr>
          <w:rFonts w:ascii="Bookman Old Style" w:hAnsi="Bookman Old Style"/>
          <w:sz w:val="22"/>
          <w:szCs w:val="22"/>
          <w:lang w:val="es-ES"/>
        </w:rPr>
        <w:t>(S. Haines, 2012, USGS personal communication)</w:t>
      </w:r>
    </w:p>
    <w:p w14:paraId="557F3732" w14:textId="77777777" w:rsidR="003F50C8" w:rsidRPr="003F50C8" w:rsidRDefault="003F50C8" w:rsidP="009476AF">
      <w:pPr>
        <w:ind w:left="851" w:right="333" w:hanging="284"/>
        <w:jc w:val="both"/>
        <w:rPr>
          <w:rFonts w:ascii="Bookman Old Style" w:hAnsi="Bookman Old Style"/>
          <w:sz w:val="22"/>
          <w:szCs w:val="22"/>
          <w:lang w:val="es-ES"/>
        </w:rPr>
      </w:pPr>
    </w:p>
    <w:p w14:paraId="0C756909" w14:textId="77777777" w:rsidR="007E129E" w:rsidRPr="003F50C8" w:rsidRDefault="007E129E" w:rsidP="003B3170">
      <w:pPr>
        <w:pStyle w:val="Prrafodelista"/>
        <w:numPr>
          <w:ilvl w:val="1"/>
          <w:numId w:val="7"/>
        </w:numPr>
        <w:ind w:left="851" w:right="333" w:hanging="284"/>
        <w:jc w:val="both"/>
        <w:rPr>
          <w:rFonts w:ascii="Bookman Old Style" w:hAnsi="Bookman Old Style"/>
          <w:sz w:val="22"/>
          <w:szCs w:val="22"/>
          <w:lang w:val="es-ES"/>
        </w:rPr>
      </w:pPr>
      <w:r w:rsidRPr="003F50C8">
        <w:rPr>
          <w:rFonts w:ascii="Bookman Old Style" w:hAnsi="Bookman Old Style"/>
          <w:sz w:val="22"/>
          <w:szCs w:val="22"/>
          <w:lang w:val="es-ES"/>
        </w:rPr>
        <w:lastRenderedPageBreak/>
        <w:t xml:space="preserve">Horn River Shale, British Columbia, Canada, 15.8 </w:t>
      </w:r>
      <w:r w:rsidR="00B92508" w:rsidRPr="003F50C8">
        <w:rPr>
          <w:rFonts w:ascii="Bookman Old Style" w:hAnsi="Bookman Old Style"/>
          <w:sz w:val="22"/>
          <w:szCs w:val="22"/>
          <w:lang w:val="es-ES"/>
        </w:rPr>
        <w:t xml:space="preserve">millones de galones </w:t>
      </w:r>
      <w:r w:rsidRPr="003F50C8">
        <w:rPr>
          <w:rFonts w:ascii="Bookman Old Style" w:hAnsi="Bookman Old Style"/>
          <w:sz w:val="22"/>
          <w:szCs w:val="22"/>
          <w:lang w:val="es-ES"/>
        </w:rPr>
        <w:t>(Horn River Basin Producers Group, 2010).</w:t>
      </w:r>
    </w:p>
    <w:p w14:paraId="0F4B3904" w14:textId="77777777" w:rsidR="007E129E" w:rsidRPr="003F50C8" w:rsidRDefault="007E129E" w:rsidP="003F50C8">
      <w:pPr>
        <w:pStyle w:val="Prrafodelista"/>
        <w:ind w:left="0"/>
        <w:jc w:val="both"/>
        <w:rPr>
          <w:rFonts w:ascii="Bookman Old Style" w:hAnsi="Bookman Old Style"/>
          <w:b/>
          <w:sz w:val="22"/>
          <w:szCs w:val="22"/>
          <w:highlight w:val="yellow"/>
          <w:lang w:val="es-ES"/>
        </w:rPr>
      </w:pPr>
    </w:p>
    <w:p w14:paraId="53D71183" w14:textId="77777777" w:rsidR="007E129E" w:rsidRPr="003F50C8" w:rsidRDefault="0020451D" w:rsidP="003F50C8">
      <w:pPr>
        <w:jc w:val="both"/>
        <w:rPr>
          <w:rFonts w:ascii="Bookman Old Style" w:hAnsi="Bookman Old Style"/>
          <w:b/>
          <w:sz w:val="22"/>
          <w:szCs w:val="22"/>
          <w:lang w:val="es-ES"/>
        </w:rPr>
      </w:pPr>
      <w:r w:rsidRPr="003F50C8">
        <w:rPr>
          <w:rFonts w:ascii="Bookman Old Style" w:hAnsi="Bookman Old Style"/>
          <w:sz w:val="22"/>
          <w:szCs w:val="22"/>
          <w:lang w:val="es-ES"/>
        </w:rPr>
        <w:t>Por su parte, s</w:t>
      </w:r>
      <w:r w:rsidR="007E129E" w:rsidRPr="003F50C8">
        <w:rPr>
          <w:rFonts w:ascii="Bookman Old Style" w:hAnsi="Bookman Old Style"/>
          <w:sz w:val="22"/>
          <w:szCs w:val="22"/>
          <w:lang w:val="es-ES"/>
        </w:rPr>
        <w:t xml:space="preserve">egún un estudio de </w:t>
      </w:r>
      <w:r w:rsidR="007E129E" w:rsidRPr="003F50C8">
        <w:rPr>
          <w:rFonts w:ascii="Bookman Old Style" w:hAnsi="Bookman Old Style"/>
          <w:iCs/>
          <w:sz w:val="22"/>
          <w:szCs w:val="22"/>
          <w:lang w:val="es-ES"/>
        </w:rPr>
        <w:t xml:space="preserve">Avner Vengosh de Duke University y publicado en el </w:t>
      </w:r>
      <w:r w:rsidR="007E129E" w:rsidRPr="003F50C8">
        <w:rPr>
          <w:rFonts w:ascii="Bookman Old Style" w:hAnsi="Bookman Old Style"/>
          <w:i/>
          <w:iCs/>
          <w:sz w:val="22"/>
          <w:szCs w:val="22"/>
          <w:lang w:val="es-ES"/>
        </w:rPr>
        <w:t>journal Environmental Science &amp; Technology Letters</w:t>
      </w:r>
      <w:r w:rsidR="007E129E" w:rsidRPr="003F50C8">
        <w:rPr>
          <w:rFonts w:ascii="Bookman Old Style" w:hAnsi="Bookman Old Style"/>
          <w:sz w:val="22"/>
          <w:szCs w:val="22"/>
          <w:lang w:val="es-ES"/>
        </w:rPr>
        <w:t xml:space="preserve"> solamente en Estados Unidos se usó 250 billones de galones de agua para fracking entre </w:t>
      </w:r>
      <w:r w:rsidRPr="003F50C8">
        <w:rPr>
          <w:rFonts w:ascii="Bookman Old Style" w:hAnsi="Bookman Old Style"/>
          <w:sz w:val="22"/>
          <w:szCs w:val="22"/>
          <w:lang w:val="es-ES"/>
        </w:rPr>
        <w:t xml:space="preserve">los años </w:t>
      </w:r>
      <w:r w:rsidR="007E129E" w:rsidRPr="003F50C8">
        <w:rPr>
          <w:rFonts w:ascii="Bookman Old Style" w:hAnsi="Bookman Old Style"/>
          <w:sz w:val="22"/>
          <w:szCs w:val="22"/>
          <w:lang w:val="es-ES"/>
        </w:rPr>
        <w:t>2005 y 2014</w:t>
      </w:r>
      <w:r w:rsidR="003A690F" w:rsidRPr="003F50C8">
        <w:rPr>
          <w:rStyle w:val="Refdenotaalpie"/>
          <w:rFonts w:ascii="Bookman Old Style" w:hAnsi="Bookman Old Style"/>
          <w:sz w:val="22"/>
          <w:szCs w:val="22"/>
          <w:lang w:val="es-ES"/>
        </w:rPr>
        <w:footnoteReference w:id="9"/>
      </w:r>
      <w:r w:rsidR="007E129E" w:rsidRPr="003F50C8">
        <w:rPr>
          <w:rFonts w:ascii="Bookman Old Style" w:hAnsi="Bookman Old Style"/>
          <w:sz w:val="22"/>
          <w:szCs w:val="22"/>
          <w:lang w:val="es-ES"/>
        </w:rPr>
        <w:t>.</w:t>
      </w:r>
    </w:p>
    <w:p w14:paraId="7CC7BE3B" w14:textId="77777777" w:rsidR="007E129E" w:rsidRPr="003F50C8" w:rsidRDefault="007E129E" w:rsidP="003F50C8">
      <w:pPr>
        <w:jc w:val="both"/>
        <w:rPr>
          <w:rFonts w:ascii="Bookman Old Style" w:hAnsi="Bookman Old Style"/>
          <w:sz w:val="22"/>
          <w:szCs w:val="22"/>
          <w:lang w:val="es-ES"/>
        </w:rPr>
      </w:pPr>
    </w:p>
    <w:p w14:paraId="15D9D000" w14:textId="77777777" w:rsidR="001A7987" w:rsidRPr="003F50C8" w:rsidRDefault="001A7987" w:rsidP="003B3170">
      <w:pPr>
        <w:pStyle w:val="Prrafodelista"/>
        <w:numPr>
          <w:ilvl w:val="0"/>
          <w:numId w:val="11"/>
        </w:numPr>
        <w:ind w:left="284" w:hanging="284"/>
        <w:jc w:val="both"/>
        <w:rPr>
          <w:rFonts w:ascii="Bookman Old Style" w:hAnsi="Bookman Old Style"/>
          <w:b/>
          <w:sz w:val="22"/>
          <w:szCs w:val="22"/>
          <w:lang w:val="es-ES"/>
        </w:rPr>
      </w:pPr>
      <w:r w:rsidRPr="003F50C8">
        <w:rPr>
          <w:rFonts w:ascii="Bookman Old Style" w:hAnsi="Bookman Old Style"/>
          <w:b/>
          <w:sz w:val="22"/>
          <w:szCs w:val="22"/>
          <w:lang w:val="es-ES"/>
        </w:rPr>
        <w:t>Contaminación de acuíferos</w:t>
      </w:r>
      <w:r w:rsidR="009476AF">
        <w:rPr>
          <w:rFonts w:ascii="Bookman Old Style" w:hAnsi="Bookman Old Style"/>
          <w:b/>
          <w:sz w:val="22"/>
          <w:szCs w:val="22"/>
          <w:lang w:val="es-ES"/>
        </w:rPr>
        <w:t>.</w:t>
      </w:r>
    </w:p>
    <w:p w14:paraId="600D5F7F" w14:textId="77777777" w:rsidR="001C00F7" w:rsidRPr="003F50C8" w:rsidRDefault="001C00F7" w:rsidP="003F50C8">
      <w:pPr>
        <w:pStyle w:val="Sinespaciado"/>
        <w:jc w:val="both"/>
        <w:rPr>
          <w:rFonts w:ascii="Bookman Old Style" w:hAnsi="Bookman Old Style" w:cstheme="minorHAnsi"/>
        </w:rPr>
      </w:pPr>
    </w:p>
    <w:p w14:paraId="7C15809F" w14:textId="77777777" w:rsidR="001A7987" w:rsidRPr="003F50C8" w:rsidRDefault="001A7987" w:rsidP="003F50C8">
      <w:pPr>
        <w:pStyle w:val="Sinespaciado"/>
        <w:jc w:val="both"/>
        <w:rPr>
          <w:rFonts w:ascii="Bookman Old Style" w:hAnsi="Bookman Old Style" w:cstheme="minorHAnsi"/>
        </w:rPr>
      </w:pPr>
      <w:r w:rsidRPr="003F50C8">
        <w:rPr>
          <w:rFonts w:ascii="Bookman Old Style" w:hAnsi="Bookman Old Style" w:cstheme="minorHAnsi"/>
        </w:rPr>
        <w:t>Se presenta contaminación de las aguas subterráneas, debido a caudales de fluidos o gases provocados por fugas de líquidos de fracturación y descargas no controladas de aguas residuales.</w:t>
      </w:r>
      <w:r w:rsidRPr="003F50C8">
        <w:rPr>
          <w:rStyle w:val="Refdenotaalpie"/>
          <w:rFonts w:ascii="Bookman Old Style" w:hAnsi="Bookman Old Style" w:cstheme="minorHAnsi"/>
        </w:rPr>
        <w:footnoteReference w:id="10"/>
      </w:r>
      <w:r w:rsidRPr="003F50C8">
        <w:rPr>
          <w:rFonts w:ascii="Bookman Old Style" w:hAnsi="Bookman Old Style" w:cstheme="minorHAnsi"/>
        </w:rPr>
        <w:t xml:space="preserve"> </w:t>
      </w:r>
    </w:p>
    <w:p w14:paraId="5FF44CC5" w14:textId="77777777" w:rsidR="001A7987" w:rsidRPr="003F50C8" w:rsidRDefault="001A7987" w:rsidP="003F50C8">
      <w:pPr>
        <w:jc w:val="both"/>
        <w:rPr>
          <w:rFonts w:ascii="Bookman Old Style" w:hAnsi="Bookman Old Style"/>
          <w:sz w:val="22"/>
          <w:szCs w:val="22"/>
          <w:lang w:val="es-ES"/>
        </w:rPr>
      </w:pPr>
    </w:p>
    <w:p w14:paraId="3A3208E5" w14:textId="77777777" w:rsidR="005F4692" w:rsidRPr="003F50C8" w:rsidRDefault="00C464D9"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De igual manera</w:t>
      </w:r>
      <w:r w:rsidR="001A7987" w:rsidRPr="003F50C8">
        <w:rPr>
          <w:rFonts w:ascii="Bookman Old Style" w:hAnsi="Bookman Old Style"/>
          <w:sz w:val="22"/>
          <w:szCs w:val="22"/>
          <w:lang w:val="es-ES"/>
        </w:rPr>
        <w:t>, l</w:t>
      </w:r>
      <w:r w:rsidR="00716645" w:rsidRPr="003F50C8">
        <w:rPr>
          <w:rFonts w:ascii="Bookman Old Style" w:hAnsi="Bookman Old Style"/>
          <w:sz w:val="22"/>
          <w:szCs w:val="22"/>
          <w:lang w:val="es-ES"/>
        </w:rPr>
        <w:t xml:space="preserve">as fugas de metano en la extracción de gas natural pueden llegar a contaminar los acuíferos. </w:t>
      </w:r>
      <w:r w:rsidR="001A7987" w:rsidRPr="003F50C8">
        <w:rPr>
          <w:rFonts w:ascii="Bookman Old Style" w:hAnsi="Bookman Old Style"/>
          <w:sz w:val="22"/>
          <w:szCs w:val="22"/>
        </w:rPr>
        <w:t>Según un</w:t>
      </w:r>
      <w:r w:rsidR="00716645" w:rsidRPr="003F50C8">
        <w:rPr>
          <w:rFonts w:ascii="Bookman Old Style" w:hAnsi="Bookman Old Style"/>
          <w:sz w:val="22"/>
          <w:szCs w:val="22"/>
        </w:rPr>
        <w:t xml:space="preserve"> estudio de la Universidad de Duke</w:t>
      </w:r>
      <w:r w:rsidR="00716645" w:rsidRPr="003F50C8">
        <w:rPr>
          <w:rStyle w:val="Refdenotaalpie"/>
          <w:rFonts w:ascii="Bookman Old Style" w:hAnsi="Bookman Old Style"/>
          <w:sz w:val="22"/>
          <w:szCs w:val="22"/>
          <w:lang w:val="es-ES"/>
        </w:rPr>
        <w:footnoteReference w:id="11"/>
      </w:r>
      <w:r w:rsidR="00716645" w:rsidRPr="003F50C8">
        <w:rPr>
          <w:rFonts w:ascii="Bookman Old Style" w:hAnsi="Bookman Old Style"/>
          <w:sz w:val="22"/>
          <w:szCs w:val="22"/>
        </w:rPr>
        <w:t xml:space="preserve"> de 2013, </w:t>
      </w:r>
      <w:r w:rsidRPr="003F50C8">
        <w:rPr>
          <w:rFonts w:ascii="Bookman Old Style" w:hAnsi="Bookman Old Style"/>
          <w:sz w:val="22"/>
          <w:szCs w:val="22"/>
        </w:rPr>
        <w:t>hay</w:t>
      </w:r>
      <w:r w:rsidR="00716645" w:rsidRPr="003F50C8">
        <w:rPr>
          <w:rFonts w:ascii="Bookman Old Style" w:hAnsi="Bookman Old Style"/>
          <w:sz w:val="22"/>
          <w:szCs w:val="22"/>
        </w:rPr>
        <w:t xml:space="preserve"> nueva evidencia de </w:t>
      </w:r>
      <w:r w:rsidR="00716645" w:rsidRPr="003F50C8">
        <w:rPr>
          <w:rFonts w:ascii="Bookman Old Style" w:hAnsi="Bookman Old Style"/>
          <w:sz w:val="22"/>
          <w:szCs w:val="22"/>
          <w:lang w:val="es-ES"/>
        </w:rPr>
        <w:t>altos niveles de metano en el agua en la parte noreste de Pensilvania como consecuencia del fracking. Se encontró metano en 115 de los 141 pozos de agua inspeccionados. Y los pozos de agua a 1km de distancia de un pozo de fracking tenían en promedio una concentración de 6 veces más metano.</w:t>
      </w:r>
    </w:p>
    <w:p w14:paraId="2C8BFF2D" w14:textId="77777777" w:rsidR="007E129E" w:rsidRPr="003F50C8" w:rsidRDefault="007E129E" w:rsidP="003F50C8">
      <w:pPr>
        <w:jc w:val="both"/>
        <w:rPr>
          <w:rFonts w:ascii="Bookman Old Style" w:hAnsi="Bookman Old Style"/>
          <w:b/>
          <w:bCs/>
          <w:color w:val="000000" w:themeColor="text1"/>
          <w:sz w:val="22"/>
          <w:szCs w:val="22"/>
        </w:rPr>
      </w:pPr>
    </w:p>
    <w:p w14:paraId="11C92DDA" w14:textId="77777777" w:rsidR="002E1FE2" w:rsidRPr="003F50C8" w:rsidRDefault="005F4692" w:rsidP="009476AF">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 sobre</w:t>
      </w:r>
      <w:r w:rsidR="00B90927" w:rsidRPr="003F50C8">
        <w:rPr>
          <w:rFonts w:ascii="Bookman Old Style" w:hAnsi="Bookman Old Style"/>
          <w:b/>
          <w:bCs/>
          <w:color w:val="000000" w:themeColor="text1"/>
          <w:sz w:val="22"/>
          <w:szCs w:val="22"/>
        </w:rPr>
        <w:t xml:space="preserve"> la biodiversidad</w:t>
      </w:r>
      <w:r w:rsidR="009476AF">
        <w:rPr>
          <w:rFonts w:ascii="Bookman Old Style" w:hAnsi="Bookman Old Style"/>
          <w:b/>
          <w:bCs/>
          <w:color w:val="000000" w:themeColor="text1"/>
          <w:sz w:val="22"/>
          <w:szCs w:val="22"/>
        </w:rPr>
        <w:t>.</w:t>
      </w:r>
    </w:p>
    <w:p w14:paraId="6DF0C920" w14:textId="77777777" w:rsidR="00C464D9" w:rsidRPr="003F50C8" w:rsidRDefault="00C464D9" w:rsidP="003F50C8">
      <w:pPr>
        <w:jc w:val="both"/>
        <w:rPr>
          <w:rFonts w:ascii="Bookman Old Style" w:hAnsi="Bookman Old Style"/>
          <w:sz w:val="22"/>
          <w:szCs w:val="22"/>
          <w:lang w:val="es-ES"/>
        </w:rPr>
      </w:pPr>
    </w:p>
    <w:p w14:paraId="4960D506" w14:textId="77777777" w:rsid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Muy pocos estudios se han hecho y publicado sobre el impacto del fracking en la flora y la fauna, por lo que se debe actuar con mayor cautela, especialmente en un país con la biodiversidad de Colombia.</w:t>
      </w:r>
    </w:p>
    <w:p w14:paraId="22D91F86" w14:textId="77777777" w:rsidR="003F50C8" w:rsidRPr="003F50C8" w:rsidRDefault="003F50C8" w:rsidP="003F50C8">
      <w:pPr>
        <w:jc w:val="both"/>
        <w:rPr>
          <w:rFonts w:ascii="Bookman Old Style" w:hAnsi="Bookman Old Style"/>
          <w:sz w:val="22"/>
          <w:szCs w:val="22"/>
          <w:lang w:val="es-ES"/>
        </w:rPr>
      </w:pPr>
    </w:p>
    <w:p w14:paraId="7E9B1112" w14:textId="77777777" w:rsidR="007E129E" w:rsidRP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Adicionalmente</w:t>
      </w:r>
      <w:r w:rsidR="00B90927" w:rsidRPr="003F50C8">
        <w:rPr>
          <w:rFonts w:ascii="Bookman Old Style" w:hAnsi="Bookman Old Style"/>
          <w:sz w:val="22"/>
          <w:szCs w:val="22"/>
          <w:lang w:val="es-ES"/>
        </w:rPr>
        <w:t>,</w:t>
      </w:r>
      <w:r w:rsidRPr="003F50C8">
        <w:rPr>
          <w:rFonts w:ascii="Bookman Old Style" w:hAnsi="Bookman Old Style"/>
          <w:sz w:val="22"/>
          <w:szCs w:val="22"/>
          <w:lang w:val="es-ES"/>
        </w:rPr>
        <w:t xml:space="preserve"> los animales son expuestos a los mismo químicos y riesgos que las personas, por lo que pueden esta</w:t>
      </w:r>
      <w:r w:rsidR="00B90927" w:rsidRPr="003F50C8">
        <w:rPr>
          <w:rFonts w:ascii="Bookman Old Style" w:hAnsi="Bookman Old Style"/>
          <w:sz w:val="22"/>
          <w:szCs w:val="22"/>
          <w:lang w:val="es-ES"/>
        </w:rPr>
        <w:t>r expuestos a todos los impactos</w:t>
      </w:r>
      <w:r w:rsidRPr="003F50C8">
        <w:rPr>
          <w:rFonts w:ascii="Bookman Old Style" w:hAnsi="Bookman Old Style"/>
          <w:sz w:val="22"/>
          <w:szCs w:val="22"/>
          <w:lang w:val="es-ES"/>
        </w:rPr>
        <w:t xml:space="preserve"> mencionados en los puntos anteriores.</w:t>
      </w:r>
    </w:p>
    <w:p w14:paraId="1DEAE4FD" w14:textId="77777777" w:rsidR="007E129E" w:rsidRPr="003F50C8" w:rsidRDefault="007E129E" w:rsidP="003F50C8">
      <w:pPr>
        <w:pStyle w:val="Prrafodelista"/>
        <w:ind w:left="1440"/>
        <w:jc w:val="both"/>
        <w:rPr>
          <w:rFonts w:ascii="Bookman Old Style" w:hAnsi="Bookman Old Style"/>
          <w:sz w:val="22"/>
          <w:szCs w:val="22"/>
          <w:lang w:val="es-ES"/>
        </w:rPr>
      </w:pPr>
    </w:p>
    <w:p w14:paraId="575F84B7" w14:textId="77777777" w:rsidR="007E129E" w:rsidRP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Algunos de los posibles riesgos </w:t>
      </w:r>
      <w:r w:rsidR="00C464D9" w:rsidRPr="003F50C8">
        <w:rPr>
          <w:rFonts w:ascii="Bookman Old Style" w:hAnsi="Bookman Old Style"/>
          <w:sz w:val="22"/>
          <w:szCs w:val="22"/>
          <w:lang w:val="es-ES"/>
        </w:rPr>
        <w:t>sobre la biodiversidad son</w:t>
      </w:r>
      <w:r w:rsidR="00672A8A" w:rsidRPr="003F50C8">
        <w:rPr>
          <w:rStyle w:val="Refdenotaalpie"/>
          <w:rFonts w:ascii="Bookman Old Style" w:hAnsi="Bookman Old Style"/>
          <w:sz w:val="22"/>
          <w:szCs w:val="22"/>
          <w:lang w:val="es-ES"/>
        </w:rPr>
        <w:footnoteReference w:id="12"/>
      </w:r>
      <w:r w:rsidRPr="003F50C8">
        <w:rPr>
          <w:rFonts w:ascii="Bookman Old Style" w:hAnsi="Bookman Old Style"/>
          <w:sz w:val="22"/>
          <w:szCs w:val="22"/>
          <w:lang w:val="es-ES"/>
        </w:rPr>
        <w:t>:</w:t>
      </w:r>
    </w:p>
    <w:p w14:paraId="06735346" w14:textId="77777777" w:rsidR="00672A8A" w:rsidRPr="003F50C8" w:rsidRDefault="00672A8A" w:rsidP="003F50C8">
      <w:pPr>
        <w:jc w:val="both"/>
        <w:rPr>
          <w:rFonts w:ascii="Bookman Old Style" w:hAnsi="Bookman Old Style"/>
          <w:sz w:val="22"/>
          <w:szCs w:val="22"/>
          <w:lang w:val="es-ES"/>
        </w:rPr>
      </w:pPr>
    </w:p>
    <w:p w14:paraId="114E6266" w14:textId="77777777" w:rsidR="007E129E" w:rsidRPr="00A43A7E" w:rsidRDefault="007E129E" w:rsidP="003B3170">
      <w:pPr>
        <w:pStyle w:val="Prrafodelista"/>
        <w:numPr>
          <w:ilvl w:val="0"/>
          <w:numId w:val="14"/>
        </w:numPr>
        <w:ind w:left="284" w:right="333" w:hanging="284"/>
        <w:jc w:val="both"/>
        <w:rPr>
          <w:rFonts w:ascii="Bookman Old Style" w:hAnsi="Bookman Old Style"/>
          <w:sz w:val="22"/>
          <w:szCs w:val="22"/>
          <w:lang w:val="es-ES"/>
        </w:rPr>
      </w:pPr>
      <w:r w:rsidRPr="00A43A7E">
        <w:rPr>
          <w:rFonts w:ascii="Bookman Old Style" w:hAnsi="Bookman Old Style"/>
          <w:sz w:val="22"/>
          <w:szCs w:val="22"/>
          <w:lang w:val="es-ES"/>
        </w:rPr>
        <w:t>El fracking puede afectar la flora y la fauna por el desarrollo industrial que requiere el fracking.</w:t>
      </w:r>
    </w:p>
    <w:p w14:paraId="07219EDA" w14:textId="77777777" w:rsidR="003F50C8" w:rsidRPr="003F50C8" w:rsidRDefault="003F50C8" w:rsidP="00A43A7E">
      <w:pPr>
        <w:pStyle w:val="Prrafodelista"/>
        <w:ind w:left="284" w:right="333" w:hanging="284"/>
        <w:jc w:val="both"/>
        <w:rPr>
          <w:rFonts w:ascii="Bookman Old Style" w:hAnsi="Bookman Old Style"/>
          <w:sz w:val="22"/>
          <w:szCs w:val="22"/>
          <w:lang w:val="es-ES"/>
        </w:rPr>
      </w:pPr>
    </w:p>
    <w:p w14:paraId="2FD7C2B9" w14:textId="77777777" w:rsidR="007E129E" w:rsidRDefault="007E129E" w:rsidP="003B3170">
      <w:pPr>
        <w:pStyle w:val="Prrafodelista"/>
        <w:numPr>
          <w:ilvl w:val="0"/>
          <w:numId w:val="14"/>
        </w:numPr>
        <w:ind w:left="284" w:right="333" w:hanging="284"/>
        <w:jc w:val="both"/>
        <w:rPr>
          <w:rFonts w:ascii="Bookman Old Style" w:hAnsi="Bookman Old Style"/>
          <w:sz w:val="22"/>
          <w:szCs w:val="22"/>
          <w:lang w:val="es-ES"/>
        </w:rPr>
      </w:pPr>
      <w:r w:rsidRPr="00A43A7E">
        <w:rPr>
          <w:rFonts w:ascii="Bookman Old Style" w:hAnsi="Bookman Old Style"/>
          <w:sz w:val="22"/>
          <w:szCs w:val="22"/>
          <w:lang w:val="es-ES"/>
        </w:rPr>
        <w:t>Contaminación de ríos donde viven especies.</w:t>
      </w:r>
    </w:p>
    <w:p w14:paraId="03560F86" w14:textId="77777777" w:rsidR="00A43A7E" w:rsidRPr="00A43A7E" w:rsidRDefault="00A43A7E" w:rsidP="00A43A7E">
      <w:pPr>
        <w:ind w:right="333"/>
        <w:jc w:val="both"/>
        <w:rPr>
          <w:rFonts w:ascii="Bookman Old Style" w:hAnsi="Bookman Old Style"/>
          <w:sz w:val="22"/>
          <w:szCs w:val="22"/>
          <w:lang w:val="es-ES"/>
        </w:rPr>
      </w:pPr>
    </w:p>
    <w:p w14:paraId="179E32C4" w14:textId="77777777" w:rsidR="007E129E" w:rsidRPr="00A43A7E" w:rsidRDefault="007E129E" w:rsidP="003B3170">
      <w:pPr>
        <w:pStyle w:val="Prrafodelista"/>
        <w:numPr>
          <w:ilvl w:val="0"/>
          <w:numId w:val="14"/>
        </w:numPr>
        <w:ind w:left="284" w:right="333" w:hanging="284"/>
        <w:jc w:val="both"/>
        <w:rPr>
          <w:rFonts w:ascii="Bookman Old Style" w:hAnsi="Bookman Old Style"/>
          <w:sz w:val="22"/>
          <w:szCs w:val="22"/>
          <w:lang w:val="es-ES"/>
        </w:rPr>
      </w:pPr>
      <w:r w:rsidRPr="00A43A7E">
        <w:rPr>
          <w:rFonts w:ascii="Bookman Old Style" w:hAnsi="Bookman Old Style"/>
          <w:sz w:val="22"/>
          <w:szCs w:val="22"/>
          <w:lang w:val="es-ES"/>
        </w:rPr>
        <w:lastRenderedPageBreak/>
        <w:t>Afectación de especies por medio de ruidos que generan los camiones y los taladros y otra maquinaria.</w:t>
      </w:r>
    </w:p>
    <w:p w14:paraId="2B0E4DB0" w14:textId="77777777" w:rsidR="003F50C8" w:rsidRPr="003F50C8" w:rsidRDefault="003F50C8" w:rsidP="00A43A7E">
      <w:pPr>
        <w:pStyle w:val="Prrafodelista"/>
        <w:ind w:left="284" w:right="333" w:hanging="284"/>
        <w:jc w:val="both"/>
        <w:rPr>
          <w:rFonts w:ascii="Bookman Old Style" w:hAnsi="Bookman Old Style"/>
          <w:sz w:val="22"/>
          <w:szCs w:val="22"/>
          <w:lang w:val="es-ES"/>
        </w:rPr>
      </w:pPr>
    </w:p>
    <w:p w14:paraId="5EC73386" w14:textId="77777777" w:rsidR="007E129E" w:rsidRPr="00A43A7E" w:rsidRDefault="007E129E" w:rsidP="003B3170">
      <w:pPr>
        <w:pStyle w:val="Prrafodelista"/>
        <w:numPr>
          <w:ilvl w:val="0"/>
          <w:numId w:val="14"/>
        </w:numPr>
        <w:ind w:left="284" w:right="333" w:hanging="284"/>
        <w:jc w:val="both"/>
        <w:rPr>
          <w:rFonts w:ascii="Bookman Old Style" w:hAnsi="Bookman Old Style"/>
          <w:sz w:val="22"/>
          <w:szCs w:val="22"/>
          <w:lang w:val="es-ES"/>
        </w:rPr>
      </w:pPr>
      <w:r w:rsidRPr="00A43A7E">
        <w:rPr>
          <w:rFonts w:ascii="Bookman Old Style" w:hAnsi="Bookman Old Style"/>
          <w:sz w:val="22"/>
          <w:szCs w:val="22"/>
          <w:lang w:val="es-ES"/>
        </w:rPr>
        <w:t>Envenenamiento de especies por aguas residuales en tanques.</w:t>
      </w:r>
    </w:p>
    <w:p w14:paraId="1B108CAD" w14:textId="77777777" w:rsidR="00327418" w:rsidRPr="003F50C8" w:rsidRDefault="00327418" w:rsidP="00A43A7E">
      <w:pPr>
        <w:ind w:left="284" w:hanging="284"/>
        <w:jc w:val="both"/>
        <w:rPr>
          <w:rFonts w:ascii="Bookman Old Style" w:hAnsi="Bookman Old Style"/>
          <w:b/>
          <w:bCs/>
          <w:color w:val="000000" w:themeColor="text1"/>
          <w:sz w:val="22"/>
          <w:szCs w:val="22"/>
        </w:rPr>
      </w:pPr>
    </w:p>
    <w:p w14:paraId="64F17906" w14:textId="77777777" w:rsidR="003B05FB" w:rsidRPr="003F50C8" w:rsidRDefault="002E1FE2" w:rsidP="00A43A7E">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S</w:t>
      </w:r>
      <w:r w:rsidR="005F4692" w:rsidRPr="003F50C8">
        <w:rPr>
          <w:rFonts w:ascii="Bookman Old Style" w:hAnsi="Bookman Old Style"/>
          <w:b/>
          <w:bCs/>
          <w:color w:val="000000" w:themeColor="text1"/>
          <w:sz w:val="22"/>
          <w:szCs w:val="22"/>
        </w:rPr>
        <w:t>ismicidad inducida</w:t>
      </w:r>
      <w:r w:rsidR="00A43A7E">
        <w:rPr>
          <w:rFonts w:ascii="Bookman Old Style" w:hAnsi="Bookman Old Style"/>
          <w:b/>
          <w:bCs/>
          <w:color w:val="000000" w:themeColor="text1"/>
          <w:sz w:val="22"/>
          <w:szCs w:val="22"/>
        </w:rPr>
        <w:t>.</w:t>
      </w:r>
    </w:p>
    <w:p w14:paraId="1EBCD384" w14:textId="77777777" w:rsidR="00E664D1" w:rsidRPr="003F50C8" w:rsidRDefault="00E664D1" w:rsidP="003F50C8">
      <w:pPr>
        <w:jc w:val="both"/>
        <w:rPr>
          <w:rFonts w:ascii="Bookman Old Style" w:hAnsi="Bookman Old Style"/>
          <w:bCs/>
          <w:color w:val="000000" w:themeColor="text1"/>
          <w:sz w:val="22"/>
          <w:szCs w:val="22"/>
        </w:rPr>
      </w:pPr>
    </w:p>
    <w:p w14:paraId="4D0B3DDA" w14:textId="77777777" w:rsidR="00A05AAF" w:rsidRDefault="00A05AAF" w:rsidP="003F50C8">
      <w:pPr>
        <w:pStyle w:val="Sinespaciado"/>
        <w:jc w:val="both"/>
        <w:rPr>
          <w:rFonts w:ascii="Bookman Old Style" w:hAnsi="Bookman Old Style" w:cstheme="minorHAnsi"/>
          <w:lang w:val="es-ES"/>
        </w:rPr>
      </w:pPr>
      <w:r w:rsidRPr="003F50C8">
        <w:rPr>
          <w:rFonts w:ascii="Bookman Old Style" w:hAnsi="Bookman Old Style" w:cstheme="minorHAnsi"/>
          <w:lang w:val="es-ES"/>
        </w:rPr>
        <w:t>La Agencia Nacional de Hidrocarburos</w:t>
      </w:r>
      <w:r w:rsidRPr="003F50C8">
        <w:rPr>
          <w:rStyle w:val="Refdenotaalpie"/>
          <w:rFonts w:ascii="Bookman Old Style" w:hAnsi="Bookman Old Style" w:cstheme="minorHAnsi"/>
          <w:lang w:val="es-ES"/>
        </w:rPr>
        <w:footnoteReference w:id="13"/>
      </w:r>
      <w:r w:rsidRPr="003F50C8">
        <w:rPr>
          <w:rFonts w:ascii="Bookman Old Style" w:hAnsi="Bookman Old Style" w:cstheme="minorHAnsi"/>
          <w:lang w:val="es-ES"/>
        </w:rPr>
        <w:t xml:space="preserve"> sobre este tema afirma que</w:t>
      </w:r>
      <w:r w:rsidR="00186951" w:rsidRPr="003F50C8">
        <w:rPr>
          <w:rFonts w:ascii="Bookman Old Style" w:hAnsi="Bookman Old Style" w:cstheme="minorHAnsi"/>
          <w:lang w:val="es-ES"/>
        </w:rPr>
        <w:t xml:space="preserve"> el </w:t>
      </w:r>
      <w:r w:rsidR="00C464D9" w:rsidRPr="003F50C8">
        <w:rPr>
          <w:rFonts w:ascii="Bookman Old Style" w:hAnsi="Bookman Old Style" w:cstheme="minorHAnsi"/>
          <w:lang w:val="es-ES"/>
        </w:rPr>
        <w:t>fracking</w:t>
      </w:r>
      <w:r w:rsidRPr="003F50C8">
        <w:rPr>
          <w:rFonts w:ascii="Bookman Old Style" w:hAnsi="Bookman Old Style" w:cstheme="minorHAnsi"/>
          <w:lang w:val="es-ES"/>
        </w:rPr>
        <w:t>:</w:t>
      </w:r>
    </w:p>
    <w:p w14:paraId="4350B84D" w14:textId="77777777" w:rsidR="003F50C8" w:rsidRPr="003F50C8" w:rsidRDefault="003F50C8" w:rsidP="003F50C8">
      <w:pPr>
        <w:pStyle w:val="Sinespaciado"/>
        <w:jc w:val="both"/>
        <w:rPr>
          <w:rFonts w:ascii="Bookman Old Style" w:hAnsi="Bookman Old Style" w:cstheme="minorHAnsi"/>
          <w:i/>
          <w:lang w:val="es-ES"/>
        </w:rPr>
      </w:pPr>
    </w:p>
    <w:p w14:paraId="0ABB2F3A" w14:textId="77777777" w:rsidR="00A05AAF" w:rsidRPr="003F50C8" w:rsidRDefault="00A05AAF" w:rsidP="003B3170">
      <w:pPr>
        <w:pStyle w:val="Sinespaciado"/>
        <w:numPr>
          <w:ilvl w:val="0"/>
          <w:numId w:val="3"/>
        </w:numPr>
        <w:ind w:left="851" w:right="616" w:hanging="284"/>
        <w:jc w:val="both"/>
        <w:rPr>
          <w:rFonts w:ascii="Bookman Old Style" w:hAnsi="Bookman Old Style" w:cstheme="minorHAnsi"/>
          <w:i/>
          <w:lang w:val="es-ES"/>
        </w:rPr>
      </w:pPr>
      <w:r w:rsidRPr="003F50C8">
        <w:rPr>
          <w:rFonts w:ascii="Bookman Old Style" w:hAnsi="Bookman Old Style" w:cstheme="minorHAnsi"/>
          <w:i/>
          <w:lang w:val="es-ES"/>
        </w:rPr>
        <w:t>Puede generar sismicidad inducida, aunque la misma llega a tres (3) en la escala Richter.</w:t>
      </w:r>
      <w:r w:rsidR="00186951" w:rsidRPr="003F50C8">
        <w:rPr>
          <w:rFonts w:ascii="Bookman Old Style" w:hAnsi="Bookman Old Style" w:cstheme="minorHAnsi"/>
          <w:i/>
          <w:lang w:val="es-ES"/>
        </w:rPr>
        <w:t>”</w:t>
      </w:r>
    </w:p>
    <w:p w14:paraId="4A0F81F6" w14:textId="77777777" w:rsidR="00A05AAF" w:rsidRPr="003F50C8" w:rsidRDefault="00A05AAF" w:rsidP="003F50C8">
      <w:pPr>
        <w:jc w:val="both"/>
        <w:rPr>
          <w:rFonts w:ascii="Bookman Old Style" w:hAnsi="Bookman Old Style"/>
          <w:bCs/>
          <w:color w:val="000000" w:themeColor="text1"/>
          <w:sz w:val="22"/>
          <w:szCs w:val="22"/>
        </w:rPr>
      </w:pPr>
    </w:p>
    <w:p w14:paraId="4FF9958E" w14:textId="77777777" w:rsidR="00E12030" w:rsidRPr="003F50C8" w:rsidRDefault="001635E9"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La</w:t>
      </w:r>
      <w:r w:rsidR="007E129E" w:rsidRPr="003F50C8">
        <w:rPr>
          <w:rFonts w:ascii="Bookman Old Style" w:hAnsi="Bookman Old Style"/>
          <w:sz w:val="22"/>
          <w:szCs w:val="22"/>
          <w:lang w:val="es-ES"/>
        </w:rPr>
        <w:t xml:space="preserve"> </w:t>
      </w:r>
      <w:r w:rsidRPr="003F50C8">
        <w:rPr>
          <w:rFonts w:ascii="Bookman Old Style" w:hAnsi="Bookman Old Style"/>
          <w:sz w:val="22"/>
          <w:szCs w:val="22"/>
          <w:lang w:val="es-ES"/>
        </w:rPr>
        <w:t>moratoria</w:t>
      </w:r>
      <w:r w:rsidR="007E129E" w:rsidRPr="003F50C8">
        <w:rPr>
          <w:rFonts w:ascii="Bookman Old Style" w:hAnsi="Bookman Old Style"/>
          <w:sz w:val="22"/>
          <w:szCs w:val="22"/>
          <w:lang w:val="es-ES"/>
        </w:rPr>
        <w:t xml:space="preserve"> del frac</w:t>
      </w:r>
      <w:r w:rsidRPr="003F50C8">
        <w:rPr>
          <w:rFonts w:ascii="Bookman Old Style" w:hAnsi="Bookman Old Style"/>
          <w:sz w:val="22"/>
          <w:szCs w:val="22"/>
          <w:lang w:val="es-ES"/>
        </w:rPr>
        <w:t>king en Inglaterra fue impulsada después de la ocurrencia de</w:t>
      </w:r>
      <w:r w:rsidR="007E129E" w:rsidRPr="003F50C8">
        <w:rPr>
          <w:rFonts w:ascii="Bookman Old Style" w:hAnsi="Bookman Old Style"/>
          <w:sz w:val="22"/>
          <w:szCs w:val="22"/>
          <w:lang w:val="es-ES"/>
        </w:rPr>
        <w:t xml:space="preserve"> dos sismos de magnitud 2.3 y 1.5 en la escala de Richter que fueron sentidos por la población de Blackpool en 2011</w:t>
      </w:r>
      <w:r w:rsidRPr="003F50C8">
        <w:rPr>
          <w:rStyle w:val="Refdenotaalpie"/>
          <w:rFonts w:ascii="Bookman Old Style" w:hAnsi="Bookman Old Style"/>
          <w:sz w:val="22"/>
          <w:szCs w:val="22"/>
          <w:lang w:val="es-ES"/>
        </w:rPr>
        <w:footnoteReference w:id="14"/>
      </w:r>
      <w:r w:rsidR="007E129E" w:rsidRPr="003F50C8">
        <w:rPr>
          <w:rFonts w:ascii="Bookman Old Style" w:hAnsi="Bookman Old Style"/>
          <w:sz w:val="22"/>
          <w:szCs w:val="22"/>
          <w:lang w:val="es-ES"/>
        </w:rPr>
        <w:t>.</w:t>
      </w:r>
      <w:r w:rsidR="00E12030" w:rsidRPr="003F50C8">
        <w:rPr>
          <w:rFonts w:ascii="Bookman Old Style" w:hAnsi="Bookman Old Style"/>
          <w:sz w:val="22"/>
          <w:szCs w:val="22"/>
          <w:lang w:val="es-ES"/>
        </w:rPr>
        <w:t xml:space="preserve"> En 2018, luego de comenzar operaciones de fracking en el mismo pozo, se registró una vez más actividad sísmica de 0.4 en la escala de Richter, por lo que se suspendieron sus operaciones temporalmente</w:t>
      </w:r>
      <w:r w:rsidR="00E12030" w:rsidRPr="003F50C8">
        <w:rPr>
          <w:rStyle w:val="Refdenotaalpie"/>
          <w:rFonts w:ascii="Bookman Old Style" w:hAnsi="Bookman Old Style"/>
          <w:sz w:val="22"/>
          <w:szCs w:val="22"/>
          <w:lang w:val="es-ES"/>
        </w:rPr>
        <w:footnoteReference w:id="15"/>
      </w:r>
      <w:r w:rsidR="00E12030" w:rsidRPr="003F50C8">
        <w:rPr>
          <w:rFonts w:ascii="Bookman Old Style" w:hAnsi="Bookman Old Style"/>
          <w:sz w:val="22"/>
          <w:szCs w:val="22"/>
          <w:lang w:val="es-ES"/>
        </w:rPr>
        <w:t>.</w:t>
      </w:r>
      <w:r w:rsidR="00186951" w:rsidRPr="003F50C8">
        <w:rPr>
          <w:rFonts w:ascii="Bookman Old Style" w:hAnsi="Bookman Old Style"/>
          <w:sz w:val="22"/>
          <w:szCs w:val="22"/>
          <w:lang w:val="es-ES"/>
        </w:rPr>
        <w:t xml:space="preserve"> En 2019 se suspendió en Inglaterra el fracking y el gobierno descartó a futuro nuevos proyectos hasta que se tenga evidencia que es seguro</w:t>
      </w:r>
      <w:r w:rsidR="00186951" w:rsidRPr="003F50C8">
        <w:rPr>
          <w:rStyle w:val="Refdenotaalpie"/>
          <w:rFonts w:ascii="Bookman Old Style" w:hAnsi="Bookman Old Style"/>
          <w:sz w:val="22"/>
          <w:szCs w:val="22"/>
          <w:lang w:val="es-ES"/>
        </w:rPr>
        <w:footnoteReference w:id="16"/>
      </w:r>
      <w:r w:rsidR="00186951" w:rsidRPr="003F50C8">
        <w:rPr>
          <w:rFonts w:ascii="Bookman Old Style" w:hAnsi="Bookman Old Style"/>
          <w:sz w:val="22"/>
          <w:szCs w:val="22"/>
          <w:lang w:val="es-ES"/>
        </w:rPr>
        <w:t>.</w:t>
      </w:r>
    </w:p>
    <w:p w14:paraId="34EB4499" w14:textId="77777777" w:rsidR="007E129E" w:rsidRPr="003F50C8" w:rsidRDefault="007E129E" w:rsidP="003F50C8">
      <w:pPr>
        <w:pStyle w:val="Prrafodelista"/>
        <w:tabs>
          <w:tab w:val="num" w:pos="1440"/>
        </w:tabs>
        <w:ind w:left="0"/>
        <w:jc w:val="both"/>
        <w:rPr>
          <w:rFonts w:ascii="Bookman Old Style" w:hAnsi="Bookman Old Style"/>
          <w:sz w:val="22"/>
          <w:szCs w:val="22"/>
          <w:lang w:val="es-ES"/>
        </w:rPr>
      </w:pPr>
    </w:p>
    <w:p w14:paraId="40B37D85" w14:textId="77777777" w:rsidR="007E129E" w:rsidRPr="003F50C8" w:rsidRDefault="005D7A84"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Por su parte, u</w:t>
      </w:r>
      <w:r w:rsidR="007E129E" w:rsidRPr="003F50C8">
        <w:rPr>
          <w:rFonts w:ascii="Bookman Old Style" w:hAnsi="Bookman Old Style"/>
          <w:sz w:val="22"/>
          <w:szCs w:val="22"/>
          <w:lang w:val="es-ES"/>
        </w:rPr>
        <w:t>n estudio de investigadores (geofísicos) de la Universidad de Calgary publicado</w:t>
      </w:r>
      <w:r w:rsidRPr="003F50C8">
        <w:rPr>
          <w:rFonts w:ascii="Bookman Old Style" w:hAnsi="Bookman Old Style"/>
          <w:sz w:val="22"/>
          <w:szCs w:val="22"/>
          <w:lang w:val="es-ES"/>
        </w:rPr>
        <w:t xml:space="preserve"> en </w:t>
      </w:r>
      <w:r w:rsidRPr="003F50C8">
        <w:rPr>
          <w:rFonts w:ascii="Bookman Old Style" w:hAnsi="Bookman Old Style"/>
          <w:i/>
          <w:sz w:val="22"/>
          <w:szCs w:val="22"/>
          <w:lang w:val="es-ES"/>
        </w:rPr>
        <w:t>Science</w:t>
      </w:r>
      <w:r w:rsidR="00A709D8" w:rsidRPr="003F50C8">
        <w:rPr>
          <w:rStyle w:val="Refdenotaalpie"/>
          <w:rFonts w:ascii="Bookman Old Style" w:hAnsi="Bookman Old Style"/>
          <w:i/>
          <w:sz w:val="22"/>
          <w:szCs w:val="22"/>
          <w:lang w:val="es-ES"/>
        </w:rPr>
        <w:footnoteReference w:id="17"/>
      </w:r>
      <w:r w:rsidR="007E129E" w:rsidRPr="003F50C8">
        <w:rPr>
          <w:rFonts w:ascii="Bookman Old Style" w:hAnsi="Bookman Old Style"/>
          <w:sz w:val="22"/>
          <w:szCs w:val="22"/>
          <w:lang w:val="es-ES"/>
        </w:rPr>
        <w:t xml:space="preserve"> en 2016</w:t>
      </w:r>
      <w:r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encontró que el fracking ocasiona sismos en Alberta, Canadá. Los </w:t>
      </w:r>
      <w:r w:rsidR="002F5597" w:rsidRPr="003F50C8">
        <w:rPr>
          <w:rFonts w:ascii="Bookman Old Style" w:hAnsi="Bookman Old Style"/>
          <w:sz w:val="22"/>
          <w:szCs w:val="22"/>
          <w:lang w:val="es-ES"/>
        </w:rPr>
        <w:t xml:space="preserve">sismos fueron </w:t>
      </w:r>
      <w:r w:rsidR="007E129E" w:rsidRPr="003F50C8">
        <w:rPr>
          <w:rFonts w:ascii="Bookman Old Style" w:hAnsi="Bookman Old Style"/>
          <w:sz w:val="22"/>
          <w:szCs w:val="22"/>
          <w:lang w:val="es-ES"/>
        </w:rPr>
        <w:t>registrados después del fracking, los investigadores señalaron que en algunas ocasiones la presión y el shock del fracking es tal que las placas tectónicas se mueven. La gran mayoría de los sismos ocurridos fueron de baja intensidad, aunque hubo uno de 4.6 en la escala de Richter</w:t>
      </w:r>
      <w:r w:rsidR="009063A1" w:rsidRPr="003F50C8">
        <w:rPr>
          <w:rFonts w:ascii="Bookman Old Style" w:hAnsi="Bookman Old Style"/>
          <w:sz w:val="22"/>
          <w:szCs w:val="22"/>
          <w:lang w:val="es-ES"/>
        </w:rPr>
        <w:t>. De otra parte, el estudio menciona que la sismicidad también puede ser inducida por la inyección de aguas residuales producto del fracking.</w:t>
      </w:r>
    </w:p>
    <w:p w14:paraId="40E32C49" w14:textId="77777777" w:rsidR="00C464D9" w:rsidRPr="003F50C8" w:rsidRDefault="00C464D9" w:rsidP="003F50C8">
      <w:pPr>
        <w:pStyle w:val="Prrafodelista"/>
        <w:tabs>
          <w:tab w:val="num" w:pos="1440"/>
        </w:tabs>
        <w:ind w:left="0"/>
        <w:jc w:val="both"/>
        <w:rPr>
          <w:rFonts w:ascii="Bookman Old Style" w:hAnsi="Bookman Old Style"/>
          <w:sz w:val="22"/>
          <w:szCs w:val="22"/>
          <w:lang w:val="es-ES"/>
        </w:rPr>
      </w:pPr>
    </w:p>
    <w:p w14:paraId="6626C59B" w14:textId="77777777" w:rsidR="00A96E47" w:rsidRPr="003F50C8" w:rsidRDefault="007E129E" w:rsidP="003F50C8">
      <w:pPr>
        <w:pStyle w:val="Prrafodelista"/>
        <w:tabs>
          <w:tab w:val="num" w:pos="1440"/>
        </w:tabs>
        <w:ind w:left="0"/>
        <w:jc w:val="both"/>
        <w:rPr>
          <w:rFonts w:ascii="Bookman Old Style" w:hAnsi="Bookman Old Style"/>
          <w:sz w:val="22"/>
          <w:szCs w:val="22"/>
          <w:highlight w:val="yellow"/>
          <w:lang w:val="es-ES"/>
        </w:rPr>
      </w:pPr>
      <w:r w:rsidRPr="003F50C8">
        <w:rPr>
          <w:rFonts w:ascii="Bookman Old Style" w:hAnsi="Bookman Old Style"/>
          <w:sz w:val="22"/>
          <w:szCs w:val="22"/>
          <w:lang w:val="es-ES"/>
        </w:rPr>
        <w:t xml:space="preserve">Otro estudio </w:t>
      </w:r>
      <w:r w:rsidR="00C11B45" w:rsidRPr="003F50C8">
        <w:rPr>
          <w:rFonts w:ascii="Bookman Old Style" w:hAnsi="Bookman Old Style"/>
          <w:sz w:val="22"/>
          <w:szCs w:val="22"/>
          <w:lang w:val="es-ES"/>
        </w:rPr>
        <w:t>de</w:t>
      </w:r>
      <w:r w:rsidRPr="003F50C8">
        <w:rPr>
          <w:rFonts w:ascii="Bookman Old Style" w:hAnsi="Bookman Old Style"/>
          <w:sz w:val="22"/>
          <w:szCs w:val="22"/>
          <w:lang w:val="es-ES"/>
        </w:rPr>
        <w:t xml:space="preserve"> la Universidad de Bristol publicado en </w:t>
      </w:r>
      <w:r w:rsidRPr="003F50C8">
        <w:rPr>
          <w:rFonts w:ascii="Bookman Old Style" w:hAnsi="Bookman Old Style"/>
          <w:i/>
          <w:sz w:val="22"/>
          <w:szCs w:val="22"/>
          <w:lang w:val="es-ES"/>
        </w:rPr>
        <w:t>Science</w:t>
      </w:r>
      <w:r w:rsidR="00DA44B0" w:rsidRPr="003F50C8">
        <w:rPr>
          <w:rStyle w:val="Refdenotaalpie"/>
          <w:rFonts w:ascii="Bookman Old Style" w:hAnsi="Bookman Old Style"/>
          <w:i/>
          <w:sz w:val="22"/>
          <w:szCs w:val="22"/>
          <w:lang w:val="es-ES"/>
        </w:rPr>
        <w:footnoteReference w:id="18"/>
      </w:r>
      <w:r w:rsidR="00DA44B0" w:rsidRPr="003F50C8">
        <w:rPr>
          <w:rFonts w:ascii="Bookman Old Style" w:hAnsi="Bookman Old Style"/>
          <w:sz w:val="22"/>
          <w:szCs w:val="22"/>
          <w:lang w:val="es-ES"/>
        </w:rPr>
        <w:t xml:space="preserve"> </w:t>
      </w:r>
      <w:r w:rsidRPr="003F50C8">
        <w:rPr>
          <w:rFonts w:ascii="Bookman Old Style" w:hAnsi="Bookman Old Style"/>
          <w:sz w:val="22"/>
          <w:szCs w:val="22"/>
          <w:lang w:val="es-ES"/>
        </w:rPr>
        <w:t>en 2018</w:t>
      </w:r>
      <w:r w:rsidR="00C11B45"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que l</w:t>
      </w:r>
      <w:r w:rsidR="00A96E47" w:rsidRPr="003F50C8">
        <w:rPr>
          <w:rFonts w:ascii="Bookman Old Style" w:hAnsi="Bookman Old Style"/>
          <w:sz w:val="22"/>
          <w:szCs w:val="22"/>
          <w:lang w:val="es-ES"/>
        </w:rPr>
        <w:t xml:space="preserve">a actividad sísmica en Oklahoma, Estados Unidos, está fuertemente ligada a la inyección de aguas residuales </w:t>
      </w:r>
      <w:r w:rsidRPr="003F50C8">
        <w:rPr>
          <w:rFonts w:ascii="Bookman Old Style" w:hAnsi="Bookman Old Style"/>
          <w:sz w:val="22"/>
          <w:szCs w:val="22"/>
          <w:lang w:val="es-ES"/>
        </w:rPr>
        <w:t xml:space="preserve">del fracking a grandes profundidades. </w:t>
      </w:r>
    </w:p>
    <w:p w14:paraId="7877CA62" w14:textId="77777777" w:rsidR="00C464D9" w:rsidRPr="003F50C8" w:rsidRDefault="00C464D9" w:rsidP="003F50C8">
      <w:pPr>
        <w:pStyle w:val="Prrafodelista"/>
        <w:tabs>
          <w:tab w:val="num" w:pos="1440"/>
        </w:tabs>
        <w:ind w:left="0"/>
        <w:jc w:val="both"/>
        <w:rPr>
          <w:rFonts w:ascii="Bookman Old Style" w:hAnsi="Bookman Old Style"/>
          <w:sz w:val="22"/>
          <w:szCs w:val="22"/>
          <w:highlight w:val="yellow"/>
          <w:lang w:val="es-ES"/>
        </w:rPr>
      </w:pPr>
    </w:p>
    <w:p w14:paraId="269C1434" w14:textId="77777777" w:rsidR="00E96D0B" w:rsidRPr="003F50C8" w:rsidRDefault="00E96D0B"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lastRenderedPageBreak/>
        <w:t xml:space="preserve">En el estado de Oklahoma en </w:t>
      </w:r>
      <w:r w:rsidR="00C464D9" w:rsidRPr="003F50C8">
        <w:rPr>
          <w:rFonts w:ascii="Bookman Old Style" w:hAnsi="Bookman Old Style"/>
          <w:sz w:val="22"/>
          <w:szCs w:val="22"/>
          <w:lang w:val="es-ES"/>
        </w:rPr>
        <w:t xml:space="preserve">los años </w:t>
      </w:r>
      <w:r w:rsidRPr="003F50C8">
        <w:rPr>
          <w:rFonts w:ascii="Bookman Old Style" w:hAnsi="Bookman Old Style"/>
          <w:sz w:val="22"/>
          <w:szCs w:val="22"/>
          <w:lang w:val="es-ES"/>
        </w:rPr>
        <w:t>2014 y 2015</w:t>
      </w:r>
      <w:r w:rsidR="00C464D9" w:rsidRPr="003F50C8">
        <w:rPr>
          <w:rFonts w:ascii="Bookman Old Style" w:hAnsi="Bookman Old Style"/>
          <w:sz w:val="22"/>
          <w:szCs w:val="22"/>
          <w:lang w:val="es-ES"/>
        </w:rPr>
        <w:t>,</w:t>
      </w:r>
      <w:r w:rsidRPr="003F50C8">
        <w:rPr>
          <w:rFonts w:ascii="Bookman Old Style" w:hAnsi="Bookman Old Style"/>
          <w:sz w:val="22"/>
          <w:szCs w:val="22"/>
          <w:lang w:val="es-ES"/>
        </w:rPr>
        <w:t xml:space="preserve"> se registraron 1,427 sismos, el equivalente a los que se registraría</w:t>
      </w:r>
      <w:r w:rsidR="006B6FCA" w:rsidRPr="003F50C8">
        <w:rPr>
          <w:rFonts w:ascii="Bookman Old Style" w:hAnsi="Bookman Old Style"/>
          <w:sz w:val="22"/>
          <w:szCs w:val="22"/>
          <w:lang w:val="es-ES"/>
        </w:rPr>
        <w:t>n</w:t>
      </w:r>
      <w:r w:rsidRPr="003F50C8">
        <w:rPr>
          <w:rFonts w:ascii="Bookman Old Style" w:hAnsi="Bookman Old Style"/>
          <w:sz w:val="22"/>
          <w:szCs w:val="22"/>
          <w:lang w:val="es-ES"/>
        </w:rPr>
        <w:t xml:space="preserve"> bajo condiciones normales en un milenio</w:t>
      </w:r>
      <w:r w:rsidRPr="003F50C8">
        <w:rPr>
          <w:rStyle w:val="Refdenotaalpie"/>
          <w:rFonts w:ascii="Bookman Old Style" w:hAnsi="Bookman Old Style"/>
          <w:sz w:val="22"/>
          <w:szCs w:val="22"/>
          <w:lang w:val="es-ES"/>
        </w:rPr>
        <w:footnoteReference w:id="19"/>
      </w:r>
      <w:r w:rsidRPr="003F50C8">
        <w:rPr>
          <w:rFonts w:ascii="Bookman Old Style" w:hAnsi="Bookman Old Style"/>
          <w:sz w:val="22"/>
          <w:szCs w:val="22"/>
          <w:lang w:val="es-ES"/>
        </w:rPr>
        <w:t xml:space="preserve">. En ese mismo estado, en el </w:t>
      </w:r>
      <w:r w:rsidR="006B6FCA" w:rsidRPr="003F50C8">
        <w:rPr>
          <w:rFonts w:ascii="Bookman Old Style" w:hAnsi="Bookman Old Style"/>
          <w:sz w:val="22"/>
          <w:szCs w:val="22"/>
          <w:lang w:val="es-ES"/>
        </w:rPr>
        <w:t xml:space="preserve">año </w:t>
      </w:r>
      <w:r w:rsidRPr="003F50C8">
        <w:rPr>
          <w:rFonts w:ascii="Bookman Old Style" w:hAnsi="Bookman Old Style"/>
          <w:sz w:val="22"/>
          <w:szCs w:val="22"/>
          <w:lang w:val="es-ES"/>
        </w:rPr>
        <w:t>2016</w:t>
      </w:r>
      <w:r w:rsidR="006B6FCA" w:rsidRPr="003F50C8">
        <w:rPr>
          <w:rFonts w:ascii="Bookman Old Style" w:hAnsi="Bookman Old Style"/>
          <w:sz w:val="22"/>
          <w:szCs w:val="22"/>
          <w:lang w:val="es-ES"/>
        </w:rPr>
        <w:t>,</w:t>
      </w:r>
      <w:r w:rsidRPr="003F50C8">
        <w:rPr>
          <w:rFonts w:ascii="Bookman Old Style" w:hAnsi="Bookman Old Style"/>
          <w:sz w:val="22"/>
          <w:szCs w:val="22"/>
          <w:lang w:val="es-ES"/>
        </w:rPr>
        <w:t xml:space="preserve"> se registró uno de los sismos de mayor magnitud en su historia de 5.6 en la escala de Richter, por su parte, en el </w:t>
      </w:r>
      <w:r w:rsidR="006B6FCA" w:rsidRPr="003F50C8">
        <w:rPr>
          <w:rFonts w:ascii="Bookman Old Style" w:hAnsi="Bookman Old Style"/>
          <w:sz w:val="22"/>
          <w:szCs w:val="22"/>
          <w:lang w:val="es-ES"/>
        </w:rPr>
        <w:t xml:space="preserve">año </w:t>
      </w:r>
      <w:r w:rsidRPr="003F50C8">
        <w:rPr>
          <w:rFonts w:ascii="Bookman Old Style" w:hAnsi="Bookman Old Style"/>
          <w:sz w:val="22"/>
          <w:szCs w:val="22"/>
          <w:lang w:val="es-ES"/>
        </w:rPr>
        <w:t>2017, sufrió en menos de 28 horas 7 sismos de magnitud de hasta 4.9 en la escala de Richter</w:t>
      </w:r>
      <w:r w:rsidRPr="003F50C8">
        <w:rPr>
          <w:rStyle w:val="Refdenotaalpie"/>
          <w:rFonts w:ascii="Bookman Old Style" w:hAnsi="Bookman Old Style"/>
          <w:sz w:val="22"/>
          <w:szCs w:val="22"/>
          <w:lang w:val="es-ES"/>
        </w:rPr>
        <w:footnoteReference w:id="20"/>
      </w:r>
      <w:r w:rsidRPr="003F50C8">
        <w:rPr>
          <w:rFonts w:ascii="Bookman Old Style" w:hAnsi="Bookman Old Style"/>
          <w:sz w:val="22"/>
          <w:szCs w:val="22"/>
          <w:lang w:val="es-ES"/>
        </w:rPr>
        <w:t xml:space="preserve">. </w:t>
      </w:r>
    </w:p>
    <w:p w14:paraId="4CBFD972" w14:textId="77777777" w:rsidR="00640AEA" w:rsidRPr="003F50C8" w:rsidRDefault="00640AEA" w:rsidP="003F50C8">
      <w:pPr>
        <w:pStyle w:val="Prrafodelista"/>
        <w:ind w:left="0"/>
        <w:jc w:val="both"/>
        <w:rPr>
          <w:rFonts w:ascii="Bookman Old Style" w:hAnsi="Bookman Old Style"/>
          <w:sz w:val="22"/>
          <w:szCs w:val="22"/>
          <w:lang w:val="es-ES"/>
        </w:rPr>
      </w:pPr>
    </w:p>
    <w:p w14:paraId="7705B9FC" w14:textId="77777777" w:rsidR="007E129E" w:rsidRPr="003F50C8" w:rsidRDefault="007E129E" w:rsidP="003F50C8">
      <w:pPr>
        <w:pStyle w:val="Prrafodelista"/>
        <w:ind w:left="0"/>
        <w:jc w:val="both"/>
        <w:rPr>
          <w:rFonts w:ascii="Bookman Old Style" w:hAnsi="Bookman Old Style"/>
          <w:b/>
          <w:sz w:val="22"/>
          <w:szCs w:val="22"/>
          <w:u w:val="single"/>
          <w:lang w:val="es-ES"/>
        </w:rPr>
      </w:pPr>
      <w:r w:rsidRPr="003F50C8">
        <w:rPr>
          <w:rFonts w:ascii="Bookman Old Style" w:hAnsi="Bookman Old Style"/>
          <w:sz w:val="22"/>
          <w:szCs w:val="22"/>
          <w:lang w:val="es-ES"/>
        </w:rPr>
        <w:t>Adicionalmente</w:t>
      </w:r>
      <w:r w:rsidR="00F52E87" w:rsidRPr="003F50C8">
        <w:rPr>
          <w:rFonts w:ascii="Bookman Old Style" w:hAnsi="Bookman Old Style"/>
          <w:sz w:val="22"/>
          <w:szCs w:val="22"/>
          <w:lang w:val="es-ES"/>
        </w:rPr>
        <w:t>,</w:t>
      </w:r>
      <w:r w:rsidRPr="003F50C8">
        <w:rPr>
          <w:rFonts w:ascii="Bookman Old Style" w:hAnsi="Bookman Old Style"/>
          <w:sz w:val="22"/>
          <w:szCs w:val="22"/>
          <w:lang w:val="es-ES"/>
        </w:rPr>
        <w:t xml:space="preserve"> un estudio del </w:t>
      </w:r>
      <w:r w:rsidRPr="003F50C8">
        <w:rPr>
          <w:rFonts w:ascii="Bookman Old Style" w:hAnsi="Bookman Old Style"/>
          <w:i/>
          <w:sz w:val="22"/>
          <w:szCs w:val="22"/>
          <w:lang w:val="es-ES"/>
        </w:rPr>
        <w:t>US Geological Survey</w:t>
      </w:r>
      <w:r w:rsidR="006B6FCA" w:rsidRPr="003F50C8">
        <w:rPr>
          <w:rFonts w:ascii="Bookman Old Style" w:hAnsi="Bookman Old Style"/>
          <w:sz w:val="22"/>
          <w:szCs w:val="22"/>
          <w:lang w:val="es-ES"/>
        </w:rPr>
        <w:t xml:space="preserve"> encontró que en el año </w:t>
      </w:r>
      <w:r w:rsidRPr="003F50C8">
        <w:rPr>
          <w:rFonts w:ascii="Bookman Old Style" w:hAnsi="Bookman Old Style"/>
          <w:sz w:val="22"/>
          <w:szCs w:val="22"/>
          <w:lang w:val="es-ES"/>
        </w:rPr>
        <w:t xml:space="preserve">2015 </w:t>
      </w:r>
      <w:r w:rsidR="006B6FCA" w:rsidRPr="003F50C8">
        <w:rPr>
          <w:rFonts w:ascii="Bookman Old Style" w:hAnsi="Bookman Old Style"/>
          <w:sz w:val="22"/>
          <w:szCs w:val="22"/>
          <w:lang w:val="es-ES"/>
        </w:rPr>
        <w:t xml:space="preserve">las </w:t>
      </w:r>
      <w:r w:rsidR="00C603E0" w:rsidRPr="003F50C8">
        <w:rPr>
          <w:rFonts w:ascii="Bookman Old Style" w:hAnsi="Bookman Old Style"/>
          <w:sz w:val="22"/>
          <w:szCs w:val="22"/>
          <w:lang w:val="es-ES"/>
        </w:rPr>
        <w:t>fallas sísmicas en</w:t>
      </w:r>
      <w:r w:rsidRPr="003F50C8">
        <w:rPr>
          <w:rFonts w:ascii="Bookman Old Style" w:hAnsi="Bookman Old Style"/>
          <w:sz w:val="22"/>
          <w:szCs w:val="22"/>
          <w:lang w:val="es-ES"/>
        </w:rPr>
        <w:t xml:space="preserve"> </w:t>
      </w:r>
      <w:r w:rsidR="00722FB0" w:rsidRPr="003F50C8">
        <w:rPr>
          <w:rFonts w:ascii="Bookman Old Style" w:hAnsi="Bookman Old Style"/>
          <w:sz w:val="22"/>
          <w:szCs w:val="22"/>
          <w:lang w:val="es-ES"/>
        </w:rPr>
        <w:t xml:space="preserve">los estados de </w:t>
      </w:r>
      <w:r w:rsidRPr="003F50C8">
        <w:rPr>
          <w:rFonts w:ascii="Bookman Old Style" w:hAnsi="Bookman Old Style"/>
          <w:sz w:val="22"/>
          <w:szCs w:val="22"/>
          <w:lang w:val="es-ES"/>
        </w:rPr>
        <w:t>Alabama, Arkansas, Colorado, Kansas, New Mexico, Ohio, Oklahoma y Texas</w:t>
      </w:r>
      <w:r w:rsidR="004A513B" w:rsidRPr="003F50C8">
        <w:rPr>
          <w:rFonts w:ascii="Bookman Old Style" w:hAnsi="Bookman Old Style"/>
          <w:sz w:val="22"/>
          <w:szCs w:val="22"/>
          <w:lang w:val="es-ES"/>
        </w:rPr>
        <w:t>,</w:t>
      </w:r>
      <w:r w:rsidRPr="003F50C8">
        <w:rPr>
          <w:rFonts w:ascii="Bookman Old Style" w:hAnsi="Bookman Old Style"/>
          <w:sz w:val="22"/>
          <w:szCs w:val="22"/>
          <w:lang w:val="es-ES"/>
        </w:rPr>
        <w:t xml:space="preserve"> que anteriormente </w:t>
      </w:r>
      <w:r w:rsidR="004A513B" w:rsidRPr="003F50C8">
        <w:rPr>
          <w:rFonts w:ascii="Bookman Old Style" w:hAnsi="Bookman Old Style"/>
          <w:sz w:val="22"/>
          <w:szCs w:val="22"/>
          <w:lang w:val="es-ES"/>
        </w:rPr>
        <w:t>estaban</w:t>
      </w:r>
      <w:r w:rsidRPr="003F50C8">
        <w:rPr>
          <w:rFonts w:ascii="Bookman Old Style" w:hAnsi="Bookman Old Style"/>
          <w:sz w:val="22"/>
          <w:szCs w:val="22"/>
          <w:lang w:val="es-ES"/>
        </w:rPr>
        <w:t xml:space="preserve"> estables</w:t>
      </w:r>
      <w:r w:rsidR="00C603E0" w:rsidRPr="003F50C8">
        <w:rPr>
          <w:rFonts w:ascii="Bookman Old Style" w:hAnsi="Bookman Old Style"/>
          <w:sz w:val="22"/>
          <w:szCs w:val="22"/>
          <w:lang w:val="es-ES"/>
        </w:rPr>
        <w:t xml:space="preserve">, </w:t>
      </w:r>
      <w:r w:rsidR="004A513B" w:rsidRPr="003F50C8">
        <w:rPr>
          <w:rFonts w:ascii="Bookman Old Style" w:hAnsi="Bookman Old Style"/>
          <w:sz w:val="22"/>
          <w:szCs w:val="22"/>
          <w:lang w:val="es-ES"/>
        </w:rPr>
        <w:t>han</w:t>
      </w:r>
      <w:r w:rsidRPr="003F50C8">
        <w:rPr>
          <w:rFonts w:ascii="Bookman Old Style" w:hAnsi="Bookman Old Style"/>
          <w:sz w:val="22"/>
          <w:szCs w:val="22"/>
          <w:lang w:val="es-ES"/>
        </w:rPr>
        <w:t xml:space="preserve"> </w:t>
      </w:r>
      <w:r w:rsidR="004A513B" w:rsidRPr="003F50C8">
        <w:rPr>
          <w:rFonts w:ascii="Bookman Old Style" w:hAnsi="Bookman Old Style"/>
          <w:sz w:val="22"/>
          <w:szCs w:val="22"/>
          <w:lang w:val="es-ES"/>
        </w:rPr>
        <w:t>sufrido</w:t>
      </w:r>
      <w:r w:rsidRPr="003F50C8">
        <w:rPr>
          <w:rFonts w:ascii="Bookman Old Style" w:hAnsi="Bookman Old Style"/>
          <w:sz w:val="22"/>
          <w:szCs w:val="22"/>
          <w:lang w:val="es-ES"/>
        </w:rPr>
        <w:t xml:space="preserve"> terremotos inducidos en especial </w:t>
      </w:r>
      <w:r w:rsidR="00224EB6" w:rsidRPr="003F50C8">
        <w:rPr>
          <w:rFonts w:ascii="Bookman Old Style" w:hAnsi="Bookman Old Style"/>
          <w:sz w:val="22"/>
          <w:szCs w:val="22"/>
          <w:lang w:val="es-ES"/>
        </w:rPr>
        <w:t xml:space="preserve">por </w:t>
      </w:r>
      <w:r w:rsidRPr="003F50C8">
        <w:rPr>
          <w:rFonts w:ascii="Bookman Old Style" w:hAnsi="Bookman Old Style"/>
          <w:sz w:val="22"/>
          <w:szCs w:val="22"/>
          <w:lang w:val="es-ES"/>
        </w:rPr>
        <w:t xml:space="preserve">la inyección de </w:t>
      </w:r>
      <w:r w:rsidR="004A513B" w:rsidRPr="003F50C8">
        <w:rPr>
          <w:rFonts w:ascii="Bookman Old Style" w:hAnsi="Bookman Old Style"/>
          <w:sz w:val="22"/>
          <w:szCs w:val="22"/>
          <w:lang w:val="es-ES"/>
        </w:rPr>
        <w:t>aguas residuales del fracking</w:t>
      </w:r>
      <w:r w:rsidRPr="003F50C8">
        <w:rPr>
          <w:rFonts w:ascii="Bookman Old Style" w:hAnsi="Bookman Old Style"/>
          <w:sz w:val="22"/>
          <w:szCs w:val="22"/>
          <w:lang w:val="es-ES"/>
        </w:rPr>
        <w:t xml:space="preserve"> a grandes profundidades</w:t>
      </w:r>
      <w:r w:rsidR="004A513B" w:rsidRPr="003F50C8">
        <w:rPr>
          <w:rStyle w:val="Refdenotaalpie"/>
          <w:rFonts w:ascii="Bookman Old Style" w:hAnsi="Bookman Old Style"/>
          <w:sz w:val="22"/>
          <w:szCs w:val="22"/>
          <w:lang w:val="es-ES"/>
        </w:rPr>
        <w:footnoteReference w:id="21"/>
      </w:r>
      <w:r w:rsidRPr="003F50C8">
        <w:rPr>
          <w:rFonts w:ascii="Bookman Old Style" w:hAnsi="Bookman Old Style"/>
          <w:sz w:val="22"/>
          <w:szCs w:val="22"/>
          <w:lang w:val="es-ES"/>
        </w:rPr>
        <w:t xml:space="preserve">. </w:t>
      </w:r>
      <w:r w:rsidR="00224EB6" w:rsidRPr="003F50C8">
        <w:rPr>
          <w:rFonts w:ascii="Bookman Old Style" w:hAnsi="Bookman Old Style"/>
          <w:sz w:val="22"/>
          <w:szCs w:val="22"/>
          <w:lang w:val="es-ES"/>
        </w:rPr>
        <w:t xml:space="preserve">Un experto de la </w:t>
      </w:r>
      <w:r w:rsidR="00370F04" w:rsidRPr="003F50C8">
        <w:rPr>
          <w:rFonts w:ascii="Bookman Old Style" w:hAnsi="Bookman Old Style"/>
          <w:i/>
          <w:sz w:val="22"/>
          <w:szCs w:val="22"/>
          <w:lang w:val="es-ES"/>
        </w:rPr>
        <w:t>US</w:t>
      </w:r>
      <w:r w:rsidR="00370F04" w:rsidRPr="003F50C8">
        <w:rPr>
          <w:rFonts w:ascii="Bookman Old Style" w:hAnsi="Bookman Old Style"/>
          <w:sz w:val="22"/>
          <w:szCs w:val="22"/>
          <w:lang w:val="es-ES"/>
        </w:rPr>
        <w:t xml:space="preserve"> </w:t>
      </w:r>
      <w:r w:rsidR="00224EB6" w:rsidRPr="003F50C8">
        <w:rPr>
          <w:rFonts w:ascii="Bookman Old Style" w:hAnsi="Bookman Old Style"/>
          <w:i/>
          <w:sz w:val="22"/>
          <w:szCs w:val="22"/>
          <w:lang w:val="es-ES"/>
        </w:rPr>
        <w:t>Geological Survey</w:t>
      </w:r>
      <w:r w:rsidR="00224EB6" w:rsidRPr="003F50C8">
        <w:rPr>
          <w:rFonts w:ascii="Bookman Old Style" w:hAnsi="Bookman Old Style"/>
          <w:sz w:val="22"/>
          <w:szCs w:val="22"/>
          <w:lang w:val="es-ES"/>
        </w:rPr>
        <w:t xml:space="preserve"> mencionó que a</w:t>
      </w:r>
      <w:r w:rsidRPr="003F50C8">
        <w:rPr>
          <w:rFonts w:ascii="Bookman Old Style" w:hAnsi="Bookman Old Style"/>
          <w:sz w:val="22"/>
          <w:szCs w:val="22"/>
          <w:lang w:val="es-ES"/>
        </w:rPr>
        <w:t>lgunas de las fallas que ahora están activas no se</w:t>
      </w:r>
      <w:r w:rsidR="00224EB6" w:rsidRPr="003F50C8">
        <w:rPr>
          <w:rFonts w:ascii="Bookman Old Style" w:hAnsi="Bookman Old Style"/>
          <w:sz w:val="22"/>
          <w:szCs w:val="22"/>
          <w:lang w:val="es-ES"/>
        </w:rPr>
        <w:t xml:space="preserve"> habían movido</w:t>
      </w:r>
      <w:r w:rsidR="00FF57A3" w:rsidRPr="003F50C8">
        <w:rPr>
          <w:rFonts w:ascii="Bookman Old Style" w:hAnsi="Bookman Old Style"/>
          <w:sz w:val="22"/>
          <w:szCs w:val="22"/>
          <w:lang w:val="es-ES"/>
        </w:rPr>
        <w:t xml:space="preserve"> durante</w:t>
      </w:r>
      <w:r w:rsidR="00224EB6" w:rsidRPr="003F50C8">
        <w:rPr>
          <w:rFonts w:ascii="Bookman Old Style" w:hAnsi="Bookman Old Style"/>
          <w:sz w:val="22"/>
          <w:szCs w:val="22"/>
          <w:lang w:val="es-ES"/>
        </w:rPr>
        <w:t xml:space="preserve"> millones de años</w:t>
      </w:r>
      <w:r w:rsidR="00224EB6" w:rsidRPr="003F50C8">
        <w:rPr>
          <w:rStyle w:val="Refdenotaalpie"/>
          <w:rFonts w:ascii="Bookman Old Style" w:hAnsi="Bookman Old Style"/>
          <w:sz w:val="22"/>
          <w:szCs w:val="22"/>
          <w:lang w:val="es-ES"/>
        </w:rPr>
        <w:footnoteReference w:id="22"/>
      </w:r>
      <w:r w:rsidR="00224EB6" w:rsidRPr="003F50C8">
        <w:rPr>
          <w:rFonts w:ascii="Bookman Old Style" w:hAnsi="Bookman Old Style"/>
          <w:sz w:val="22"/>
          <w:szCs w:val="22"/>
          <w:lang w:val="es-ES"/>
        </w:rPr>
        <w:t>.</w:t>
      </w:r>
    </w:p>
    <w:p w14:paraId="31BCF501" w14:textId="77777777" w:rsidR="00327418" w:rsidRPr="003F50C8" w:rsidRDefault="00327418" w:rsidP="003F50C8">
      <w:pPr>
        <w:pStyle w:val="Prrafodelista"/>
        <w:ind w:left="1224"/>
        <w:jc w:val="both"/>
        <w:rPr>
          <w:rFonts w:ascii="Bookman Old Style" w:hAnsi="Bookman Old Style"/>
          <w:b/>
          <w:bCs/>
          <w:color w:val="000000" w:themeColor="text1"/>
          <w:sz w:val="22"/>
          <w:szCs w:val="22"/>
        </w:rPr>
      </w:pPr>
    </w:p>
    <w:p w14:paraId="390FF5F7" w14:textId="77777777" w:rsidR="00327418" w:rsidRPr="003F50C8" w:rsidRDefault="00FD6005" w:rsidP="00A43A7E">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Crisis Climática</w:t>
      </w:r>
      <w:r w:rsidR="00A43A7E">
        <w:rPr>
          <w:rFonts w:ascii="Bookman Old Style" w:hAnsi="Bookman Old Style"/>
          <w:b/>
          <w:bCs/>
          <w:color w:val="000000" w:themeColor="text1"/>
          <w:sz w:val="22"/>
          <w:szCs w:val="22"/>
        </w:rPr>
        <w:t>.</w:t>
      </w:r>
    </w:p>
    <w:p w14:paraId="345BCCF6" w14:textId="77777777" w:rsidR="00F91F2D" w:rsidRPr="003F50C8" w:rsidRDefault="00F91F2D" w:rsidP="003F50C8">
      <w:pPr>
        <w:jc w:val="both"/>
        <w:rPr>
          <w:rFonts w:ascii="Bookman Old Style" w:hAnsi="Bookman Old Style"/>
          <w:b/>
          <w:bCs/>
          <w:color w:val="000000" w:themeColor="text1"/>
          <w:sz w:val="22"/>
          <w:szCs w:val="22"/>
          <w:lang w:val="es-ES"/>
        </w:rPr>
      </w:pPr>
    </w:p>
    <w:p w14:paraId="40D2D71A" w14:textId="77777777" w:rsidR="00F72000" w:rsidRPr="003F50C8" w:rsidRDefault="00426439"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Se estima que un 25% del calentamiento global proviene del metano, y aunque éste luego de su emisión es reabsorbido por la tierra en 12 años, en el tiempo que está en la atmósfera es mucho más dañino que el CO2, pues atrapa hasta 84 veces más calor</w:t>
      </w:r>
      <w:r w:rsidRPr="003F50C8">
        <w:rPr>
          <w:rStyle w:val="Refdenotaalpie"/>
          <w:rFonts w:ascii="Bookman Old Style" w:hAnsi="Bookman Old Style"/>
          <w:bCs/>
          <w:color w:val="000000" w:themeColor="text1"/>
          <w:sz w:val="22"/>
          <w:szCs w:val="22"/>
          <w:lang w:val="es-ES"/>
        </w:rPr>
        <w:footnoteReference w:id="23"/>
      </w:r>
      <w:r w:rsidRPr="003F50C8">
        <w:rPr>
          <w:rFonts w:ascii="Bookman Old Style" w:hAnsi="Bookman Old Style"/>
          <w:bCs/>
          <w:color w:val="000000" w:themeColor="text1"/>
          <w:sz w:val="22"/>
          <w:szCs w:val="22"/>
          <w:lang w:val="es-ES"/>
        </w:rPr>
        <w:t xml:space="preserve">. </w:t>
      </w:r>
      <w:r w:rsidR="00F72000" w:rsidRPr="003F50C8">
        <w:rPr>
          <w:rFonts w:ascii="Bookman Old Style" w:hAnsi="Bookman Old Style"/>
          <w:bCs/>
          <w:color w:val="000000" w:themeColor="text1"/>
          <w:sz w:val="22"/>
          <w:szCs w:val="22"/>
          <w:lang w:val="es-ES"/>
        </w:rPr>
        <w:t xml:space="preserve">El metano se libera, o quema, en los diferentes pasos de </w:t>
      </w:r>
      <w:r w:rsidR="006D7DF2" w:rsidRPr="003F50C8">
        <w:rPr>
          <w:rFonts w:ascii="Bookman Old Style" w:hAnsi="Bookman Old Style"/>
          <w:bCs/>
          <w:color w:val="000000" w:themeColor="text1"/>
          <w:sz w:val="22"/>
          <w:szCs w:val="22"/>
          <w:lang w:val="es-ES"/>
        </w:rPr>
        <w:t xml:space="preserve">la </w:t>
      </w:r>
      <w:r w:rsidR="00F72000" w:rsidRPr="003F50C8">
        <w:rPr>
          <w:rFonts w:ascii="Bookman Old Style" w:hAnsi="Bookman Old Style"/>
          <w:bCs/>
          <w:color w:val="000000" w:themeColor="text1"/>
          <w:sz w:val="22"/>
          <w:szCs w:val="22"/>
          <w:lang w:val="es-ES"/>
        </w:rPr>
        <w:t xml:space="preserve">producción y transporte del petróleo, pero lo anterior es </w:t>
      </w:r>
      <w:r w:rsidR="006D7DF2" w:rsidRPr="003F50C8">
        <w:rPr>
          <w:rFonts w:ascii="Bookman Old Style" w:hAnsi="Bookman Old Style"/>
          <w:bCs/>
          <w:color w:val="000000" w:themeColor="text1"/>
          <w:sz w:val="22"/>
          <w:szCs w:val="22"/>
          <w:lang w:val="es-ES"/>
        </w:rPr>
        <w:t>más</w:t>
      </w:r>
      <w:r w:rsidR="00F72000" w:rsidRPr="003F50C8">
        <w:rPr>
          <w:rFonts w:ascii="Bookman Old Style" w:hAnsi="Bookman Old Style"/>
          <w:bCs/>
          <w:color w:val="000000" w:themeColor="text1"/>
          <w:sz w:val="22"/>
          <w:szCs w:val="22"/>
          <w:lang w:val="es-ES"/>
        </w:rPr>
        <w:t xml:space="preserve"> pronunciado en la producción a través del fracking</w:t>
      </w:r>
      <w:r w:rsidR="00F72000" w:rsidRPr="003F50C8">
        <w:rPr>
          <w:rStyle w:val="Refdenotaalpie"/>
          <w:rFonts w:ascii="Bookman Old Style" w:hAnsi="Bookman Old Style"/>
          <w:bCs/>
          <w:color w:val="000000" w:themeColor="text1"/>
          <w:sz w:val="22"/>
          <w:szCs w:val="22"/>
          <w:lang w:val="es-ES"/>
        </w:rPr>
        <w:footnoteReference w:id="24"/>
      </w:r>
      <w:r w:rsidR="00F72000" w:rsidRPr="003F50C8">
        <w:rPr>
          <w:rFonts w:ascii="Bookman Old Style" w:hAnsi="Bookman Old Style"/>
          <w:bCs/>
          <w:color w:val="000000" w:themeColor="text1"/>
          <w:sz w:val="22"/>
          <w:szCs w:val="22"/>
          <w:lang w:val="es-ES"/>
        </w:rPr>
        <w:t xml:space="preserve">. </w:t>
      </w:r>
    </w:p>
    <w:p w14:paraId="7392E333" w14:textId="77777777" w:rsidR="00F72000" w:rsidRPr="003F50C8" w:rsidRDefault="00F72000" w:rsidP="003F50C8">
      <w:pPr>
        <w:jc w:val="both"/>
        <w:rPr>
          <w:rFonts w:ascii="Bookman Old Style" w:hAnsi="Bookman Old Style"/>
          <w:bCs/>
          <w:color w:val="000000" w:themeColor="text1"/>
          <w:sz w:val="22"/>
          <w:szCs w:val="22"/>
          <w:lang w:val="es-ES"/>
        </w:rPr>
      </w:pPr>
    </w:p>
    <w:p w14:paraId="652304CD" w14:textId="77777777" w:rsidR="00495F90"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 xml:space="preserve">Estudios recientes </w:t>
      </w:r>
      <w:r w:rsidR="00582A9A" w:rsidRPr="003F50C8">
        <w:rPr>
          <w:rFonts w:ascii="Bookman Old Style" w:hAnsi="Bookman Old Style"/>
          <w:bCs/>
          <w:color w:val="000000" w:themeColor="text1"/>
          <w:sz w:val="22"/>
          <w:szCs w:val="22"/>
          <w:lang w:val="es-ES"/>
        </w:rPr>
        <w:t>muestran que</w:t>
      </w:r>
      <w:r w:rsidRPr="003F50C8">
        <w:rPr>
          <w:rFonts w:ascii="Bookman Old Style" w:hAnsi="Bookman Old Style"/>
          <w:bCs/>
          <w:color w:val="000000" w:themeColor="text1"/>
          <w:sz w:val="22"/>
          <w:szCs w:val="22"/>
          <w:lang w:val="es-ES"/>
        </w:rPr>
        <w:t xml:space="preserve"> ha habido un incremento en los niveles de metano en la atmosfera desde 2006</w:t>
      </w:r>
      <w:r w:rsidR="00425519" w:rsidRPr="003F50C8">
        <w:rPr>
          <w:rFonts w:ascii="Bookman Old Style" w:hAnsi="Bookman Old Style"/>
          <w:bCs/>
          <w:color w:val="000000" w:themeColor="text1"/>
          <w:sz w:val="22"/>
          <w:szCs w:val="22"/>
          <w:lang w:val="es-ES"/>
        </w:rPr>
        <w:t xml:space="preserve"> y</w:t>
      </w:r>
      <w:r w:rsidRPr="003F50C8">
        <w:rPr>
          <w:rFonts w:ascii="Bookman Old Style" w:hAnsi="Bookman Old Style"/>
          <w:bCs/>
          <w:color w:val="000000" w:themeColor="text1"/>
          <w:sz w:val="22"/>
          <w:szCs w:val="22"/>
          <w:lang w:val="es-ES"/>
        </w:rPr>
        <w:t xml:space="preserve"> dicho incremento </w:t>
      </w:r>
      <w:r w:rsidR="00480020" w:rsidRPr="003F50C8">
        <w:rPr>
          <w:rFonts w:ascii="Bookman Old Style" w:hAnsi="Bookman Old Style"/>
          <w:bCs/>
          <w:color w:val="000000" w:themeColor="text1"/>
          <w:sz w:val="22"/>
          <w:szCs w:val="22"/>
          <w:lang w:val="es-ES"/>
        </w:rPr>
        <w:t>podría estar</w:t>
      </w:r>
      <w:r w:rsidRPr="003F50C8">
        <w:rPr>
          <w:rFonts w:ascii="Bookman Old Style" w:hAnsi="Bookman Old Style"/>
          <w:bCs/>
          <w:color w:val="000000" w:themeColor="text1"/>
          <w:sz w:val="22"/>
          <w:szCs w:val="22"/>
          <w:lang w:val="es-ES"/>
        </w:rPr>
        <w:t xml:space="preserve"> asociado con el fracking</w:t>
      </w:r>
      <w:r w:rsidRPr="003F50C8">
        <w:rPr>
          <w:rStyle w:val="Refdenotaalpie"/>
          <w:rFonts w:ascii="Bookman Old Style" w:hAnsi="Bookman Old Style"/>
          <w:bCs/>
          <w:color w:val="000000" w:themeColor="text1"/>
          <w:sz w:val="22"/>
          <w:szCs w:val="22"/>
          <w:lang w:val="es-ES"/>
        </w:rPr>
        <w:footnoteReference w:id="25"/>
      </w:r>
      <w:r w:rsidRPr="003F50C8">
        <w:rPr>
          <w:rFonts w:ascii="Bookman Old Style" w:hAnsi="Bookman Old Style"/>
          <w:bCs/>
          <w:color w:val="000000" w:themeColor="text1"/>
          <w:sz w:val="22"/>
          <w:szCs w:val="22"/>
          <w:lang w:val="es-ES"/>
        </w:rPr>
        <w:t xml:space="preserve">. </w:t>
      </w:r>
    </w:p>
    <w:p w14:paraId="0B7C0E42" w14:textId="77777777" w:rsidR="00495F90" w:rsidRPr="003F50C8" w:rsidRDefault="00495F90" w:rsidP="003F50C8">
      <w:pPr>
        <w:jc w:val="both"/>
        <w:rPr>
          <w:rFonts w:ascii="Bookman Old Style" w:hAnsi="Bookman Old Style"/>
          <w:bCs/>
          <w:color w:val="000000" w:themeColor="text1"/>
          <w:sz w:val="22"/>
          <w:szCs w:val="22"/>
          <w:lang w:val="es-ES"/>
        </w:rPr>
      </w:pPr>
    </w:p>
    <w:p w14:paraId="313BAF07" w14:textId="77777777" w:rsidR="00F72000" w:rsidRPr="003F50C8" w:rsidRDefault="00615DB8"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U</w:t>
      </w:r>
      <w:r w:rsidR="00F72000" w:rsidRPr="003F50C8">
        <w:rPr>
          <w:rFonts w:ascii="Bookman Old Style" w:hAnsi="Bookman Old Style"/>
          <w:bCs/>
          <w:color w:val="000000" w:themeColor="text1"/>
          <w:sz w:val="22"/>
          <w:szCs w:val="22"/>
          <w:lang w:val="es-ES"/>
        </w:rPr>
        <w:t xml:space="preserve">n estudio publicado en </w:t>
      </w:r>
      <w:r w:rsidR="00426439" w:rsidRPr="003F50C8">
        <w:rPr>
          <w:rFonts w:ascii="Bookman Old Style" w:hAnsi="Bookman Old Style"/>
          <w:bCs/>
          <w:color w:val="000000" w:themeColor="text1"/>
          <w:sz w:val="22"/>
          <w:szCs w:val="22"/>
          <w:lang w:val="es-ES"/>
        </w:rPr>
        <w:t xml:space="preserve">el año </w:t>
      </w:r>
      <w:r w:rsidR="00F72000" w:rsidRPr="003F50C8">
        <w:rPr>
          <w:rFonts w:ascii="Bookman Old Style" w:hAnsi="Bookman Old Style"/>
          <w:bCs/>
          <w:color w:val="000000" w:themeColor="text1"/>
          <w:sz w:val="22"/>
          <w:szCs w:val="22"/>
          <w:lang w:val="es-ES"/>
        </w:rPr>
        <w:t xml:space="preserve">2019 en </w:t>
      </w:r>
      <w:r w:rsidR="00F72000" w:rsidRPr="003F50C8">
        <w:rPr>
          <w:rFonts w:ascii="Bookman Old Style" w:hAnsi="Bookman Old Style"/>
          <w:bCs/>
          <w:i/>
          <w:color w:val="000000" w:themeColor="text1"/>
          <w:sz w:val="22"/>
          <w:szCs w:val="22"/>
          <w:lang w:val="es-ES"/>
        </w:rPr>
        <w:t>Biogeosciences</w:t>
      </w:r>
      <w:r w:rsidR="00F72000" w:rsidRPr="003F50C8">
        <w:rPr>
          <w:rFonts w:ascii="Bookman Old Style" w:hAnsi="Bookman Old Style"/>
          <w:bCs/>
          <w:color w:val="000000" w:themeColor="text1"/>
          <w:sz w:val="22"/>
          <w:szCs w:val="22"/>
          <w:lang w:val="es-ES"/>
        </w:rPr>
        <w:t xml:space="preserve"> por un profesor de la Universidad de Cornell, encuentr</w:t>
      </w:r>
      <w:r w:rsidR="00426439" w:rsidRPr="003F50C8">
        <w:rPr>
          <w:rFonts w:ascii="Bookman Old Style" w:hAnsi="Bookman Old Style"/>
          <w:bCs/>
          <w:color w:val="000000" w:themeColor="text1"/>
          <w:sz w:val="22"/>
          <w:szCs w:val="22"/>
          <w:lang w:val="es-ES"/>
        </w:rPr>
        <w:t>ó</w:t>
      </w:r>
      <w:r w:rsidR="00F72000" w:rsidRPr="003F50C8">
        <w:rPr>
          <w:rFonts w:ascii="Bookman Old Style" w:hAnsi="Bookman Old Style"/>
          <w:bCs/>
          <w:color w:val="000000" w:themeColor="text1"/>
          <w:sz w:val="22"/>
          <w:szCs w:val="22"/>
          <w:lang w:val="es-ES"/>
        </w:rPr>
        <w:t xml:space="preserve"> que el metano proveniente del fracking en Norte America ha contribuido, en la última década, con aproximadamente un tercio del </w:t>
      </w:r>
      <w:r w:rsidR="00F72000" w:rsidRPr="003F50C8">
        <w:rPr>
          <w:rFonts w:ascii="Bookman Old Style" w:hAnsi="Bookman Old Style"/>
          <w:bCs/>
          <w:color w:val="000000" w:themeColor="text1"/>
          <w:sz w:val="22"/>
          <w:szCs w:val="22"/>
          <w:lang w:val="es-ES"/>
        </w:rPr>
        <w:lastRenderedPageBreak/>
        <w:t xml:space="preserve">incremento de las emisiones de metano globales y la mitad de las emisiones provenientes de la industria de hidrocarburos </w:t>
      </w:r>
      <w:r w:rsidR="00426439" w:rsidRPr="003F50C8">
        <w:rPr>
          <w:rFonts w:ascii="Bookman Old Style" w:hAnsi="Bookman Old Style"/>
          <w:bCs/>
          <w:color w:val="000000" w:themeColor="text1"/>
          <w:sz w:val="22"/>
          <w:szCs w:val="22"/>
          <w:lang w:val="es-ES"/>
        </w:rPr>
        <w:t xml:space="preserve">a nivel </w:t>
      </w:r>
      <w:r w:rsidR="00F72000" w:rsidRPr="003F50C8">
        <w:rPr>
          <w:rFonts w:ascii="Bookman Old Style" w:hAnsi="Bookman Old Style"/>
          <w:bCs/>
          <w:color w:val="000000" w:themeColor="text1"/>
          <w:sz w:val="22"/>
          <w:szCs w:val="22"/>
          <w:lang w:val="es-ES"/>
        </w:rPr>
        <w:t>global</w:t>
      </w:r>
      <w:r w:rsidR="00F72000" w:rsidRPr="003F50C8">
        <w:rPr>
          <w:rStyle w:val="Refdenotaalpie"/>
          <w:rFonts w:ascii="Bookman Old Style" w:hAnsi="Bookman Old Style"/>
          <w:bCs/>
          <w:color w:val="000000" w:themeColor="text1"/>
          <w:sz w:val="22"/>
          <w:szCs w:val="22"/>
          <w:lang w:val="es-ES"/>
        </w:rPr>
        <w:footnoteReference w:id="26"/>
      </w:r>
      <w:r w:rsidR="00F72000" w:rsidRPr="003F50C8">
        <w:rPr>
          <w:rFonts w:ascii="Bookman Old Style" w:hAnsi="Bookman Old Style"/>
          <w:bCs/>
          <w:color w:val="000000" w:themeColor="text1"/>
          <w:sz w:val="22"/>
          <w:szCs w:val="22"/>
          <w:lang w:val="es-ES"/>
        </w:rPr>
        <w:t xml:space="preserve">. </w:t>
      </w:r>
    </w:p>
    <w:p w14:paraId="59B66A18" w14:textId="77777777" w:rsidR="00F72000" w:rsidRPr="003F50C8" w:rsidRDefault="00F72000" w:rsidP="003F50C8">
      <w:pPr>
        <w:jc w:val="both"/>
        <w:rPr>
          <w:rFonts w:ascii="Bookman Old Style" w:hAnsi="Bookman Old Style"/>
          <w:bCs/>
          <w:color w:val="000000" w:themeColor="text1"/>
          <w:sz w:val="22"/>
          <w:szCs w:val="22"/>
          <w:lang w:val="es-ES"/>
        </w:rPr>
      </w:pPr>
    </w:p>
    <w:p w14:paraId="461110A8" w14:textId="77777777" w:rsidR="001C7F3A"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A lo anterior, se suma que la estimación de las emisiones de metano por parte de la industria de hidrocarbur</w:t>
      </w:r>
      <w:r w:rsidR="00BE67B9" w:rsidRPr="003F50C8">
        <w:rPr>
          <w:rFonts w:ascii="Bookman Old Style" w:hAnsi="Bookman Old Style"/>
          <w:bCs/>
          <w:color w:val="000000" w:themeColor="text1"/>
          <w:sz w:val="22"/>
          <w:szCs w:val="22"/>
          <w:lang w:val="es-ES"/>
        </w:rPr>
        <w:t>os en Estados Unidos podría ser 60% más alta</w:t>
      </w:r>
      <w:r w:rsidRPr="003F50C8">
        <w:rPr>
          <w:rFonts w:ascii="Bookman Old Style" w:hAnsi="Bookman Old Style"/>
          <w:bCs/>
          <w:color w:val="000000" w:themeColor="text1"/>
          <w:sz w:val="22"/>
          <w:szCs w:val="22"/>
          <w:lang w:val="es-ES"/>
        </w:rPr>
        <w:t xml:space="preserve"> que lo que estima el gobierno de dicho país, lo anterior según un estudio publicado en la revista </w:t>
      </w:r>
      <w:r w:rsidRPr="003F50C8">
        <w:rPr>
          <w:rFonts w:ascii="Bookman Old Style" w:hAnsi="Bookman Old Style"/>
          <w:bCs/>
          <w:i/>
          <w:color w:val="000000" w:themeColor="text1"/>
          <w:sz w:val="22"/>
          <w:szCs w:val="22"/>
          <w:lang w:val="es-ES"/>
        </w:rPr>
        <w:t>Science</w:t>
      </w:r>
      <w:r w:rsidRPr="003F50C8">
        <w:rPr>
          <w:rFonts w:ascii="Bookman Old Style" w:hAnsi="Bookman Old Style"/>
          <w:bCs/>
          <w:color w:val="000000" w:themeColor="text1"/>
          <w:sz w:val="22"/>
          <w:szCs w:val="22"/>
          <w:lang w:val="es-ES"/>
        </w:rPr>
        <w:t xml:space="preserve"> en 2019</w:t>
      </w:r>
      <w:r w:rsidRPr="003F50C8">
        <w:rPr>
          <w:rStyle w:val="Refdenotaalpie"/>
          <w:rFonts w:ascii="Bookman Old Style" w:hAnsi="Bookman Old Style"/>
          <w:bCs/>
          <w:color w:val="000000" w:themeColor="text1"/>
          <w:sz w:val="22"/>
          <w:szCs w:val="22"/>
          <w:lang w:val="es-ES"/>
        </w:rPr>
        <w:footnoteReference w:id="27"/>
      </w:r>
      <w:r w:rsidRPr="003F50C8">
        <w:rPr>
          <w:rFonts w:ascii="Bookman Old Style" w:hAnsi="Bookman Old Style"/>
          <w:bCs/>
          <w:color w:val="000000" w:themeColor="text1"/>
          <w:sz w:val="22"/>
          <w:szCs w:val="22"/>
          <w:lang w:val="es-ES"/>
        </w:rPr>
        <w:t xml:space="preserve"> </w:t>
      </w:r>
      <w:r w:rsidRPr="003F50C8">
        <w:rPr>
          <w:rStyle w:val="Refdenotaalpie"/>
          <w:rFonts w:ascii="Bookman Old Style" w:hAnsi="Bookman Old Style"/>
          <w:bCs/>
          <w:color w:val="000000" w:themeColor="text1"/>
          <w:sz w:val="22"/>
          <w:szCs w:val="22"/>
          <w:lang w:val="es-ES"/>
        </w:rPr>
        <w:footnoteReference w:id="28"/>
      </w:r>
      <w:r w:rsidRPr="003F50C8">
        <w:rPr>
          <w:rFonts w:ascii="Bookman Old Style" w:hAnsi="Bookman Old Style"/>
          <w:bCs/>
          <w:color w:val="000000" w:themeColor="text1"/>
          <w:sz w:val="22"/>
          <w:szCs w:val="22"/>
          <w:lang w:val="es-ES"/>
        </w:rPr>
        <w:t xml:space="preserve">. </w:t>
      </w:r>
    </w:p>
    <w:p w14:paraId="17B8D320" w14:textId="77777777" w:rsidR="001C7F3A" w:rsidRPr="003F50C8" w:rsidRDefault="001C7F3A" w:rsidP="003F50C8">
      <w:pPr>
        <w:jc w:val="both"/>
        <w:rPr>
          <w:rFonts w:ascii="Bookman Old Style" w:hAnsi="Bookman Old Style"/>
          <w:bCs/>
          <w:color w:val="000000" w:themeColor="text1"/>
          <w:sz w:val="22"/>
          <w:szCs w:val="22"/>
          <w:lang w:val="es-ES"/>
        </w:rPr>
      </w:pPr>
    </w:p>
    <w:p w14:paraId="28884127" w14:textId="77777777" w:rsidR="00426685"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 xml:space="preserve">El fracking afecta </w:t>
      </w:r>
      <w:r w:rsidR="001C7F3A" w:rsidRPr="003F50C8">
        <w:rPr>
          <w:rFonts w:ascii="Bookman Old Style" w:hAnsi="Bookman Old Style"/>
          <w:bCs/>
          <w:color w:val="000000" w:themeColor="text1"/>
          <w:sz w:val="22"/>
          <w:szCs w:val="22"/>
          <w:lang w:val="es-ES"/>
        </w:rPr>
        <w:t>el cumplimento de</w:t>
      </w:r>
      <w:r w:rsidRPr="003F50C8">
        <w:rPr>
          <w:rFonts w:ascii="Bookman Old Style" w:hAnsi="Bookman Old Style"/>
          <w:bCs/>
          <w:color w:val="000000" w:themeColor="text1"/>
          <w:sz w:val="22"/>
          <w:szCs w:val="22"/>
          <w:lang w:val="es-ES"/>
        </w:rPr>
        <w:t xml:space="preserve">l Acuerdo de París, </w:t>
      </w:r>
      <w:r w:rsidR="00426685" w:rsidRPr="003F50C8">
        <w:rPr>
          <w:rFonts w:ascii="Bookman Old Style" w:hAnsi="Bookman Old Style"/>
          <w:bCs/>
          <w:color w:val="000000" w:themeColor="text1"/>
          <w:sz w:val="22"/>
          <w:szCs w:val="22"/>
          <w:lang w:val="es-ES"/>
        </w:rPr>
        <w:t>aprobado por Colombia mediante Ley 1844 de 2017, en donde el país se comprometió con una reducción del 20% de las emisiones de gases de efecto invernadero -GEI con respecto a las emisiones proyectadas para el año 2030.</w:t>
      </w:r>
    </w:p>
    <w:p w14:paraId="0E38366F" w14:textId="77777777" w:rsidR="00426685" w:rsidRPr="003F50C8" w:rsidRDefault="00426685" w:rsidP="003F50C8">
      <w:pPr>
        <w:tabs>
          <w:tab w:val="left" w:pos="2415"/>
        </w:tabs>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ab/>
      </w:r>
    </w:p>
    <w:p w14:paraId="1D8CFBD2" w14:textId="77777777" w:rsidR="00F72000" w:rsidRPr="003F50C8" w:rsidRDefault="00F72000" w:rsidP="003F50C8">
      <w:pPr>
        <w:pStyle w:val="Sinespaciado"/>
        <w:tabs>
          <w:tab w:val="left" w:pos="1660"/>
        </w:tabs>
        <w:jc w:val="both"/>
        <w:rPr>
          <w:rFonts w:ascii="Bookman Old Style" w:hAnsi="Bookman Old Style"/>
          <w:lang w:val="es-ES"/>
        </w:rPr>
      </w:pPr>
      <w:r w:rsidRPr="003F50C8">
        <w:rPr>
          <w:rFonts w:ascii="Bookman Old Style" w:hAnsi="Bookman Old Style"/>
          <w:lang w:val="es-ES"/>
        </w:rPr>
        <w:t>Por otro lado, para la seguridad energética del país el cambio climático también representa un gran riesgo, como lo advierte la WWF, que resalta que debemos comenzar una transición energética en Colombia</w:t>
      </w:r>
      <w:r w:rsidRPr="003F50C8">
        <w:rPr>
          <w:rStyle w:val="Refdenotaalpie"/>
          <w:rFonts w:ascii="Bookman Old Style" w:hAnsi="Bookman Old Style"/>
          <w:lang w:val="es-ES"/>
        </w:rPr>
        <w:footnoteReference w:id="29"/>
      </w:r>
      <w:r w:rsidRPr="003F50C8">
        <w:rPr>
          <w:rFonts w:ascii="Bookman Old Style" w:hAnsi="Bookman Old Style"/>
          <w:lang w:val="es-ES"/>
        </w:rPr>
        <w:t>:</w:t>
      </w:r>
    </w:p>
    <w:p w14:paraId="44A5634F" w14:textId="77777777" w:rsidR="00F72000" w:rsidRPr="003F50C8" w:rsidRDefault="00F72000" w:rsidP="00A43A7E">
      <w:pPr>
        <w:pStyle w:val="Sinespaciado"/>
        <w:jc w:val="both"/>
        <w:rPr>
          <w:rFonts w:ascii="Bookman Old Style" w:hAnsi="Bookman Old Style"/>
          <w:lang w:val="es-ES"/>
        </w:rPr>
      </w:pPr>
    </w:p>
    <w:p w14:paraId="17DF9422" w14:textId="77777777" w:rsidR="00F72000" w:rsidRPr="003F50C8" w:rsidRDefault="00F72000" w:rsidP="00A43A7E">
      <w:pPr>
        <w:pStyle w:val="Sinespaciado"/>
        <w:ind w:left="851" w:right="616"/>
        <w:jc w:val="both"/>
        <w:rPr>
          <w:rFonts w:ascii="Bookman Old Style" w:hAnsi="Bookman Old Style"/>
          <w:i/>
          <w:lang w:val="es-ES"/>
        </w:rPr>
      </w:pPr>
      <w:r w:rsidRPr="003F50C8">
        <w:rPr>
          <w:rFonts w:ascii="Bookman Old Style" w:hAnsi="Bookman Old Style"/>
          <w:i/>
          <w:lang w:val="es-ES"/>
        </w:rPr>
        <w:t xml:space="preserve">“El 70% de la electricidad del país se produce a partir </w:t>
      </w:r>
      <w:r w:rsidR="00CB6917" w:rsidRPr="003F50C8">
        <w:rPr>
          <w:rFonts w:ascii="Bookman Old Style" w:hAnsi="Bookman Old Style"/>
          <w:i/>
          <w:lang w:val="es-ES"/>
        </w:rPr>
        <w:t xml:space="preserve">de </w:t>
      </w:r>
      <w:r w:rsidRPr="003F50C8">
        <w:rPr>
          <w:rFonts w:ascii="Bookman Old Style" w:hAnsi="Bookman Old Style"/>
          <w:i/>
          <w:lang w:val="es-ES"/>
        </w:rPr>
        <w:t>nuestras fuentes hídricas, las cuales son muy vulnerables al cambio climático. Cerca del 30% de la energía restante proviene de termoeléctricas que usan gas, carbón y diésel para generar electricidad, mientras que apenas 0,13% proviene de fuentes de energía renovable como el viento.</w:t>
      </w:r>
    </w:p>
    <w:p w14:paraId="7742AC4C" w14:textId="77777777" w:rsidR="00F72000" w:rsidRPr="003F50C8" w:rsidRDefault="00F72000" w:rsidP="00A43A7E">
      <w:pPr>
        <w:pStyle w:val="Sinespaciado"/>
        <w:ind w:left="851" w:right="616"/>
        <w:jc w:val="both"/>
        <w:rPr>
          <w:rFonts w:ascii="Bookman Old Style" w:hAnsi="Bookman Old Style"/>
          <w:lang w:val="es-ES"/>
        </w:rPr>
      </w:pPr>
    </w:p>
    <w:p w14:paraId="53D8D88B" w14:textId="77777777" w:rsidR="00F72000" w:rsidRPr="00A43A7E" w:rsidRDefault="00F72000" w:rsidP="00A43A7E">
      <w:pPr>
        <w:pStyle w:val="Sinespaciado"/>
        <w:ind w:left="851" w:right="616"/>
        <w:jc w:val="both"/>
        <w:rPr>
          <w:rFonts w:ascii="Bookman Old Style" w:hAnsi="Bookman Old Style"/>
          <w:i/>
          <w:lang w:val="es-ES"/>
        </w:rPr>
      </w:pPr>
      <w:r w:rsidRPr="003F50C8">
        <w:rPr>
          <w:rFonts w:ascii="Bookman Old Style" w:hAnsi="Bookman Old Style"/>
          <w:i/>
          <w:lang w:val="es-ES"/>
        </w:rPr>
        <w:t>En épocas de sequía (que con el cambio climático son cada vez más frecuentes e intensas) la dependencia de la generación hidroeléctrica aumenta el riesgo de quedarnos sin energía eléctrica, tal como lo estamos viviendo actualmente. Si esto sucede, el efecto lo vamos a sentir en las ciudades y en el campo, en colegios, universidades, oficinas, tiendas, en nuestras propias casas y las cosas más simples se volverán complicadas. Por otra parte, las fuentes fósiles que usamos emiten gases de efecto invernadero que contribuyen al cambio climático y ponen en severo riesgo la estabilidad del plane</w:t>
      </w:r>
      <w:r w:rsidR="00A43A7E">
        <w:rPr>
          <w:rFonts w:ascii="Bookman Old Style" w:hAnsi="Bookman Old Style"/>
          <w:i/>
          <w:lang w:val="es-ES"/>
        </w:rPr>
        <w:t>ta y de la vida que lo habita.”</w:t>
      </w:r>
    </w:p>
    <w:p w14:paraId="40F82CEE" w14:textId="77777777" w:rsidR="00D856D5" w:rsidRPr="003F50C8" w:rsidRDefault="00D856D5" w:rsidP="003F50C8">
      <w:pPr>
        <w:jc w:val="both"/>
        <w:rPr>
          <w:rFonts w:ascii="Bookman Old Style" w:hAnsi="Bookman Old Style"/>
          <w:b/>
          <w:bCs/>
          <w:color w:val="000000" w:themeColor="text1"/>
          <w:sz w:val="22"/>
          <w:szCs w:val="22"/>
        </w:rPr>
      </w:pPr>
    </w:p>
    <w:p w14:paraId="0BE07789" w14:textId="77777777" w:rsidR="008E3F4F" w:rsidRPr="003F50C8" w:rsidRDefault="008E3F4F" w:rsidP="00A43A7E">
      <w:pPr>
        <w:pStyle w:val="Prrafodelista"/>
        <w:numPr>
          <w:ilvl w:val="1"/>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IMPACTOS DEL FRACKING SOBRE LA SALUD </w:t>
      </w:r>
      <w:r w:rsidR="00A47AE0" w:rsidRPr="003F50C8">
        <w:rPr>
          <w:rFonts w:ascii="Bookman Old Style" w:hAnsi="Bookman Old Style"/>
          <w:b/>
          <w:bCs/>
          <w:color w:val="000000" w:themeColor="text1"/>
          <w:sz w:val="22"/>
          <w:szCs w:val="22"/>
        </w:rPr>
        <w:t>Y LAS COMUNIDADES</w:t>
      </w:r>
      <w:r w:rsidR="00A43A7E">
        <w:rPr>
          <w:rFonts w:ascii="Bookman Old Style" w:hAnsi="Bookman Old Style"/>
          <w:b/>
          <w:bCs/>
          <w:color w:val="000000" w:themeColor="text1"/>
          <w:sz w:val="22"/>
          <w:szCs w:val="22"/>
        </w:rPr>
        <w:t>.</w:t>
      </w:r>
    </w:p>
    <w:p w14:paraId="3D568AC7" w14:textId="77777777" w:rsidR="006A3088" w:rsidRPr="003F50C8" w:rsidRDefault="006A3088" w:rsidP="003F50C8">
      <w:pPr>
        <w:jc w:val="both"/>
        <w:rPr>
          <w:rFonts w:ascii="Bookman Old Style" w:hAnsi="Bookman Old Style"/>
          <w:b/>
          <w:bCs/>
          <w:color w:val="000000" w:themeColor="text1"/>
          <w:sz w:val="22"/>
          <w:szCs w:val="22"/>
        </w:rPr>
      </w:pPr>
    </w:p>
    <w:p w14:paraId="3C16BD20" w14:textId="77777777" w:rsidR="005F4692" w:rsidRPr="003F50C8" w:rsidRDefault="005F4692" w:rsidP="00A43A7E">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sobre la salud pública</w:t>
      </w:r>
      <w:r w:rsidR="00A43A7E">
        <w:rPr>
          <w:rFonts w:ascii="Bookman Old Style" w:hAnsi="Bookman Old Style"/>
          <w:b/>
          <w:bCs/>
          <w:color w:val="000000" w:themeColor="text1"/>
          <w:sz w:val="22"/>
          <w:szCs w:val="22"/>
        </w:rPr>
        <w:t>.</w:t>
      </w:r>
    </w:p>
    <w:p w14:paraId="4F623D61" w14:textId="77777777" w:rsidR="00AF049C" w:rsidRPr="003F50C8" w:rsidRDefault="00AF049C" w:rsidP="003F50C8">
      <w:pPr>
        <w:jc w:val="both"/>
        <w:rPr>
          <w:rFonts w:ascii="Bookman Old Style" w:hAnsi="Bookman Old Style"/>
          <w:b/>
          <w:bCs/>
          <w:color w:val="000000" w:themeColor="text1"/>
          <w:sz w:val="22"/>
          <w:szCs w:val="22"/>
        </w:rPr>
      </w:pPr>
    </w:p>
    <w:p w14:paraId="06D99A64" w14:textId="77777777" w:rsidR="00AF049C" w:rsidRPr="003F50C8" w:rsidRDefault="00AF049C" w:rsidP="003F50C8">
      <w:pPr>
        <w:pStyle w:val="Sinespaciado"/>
        <w:jc w:val="both"/>
        <w:rPr>
          <w:rFonts w:ascii="Bookman Old Style" w:hAnsi="Bookman Old Style" w:cstheme="minorHAnsi"/>
        </w:rPr>
      </w:pPr>
      <w:r w:rsidRPr="003F50C8">
        <w:rPr>
          <w:rFonts w:ascii="Bookman Old Style" w:hAnsi="Bookman Old Style" w:cstheme="minorHAnsi"/>
        </w:rPr>
        <w:lastRenderedPageBreak/>
        <w:t xml:space="preserve">El </w:t>
      </w:r>
      <w:r w:rsidRPr="003F50C8">
        <w:rPr>
          <w:rFonts w:ascii="Bookman Old Style" w:hAnsi="Bookman Old Style" w:cstheme="minorHAnsi"/>
          <w:i/>
        </w:rPr>
        <w:t>fracking</w:t>
      </w:r>
      <w:r w:rsidRPr="003F50C8">
        <w:rPr>
          <w:rFonts w:ascii="Bookman Old Style" w:hAnsi="Bookman Old Style" w:cstheme="minorHAnsi"/>
        </w:rPr>
        <w:t xml:space="preserve"> puede causar daños graves e irreparables en la salud de las personas: cáncer, daños en el sistema inmunológico, cambios en la química de la sangre; toxicidad en los pulmones, hígado y riñones; daños en el sistema reproductivo; nacimientos con bajo peso y defectos congénitos; e incremento en la incidencia de deficiencias cardíacas congénitas, entre otras afecciones graves</w:t>
      </w:r>
      <w:r w:rsidRPr="003F50C8">
        <w:rPr>
          <w:rStyle w:val="Refdenotaalpie"/>
          <w:rFonts w:ascii="Bookman Old Style" w:hAnsi="Bookman Old Style" w:cstheme="minorHAnsi"/>
        </w:rPr>
        <w:footnoteReference w:id="30"/>
      </w:r>
      <w:r w:rsidR="00981EA5" w:rsidRPr="003F50C8">
        <w:rPr>
          <w:rFonts w:ascii="Bookman Old Style" w:hAnsi="Bookman Old Style" w:cstheme="minorHAnsi"/>
        </w:rPr>
        <w:t>.</w:t>
      </w:r>
    </w:p>
    <w:p w14:paraId="6504B43C" w14:textId="77777777" w:rsidR="00AF049C" w:rsidRPr="003F50C8" w:rsidRDefault="00AF049C" w:rsidP="003F50C8">
      <w:pPr>
        <w:jc w:val="both"/>
        <w:rPr>
          <w:rFonts w:ascii="Bookman Old Style" w:hAnsi="Bookman Old Style"/>
          <w:b/>
          <w:bCs/>
          <w:color w:val="000000" w:themeColor="text1"/>
          <w:sz w:val="22"/>
          <w:szCs w:val="22"/>
        </w:rPr>
      </w:pPr>
    </w:p>
    <w:p w14:paraId="00834DB3" w14:textId="77777777" w:rsidR="007E129E" w:rsidRPr="003F50C8" w:rsidRDefault="007E129E"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Si bien </w:t>
      </w:r>
      <w:r w:rsidR="00FD28B7" w:rsidRPr="003F50C8">
        <w:rPr>
          <w:rFonts w:ascii="Bookman Old Style" w:hAnsi="Bookman Old Style"/>
          <w:sz w:val="22"/>
          <w:szCs w:val="22"/>
          <w:lang w:val="es-ES"/>
        </w:rPr>
        <w:t xml:space="preserve">la industria </w:t>
      </w:r>
      <w:r w:rsidRPr="003F50C8">
        <w:rPr>
          <w:rFonts w:ascii="Bookman Old Style" w:hAnsi="Bookman Old Style"/>
          <w:sz w:val="22"/>
          <w:szCs w:val="22"/>
          <w:lang w:val="es-ES"/>
        </w:rPr>
        <w:t>argumenta que los químicos utilizados</w:t>
      </w:r>
      <w:r w:rsidR="00FD28B7" w:rsidRPr="003F50C8">
        <w:rPr>
          <w:rFonts w:ascii="Bookman Old Style" w:hAnsi="Bookman Old Style"/>
          <w:sz w:val="22"/>
          <w:szCs w:val="22"/>
          <w:lang w:val="es-ES"/>
        </w:rPr>
        <w:t xml:space="preserve"> en el fracking</w:t>
      </w:r>
      <w:r w:rsidRPr="003F50C8">
        <w:rPr>
          <w:rFonts w:ascii="Bookman Old Style" w:hAnsi="Bookman Old Style"/>
          <w:sz w:val="22"/>
          <w:szCs w:val="22"/>
          <w:lang w:val="es-ES"/>
        </w:rPr>
        <w:t xml:space="preserve"> no son dañinos, un estudio publicado en el </w:t>
      </w:r>
      <w:r w:rsidRPr="003F50C8">
        <w:rPr>
          <w:rFonts w:ascii="Bookman Old Style" w:hAnsi="Bookman Old Style"/>
          <w:i/>
          <w:sz w:val="22"/>
          <w:szCs w:val="22"/>
          <w:lang w:val="es-ES"/>
        </w:rPr>
        <w:t>Journal of Exposure Science and Environmental Epidemiology</w:t>
      </w:r>
      <w:r w:rsidR="00B463B4" w:rsidRPr="003F50C8">
        <w:rPr>
          <w:rStyle w:val="Refdenotaalpie"/>
          <w:rFonts w:ascii="Bookman Old Style" w:hAnsi="Bookman Old Style"/>
          <w:sz w:val="22"/>
          <w:szCs w:val="22"/>
          <w:lang w:val="es-ES"/>
        </w:rPr>
        <w:footnoteReference w:id="31"/>
      </w:r>
      <w:r w:rsidR="00054687" w:rsidRPr="003F50C8">
        <w:rPr>
          <w:rFonts w:ascii="Bookman Old Style" w:hAnsi="Bookman Old Style"/>
          <w:sz w:val="22"/>
          <w:szCs w:val="22"/>
          <w:lang w:val="es-ES"/>
        </w:rPr>
        <w:t xml:space="preserve"> en </w:t>
      </w:r>
      <w:r w:rsidR="00FA10C2" w:rsidRPr="003F50C8">
        <w:rPr>
          <w:rFonts w:ascii="Bookman Old Style" w:hAnsi="Bookman Old Style"/>
          <w:sz w:val="22"/>
          <w:szCs w:val="22"/>
          <w:lang w:val="es-ES"/>
        </w:rPr>
        <w:t xml:space="preserve">el año </w:t>
      </w:r>
      <w:r w:rsidR="00054687" w:rsidRPr="003F50C8">
        <w:rPr>
          <w:rFonts w:ascii="Bookman Old Style" w:hAnsi="Bookman Old Style"/>
          <w:sz w:val="22"/>
          <w:szCs w:val="22"/>
          <w:lang w:val="es-ES"/>
        </w:rPr>
        <w:t>2016,</w:t>
      </w:r>
      <w:r w:rsidRPr="003F50C8">
        <w:rPr>
          <w:rFonts w:ascii="Bookman Old Style" w:hAnsi="Bookman Old Style"/>
          <w:sz w:val="22"/>
          <w:szCs w:val="22"/>
          <w:lang w:val="es-ES"/>
        </w:rPr>
        <w:t xml:space="preserve"> por investigadores de la Universidad de Salud Pública de Yale</w:t>
      </w:r>
      <w:r w:rsidR="00B463B4"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que los químicos usados en </w:t>
      </w:r>
      <w:r w:rsidR="00FA10C2" w:rsidRPr="003F50C8">
        <w:rPr>
          <w:rFonts w:ascii="Bookman Old Style" w:hAnsi="Bookman Old Style"/>
          <w:sz w:val="22"/>
          <w:szCs w:val="22"/>
          <w:lang w:val="es-ES"/>
        </w:rPr>
        <w:t xml:space="preserve">el </w:t>
      </w:r>
      <w:r w:rsidRPr="003F50C8">
        <w:rPr>
          <w:rFonts w:ascii="Bookman Old Style" w:hAnsi="Bookman Old Style"/>
          <w:sz w:val="22"/>
          <w:szCs w:val="22"/>
          <w:lang w:val="es-ES"/>
        </w:rPr>
        <w:t>fracking y el agua residual son tóxicos. Se analizaron más de 1,000 químicos usados en fluidos y se encontró que estos están asociados con problemas reproductivos y de desarrollo, adicionalmente</w:t>
      </w:r>
      <w:r w:rsidR="00B463B4" w:rsidRPr="003F50C8">
        <w:rPr>
          <w:rFonts w:ascii="Bookman Old Style" w:hAnsi="Bookman Old Style"/>
          <w:sz w:val="22"/>
          <w:szCs w:val="22"/>
          <w:lang w:val="es-ES"/>
        </w:rPr>
        <w:t>,</w:t>
      </w:r>
      <w:r w:rsidRPr="003F50C8">
        <w:rPr>
          <w:rFonts w:ascii="Bookman Old Style" w:hAnsi="Bookman Old Style"/>
          <w:sz w:val="22"/>
          <w:szCs w:val="22"/>
          <w:lang w:val="es-ES"/>
        </w:rPr>
        <w:t xml:space="preserve"> el efecto de muchos de estos químicos sobre la salud y su toxicidad no se conoce exactamente. Lo anterior es alarmante por el potencial que existe que estos químicos contaminen acuíferos.</w:t>
      </w:r>
    </w:p>
    <w:p w14:paraId="48486EB8" w14:textId="77777777" w:rsidR="007E129E" w:rsidRPr="003F50C8" w:rsidRDefault="007E129E" w:rsidP="003F50C8">
      <w:pPr>
        <w:pStyle w:val="Prrafodelista"/>
        <w:ind w:left="2160"/>
        <w:jc w:val="both"/>
        <w:rPr>
          <w:rFonts w:ascii="Bookman Old Style" w:hAnsi="Bookman Old Style"/>
          <w:sz w:val="22"/>
          <w:szCs w:val="22"/>
          <w:lang w:val="es-ES"/>
        </w:rPr>
      </w:pPr>
    </w:p>
    <w:p w14:paraId="1DCC6682" w14:textId="77777777" w:rsidR="007E129E" w:rsidRPr="003F50C8" w:rsidRDefault="004C3232"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Por su parte, e</w:t>
      </w:r>
      <w:r w:rsidR="007E129E" w:rsidRPr="003F50C8">
        <w:rPr>
          <w:rFonts w:ascii="Bookman Old Style" w:hAnsi="Bookman Old Style"/>
          <w:sz w:val="22"/>
          <w:szCs w:val="22"/>
          <w:lang w:val="es-ES"/>
        </w:rPr>
        <w:t xml:space="preserve">n un </w:t>
      </w:r>
      <w:r w:rsidRPr="003F50C8">
        <w:rPr>
          <w:rFonts w:ascii="Bookman Old Style" w:hAnsi="Bookman Old Style"/>
          <w:sz w:val="22"/>
          <w:szCs w:val="22"/>
          <w:lang w:val="es-ES"/>
        </w:rPr>
        <w:t xml:space="preserve">estudio publicado en </w:t>
      </w:r>
      <w:r w:rsidR="007E129E" w:rsidRPr="003F50C8">
        <w:rPr>
          <w:rFonts w:ascii="Bookman Old Style" w:hAnsi="Bookman Old Style"/>
          <w:sz w:val="22"/>
          <w:szCs w:val="22"/>
          <w:lang w:val="es-ES"/>
        </w:rPr>
        <w:t xml:space="preserve">2017 en el </w:t>
      </w:r>
      <w:r w:rsidR="007E129E" w:rsidRPr="003F50C8">
        <w:rPr>
          <w:rFonts w:ascii="Bookman Old Style" w:hAnsi="Bookman Old Style"/>
          <w:i/>
          <w:sz w:val="22"/>
          <w:szCs w:val="22"/>
          <w:lang w:val="es-ES"/>
        </w:rPr>
        <w:t>Journal Science Advances</w:t>
      </w:r>
      <w:r w:rsidRPr="003F50C8">
        <w:rPr>
          <w:rStyle w:val="Refdenotaalpie"/>
          <w:rFonts w:ascii="Bookman Old Style" w:hAnsi="Bookman Old Style"/>
          <w:i/>
          <w:sz w:val="22"/>
          <w:szCs w:val="22"/>
          <w:lang w:val="es-ES"/>
        </w:rPr>
        <w:footnoteReference w:id="32"/>
      </w:r>
      <w:r w:rsidR="007E129E" w:rsidRPr="003F50C8">
        <w:rPr>
          <w:rFonts w:ascii="Bookman Old Style" w:hAnsi="Bookman Old Style"/>
          <w:sz w:val="22"/>
          <w:szCs w:val="22"/>
          <w:lang w:val="es-ES"/>
        </w:rPr>
        <w:t xml:space="preserve"> por investigadores de las universidades de Princeton, Chicago y UCLA</w:t>
      </w:r>
      <w:r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w:t>
      </w:r>
      <w:r w:rsidRPr="003F50C8">
        <w:rPr>
          <w:rFonts w:ascii="Bookman Old Style" w:hAnsi="Bookman Old Style"/>
          <w:sz w:val="22"/>
          <w:szCs w:val="22"/>
          <w:lang w:val="es-ES"/>
        </w:rPr>
        <w:t>se encontró</w:t>
      </w:r>
      <w:r w:rsidR="007E129E" w:rsidRPr="003F50C8">
        <w:rPr>
          <w:rFonts w:ascii="Bookman Old Style" w:hAnsi="Bookman Old Style"/>
          <w:sz w:val="22"/>
          <w:szCs w:val="22"/>
          <w:lang w:val="es-ES"/>
        </w:rPr>
        <w:t xml:space="preserve"> evidencia que el fracking está asociado con problemas de salud en la niñez.</w:t>
      </w:r>
    </w:p>
    <w:p w14:paraId="45854A1D" w14:textId="77777777" w:rsidR="007E129E" w:rsidRPr="003F50C8" w:rsidRDefault="007E129E" w:rsidP="003F50C8">
      <w:pPr>
        <w:pStyle w:val="Prrafodelista"/>
        <w:ind w:left="0"/>
        <w:jc w:val="both"/>
        <w:rPr>
          <w:rFonts w:ascii="Bookman Old Style" w:hAnsi="Bookman Old Style"/>
          <w:sz w:val="22"/>
          <w:szCs w:val="22"/>
          <w:lang w:val="es-ES"/>
        </w:rPr>
      </w:pPr>
    </w:p>
    <w:p w14:paraId="25791FEA" w14:textId="77777777" w:rsidR="007E129E" w:rsidRPr="003F50C8" w:rsidRDefault="00AC3289"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En </w:t>
      </w:r>
      <w:r w:rsidR="00FA10C2" w:rsidRPr="003F50C8">
        <w:rPr>
          <w:rFonts w:ascii="Bookman Old Style" w:hAnsi="Bookman Old Style"/>
          <w:sz w:val="22"/>
          <w:szCs w:val="22"/>
          <w:lang w:val="es-ES"/>
        </w:rPr>
        <w:t>dicho</w:t>
      </w:r>
      <w:r w:rsidRPr="003F50C8">
        <w:rPr>
          <w:rFonts w:ascii="Bookman Old Style" w:hAnsi="Bookman Old Style"/>
          <w:sz w:val="22"/>
          <w:szCs w:val="22"/>
          <w:lang w:val="es-ES"/>
        </w:rPr>
        <w:t xml:space="preserve"> estudio, s</w:t>
      </w:r>
      <w:r w:rsidR="007E129E" w:rsidRPr="003F50C8">
        <w:rPr>
          <w:rFonts w:ascii="Bookman Old Style" w:hAnsi="Bookman Old Style"/>
          <w:sz w:val="22"/>
          <w:szCs w:val="22"/>
          <w:lang w:val="es-ES"/>
        </w:rPr>
        <w:t>e tomó el registro de t</w:t>
      </w:r>
      <w:r w:rsidR="00FA10C2" w:rsidRPr="003F50C8">
        <w:rPr>
          <w:rFonts w:ascii="Bookman Old Style" w:hAnsi="Bookman Old Style"/>
          <w:sz w:val="22"/>
          <w:szCs w:val="22"/>
          <w:lang w:val="es-ES"/>
        </w:rPr>
        <w:t>odos los niños nacidos en Pensi</w:t>
      </w:r>
      <w:r w:rsidR="007E129E" w:rsidRPr="003F50C8">
        <w:rPr>
          <w:rFonts w:ascii="Bookman Old Style" w:hAnsi="Bookman Old Style"/>
          <w:sz w:val="22"/>
          <w:szCs w:val="22"/>
          <w:lang w:val="es-ES"/>
        </w:rPr>
        <w:t xml:space="preserve">lvania entre </w:t>
      </w:r>
      <w:r w:rsidR="00FA10C2" w:rsidRPr="003F50C8">
        <w:rPr>
          <w:rFonts w:ascii="Bookman Old Style" w:hAnsi="Bookman Old Style"/>
          <w:sz w:val="22"/>
          <w:szCs w:val="22"/>
          <w:lang w:val="es-ES"/>
        </w:rPr>
        <w:t xml:space="preserve">los años de </w:t>
      </w:r>
      <w:r w:rsidR="007E129E" w:rsidRPr="003F50C8">
        <w:rPr>
          <w:rFonts w:ascii="Bookman Old Style" w:hAnsi="Bookman Old Style"/>
          <w:sz w:val="22"/>
          <w:szCs w:val="22"/>
          <w:lang w:val="es-ES"/>
        </w:rPr>
        <w:t xml:space="preserve">2004 y </w:t>
      </w:r>
      <w:r w:rsidR="00FA10C2" w:rsidRPr="003F50C8">
        <w:rPr>
          <w:rFonts w:ascii="Bookman Old Style" w:hAnsi="Bookman Old Style"/>
          <w:sz w:val="22"/>
          <w:szCs w:val="22"/>
          <w:lang w:val="es-ES"/>
        </w:rPr>
        <w:t xml:space="preserve">2013 (más de 1.1 millones) y su </w:t>
      </w:r>
      <w:r w:rsidR="007E129E" w:rsidRPr="003F50C8">
        <w:rPr>
          <w:rFonts w:ascii="Bookman Old Style" w:hAnsi="Bookman Old Style"/>
          <w:sz w:val="22"/>
          <w:szCs w:val="22"/>
          <w:lang w:val="es-ES"/>
        </w:rPr>
        <w:t>cercanía a pozos de fracking durante los 9 meses de gestación.</w:t>
      </w:r>
      <w:r w:rsidR="00227389" w:rsidRPr="003F50C8">
        <w:rPr>
          <w:rFonts w:ascii="Bookman Old Style" w:hAnsi="Bookman Old Style"/>
          <w:sz w:val="22"/>
          <w:szCs w:val="22"/>
          <w:lang w:val="es-ES"/>
        </w:rPr>
        <w:t xml:space="preserve"> </w:t>
      </w:r>
      <w:r w:rsidR="007E129E" w:rsidRPr="003F50C8">
        <w:rPr>
          <w:rFonts w:ascii="Bookman Old Style" w:hAnsi="Bookman Old Style"/>
          <w:sz w:val="22"/>
          <w:szCs w:val="22"/>
          <w:lang w:val="es-ES"/>
        </w:rPr>
        <w:t xml:space="preserve">Los niños que nacieron de madres que vivían en un radio de </w:t>
      </w:r>
      <w:r w:rsidR="00104C03" w:rsidRPr="003F50C8">
        <w:rPr>
          <w:rFonts w:ascii="Bookman Old Style" w:hAnsi="Bookman Old Style"/>
          <w:sz w:val="22"/>
          <w:szCs w:val="22"/>
          <w:lang w:val="es-ES"/>
        </w:rPr>
        <w:t>3.2Km (</w:t>
      </w:r>
      <w:r w:rsidR="007E129E" w:rsidRPr="003F50C8">
        <w:rPr>
          <w:rFonts w:ascii="Bookman Old Style" w:hAnsi="Bookman Old Style"/>
          <w:sz w:val="22"/>
          <w:szCs w:val="22"/>
          <w:lang w:val="es-ES"/>
        </w:rPr>
        <w:t>2 millas</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de un pozo de fracking eran menos saludables y pesaban menos. Los bebes que vivieron entre</w:t>
      </w:r>
      <w:r w:rsidR="00104C03" w:rsidRPr="003F50C8">
        <w:rPr>
          <w:rFonts w:ascii="Bookman Old Style" w:hAnsi="Bookman Old Style"/>
          <w:sz w:val="22"/>
          <w:szCs w:val="22"/>
          <w:lang w:val="es-ES"/>
        </w:rPr>
        <w:t xml:space="preserve"> 4.8 y 24.1Km</w:t>
      </w:r>
      <w:r w:rsidR="007E129E" w:rsidRPr="003F50C8">
        <w:rPr>
          <w:rFonts w:ascii="Bookman Old Style" w:hAnsi="Bookman Old Style"/>
          <w:sz w:val="22"/>
          <w:szCs w:val="22"/>
          <w:lang w:val="es-ES"/>
        </w:rPr>
        <w:t xml:space="preserve"> </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3 y 15 millas</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de distancia del pozo, presentaban condiciones similares a los bebes nacidos en el resto del estado.</w:t>
      </w:r>
      <w:r w:rsidR="00313545" w:rsidRPr="003F50C8">
        <w:rPr>
          <w:rFonts w:ascii="Bookman Old Style" w:hAnsi="Bookman Old Style"/>
          <w:sz w:val="22"/>
          <w:szCs w:val="22"/>
          <w:lang w:val="es-ES"/>
        </w:rPr>
        <w:t xml:space="preserve"> </w:t>
      </w:r>
      <w:r w:rsidR="007E129E" w:rsidRPr="003F50C8">
        <w:rPr>
          <w:rFonts w:ascii="Bookman Old Style" w:hAnsi="Bookman Old Style"/>
          <w:sz w:val="22"/>
          <w:szCs w:val="22"/>
          <w:lang w:val="es-ES"/>
        </w:rPr>
        <w:t>Adicionalmente</w:t>
      </w:r>
      <w:r w:rsidR="00313545"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los bebes gestados en proximidad a un pozo tienen un peso significativamente más bajo que sus hermanos que no lo fueron.  </w:t>
      </w:r>
    </w:p>
    <w:p w14:paraId="32CA24A2" w14:textId="77777777" w:rsidR="00227389" w:rsidRPr="003F50C8" w:rsidRDefault="00227389" w:rsidP="003F50C8">
      <w:pPr>
        <w:jc w:val="both"/>
        <w:rPr>
          <w:rFonts w:ascii="Bookman Old Style" w:hAnsi="Bookman Old Style"/>
          <w:b/>
          <w:bCs/>
          <w:color w:val="000000" w:themeColor="text1"/>
          <w:sz w:val="22"/>
          <w:szCs w:val="22"/>
        </w:rPr>
      </w:pPr>
    </w:p>
    <w:p w14:paraId="0FEC1F6A" w14:textId="77777777" w:rsidR="002E1FE2" w:rsidRPr="00AF1FAD" w:rsidRDefault="002E1FE2" w:rsidP="00A43A7E">
      <w:pPr>
        <w:pStyle w:val="Prrafodelista"/>
        <w:numPr>
          <w:ilvl w:val="2"/>
          <w:numId w:val="1"/>
        </w:numPr>
        <w:ind w:left="0" w:firstLine="0"/>
        <w:jc w:val="both"/>
        <w:rPr>
          <w:rFonts w:ascii="Bookman Old Style" w:hAnsi="Bookman Old Style"/>
          <w:b/>
          <w:bCs/>
          <w:color w:val="000000" w:themeColor="text1"/>
          <w:sz w:val="22"/>
          <w:szCs w:val="22"/>
        </w:rPr>
      </w:pPr>
      <w:r w:rsidRPr="00AF1FAD">
        <w:rPr>
          <w:rFonts w:ascii="Bookman Old Style" w:hAnsi="Bookman Old Style"/>
          <w:b/>
          <w:bCs/>
          <w:color w:val="000000" w:themeColor="text1"/>
          <w:sz w:val="22"/>
          <w:szCs w:val="22"/>
        </w:rPr>
        <w:t>Impactos sobre las comunidades</w:t>
      </w:r>
      <w:r w:rsidR="00A43A7E" w:rsidRPr="00AF1FAD">
        <w:rPr>
          <w:rFonts w:ascii="Bookman Old Style" w:hAnsi="Bookman Old Style"/>
          <w:b/>
          <w:bCs/>
          <w:color w:val="000000" w:themeColor="text1"/>
          <w:sz w:val="22"/>
          <w:szCs w:val="22"/>
        </w:rPr>
        <w:t>.</w:t>
      </w:r>
    </w:p>
    <w:p w14:paraId="707DE0B3" w14:textId="77777777" w:rsidR="00765831" w:rsidRPr="003F50C8" w:rsidRDefault="00765831" w:rsidP="003F50C8">
      <w:pPr>
        <w:jc w:val="both"/>
        <w:rPr>
          <w:rFonts w:ascii="Bookman Old Style" w:hAnsi="Bookman Old Style"/>
          <w:sz w:val="22"/>
          <w:szCs w:val="22"/>
          <w:highlight w:val="yellow"/>
          <w:lang w:val="es-ES"/>
        </w:rPr>
      </w:pPr>
    </w:p>
    <w:p w14:paraId="62F4E91B" w14:textId="77777777" w:rsidR="00A6546B" w:rsidRDefault="005A1791" w:rsidP="003F50C8">
      <w:pPr>
        <w:jc w:val="both"/>
        <w:rPr>
          <w:rFonts w:ascii="Bookman Old Style" w:hAnsi="Bookman Old Style"/>
          <w:sz w:val="22"/>
          <w:szCs w:val="22"/>
          <w:lang w:val="es-ES"/>
        </w:rPr>
      </w:pPr>
      <w:r w:rsidRPr="003F50C8">
        <w:rPr>
          <w:rFonts w:ascii="Bookman Old Style" w:hAnsi="Bookman Old Style"/>
          <w:sz w:val="22"/>
          <w:szCs w:val="22"/>
          <w:lang w:val="es-ES"/>
        </w:rPr>
        <w:lastRenderedPageBreak/>
        <w:t>Según</w:t>
      </w:r>
      <w:r w:rsidR="00CC6B57" w:rsidRPr="003F50C8">
        <w:rPr>
          <w:rFonts w:ascii="Bookman Old Style" w:hAnsi="Bookman Old Style"/>
          <w:sz w:val="22"/>
          <w:szCs w:val="22"/>
          <w:lang w:val="es-ES"/>
        </w:rPr>
        <w:t xml:space="preserve"> estudio</w:t>
      </w:r>
      <w:r w:rsidR="006C37CD" w:rsidRPr="003F50C8">
        <w:rPr>
          <w:rStyle w:val="Refdenotaalpie"/>
          <w:rFonts w:ascii="Bookman Old Style" w:hAnsi="Bookman Old Style"/>
          <w:sz w:val="22"/>
          <w:szCs w:val="22"/>
          <w:lang w:val="es-ES"/>
        </w:rPr>
        <w:footnoteReference w:id="33"/>
      </w:r>
      <w:r w:rsidR="00CC6B57" w:rsidRPr="003F50C8">
        <w:rPr>
          <w:rFonts w:ascii="Bookman Old Style" w:hAnsi="Bookman Old Style"/>
          <w:sz w:val="22"/>
          <w:szCs w:val="22"/>
          <w:lang w:val="es-ES"/>
        </w:rPr>
        <w:t xml:space="preserve"> del Grupo de Investigación</w:t>
      </w:r>
      <w:r w:rsidR="00C271A9" w:rsidRPr="003F50C8">
        <w:rPr>
          <w:rFonts w:ascii="Bookman Old Style" w:hAnsi="Bookman Old Style"/>
          <w:sz w:val="22"/>
          <w:szCs w:val="22"/>
          <w:lang w:val="es-ES"/>
        </w:rPr>
        <w:t xml:space="preserve"> de</w:t>
      </w:r>
      <w:r w:rsidR="00CC6B57" w:rsidRPr="003F50C8">
        <w:rPr>
          <w:rFonts w:ascii="Bookman Old Style" w:hAnsi="Bookman Old Style"/>
          <w:sz w:val="22"/>
          <w:szCs w:val="22"/>
          <w:lang w:val="es-ES"/>
        </w:rPr>
        <w:t xml:space="preserve"> Avner Veng</w:t>
      </w:r>
      <w:r w:rsidR="006C37CD" w:rsidRPr="003F50C8">
        <w:rPr>
          <w:rFonts w:ascii="Bookman Old Style" w:hAnsi="Bookman Old Style"/>
          <w:sz w:val="22"/>
          <w:szCs w:val="22"/>
          <w:lang w:val="es-ES"/>
        </w:rPr>
        <w:t xml:space="preserve">osh de la Universidad de Duke </w:t>
      </w:r>
      <w:r w:rsidR="00C271A9" w:rsidRPr="003F50C8">
        <w:rPr>
          <w:rFonts w:ascii="Bookman Old Style" w:hAnsi="Bookman Old Style"/>
          <w:sz w:val="22"/>
          <w:szCs w:val="22"/>
          <w:lang w:val="es-ES"/>
        </w:rPr>
        <w:t xml:space="preserve">en Estados Unidos, </w:t>
      </w:r>
      <w:r w:rsidR="00CC6B57" w:rsidRPr="003F50C8">
        <w:rPr>
          <w:rFonts w:ascii="Bookman Old Style" w:hAnsi="Bookman Old Style"/>
          <w:sz w:val="22"/>
          <w:szCs w:val="22"/>
          <w:lang w:val="es-ES"/>
        </w:rPr>
        <w:t xml:space="preserve">publicado en el </w:t>
      </w:r>
      <w:r w:rsidR="00CC6B57" w:rsidRPr="003F50C8">
        <w:rPr>
          <w:rFonts w:ascii="Bookman Old Style" w:hAnsi="Bookman Old Style"/>
          <w:i/>
          <w:sz w:val="22"/>
          <w:szCs w:val="22"/>
          <w:lang w:val="es-ES"/>
        </w:rPr>
        <w:t>Journal of Science Advances</w:t>
      </w:r>
      <w:r w:rsidRPr="003F50C8">
        <w:rPr>
          <w:rFonts w:ascii="Bookman Old Style" w:hAnsi="Bookman Old Style"/>
          <w:sz w:val="22"/>
          <w:szCs w:val="22"/>
          <w:lang w:val="es-ES"/>
        </w:rPr>
        <w:t xml:space="preserve">, </w:t>
      </w:r>
      <w:r w:rsidR="006C37CD" w:rsidRPr="003F50C8">
        <w:rPr>
          <w:rFonts w:ascii="Bookman Old Style" w:hAnsi="Bookman Old Style"/>
          <w:sz w:val="22"/>
          <w:szCs w:val="22"/>
          <w:lang w:val="es-ES"/>
        </w:rPr>
        <w:t xml:space="preserve">si bien el uso del agua por el fracking no es considerable con el de otras industrias a nivel nacional, en un nivel local sí puede causar conflictos sobre el acceso al agua, en especial en zonas áridas. </w:t>
      </w:r>
      <w:r w:rsidR="00473F21">
        <w:rPr>
          <w:rFonts w:ascii="Bookman Old Style" w:hAnsi="Bookman Old Style"/>
          <w:sz w:val="22"/>
          <w:szCs w:val="22"/>
          <w:lang w:val="es-ES"/>
        </w:rPr>
        <w:t>Aunado a que este no es el único tipo de conflicto que surge por su implementación</w:t>
      </w:r>
      <w:r w:rsidR="00A6546B">
        <w:rPr>
          <w:rFonts w:ascii="Bookman Old Style" w:hAnsi="Bookman Old Style"/>
          <w:sz w:val="22"/>
          <w:szCs w:val="22"/>
          <w:lang w:val="es-ES"/>
        </w:rPr>
        <w:t>.</w:t>
      </w:r>
      <w:r w:rsidR="00473F21">
        <w:rPr>
          <w:rFonts w:ascii="Bookman Old Style" w:hAnsi="Bookman Old Style"/>
          <w:sz w:val="22"/>
          <w:szCs w:val="22"/>
          <w:lang w:val="es-ES"/>
        </w:rPr>
        <w:t xml:space="preserve"> </w:t>
      </w:r>
    </w:p>
    <w:p w14:paraId="7F698D67" w14:textId="77777777" w:rsidR="00A6546B" w:rsidRDefault="00A6546B" w:rsidP="003F50C8">
      <w:pPr>
        <w:jc w:val="both"/>
        <w:rPr>
          <w:rFonts w:ascii="Bookman Old Style" w:hAnsi="Bookman Old Style"/>
          <w:sz w:val="22"/>
          <w:szCs w:val="22"/>
          <w:lang w:val="es-ES"/>
        </w:rPr>
      </w:pPr>
    </w:p>
    <w:p w14:paraId="326C5998" w14:textId="06E1810A" w:rsidR="00EE5267" w:rsidRDefault="00A6546B" w:rsidP="003F50C8">
      <w:pPr>
        <w:jc w:val="both"/>
        <w:rPr>
          <w:rFonts w:ascii="Bookman Old Style" w:hAnsi="Bookman Old Style"/>
          <w:sz w:val="22"/>
          <w:szCs w:val="22"/>
          <w:lang w:val="es-ES"/>
        </w:rPr>
      </w:pPr>
      <w:r>
        <w:rPr>
          <w:rFonts w:ascii="Bookman Old Style" w:hAnsi="Bookman Old Style"/>
          <w:sz w:val="22"/>
          <w:szCs w:val="22"/>
          <w:lang w:val="es-ES"/>
        </w:rPr>
        <w:t>E</w:t>
      </w:r>
      <w:r w:rsidR="00473F21">
        <w:rPr>
          <w:rFonts w:ascii="Bookman Old Style" w:hAnsi="Bookman Old Style"/>
          <w:sz w:val="22"/>
          <w:szCs w:val="22"/>
          <w:lang w:val="es-ES"/>
        </w:rPr>
        <w:t>n Puerto Wilches</w:t>
      </w:r>
      <w:r>
        <w:rPr>
          <w:rFonts w:ascii="Bookman Old Style" w:hAnsi="Bookman Old Style"/>
          <w:sz w:val="22"/>
          <w:szCs w:val="22"/>
          <w:lang w:val="es-ES"/>
        </w:rPr>
        <w:t>, municipio del departamento de Santander,</w:t>
      </w:r>
      <w:r w:rsidR="00473F21">
        <w:rPr>
          <w:rFonts w:ascii="Bookman Old Style" w:hAnsi="Bookman Old Style"/>
          <w:sz w:val="22"/>
          <w:szCs w:val="22"/>
          <w:lang w:val="es-ES"/>
        </w:rPr>
        <w:t xml:space="preserve"> </w:t>
      </w:r>
      <w:r>
        <w:rPr>
          <w:rFonts w:ascii="Bookman Old Style" w:hAnsi="Bookman Old Style"/>
          <w:sz w:val="22"/>
          <w:szCs w:val="22"/>
          <w:lang w:val="es-ES"/>
        </w:rPr>
        <w:t xml:space="preserve">existe un </w:t>
      </w:r>
      <w:r w:rsidR="00473F21">
        <w:rPr>
          <w:rFonts w:ascii="Bookman Old Style" w:hAnsi="Bookman Old Style"/>
          <w:sz w:val="22"/>
          <w:szCs w:val="22"/>
          <w:lang w:val="es-ES"/>
        </w:rPr>
        <w:t>conflicto social</w:t>
      </w:r>
      <w:r>
        <w:rPr>
          <w:rFonts w:ascii="Bookman Old Style" w:hAnsi="Bookman Old Style"/>
          <w:sz w:val="22"/>
          <w:szCs w:val="22"/>
          <w:lang w:val="es-ES"/>
        </w:rPr>
        <w:t xml:space="preserve"> entre la comunidad que habita el departamento y Ecopetrol, lugar en donde se busca implementar el primer proyecto piloto de fracking en el país.</w:t>
      </w:r>
      <w:r w:rsidR="00473F21">
        <w:rPr>
          <w:rFonts w:ascii="Bookman Old Style" w:hAnsi="Bookman Old Style"/>
          <w:sz w:val="22"/>
          <w:szCs w:val="22"/>
          <w:lang w:val="es-ES"/>
        </w:rPr>
        <w:t xml:space="preserve"> </w:t>
      </w:r>
      <w:r w:rsidR="00F1633D">
        <w:rPr>
          <w:rFonts w:ascii="Bookman Old Style" w:hAnsi="Bookman Old Style"/>
          <w:sz w:val="22"/>
          <w:szCs w:val="22"/>
          <w:lang w:val="es-ES"/>
        </w:rPr>
        <w:t>La comunidad ha rechazado de manera reiterada la iniciativa argumentando que el proyecto generaría un impacto ambiental en detrimento de las fuentes hídricas, el medio ambiente, los recursos naturales y la salud y vida de la población. Exigiendo que se respete la voluntad de la comunidad y no sean obligados a sufrir las consecuencias nocivas que implicaría el fracking en el departamento.</w:t>
      </w:r>
    </w:p>
    <w:p w14:paraId="14201369" w14:textId="0EA05B46" w:rsidR="00DB5E29" w:rsidRDefault="00DB5E29" w:rsidP="003F50C8">
      <w:pPr>
        <w:jc w:val="both"/>
        <w:rPr>
          <w:rFonts w:ascii="Bookman Old Style" w:hAnsi="Bookman Old Style"/>
          <w:sz w:val="22"/>
          <w:szCs w:val="22"/>
          <w:lang w:val="es-ES"/>
        </w:rPr>
      </w:pPr>
    </w:p>
    <w:p w14:paraId="38DA3C03" w14:textId="777A2A35" w:rsidR="00DB5E29" w:rsidRDefault="00DB5E29" w:rsidP="003F50C8">
      <w:pPr>
        <w:jc w:val="both"/>
        <w:rPr>
          <w:rFonts w:ascii="Bookman Old Style" w:hAnsi="Bookman Old Style"/>
          <w:sz w:val="22"/>
          <w:szCs w:val="22"/>
          <w:lang w:val="es-ES"/>
        </w:rPr>
      </w:pPr>
      <w:r>
        <w:rPr>
          <w:rFonts w:ascii="Bookman Old Style" w:hAnsi="Bookman Old Style"/>
          <w:sz w:val="22"/>
          <w:szCs w:val="22"/>
          <w:lang w:val="es-ES"/>
        </w:rPr>
        <w:t xml:space="preserve">Tanto así </w:t>
      </w:r>
      <w:r w:rsidR="00336BF6">
        <w:rPr>
          <w:rFonts w:ascii="Bookman Old Style" w:hAnsi="Bookman Old Style"/>
          <w:sz w:val="22"/>
          <w:szCs w:val="22"/>
          <w:lang w:val="es-ES"/>
        </w:rPr>
        <w:t>que,</w:t>
      </w:r>
      <w:r>
        <w:rPr>
          <w:rFonts w:ascii="Bookman Old Style" w:hAnsi="Bookman Old Style"/>
          <w:sz w:val="22"/>
          <w:szCs w:val="22"/>
          <w:lang w:val="es-ES"/>
        </w:rPr>
        <w:t xml:space="preserve"> e</w:t>
      </w:r>
      <w:r w:rsidRPr="00DB5E29">
        <w:rPr>
          <w:rFonts w:ascii="Bookman Old Style" w:hAnsi="Bookman Old Style"/>
          <w:sz w:val="22"/>
          <w:szCs w:val="22"/>
          <w:lang w:val="es-ES"/>
        </w:rPr>
        <w:t>n febrero del 2021</w:t>
      </w:r>
      <w:r>
        <w:rPr>
          <w:rFonts w:ascii="Bookman Old Style" w:hAnsi="Bookman Old Style"/>
          <w:sz w:val="22"/>
          <w:szCs w:val="22"/>
          <w:lang w:val="es-ES"/>
        </w:rPr>
        <w:t>,</w:t>
      </w:r>
      <w:r w:rsidRPr="00DB5E29">
        <w:rPr>
          <w:rFonts w:ascii="Bookman Old Style" w:hAnsi="Bookman Old Style"/>
          <w:sz w:val="22"/>
          <w:szCs w:val="22"/>
          <w:lang w:val="es-ES"/>
        </w:rPr>
        <w:t xml:space="preserve"> diferentes bancadas del Congreso de la República expresaron su preocupación por una serie de amenazas de muerte e intimidaciones que habían recibido jóvenes líderes del municipio de Puerto Wilches</w:t>
      </w:r>
      <w:r>
        <w:rPr>
          <w:rFonts w:ascii="Bookman Old Style" w:hAnsi="Bookman Old Style"/>
          <w:sz w:val="22"/>
          <w:szCs w:val="22"/>
          <w:lang w:val="es-ES"/>
        </w:rPr>
        <w:t>, por oponerse</w:t>
      </w:r>
      <w:r w:rsidRPr="00DB5E29">
        <w:rPr>
          <w:rFonts w:ascii="Bookman Old Style" w:hAnsi="Bookman Old Style"/>
          <w:sz w:val="22"/>
          <w:szCs w:val="22"/>
          <w:lang w:val="es-ES"/>
        </w:rPr>
        <w:t xml:space="preserve"> a los pilotos para hacer fracking en su territorio.  </w:t>
      </w:r>
    </w:p>
    <w:p w14:paraId="25377405" w14:textId="33A65CCD" w:rsidR="00F1633D" w:rsidRDefault="00F1633D" w:rsidP="003F50C8">
      <w:pPr>
        <w:jc w:val="both"/>
        <w:rPr>
          <w:rFonts w:ascii="Bookman Old Style" w:hAnsi="Bookman Old Style"/>
          <w:sz w:val="22"/>
          <w:szCs w:val="22"/>
          <w:lang w:val="es-ES"/>
        </w:rPr>
      </w:pPr>
    </w:p>
    <w:p w14:paraId="1042E6DD" w14:textId="158A6A0E" w:rsidR="00F1633D" w:rsidRDefault="00F1633D" w:rsidP="003F50C8">
      <w:pPr>
        <w:jc w:val="both"/>
        <w:rPr>
          <w:rFonts w:ascii="Bookman Old Style" w:hAnsi="Bookman Old Style"/>
          <w:sz w:val="22"/>
          <w:szCs w:val="22"/>
          <w:lang w:val="es-ES"/>
        </w:rPr>
      </w:pPr>
      <w:r>
        <w:rPr>
          <w:rFonts w:ascii="Bookman Old Style" w:hAnsi="Bookman Old Style"/>
          <w:sz w:val="22"/>
          <w:szCs w:val="22"/>
          <w:lang w:val="es-ES"/>
        </w:rPr>
        <w:t xml:space="preserve">La disputa ha escalado al punto en que, una vez la Agencia Nacional de Licencias Ambientales -ANLA aprobó </w:t>
      </w:r>
      <w:r w:rsidR="00F359D3">
        <w:rPr>
          <w:rFonts w:ascii="Bookman Old Style" w:hAnsi="Bookman Old Style"/>
          <w:sz w:val="22"/>
          <w:szCs w:val="22"/>
          <w:lang w:val="es-ES"/>
        </w:rPr>
        <w:t xml:space="preserve">el radicado de Ecopetrol para tener licencia ambiental en el proyecto de fracking Kalé, la comunidad junto con organizaciones de derechos humanos y ONGs radicaron una acción de tutela para suspender la licencia ambiental otorgada </w:t>
      </w:r>
      <w:r w:rsidR="00C2061C">
        <w:rPr>
          <w:rFonts w:ascii="Bookman Old Style" w:hAnsi="Bookman Old Style"/>
          <w:sz w:val="22"/>
          <w:szCs w:val="22"/>
          <w:lang w:val="es-ES"/>
        </w:rPr>
        <w:t xml:space="preserve">por la ANLA, argumentando que dentro del </w:t>
      </w:r>
      <w:r w:rsidR="001C2592">
        <w:rPr>
          <w:rFonts w:ascii="Bookman Old Style" w:hAnsi="Bookman Old Style"/>
          <w:sz w:val="22"/>
          <w:szCs w:val="22"/>
          <w:lang w:val="es-ES"/>
        </w:rPr>
        <w:t>trámite</w:t>
      </w:r>
      <w:r w:rsidR="00C2061C">
        <w:rPr>
          <w:rFonts w:ascii="Bookman Old Style" w:hAnsi="Bookman Old Style"/>
          <w:sz w:val="22"/>
          <w:szCs w:val="22"/>
          <w:lang w:val="es-ES"/>
        </w:rPr>
        <w:t xml:space="preserve"> de aprobación de la licencia ambiental existía una vulneración al derecho a la consulta previa, libre e informada de la Corporación Afrocolombiana de Puerto Wilches </w:t>
      </w:r>
      <w:r w:rsidR="001C2592">
        <w:rPr>
          <w:rFonts w:ascii="Bookman Old Style" w:hAnsi="Bookman Old Style"/>
          <w:sz w:val="22"/>
          <w:szCs w:val="22"/>
          <w:lang w:val="es-ES"/>
        </w:rPr>
        <w:t>–</w:t>
      </w:r>
      <w:r w:rsidR="00C2061C">
        <w:rPr>
          <w:rFonts w:ascii="Bookman Old Style" w:hAnsi="Bookman Old Style"/>
          <w:sz w:val="22"/>
          <w:szCs w:val="22"/>
          <w:lang w:val="es-ES"/>
        </w:rPr>
        <w:t xml:space="preserve"> Afrowilches</w:t>
      </w:r>
      <w:r w:rsidR="001C2592">
        <w:rPr>
          <w:rFonts w:ascii="Bookman Old Style" w:hAnsi="Bookman Old Style"/>
          <w:sz w:val="22"/>
          <w:szCs w:val="22"/>
          <w:lang w:val="es-ES"/>
        </w:rPr>
        <w:t>;</w:t>
      </w:r>
      <w:r w:rsidR="00C2061C">
        <w:rPr>
          <w:rFonts w:ascii="Bookman Old Style" w:hAnsi="Bookman Old Style"/>
          <w:sz w:val="22"/>
          <w:szCs w:val="22"/>
          <w:lang w:val="es-ES"/>
        </w:rPr>
        <w:t xml:space="preserve"> Tutela que en </w:t>
      </w:r>
      <w:r w:rsidR="0004421B">
        <w:rPr>
          <w:rFonts w:ascii="Bookman Old Style" w:hAnsi="Bookman Old Style"/>
          <w:sz w:val="22"/>
          <w:szCs w:val="22"/>
          <w:lang w:val="es-ES"/>
        </w:rPr>
        <w:t xml:space="preserve">el 21 </w:t>
      </w:r>
      <w:r w:rsidR="00C2061C">
        <w:rPr>
          <w:rFonts w:ascii="Bookman Old Style" w:hAnsi="Bookman Old Style"/>
          <w:sz w:val="22"/>
          <w:szCs w:val="22"/>
          <w:lang w:val="es-ES"/>
        </w:rPr>
        <w:t xml:space="preserve">de abril </w:t>
      </w:r>
      <w:r w:rsidR="001C2592">
        <w:rPr>
          <w:rFonts w:ascii="Bookman Old Style" w:hAnsi="Bookman Old Style"/>
          <w:sz w:val="22"/>
          <w:szCs w:val="22"/>
          <w:lang w:val="es-ES"/>
        </w:rPr>
        <w:t xml:space="preserve">del presente año </w:t>
      </w:r>
      <w:r w:rsidR="00C2061C">
        <w:rPr>
          <w:rFonts w:ascii="Bookman Old Style" w:hAnsi="Bookman Old Style"/>
          <w:sz w:val="22"/>
          <w:szCs w:val="22"/>
          <w:lang w:val="es-ES"/>
        </w:rPr>
        <w:t xml:space="preserve">fue </w:t>
      </w:r>
      <w:r w:rsidR="0004421B">
        <w:rPr>
          <w:rFonts w:ascii="Bookman Old Style" w:hAnsi="Bookman Old Style"/>
          <w:sz w:val="22"/>
          <w:szCs w:val="22"/>
          <w:lang w:val="es-ES"/>
        </w:rPr>
        <w:t>fallada a favor de la comunidad de Puerto Wilches</w:t>
      </w:r>
      <w:r w:rsidR="00F161A2">
        <w:rPr>
          <w:rFonts w:ascii="Bookman Old Style" w:hAnsi="Bookman Old Style"/>
          <w:sz w:val="22"/>
          <w:szCs w:val="22"/>
          <w:lang w:val="es-ES"/>
        </w:rPr>
        <w:t xml:space="preserve"> por el Juzgado Primero Administrativo de Barrancabermeja,</w:t>
      </w:r>
      <w:r w:rsidR="0004421B">
        <w:rPr>
          <w:rFonts w:ascii="Bookman Old Style" w:hAnsi="Bookman Old Style"/>
          <w:sz w:val="22"/>
          <w:szCs w:val="22"/>
          <w:lang w:val="es-ES"/>
        </w:rPr>
        <w:t xml:space="preserve"> ordenando la suspensión efectiva de la licencia ambiental otorgada hasta tanto no se realizara el proceso de consulta previa con la Corporación Afrocolombiana Af</w:t>
      </w:r>
      <w:r w:rsidR="00F161A2">
        <w:rPr>
          <w:rFonts w:ascii="Bookman Old Style" w:hAnsi="Bookman Old Style"/>
          <w:sz w:val="22"/>
          <w:szCs w:val="22"/>
          <w:lang w:val="es-ES"/>
        </w:rPr>
        <w:t>ro</w:t>
      </w:r>
      <w:r w:rsidR="0004421B">
        <w:rPr>
          <w:rFonts w:ascii="Bookman Old Style" w:hAnsi="Bookman Old Style"/>
          <w:sz w:val="22"/>
          <w:szCs w:val="22"/>
          <w:lang w:val="es-ES"/>
        </w:rPr>
        <w:t>wilches en todas sus etapas.</w:t>
      </w:r>
    </w:p>
    <w:p w14:paraId="1076640A" w14:textId="303BAE90" w:rsidR="0004421B" w:rsidRDefault="0004421B" w:rsidP="003F50C8">
      <w:pPr>
        <w:jc w:val="both"/>
        <w:rPr>
          <w:rFonts w:ascii="Bookman Old Style" w:hAnsi="Bookman Old Style"/>
          <w:sz w:val="22"/>
          <w:szCs w:val="22"/>
          <w:lang w:val="es-ES"/>
        </w:rPr>
      </w:pPr>
    </w:p>
    <w:p w14:paraId="7CA494DD" w14:textId="16719DE2" w:rsidR="0004421B" w:rsidRDefault="0004421B" w:rsidP="003F50C8">
      <w:pPr>
        <w:jc w:val="both"/>
        <w:rPr>
          <w:rFonts w:ascii="Bookman Old Style" w:hAnsi="Bookman Old Style"/>
          <w:sz w:val="22"/>
          <w:szCs w:val="22"/>
          <w:lang w:val="es-ES"/>
        </w:rPr>
      </w:pPr>
      <w:r>
        <w:rPr>
          <w:rFonts w:ascii="Bookman Old Style" w:hAnsi="Bookman Old Style"/>
          <w:sz w:val="22"/>
          <w:szCs w:val="22"/>
          <w:lang w:val="es-ES"/>
        </w:rPr>
        <w:t>Sin embargo, durante los primeros días del mes de junio del presente año, el Tribunal Administrativo de Santander revocó el fallo de tutela del 21 de abril</w:t>
      </w:r>
      <w:r w:rsidR="00F161A2">
        <w:rPr>
          <w:rFonts w:ascii="Bookman Old Style" w:hAnsi="Bookman Old Style"/>
          <w:sz w:val="22"/>
          <w:szCs w:val="22"/>
          <w:lang w:val="es-ES"/>
        </w:rPr>
        <w:t>, y en su lugar declaró la improcedencia de la suspensión, permitiendo que Ecopetrol continue con el proyecto de piloto de fracking en Puerto Wilches. Esta decisión</w:t>
      </w:r>
      <w:r w:rsidR="00DB5E29">
        <w:rPr>
          <w:rFonts w:ascii="Bookman Old Style" w:hAnsi="Bookman Old Style"/>
          <w:sz w:val="22"/>
          <w:szCs w:val="22"/>
          <w:lang w:val="es-ES"/>
        </w:rPr>
        <w:t>,</w:t>
      </w:r>
      <w:r w:rsidR="00F161A2">
        <w:rPr>
          <w:rFonts w:ascii="Bookman Old Style" w:hAnsi="Bookman Old Style"/>
          <w:sz w:val="22"/>
          <w:szCs w:val="22"/>
          <w:lang w:val="es-ES"/>
        </w:rPr>
        <w:t xml:space="preserve"> además de </w:t>
      </w:r>
      <w:r w:rsidR="00DB5E29">
        <w:rPr>
          <w:rFonts w:ascii="Bookman Old Style" w:hAnsi="Bookman Old Style"/>
          <w:sz w:val="22"/>
          <w:szCs w:val="22"/>
          <w:lang w:val="es-ES"/>
        </w:rPr>
        <w:t>controversial,</w:t>
      </w:r>
      <w:r w:rsidR="00F161A2">
        <w:rPr>
          <w:rFonts w:ascii="Bookman Old Style" w:hAnsi="Bookman Old Style"/>
          <w:sz w:val="22"/>
          <w:szCs w:val="22"/>
          <w:lang w:val="es-ES"/>
        </w:rPr>
        <w:t xml:space="preserve"> generó protestas y bloqueos de vías de acceso al </w:t>
      </w:r>
      <w:r w:rsidR="00F161A2">
        <w:rPr>
          <w:rFonts w:ascii="Bookman Old Style" w:hAnsi="Bookman Old Style"/>
          <w:sz w:val="22"/>
          <w:szCs w:val="22"/>
          <w:lang w:val="es-ES"/>
        </w:rPr>
        <w:lastRenderedPageBreak/>
        <w:t xml:space="preserve">municipio, </w:t>
      </w:r>
      <w:r w:rsidR="007D6DF5">
        <w:rPr>
          <w:rFonts w:ascii="Bookman Old Style" w:hAnsi="Bookman Old Style"/>
          <w:sz w:val="22"/>
          <w:szCs w:val="22"/>
          <w:lang w:val="es-ES"/>
        </w:rPr>
        <w:t>en donde la comunidad afirmaba que</w:t>
      </w:r>
      <w:r w:rsidR="00DB5E29">
        <w:rPr>
          <w:rFonts w:ascii="Bookman Old Style" w:hAnsi="Bookman Old Style"/>
          <w:sz w:val="22"/>
          <w:szCs w:val="22"/>
          <w:lang w:val="es-ES"/>
        </w:rPr>
        <w:t>: “</w:t>
      </w:r>
      <w:r w:rsidR="00DB5E29" w:rsidRPr="00AF1FAD">
        <w:rPr>
          <w:rFonts w:ascii="Bookman Old Style" w:hAnsi="Bookman Old Style"/>
          <w:i/>
          <w:iCs/>
          <w:sz w:val="22"/>
          <w:szCs w:val="22"/>
          <w:lang w:val="es-ES"/>
        </w:rPr>
        <w:t>No permitiremos que la ambición de unos cuantos destruya el futuro de nuestros hijos</w:t>
      </w:r>
      <w:r w:rsidR="00DB5E29">
        <w:rPr>
          <w:rFonts w:ascii="Bookman Old Style" w:hAnsi="Bookman Old Style"/>
          <w:sz w:val="22"/>
          <w:szCs w:val="22"/>
          <w:lang w:val="es-ES"/>
        </w:rPr>
        <w:t>”</w:t>
      </w:r>
      <w:r w:rsidR="00DB5E29">
        <w:rPr>
          <w:rStyle w:val="Refdenotaalpie"/>
          <w:rFonts w:ascii="Bookman Old Style" w:hAnsi="Bookman Old Style"/>
          <w:sz w:val="22"/>
          <w:szCs w:val="22"/>
          <w:lang w:val="es-ES"/>
        </w:rPr>
        <w:footnoteReference w:id="34"/>
      </w:r>
      <w:r w:rsidR="00DB5E29">
        <w:rPr>
          <w:rFonts w:ascii="Bookman Old Style" w:hAnsi="Bookman Old Style"/>
          <w:sz w:val="22"/>
          <w:szCs w:val="22"/>
          <w:lang w:val="es-ES"/>
        </w:rPr>
        <w:t>.</w:t>
      </w:r>
    </w:p>
    <w:p w14:paraId="5E4A3BB7" w14:textId="72329B69" w:rsidR="00EE5267" w:rsidRDefault="00EE5267" w:rsidP="003F50C8">
      <w:pPr>
        <w:jc w:val="both"/>
        <w:rPr>
          <w:rFonts w:ascii="Bookman Old Style" w:hAnsi="Bookman Old Style"/>
          <w:sz w:val="22"/>
          <w:szCs w:val="22"/>
          <w:lang w:val="es-ES"/>
        </w:rPr>
      </w:pPr>
    </w:p>
    <w:p w14:paraId="35700F4A" w14:textId="18EC0309" w:rsidR="00C27CA0" w:rsidRDefault="00C27CA0" w:rsidP="00C27CA0">
      <w:pPr>
        <w:jc w:val="both"/>
        <w:rPr>
          <w:rFonts w:ascii="Bookman Old Style" w:hAnsi="Bookman Old Style"/>
          <w:sz w:val="22"/>
          <w:szCs w:val="22"/>
        </w:rPr>
      </w:pPr>
      <w:r>
        <w:rPr>
          <w:rFonts w:ascii="Bookman Old Style" w:hAnsi="Bookman Old Style"/>
          <w:sz w:val="22"/>
          <w:szCs w:val="22"/>
        </w:rPr>
        <w:t>Este es uno de los muchos ejemplos de choque entre la voluntad del ejecutivo y la voluntad de las comunidades</w:t>
      </w:r>
      <w:r w:rsidR="009C5720">
        <w:rPr>
          <w:rFonts w:ascii="Bookman Old Style" w:hAnsi="Bookman Old Style"/>
          <w:sz w:val="22"/>
          <w:szCs w:val="22"/>
        </w:rPr>
        <w:t>,</w:t>
      </w:r>
      <w:r>
        <w:rPr>
          <w:rFonts w:ascii="Bookman Old Style" w:hAnsi="Bookman Old Style"/>
          <w:sz w:val="22"/>
          <w:szCs w:val="22"/>
        </w:rPr>
        <w:t xml:space="preserve"> que ven afectad</w:t>
      </w:r>
      <w:r w:rsidR="009C5720">
        <w:rPr>
          <w:rFonts w:ascii="Bookman Old Style" w:hAnsi="Bookman Old Style"/>
          <w:sz w:val="22"/>
          <w:szCs w:val="22"/>
        </w:rPr>
        <w:t>a su dinámica de vida por establecerse cerca de puntos de interés para la explotación de hidrocarburos.</w:t>
      </w:r>
    </w:p>
    <w:p w14:paraId="283B0AC1" w14:textId="77777777" w:rsidR="00C27CA0" w:rsidRDefault="00C27CA0" w:rsidP="00C27CA0">
      <w:pPr>
        <w:jc w:val="both"/>
        <w:rPr>
          <w:rFonts w:ascii="Bookman Old Style" w:hAnsi="Bookman Old Style"/>
          <w:sz w:val="22"/>
          <w:szCs w:val="22"/>
        </w:rPr>
      </w:pPr>
    </w:p>
    <w:p w14:paraId="651A577E" w14:textId="18133F4C" w:rsidR="00C27CA0" w:rsidRPr="00C27CA0" w:rsidRDefault="00C27CA0" w:rsidP="00C27CA0">
      <w:pPr>
        <w:jc w:val="both"/>
        <w:rPr>
          <w:rFonts w:ascii="Bookman Old Style" w:hAnsi="Bookman Old Style"/>
          <w:sz w:val="22"/>
          <w:szCs w:val="22"/>
        </w:rPr>
      </w:pPr>
      <w:r w:rsidRPr="00C27CA0">
        <w:rPr>
          <w:rFonts w:ascii="Bookman Old Style" w:hAnsi="Bookman Old Style"/>
          <w:sz w:val="22"/>
          <w:szCs w:val="22"/>
        </w:rPr>
        <w:t xml:space="preserve">Al menos a partir de 2018, la Corte Constitucional, en sentencia SU-095 de aquel año reconoció que existe en Colombia un inadmisible déficit de protección al derecho a la participación ciudadana en el contexto de los proyectos de exploración y explotación de recursos naturales no renovables. En consecuencia, exhortó al Congreso para que legislara por vía estatutaria en la materia. Sin embargo, a la fecha el Congreso aún no lo ha hecho. Por ende, el déficit de protección continúa. </w:t>
      </w:r>
    </w:p>
    <w:p w14:paraId="3E9B734F" w14:textId="77777777" w:rsidR="00C27CA0" w:rsidRPr="00C27CA0" w:rsidRDefault="00C27CA0" w:rsidP="00C27CA0">
      <w:pPr>
        <w:jc w:val="both"/>
        <w:rPr>
          <w:rFonts w:ascii="Bookman Old Style" w:hAnsi="Bookman Old Style"/>
          <w:sz w:val="22"/>
          <w:szCs w:val="22"/>
        </w:rPr>
      </w:pPr>
    </w:p>
    <w:p w14:paraId="6CA3852C" w14:textId="77777777" w:rsidR="00C27CA0" w:rsidRPr="00C27CA0" w:rsidRDefault="00C27CA0" w:rsidP="00C27CA0">
      <w:pPr>
        <w:jc w:val="both"/>
        <w:rPr>
          <w:rFonts w:ascii="Bookman Old Style" w:hAnsi="Bookman Old Style"/>
          <w:sz w:val="22"/>
          <w:szCs w:val="22"/>
        </w:rPr>
      </w:pPr>
      <w:r w:rsidRPr="00C27CA0">
        <w:rPr>
          <w:rFonts w:ascii="Bookman Old Style" w:hAnsi="Bookman Old Style"/>
          <w:sz w:val="22"/>
          <w:szCs w:val="22"/>
        </w:rPr>
        <w:t xml:space="preserve">Por supuesto, las comunidades afectadas o potencialmente afectadas por el fracking ven mermado el goce efectivo de su derecho a la participación en este contexto. La doctrina, el derecho internacional de los derechos humanos y los desarrollos jurisprudenciales constitucionales coinciden en que el goce efectivo de ese derecho es fundamental para la gobernanza ambiental y para la protección de derechos colectivos como el del medio ambiente sano. En el contexto descrito, a las comunidades les resulta imposible incidir en la definición de medidas que estén plenamente informadas de conocimiento científico suficiente para garantizar el desarrollo del fracking de manera que sea compatible con el goce efectivo del derecho al ambiente sano. </w:t>
      </w:r>
    </w:p>
    <w:p w14:paraId="5838E344" w14:textId="77777777" w:rsidR="00C27CA0" w:rsidRPr="00C27CA0" w:rsidRDefault="00C27CA0" w:rsidP="00C27CA0">
      <w:pPr>
        <w:jc w:val="both"/>
        <w:rPr>
          <w:rFonts w:ascii="Bookman Old Style" w:hAnsi="Bookman Old Style"/>
          <w:sz w:val="22"/>
          <w:szCs w:val="22"/>
        </w:rPr>
      </w:pPr>
    </w:p>
    <w:p w14:paraId="1A80FAF1" w14:textId="1A3FFC52" w:rsidR="00DB5E29" w:rsidRPr="00AF1FAD" w:rsidRDefault="00C27CA0" w:rsidP="00C27CA0">
      <w:pPr>
        <w:jc w:val="both"/>
        <w:rPr>
          <w:rFonts w:ascii="Bookman Old Style" w:hAnsi="Bookman Old Style"/>
          <w:sz w:val="22"/>
          <w:szCs w:val="22"/>
        </w:rPr>
      </w:pPr>
      <w:r w:rsidRPr="00C27CA0">
        <w:rPr>
          <w:rFonts w:ascii="Bookman Old Style" w:hAnsi="Bookman Old Style"/>
          <w:sz w:val="22"/>
          <w:szCs w:val="22"/>
        </w:rPr>
        <w:t>Lamentablemente, la negligencia del ejecutivo nacional ha hecho imposible que ese propósito (el desarrollo de esta práctica extractivista en armonía con el goce efectivo del derecho al ambiente sano) sea posible</w:t>
      </w:r>
      <w:r w:rsidR="009C5720">
        <w:rPr>
          <w:rFonts w:ascii="Bookman Old Style" w:hAnsi="Bookman Old Style"/>
          <w:sz w:val="22"/>
          <w:szCs w:val="22"/>
        </w:rPr>
        <w:t>, lo cual se deriva en impactos sobre las comunidades y choques</w:t>
      </w:r>
      <w:r w:rsidRPr="00C27CA0">
        <w:rPr>
          <w:rFonts w:ascii="Bookman Old Style" w:hAnsi="Bookman Old Style"/>
          <w:sz w:val="22"/>
          <w:szCs w:val="22"/>
        </w:rPr>
        <w:t>.</w:t>
      </w:r>
    </w:p>
    <w:p w14:paraId="402E918C" w14:textId="77777777" w:rsidR="00EE21E1" w:rsidRPr="003F50C8" w:rsidRDefault="00EE21E1" w:rsidP="003F50C8">
      <w:pPr>
        <w:jc w:val="both"/>
        <w:rPr>
          <w:rFonts w:ascii="Bookman Old Style" w:hAnsi="Bookman Old Style"/>
          <w:sz w:val="22"/>
          <w:szCs w:val="22"/>
          <w:lang w:val="es-ES"/>
        </w:rPr>
      </w:pPr>
    </w:p>
    <w:p w14:paraId="55927D47" w14:textId="77777777" w:rsidR="008E3F4F" w:rsidRPr="003F50C8" w:rsidRDefault="008E3F4F" w:rsidP="00A43A7E">
      <w:pPr>
        <w:pStyle w:val="Prrafodelista"/>
        <w:numPr>
          <w:ilvl w:val="1"/>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ACCIDENTES RELACIONADOS </w:t>
      </w:r>
      <w:r w:rsidR="000E4F36" w:rsidRPr="003F50C8">
        <w:rPr>
          <w:rFonts w:ascii="Bookman Old Style" w:hAnsi="Bookman Old Style"/>
          <w:b/>
          <w:bCs/>
          <w:color w:val="000000" w:themeColor="text1"/>
          <w:sz w:val="22"/>
          <w:szCs w:val="22"/>
        </w:rPr>
        <w:t xml:space="preserve">CON EL </w:t>
      </w:r>
      <w:r w:rsidRPr="003F50C8">
        <w:rPr>
          <w:rFonts w:ascii="Bookman Old Style" w:hAnsi="Bookman Old Style"/>
          <w:b/>
          <w:bCs/>
          <w:color w:val="000000" w:themeColor="text1"/>
          <w:sz w:val="22"/>
          <w:szCs w:val="22"/>
        </w:rPr>
        <w:t>FRACKING</w:t>
      </w:r>
      <w:r w:rsidR="00A43A7E">
        <w:rPr>
          <w:rFonts w:ascii="Bookman Old Style" w:hAnsi="Bookman Old Style"/>
          <w:b/>
          <w:bCs/>
          <w:color w:val="000000" w:themeColor="text1"/>
          <w:sz w:val="22"/>
          <w:szCs w:val="22"/>
        </w:rPr>
        <w:t>.</w:t>
      </w:r>
    </w:p>
    <w:p w14:paraId="6FDCE954" w14:textId="77777777" w:rsidR="008E3F4F" w:rsidRPr="003F50C8" w:rsidRDefault="008E3F4F" w:rsidP="003F50C8">
      <w:pPr>
        <w:pStyle w:val="Prrafodelista"/>
        <w:ind w:left="1276"/>
        <w:jc w:val="both"/>
        <w:rPr>
          <w:rFonts w:ascii="Bookman Old Style" w:hAnsi="Bookman Old Style"/>
          <w:b/>
          <w:bCs/>
          <w:color w:val="000000" w:themeColor="text1"/>
          <w:sz w:val="22"/>
          <w:szCs w:val="22"/>
        </w:rPr>
      </w:pPr>
    </w:p>
    <w:p w14:paraId="08F021DF" w14:textId="77777777" w:rsidR="00C271A9" w:rsidRPr="003F50C8" w:rsidRDefault="00385D9C"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S</w:t>
      </w:r>
      <w:r w:rsidR="006E7A47" w:rsidRPr="003F50C8">
        <w:rPr>
          <w:rFonts w:ascii="Bookman Old Style" w:hAnsi="Bookman Old Style"/>
          <w:sz w:val="22"/>
          <w:szCs w:val="22"/>
          <w:lang w:val="es-ES"/>
        </w:rPr>
        <w:t>egún estudio</w:t>
      </w:r>
      <w:r w:rsidR="005A1791" w:rsidRPr="003F50C8">
        <w:rPr>
          <w:rStyle w:val="Refdenotaalpie"/>
          <w:rFonts w:ascii="Bookman Old Style" w:hAnsi="Bookman Old Style"/>
          <w:sz w:val="22"/>
          <w:szCs w:val="22"/>
          <w:lang w:val="es-ES"/>
        </w:rPr>
        <w:footnoteReference w:id="35"/>
      </w:r>
      <w:r w:rsidR="006E7A47" w:rsidRPr="003F50C8">
        <w:rPr>
          <w:rFonts w:ascii="Bookman Old Style" w:hAnsi="Bookman Old Style"/>
          <w:sz w:val="22"/>
          <w:szCs w:val="22"/>
          <w:lang w:val="es-ES"/>
        </w:rPr>
        <w:t xml:space="preserve"> de</w:t>
      </w:r>
      <w:r w:rsidR="00B065FD" w:rsidRPr="003F50C8">
        <w:rPr>
          <w:rFonts w:ascii="Bookman Old Style" w:hAnsi="Bookman Old Style"/>
          <w:sz w:val="22"/>
          <w:szCs w:val="22"/>
          <w:lang w:val="es-ES"/>
        </w:rPr>
        <w:t>l año</w:t>
      </w:r>
      <w:r w:rsidR="006E7A47" w:rsidRPr="003F50C8">
        <w:rPr>
          <w:rFonts w:ascii="Bookman Old Style" w:hAnsi="Bookman Old Style"/>
          <w:sz w:val="22"/>
          <w:szCs w:val="22"/>
          <w:lang w:val="es-ES"/>
        </w:rPr>
        <w:t xml:space="preserve"> 2018 de la universidad de Duke en Estado</w:t>
      </w:r>
      <w:r w:rsidR="00B065FD" w:rsidRPr="003F50C8">
        <w:rPr>
          <w:rFonts w:ascii="Bookman Old Style" w:hAnsi="Bookman Old Style"/>
          <w:sz w:val="22"/>
          <w:szCs w:val="22"/>
          <w:lang w:val="es-ES"/>
        </w:rPr>
        <w:t>s Unidos, para 4 estados (Pensi</w:t>
      </w:r>
      <w:r w:rsidR="006E7A47" w:rsidRPr="003F50C8">
        <w:rPr>
          <w:rFonts w:ascii="Bookman Old Style" w:hAnsi="Bookman Old Style"/>
          <w:sz w:val="22"/>
          <w:szCs w:val="22"/>
          <w:lang w:val="es-ES"/>
        </w:rPr>
        <w:t>lvania, Colorado, Nuevo México y Dakota del Norte) donde se hace fracking</w:t>
      </w:r>
      <w:r w:rsidR="00C271A9" w:rsidRPr="003F50C8">
        <w:rPr>
          <w:rFonts w:ascii="Bookman Old Style" w:hAnsi="Bookman Old Style"/>
          <w:sz w:val="22"/>
          <w:szCs w:val="22"/>
          <w:lang w:val="es-ES"/>
        </w:rPr>
        <w:t>,</w:t>
      </w:r>
      <w:r w:rsidR="006E7A47" w:rsidRPr="003F50C8">
        <w:rPr>
          <w:rFonts w:ascii="Bookman Old Style" w:hAnsi="Bookman Old Style"/>
          <w:sz w:val="22"/>
          <w:szCs w:val="22"/>
          <w:lang w:val="es-ES"/>
        </w:rPr>
        <w:t xml:space="preserve"> </w:t>
      </w:r>
      <w:r w:rsidR="00C271A9" w:rsidRPr="003F50C8">
        <w:rPr>
          <w:rFonts w:ascii="Bookman Old Style" w:hAnsi="Bookman Old Style"/>
          <w:sz w:val="22"/>
          <w:szCs w:val="22"/>
          <w:lang w:val="es-ES"/>
        </w:rPr>
        <w:t>se presentaron</w:t>
      </w:r>
      <w:r w:rsidR="006E7A47" w:rsidRPr="003F50C8">
        <w:rPr>
          <w:rFonts w:ascii="Bookman Old Style" w:hAnsi="Bookman Old Style"/>
          <w:sz w:val="22"/>
          <w:szCs w:val="22"/>
          <w:lang w:val="es-ES"/>
        </w:rPr>
        <w:t xml:space="preserve"> 6,648 derrames entre </w:t>
      </w:r>
      <w:r w:rsidR="00C271A9" w:rsidRPr="003F50C8">
        <w:rPr>
          <w:rFonts w:ascii="Bookman Old Style" w:hAnsi="Bookman Old Style"/>
          <w:sz w:val="22"/>
          <w:szCs w:val="22"/>
          <w:lang w:val="es-ES"/>
        </w:rPr>
        <w:t xml:space="preserve">los años </w:t>
      </w:r>
      <w:r w:rsidR="006E7A47" w:rsidRPr="003F50C8">
        <w:rPr>
          <w:rFonts w:ascii="Bookman Old Style" w:hAnsi="Bookman Old Style"/>
          <w:sz w:val="22"/>
          <w:szCs w:val="22"/>
          <w:lang w:val="es-ES"/>
        </w:rPr>
        <w:t xml:space="preserve">2005 y 2014. La mayoría de los derrames </w:t>
      </w:r>
      <w:r w:rsidR="00F47268" w:rsidRPr="003F50C8">
        <w:rPr>
          <w:rFonts w:ascii="Bookman Old Style" w:hAnsi="Bookman Old Style"/>
          <w:sz w:val="22"/>
          <w:szCs w:val="22"/>
          <w:lang w:val="es-ES"/>
        </w:rPr>
        <w:t>ocurren</w:t>
      </w:r>
      <w:r w:rsidR="006E7A47" w:rsidRPr="003F50C8">
        <w:rPr>
          <w:rFonts w:ascii="Bookman Old Style" w:hAnsi="Bookman Old Style"/>
          <w:sz w:val="22"/>
          <w:szCs w:val="22"/>
          <w:lang w:val="es-ES"/>
        </w:rPr>
        <w:t xml:space="preserve"> en los primeros 3 años de operación y el 50% </w:t>
      </w:r>
      <w:r w:rsidR="00F47268" w:rsidRPr="003F50C8">
        <w:rPr>
          <w:rFonts w:ascii="Bookman Old Style" w:hAnsi="Bookman Old Style"/>
          <w:sz w:val="22"/>
          <w:szCs w:val="22"/>
          <w:lang w:val="es-ES"/>
        </w:rPr>
        <w:t>de los derrames están</w:t>
      </w:r>
      <w:r w:rsidR="006E7A47" w:rsidRPr="003F50C8">
        <w:rPr>
          <w:rFonts w:ascii="Bookman Old Style" w:hAnsi="Bookman Old Style"/>
          <w:sz w:val="22"/>
          <w:szCs w:val="22"/>
          <w:lang w:val="es-ES"/>
        </w:rPr>
        <w:t xml:space="preserve"> relacionados con el transporte y movimiento de los fluidos. </w:t>
      </w:r>
      <w:r w:rsidR="00F47268" w:rsidRPr="003F50C8">
        <w:rPr>
          <w:rFonts w:ascii="Bookman Old Style" w:hAnsi="Bookman Old Style"/>
          <w:sz w:val="22"/>
          <w:szCs w:val="22"/>
          <w:lang w:val="es-ES"/>
        </w:rPr>
        <w:t>El mismo estudio encontró que para esos 4 estados por cada 1</w:t>
      </w:r>
      <w:r w:rsidR="000F561B" w:rsidRPr="003F50C8">
        <w:rPr>
          <w:rFonts w:ascii="Bookman Old Style" w:hAnsi="Bookman Old Style"/>
          <w:sz w:val="22"/>
          <w:szCs w:val="22"/>
          <w:lang w:val="es-ES"/>
        </w:rPr>
        <w:t xml:space="preserve">,000 pozos perforados se </w:t>
      </w:r>
      <w:r w:rsidR="00B065FD" w:rsidRPr="003F50C8">
        <w:rPr>
          <w:rFonts w:ascii="Bookman Old Style" w:hAnsi="Bookman Old Style"/>
          <w:sz w:val="22"/>
          <w:szCs w:val="22"/>
          <w:lang w:val="es-ES"/>
        </w:rPr>
        <w:t>presentaron</w:t>
      </w:r>
      <w:r w:rsidR="000F561B" w:rsidRPr="003F50C8">
        <w:rPr>
          <w:rFonts w:ascii="Bookman Old Style" w:hAnsi="Bookman Old Style"/>
          <w:sz w:val="22"/>
          <w:szCs w:val="22"/>
          <w:lang w:val="es-ES"/>
        </w:rPr>
        <w:t xml:space="preserve"> 54.6 derrames, de los cuales: 15.7 son relacionado con el </w:t>
      </w:r>
      <w:r w:rsidR="000F561B" w:rsidRPr="003F50C8">
        <w:rPr>
          <w:rFonts w:ascii="Bookman Old Style" w:hAnsi="Bookman Old Style"/>
          <w:sz w:val="22"/>
          <w:szCs w:val="22"/>
          <w:lang w:val="es-ES"/>
        </w:rPr>
        <w:lastRenderedPageBreak/>
        <w:t xml:space="preserve">almacenamiento, 11.4 con las líneas </w:t>
      </w:r>
      <w:r w:rsidR="000F34CC" w:rsidRPr="003F50C8">
        <w:rPr>
          <w:rFonts w:ascii="Bookman Old Style" w:hAnsi="Bookman Old Style"/>
          <w:sz w:val="22"/>
          <w:szCs w:val="22"/>
          <w:lang w:val="es-ES"/>
        </w:rPr>
        <w:t xml:space="preserve">de flujo, 7.7 con la maquinaria, 4.3 con el transporte y </w:t>
      </w:r>
      <w:r w:rsidR="0047269E" w:rsidRPr="003F50C8">
        <w:rPr>
          <w:rFonts w:ascii="Bookman Old Style" w:hAnsi="Bookman Old Style"/>
          <w:sz w:val="22"/>
          <w:szCs w:val="22"/>
          <w:lang w:val="es-ES"/>
        </w:rPr>
        <w:t>el restante 15.5 por otras causas.</w:t>
      </w:r>
      <w:r w:rsidR="000F34CC" w:rsidRPr="003F50C8">
        <w:rPr>
          <w:rFonts w:ascii="Bookman Old Style" w:hAnsi="Bookman Old Style"/>
          <w:sz w:val="22"/>
          <w:szCs w:val="22"/>
          <w:lang w:val="es-ES"/>
        </w:rPr>
        <w:t xml:space="preserve"> </w:t>
      </w:r>
    </w:p>
    <w:p w14:paraId="7F502048" w14:textId="77777777" w:rsidR="000169AC" w:rsidRPr="003F50C8" w:rsidRDefault="000169AC" w:rsidP="003F50C8">
      <w:pPr>
        <w:pStyle w:val="Prrafodelista"/>
        <w:tabs>
          <w:tab w:val="num" w:pos="1440"/>
        </w:tabs>
        <w:ind w:left="0"/>
        <w:jc w:val="both"/>
        <w:rPr>
          <w:rFonts w:ascii="Bookman Old Style" w:hAnsi="Bookman Old Style"/>
          <w:sz w:val="22"/>
          <w:szCs w:val="22"/>
          <w:lang w:val="es-ES"/>
        </w:rPr>
      </w:pPr>
    </w:p>
    <w:p w14:paraId="3FF353CE" w14:textId="77777777" w:rsidR="00BC23F8" w:rsidRPr="003F50C8" w:rsidRDefault="00D2486A"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Por su parte, e</w:t>
      </w:r>
      <w:r w:rsidR="00015130" w:rsidRPr="003F50C8">
        <w:rPr>
          <w:rFonts w:ascii="Bookman Old Style" w:hAnsi="Bookman Old Style"/>
          <w:sz w:val="22"/>
          <w:szCs w:val="22"/>
          <w:lang w:val="es-ES"/>
        </w:rPr>
        <w:t>n</w:t>
      </w:r>
      <w:r w:rsidR="007E129E" w:rsidRPr="003F50C8">
        <w:rPr>
          <w:rFonts w:ascii="Bookman Old Style" w:hAnsi="Bookman Old Style"/>
          <w:sz w:val="22"/>
          <w:szCs w:val="22"/>
          <w:lang w:val="es-ES"/>
        </w:rPr>
        <w:t xml:space="preserve"> un estudio</w:t>
      </w:r>
      <w:r w:rsidR="00015130" w:rsidRPr="003F50C8">
        <w:rPr>
          <w:rStyle w:val="Refdenotaalpie"/>
          <w:rFonts w:ascii="Bookman Old Style" w:hAnsi="Bookman Old Style"/>
          <w:sz w:val="22"/>
          <w:szCs w:val="22"/>
          <w:lang w:val="es-ES"/>
        </w:rPr>
        <w:footnoteReference w:id="36"/>
      </w:r>
      <w:r w:rsidR="007E129E" w:rsidRPr="003F50C8">
        <w:rPr>
          <w:rFonts w:ascii="Bookman Old Style" w:hAnsi="Bookman Old Style"/>
          <w:sz w:val="22"/>
          <w:szCs w:val="22"/>
          <w:lang w:val="es-ES"/>
        </w:rPr>
        <w:t xml:space="preserve"> de la Agencia para la Protección del Medio Ambiente en Estados Unidos (</w:t>
      </w:r>
      <w:r w:rsidR="007E129E" w:rsidRPr="003F50C8">
        <w:rPr>
          <w:rFonts w:ascii="Bookman Old Style" w:hAnsi="Bookman Old Style"/>
          <w:i/>
          <w:sz w:val="22"/>
          <w:szCs w:val="22"/>
          <w:lang w:val="es-ES"/>
        </w:rPr>
        <w:t>US Environment Prot</w:t>
      </w:r>
      <w:r w:rsidR="00015130" w:rsidRPr="003F50C8">
        <w:rPr>
          <w:rFonts w:ascii="Bookman Old Style" w:hAnsi="Bookman Old Style"/>
          <w:i/>
          <w:sz w:val="22"/>
          <w:szCs w:val="22"/>
          <w:lang w:val="es-ES"/>
        </w:rPr>
        <w:t>ection Agency</w:t>
      </w:r>
      <w:r w:rsidR="00015130" w:rsidRPr="003F50C8">
        <w:rPr>
          <w:rFonts w:ascii="Bookman Old Style" w:hAnsi="Bookman Old Style"/>
          <w:sz w:val="22"/>
          <w:szCs w:val="22"/>
          <w:lang w:val="es-ES"/>
        </w:rPr>
        <w:t>)</w:t>
      </w:r>
      <w:r w:rsidRPr="003F50C8">
        <w:rPr>
          <w:rFonts w:ascii="Bookman Old Style" w:hAnsi="Bookman Old Style"/>
          <w:sz w:val="22"/>
          <w:szCs w:val="22"/>
          <w:lang w:val="es-ES"/>
        </w:rPr>
        <w:t xml:space="preserve"> se </w:t>
      </w:r>
      <w:r w:rsidR="00015130" w:rsidRPr="003F50C8">
        <w:rPr>
          <w:rFonts w:ascii="Bookman Old Style" w:hAnsi="Bookman Old Style"/>
          <w:sz w:val="22"/>
          <w:szCs w:val="22"/>
          <w:lang w:val="es-ES"/>
        </w:rPr>
        <w:t xml:space="preserve">encontró que </w:t>
      </w:r>
      <w:r w:rsidRPr="003F50C8">
        <w:rPr>
          <w:rFonts w:ascii="Bookman Old Style" w:hAnsi="Bookman Old Style"/>
          <w:sz w:val="22"/>
          <w:szCs w:val="22"/>
          <w:lang w:val="es-ES"/>
        </w:rPr>
        <w:t>se presentaron</w:t>
      </w:r>
      <w:r w:rsidR="007E129E" w:rsidRPr="003F50C8">
        <w:rPr>
          <w:rFonts w:ascii="Bookman Old Style" w:hAnsi="Bookman Old Style"/>
          <w:sz w:val="22"/>
          <w:szCs w:val="22"/>
          <w:lang w:val="es-ES"/>
        </w:rPr>
        <w:t xml:space="preserve"> 457 derrames </w:t>
      </w:r>
      <w:r w:rsidRPr="003F50C8">
        <w:rPr>
          <w:rFonts w:ascii="Bookman Old Style" w:hAnsi="Bookman Old Style"/>
          <w:sz w:val="22"/>
          <w:szCs w:val="22"/>
          <w:lang w:val="es-ES"/>
        </w:rPr>
        <w:t xml:space="preserve">relacionados con el fracking </w:t>
      </w:r>
      <w:r w:rsidR="007E129E" w:rsidRPr="003F50C8">
        <w:rPr>
          <w:rFonts w:ascii="Bookman Old Style" w:hAnsi="Bookman Old Style"/>
          <w:sz w:val="22"/>
          <w:szCs w:val="22"/>
          <w:lang w:val="es-ES"/>
        </w:rPr>
        <w:t xml:space="preserve">entre </w:t>
      </w:r>
      <w:r w:rsidRPr="003F50C8">
        <w:rPr>
          <w:rFonts w:ascii="Bookman Old Style" w:hAnsi="Bookman Old Style"/>
          <w:sz w:val="22"/>
          <w:szCs w:val="22"/>
          <w:lang w:val="es-ES"/>
        </w:rPr>
        <w:t xml:space="preserve">los años </w:t>
      </w:r>
      <w:r w:rsidR="007E129E" w:rsidRPr="003F50C8">
        <w:rPr>
          <w:rFonts w:ascii="Bookman Old Style" w:hAnsi="Bookman Old Style"/>
          <w:sz w:val="22"/>
          <w:szCs w:val="22"/>
          <w:lang w:val="es-ES"/>
        </w:rPr>
        <w:t xml:space="preserve">2006 y 2012 </w:t>
      </w:r>
      <w:r w:rsidR="00015130" w:rsidRPr="003F50C8">
        <w:rPr>
          <w:rFonts w:ascii="Bookman Old Style" w:hAnsi="Bookman Old Style"/>
          <w:sz w:val="22"/>
          <w:szCs w:val="22"/>
          <w:lang w:val="es-ES"/>
        </w:rPr>
        <w:t>en 11 estados de</w:t>
      </w:r>
      <w:r w:rsidRPr="003F50C8">
        <w:rPr>
          <w:rFonts w:ascii="Bookman Old Style" w:hAnsi="Bookman Old Style"/>
          <w:sz w:val="22"/>
          <w:szCs w:val="22"/>
          <w:lang w:val="es-ES"/>
        </w:rPr>
        <w:t xml:space="preserve"> los</w:t>
      </w:r>
      <w:r w:rsidR="00015130" w:rsidRPr="003F50C8">
        <w:rPr>
          <w:rFonts w:ascii="Bookman Old Style" w:hAnsi="Bookman Old Style"/>
          <w:sz w:val="22"/>
          <w:szCs w:val="22"/>
          <w:lang w:val="es-ES"/>
        </w:rPr>
        <w:t xml:space="preserve"> Estados Unidos. El mismo estudio encontró que la principal causa de los derrames fue el error humano</w:t>
      </w:r>
      <w:r w:rsidR="00104C03" w:rsidRPr="003F50C8">
        <w:rPr>
          <w:rFonts w:ascii="Bookman Old Style" w:hAnsi="Bookman Old Style"/>
          <w:sz w:val="22"/>
          <w:szCs w:val="22"/>
          <w:lang w:val="es-ES"/>
        </w:rPr>
        <w:t xml:space="preserve">, </w:t>
      </w:r>
      <w:r w:rsidR="00015130" w:rsidRPr="003F50C8">
        <w:rPr>
          <w:rFonts w:ascii="Bookman Old Style" w:hAnsi="Bookman Old Style"/>
          <w:sz w:val="22"/>
          <w:szCs w:val="22"/>
          <w:lang w:val="es-ES"/>
        </w:rPr>
        <w:t xml:space="preserve">que la mayoría de los derrames fueron de </w:t>
      </w:r>
      <w:r w:rsidR="00362D65" w:rsidRPr="003F50C8">
        <w:rPr>
          <w:rFonts w:ascii="Bookman Old Style" w:hAnsi="Bookman Old Style"/>
          <w:sz w:val="22"/>
          <w:szCs w:val="22"/>
          <w:lang w:val="es-ES"/>
        </w:rPr>
        <w:t>fluido de retorno (</w:t>
      </w:r>
      <w:r w:rsidR="00104C03" w:rsidRPr="003F50C8">
        <w:rPr>
          <w:rFonts w:ascii="Bookman Old Style" w:hAnsi="Bookman Old Style"/>
          <w:i/>
          <w:sz w:val="22"/>
          <w:szCs w:val="22"/>
          <w:lang w:val="es-ES"/>
        </w:rPr>
        <w:t>flowback</w:t>
      </w:r>
      <w:r w:rsidR="00362D65" w:rsidRPr="003F50C8">
        <w:rPr>
          <w:rFonts w:ascii="Bookman Old Style" w:hAnsi="Bookman Old Style"/>
          <w:i/>
          <w:sz w:val="22"/>
          <w:szCs w:val="22"/>
          <w:lang w:val="es-ES"/>
        </w:rPr>
        <w:t>) o</w:t>
      </w:r>
      <w:r w:rsidR="00104C03" w:rsidRPr="003F50C8">
        <w:rPr>
          <w:rFonts w:ascii="Bookman Old Style" w:hAnsi="Bookman Old Style"/>
          <w:sz w:val="22"/>
          <w:szCs w:val="22"/>
          <w:lang w:val="es-ES"/>
        </w:rPr>
        <w:t xml:space="preserve"> </w:t>
      </w:r>
      <w:r w:rsidR="00015130" w:rsidRPr="003F50C8">
        <w:rPr>
          <w:rFonts w:ascii="Bookman Old Style" w:hAnsi="Bookman Old Style"/>
          <w:sz w:val="22"/>
          <w:szCs w:val="22"/>
          <w:lang w:val="es-ES"/>
        </w:rPr>
        <w:t>agua pr</w:t>
      </w:r>
      <w:r w:rsidR="00104C03" w:rsidRPr="003F50C8">
        <w:rPr>
          <w:rFonts w:ascii="Bookman Old Style" w:hAnsi="Bookman Old Style"/>
          <w:sz w:val="22"/>
          <w:szCs w:val="22"/>
          <w:lang w:val="es-ES"/>
        </w:rPr>
        <w:t xml:space="preserve">oducida, y que el 66% de los derrames llegó a aguas superficiales, acuíferos o el suelo. </w:t>
      </w:r>
    </w:p>
    <w:p w14:paraId="74E2E42B" w14:textId="77777777" w:rsidR="00383F34" w:rsidRPr="003F50C8" w:rsidRDefault="00383F34" w:rsidP="003F50C8">
      <w:pPr>
        <w:jc w:val="both"/>
        <w:rPr>
          <w:rFonts w:ascii="Bookman Old Style" w:hAnsi="Bookman Old Style"/>
          <w:b/>
          <w:bCs/>
          <w:color w:val="000000" w:themeColor="text1"/>
          <w:sz w:val="22"/>
          <w:szCs w:val="22"/>
        </w:rPr>
      </w:pPr>
    </w:p>
    <w:p w14:paraId="3F5839C3" w14:textId="77777777" w:rsidR="004E7236" w:rsidRPr="003F50C8" w:rsidRDefault="004E7236" w:rsidP="00A43A7E">
      <w:pPr>
        <w:pStyle w:val="Prrafodelista"/>
        <w:numPr>
          <w:ilvl w:val="1"/>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PROHIBICIÓN DEL FRACKING A NIVEL INTERNACIONAL</w:t>
      </w:r>
      <w:r w:rsidR="00A43A7E">
        <w:rPr>
          <w:rFonts w:ascii="Bookman Old Style" w:hAnsi="Bookman Old Style"/>
          <w:b/>
          <w:bCs/>
          <w:color w:val="000000" w:themeColor="text1"/>
          <w:sz w:val="22"/>
          <w:szCs w:val="22"/>
        </w:rPr>
        <w:t>.</w:t>
      </w:r>
    </w:p>
    <w:p w14:paraId="36ACB64C" w14:textId="77777777" w:rsidR="004E7236" w:rsidRPr="003F50C8" w:rsidRDefault="004E7236" w:rsidP="003F50C8">
      <w:pPr>
        <w:pStyle w:val="Sinespaciado"/>
        <w:tabs>
          <w:tab w:val="left" w:pos="877"/>
          <w:tab w:val="left" w:pos="4107"/>
        </w:tabs>
        <w:jc w:val="both"/>
        <w:rPr>
          <w:rFonts w:ascii="Bookman Old Style" w:hAnsi="Bookman Old Style" w:cstheme="minorHAnsi"/>
        </w:rPr>
      </w:pPr>
    </w:p>
    <w:p w14:paraId="1ADA4DE4" w14:textId="77777777" w:rsidR="004E7236" w:rsidRPr="003F50C8" w:rsidRDefault="004E7236" w:rsidP="003F50C8">
      <w:pPr>
        <w:pStyle w:val="Sinespaciado"/>
        <w:tabs>
          <w:tab w:val="left" w:pos="877"/>
          <w:tab w:val="left" w:pos="4107"/>
        </w:tabs>
        <w:jc w:val="both"/>
        <w:rPr>
          <w:rFonts w:ascii="Bookman Old Style" w:hAnsi="Bookman Old Style" w:cstheme="minorHAnsi"/>
        </w:rPr>
      </w:pPr>
      <w:r w:rsidRPr="003F50C8">
        <w:rPr>
          <w:rFonts w:ascii="Bookman Old Style" w:hAnsi="Bookman Old Style" w:cstheme="minorHAnsi"/>
        </w:rPr>
        <w:t>Países alrededor del mundo han prohibido el fracking fundados en el principio de precaución, tales como: Francia</w:t>
      </w:r>
      <w:r w:rsidRPr="003F50C8">
        <w:rPr>
          <w:rStyle w:val="Refdenotaalpie"/>
          <w:rFonts w:ascii="Bookman Old Style" w:hAnsi="Bookman Old Style" w:cstheme="minorHAnsi"/>
        </w:rPr>
        <w:footnoteReference w:id="37"/>
      </w:r>
      <w:r w:rsidRPr="003F50C8">
        <w:rPr>
          <w:rFonts w:ascii="Bookman Old Style" w:hAnsi="Bookman Old Style" w:cstheme="minorHAnsi"/>
        </w:rPr>
        <w:t>, Bulgaria</w:t>
      </w:r>
      <w:r w:rsidRPr="003F50C8">
        <w:rPr>
          <w:rStyle w:val="Refdenotaalpie"/>
          <w:rFonts w:ascii="Bookman Old Style" w:hAnsi="Bookman Old Style" w:cstheme="minorHAnsi"/>
        </w:rPr>
        <w:footnoteReference w:id="38"/>
      </w:r>
      <w:r w:rsidRPr="003F50C8">
        <w:rPr>
          <w:rFonts w:ascii="Bookman Old Style" w:hAnsi="Bookman Old Style" w:cstheme="minorHAnsi"/>
        </w:rPr>
        <w:t>, Alemania</w:t>
      </w:r>
      <w:r w:rsidRPr="003F50C8">
        <w:rPr>
          <w:rStyle w:val="Refdenotaalpie"/>
          <w:rFonts w:ascii="Bookman Old Style" w:hAnsi="Bookman Old Style" w:cstheme="minorHAnsi"/>
        </w:rPr>
        <w:footnoteReference w:id="39"/>
      </w:r>
      <w:r w:rsidRPr="003F50C8">
        <w:rPr>
          <w:rFonts w:ascii="Bookman Old Style" w:hAnsi="Bookman Old Style" w:cstheme="minorHAnsi"/>
        </w:rPr>
        <w:t>, Irlanda</w:t>
      </w:r>
      <w:r w:rsidRPr="003F50C8">
        <w:rPr>
          <w:rStyle w:val="Refdenotaalpie"/>
          <w:rFonts w:ascii="Bookman Old Style" w:hAnsi="Bookman Old Style" w:cstheme="minorHAnsi"/>
        </w:rPr>
        <w:footnoteReference w:id="40"/>
      </w:r>
      <w:r w:rsidR="00D10748" w:rsidRPr="003F50C8">
        <w:rPr>
          <w:rFonts w:ascii="Bookman Old Style" w:hAnsi="Bookman Old Style" w:cstheme="minorHAnsi"/>
        </w:rPr>
        <w:t>, Uruguay</w:t>
      </w:r>
      <w:r w:rsidR="00D10748" w:rsidRPr="003F50C8">
        <w:rPr>
          <w:rStyle w:val="Refdenotaalpie"/>
          <w:rFonts w:ascii="Bookman Old Style" w:hAnsi="Bookman Old Style" w:cstheme="minorHAnsi"/>
        </w:rPr>
        <w:footnoteReference w:id="41"/>
      </w:r>
      <w:r w:rsidRPr="003F50C8">
        <w:rPr>
          <w:rFonts w:ascii="Bookman Old Style" w:hAnsi="Bookman Old Style" w:cstheme="minorHAnsi"/>
        </w:rPr>
        <w:t xml:space="preserve"> y nivel provincial en Australia</w:t>
      </w:r>
      <w:r w:rsidRPr="003F50C8">
        <w:rPr>
          <w:rStyle w:val="Refdenotaalpie"/>
          <w:rFonts w:ascii="Bookman Old Style" w:hAnsi="Bookman Old Style" w:cstheme="minorHAnsi"/>
        </w:rPr>
        <w:footnoteReference w:id="42"/>
      </w:r>
      <w:r w:rsidRPr="003F50C8">
        <w:rPr>
          <w:rFonts w:ascii="Bookman Old Style" w:hAnsi="Bookman Old Style" w:cstheme="minorHAnsi"/>
        </w:rPr>
        <w:t>, Argentina</w:t>
      </w:r>
      <w:r w:rsidRPr="003F50C8">
        <w:rPr>
          <w:rStyle w:val="Refdenotaalpie"/>
          <w:rFonts w:ascii="Bookman Old Style" w:hAnsi="Bookman Old Style" w:cstheme="minorHAnsi"/>
        </w:rPr>
        <w:footnoteReference w:id="43"/>
      </w:r>
      <w:r w:rsidRPr="003F50C8">
        <w:rPr>
          <w:rFonts w:ascii="Bookman Old Style" w:hAnsi="Bookman Old Style" w:cstheme="minorHAnsi"/>
        </w:rPr>
        <w:t>, Estados Unidos de América</w:t>
      </w:r>
      <w:r w:rsidRPr="003F50C8">
        <w:rPr>
          <w:rStyle w:val="Refdenotaalpie"/>
          <w:rFonts w:ascii="Bookman Old Style" w:hAnsi="Bookman Old Style" w:cstheme="minorHAnsi"/>
        </w:rPr>
        <w:footnoteReference w:id="44"/>
      </w:r>
      <w:r w:rsidRPr="003F50C8">
        <w:rPr>
          <w:rFonts w:ascii="Bookman Old Style" w:hAnsi="Bookman Old Style" w:cstheme="minorHAnsi"/>
        </w:rPr>
        <w:t xml:space="preserve"> y Canadá</w:t>
      </w:r>
      <w:r w:rsidRPr="003F50C8">
        <w:rPr>
          <w:rStyle w:val="Refdenotaalpie"/>
          <w:rFonts w:ascii="Bookman Old Style" w:hAnsi="Bookman Old Style" w:cstheme="minorHAnsi"/>
        </w:rPr>
        <w:footnoteReference w:id="45"/>
      </w:r>
      <w:r w:rsidRPr="003F50C8">
        <w:rPr>
          <w:rFonts w:ascii="Bookman Old Style" w:hAnsi="Bookman Old Style" w:cstheme="minorHAnsi"/>
        </w:rPr>
        <w:t>, entre otros.</w:t>
      </w:r>
      <w:r w:rsidRPr="003F50C8">
        <w:rPr>
          <w:rFonts w:ascii="Bookman Old Style" w:hAnsi="Bookman Old Style" w:cstheme="minorHAnsi"/>
        </w:rPr>
        <w:tab/>
      </w:r>
    </w:p>
    <w:p w14:paraId="43EAD3DB" w14:textId="77777777" w:rsidR="00CD7053" w:rsidRPr="003F50C8" w:rsidRDefault="00CD7053" w:rsidP="003F50C8">
      <w:pPr>
        <w:pStyle w:val="Sinespaciado"/>
        <w:tabs>
          <w:tab w:val="left" w:pos="877"/>
          <w:tab w:val="left" w:pos="4107"/>
        </w:tabs>
        <w:jc w:val="both"/>
        <w:rPr>
          <w:rFonts w:ascii="Bookman Old Style" w:hAnsi="Bookman Old Style" w:cstheme="minorHAnsi"/>
        </w:rPr>
      </w:pPr>
    </w:p>
    <w:p w14:paraId="22CE62F5" w14:textId="77777777" w:rsidR="004E7236" w:rsidRPr="003F50C8" w:rsidRDefault="004E7236" w:rsidP="00A43A7E">
      <w:pPr>
        <w:pStyle w:val="Prrafodelista"/>
        <w:numPr>
          <w:ilvl w:val="1"/>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PRONUNCIAMIENTO DE ENTIDADES NACIONALES Y ORGANIZACIONES INTERNACIONALES</w:t>
      </w:r>
      <w:r w:rsidR="00A43A7E">
        <w:rPr>
          <w:rFonts w:ascii="Bookman Old Style" w:hAnsi="Bookman Old Style"/>
          <w:b/>
          <w:bCs/>
          <w:color w:val="000000" w:themeColor="text1"/>
          <w:sz w:val="22"/>
          <w:szCs w:val="22"/>
        </w:rPr>
        <w:t>.</w:t>
      </w:r>
    </w:p>
    <w:p w14:paraId="62B72825" w14:textId="77777777" w:rsidR="004E7236" w:rsidRPr="003F50C8" w:rsidRDefault="004E7236" w:rsidP="003F50C8">
      <w:pPr>
        <w:jc w:val="both"/>
        <w:rPr>
          <w:rFonts w:ascii="Bookman Old Style" w:hAnsi="Bookman Old Style"/>
          <w:b/>
          <w:bCs/>
          <w:color w:val="000000" w:themeColor="text1"/>
          <w:sz w:val="22"/>
          <w:szCs w:val="22"/>
        </w:rPr>
      </w:pPr>
    </w:p>
    <w:p w14:paraId="278BF6CC" w14:textId="77777777" w:rsidR="004E7236" w:rsidRPr="003F50C8" w:rsidRDefault="004E7236" w:rsidP="00A43A7E">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Pronunciamiento de la Contraloría General de la República</w:t>
      </w:r>
      <w:r w:rsidR="00A43A7E">
        <w:rPr>
          <w:rFonts w:ascii="Bookman Old Style" w:hAnsi="Bookman Old Style"/>
          <w:b/>
          <w:bCs/>
          <w:color w:val="000000" w:themeColor="text1"/>
          <w:sz w:val="22"/>
          <w:szCs w:val="22"/>
        </w:rPr>
        <w:t>.</w:t>
      </w:r>
    </w:p>
    <w:p w14:paraId="3F87C467" w14:textId="77777777" w:rsidR="004E7236" w:rsidRPr="003F50C8" w:rsidRDefault="004E7236" w:rsidP="003F50C8">
      <w:pPr>
        <w:jc w:val="both"/>
        <w:rPr>
          <w:rFonts w:ascii="Bookman Old Style" w:hAnsi="Bookman Old Style"/>
          <w:b/>
          <w:bCs/>
          <w:color w:val="000000" w:themeColor="text1"/>
          <w:sz w:val="22"/>
          <w:szCs w:val="22"/>
        </w:rPr>
      </w:pPr>
    </w:p>
    <w:p w14:paraId="56868A85" w14:textId="77777777" w:rsidR="004E7236" w:rsidRPr="003F50C8" w:rsidRDefault="004E7236" w:rsidP="003F50C8">
      <w:pPr>
        <w:pStyle w:val="Sinespaciado"/>
        <w:jc w:val="both"/>
        <w:rPr>
          <w:rFonts w:ascii="Bookman Old Style" w:hAnsi="Bookman Old Style" w:cstheme="minorHAnsi"/>
        </w:rPr>
      </w:pPr>
      <w:r w:rsidRPr="003F50C8">
        <w:rPr>
          <w:rFonts w:ascii="Bookman Old Style" w:hAnsi="Bookman Old Style" w:cstheme="minorHAnsi"/>
        </w:rPr>
        <w:lastRenderedPageBreak/>
        <w:t>En el año 2014</w:t>
      </w:r>
      <w:r w:rsidRPr="003F50C8">
        <w:rPr>
          <w:vertAlign w:val="superscript"/>
        </w:rPr>
        <w:footnoteReference w:id="46"/>
      </w:r>
      <w:r w:rsidRPr="003F50C8">
        <w:rPr>
          <w:rFonts w:ascii="Bookman Old Style" w:hAnsi="Bookman Old Style" w:cstheme="minorHAnsi"/>
        </w:rPr>
        <w:t xml:space="preserve"> la Contraloría General de la República adelantó seguimiento a la Función de Advertencia emitida por esa entidad en el año 2012 sobre los posibles riesgos por la exploración y explotación de yacimientos de hidrocarburos no convencionales y el principio de precaución. </w:t>
      </w:r>
    </w:p>
    <w:p w14:paraId="027CE7C3" w14:textId="77777777" w:rsidR="004E7236" w:rsidRPr="003F50C8" w:rsidRDefault="004E7236" w:rsidP="003F50C8">
      <w:pPr>
        <w:pStyle w:val="Sinespaciado"/>
        <w:jc w:val="both"/>
        <w:rPr>
          <w:rFonts w:ascii="Bookman Old Style" w:hAnsi="Bookman Old Style" w:cstheme="minorHAnsi"/>
        </w:rPr>
      </w:pPr>
    </w:p>
    <w:p w14:paraId="0CD3D658" w14:textId="77777777" w:rsidR="004E7236" w:rsidRPr="003F50C8" w:rsidRDefault="004E7236" w:rsidP="003F50C8">
      <w:pPr>
        <w:pStyle w:val="Sinespaciado"/>
        <w:jc w:val="both"/>
        <w:rPr>
          <w:rFonts w:ascii="Bookman Old Style" w:hAnsi="Bookman Old Style" w:cstheme="minorHAnsi"/>
        </w:rPr>
      </w:pPr>
      <w:r w:rsidRPr="003F50C8">
        <w:rPr>
          <w:rFonts w:ascii="Bookman Old Style" w:hAnsi="Bookman Old Style" w:cstheme="minorHAnsi"/>
        </w:rPr>
        <w:t>En el año 2018</w:t>
      </w:r>
      <w:r w:rsidRPr="003F50C8">
        <w:rPr>
          <w:rStyle w:val="Refdenotaalpie"/>
          <w:rFonts w:ascii="Bookman Old Style" w:hAnsi="Bookman Old Style" w:cstheme="minorHAnsi"/>
        </w:rPr>
        <w:footnoteReference w:id="47"/>
      </w:r>
      <w:r w:rsidRPr="003F50C8">
        <w:rPr>
          <w:rFonts w:ascii="Bookman Old Style" w:hAnsi="Bookman Old Style" w:cstheme="minorHAnsi"/>
        </w:rPr>
        <w:t xml:space="preserve"> la Contraloría General de la República, por tercera vez, concluye que el “fracking” puede tener resultados </w:t>
      </w:r>
      <w:r w:rsidRPr="003F50C8">
        <w:rPr>
          <w:rFonts w:ascii="Bookman Old Style" w:hAnsi="Bookman Old Style" w:cstheme="minorHAnsi"/>
          <w:b/>
          <w:caps/>
        </w:rPr>
        <w:t>catastróficos e irreversibles</w:t>
      </w:r>
      <w:r w:rsidRPr="003F50C8">
        <w:rPr>
          <w:rFonts w:ascii="Bookman Old Style" w:hAnsi="Bookman Old Style" w:cstheme="minorHAnsi"/>
        </w:rPr>
        <w:t>. El país todavía no cuenta con las “</w:t>
      </w:r>
      <w:r w:rsidRPr="003F50C8">
        <w:rPr>
          <w:rFonts w:ascii="Bookman Old Style" w:hAnsi="Bookman Old Style" w:cstheme="minorHAnsi"/>
          <w:i/>
        </w:rPr>
        <w:t xml:space="preserve">condiciones adecuadas para el cumplimiento de los requisitos técnicos ambientales de nuestro país” </w:t>
      </w:r>
      <w:r w:rsidRPr="003F50C8">
        <w:rPr>
          <w:rFonts w:ascii="Bookman Old Style" w:hAnsi="Bookman Old Style" w:cstheme="minorHAnsi"/>
        </w:rPr>
        <w:t>para permitir el “fracking” en el territorio nacional, esto a pesar que el Gobierno ha hecho esfuerzos por “</w:t>
      </w:r>
      <w:r w:rsidRPr="003F50C8">
        <w:rPr>
          <w:rFonts w:ascii="Bookman Old Style" w:hAnsi="Bookman Old Style" w:cstheme="minorHAnsi"/>
          <w:i/>
        </w:rPr>
        <w:t>establecer los requerimientos técnicos y procedimientos para la exploración de hidrocarburos en yacimientos no convencionales</w:t>
      </w:r>
      <w:r w:rsidRPr="003F50C8">
        <w:rPr>
          <w:rFonts w:ascii="Bookman Old Style" w:hAnsi="Bookman Old Style" w:cstheme="minorHAnsi"/>
        </w:rPr>
        <w:t>”.</w:t>
      </w:r>
    </w:p>
    <w:p w14:paraId="35D2B1C8" w14:textId="77777777" w:rsidR="004E7236" w:rsidRPr="003F50C8" w:rsidRDefault="004E7236" w:rsidP="003F50C8">
      <w:pPr>
        <w:pStyle w:val="Sinespaciado"/>
        <w:jc w:val="both"/>
        <w:rPr>
          <w:rFonts w:ascii="Bookman Old Style" w:hAnsi="Bookman Old Style" w:cstheme="minorHAnsi"/>
        </w:rPr>
      </w:pPr>
    </w:p>
    <w:p w14:paraId="6EFB1EE2" w14:textId="77777777" w:rsidR="004E7236" w:rsidRPr="003F50C8" w:rsidRDefault="004E7236" w:rsidP="00A43A7E">
      <w:pPr>
        <w:pStyle w:val="Prrafodelista"/>
        <w:numPr>
          <w:ilvl w:val="2"/>
          <w:numId w:val="1"/>
        </w:numPr>
        <w:ind w:left="0" w:firstLine="0"/>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Pronunciamiento </w:t>
      </w:r>
      <w:r w:rsidRPr="003F50C8">
        <w:rPr>
          <w:rFonts w:ascii="Bookman Old Style" w:hAnsi="Bookman Old Style"/>
          <w:b/>
          <w:sz w:val="22"/>
          <w:szCs w:val="22"/>
          <w:lang w:val="es-ES"/>
        </w:rPr>
        <w:t>de la Conferencia de las Naciones Unidas sobre Comercio y Desarrollo (UNCTAD)</w:t>
      </w:r>
      <w:r w:rsidR="00A43A7E">
        <w:rPr>
          <w:rFonts w:ascii="Bookman Old Style" w:hAnsi="Bookman Old Style"/>
          <w:b/>
          <w:sz w:val="22"/>
          <w:szCs w:val="22"/>
          <w:lang w:val="es-ES"/>
        </w:rPr>
        <w:t>.</w:t>
      </w:r>
    </w:p>
    <w:p w14:paraId="32DCC1D5" w14:textId="77777777" w:rsidR="004E7236" w:rsidRPr="003F50C8" w:rsidRDefault="004E7236" w:rsidP="003F50C8">
      <w:pPr>
        <w:pStyle w:val="Sinespaciado"/>
        <w:jc w:val="both"/>
        <w:rPr>
          <w:rFonts w:ascii="Bookman Old Style" w:hAnsi="Bookman Old Style" w:cstheme="minorHAnsi"/>
        </w:rPr>
      </w:pPr>
    </w:p>
    <w:p w14:paraId="5A04DA6D" w14:textId="77777777" w:rsidR="004E7236" w:rsidRPr="003F50C8" w:rsidRDefault="004E7236" w:rsidP="003F50C8">
      <w:pPr>
        <w:jc w:val="both"/>
        <w:rPr>
          <w:rFonts w:ascii="Bookman Old Style" w:hAnsi="Bookman Old Style"/>
          <w:sz w:val="22"/>
          <w:szCs w:val="22"/>
          <w:lang w:val="es-ES"/>
        </w:rPr>
      </w:pPr>
      <w:r w:rsidRPr="003F50C8">
        <w:rPr>
          <w:rFonts w:ascii="Bookman Old Style" w:hAnsi="Bookman Old Style"/>
          <w:sz w:val="22"/>
          <w:szCs w:val="22"/>
          <w:lang w:val="es-ES"/>
        </w:rPr>
        <w:t>La Conferencia de las Naciones Unidas sobre Comercio y Desarrollo (UNCTAD) en un reporte del año 2018, ha pedido ver al fracking con cautela, especialmente en los países en vías de desarrollo, por temas ambientales y la contaminación que ocasiona el gas natural</w:t>
      </w:r>
      <w:r w:rsidRPr="003F50C8">
        <w:rPr>
          <w:rStyle w:val="Refdenotaalpie"/>
          <w:rFonts w:ascii="Bookman Old Style" w:hAnsi="Bookman Old Style"/>
          <w:sz w:val="22"/>
          <w:szCs w:val="22"/>
          <w:lang w:val="es-ES"/>
        </w:rPr>
        <w:footnoteReference w:id="48"/>
      </w:r>
      <w:r w:rsidRPr="003F50C8">
        <w:rPr>
          <w:rFonts w:ascii="Bookman Old Style" w:hAnsi="Bookman Old Style"/>
          <w:sz w:val="22"/>
          <w:szCs w:val="22"/>
          <w:lang w:val="es-ES"/>
        </w:rPr>
        <w:t>.</w:t>
      </w:r>
    </w:p>
    <w:p w14:paraId="073C5D78" w14:textId="77777777" w:rsidR="004E7236" w:rsidRPr="003F50C8" w:rsidRDefault="004E7236" w:rsidP="003F50C8">
      <w:pPr>
        <w:pStyle w:val="Prrafodelista"/>
        <w:ind w:left="360"/>
        <w:jc w:val="both"/>
        <w:rPr>
          <w:rFonts w:ascii="Bookman Old Style" w:hAnsi="Bookman Old Style"/>
          <w:b/>
          <w:sz w:val="22"/>
          <w:szCs w:val="22"/>
          <w:lang w:val="es-ES"/>
        </w:rPr>
      </w:pPr>
    </w:p>
    <w:p w14:paraId="31DA7E37" w14:textId="77777777" w:rsidR="004E7236" w:rsidRPr="003F50C8" w:rsidRDefault="004E7236"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Dentro de los aspectos mencionados en el reporte</w:t>
      </w:r>
      <w:r w:rsidRPr="003F50C8">
        <w:rPr>
          <w:rStyle w:val="Refdenotaalpie"/>
          <w:rFonts w:ascii="Bookman Old Style" w:hAnsi="Bookman Old Style"/>
          <w:sz w:val="22"/>
          <w:szCs w:val="22"/>
          <w:lang w:val="es-ES"/>
        </w:rPr>
        <w:footnoteReference w:id="49"/>
      </w:r>
      <w:r w:rsidRPr="003F50C8">
        <w:rPr>
          <w:rFonts w:ascii="Bookman Old Style" w:hAnsi="Bookman Old Style"/>
          <w:sz w:val="22"/>
          <w:szCs w:val="22"/>
          <w:lang w:val="es-ES"/>
        </w:rPr>
        <w:t>, se encuentra que el principal componente del gas natural es el metano, el cual tiene un potencial de contribuir negativamente 28 veces más al calentamiento global que el dióxido de carbono (CO2) de otros combustibles fósiles.</w:t>
      </w:r>
    </w:p>
    <w:p w14:paraId="2628D19C" w14:textId="77777777" w:rsidR="004E7236" w:rsidRPr="003F50C8" w:rsidRDefault="004E7236" w:rsidP="003F50C8">
      <w:pPr>
        <w:pStyle w:val="Prrafodelista"/>
        <w:ind w:left="0"/>
        <w:jc w:val="both"/>
        <w:rPr>
          <w:rFonts w:ascii="Bookman Old Style" w:hAnsi="Bookman Old Style"/>
          <w:sz w:val="22"/>
          <w:szCs w:val="22"/>
          <w:lang w:val="es-ES"/>
        </w:rPr>
      </w:pPr>
    </w:p>
    <w:p w14:paraId="06FE080B" w14:textId="77777777" w:rsidR="004E7236" w:rsidRPr="00A43A7E" w:rsidRDefault="004E7236" w:rsidP="00A43A7E">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El reporte no dice si el fracking es bueno o malo, menciona que los gobiernos tienen que tomar sus propias decisiones y ver sus capacidades de inversión y la posibilidad que se contaminen fuentes hídricas al emprender este tipo de proyectos. Señala, además, que es importante que los gobiernos evalúen los riesgos asociados al fracking. Más allá, el reporte recomienda que los países que quieran incursionar en estos métodos deberían tener en cuenta posibles falencias en el conocimiento geológico e hídrico local, así como, regulación inadecuada </w:t>
      </w:r>
      <w:r w:rsidR="00A43A7E">
        <w:rPr>
          <w:rFonts w:ascii="Bookman Old Style" w:hAnsi="Bookman Old Style"/>
          <w:sz w:val="22"/>
          <w:szCs w:val="22"/>
          <w:lang w:val="es-ES"/>
        </w:rPr>
        <w:t xml:space="preserve">para este tipo de actividades. </w:t>
      </w:r>
    </w:p>
    <w:p w14:paraId="5A875494" w14:textId="77777777" w:rsidR="0041745C" w:rsidRPr="003F50C8" w:rsidRDefault="0041745C" w:rsidP="003F50C8">
      <w:pPr>
        <w:jc w:val="both"/>
        <w:rPr>
          <w:rFonts w:ascii="Bookman Old Style" w:hAnsi="Bookman Old Style"/>
          <w:b/>
          <w:bCs/>
          <w:color w:val="000000" w:themeColor="text1"/>
          <w:sz w:val="22"/>
          <w:szCs w:val="22"/>
        </w:rPr>
      </w:pPr>
    </w:p>
    <w:p w14:paraId="14C48FA7" w14:textId="0D3F6180" w:rsidR="00510FCB" w:rsidRDefault="00234FAD" w:rsidP="00A43A7E">
      <w:pPr>
        <w:pStyle w:val="Prrafodelista"/>
        <w:numPr>
          <w:ilvl w:val="1"/>
          <w:numId w:val="1"/>
        </w:numPr>
        <w:ind w:left="0" w:firstLine="0"/>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ESTADO ACTUAL DEL FRACKING</w:t>
      </w:r>
      <w:r w:rsidR="00383F34" w:rsidRPr="003F50C8">
        <w:rPr>
          <w:rFonts w:ascii="Bookman Old Style" w:hAnsi="Bookman Old Style"/>
          <w:b/>
          <w:bCs/>
          <w:color w:val="000000" w:themeColor="text1"/>
          <w:sz w:val="22"/>
          <w:szCs w:val="22"/>
        </w:rPr>
        <w:t xml:space="preserve"> EN EL </w:t>
      </w:r>
      <w:r>
        <w:rPr>
          <w:rFonts w:ascii="Bookman Old Style" w:hAnsi="Bookman Old Style"/>
          <w:b/>
          <w:bCs/>
          <w:color w:val="000000" w:themeColor="text1"/>
          <w:sz w:val="22"/>
          <w:szCs w:val="22"/>
        </w:rPr>
        <w:t>C</w:t>
      </w:r>
      <w:r w:rsidR="00383F34" w:rsidRPr="003F50C8">
        <w:rPr>
          <w:rFonts w:ascii="Bookman Old Style" w:hAnsi="Bookman Old Style"/>
          <w:b/>
          <w:bCs/>
          <w:color w:val="000000" w:themeColor="text1"/>
          <w:sz w:val="22"/>
          <w:szCs w:val="22"/>
        </w:rPr>
        <w:t>O</w:t>
      </w:r>
      <w:r>
        <w:rPr>
          <w:rFonts w:ascii="Bookman Old Style" w:hAnsi="Bookman Old Style"/>
          <w:b/>
          <w:bCs/>
          <w:color w:val="000000" w:themeColor="text1"/>
          <w:sz w:val="22"/>
          <w:szCs w:val="22"/>
        </w:rPr>
        <w:t>LOMBIA</w:t>
      </w:r>
      <w:r w:rsidR="00A43A7E">
        <w:rPr>
          <w:rFonts w:ascii="Bookman Old Style" w:hAnsi="Bookman Old Style"/>
          <w:b/>
          <w:bCs/>
          <w:color w:val="000000" w:themeColor="text1"/>
          <w:sz w:val="22"/>
          <w:szCs w:val="22"/>
        </w:rPr>
        <w:t>.</w:t>
      </w:r>
    </w:p>
    <w:p w14:paraId="05901089" w14:textId="0CC83229" w:rsidR="00234FAD" w:rsidRDefault="00234FAD" w:rsidP="00234FAD">
      <w:pPr>
        <w:jc w:val="both"/>
        <w:rPr>
          <w:rFonts w:ascii="Bookman Old Style" w:hAnsi="Bookman Old Style"/>
          <w:b/>
          <w:bCs/>
          <w:color w:val="000000" w:themeColor="text1"/>
          <w:sz w:val="22"/>
          <w:szCs w:val="22"/>
        </w:rPr>
      </w:pPr>
    </w:p>
    <w:p w14:paraId="7739113E" w14:textId="1DBF1D49" w:rsidR="00234FAD" w:rsidRDefault="005304EC" w:rsidP="00234FAD">
      <w:pPr>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Desde el año 2013 el Estado Colombiano ha buscado reglamentar los requerimientos técnicos y los procedimientos para la explotación de hidrocarburos a través del fracking, para lo cual expidió el Decreto 3004 de 2013 y la Resolución 90341 de 2014. </w:t>
      </w:r>
    </w:p>
    <w:p w14:paraId="47D3317E" w14:textId="30BEEB01" w:rsidR="005304EC" w:rsidRDefault="005304EC" w:rsidP="00234FAD">
      <w:pPr>
        <w:jc w:val="both"/>
        <w:rPr>
          <w:rFonts w:ascii="Bookman Old Style" w:hAnsi="Bookman Old Style"/>
          <w:color w:val="000000" w:themeColor="text1"/>
          <w:sz w:val="22"/>
          <w:szCs w:val="22"/>
        </w:rPr>
      </w:pPr>
    </w:p>
    <w:p w14:paraId="274A5923" w14:textId="616AC2FA" w:rsidR="005304EC" w:rsidRDefault="005304EC" w:rsidP="00234FAD">
      <w:pPr>
        <w:jc w:val="both"/>
        <w:rPr>
          <w:rFonts w:ascii="Bookman Old Style" w:hAnsi="Bookman Old Style"/>
          <w:color w:val="000000" w:themeColor="text1"/>
          <w:sz w:val="22"/>
          <w:szCs w:val="22"/>
        </w:rPr>
      </w:pPr>
      <w:r>
        <w:rPr>
          <w:rFonts w:ascii="Bookman Old Style" w:hAnsi="Bookman Old Style"/>
          <w:color w:val="000000" w:themeColor="text1"/>
          <w:sz w:val="22"/>
          <w:szCs w:val="22"/>
        </w:rPr>
        <w:t>En el año 201</w:t>
      </w:r>
      <w:r w:rsidR="004F3665">
        <w:rPr>
          <w:rFonts w:ascii="Bookman Old Style" w:hAnsi="Bookman Old Style"/>
          <w:color w:val="000000" w:themeColor="text1"/>
          <w:sz w:val="22"/>
          <w:szCs w:val="22"/>
        </w:rPr>
        <w:t>8,</w:t>
      </w:r>
      <w:r w:rsidR="004F3665">
        <w:rPr>
          <w:rStyle w:val="Refdenotaalpie"/>
          <w:rFonts w:ascii="Bookman Old Style" w:hAnsi="Bookman Old Style"/>
          <w:color w:val="000000" w:themeColor="text1"/>
          <w:sz w:val="22"/>
          <w:szCs w:val="22"/>
        </w:rPr>
        <w:footnoteReference w:id="50"/>
      </w:r>
      <w:r>
        <w:rPr>
          <w:rFonts w:ascii="Bookman Old Style" w:hAnsi="Bookman Old Style"/>
          <w:color w:val="000000" w:themeColor="text1"/>
          <w:sz w:val="22"/>
          <w:szCs w:val="22"/>
        </w:rPr>
        <w:t xml:space="preserve"> tanto el Decreto 3004 como la Resolución 90341 fueron demandados ante el Consejo de Estado</w:t>
      </w:r>
      <w:r w:rsidR="0025754A">
        <w:rPr>
          <w:rFonts w:ascii="Bookman Old Style" w:hAnsi="Bookman Old Style"/>
          <w:color w:val="000000" w:themeColor="text1"/>
          <w:sz w:val="22"/>
          <w:szCs w:val="22"/>
        </w:rPr>
        <w:t xml:space="preserve"> y suspendidos provisionalmente, toda vez que en el tramite preliminar se estación que el fracking en Colombia podía implicar “una afectación grave al medio ambiente y a la salud humana”, aunado a la inexistencia de certeza científica frente a sus consecuencias de cara al principio de precaución.</w:t>
      </w:r>
    </w:p>
    <w:p w14:paraId="76804A9B" w14:textId="13D2FBCE" w:rsidR="0025754A" w:rsidRDefault="0025754A" w:rsidP="00234FAD">
      <w:pPr>
        <w:jc w:val="both"/>
        <w:rPr>
          <w:rFonts w:ascii="Bookman Old Style" w:hAnsi="Bookman Old Style"/>
          <w:color w:val="000000" w:themeColor="text1"/>
          <w:sz w:val="22"/>
          <w:szCs w:val="22"/>
        </w:rPr>
      </w:pPr>
    </w:p>
    <w:p w14:paraId="2012D518" w14:textId="41BCE495" w:rsidR="0025754A" w:rsidRDefault="004F3665" w:rsidP="004F3665">
      <w:pPr>
        <w:jc w:val="both"/>
        <w:rPr>
          <w:rFonts w:ascii="Bookman Old Style" w:hAnsi="Bookman Old Style"/>
          <w:color w:val="000000" w:themeColor="text1"/>
          <w:sz w:val="22"/>
          <w:szCs w:val="22"/>
        </w:rPr>
      </w:pPr>
      <w:r>
        <w:rPr>
          <w:rFonts w:ascii="Bookman Old Style" w:hAnsi="Bookman Old Style"/>
          <w:color w:val="000000" w:themeColor="text1"/>
          <w:sz w:val="22"/>
          <w:szCs w:val="22"/>
        </w:rPr>
        <w:t>En el mismo año, e</w:t>
      </w:r>
      <w:r w:rsidRPr="004F3665">
        <w:rPr>
          <w:rFonts w:ascii="Bookman Old Style" w:hAnsi="Bookman Old Style"/>
          <w:color w:val="000000" w:themeColor="text1"/>
          <w:sz w:val="22"/>
          <w:szCs w:val="22"/>
        </w:rPr>
        <w:t>l ciudadano Álvaro Diaz Granados interpuso acción popular para proteger el derecho colectivo al medio ambiente sano, que consideraba estaba en riesgo por el desarrollo de prácticas de exploración y explotación de yacimientos de hidrocarburos a través de la técnica de fracturación hidráulica (Fracking)</w:t>
      </w:r>
      <w:r>
        <w:rPr>
          <w:rFonts w:ascii="Bookman Old Style" w:hAnsi="Bookman Old Style"/>
          <w:color w:val="000000" w:themeColor="text1"/>
          <w:sz w:val="22"/>
          <w:szCs w:val="22"/>
        </w:rPr>
        <w:t xml:space="preserve">, </w:t>
      </w:r>
      <w:r w:rsidRPr="004F3665">
        <w:rPr>
          <w:rFonts w:ascii="Bookman Old Style" w:hAnsi="Bookman Old Style"/>
          <w:color w:val="000000" w:themeColor="text1"/>
          <w:sz w:val="22"/>
          <w:szCs w:val="22"/>
        </w:rPr>
        <w:t>advirti</w:t>
      </w:r>
      <w:r>
        <w:rPr>
          <w:rFonts w:ascii="Bookman Old Style" w:hAnsi="Bookman Old Style"/>
          <w:color w:val="000000" w:themeColor="text1"/>
          <w:sz w:val="22"/>
          <w:szCs w:val="22"/>
        </w:rPr>
        <w:t>endo</w:t>
      </w:r>
      <w:r w:rsidRPr="004F3665">
        <w:rPr>
          <w:rFonts w:ascii="Bookman Old Style" w:hAnsi="Bookman Old Style"/>
          <w:color w:val="000000" w:themeColor="text1"/>
          <w:sz w:val="22"/>
          <w:szCs w:val="22"/>
        </w:rPr>
        <w:t xml:space="preserve"> que el Fracking podría generar contaminación del agua, del aire y sismicidad inducida y que no había suficiente información científica para estar seguros de que esos daños no se generarían.</w:t>
      </w:r>
      <w:r w:rsidR="002B2174">
        <w:rPr>
          <w:rFonts w:ascii="Bookman Old Style" w:hAnsi="Bookman Old Style"/>
          <w:color w:val="000000" w:themeColor="text1"/>
          <w:sz w:val="22"/>
          <w:szCs w:val="22"/>
        </w:rPr>
        <w:t xml:space="preserve"> De igual manera </w:t>
      </w:r>
      <w:r w:rsidRPr="004F3665">
        <w:rPr>
          <w:rFonts w:ascii="Bookman Old Style" w:hAnsi="Bookman Old Style"/>
          <w:color w:val="000000" w:themeColor="text1"/>
          <w:sz w:val="22"/>
          <w:szCs w:val="22"/>
        </w:rPr>
        <w:t xml:space="preserve">solicitó, mediante una medida cautelar que i) se suspendieran las prácticas de exploración y explotación de hidrocarburos mediante fracking y ii) que se suspendieran las licencias ambientales otorgadas en relación con el desarrollo de esas actividades de fracking. Ambas cosas, en tanto no se </w:t>
      </w:r>
      <w:r w:rsidR="002B2174">
        <w:rPr>
          <w:rFonts w:ascii="Bookman Old Style" w:hAnsi="Bookman Old Style"/>
          <w:color w:val="000000" w:themeColor="text1"/>
          <w:sz w:val="22"/>
          <w:szCs w:val="22"/>
        </w:rPr>
        <w:t>llev</w:t>
      </w:r>
      <w:r w:rsidR="00D06070">
        <w:rPr>
          <w:rFonts w:ascii="Bookman Old Style" w:hAnsi="Bookman Old Style"/>
          <w:color w:val="000000" w:themeColor="text1"/>
          <w:sz w:val="22"/>
          <w:szCs w:val="22"/>
        </w:rPr>
        <w:t>e</w:t>
      </w:r>
      <w:r w:rsidR="002B2174">
        <w:rPr>
          <w:rFonts w:ascii="Bookman Old Style" w:hAnsi="Bookman Old Style"/>
          <w:color w:val="000000" w:themeColor="text1"/>
          <w:sz w:val="22"/>
          <w:szCs w:val="22"/>
        </w:rPr>
        <w:t xml:space="preserve"> a cabo</w:t>
      </w:r>
      <w:r w:rsidRPr="004F3665">
        <w:rPr>
          <w:rFonts w:ascii="Bookman Old Style" w:hAnsi="Bookman Old Style"/>
          <w:color w:val="000000" w:themeColor="text1"/>
          <w:sz w:val="22"/>
          <w:szCs w:val="22"/>
        </w:rPr>
        <w:t xml:space="preserve"> los estudios científicos pertinentes que garanticen que con esta actividad no se pondrá en riesgo la salud, el aire, el agua, el subsuelo y en general a todo el medio ambiente</w:t>
      </w:r>
      <w:r w:rsidR="002B2174">
        <w:rPr>
          <w:rFonts w:ascii="Bookman Old Style" w:hAnsi="Bookman Old Style"/>
          <w:color w:val="000000" w:themeColor="text1"/>
          <w:sz w:val="22"/>
          <w:szCs w:val="22"/>
        </w:rPr>
        <w:t>.</w:t>
      </w:r>
    </w:p>
    <w:p w14:paraId="5651EDEE" w14:textId="1BAA6780" w:rsidR="002B2174" w:rsidRDefault="002B2174" w:rsidP="004F3665">
      <w:pPr>
        <w:jc w:val="both"/>
        <w:rPr>
          <w:rFonts w:ascii="Bookman Old Style" w:hAnsi="Bookman Old Style"/>
          <w:color w:val="000000" w:themeColor="text1"/>
          <w:sz w:val="22"/>
          <w:szCs w:val="22"/>
        </w:rPr>
      </w:pPr>
    </w:p>
    <w:p w14:paraId="27D775B3" w14:textId="78848674" w:rsidR="002B2174" w:rsidRPr="002B2174" w:rsidRDefault="002B2174" w:rsidP="002B2174">
      <w:pPr>
        <w:jc w:val="both"/>
        <w:rPr>
          <w:rFonts w:ascii="Bookman Old Style" w:hAnsi="Bookman Old Style"/>
          <w:color w:val="000000" w:themeColor="text1"/>
          <w:sz w:val="22"/>
          <w:szCs w:val="22"/>
        </w:rPr>
      </w:pPr>
      <w:r w:rsidRPr="002B2174">
        <w:rPr>
          <w:rFonts w:ascii="Bookman Old Style" w:hAnsi="Bookman Old Style"/>
          <w:color w:val="000000" w:themeColor="text1"/>
          <w:sz w:val="22"/>
          <w:szCs w:val="22"/>
        </w:rPr>
        <w:t>El 16 de enero de 2020, la Subsección B de la Sección Primera del Tribunal Administrativo de Bogotá concedió la medida cautelar.</w:t>
      </w:r>
    </w:p>
    <w:p w14:paraId="0FCB0A81" w14:textId="77777777" w:rsidR="002B2174" w:rsidRPr="002B2174" w:rsidRDefault="002B2174" w:rsidP="002B2174">
      <w:pPr>
        <w:jc w:val="both"/>
        <w:rPr>
          <w:rFonts w:ascii="Bookman Old Style" w:hAnsi="Bookman Old Style"/>
          <w:color w:val="000000" w:themeColor="text1"/>
          <w:sz w:val="22"/>
          <w:szCs w:val="22"/>
        </w:rPr>
      </w:pPr>
    </w:p>
    <w:p w14:paraId="735164A6" w14:textId="4440045F" w:rsidR="002B2174" w:rsidRDefault="002B2174" w:rsidP="002B2174">
      <w:pPr>
        <w:jc w:val="both"/>
        <w:rPr>
          <w:rFonts w:ascii="Bookman Old Style" w:hAnsi="Bookman Old Style"/>
          <w:color w:val="000000" w:themeColor="text1"/>
          <w:sz w:val="22"/>
          <w:szCs w:val="22"/>
        </w:rPr>
      </w:pPr>
      <w:r w:rsidRPr="002B2174">
        <w:rPr>
          <w:rFonts w:ascii="Bookman Old Style" w:hAnsi="Bookman Old Style"/>
          <w:color w:val="000000" w:themeColor="text1"/>
          <w:sz w:val="22"/>
          <w:szCs w:val="22"/>
        </w:rPr>
        <w:t>El 11 de marzo de 2020 Diaz Granados solicitó la apertura de un incidente de desacato a la orden dada en el numeral 2 del Auto que concedió la medida cautelar. Según el accionante, el desacato lo cometió el Ministerio de Minas y Energía al emitir el Decreto 328 de 2020 sin contar con la totalidad de la información científica solicitada por el Tribunal.</w:t>
      </w:r>
    </w:p>
    <w:p w14:paraId="66F48F5E" w14:textId="0926A321" w:rsidR="00D06070" w:rsidRDefault="00D06070" w:rsidP="002B2174">
      <w:pPr>
        <w:jc w:val="both"/>
        <w:rPr>
          <w:rFonts w:ascii="Bookman Old Style" w:hAnsi="Bookman Old Style"/>
          <w:color w:val="000000" w:themeColor="text1"/>
          <w:sz w:val="22"/>
          <w:szCs w:val="22"/>
        </w:rPr>
      </w:pPr>
    </w:p>
    <w:p w14:paraId="2A4CD187" w14:textId="4124A7E3" w:rsidR="00D06070" w:rsidRDefault="003E6C1A" w:rsidP="002B2174">
      <w:pPr>
        <w:jc w:val="both"/>
        <w:rPr>
          <w:rFonts w:ascii="Bookman Old Style" w:hAnsi="Bookman Old Style"/>
          <w:color w:val="000000" w:themeColor="text1"/>
          <w:sz w:val="22"/>
          <w:szCs w:val="22"/>
        </w:rPr>
      </w:pPr>
      <w:r>
        <w:rPr>
          <w:rFonts w:ascii="Bookman Old Style" w:hAnsi="Bookman Old Style"/>
          <w:color w:val="000000" w:themeColor="text1"/>
          <w:sz w:val="22"/>
          <w:szCs w:val="22"/>
        </w:rPr>
        <w:t>Frente al Decreto 328 de 2020</w:t>
      </w:r>
      <w:r w:rsidR="002410C3">
        <w:rPr>
          <w:rFonts w:ascii="Bookman Old Style" w:hAnsi="Bookman Old Style"/>
          <w:color w:val="000000" w:themeColor="text1"/>
          <w:sz w:val="22"/>
          <w:szCs w:val="22"/>
        </w:rPr>
        <w:t xml:space="preserve"> “</w:t>
      </w:r>
      <w:r w:rsidR="002410C3" w:rsidRPr="00AF1FAD">
        <w:rPr>
          <w:rFonts w:ascii="Bookman Old Style" w:hAnsi="Bookman Old Style"/>
          <w:i/>
          <w:iCs/>
          <w:color w:val="000000" w:themeColor="text1"/>
          <w:sz w:val="22"/>
          <w:szCs w:val="22"/>
        </w:rPr>
        <w:t xml:space="preserve">Por el cual se fijan lineamientos para adelantar Proyectos Piloto de Investigación Integral -PPII sobre Yacimientos No Convencionales - YNC de hidrocarburos con la utilización de la técnica de Fracturamiento Hidráulico </w:t>
      </w:r>
      <w:r w:rsidR="002410C3" w:rsidRPr="00AF1FAD">
        <w:rPr>
          <w:rFonts w:ascii="Bookman Old Style" w:hAnsi="Bookman Old Style"/>
          <w:i/>
          <w:iCs/>
          <w:color w:val="000000" w:themeColor="text1"/>
          <w:sz w:val="22"/>
          <w:szCs w:val="22"/>
        </w:rPr>
        <w:lastRenderedPageBreak/>
        <w:t>Multietapa con Perforación Horizontal - FH-PH, y se dictan otras disposiciones</w:t>
      </w:r>
      <w:r w:rsidR="002410C3">
        <w:rPr>
          <w:rFonts w:ascii="Bookman Old Style" w:hAnsi="Bookman Old Style"/>
          <w:color w:val="000000" w:themeColor="text1"/>
          <w:sz w:val="22"/>
          <w:szCs w:val="22"/>
        </w:rPr>
        <w:t>”</w:t>
      </w:r>
      <w:r>
        <w:rPr>
          <w:rFonts w:ascii="Bookman Old Style" w:hAnsi="Bookman Old Style"/>
          <w:color w:val="000000" w:themeColor="text1"/>
          <w:sz w:val="22"/>
          <w:szCs w:val="22"/>
        </w:rPr>
        <w:t xml:space="preserve"> el Consejo de Estado</w:t>
      </w:r>
      <w:r w:rsidR="002410C3">
        <w:rPr>
          <w:rFonts w:ascii="Bookman Old Style" w:hAnsi="Bookman Old Style"/>
          <w:color w:val="000000" w:themeColor="text1"/>
          <w:sz w:val="22"/>
          <w:szCs w:val="22"/>
        </w:rPr>
        <w:t>, en ese mismo año, negó la medida cautelar que pedía su suspensión provisional, afirmando que “</w:t>
      </w:r>
      <w:r w:rsidR="002410C3" w:rsidRPr="00AF1FAD">
        <w:rPr>
          <w:rFonts w:ascii="Bookman Old Style" w:hAnsi="Bookman Old Style"/>
          <w:i/>
          <w:iCs/>
          <w:color w:val="000000" w:themeColor="text1"/>
          <w:sz w:val="22"/>
          <w:szCs w:val="22"/>
        </w:rPr>
        <w:t>éste no vulnera el principio de precaución, sino que tiene por finalidad fijar lineamientos generales cumpliendo con el diseño dispuesto por la Comisión de Expertos para los Ppii</w:t>
      </w:r>
      <w:r w:rsidR="002410C3">
        <w:rPr>
          <w:rFonts w:ascii="Bookman Old Style" w:hAnsi="Bookman Old Style"/>
          <w:color w:val="000000" w:themeColor="text1"/>
          <w:sz w:val="22"/>
          <w:szCs w:val="22"/>
        </w:rPr>
        <w:t>”</w:t>
      </w:r>
      <w:r w:rsidR="002410C3">
        <w:rPr>
          <w:rStyle w:val="Refdenotaalpie"/>
          <w:rFonts w:ascii="Bookman Old Style" w:hAnsi="Bookman Old Style"/>
          <w:color w:val="000000" w:themeColor="text1"/>
          <w:sz w:val="22"/>
          <w:szCs w:val="22"/>
        </w:rPr>
        <w:footnoteReference w:id="51"/>
      </w:r>
    </w:p>
    <w:p w14:paraId="364978D2" w14:textId="3B960D10" w:rsidR="002410C3" w:rsidRDefault="002410C3" w:rsidP="002B2174">
      <w:pPr>
        <w:jc w:val="both"/>
        <w:rPr>
          <w:rFonts w:ascii="Bookman Old Style" w:hAnsi="Bookman Old Style"/>
          <w:color w:val="000000" w:themeColor="text1"/>
          <w:sz w:val="22"/>
          <w:szCs w:val="22"/>
        </w:rPr>
      </w:pPr>
    </w:p>
    <w:p w14:paraId="5553D6C4" w14:textId="77777777" w:rsidR="00C77314" w:rsidRDefault="002410C3" w:rsidP="002410C3">
      <w:pPr>
        <w:jc w:val="both"/>
        <w:rPr>
          <w:rFonts w:ascii="Bookman Old Style" w:hAnsi="Bookman Old Style"/>
          <w:sz w:val="22"/>
          <w:szCs w:val="22"/>
          <w:lang w:val="es-ES"/>
        </w:rPr>
      </w:pPr>
      <w:r>
        <w:rPr>
          <w:rFonts w:ascii="Bookman Old Style" w:hAnsi="Bookman Old Style"/>
          <w:color w:val="000000" w:themeColor="text1"/>
          <w:sz w:val="22"/>
          <w:szCs w:val="22"/>
        </w:rPr>
        <w:t>Ante lo cual Ecopetrol solicitó licencia ambiental para adelantar el Proyecto Kalé en Puerto Wilches – Santander, estableciendo así el primer piloto de Fracking en Colombia.</w:t>
      </w:r>
      <w:r w:rsidR="00C77314">
        <w:rPr>
          <w:rFonts w:ascii="Bookman Old Style" w:hAnsi="Bookman Old Style"/>
          <w:color w:val="000000" w:themeColor="text1"/>
          <w:sz w:val="22"/>
          <w:szCs w:val="22"/>
        </w:rPr>
        <w:t xml:space="preserve"> </w:t>
      </w:r>
      <w:r w:rsidR="00C77314">
        <w:rPr>
          <w:rFonts w:ascii="Bookman Old Style" w:hAnsi="Bookman Old Style"/>
          <w:sz w:val="22"/>
          <w:szCs w:val="22"/>
        </w:rPr>
        <w:t>L</w:t>
      </w:r>
      <w:r>
        <w:rPr>
          <w:rFonts w:ascii="Bookman Old Style" w:hAnsi="Bookman Old Style"/>
          <w:sz w:val="22"/>
          <w:szCs w:val="22"/>
          <w:lang w:val="es-ES"/>
        </w:rPr>
        <w:t xml:space="preserve">a comunidad </w:t>
      </w:r>
      <w:r w:rsidR="00C77314">
        <w:rPr>
          <w:rFonts w:ascii="Bookman Old Style" w:hAnsi="Bookman Old Style"/>
          <w:sz w:val="22"/>
          <w:szCs w:val="22"/>
          <w:lang w:val="es-ES"/>
        </w:rPr>
        <w:t xml:space="preserve">por su parte, </w:t>
      </w:r>
      <w:r>
        <w:rPr>
          <w:rFonts w:ascii="Bookman Old Style" w:hAnsi="Bookman Old Style"/>
          <w:sz w:val="22"/>
          <w:szCs w:val="22"/>
          <w:lang w:val="es-ES"/>
        </w:rPr>
        <w:t>junto con organizaciones de derechos humanos y ONGs radicaron una acción de tutela para suspender la licencia ambiental otorgada por la ANLA</w:t>
      </w:r>
      <w:r w:rsidR="00C77314">
        <w:rPr>
          <w:rFonts w:ascii="Bookman Old Style" w:hAnsi="Bookman Old Style"/>
          <w:sz w:val="22"/>
          <w:szCs w:val="22"/>
          <w:lang w:val="es-ES"/>
        </w:rPr>
        <w:t>.</w:t>
      </w:r>
    </w:p>
    <w:p w14:paraId="65AE6888" w14:textId="77777777" w:rsidR="00C77314" w:rsidRDefault="00C77314" w:rsidP="002410C3">
      <w:pPr>
        <w:jc w:val="both"/>
        <w:rPr>
          <w:rFonts w:ascii="Bookman Old Style" w:hAnsi="Bookman Old Style"/>
          <w:sz w:val="22"/>
          <w:szCs w:val="22"/>
          <w:lang w:val="es-ES"/>
        </w:rPr>
      </w:pPr>
    </w:p>
    <w:p w14:paraId="091EB5D4" w14:textId="4102A944" w:rsidR="002B2174" w:rsidRPr="00AF1FAD" w:rsidRDefault="00C77314" w:rsidP="004F3665">
      <w:pPr>
        <w:jc w:val="both"/>
        <w:rPr>
          <w:rFonts w:ascii="Bookman Old Style" w:hAnsi="Bookman Old Style"/>
          <w:sz w:val="22"/>
          <w:szCs w:val="22"/>
          <w:lang w:val="es-ES"/>
        </w:rPr>
      </w:pPr>
      <w:r>
        <w:rPr>
          <w:rFonts w:ascii="Bookman Old Style" w:hAnsi="Bookman Old Style"/>
          <w:sz w:val="22"/>
          <w:szCs w:val="22"/>
          <w:lang w:val="es-ES"/>
        </w:rPr>
        <w:t>El 21 de abril de 2022, dicha t</w:t>
      </w:r>
      <w:r w:rsidR="002410C3">
        <w:rPr>
          <w:rFonts w:ascii="Bookman Old Style" w:hAnsi="Bookman Old Style"/>
          <w:sz w:val="22"/>
          <w:szCs w:val="22"/>
          <w:lang w:val="es-ES"/>
        </w:rPr>
        <w:t>utela</w:t>
      </w:r>
      <w:r>
        <w:rPr>
          <w:rFonts w:ascii="Bookman Old Style" w:hAnsi="Bookman Old Style"/>
          <w:sz w:val="22"/>
          <w:szCs w:val="22"/>
          <w:lang w:val="es-ES"/>
        </w:rPr>
        <w:t xml:space="preserve"> ordenó la suspensión de la licencia ambiental para desarrollar el proyecto piloto Kalé </w:t>
      </w:r>
      <w:r w:rsidR="002410C3">
        <w:rPr>
          <w:rFonts w:ascii="Bookman Old Style" w:hAnsi="Bookman Old Style"/>
          <w:sz w:val="22"/>
          <w:szCs w:val="22"/>
          <w:lang w:val="es-ES"/>
        </w:rPr>
        <w:t xml:space="preserve">hasta tanto no se </w:t>
      </w:r>
      <w:r>
        <w:rPr>
          <w:rFonts w:ascii="Bookman Old Style" w:hAnsi="Bookman Old Style"/>
          <w:sz w:val="22"/>
          <w:szCs w:val="22"/>
          <w:lang w:val="es-ES"/>
        </w:rPr>
        <w:t>adelantara</w:t>
      </w:r>
      <w:r w:rsidR="002410C3">
        <w:rPr>
          <w:rFonts w:ascii="Bookman Old Style" w:hAnsi="Bookman Old Style"/>
          <w:sz w:val="22"/>
          <w:szCs w:val="22"/>
          <w:lang w:val="es-ES"/>
        </w:rPr>
        <w:t xml:space="preserve"> el proceso de consulta previa con la Corporación Afrocolombiana Afrowilches en todas sus etapas.</w:t>
      </w:r>
      <w:r>
        <w:rPr>
          <w:rFonts w:ascii="Bookman Old Style" w:hAnsi="Bookman Old Style"/>
          <w:color w:val="000000" w:themeColor="text1"/>
          <w:sz w:val="22"/>
          <w:szCs w:val="22"/>
          <w:lang w:val="es-ES"/>
        </w:rPr>
        <w:t xml:space="preserve"> En tanto </w:t>
      </w:r>
      <w:r w:rsidR="002410C3">
        <w:rPr>
          <w:rFonts w:ascii="Bookman Old Style" w:hAnsi="Bookman Old Style"/>
          <w:sz w:val="22"/>
          <w:szCs w:val="22"/>
          <w:lang w:val="es-ES"/>
        </w:rPr>
        <w:t>el Tribunal Administrativo de Santander revocó el fallo de tutela</w:t>
      </w:r>
      <w:r>
        <w:rPr>
          <w:rFonts w:ascii="Bookman Old Style" w:hAnsi="Bookman Old Style"/>
          <w:sz w:val="22"/>
          <w:szCs w:val="22"/>
          <w:lang w:val="es-ES"/>
        </w:rPr>
        <w:t xml:space="preserve"> durante los primeros días de abril del presente año</w:t>
      </w:r>
      <w:r w:rsidR="002410C3">
        <w:rPr>
          <w:rFonts w:ascii="Bookman Old Style" w:hAnsi="Bookman Old Style"/>
          <w:sz w:val="22"/>
          <w:szCs w:val="22"/>
          <w:lang w:val="es-ES"/>
        </w:rPr>
        <w:t>, y en su lugar declaró la improcedencia de la suspensión, permitiendo que Ecopetrol continue con el proyecto de piloto de fracking en Puerto Wilches.</w:t>
      </w:r>
    </w:p>
    <w:p w14:paraId="3AE1CBF9" w14:textId="77777777" w:rsidR="00234FAD" w:rsidRPr="00AF1FAD" w:rsidRDefault="00234FAD" w:rsidP="00AF1FAD">
      <w:pPr>
        <w:jc w:val="both"/>
        <w:rPr>
          <w:rFonts w:ascii="Bookman Old Style" w:hAnsi="Bookman Old Style"/>
          <w:b/>
          <w:bCs/>
          <w:color w:val="000000" w:themeColor="text1"/>
          <w:sz w:val="22"/>
          <w:szCs w:val="22"/>
        </w:rPr>
      </w:pPr>
    </w:p>
    <w:p w14:paraId="2263BFA4" w14:textId="0B774BCF" w:rsidR="00234FAD" w:rsidRPr="003F50C8" w:rsidRDefault="00234FAD" w:rsidP="00A43A7E">
      <w:pPr>
        <w:pStyle w:val="Prrafodelista"/>
        <w:numPr>
          <w:ilvl w:val="1"/>
          <w:numId w:val="1"/>
        </w:numPr>
        <w:ind w:left="0" w:firstLine="0"/>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CAMBIO DE PARADIGMA EN EL MODELO DE DESARROLLO.</w:t>
      </w:r>
    </w:p>
    <w:p w14:paraId="53C7C3FF" w14:textId="77777777" w:rsidR="00F72000" w:rsidRPr="003F50C8" w:rsidRDefault="00F72000" w:rsidP="003F50C8">
      <w:pPr>
        <w:jc w:val="both"/>
        <w:rPr>
          <w:rFonts w:ascii="Bookman Old Style" w:hAnsi="Bookman Old Style"/>
          <w:sz w:val="22"/>
          <w:szCs w:val="22"/>
        </w:rPr>
      </w:pPr>
      <w:bookmarkStart w:id="2" w:name="OLE_LINK11"/>
    </w:p>
    <w:p w14:paraId="31B6EEAC" w14:textId="4354CFCB" w:rsidR="00362D65" w:rsidRPr="003F50C8" w:rsidRDefault="00923827" w:rsidP="003F50C8">
      <w:pPr>
        <w:jc w:val="both"/>
        <w:rPr>
          <w:rFonts w:ascii="Bookman Old Style" w:hAnsi="Bookman Old Style"/>
          <w:sz w:val="22"/>
          <w:szCs w:val="22"/>
          <w:lang w:val="es-ES"/>
        </w:rPr>
      </w:pPr>
      <w:r w:rsidRPr="003F50C8">
        <w:rPr>
          <w:rFonts w:ascii="Bookman Old Style" w:hAnsi="Bookman Old Style"/>
          <w:sz w:val="22"/>
          <w:szCs w:val="22"/>
          <w:lang w:val="es-ES"/>
        </w:rPr>
        <w:t>L</w:t>
      </w:r>
      <w:r w:rsidR="003377B3" w:rsidRPr="003F50C8">
        <w:rPr>
          <w:rFonts w:ascii="Bookman Old Style" w:hAnsi="Bookman Old Style"/>
          <w:sz w:val="22"/>
          <w:szCs w:val="22"/>
          <w:lang w:val="es-ES"/>
        </w:rPr>
        <w:t xml:space="preserve">a </w:t>
      </w:r>
      <w:r w:rsidRPr="003F50C8">
        <w:rPr>
          <w:rFonts w:ascii="Bookman Old Style" w:hAnsi="Bookman Old Style"/>
          <w:sz w:val="22"/>
          <w:szCs w:val="22"/>
          <w:lang w:val="es-ES"/>
        </w:rPr>
        <w:t xml:space="preserve">crisis </w:t>
      </w:r>
      <w:r w:rsidR="003377B3" w:rsidRPr="003F50C8">
        <w:rPr>
          <w:rFonts w:ascii="Bookman Old Style" w:hAnsi="Bookman Old Style"/>
          <w:sz w:val="22"/>
          <w:szCs w:val="22"/>
          <w:lang w:val="es-ES"/>
        </w:rPr>
        <w:t>del COVID-19</w:t>
      </w:r>
      <w:r w:rsidR="00362D65" w:rsidRPr="003F50C8">
        <w:rPr>
          <w:rFonts w:ascii="Bookman Old Style" w:hAnsi="Bookman Old Style"/>
          <w:sz w:val="22"/>
          <w:szCs w:val="22"/>
          <w:lang w:val="es-ES"/>
        </w:rPr>
        <w:t xml:space="preserve"> </w:t>
      </w:r>
      <w:r w:rsidR="003377B3" w:rsidRPr="003F50C8">
        <w:rPr>
          <w:rFonts w:ascii="Bookman Old Style" w:hAnsi="Bookman Old Style"/>
          <w:sz w:val="22"/>
          <w:szCs w:val="22"/>
          <w:lang w:val="es-ES"/>
        </w:rPr>
        <w:t>demostr</w:t>
      </w:r>
      <w:r w:rsidR="00AC4F23">
        <w:rPr>
          <w:rFonts w:ascii="Bookman Old Style" w:hAnsi="Bookman Old Style"/>
          <w:sz w:val="22"/>
          <w:szCs w:val="22"/>
          <w:lang w:val="es-ES"/>
        </w:rPr>
        <w:t>ó</w:t>
      </w:r>
      <w:r w:rsidR="003377B3" w:rsidRPr="003F50C8">
        <w:rPr>
          <w:rFonts w:ascii="Bookman Old Style" w:hAnsi="Bookman Old Style"/>
          <w:sz w:val="22"/>
          <w:szCs w:val="22"/>
          <w:lang w:val="es-ES"/>
        </w:rPr>
        <w:t xml:space="preserve"> que es necesario la búsqueda de alternativas de desarrollo por fuera de </w:t>
      </w:r>
      <w:r w:rsidR="00362D65" w:rsidRPr="003F50C8">
        <w:rPr>
          <w:rFonts w:ascii="Bookman Old Style" w:hAnsi="Bookman Old Style"/>
          <w:sz w:val="22"/>
          <w:szCs w:val="22"/>
          <w:lang w:val="es-ES"/>
        </w:rPr>
        <w:t xml:space="preserve">actividades extractivistas </w:t>
      </w:r>
      <w:r w:rsidR="003377B3" w:rsidRPr="003F50C8">
        <w:rPr>
          <w:rFonts w:ascii="Bookman Old Style" w:hAnsi="Bookman Old Style"/>
          <w:sz w:val="22"/>
          <w:szCs w:val="22"/>
          <w:lang w:val="es-ES"/>
        </w:rPr>
        <w:t xml:space="preserve">tradicionales como </w:t>
      </w:r>
      <w:r w:rsidR="00764D9D" w:rsidRPr="003F50C8">
        <w:rPr>
          <w:rFonts w:ascii="Bookman Old Style" w:hAnsi="Bookman Old Style"/>
          <w:sz w:val="22"/>
          <w:szCs w:val="22"/>
          <w:lang w:val="es-ES"/>
        </w:rPr>
        <w:t>los hidrocarburos</w:t>
      </w:r>
      <w:r w:rsidR="003377B3" w:rsidRPr="003F50C8">
        <w:rPr>
          <w:rFonts w:ascii="Bookman Old Style" w:hAnsi="Bookman Old Style"/>
          <w:sz w:val="22"/>
          <w:szCs w:val="22"/>
          <w:lang w:val="es-ES"/>
        </w:rPr>
        <w:t xml:space="preserve">, y en especial el fracking. </w:t>
      </w:r>
    </w:p>
    <w:p w14:paraId="51EEF893" w14:textId="77777777" w:rsidR="00362D65" w:rsidRPr="003F50C8" w:rsidRDefault="00362D65" w:rsidP="003F50C8">
      <w:pPr>
        <w:jc w:val="both"/>
        <w:rPr>
          <w:rFonts w:ascii="Bookman Old Style" w:hAnsi="Bookman Old Style"/>
          <w:sz w:val="22"/>
          <w:szCs w:val="22"/>
          <w:lang w:val="es-ES"/>
        </w:rPr>
      </w:pPr>
    </w:p>
    <w:p w14:paraId="3409C2D5" w14:textId="4F919A89" w:rsidR="00AC4F23" w:rsidRDefault="003377B3" w:rsidP="003F50C8">
      <w:pPr>
        <w:jc w:val="both"/>
        <w:rPr>
          <w:rFonts w:ascii="Bookman Old Style" w:hAnsi="Bookman Old Style"/>
          <w:sz w:val="22"/>
          <w:szCs w:val="22"/>
          <w:lang w:val="es-ES"/>
        </w:rPr>
      </w:pPr>
      <w:r w:rsidRPr="00AF1FAD">
        <w:rPr>
          <w:rFonts w:ascii="Bookman Old Style" w:hAnsi="Bookman Old Style"/>
          <w:sz w:val="22"/>
          <w:szCs w:val="22"/>
          <w:lang w:val="es-ES"/>
        </w:rPr>
        <w:t>La industria del petróleo financieramente</w:t>
      </w:r>
      <w:r w:rsidR="00AC4F23">
        <w:rPr>
          <w:rFonts w:ascii="Bookman Old Style" w:hAnsi="Bookman Old Style"/>
          <w:sz w:val="22"/>
          <w:szCs w:val="22"/>
          <w:lang w:val="es-ES"/>
        </w:rPr>
        <w:t xml:space="preserve"> presentó</w:t>
      </w:r>
      <w:r w:rsidRPr="00AF1FAD">
        <w:rPr>
          <w:rFonts w:ascii="Bookman Old Style" w:hAnsi="Bookman Old Style"/>
          <w:sz w:val="22"/>
          <w:szCs w:val="22"/>
          <w:lang w:val="es-ES"/>
        </w:rPr>
        <w:t xml:space="preserve"> dificultades importantes en los últimos </w:t>
      </w:r>
      <w:r w:rsidR="00AC4F23">
        <w:rPr>
          <w:rFonts w:ascii="Bookman Old Style" w:hAnsi="Bookman Old Style"/>
          <w:sz w:val="22"/>
          <w:szCs w:val="22"/>
          <w:lang w:val="es-ES"/>
        </w:rPr>
        <w:t>años</w:t>
      </w:r>
      <w:r w:rsidRPr="00AF1FAD">
        <w:rPr>
          <w:rFonts w:ascii="Bookman Old Style" w:hAnsi="Bookman Old Style"/>
          <w:sz w:val="22"/>
          <w:szCs w:val="22"/>
          <w:lang w:val="es-ES"/>
        </w:rPr>
        <w:t>, ejemplo de esto</w:t>
      </w:r>
      <w:r w:rsidR="00362D65" w:rsidRPr="00AF1FAD">
        <w:rPr>
          <w:rFonts w:ascii="Bookman Old Style" w:hAnsi="Bookman Old Style"/>
          <w:sz w:val="22"/>
          <w:szCs w:val="22"/>
          <w:lang w:val="es-ES"/>
        </w:rPr>
        <w:t>, es que en a</w:t>
      </w:r>
      <w:r w:rsidRPr="00AF1FAD">
        <w:rPr>
          <w:rFonts w:ascii="Bookman Old Style" w:hAnsi="Bookman Old Style"/>
          <w:sz w:val="22"/>
          <w:szCs w:val="22"/>
          <w:lang w:val="es-ES"/>
        </w:rPr>
        <w:t xml:space="preserve">bril de 2020 los contratos de petróleo brent bajaron a </w:t>
      </w:r>
      <w:r w:rsidR="00362D65" w:rsidRPr="00AF1FAD">
        <w:rPr>
          <w:rFonts w:ascii="Bookman Old Style" w:hAnsi="Bookman Old Style"/>
          <w:sz w:val="22"/>
          <w:szCs w:val="22"/>
          <w:lang w:val="es-ES"/>
        </w:rPr>
        <w:t>un precio</w:t>
      </w:r>
      <w:r w:rsidRPr="00AF1FAD">
        <w:rPr>
          <w:rFonts w:ascii="Bookman Old Style" w:hAnsi="Bookman Old Style"/>
          <w:sz w:val="22"/>
          <w:szCs w:val="22"/>
          <w:lang w:val="es-ES"/>
        </w:rPr>
        <w:t xml:space="preserve"> negativo por primera vez</w:t>
      </w:r>
      <w:r w:rsidRPr="00AF1FAD">
        <w:rPr>
          <w:rStyle w:val="Refdenotaalpie"/>
          <w:rFonts w:ascii="Bookman Old Style" w:hAnsi="Bookman Old Style"/>
          <w:sz w:val="22"/>
          <w:szCs w:val="22"/>
          <w:lang w:val="es-ES"/>
        </w:rPr>
        <w:footnoteReference w:id="52"/>
      </w:r>
      <w:r w:rsidRPr="00AF1FAD">
        <w:rPr>
          <w:rFonts w:ascii="Bookman Old Style" w:hAnsi="Bookman Old Style"/>
          <w:sz w:val="22"/>
          <w:szCs w:val="22"/>
          <w:lang w:val="es-ES"/>
        </w:rPr>
        <w:t xml:space="preserve">. </w:t>
      </w:r>
      <w:r w:rsidR="00D5412E">
        <w:rPr>
          <w:rFonts w:ascii="Bookman Old Style" w:hAnsi="Bookman Old Style"/>
          <w:sz w:val="22"/>
          <w:szCs w:val="22"/>
          <w:lang w:val="es-ES"/>
        </w:rPr>
        <w:t>Aunado a los recientes hechos ocurridos en el panorama internacional ligados con el conflicto Ruso – Ucraniano, que ha dejado una mal llamada cuarta crisis petrolera.</w:t>
      </w:r>
    </w:p>
    <w:p w14:paraId="7980BEA8" w14:textId="77777777" w:rsidR="00D5412E" w:rsidRDefault="00D5412E" w:rsidP="003F50C8">
      <w:pPr>
        <w:jc w:val="both"/>
        <w:rPr>
          <w:rFonts w:ascii="Bookman Old Style" w:hAnsi="Bookman Old Style"/>
          <w:sz w:val="22"/>
          <w:szCs w:val="22"/>
          <w:lang w:val="es-ES"/>
        </w:rPr>
      </w:pPr>
    </w:p>
    <w:p w14:paraId="3142CB5F" w14:textId="7D85404A" w:rsidR="00D5412E" w:rsidRDefault="00D5412E" w:rsidP="003F50C8">
      <w:pPr>
        <w:jc w:val="both"/>
        <w:rPr>
          <w:rFonts w:ascii="Bookman Old Style" w:hAnsi="Bookman Old Style"/>
          <w:sz w:val="22"/>
          <w:szCs w:val="22"/>
          <w:lang w:val="es-ES"/>
        </w:rPr>
      </w:pPr>
      <w:r>
        <w:rPr>
          <w:rFonts w:ascii="Bookman Old Style" w:hAnsi="Bookman Old Style"/>
          <w:sz w:val="22"/>
          <w:szCs w:val="22"/>
          <w:lang w:val="es-ES"/>
        </w:rPr>
        <w:t>Este conflicto generó una inestabilidad económica mundial ligada a la tensión por el gas natural ruso que consume Europa y los movimientos en el precio del petróleo, como ha afirmado el Centro de Investigación en Política Pública: “</w:t>
      </w:r>
      <w:r w:rsidRPr="00AF1FAD">
        <w:rPr>
          <w:rFonts w:ascii="Bookman Old Style" w:hAnsi="Bookman Old Style"/>
          <w:i/>
          <w:iCs/>
          <w:sz w:val="22"/>
          <w:szCs w:val="22"/>
          <w:lang w:val="es-ES"/>
        </w:rPr>
        <w:t xml:space="preserve">El precio del Brent, un marcador de precios relevante sobre todo en Europa, pasó de 95.39 a más de 113 dólares por barril entre el 21 de febrero y la mañana del 3 de marzo: un aumento de 18% en sólo diez días. No es posible anticipar hasta qué nivel llegará ni cuánta </w:t>
      </w:r>
      <w:r w:rsidRPr="00AF1FAD">
        <w:rPr>
          <w:rFonts w:ascii="Bookman Old Style" w:hAnsi="Bookman Old Style"/>
          <w:i/>
          <w:iCs/>
          <w:sz w:val="22"/>
          <w:szCs w:val="22"/>
          <w:lang w:val="es-ES"/>
        </w:rPr>
        <w:lastRenderedPageBreak/>
        <w:t>volatilidad se observará en los mercados energéticos, pero la inestabilidad no necesariamente terminará cuando concluyan las acciones militares en Ucrania.</w:t>
      </w:r>
      <w:r>
        <w:rPr>
          <w:rFonts w:ascii="Bookman Old Style" w:hAnsi="Bookman Old Style"/>
          <w:sz w:val="22"/>
          <w:szCs w:val="22"/>
          <w:lang w:val="es-ES"/>
        </w:rPr>
        <w:t>”</w:t>
      </w:r>
      <w:r>
        <w:rPr>
          <w:rStyle w:val="Refdenotaalpie"/>
          <w:rFonts w:ascii="Bookman Old Style" w:hAnsi="Bookman Old Style"/>
          <w:sz w:val="22"/>
          <w:szCs w:val="22"/>
          <w:lang w:val="es-ES"/>
        </w:rPr>
        <w:footnoteReference w:id="53"/>
      </w:r>
    </w:p>
    <w:p w14:paraId="6A41D377" w14:textId="689300D5" w:rsidR="00AC4F23" w:rsidRDefault="00AC4F23" w:rsidP="003F50C8">
      <w:pPr>
        <w:jc w:val="both"/>
        <w:rPr>
          <w:rFonts w:ascii="Bookman Old Style" w:hAnsi="Bookman Old Style"/>
          <w:sz w:val="22"/>
          <w:szCs w:val="22"/>
          <w:lang w:val="es-ES"/>
        </w:rPr>
      </w:pPr>
    </w:p>
    <w:p w14:paraId="55C489BD" w14:textId="02EE2A50" w:rsidR="00B7065C" w:rsidRDefault="00A710E1" w:rsidP="003F50C8">
      <w:pPr>
        <w:jc w:val="both"/>
        <w:rPr>
          <w:rFonts w:ascii="Bookman Old Style" w:hAnsi="Bookman Old Style"/>
          <w:sz w:val="22"/>
          <w:szCs w:val="22"/>
          <w:lang w:val="es-ES"/>
        </w:rPr>
      </w:pPr>
      <w:r>
        <w:rPr>
          <w:rFonts w:ascii="Bookman Old Style" w:hAnsi="Bookman Old Style"/>
          <w:sz w:val="22"/>
          <w:szCs w:val="22"/>
          <w:lang w:val="es-ES"/>
        </w:rPr>
        <w:t xml:space="preserve">Otro efecto del conflicto fueron las sanciones económicas a Rusia, como mecanismo de persuasión para que cesara sus actividades bélicas, en donde se censuró y bloqueó su </w:t>
      </w:r>
      <w:r w:rsidR="00B7065C">
        <w:rPr>
          <w:rFonts w:ascii="Bookman Old Style" w:hAnsi="Bookman Old Style"/>
          <w:sz w:val="22"/>
          <w:szCs w:val="22"/>
          <w:lang w:val="es-ES"/>
        </w:rPr>
        <w:t>interacción</w:t>
      </w:r>
      <w:r>
        <w:rPr>
          <w:rFonts w:ascii="Bookman Old Style" w:hAnsi="Bookman Old Style"/>
          <w:sz w:val="22"/>
          <w:szCs w:val="22"/>
          <w:lang w:val="es-ES"/>
        </w:rPr>
        <w:t xml:space="preserve"> comercial con distintos países, a pesar de que </w:t>
      </w:r>
      <w:r w:rsidRPr="00A710E1">
        <w:rPr>
          <w:rFonts w:ascii="Bookman Old Style" w:hAnsi="Bookman Old Style"/>
          <w:sz w:val="22"/>
          <w:szCs w:val="22"/>
          <w:lang w:val="es-ES"/>
        </w:rPr>
        <w:t>Rusia es el tercer productor de petróleo crudo en el mundo, después de Estados Unidos y Arabia Saudita, y el segundo productor de gas natural, tan sólo detrás de Estados Unidos.</w:t>
      </w:r>
      <w:r>
        <w:rPr>
          <w:rFonts w:ascii="Bookman Old Style" w:hAnsi="Bookman Old Style"/>
          <w:sz w:val="22"/>
          <w:szCs w:val="22"/>
          <w:lang w:val="es-ES"/>
        </w:rPr>
        <w:t xml:space="preserve"> Lo cual resulta contraproducente teniendo en cuenta que e</w:t>
      </w:r>
      <w:r w:rsidRPr="00A710E1">
        <w:rPr>
          <w:rFonts w:ascii="Bookman Old Style" w:hAnsi="Bookman Old Style"/>
          <w:sz w:val="22"/>
          <w:szCs w:val="22"/>
          <w:lang w:val="es-ES"/>
        </w:rPr>
        <w:t>n los países de Europa la dependencia de los hidrocarburos rusos es alta.</w:t>
      </w:r>
    </w:p>
    <w:p w14:paraId="294934CD" w14:textId="77777777" w:rsidR="00D5412E" w:rsidRDefault="00D5412E" w:rsidP="003F50C8">
      <w:pPr>
        <w:jc w:val="both"/>
        <w:rPr>
          <w:rFonts w:ascii="Bookman Old Style" w:hAnsi="Bookman Old Style"/>
          <w:sz w:val="22"/>
          <w:szCs w:val="22"/>
          <w:lang w:val="es-ES"/>
        </w:rPr>
      </w:pPr>
    </w:p>
    <w:p w14:paraId="57C3132A" w14:textId="5DBB01D3" w:rsidR="003377B3" w:rsidRPr="003F50C8" w:rsidRDefault="00362D65" w:rsidP="003F50C8">
      <w:pPr>
        <w:jc w:val="both"/>
        <w:rPr>
          <w:rFonts w:ascii="Bookman Old Style" w:hAnsi="Bookman Old Style"/>
          <w:sz w:val="22"/>
          <w:szCs w:val="22"/>
          <w:lang w:val="es-ES"/>
        </w:rPr>
      </w:pPr>
      <w:r w:rsidRPr="00AF1FAD">
        <w:rPr>
          <w:rFonts w:ascii="Bookman Old Style" w:hAnsi="Bookman Old Style"/>
          <w:sz w:val="22"/>
          <w:szCs w:val="22"/>
          <w:lang w:val="es-ES"/>
        </w:rPr>
        <w:t>En consecuencia, se</w:t>
      </w:r>
      <w:r w:rsidR="003377B3" w:rsidRPr="00AF1FAD">
        <w:rPr>
          <w:rFonts w:ascii="Bookman Old Style" w:hAnsi="Bookman Old Style"/>
          <w:sz w:val="22"/>
          <w:szCs w:val="22"/>
          <w:lang w:val="es-ES"/>
        </w:rPr>
        <w:t xml:space="preserve"> ha afectado </w:t>
      </w:r>
      <w:r w:rsidRPr="00AF1FAD">
        <w:rPr>
          <w:rFonts w:ascii="Bookman Old Style" w:hAnsi="Bookman Old Style"/>
          <w:sz w:val="22"/>
          <w:szCs w:val="22"/>
          <w:lang w:val="es-ES"/>
        </w:rPr>
        <w:t>negativamente</w:t>
      </w:r>
      <w:r w:rsidR="003377B3" w:rsidRPr="00AF1FAD">
        <w:rPr>
          <w:rFonts w:ascii="Bookman Old Style" w:hAnsi="Bookman Old Style"/>
          <w:sz w:val="22"/>
          <w:szCs w:val="22"/>
          <w:lang w:val="es-ES"/>
        </w:rPr>
        <w:t xml:space="preserve"> la industria del fracking</w:t>
      </w:r>
      <w:r w:rsidRPr="00AF1FAD">
        <w:rPr>
          <w:rFonts w:ascii="Bookman Old Style" w:hAnsi="Bookman Old Style"/>
          <w:sz w:val="22"/>
          <w:szCs w:val="22"/>
          <w:lang w:val="es-ES"/>
        </w:rPr>
        <w:t>. U</w:t>
      </w:r>
      <w:r w:rsidR="003377B3" w:rsidRPr="00AF1FAD">
        <w:rPr>
          <w:rFonts w:ascii="Bookman Old Style" w:hAnsi="Bookman Old Style"/>
          <w:sz w:val="22"/>
          <w:szCs w:val="22"/>
          <w:lang w:val="es-ES"/>
        </w:rPr>
        <w:t xml:space="preserve">n estudio reciente de </w:t>
      </w:r>
      <w:r w:rsidR="003377B3" w:rsidRPr="00AF1FAD">
        <w:rPr>
          <w:rFonts w:ascii="Bookman Old Style" w:hAnsi="Bookman Old Style"/>
          <w:i/>
          <w:sz w:val="22"/>
          <w:szCs w:val="22"/>
          <w:lang w:val="es-ES"/>
        </w:rPr>
        <w:t>Deloitte</w:t>
      </w:r>
      <w:r w:rsidR="003377B3" w:rsidRPr="00AF1FAD">
        <w:rPr>
          <w:rStyle w:val="Refdenotaalpie"/>
          <w:rFonts w:ascii="Bookman Old Style" w:hAnsi="Bookman Old Style"/>
          <w:sz w:val="22"/>
          <w:szCs w:val="22"/>
          <w:lang w:val="es-ES"/>
        </w:rPr>
        <w:footnoteReference w:id="54"/>
      </w:r>
      <w:r w:rsidR="003377B3" w:rsidRPr="00AF1FAD">
        <w:rPr>
          <w:rFonts w:ascii="Bookman Old Style" w:hAnsi="Bookman Old Style"/>
          <w:sz w:val="22"/>
          <w:szCs w:val="22"/>
          <w:lang w:val="es-ES"/>
        </w:rPr>
        <w:t xml:space="preserve"> muestra que el 30% de las compañías de fracking en Estados Unidos no son viables financieramente </w:t>
      </w:r>
      <w:r w:rsidR="00764D9D" w:rsidRPr="00AF1FAD">
        <w:rPr>
          <w:rFonts w:ascii="Bookman Old Style" w:hAnsi="Bookman Old Style"/>
          <w:sz w:val="22"/>
          <w:szCs w:val="22"/>
          <w:lang w:val="es-ES"/>
        </w:rPr>
        <w:t>a</w:t>
      </w:r>
      <w:r w:rsidR="003377B3" w:rsidRPr="00AF1FAD">
        <w:rPr>
          <w:rFonts w:ascii="Bookman Old Style" w:hAnsi="Bookman Old Style"/>
          <w:sz w:val="22"/>
          <w:szCs w:val="22"/>
          <w:lang w:val="es-ES"/>
        </w:rPr>
        <w:t xml:space="preserve"> precios de USD</w:t>
      </w:r>
      <w:r w:rsidR="00927B90" w:rsidRPr="00AF1FAD">
        <w:rPr>
          <w:rFonts w:ascii="Bookman Old Style" w:hAnsi="Bookman Old Style"/>
          <w:sz w:val="22"/>
          <w:szCs w:val="22"/>
          <w:lang w:val="es-ES"/>
        </w:rPr>
        <w:t>$ 35</w:t>
      </w:r>
      <w:r w:rsidR="003377B3" w:rsidRPr="00AF1FAD">
        <w:rPr>
          <w:rFonts w:ascii="Bookman Old Style" w:hAnsi="Bookman Old Style"/>
          <w:sz w:val="22"/>
          <w:szCs w:val="22"/>
          <w:lang w:val="es-ES"/>
        </w:rPr>
        <w:t xml:space="preserve"> por barril y el 50% </w:t>
      </w:r>
      <w:r w:rsidR="00764D9D" w:rsidRPr="00AF1FAD">
        <w:rPr>
          <w:rFonts w:ascii="Bookman Old Style" w:hAnsi="Bookman Old Style"/>
          <w:sz w:val="22"/>
          <w:szCs w:val="22"/>
          <w:lang w:val="es-ES"/>
        </w:rPr>
        <w:t>a</w:t>
      </w:r>
      <w:r w:rsidR="003377B3" w:rsidRPr="00AF1FAD">
        <w:rPr>
          <w:rFonts w:ascii="Bookman Old Style" w:hAnsi="Bookman Old Style"/>
          <w:sz w:val="22"/>
          <w:szCs w:val="22"/>
          <w:lang w:val="es-ES"/>
        </w:rPr>
        <w:t xml:space="preserve"> precios de USD</w:t>
      </w:r>
      <w:r w:rsidR="00927B90" w:rsidRPr="00AF1FAD">
        <w:rPr>
          <w:rFonts w:ascii="Bookman Old Style" w:hAnsi="Bookman Old Style"/>
          <w:sz w:val="22"/>
          <w:szCs w:val="22"/>
          <w:lang w:val="es-ES"/>
        </w:rPr>
        <w:t>$ 20</w:t>
      </w:r>
      <w:r w:rsidR="003377B3" w:rsidRPr="00AF1FAD">
        <w:rPr>
          <w:rFonts w:ascii="Bookman Old Style" w:hAnsi="Bookman Old Style"/>
          <w:sz w:val="22"/>
          <w:szCs w:val="22"/>
          <w:lang w:val="es-ES"/>
        </w:rPr>
        <w:t xml:space="preserve"> por barril. En </w:t>
      </w:r>
      <w:r w:rsidRPr="00AF1FAD">
        <w:rPr>
          <w:rFonts w:ascii="Bookman Old Style" w:hAnsi="Bookman Old Style"/>
          <w:sz w:val="22"/>
          <w:szCs w:val="22"/>
          <w:lang w:val="es-ES"/>
        </w:rPr>
        <w:t>j</w:t>
      </w:r>
      <w:r w:rsidR="003377B3" w:rsidRPr="00AF1FAD">
        <w:rPr>
          <w:rFonts w:ascii="Bookman Old Style" w:hAnsi="Bookman Old Style"/>
          <w:sz w:val="22"/>
          <w:szCs w:val="22"/>
          <w:lang w:val="es-ES"/>
        </w:rPr>
        <w:t>unio de 2020</w:t>
      </w:r>
      <w:r w:rsidRPr="00AF1FAD">
        <w:rPr>
          <w:rFonts w:ascii="Bookman Old Style" w:hAnsi="Bookman Old Style"/>
          <w:sz w:val="22"/>
          <w:szCs w:val="22"/>
          <w:lang w:val="es-ES"/>
        </w:rPr>
        <w:t xml:space="preserve">, la compañía </w:t>
      </w:r>
      <w:r w:rsidR="003377B3" w:rsidRPr="00AF1FAD">
        <w:rPr>
          <w:rFonts w:ascii="Bookman Old Style" w:hAnsi="Bookman Old Style"/>
          <w:i/>
          <w:sz w:val="22"/>
          <w:szCs w:val="22"/>
          <w:lang w:val="es-ES"/>
        </w:rPr>
        <w:t>Chesapeake Energy Corporation</w:t>
      </w:r>
      <w:r w:rsidR="003377B3" w:rsidRPr="00AF1FAD">
        <w:rPr>
          <w:rFonts w:ascii="Bookman Old Style" w:hAnsi="Bookman Old Style"/>
          <w:sz w:val="22"/>
          <w:szCs w:val="22"/>
          <w:lang w:val="es-ES"/>
        </w:rPr>
        <w:t>, que fue la segunda productora de gas natural en Estados Unidos y líder en el fracking, se declaró en bancarrota, con pérdidas de más de USD</w:t>
      </w:r>
      <w:r w:rsidR="00927B90" w:rsidRPr="00AF1FAD">
        <w:rPr>
          <w:rFonts w:ascii="Bookman Old Style" w:hAnsi="Bookman Old Style"/>
          <w:sz w:val="22"/>
          <w:szCs w:val="22"/>
          <w:lang w:val="es-ES"/>
        </w:rPr>
        <w:t>$</w:t>
      </w:r>
      <w:r w:rsidR="003377B3" w:rsidRPr="00AF1FAD">
        <w:rPr>
          <w:rFonts w:ascii="Bookman Old Style" w:hAnsi="Bookman Old Style"/>
          <w:sz w:val="22"/>
          <w:szCs w:val="22"/>
          <w:lang w:val="es-ES"/>
        </w:rPr>
        <w:t xml:space="preserve"> 8.3</w:t>
      </w:r>
      <w:r w:rsidR="00927B90" w:rsidRPr="00AF1FAD">
        <w:rPr>
          <w:rFonts w:ascii="Bookman Old Style" w:hAnsi="Bookman Old Style"/>
          <w:sz w:val="22"/>
          <w:szCs w:val="22"/>
          <w:lang w:val="es-ES"/>
        </w:rPr>
        <w:t xml:space="preserve"> billones</w:t>
      </w:r>
      <w:r w:rsidR="003377B3" w:rsidRPr="00AF1FAD">
        <w:rPr>
          <w:rFonts w:ascii="Bookman Old Style" w:hAnsi="Bookman Old Style"/>
          <w:sz w:val="22"/>
          <w:szCs w:val="22"/>
          <w:lang w:val="es-ES"/>
        </w:rPr>
        <w:t xml:space="preserve"> en el primer trimestre del 2020 y deudas que ascienden a USD</w:t>
      </w:r>
      <w:r w:rsidR="00927B90" w:rsidRPr="00AF1FAD">
        <w:rPr>
          <w:rFonts w:ascii="Bookman Old Style" w:hAnsi="Bookman Old Style"/>
          <w:sz w:val="22"/>
          <w:szCs w:val="22"/>
          <w:lang w:val="es-ES"/>
        </w:rPr>
        <w:t>$</w:t>
      </w:r>
      <w:r w:rsidR="003377B3" w:rsidRPr="00AF1FAD">
        <w:rPr>
          <w:rFonts w:ascii="Bookman Old Style" w:hAnsi="Bookman Old Style"/>
          <w:sz w:val="22"/>
          <w:szCs w:val="22"/>
          <w:lang w:val="es-ES"/>
        </w:rPr>
        <w:t xml:space="preserve"> 9.5</w:t>
      </w:r>
      <w:r w:rsidR="00927B90" w:rsidRPr="00AF1FAD">
        <w:rPr>
          <w:rFonts w:ascii="Bookman Old Style" w:hAnsi="Bookman Old Style"/>
          <w:sz w:val="22"/>
          <w:szCs w:val="22"/>
          <w:lang w:val="es-ES"/>
        </w:rPr>
        <w:t xml:space="preserve"> </w:t>
      </w:r>
      <w:r w:rsidR="003377B3" w:rsidRPr="00AF1FAD">
        <w:rPr>
          <w:rFonts w:ascii="Bookman Old Style" w:hAnsi="Bookman Old Style"/>
          <w:sz w:val="22"/>
          <w:szCs w:val="22"/>
          <w:lang w:val="es-ES"/>
        </w:rPr>
        <w:t>b</w:t>
      </w:r>
      <w:r w:rsidR="00927B90" w:rsidRPr="00AF1FAD">
        <w:rPr>
          <w:rFonts w:ascii="Bookman Old Style" w:hAnsi="Bookman Old Style"/>
          <w:sz w:val="22"/>
          <w:szCs w:val="22"/>
          <w:lang w:val="es-ES"/>
        </w:rPr>
        <w:t>illones</w:t>
      </w:r>
      <w:r w:rsidR="003377B3" w:rsidRPr="00AF1FAD">
        <w:rPr>
          <w:rStyle w:val="Refdenotaalpie"/>
          <w:rFonts w:ascii="Bookman Old Style" w:hAnsi="Bookman Old Style"/>
          <w:sz w:val="22"/>
          <w:szCs w:val="22"/>
          <w:lang w:val="es-ES"/>
        </w:rPr>
        <w:footnoteReference w:id="55"/>
      </w:r>
      <w:r w:rsidR="003377B3" w:rsidRPr="00AF1FAD">
        <w:rPr>
          <w:rFonts w:ascii="Bookman Old Style" w:hAnsi="Bookman Old Style"/>
          <w:sz w:val="22"/>
          <w:szCs w:val="22"/>
          <w:lang w:val="es-ES"/>
        </w:rPr>
        <w:t>.</w:t>
      </w:r>
    </w:p>
    <w:p w14:paraId="71C32472" w14:textId="77777777" w:rsidR="003377B3" w:rsidRPr="003F50C8" w:rsidRDefault="003377B3" w:rsidP="003F50C8">
      <w:pPr>
        <w:jc w:val="both"/>
        <w:rPr>
          <w:rFonts w:ascii="Bookman Old Style" w:hAnsi="Bookman Old Style"/>
          <w:sz w:val="22"/>
          <w:szCs w:val="22"/>
          <w:lang w:val="es-ES"/>
        </w:rPr>
      </w:pPr>
    </w:p>
    <w:p w14:paraId="665A22B9" w14:textId="77777777" w:rsidR="00741EC3" w:rsidRPr="003F50C8" w:rsidRDefault="003377B3"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Cada vez se vuelve más difícil contar con los seguros de operación para </w:t>
      </w:r>
      <w:r w:rsidR="00013A4B" w:rsidRPr="003F50C8">
        <w:rPr>
          <w:rFonts w:ascii="Bookman Old Style" w:hAnsi="Bookman Old Style"/>
          <w:sz w:val="22"/>
          <w:szCs w:val="22"/>
          <w:lang w:val="es-ES"/>
        </w:rPr>
        <w:t xml:space="preserve">adelantar las </w:t>
      </w:r>
      <w:r w:rsidRPr="003F50C8">
        <w:rPr>
          <w:rFonts w:ascii="Bookman Old Style" w:hAnsi="Bookman Old Style"/>
          <w:sz w:val="22"/>
          <w:szCs w:val="22"/>
          <w:lang w:val="es-ES"/>
        </w:rPr>
        <w:t>actividades que son responsables del cambio climático, dado que los inversionistas se están preocupando por los riesgos climáticos de sus inversiones</w:t>
      </w:r>
      <w:r w:rsidR="00741EC3" w:rsidRPr="003F50C8">
        <w:rPr>
          <w:rStyle w:val="Refdenotaalpie"/>
          <w:rFonts w:ascii="Bookman Old Style" w:hAnsi="Bookman Old Style"/>
          <w:sz w:val="22"/>
          <w:szCs w:val="22"/>
          <w:lang w:val="es-ES"/>
        </w:rPr>
        <w:footnoteReference w:id="56"/>
      </w:r>
      <w:r w:rsidRPr="003F50C8">
        <w:rPr>
          <w:rFonts w:ascii="Bookman Old Style" w:hAnsi="Bookman Old Style"/>
          <w:sz w:val="22"/>
          <w:szCs w:val="22"/>
          <w:lang w:val="es-ES"/>
        </w:rPr>
        <w:t>.</w:t>
      </w:r>
      <w:r w:rsidR="00927B90" w:rsidRPr="003F50C8">
        <w:rPr>
          <w:rFonts w:ascii="Bookman Old Style" w:hAnsi="Bookman Old Style"/>
          <w:sz w:val="22"/>
          <w:szCs w:val="22"/>
          <w:lang w:val="es-ES"/>
        </w:rPr>
        <w:t xml:space="preserve"> En e</w:t>
      </w:r>
      <w:r w:rsidR="00885557" w:rsidRPr="003F50C8">
        <w:rPr>
          <w:rFonts w:ascii="Bookman Old Style" w:hAnsi="Bookman Old Style"/>
          <w:sz w:val="22"/>
          <w:szCs w:val="22"/>
          <w:lang w:val="es-ES"/>
        </w:rPr>
        <w:t>nero de 2020</w:t>
      </w:r>
      <w:r w:rsidR="00927B90" w:rsidRPr="003F50C8">
        <w:rPr>
          <w:rFonts w:ascii="Bookman Old Style" w:hAnsi="Bookman Old Style"/>
          <w:sz w:val="22"/>
          <w:szCs w:val="22"/>
          <w:lang w:val="es-ES"/>
        </w:rPr>
        <w:t>,</w:t>
      </w:r>
      <w:r w:rsidR="00885557" w:rsidRPr="003F50C8">
        <w:rPr>
          <w:rFonts w:ascii="Bookman Old Style" w:hAnsi="Bookman Old Style"/>
          <w:sz w:val="22"/>
          <w:szCs w:val="22"/>
          <w:lang w:val="es-ES"/>
        </w:rPr>
        <w:t xml:space="preserve"> </w:t>
      </w:r>
      <w:r w:rsidR="00927B90" w:rsidRPr="003F50C8">
        <w:rPr>
          <w:rFonts w:ascii="Bookman Old Style" w:hAnsi="Bookman Old Style"/>
          <w:sz w:val="22"/>
          <w:szCs w:val="22"/>
          <w:lang w:val="es-ES"/>
        </w:rPr>
        <w:t xml:space="preserve">el fondo de inversión más grande del mundo, </w:t>
      </w:r>
      <w:r w:rsidR="00885557" w:rsidRPr="003F50C8">
        <w:rPr>
          <w:rFonts w:ascii="Bookman Old Style" w:hAnsi="Bookman Old Style"/>
          <w:i/>
          <w:sz w:val="22"/>
          <w:szCs w:val="22"/>
          <w:lang w:val="es-ES"/>
        </w:rPr>
        <w:t>Blackrock</w:t>
      </w:r>
      <w:r w:rsidR="00885557" w:rsidRPr="003F50C8">
        <w:rPr>
          <w:rFonts w:ascii="Bookman Old Style" w:hAnsi="Bookman Old Style"/>
          <w:sz w:val="22"/>
          <w:szCs w:val="22"/>
          <w:lang w:val="es-ES"/>
        </w:rPr>
        <w:t xml:space="preserve">, anunció </w:t>
      </w:r>
      <w:r w:rsidR="00927B90" w:rsidRPr="003F50C8">
        <w:rPr>
          <w:rFonts w:ascii="Bookman Old Style" w:hAnsi="Bookman Old Style"/>
          <w:sz w:val="22"/>
          <w:szCs w:val="22"/>
          <w:lang w:val="es-ES"/>
        </w:rPr>
        <w:t xml:space="preserve">que </w:t>
      </w:r>
      <w:r w:rsidR="00885557" w:rsidRPr="003F50C8">
        <w:rPr>
          <w:rFonts w:ascii="Bookman Old Style" w:hAnsi="Bookman Old Style"/>
          <w:sz w:val="22"/>
          <w:szCs w:val="22"/>
          <w:lang w:val="es-ES"/>
        </w:rPr>
        <w:t>va a</w:t>
      </w:r>
      <w:r w:rsidR="00927B90" w:rsidRPr="003F50C8">
        <w:rPr>
          <w:rFonts w:ascii="Bookman Old Style" w:hAnsi="Bookman Old Style"/>
          <w:sz w:val="22"/>
          <w:szCs w:val="22"/>
          <w:lang w:val="es-ES"/>
        </w:rPr>
        <w:t xml:space="preserve"> basar </w:t>
      </w:r>
      <w:r w:rsidR="00885557" w:rsidRPr="003F50C8">
        <w:rPr>
          <w:rFonts w:ascii="Bookman Old Style" w:hAnsi="Bookman Old Style"/>
          <w:sz w:val="22"/>
          <w:szCs w:val="22"/>
          <w:lang w:val="es-ES"/>
        </w:rPr>
        <w:t>sus inversiones en criterios de sostenibilidad</w:t>
      </w:r>
      <w:r w:rsidR="00741EC3" w:rsidRPr="003F50C8">
        <w:rPr>
          <w:rStyle w:val="Refdenotaalpie"/>
          <w:rFonts w:ascii="Bookman Old Style" w:hAnsi="Bookman Old Style"/>
          <w:sz w:val="22"/>
          <w:szCs w:val="22"/>
          <w:lang w:val="es-ES"/>
        </w:rPr>
        <w:footnoteReference w:id="57"/>
      </w:r>
      <w:r w:rsidR="00741EC3" w:rsidRPr="003F50C8">
        <w:rPr>
          <w:rFonts w:ascii="Bookman Old Style" w:hAnsi="Bookman Old Style"/>
          <w:sz w:val="22"/>
          <w:szCs w:val="22"/>
          <w:lang w:val="es-ES"/>
        </w:rPr>
        <w:t>.</w:t>
      </w:r>
    </w:p>
    <w:p w14:paraId="2AF2F00B" w14:textId="77777777" w:rsidR="00741EC3" w:rsidRPr="003F50C8" w:rsidRDefault="00741EC3" w:rsidP="003F50C8">
      <w:pPr>
        <w:jc w:val="both"/>
        <w:rPr>
          <w:rFonts w:ascii="Bookman Old Style" w:hAnsi="Bookman Old Style"/>
          <w:sz w:val="22"/>
          <w:szCs w:val="22"/>
          <w:lang w:val="es-ES"/>
        </w:rPr>
      </w:pPr>
    </w:p>
    <w:p w14:paraId="44EFB1DC" w14:textId="77777777" w:rsidR="00C94FA8" w:rsidRPr="003F50C8" w:rsidRDefault="00C94FA8" w:rsidP="003F50C8">
      <w:pPr>
        <w:jc w:val="both"/>
        <w:rPr>
          <w:rFonts w:ascii="Bookman Old Style" w:hAnsi="Bookman Old Style"/>
          <w:sz w:val="22"/>
          <w:szCs w:val="22"/>
          <w:lang w:val="es-ES"/>
        </w:rPr>
      </w:pPr>
      <w:r w:rsidRPr="003F50C8">
        <w:rPr>
          <w:rFonts w:ascii="Bookman Old Style" w:hAnsi="Bookman Old Style"/>
          <w:sz w:val="22"/>
          <w:szCs w:val="22"/>
          <w:lang w:val="es-ES"/>
        </w:rPr>
        <w:t>En la actualidad, 35 de las más grandes compañías</w:t>
      </w:r>
      <w:r w:rsidR="003377B3" w:rsidRPr="003F50C8">
        <w:rPr>
          <w:rFonts w:ascii="Bookman Old Style" w:hAnsi="Bookman Old Style"/>
          <w:sz w:val="22"/>
          <w:szCs w:val="22"/>
          <w:lang w:val="es-ES"/>
        </w:rPr>
        <w:t xml:space="preserve"> del mundo</w:t>
      </w:r>
      <w:r w:rsidRPr="003F50C8">
        <w:rPr>
          <w:rFonts w:ascii="Bookman Old Style" w:hAnsi="Bookman Old Style"/>
          <w:sz w:val="22"/>
          <w:szCs w:val="22"/>
          <w:lang w:val="es-ES"/>
        </w:rPr>
        <w:t xml:space="preserve"> que aseguran el</w:t>
      </w:r>
      <w:r w:rsidR="003377B3" w:rsidRPr="003F50C8">
        <w:rPr>
          <w:rFonts w:ascii="Bookman Old Style" w:hAnsi="Bookman Old Style"/>
          <w:sz w:val="22"/>
          <w:szCs w:val="22"/>
          <w:lang w:val="es-ES"/>
        </w:rPr>
        <w:t xml:space="preserve"> 37% de los bienes </w:t>
      </w:r>
      <w:r w:rsidR="00657D4E" w:rsidRPr="003F50C8">
        <w:rPr>
          <w:rFonts w:ascii="Bookman Old Style" w:hAnsi="Bookman Old Style"/>
          <w:sz w:val="22"/>
          <w:szCs w:val="22"/>
          <w:lang w:val="es-ES"/>
        </w:rPr>
        <w:t>del mercado</w:t>
      </w:r>
      <w:r w:rsidR="003377B3" w:rsidRPr="003F50C8">
        <w:rPr>
          <w:rFonts w:ascii="Bookman Old Style" w:hAnsi="Bookman Old Style"/>
          <w:sz w:val="22"/>
          <w:szCs w:val="22"/>
          <w:lang w:val="es-ES"/>
        </w:rPr>
        <w:t xml:space="preserve">, </w:t>
      </w:r>
      <w:r w:rsidRPr="003F50C8">
        <w:rPr>
          <w:rFonts w:ascii="Bookman Old Style" w:hAnsi="Bookman Old Style"/>
          <w:sz w:val="22"/>
          <w:szCs w:val="22"/>
          <w:lang w:val="es-ES"/>
        </w:rPr>
        <w:t>están restringiendo los seguros que ofrecen a las empresas que construyen y operan plantas de carbón</w:t>
      </w:r>
      <w:r w:rsidRPr="003F50C8">
        <w:rPr>
          <w:rStyle w:val="Refdenotaalpie"/>
          <w:rFonts w:ascii="Bookman Old Style" w:hAnsi="Bookman Old Style"/>
          <w:sz w:val="22"/>
          <w:szCs w:val="22"/>
          <w:lang w:val="es-ES"/>
        </w:rPr>
        <w:footnoteReference w:id="58"/>
      </w:r>
      <w:r w:rsidRPr="003F50C8">
        <w:rPr>
          <w:rFonts w:ascii="Bookman Old Style" w:hAnsi="Bookman Old Style"/>
          <w:sz w:val="22"/>
          <w:szCs w:val="22"/>
          <w:lang w:val="es-ES"/>
        </w:rPr>
        <w:t>.</w:t>
      </w:r>
      <w:r w:rsidR="003377B3" w:rsidRPr="003F50C8">
        <w:rPr>
          <w:rFonts w:ascii="Bookman Old Style" w:hAnsi="Bookman Old Style"/>
          <w:sz w:val="22"/>
          <w:szCs w:val="22"/>
          <w:lang w:val="es-ES"/>
        </w:rPr>
        <w:t xml:space="preserve"> </w:t>
      </w:r>
      <w:r w:rsidRPr="003F50C8">
        <w:rPr>
          <w:rFonts w:ascii="Bookman Old Style" w:hAnsi="Bookman Old Style"/>
          <w:sz w:val="22"/>
          <w:szCs w:val="22"/>
          <w:lang w:val="es-ES"/>
        </w:rPr>
        <w:t xml:space="preserve">Con el petróleo, y el fracking en especial, podría pasar algo similar a lo que se está viendo con la industria del carbón. </w:t>
      </w:r>
    </w:p>
    <w:p w14:paraId="3A8712EC" w14:textId="77777777" w:rsidR="00C94FA8" w:rsidRPr="003F50C8" w:rsidRDefault="00C94FA8" w:rsidP="003F50C8">
      <w:pPr>
        <w:jc w:val="both"/>
        <w:rPr>
          <w:rFonts w:ascii="Bookman Old Style" w:hAnsi="Bookman Old Style"/>
          <w:sz w:val="22"/>
          <w:szCs w:val="22"/>
          <w:lang w:val="es-ES"/>
        </w:rPr>
      </w:pPr>
    </w:p>
    <w:p w14:paraId="6AEDC4F1" w14:textId="77777777" w:rsidR="003377B3" w:rsidRPr="003F50C8" w:rsidRDefault="00C94FA8" w:rsidP="003F50C8">
      <w:pPr>
        <w:jc w:val="both"/>
        <w:rPr>
          <w:rFonts w:ascii="Bookman Old Style" w:hAnsi="Bookman Old Style"/>
          <w:sz w:val="22"/>
          <w:szCs w:val="22"/>
          <w:lang w:val="es-ES"/>
        </w:rPr>
      </w:pPr>
      <w:r w:rsidRPr="003F50C8">
        <w:rPr>
          <w:rFonts w:ascii="Bookman Old Style" w:hAnsi="Bookman Old Style"/>
          <w:sz w:val="22"/>
          <w:szCs w:val="22"/>
          <w:lang w:val="es-ES"/>
        </w:rPr>
        <w:t>E</w:t>
      </w:r>
      <w:r w:rsidR="003377B3" w:rsidRPr="003F50C8">
        <w:rPr>
          <w:rFonts w:ascii="Bookman Old Style" w:hAnsi="Bookman Old Style"/>
          <w:sz w:val="22"/>
          <w:szCs w:val="22"/>
          <w:lang w:val="es-ES"/>
        </w:rPr>
        <w:t xml:space="preserve">stas son señales que </w:t>
      </w:r>
      <w:r w:rsidRPr="003F50C8">
        <w:rPr>
          <w:rFonts w:ascii="Bookman Old Style" w:hAnsi="Bookman Old Style"/>
          <w:sz w:val="22"/>
          <w:szCs w:val="22"/>
          <w:lang w:val="es-ES"/>
        </w:rPr>
        <w:t xml:space="preserve">apuntan a que </w:t>
      </w:r>
      <w:r w:rsidR="003377B3" w:rsidRPr="003F50C8">
        <w:rPr>
          <w:rFonts w:ascii="Bookman Old Style" w:hAnsi="Bookman Old Style"/>
          <w:sz w:val="22"/>
          <w:szCs w:val="22"/>
          <w:lang w:val="es-ES"/>
        </w:rPr>
        <w:t xml:space="preserve">debemos buscar nuevas alternativas, no solo para cuidar </w:t>
      </w:r>
      <w:r w:rsidR="00013A4B" w:rsidRPr="003F50C8">
        <w:rPr>
          <w:rFonts w:ascii="Bookman Old Style" w:hAnsi="Bookman Old Style"/>
          <w:sz w:val="22"/>
          <w:szCs w:val="22"/>
          <w:lang w:val="es-ES"/>
        </w:rPr>
        <w:t>el medio</w:t>
      </w:r>
      <w:r w:rsidR="003377B3" w:rsidRPr="003F50C8">
        <w:rPr>
          <w:rFonts w:ascii="Bookman Old Style" w:hAnsi="Bookman Old Style"/>
          <w:sz w:val="22"/>
          <w:szCs w:val="22"/>
          <w:lang w:val="es-ES"/>
        </w:rPr>
        <w:t xml:space="preserve"> ambiente</w:t>
      </w:r>
      <w:r w:rsidR="00013A4B" w:rsidRPr="003F50C8">
        <w:rPr>
          <w:rFonts w:ascii="Bookman Old Style" w:hAnsi="Bookman Old Style"/>
          <w:sz w:val="22"/>
          <w:szCs w:val="22"/>
          <w:lang w:val="es-ES"/>
        </w:rPr>
        <w:t xml:space="preserve"> y</w:t>
      </w:r>
      <w:r w:rsidR="003377B3" w:rsidRPr="003F50C8">
        <w:rPr>
          <w:rFonts w:ascii="Bookman Old Style" w:hAnsi="Bookman Old Style"/>
          <w:sz w:val="22"/>
          <w:szCs w:val="22"/>
          <w:lang w:val="es-ES"/>
        </w:rPr>
        <w:t xml:space="preserve"> </w:t>
      </w:r>
      <w:r w:rsidR="00013A4B" w:rsidRPr="003F50C8">
        <w:rPr>
          <w:rFonts w:ascii="Bookman Old Style" w:hAnsi="Bookman Old Style"/>
          <w:sz w:val="22"/>
          <w:szCs w:val="22"/>
          <w:lang w:val="es-ES"/>
        </w:rPr>
        <w:t>atenuar</w:t>
      </w:r>
      <w:r w:rsidR="003377B3" w:rsidRPr="003F50C8">
        <w:rPr>
          <w:rFonts w:ascii="Bookman Old Style" w:hAnsi="Bookman Old Style"/>
          <w:sz w:val="22"/>
          <w:szCs w:val="22"/>
          <w:lang w:val="es-ES"/>
        </w:rPr>
        <w:t xml:space="preserve"> la crisis climática, sino </w:t>
      </w:r>
      <w:r w:rsidR="00013A4B" w:rsidRPr="003F50C8">
        <w:rPr>
          <w:rFonts w:ascii="Bookman Old Style" w:hAnsi="Bookman Old Style"/>
          <w:sz w:val="22"/>
          <w:szCs w:val="22"/>
          <w:lang w:val="es-ES"/>
        </w:rPr>
        <w:t>porque</w:t>
      </w:r>
      <w:r w:rsidR="003377B3" w:rsidRPr="003F50C8">
        <w:rPr>
          <w:rFonts w:ascii="Bookman Old Style" w:hAnsi="Bookman Old Style"/>
          <w:sz w:val="22"/>
          <w:szCs w:val="22"/>
          <w:lang w:val="es-ES"/>
        </w:rPr>
        <w:t xml:space="preserve"> económicamente no es viable este tipo de desarrollo.</w:t>
      </w:r>
      <w:r w:rsidR="00741EC3" w:rsidRPr="003F50C8">
        <w:rPr>
          <w:rFonts w:ascii="Bookman Old Style" w:hAnsi="Bookman Old Style"/>
          <w:sz w:val="22"/>
          <w:szCs w:val="22"/>
          <w:lang w:val="es-ES"/>
        </w:rPr>
        <w:t xml:space="preserve"> </w:t>
      </w:r>
    </w:p>
    <w:p w14:paraId="3EA95041" w14:textId="77777777" w:rsidR="003377B3" w:rsidRPr="003F50C8" w:rsidRDefault="003377B3" w:rsidP="003F50C8">
      <w:pPr>
        <w:jc w:val="both"/>
        <w:rPr>
          <w:rFonts w:ascii="Bookman Old Style" w:hAnsi="Bookman Old Style"/>
          <w:sz w:val="22"/>
          <w:szCs w:val="22"/>
          <w:lang w:val="es-ES"/>
        </w:rPr>
      </w:pPr>
    </w:p>
    <w:p w14:paraId="0078AD73" w14:textId="77777777" w:rsidR="00F72000" w:rsidRPr="003F50C8" w:rsidRDefault="00A41C38" w:rsidP="003F50C8">
      <w:pPr>
        <w:jc w:val="both"/>
        <w:rPr>
          <w:rFonts w:ascii="Bookman Old Style" w:hAnsi="Bookman Old Style"/>
          <w:sz w:val="22"/>
          <w:szCs w:val="22"/>
          <w:lang w:val="es-ES"/>
        </w:rPr>
      </w:pPr>
      <w:r w:rsidRPr="003F50C8">
        <w:rPr>
          <w:rFonts w:ascii="Bookman Old Style" w:hAnsi="Bookman Old Style"/>
          <w:sz w:val="22"/>
          <w:szCs w:val="22"/>
          <w:lang w:val="es-ES"/>
        </w:rPr>
        <w:t>A su vez, e</w:t>
      </w:r>
      <w:r w:rsidR="00F72000" w:rsidRPr="003F50C8">
        <w:rPr>
          <w:rFonts w:ascii="Bookman Old Style" w:hAnsi="Bookman Old Style"/>
          <w:sz w:val="22"/>
          <w:szCs w:val="22"/>
          <w:lang w:val="es-ES"/>
        </w:rPr>
        <w:t>l Fondo Monetario Internacional ha hecho un llamado a la búsqueda de un desarrollo más verde de cara a la recuperación económica después de la pandemia</w:t>
      </w:r>
      <w:r w:rsidRPr="003F50C8">
        <w:rPr>
          <w:rFonts w:ascii="Bookman Old Style" w:hAnsi="Bookman Old Style"/>
          <w:sz w:val="22"/>
          <w:szCs w:val="22"/>
          <w:lang w:val="es-ES"/>
        </w:rPr>
        <w:t xml:space="preserve"> generada por el COVID-19</w:t>
      </w:r>
      <w:r w:rsidR="00F72000" w:rsidRPr="003F50C8">
        <w:rPr>
          <w:rStyle w:val="Refdenotaalpie"/>
          <w:rFonts w:ascii="Bookman Old Style" w:hAnsi="Bookman Old Style"/>
          <w:sz w:val="22"/>
          <w:szCs w:val="22"/>
          <w:lang w:val="es-ES"/>
        </w:rPr>
        <w:footnoteReference w:id="59"/>
      </w:r>
      <w:r w:rsidR="00F72000" w:rsidRPr="003F50C8">
        <w:rPr>
          <w:rFonts w:ascii="Bookman Old Style" w:hAnsi="Bookman Old Style"/>
          <w:sz w:val="22"/>
          <w:szCs w:val="22"/>
          <w:lang w:val="es-ES"/>
        </w:rPr>
        <w:t xml:space="preserve">. Con lo anterior coinciden profesores de la Universidad de los Andes, que en la publicación </w:t>
      </w:r>
      <w:r w:rsidR="00F72000" w:rsidRPr="003F50C8">
        <w:rPr>
          <w:rFonts w:ascii="Bookman Old Style" w:hAnsi="Bookman Old Style"/>
          <w:i/>
          <w:sz w:val="22"/>
          <w:szCs w:val="22"/>
          <w:lang w:val="es-ES"/>
        </w:rPr>
        <w:t xml:space="preserve">Lecciones del COVID-19 para una agenda de sostenibilidad en América Latina </w:t>
      </w:r>
      <w:r w:rsidR="005F581E" w:rsidRPr="003F50C8">
        <w:rPr>
          <w:rFonts w:ascii="Bookman Old Style" w:hAnsi="Bookman Old Style"/>
          <w:i/>
          <w:sz w:val="22"/>
          <w:szCs w:val="22"/>
          <w:lang w:val="es-ES"/>
        </w:rPr>
        <w:t>y</w:t>
      </w:r>
      <w:r w:rsidR="00F72000" w:rsidRPr="003F50C8">
        <w:rPr>
          <w:rFonts w:ascii="Bookman Old Style" w:hAnsi="Bookman Old Style"/>
          <w:i/>
          <w:sz w:val="22"/>
          <w:szCs w:val="22"/>
          <w:lang w:val="es-ES"/>
        </w:rPr>
        <w:t xml:space="preserve"> Caribe</w:t>
      </w:r>
      <w:r w:rsidR="00F72000" w:rsidRPr="003F50C8">
        <w:rPr>
          <w:rFonts w:ascii="Bookman Old Style" w:hAnsi="Bookman Old Style"/>
          <w:sz w:val="22"/>
          <w:szCs w:val="22"/>
          <w:lang w:val="es-ES"/>
        </w:rPr>
        <w:t xml:space="preserve"> de mayo de 2020 del PNUD, señalan: </w:t>
      </w:r>
    </w:p>
    <w:p w14:paraId="30A2D478" w14:textId="77777777" w:rsidR="00F72000" w:rsidRPr="003F50C8" w:rsidRDefault="00F72000" w:rsidP="003F50C8">
      <w:pPr>
        <w:jc w:val="both"/>
        <w:rPr>
          <w:rFonts w:ascii="Bookman Old Style" w:hAnsi="Bookman Old Style"/>
          <w:sz w:val="22"/>
          <w:szCs w:val="22"/>
          <w:lang w:val="es-ES"/>
        </w:rPr>
      </w:pPr>
    </w:p>
    <w:p w14:paraId="71BDC234" w14:textId="77777777" w:rsidR="00F72000" w:rsidRPr="003F50C8" w:rsidRDefault="00F72000" w:rsidP="00A43A7E">
      <w:pPr>
        <w:ind w:left="851" w:right="616"/>
        <w:jc w:val="both"/>
        <w:rPr>
          <w:rFonts w:ascii="Bookman Old Style" w:hAnsi="Bookman Old Style"/>
          <w:i/>
          <w:sz w:val="22"/>
          <w:szCs w:val="22"/>
          <w:lang w:val="es-ES"/>
        </w:rPr>
      </w:pPr>
      <w:r w:rsidRPr="003F50C8">
        <w:rPr>
          <w:rFonts w:ascii="Bookman Old Style" w:hAnsi="Bookman Old Style"/>
          <w:i/>
          <w:sz w:val="22"/>
          <w:szCs w:val="22"/>
          <w:lang w:val="es-ES"/>
        </w:rPr>
        <w:t>“Parte de la recuperación de la economía después de la pandemia necesitará incluir estrategias que tengan en cuenta las amenazas ambientales a las que nos veníamos enfrentando, desde aspectos locales en la vida de los hogares urbanos y rurales hasta los retos del cambio climático de los cuales la región no puede desprenderse”.</w:t>
      </w:r>
      <w:r w:rsidRPr="003F50C8">
        <w:rPr>
          <w:rStyle w:val="Refdenotaalpie"/>
          <w:rFonts w:ascii="Bookman Old Style" w:hAnsi="Bookman Old Style"/>
          <w:i/>
          <w:sz w:val="22"/>
          <w:szCs w:val="22"/>
          <w:lang w:val="es-ES"/>
        </w:rPr>
        <w:footnoteReference w:id="60"/>
      </w:r>
    </w:p>
    <w:p w14:paraId="17D03C97" w14:textId="77777777" w:rsidR="00C271A9" w:rsidRPr="003F50C8" w:rsidRDefault="00C271A9" w:rsidP="003F50C8">
      <w:pPr>
        <w:ind w:left="709" w:right="616"/>
        <w:jc w:val="both"/>
        <w:rPr>
          <w:rFonts w:ascii="Bookman Old Style" w:hAnsi="Bookman Old Style"/>
          <w:i/>
          <w:sz w:val="22"/>
          <w:szCs w:val="22"/>
          <w:lang w:val="es-ES"/>
        </w:rPr>
      </w:pPr>
    </w:p>
    <w:p w14:paraId="2AB13A1C" w14:textId="77777777" w:rsidR="00F72000" w:rsidRPr="003F50C8" w:rsidRDefault="00A41C38" w:rsidP="003F50C8">
      <w:pPr>
        <w:jc w:val="both"/>
        <w:rPr>
          <w:rFonts w:ascii="Bookman Old Style" w:hAnsi="Bookman Old Style"/>
          <w:sz w:val="22"/>
          <w:szCs w:val="22"/>
          <w:lang w:val="es-ES"/>
        </w:rPr>
      </w:pPr>
      <w:r w:rsidRPr="003F50C8">
        <w:rPr>
          <w:rFonts w:ascii="Bookman Old Style" w:hAnsi="Bookman Old Style"/>
          <w:sz w:val="22"/>
          <w:szCs w:val="22"/>
          <w:lang w:val="es-ES"/>
        </w:rPr>
        <w:t>Asimismo</w:t>
      </w:r>
      <w:r w:rsidR="00F72000" w:rsidRPr="003F50C8">
        <w:rPr>
          <w:rFonts w:ascii="Bookman Old Style" w:hAnsi="Bookman Old Style"/>
          <w:sz w:val="22"/>
          <w:szCs w:val="22"/>
          <w:lang w:val="es-ES"/>
        </w:rPr>
        <w:t xml:space="preserve">, frente a la crisis del COVID-19, se vuelve más pertinente la transición a energías renovables y la búsqueda de alternativas de desarrollo. </w:t>
      </w:r>
      <w:r w:rsidRPr="003F50C8">
        <w:rPr>
          <w:rFonts w:ascii="Bookman Old Style" w:hAnsi="Bookman Old Style"/>
          <w:sz w:val="22"/>
          <w:szCs w:val="22"/>
          <w:lang w:val="es-ES"/>
        </w:rPr>
        <w:t>La Agencia Internacional de Energías Renovables</w:t>
      </w:r>
      <w:r w:rsidR="005F581E" w:rsidRPr="003F50C8">
        <w:rPr>
          <w:rStyle w:val="Refdenotaalpie"/>
          <w:rFonts w:ascii="Bookman Old Style" w:hAnsi="Bookman Old Style" w:cstheme="minorHAnsi"/>
          <w:bCs/>
          <w:sz w:val="22"/>
          <w:szCs w:val="22"/>
          <w:lang w:val="es-ES"/>
        </w:rPr>
        <w:footnoteReference w:id="61"/>
      </w:r>
      <w:r w:rsidRPr="003F50C8">
        <w:rPr>
          <w:rFonts w:ascii="Bookman Old Style" w:hAnsi="Bookman Old Style"/>
          <w:sz w:val="22"/>
          <w:szCs w:val="22"/>
          <w:lang w:val="es-ES"/>
        </w:rPr>
        <w:t xml:space="preserve"> (IRENA, por sus siglas en inglés</w:t>
      </w:r>
      <w:r w:rsidR="00F72000" w:rsidRPr="003F50C8">
        <w:rPr>
          <w:rFonts w:ascii="Bookman Old Style" w:hAnsi="Bookman Old Style"/>
          <w:sz w:val="22"/>
          <w:szCs w:val="22"/>
          <w:lang w:val="es-ES"/>
        </w:rPr>
        <w:t>)</w:t>
      </w:r>
      <w:r w:rsidRPr="003F50C8">
        <w:rPr>
          <w:rFonts w:ascii="Bookman Old Style" w:hAnsi="Bookman Old Style"/>
          <w:sz w:val="22"/>
          <w:szCs w:val="22"/>
          <w:lang w:val="es-ES"/>
        </w:rPr>
        <w:t>,</w:t>
      </w:r>
      <w:r w:rsidR="00F72000" w:rsidRPr="003F50C8">
        <w:rPr>
          <w:rFonts w:ascii="Bookman Old Style" w:hAnsi="Bookman Old Style"/>
          <w:sz w:val="22"/>
          <w:szCs w:val="22"/>
          <w:lang w:val="es-ES"/>
        </w:rPr>
        <w:t xml:space="preserve"> publicó en abril de 2020 su reporte “Perspectivas mundiales de las energías renovables</w:t>
      </w:r>
      <w:r w:rsidR="00F72000" w:rsidRPr="003F50C8">
        <w:rPr>
          <w:rStyle w:val="Refdenotaalpie"/>
          <w:rFonts w:ascii="Bookman Old Style" w:hAnsi="Bookman Old Style" w:cstheme="minorHAnsi"/>
          <w:bCs/>
          <w:sz w:val="22"/>
          <w:szCs w:val="22"/>
          <w:lang w:val="es-ES"/>
        </w:rPr>
        <w:footnoteReference w:id="62"/>
      </w:r>
      <w:r w:rsidR="00F72000" w:rsidRPr="003F50C8">
        <w:rPr>
          <w:rFonts w:ascii="Bookman Old Style" w:hAnsi="Bookman Old Style"/>
          <w:sz w:val="22"/>
          <w:szCs w:val="22"/>
          <w:lang w:val="es-ES"/>
        </w:rPr>
        <w:t xml:space="preserve">” donde </w:t>
      </w:r>
      <w:r w:rsidRPr="003F50C8">
        <w:rPr>
          <w:rFonts w:ascii="Bookman Old Style" w:hAnsi="Bookman Old Style"/>
          <w:sz w:val="22"/>
          <w:szCs w:val="22"/>
          <w:lang w:val="es-ES"/>
        </w:rPr>
        <w:t>presenta</w:t>
      </w:r>
      <w:r w:rsidR="00F72000" w:rsidRPr="003F50C8">
        <w:rPr>
          <w:rFonts w:ascii="Bookman Old Style" w:hAnsi="Bookman Old Style"/>
          <w:sz w:val="22"/>
          <w:szCs w:val="22"/>
          <w:lang w:val="es-ES"/>
        </w:rPr>
        <w:t xml:space="preserve"> puntos importantes para el debate sobre la transición energética, que son de especial relevancia para Colombia:</w:t>
      </w:r>
    </w:p>
    <w:p w14:paraId="6C0F020F" w14:textId="77777777" w:rsidR="00F72000" w:rsidRPr="003F50C8" w:rsidRDefault="00F72000" w:rsidP="003F50C8">
      <w:pPr>
        <w:jc w:val="both"/>
        <w:rPr>
          <w:rFonts w:ascii="Bookman Old Style" w:hAnsi="Bookman Old Style"/>
          <w:sz w:val="22"/>
          <w:szCs w:val="22"/>
          <w:lang w:val="es-ES"/>
        </w:rPr>
      </w:pPr>
    </w:p>
    <w:p w14:paraId="16CEFB01" w14:textId="77777777" w:rsidR="00F72000" w:rsidRPr="003F50C8" w:rsidRDefault="00F72000" w:rsidP="003B3170">
      <w:pPr>
        <w:pStyle w:val="Prrafodelista"/>
        <w:numPr>
          <w:ilvl w:val="0"/>
          <w:numId w:val="9"/>
        </w:numPr>
        <w:ind w:left="993" w:right="616" w:hanging="142"/>
        <w:jc w:val="both"/>
        <w:rPr>
          <w:rFonts w:ascii="Bookman Old Style" w:hAnsi="Bookman Old Style"/>
          <w:i/>
          <w:sz w:val="22"/>
          <w:szCs w:val="22"/>
          <w:lang w:val="es-ES"/>
        </w:rPr>
      </w:pPr>
      <w:r w:rsidRPr="003F50C8">
        <w:rPr>
          <w:rFonts w:ascii="Bookman Old Style" w:hAnsi="Bookman Old Style"/>
          <w:i/>
          <w:sz w:val="22"/>
          <w:szCs w:val="22"/>
          <w:lang w:val="es-ES"/>
        </w:rPr>
        <w:t xml:space="preserve">“Las crisis sanitaria, humanitaria, social y económica desencadenadas por la pandemia del coronavirus (COVID-19) requieren una respuesta decidida a gran escala guiada por unas medidas sociales y económicas apropiadas. Mientras los países analizan sus opciones de </w:t>
      </w:r>
      <w:r w:rsidR="00A905AE" w:rsidRPr="003F50C8">
        <w:rPr>
          <w:rFonts w:ascii="Bookman Old Style" w:hAnsi="Bookman Old Style"/>
          <w:i/>
          <w:sz w:val="22"/>
          <w:szCs w:val="22"/>
          <w:lang w:val="es-ES"/>
        </w:rPr>
        <w:t>estímulo</w:t>
      </w:r>
      <w:r w:rsidRPr="003F50C8">
        <w:rPr>
          <w:rFonts w:ascii="Bookman Old Style" w:hAnsi="Bookman Old Style"/>
          <w:i/>
          <w:sz w:val="22"/>
          <w:szCs w:val="22"/>
          <w:lang w:val="es-ES"/>
        </w:rPr>
        <w:t xml:space="preserve"> económico, también deben hacer frente al reto de garantizar la sostenibilidad y reforzar la resiliencia, a la vez que mejoran la salud y el bienestar de las personas. Sigue haciendo falta una ruta acelerada para cumplir los objetivos climáticos mundiales mediante la descarbonización de nuestras sociedades. […]</w:t>
      </w:r>
    </w:p>
    <w:p w14:paraId="1D800B17" w14:textId="77777777" w:rsidR="00F72000" w:rsidRPr="003F50C8" w:rsidRDefault="00F72000" w:rsidP="00A43A7E">
      <w:pPr>
        <w:ind w:left="993" w:right="616" w:hanging="142"/>
        <w:jc w:val="both"/>
        <w:rPr>
          <w:rFonts w:ascii="Bookman Old Style" w:hAnsi="Bookman Old Style"/>
          <w:i/>
          <w:sz w:val="22"/>
          <w:szCs w:val="22"/>
          <w:lang w:val="es-ES"/>
        </w:rPr>
      </w:pPr>
    </w:p>
    <w:p w14:paraId="54362DE6" w14:textId="77777777" w:rsidR="00F72000" w:rsidRPr="003F50C8" w:rsidRDefault="00F72000" w:rsidP="003B3170">
      <w:pPr>
        <w:pStyle w:val="Prrafodelista"/>
        <w:numPr>
          <w:ilvl w:val="0"/>
          <w:numId w:val="9"/>
        </w:numPr>
        <w:ind w:left="993" w:right="616" w:hanging="142"/>
        <w:jc w:val="both"/>
        <w:rPr>
          <w:rFonts w:ascii="Bookman Old Style" w:hAnsi="Bookman Old Style"/>
          <w:i/>
          <w:sz w:val="22"/>
          <w:szCs w:val="22"/>
          <w:lang w:val="es-ES"/>
        </w:rPr>
      </w:pPr>
      <w:r w:rsidRPr="003F50C8">
        <w:rPr>
          <w:rFonts w:ascii="Bookman Old Style" w:hAnsi="Bookman Old Style"/>
          <w:i/>
          <w:sz w:val="22"/>
          <w:szCs w:val="22"/>
          <w:lang w:val="es-ES"/>
        </w:rPr>
        <w:lastRenderedPageBreak/>
        <w:t>La transición energética puede impulsar un amplio desarrollo socioeconómico, guiado por políticas integrales que fomenten la descarbonización transformadora de las sociedades. Este enfoque global alinearía la descarbonización energética con los objetivos económicos, ambientales y sociales. Un ejemplo de ello es el Pacto Verde Europeo propuesto, que incluye el apoyo internacional a la energía limpia. Los estímulos económicos posteriores a la crisis sanitaria de 2020 podrían llevar a muchas sociedades a seguir una dirección similar.</w:t>
      </w:r>
    </w:p>
    <w:p w14:paraId="3D8BA167" w14:textId="77777777" w:rsidR="00F72000" w:rsidRPr="003F50C8" w:rsidRDefault="00F72000" w:rsidP="00A43A7E">
      <w:pPr>
        <w:ind w:left="993" w:right="616" w:hanging="142"/>
        <w:jc w:val="both"/>
        <w:rPr>
          <w:rFonts w:ascii="Bookman Old Style" w:hAnsi="Bookman Old Style"/>
          <w:sz w:val="22"/>
          <w:szCs w:val="22"/>
          <w:lang w:val="es-ES"/>
        </w:rPr>
      </w:pPr>
    </w:p>
    <w:p w14:paraId="30BBC5E2" w14:textId="77777777" w:rsidR="00F72000" w:rsidRPr="003F50C8" w:rsidRDefault="00F72000" w:rsidP="003B3170">
      <w:pPr>
        <w:pStyle w:val="Prrafodelista"/>
        <w:numPr>
          <w:ilvl w:val="0"/>
          <w:numId w:val="9"/>
        </w:numPr>
        <w:ind w:left="993" w:right="616" w:hanging="142"/>
        <w:jc w:val="both"/>
        <w:rPr>
          <w:rFonts w:ascii="Bookman Old Style" w:hAnsi="Bookman Old Style"/>
          <w:i/>
          <w:sz w:val="22"/>
          <w:szCs w:val="22"/>
          <w:lang w:val="es-ES"/>
        </w:rPr>
      </w:pPr>
      <w:r w:rsidRPr="003F50C8">
        <w:rPr>
          <w:rFonts w:ascii="Bookman Old Style" w:hAnsi="Bookman Old Style"/>
          <w:i/>
          <w:sz w:val="22"/>
          <w:szCs w:val="22"/>
          <w:lang w:val="es-ES"/>
        </w:rPr>
        <w:t>El objetivo climático final a escala mundial sería llegar a cero emisiones. Esta perspectiva también analiza formas de reducir las emisiones de CO2 más allá de 2050 hasta lograr las cero emisiones netas y, potencialmente, incluso las cero emisiones. El hidrógeno y los combustibles sintéticos, la electrificación directa, los biocombustibles avanzados y la gestión del carbono serán decisivos, junto con modelos comerciales innovadores, cambios estructurales y la adaptación de las conductas.”</w:t>
      </w:r>
    </w:p>
    <w:p w14:paraId="2EA3444C" w14:textId="77777777" w:rsidR="003377B3" w:rsidRPr="003F50C8" w:rsidRDefault="003377B3" w:rsidP="003F50C8">
      <w:pPr>
        <w:jc w:val="both"/>
        <w:rPr>
          <w:rFonts w:ascii="Bookman Old Style" w:hAnsi="Bookman Old Style"/>
          <w:sz w:val="22"/>
          <w:szCs w:val="22"/>
          <w:lang w:val="es-ES"/>
        </w:rPr>
      </w:pPr>
    </w:p>
    <w:p w14:paraId="487FDF3E" w14:textId="77777777" w:rsidR="00F72000" w:rsidRPr="003F50C8" w:rsidRDefault="00F72000"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Según la </w:t>
      </w:r>
      <w:r w:rsidR="00795A94" w:rsidRPr="003F50C8">
        <w:rPr>
          <w:rFonts w:ascii="Bookman Old Style" w:hAnsi="Bookman Old Style"/>
          <w:sz w:val="22"/>
          <w:szCs w:val="22"/>
          <w:lang w:val="es-ES"/>
        </w:rPr>
        <w:t>Organización de las Naciones Unidas para la Alimentación y la Agricultura</w:t>
      </w:r>
      <w:r w:rsidR="00D86EDD" w:rsidRPr="003F50C8">
        <w:rPr>
          <w:rFonts w:ascii="Bookman Old Style" w:hAnsi="Bookman Old Style"/>
          <w:sz w:val="22"/>
          <w:szCs w:val="22"/>
          <w:vertAlign w:val="superscript"/>
          <w:lang w:val="es-ES"/>
        </w:rPr>
        <w:footnoteReference w:id="63"/>
      </w:r>
      <w:r w:rsidR="00795A94" w:rsidRPr="003F50C8">
        <w:rPr>
          <w:rFonts w:ascii="Bookman Old Style" w:hAnsi="Bookman Old Style"/>
          <w:sz w:val="22"/>
          <w:szCs w:val="22"/>
          <w:lang w:val="es-ES"/>
        </w:rPr>
        <w:t xml:space="preserve"> </w:t>
      </w:r>
      <w:r w:rsidR="00D86EDD" w:rsidRPr="003F50C8">
        <w:rPr>
          <w:rFonts w:ascii="Bookman Old Style" w:hAnsi="Bookman Old Style"/>
          <w:sz w:val="22"/>
          <w:szCs w:val="22"/>
          <w:lang w:val="es-ES"/>
        </w:rPr>
        <w:t>(</w:t>
      </w:r>
      <w:r w:rsidRPr="003F50C8">
        <w:rPr>
          <w:rFonts w:ascii="Bookman Old Style" w:hAnsi="Bookman Old Style"/>
          <w:sz w:val="22"/>
          <w:szCs w:val="22"/>
          <w:lang w:val="es-ES"/>
        </w:rPr>
        <w:t>FAO</w:t>
      </w:r>
      <w:r w:rsidR="00D86EDD" w:rsidRPr="003F50C8">
        <w:rPr>
          <w:rFonts w:ascii="Bookman Old Style" w:hAnsi="Bookman Old Style"/>
          <w:sz w:val="22"/>
          <w:szCs w:val="22"/>
          <w:lang w:val="es-ES"/>
        </w:rPr>
        <w:t>)</w:t>
      </w:r>
      <w:r w:rsidRPr="003F50C8">
        <w:rPr>
          <w:rFonts w:ascii="Bookman Old Style" w:hAnsi="Bookman Old Style"/>
          <w:sz w:val="22"/>
          <w:szCs w:val="22"/>
          <w:lang w:val="es-ES"/>
        </w:rPr>
        <w:t>, el turismo basado en la naturaleza representa aproximadamente un 20% del mercado mundial de turismo y este sector crece tres veces más rápido que el sector turístico en su conjunto. Se ha encontrado que el ecoturismo tiene beneficios tanto sociales como ambientales al proteger fauna y flora amenazada; diversificar las fuentes de ingresos de las personas que viven en las áreas protegidas; cambiar paradigmas éticos en relación a la conservación dentro de las comunidades donde ocurre y en los turistas; y por último, al fortalecer las institucionalidad local del manejo de recursos</w:t>
      </w:r>
      <w:r w:rsidRPr="003F50C8">
        <w:rPr>
          <w:rStyle w:val="Refdenotaalpie"/>
          <w:rFonts w:ascii="Bookman Old Style" w:hAnsi="Bookman Old Style"/>
          <w:sz w:val="22"/>
          <w:szCs w:val="22"/>
          <w:lang w:val="es-ES"/>
        </w:rPr>
        <w:footnoteReference w:id="64"/>
      </w:r>
      <w:r w:rsidRPr="003F50C8">
        <w:rPr>
          <w:rFonts w:ascii="Bookman Old Style" w:hAnsi="Bookman Old Style"/>
          <w:sz w:val="22"/>
          <w:szCs w:val="22"/>
          <w:lang w:val="es-ES"/>
        </w:rPr>
        <w:t xml:space="preserve">. </w:t>
      </w:r>
    </w:p>
    <w:p w14:paraId="6CA419DF" w14:textId="77777777" w:rsidR="00F72000" w:rsidRPr="003F50C8" w:rsidRDefault="00F72000" w:rsidP="003F50C8">
      <w:pPr>
        <w:pBdr>
          <w:top w:val="nil"/>
          <w:left w:val="nil"/>
          <w:bottom w:val="nil"/>
          <w:right w:val="nil"/>
          <w:between w:val="nil"/>
        </w:pBdr>
        <w:jc w:val="both"/>
        <w:rPr>
          <w:rFonts w:ascii="Bookman Old Style" w:hAnsi="Bookman Old Style"/>
          <w:color w:val="000000"/>
          <w:sz w:val="22"/>
          <w:szCs w:val="22"/>
          <w:lang w:val="es-ES"/>
        </w:rPr>
      </w:pPr>
    </w:p>
    <w:p w14:paraId="6E8183BC" w14:textId="77777777" w:rsidR="001548F0" w:rsidRPr="003F50C8" w:rsidRDefault="008871F8" w:rsidP="003F50C8">
      <w:pPr>
        <w:jc w:val="both"/>
        <w:rPr>
          <w:rFonts w:ascii="Bookman Old Style" w:hAnsi="Bookman Old Style"/>
          <w:sz w:val="22"/>
          <w:szCs w:val="22"/>
          <w:lang w:val="es-ES"/>
        </w:rPr>
      </w:pPr>
      <w:r w:rsidRPr="003F50C8">
        <w:rPr>
          <w:rFonts w:ascii="Bookman Old Style" w:hAnsi="Bookman Old Style"/>
          <w:color w:val="000000"/>
          <w:sz w:val="22"/>
          <w:szCs w:val="22"/>
          <w:lang w:val="es-ES"/>
        </w:rPr>
        <w:t>Se ha encontrado que el ecoturismo crea incentivos económicos en las comunidades locales, que los lleva a conservar los ecosistemas</w:t>
      </w:r>
      <w:r w:rsidRPr="003F50C8">
        <w:rPr>
          <w:rStyle w:val="Refdenotaalpie"/>
          <w:rFonts w:ascii="Bookman Old Style" w:hAnsi="Bookman Old Style"/>
          <w:color w:val="000000"/>
          <w:sz w:val="22"/>
          <w:szCs w:val="22"/>
          <w:lang w:val="es-ES"/>
        </w:rPr>
        <w:footnoteReference w:id="65"/>
      </w:r>
      <w:r w:rsidRPr="003F50C8">
        <w:rPr>
          <w:rFonts w:ascii="Bookman Old Style" w:hAnsi="Bookman Old Style"/>
          <w:color w:val="000000"/>
          <w:sz w:val="22"/>
          <w:szCs w:val="22"/>
          <w:lang w:val="es-ES"/>
        </w:rPr>
        <w:t xml:space="preserve">. </w:t>
      </w:r>
      <w:r w:rsidR="001548F0" w:rsidRPr="003F50C8">
        <w:rPr>
          <w:rFonts w:ascii="Bookman Old Style" w:hAnsi="Bookman Old Style"/>
          <w:sz w:val="22"/>
          <w:szCs w:val="22"/>
          <w:lang w:val="es-ES"/>
        </w:rPr>
        <w:t>Algunos países</w:t>
      </w:r>
      <w:r w:rsidR="001548F0" w:rsidRPr="003F50C8">
        <w:rPr>
          <w:rFonts w:ascii="Bookman Old Style" w:hAnsi="Bookman Old Style"/>
          <w:sz w:val="22"/>
          <w:szCs w:val="22"/>
          <w:highlight w:val="white"/>
          <w:vertAlign w:val="superscript"/>
          <w:lang w:val="es-ES"/>
        </w:rPr>
        <w:footnoteReference w:id="66"/>
      </w:r>
      <w:r w:rsidR="001548F0" w:rsidRPr="003F50C8">
        <w:rPr>
          <w:rFonts w:ascii="Bookman Old Style" w:hAnsi="Bookman Old Style"/>
          <w:sz w:val="22"/>
          <w:szCs w:val="22"/>
          <w:lang w:val="es-ES"/>
        </w:rPr>
        <w:t xml:space="preserve"> que han adoptado el ecoturismo como forma de desarrollo son:</w:t>
      </w:r>
    </w:p>
    <w:p w14:paraId="79A7A9B8" w14:textId="77777777" w:rsidR="001548F0" w:rsidRPr="003F50C8" w:rsidRDefault="001548F0" w:rsidP="003F50C8">
      <w:pPr>
        <w:jc w:val="both"/>
        <w:rPr>
          <w:rFonts w:ascii="Bookman Old Style" w:hAnsi="Bookman Old Style"/>
          <w:sz w:val="22"/>
          <w:szCs w:val="22"/>
          <w:lang w:val="es-ES"/>
        </w:rPr>
      </w:pPr>
    </w:p>
    <w:p w14:paraId="302703BC" w14:textId="77777777" w:rsidR="00FC6727" w:rsidRPr="003F50C8" w:rsidRDefault="001D54E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Costa Rica</w:t>
      </w:r>
    </w:p>
    <w:p w14:paraId="63C721EE" w14:textId="77777777" w:rsidR="001D54E8" w:rsidRPr="003F50C8" w:rsidRDefault="001D54E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Ecuador (</w:t>
      </w:r>
      <w:r w:rsidR="00FC6727" w:rsidRPr="003F50C8">
        <w:rPr>
          <w:rFonts w:ascii="Bookman Old Style" w:eastAsia="Calibri" w:hAnsi="Bookman Old Style" w:cs="Calibri"/>
          <w:color w:val="000000"/>
          <w:sz w:val="22"/>
          <w:szCs w:val="22"/>
          <w:lang w:val="es-ES"/>
        </w:rPr>
        <w:t>Isla Galápagos</w:t>
      </w:r>
      <w:r w:rsidRPr="003F50C8">
        <w:rPr>
          <w:rFonts w:ascii="Bookman Old Style" w:eastAsia="Calibri" w:hAnsi="Bookman Old Style" w:cs="Calibri"/>
          <w:color w:val="000000"/>
          <w:sz w:val="22"/>
          <w:szCs w:val="22"/>
          <w:lang w:val="es-ES"/>
        </w:rPr>
        <w:t>)</w:t>
      </w:r>
    </w:p>
    <w:p w14:paraId="696D911C" w14:textId="77777777" w:rsidR="001D54E8" w:rsidRPr="003F50C8" w:rsidRDefault="001D54E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Tanzania</w:t>
      </w:r>
    </w:p>
    <w:p w14:paraId="2B64BD5C" w14:textId="77777777" w:rsidR="008871F8" w:rsidRPr="003F50C8" w:rsidRDefault="001D54E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 xml:space="preserve">Kenia </w:t>
      </w:r>
    </w:p>
    <w:p w14:paraId="52C13243" w14:textId="77777777" w:rsidR="008871F8" w:rsidRPr="003F50C8" w:rsidRDefault="008871F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Suráfrica</w:t>
      </w:r>
    </w:p>
    <w:p w14:paraId="58B204E3" w14:textId="77777777" w:rsidR="001548F0" w:rsidRPr="003F50C8" w:rsidRDefault="008871F8"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lastRenderedPageBreak/>
        <w:t>Zimbabue</w:t>
      </w:r>
      <w:r w:rsidR="001D54E8" w:rsidRPr="003F50C8">
        <w:rPr>
          <w:rFonts w:ascii="Bookman Old Style" w:eastAsia="Calibri" w:hAnsi="Bookman Old Style" w:cs="Calibri"/>
          <w:color w:val="000000"/>
          <w:sz w:val="22"/>
          <w:szCs w:val="22"/>
          <w:highlight w:val="white"/>
          <w:lang w:val="es-ES"/>
        </w:rPr>
        <w:t xml:space="preserve"> </w:t>
      </w:r>
    </w:p>
    <w:p w14:paraId="40725C6B" w14:textId="77777777" w:rsidR="001548F0" w:rsidRPr="003F50C8" w:rsidRDefault="001548F0"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highlight w:val="white"/>
          <w:lang w:val="es-ES"/>
        </w:rPr>
        <w:t>Namibia</w:t>
      </w:r>
      <w:r w:rsidRPr="003F50C8">
        <w:rPr>
          <w:rFonts w:ascii="Bookman Old Style" w:eastAsia="Calibri" w:hAnsi="Bookman Old Style" w:cs="Calibri"/>
          <w:color w:val="000000"/>
          <w:sz w:val="22"/>
          <w:szCs w:val="22"/>
          <w:highlight w:val="white"/>
          <w:vertAlign w:val="superscript"/>
          <w:lang w:val="es-ES"/>
        </w:rPr>
        <w:footnoteReference w:id="67"/>
      </w:r>
    </w:p>
    <w:p w14:paraId="7E505A8C" w14:textId="77777777" w:rsidR="003F065A" w:rsidRPr="003F50C8" w:rsidRDefault="001548F0" w:rsidP="003B3170">
      <w:pPr>
        <w:numPr>
          <w:ilvl w:val="0"/>
          <w:numId w:val="8"/>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highlight w:val="white"/>
          <w:lang w:val="es-ES"/>
        </w:rPr>
        <w:t>Botsuana</w:t>
      </w:r>
      <w:r w:rsidRPr="003F50C8">
        <w:rPr>
          <w:rFonts w:ascii="Bookman Old Style" w:eastAsia="Calibri" w:hAnsi="Bookman Old Style" w:cs="Calibri"/>
          <w:color w:val="000000"/>
          <w:sz w:val="22"/>
          <w:szCs w:val="22"/>
          <w:highlight w:val="white"/>
          <w:vertAlign w:val="superscript"/>
          <w:lang w:val="es-ES"/>
        </w:rPr>
        <w:footnoteReference w:id="68"/>
      </w:r>
      <w:r w:rsidRPr="003F50C8">
        <w:rPr>
          <w:rFonts w:ascii="Bookman Old Style" w:hAnsi="Bookman Old Style"/>
          <w:sz w:val="22"/>
          <w:szCs w:val="22"/>
          <w:lang w:val="es-ES"/>
        </w:rPr>
        <w:t xml:space="preserve"> </w:t>
      </w:r>
    </w:p>
    <w:p w14:paraId="6BAE995A" w14:textId="77777777" w:rsidR="0054356C" w:rsidRDefault="0054356C" w:rsidP="003F50C8">
      <w:pPr>
        <w:pBdr>
          <w:top w:val="nil"/>
          <w:left w:val="nil"/>
          <w:bottom w:val="nil"/>
          <w:right w:val="nil"/>
          <w:between w:val="nil"/>
        </w:pBdr>
        <w:jc w:val="both"/>
        <w:rPr>
          <w:rFonts w:ascii="Bookman Old Style" w:hAnsi="Bookman Old Style"/>
          <w:color w:val="000000"/>
          <w:sz w:val="22"/>
          <w:szCs w:val="22"/>
          <w:lang w:val="es-ES"/>
        </w:rPr>
      </w:pPr>
    </w:p>
    <w:p w14:paraId="243E1280" w14:textId="77777777" w:rsidR="00F72000" w:rsidRPr="003F50C8" w:rsidRDefault="003F065A" w:rsidP="003F50C8">
      <w:pPr>
        <w:pBdr>
          <w:top w:val="nil"/>
          <w:left w:val="nil"/>
          <w:bottom w:val="nil"/>
          <w:right w:val="nil"/>
          <w:between w:val="nil"/>
        </w:pBdr>
        <w:jc w:val="both"/>
        <w:rPr>
          <w:rFonts w:ascii="Bookman Old Style" w:hAnsi="Bookman Old Style"/>
          <w:color w:val="000000"/>
          <w:sz w:val="22"/>
          <w:szCs w:val="22"/>
          <w:lang w:val="es-ES"/>
        </w:rPr>
      </w:pPr>
      <w:r w:rsidRPr="003F50C8">
        <w:rPr>
          <w:rFonts w:ascii="Bookman Old Style" w:hAnsi="Bookman Old Style"/>
          <w:color w:val="000000"/>
          <w:sz w:val="22"/>
          <w:szCs w:val="22"/>
          <w:lang w:val="es-ES"/>
        </w:rPr>
        <w:t>Para Colombia, u</w:t>
      </w:r>
      <w:r w:rsidR="00F72000" w:rsidRPr="003F50C8">
        <w:rPr>
          <w:rFonts w:ascii="Bookman Old Style" w:hAnsi="Bookman Old Style"/>
          <w:color w:val="000000"/>
          <w:sz w:val="22"/>
          <w:szCs w:val="22"/>
          <w:lang w:val="es-ES"/>
        </w:rPr>
        <w:t>na de las alternativas que puede llevar a un desarrollo más sostenible</w:t>
      </w:r>
      <w:r w:rsidRPr="003F50C8">
        <w:rPr>
          <w:rFonts w:ascii="Bookman Old Style" w:hAnsi="Bookman Old Style"/>
          <w:color w:val="000000"/>
          <w:sz w:val="22"/>
          <w:szCs w:val="22"/>
          <w:lang w:val="es-ES"/>
        </w:rPr>
        <w:t>,</w:t>
      </w:r>
      <w:r w:rsidR="00F72000" w:rsidRPr="003F50C8">
        <w:rPr>
          <w:rFonts w:ascii="Bookman Old Style" w:hAnsi="Bookman Old Style"/>
          <w:color w:val="000000"/>
          <w:sz w:val="22"/>
          <w:szCs w:val="22"/>
          <w:lang w:val="es-ES"/>
        </w:rPr>
        <w:t xml:space="preserve"> y que tiene el potencial de absorber una parte importante de la oferta del mercado laboral es el ecoturismo. Así lo afirma un reciente documento del PNUD para América Latina y el Caribe</w:t>
      </w:r>
      <w:r w:rsidR="00F72000" w:rsidRPr="003F50C8">
        <w:rPr>
          <w:rStyle w:val="Refdenotaalpie"/>
          <w:rFonts w:ascii="Bookman Old Style" w:hAnsi="Bookman Old Style"/>
          <w:color w:val="000000"/>
          <w:sz w:val="22"/>
          <w:szCs w:val="22"/>
          <w:lang w:val="es-ES"/>
        </w:rPr>
        <w:footnoteReference w:id="69"/>
      </w:r>
      <w:r w:rsidR="00F72000" w:rsidRPr="003F50C8">
        <w:rPr>
          <w:rFonts w:ascii="Bookman Old Style" w:hAnsi="Bookman Old Style"/>
          <w:color w:val="000000"/>
          <w:sz w:val="22"/>
          <w:szCs w:val="22"/>
          <w:lang w:val="es-ES"/>
        </w:rPr>
        <w:t>, que formula una serie de recomendaciones de política pública para la reactivación económica post COVID-19:</w:t>
      </w:r>
    </w:p>
    <w:p w14:paraId="7C587543" w14:textId="77777777" w:rsidR="00F72000" w:rsidRPr="003F50C8" w:rsidRDefault="00F72000" w:rsidP="00A43A7E">
      <w:pPr>
        <w:pBdr>
          <w:top w:val="nil"/>
          <w:left w:val="nil"/>
          <w:bottom w:val="nil"/>
          <w:right w:val="nil"/>
          <w:between w:val="nil"/>
        </w:pBdr>
        <w:ind w:left="851" w:right="616"/>
        <w:jc w:val="both"/>
        <w:rPr>
          <w:rFonts w:ascii="Bookman Old Style" w:hAnsi="Bookman Old Style"/>
          <w:i/>
          <w:color w:val="000000"/>
          <w:sz w:val="22"/>
          <w:szCs w:val="22"/>
          <w:lang w:val="es-ES"/>
        </w:rPr>
      </w:pPr>
      <w:r w:rsidRPr="003F50C8">
        <w:rPr>
          <w:rFonts w:ascii="Bookman Old Style" w:hAnsi="Bookman Old Style"/>
          <w:i/>
          <w:color w:val="000000"/>
          <w:sz w:val="22"/>
          <w:szCs w:val="22"/>
          <w:lang w:val="es-ES"/>
        </w:rPr>
        <w:t>“Los sistemas de áreas protegidas de estos países podrán reactivar y promocionar cadenas de servicios turísticos que podrían absorber una cantidad importante de mano de obra joven que con el entrenamiento adecuado podría participar de estas otras formas de encadenar las ciudades y las zonas rurales donde se encuentra un potencial muy grande para el turismo de observación de aves, senderismo. Estas industrias de turismo basado en el disfrute requerirán de mano de obra para responder a las necesidades de conservación de estos ecosistemas.”</w:t>
      </w:r>
    </w:p>
    <w:p w14:paraId="68979774" w14:textId="77777777" w:rsidR="001C7F3A" w:rsidRPr="003F50C8" w:rsidRDefault="001C7F3A" w:rsidP="003F50C8">
      <w:pPr>
        <w:jc w:val="both"/>
        <w:rPr>
          <w:rFonts w:ascii="Bookman Old Style" w:hAnsi="Bookman Old Style"/>
          <w:b/>
          <w:bCs/>
          <w:color w:val="000000" w:themeColor="text1"/>
          <w:sz w:val="22"/>
          <w:szCs w:val="22"/>
        </w:rPr>
      </w:pPr>
    </w:p>
    <w:p w14:paraId="1A9A30C2" w14:textId="77777777" w:rsidR="00BB4E37" w:rsidRPr="003F50C8" w:rsidRDefault="00BB4E37" w:rsidP="008C4CCD">
      <w:pPr>
        <w:pStyle w:val="Prrafodelista"/>
        <w:numPr>
          <w:ilvl w:val="0"/>
          <w:numId w:val="1"/>
        </w:numPr>
        <w:jc w:val="center"/>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CONSTITUCIONALIDAD DEL PROYECTO</w:t>
      </w:r>
      <w:r w:rsidR="00A43A7E">
        <w:rPr>
          <w:rFonts w:ascii="Bookman Old Style" w:hAnsi="Bookman Old Style"/>
          <w:b/>
          <w:bCs/>
          <w:color w:val="000000" w:themeColor="text1"/>
          <w:sz w:val="22"/>
          <w:szCs w:val="22"/>
        </w:rPr>
        <w:t>.</w:t>
      </w:r>
    </w:p>
    <w:p w14:paraId="284D405E" w14:textId="77777777" w:rsidR="00BB4E37" w:rsidRPr="003F50C8" w:rsidRDefault="00BB4E37" w:rsidP="003F50C8">
      <w:pPr>
        <w:pStyle w:val="Prrafodelista"/>
        <w:ind w:left="360"/>
        <w:jc w:val="both"/>
        <w:rPr>
          <w:rFonts w:ascii="Bookman Old Style" w:hAnsi="Bookman Old Style"/>
          <w:b/>
          <w:bCs/>
          <w:color w:val="000000" w:themeColor="text1"/>
          <w:sz w:val="22"/>
          <w:szCs w:val="22"/>
        </w:rPr>
      </w:pPr>
    </w:p>
    <w:p w14:paraId="1DB98210" w14:textId="6C807E1A" w:rsidR="00CF02A1" w:rsidRDefault="00BB4E37" w:rsidP="003F50C8">
      <w:pPr>
        <w:pStyle w:val="Prrafodelista"/>
        <w:ind w:left="0"/>
        <w:jc w:val="both"/>
        <w:rPr>
          <w:rFonts w:ascii="Bookman Old Style" w:hAnsi="Bookman Old Style"/>
          <w:sz w:val="22"/>
          <w:szCs w:val="22"/>
        </w:rPr>
      </w:pPr>
      <w:r w:rsidRPr="003F50C8">
        <w:rPr>
          <w:rFonts w:ascii="Bookman Old Style" w:hAnsi="Bookman Old Style"/>
          <w:sz w:val="22"/>
          <w:szCs w:val="22"/>
        </w:rPr>
        <w:t xml:space="preserve">La presente iniciativa legislativa no va en contra de ninguna de las disposiciones consagradas en la Constitución Política de Colombia. </w:t>
      </w:r>
      <w:r w:rsidR="00CF02A1">
        <w:rPr>
          <w:rFonts w:ascii="Bookman Old Style" w:hAnsi="Bookman Old Style"/>
          <w:sz w:val="22"/>
          <w:szCs w:val="22"/>
        </w:rPr>
        <w:t xml:space="preserve">Por el contrario, da cumplimiento al mandato de protección y garantía </w:t>
      </w:r>
      <w:r w:rsidRPr="003F50C8">
        <w:rPr>
          <w:rFonts w:ascii="Bookman Old Style" w:hAnsi="Bookman Old Style"/>
          <w:sz w:val="22"/>
          <w:szCs w:val="22"/>
        </w:rPr>
        <w:t>de un ambiente sano (art. 79 Constitucional)</w:t>
      </w:r>
      <w:r w:rsidR="00CF02A1">
        <w:rPr>
          <w:rFonts w:ascii="Bookman Old Style" w:hAnsi="Bookman Old Style"/>
          <w:sz w:val="22"/>
          <w:szCs w:val="22"/>
        </w:rPr>
        <w:t xml:space="preserve">. Sobre este asunto, vale la pena recordar que dicho mandato ha cobrado tal entidad que a la fecha la jurisprudencia constitucional ha empezado a reconocer derechos a determinados entes naturales, como el río Atrato o la Amazonía.  </w:t>
      </w:r>
      <w:r w:rsidRPr="003F50C8">
        <w:rPr>
          <w:rFonts w:ascii="Bookman Old Style" w:hAnsi="Bookman Old Style"/>
          <w:sz w:val="22"/>
          <w:szCs w:val="22"/>
        </w:rPr>
        <w:t xml:space="preserve"> </w:t>
      </w:r>
    </w:p>
    <w:p w14:paraId="1A68821A" w14:textId="77777777" w:rsidR="00CF02A1" w:rsidRDefault="00CF02A1" w:rsidP="003F50C8">
      <w:pPr>
        <w:pStyle w:val="Prrafodelista"/>
        <w:ind w:left="0"/>
        <w:jc w:val="both"/>
        <w:rPr>
          <w:rFonts w:ascii="Bookman Old Style" w:hAnsi="Bookman Old Style"/>
          <w:sz w:val="22"/>
          <w:szCs w:val="22"/>
        </w:rPr>
      </w:pPr>
    </w:p>
    <w:p w14:paraId="3FEB7F20" w14:textId="77777777" w:rsidR="00F848C3" w:rsidRDefault="00CF02A1" w:rsidP="003F50C8">
      <w:pPr>
        <w:pStyle w:val="Prrafodelista"/>
        <w:ind w:left="0"/>
        <w:jc w:val="both"/>
        <w:rPr>
          <w:rFonts w:ascii="Bookman Old Style" w:hAnsi="Bookman Old Style"/>
          <w:sz w:val="22"/>
          <w:szCs w:val="22"/>
        </w:rPr>
      </w:pPr>
      <w:r>
        <w:rPr>
          <w:rFonts w:ascii="Bookman Old Style" w:hAnsi="Bookman Old Style"/>
          <w:sz w:val="22"/>
          <w:szCs w:val="22"/>
        </w:rPr>
        <w:t xml:space="preserve">En esa medida, se trata de un bien jurídico de altísima relevancia para el ordenamiento constitucional que, además, mantiene una relación estrecha con la protección a </w:t>
      </w:r>
      <w:r w:rsidR="00F848C3">
        <w:rPr>
          <w:rFonts w:ascii="Bookman Old Style" w:hAnsi="Bookman Old Style"/>
          <w:sz w:val="22"/>
          <w:szCs w:val="22"/>
        </w:rPr>
        <w:t>ciertos</w:t>
      </w:r>
      <w:r>
        <w:rPr>
          <w:rFonts w:ascii="Bookman Old Style" w:hAnsi="Bookman Old Style"/>
          <w:sz w:val="22"/>
          <w:szCs w:val="22"/>
        </w:rPr>
        <w:t xml:space="preserve"> derechos fundamentales</w:t>
      </w:r>
      <w:r w:rsidR="00F848C3">
        <w:rPr>
          <w:rFonts w:ascii="Bookman Old Style" w:hAnsi="Bookman Old Style"/>
          <w:sz w:val="22"/>
          <w:szCs w:val="22"/>
        </w:rPr>
        <w:t xml:space="preserve"> como lo son la vida, la salud y el acceso a agua potable. </w:t>
      </w:r>
    </w:p>
    <w:p w14:paraId="7FE2CA2F" w14:textId="77777777" w:rsidR="00F848C3" w:rsidRDefault="00F848C3" w:rsidP="003F50C8">
      <w:pPr>
        <w:pStyle w:val="Prrafodelista"/>
        <w:ind w:left="0"/>
        <w:jc w:val="both"/>
        <w:rPr>
          <w:rFonts w:ascii="Bookman Old Style" w:hAnsi="Bookman Old Style"/>
          <w:sz w:val="22"/>
          <w:szCs w:val="22"/>
        </w:rPr>
      </w:pPr>
    </w:p>
    <w:p w14:paraId="36AB3156" w14:textId="7EB6AFCB" w:rsidR="00BB4E37" w:rsidRPr="003F50C8" w:rsidRDefault="00F848C3" w:rsidP="003F50C8">
      <w:pPr>
        <w:pStyle w:val="Prrafodelista"/>
        <w:ind w:left="0"/>
        <w:jc w:val="both"/>
        <w:rPr>
          <w:rFonts w:ascii="Bookman Old Style" w:hAnsi="Bookman Old Style"/>
          <w:sz w:val="22"/>
          <w:szCs w:val="22"/>
        </w:rPr>
      </w:pPr>
      <w:r>
        <w:rPr>
          <w:rFonts w:ascii="Bookman Old Style" w:hAnsi="Bookman Old Style"/>
          <w:sz w:val="22"/>
          <w:szCs w:val="22"/>
        </w:rPr>
        <w:t xml:space="preserve">Así las cosas, este proyecto busca prohibir la realización de una actividad que, si bien puede generar réditos económicos a quienes la desarrollen y eventualmente al Estado, implica unos costos ambientales y sociales altísimos que pueden derivar </w:t>
      </w:r>
      <w:r>
        <w:rPr>
          <w:rFonts w:ascii="Bookman Old Style" w:hAnsi="Bookman Old Style"/>
          <w:sz w:val="22"/>
          <w:szCs w:val="22"/>
        </w:rPr>
        <w:lastRenderedPageBreak/>
        <w:t xml:space="preserve">en la afectación de mandatos constitucionales, así como de derechos fundamentales y derechos colectivos.  </w:t>
      </w:r>
    </w:p>
    <w:p w14:paraId="60908C41" w14:textId="77777777" w:rsidR="00BB4E37" w:rsidRPr="003F50C8" w:rsidRDefault="00BB4E37" w:rsidP="003F50C8">
      <w:pPr>
        <w:pStyle w:val="Prrafodelista"/>
        <w:ind w:left="360"/>
        <w:jc w:val="both"/>
        <w:rPr>
          <w:rFonts w:ascii="Bookman Old Style" w:hAnsi="Bookman Old Style"/>
          <w:sz w:val="22"/>
          <w:szCs w:val="22"/>
        </w:rPr>
      </w:pPr>
    </w:p>
    <w:p w14:paraId="2461758D" w14:textId="504B6FED" w:rsidR="00BB4E37" w:rsidRPr="003F50C8" w:rsidRDefault="00BB4E37" w:rsidP="003F50C8">
      <w:pPr>
        <w:pStyle w:val="Prrafodelista"/>
        <w:ind w:left="0"/>
        <w:jc w:val="both"/>
        <w:rPr>
          <w:rFonts w:ascii="Bookman Old Style" w:hAnsi="Bookman Old Style"/>
          <w:sz w:val="22"/>
          <w:szCs w:val="22"/>
        </w:rPr>
      </w:pPr>
      <w:r w:rsidRPr="003F50C8">
        <w:rPr>
          <w:rFonts w:ascii="Bookman Old Style" w:hAnsi="Bookman Old Style"/>
          <w:sz w:val="22"/>
          <w:szCs w:val="22"/>
        </w:rPr>
        <w:t xml:space="preserve">Se debe </w:t>
      </w:r>
      <w:r w:rsidR="001B1F74" w:rsidRPr="003F50C8">
        <w:rPr>
          <w:rFonts w:ascii="Bookman Old Style" w:hAnsi="Bookman Old Style"/>
          <w:sz w:val="22"/>
          <w:szCs w:val="22"/>
        </w:rPr>
        <w:t>señalar,</w:t>
      </w:r>
      <w:r w:rsidRPr="003F50C8">
        <w:rPr>
          <w:rFonts w:ascii="Bookman Old Style" w:hAnsi="Bookman Old Style"/>
          <w:sz w:val="22"/>
          <w:szCs w:val="22"/>
        </w:rPr>
        <w:t xml:space="preserve"> además</w:t>
      </w:r>
      <w:r w:rsidR="00F65C4E" w:rsidRPr="003F50C8">
        <w:rPr>
          <w:rFonts w:ascii="Bookman Old Style" w:hAnsi="Bookman Old Style"/>
          <w:sz w:val="22"/>
          <w:szCs w:val="22"/>
        </w:rPr>
        <w:t>,</w:t>
      </w:r>
      <w:r w:rsidRPr="003F50C8">
        <w:rPr>
          <w:rFonts w:ascii="Bookman Old Style" w:hAnsi="Bookman Old Style"/>
          <w:sz w:val="22"/>
          <w:szCs w:val="22"/>
        </w:rPr>
        <w:t xml:space="preserve"> que el proyecto de ley a consideración no es contrario a la exploración o explotación de hidrocarburos y en este sentido general </w:t>
      </w:r>
      <w:r w:rsidR="006508E2" w:rsidRPr="003F50C8">
        <w:rPr>
          <w:rFonts w:ascii="Bookman Old Style" w:hAnsi="Bookman Old Style"/>
          <w:sz w:val="22"/>
          <w:szCs w:val="22"/>
        </w:rPr>
        <w:t>es acorde</w:t>
      </w:r>
      <w:r w:rsidRPr="003F50C8">
        <w:rPr>
          <w:rFonts w:ascii="Bookman Old Style" w:hAnsi="Bookman Old Style"/>
          <w:sz w:val="22"/>
          <w:szCs w:val="22"/>
        </w:rPr>
        <w:t xml:space="preserve"> </w:t>
      </w:r>
      <w:r w:rsidR="006508E2" w:rsidRPr="003F50C8">
        <w:rPr>
          <w:rFonts w:ascii="Bookman Old Style" w:hAnsi="Bookman Old Style"/>
          <w:sz w:val="22"/>
          <w:szCs w:val="22"/>
        </w:rPr>
        <w:t>con</w:t>
      </w:r>
      <w:r w:rsidRPr="003F50C8">
        <w:rPr>
          <w:rFonts w:ascii="Bookman Old Style" w:hAnsi="Bookman Old Style"/>
          <w:sz w:val="22"/>
          <w:szCs w:val="22"/>
        </w:rPr>
        <w:t xml:space="preserve"> la Carta de Derechos. Lo que se pretende limitar es el </w:t>
      </w:r>
      <w:r w:rsidR="00F848C3" w:rsidRPr="00EE5267">
        <w:rPr>
          <w:rFonts w:ascii="Bookman Old Style" w:hAnsi="Bookman Old Style"/>
          <w:sz w:val="22"/>
          <w:szCs w:val="22"/>
          <w:u w:val="single"/>
        </w:rPr>
        <w:t>método</w:t>
      </w:r>
      <w:r w:rsidRPr="003F50C8">
        <w:rPr>
          <w:rFonts w:ascii="Bookman Old Style" w:hAnsi="Bookman Old Style"/>
          <w:sz w:val="22"/>
          <w:szCs w:val="22"/>
        </w:rPr>
        <w:t xml:space="preserve"> de fracturación hidráulica, en razón a las consecuencias ambientales nocivas que genera y que pondrían en riesgo la salud humana y la delicada integridad de los diferentes ecosistemas.  </w:t>
      </w:r>
    </w:p>
    <w:p w14:paraId="49E77731" w14:textId="77777777" w:rsidR="00BB4E37" w:rsidRPr="003F50C8" w:rsidRDefault="00BB4E37" w:rsidP="003F50C8">
      <w:pPr>
        <w:jc w:val="both"/>
        <w:rPr>
          <w:rFonts w:ascii="Bookman Old Style" w:hAnsi="Bookman Old Style"/>
          <w:sz w:val="22"/>
          <w:szCs w:val="22"/>
        </w:rPr>
      </w:pPr>
    </w:p>
    <w:p w14:paraId="47E1C204" w14:textId="3F8EB43E" w:rsidR="0049582F" w:rsidRDefault="0049582F" w:rsidP="008C4CCD">
      <w:pPr>
        <w:pStyle w:val="Prrafodelista"/>
        <w:numPr>
          <w:ilvl w:val="0"/>
          <w:numId w:val="1"/>
        </w:numPr>
        <w:ind w:left="426" w:right="49" w:hanging="426"/>
        <w:jc w:val="center"/>
        <w:rPr>
          <w:rFonts w:ascii="Bookman Old Style" w:hAnsi="Bookman Old Style"/>
          <w:b/>
          <w:bCs/>
          <w:sz w:val="22"/>
          <w:szCs w:val="22"/>
        </w:rPr>
      </w:pPr>
      <w:r>
        <w:rPr>
          <w:rFonts w:ascii="Bookman Old Style" w:hAnsi="Bookman Old Style"/>
          <w:b/>
          <w:bCs/>
          <w:sz w:val="22"/>
          <w:szCs w:val="22"/>
        </w:rPr>
        <w:t>PRINCIPIO DE PRECAUCIÓN.</w:t>
      </w:r>
    </w:p>
    <w:p w14:paraId="60A58B35" w14:textId="38CF5D1F" w:rsidR="0049582F" w:rsidRDefault="0049582F" w:rsidP="0049582F">
      <w:pPr>
        <w:ind w:right="49"/>
        <w:jc w:val="center"/>
        <w:rPr>
          <w:rFonts w:ascii="Bookman Old Style" w:hAnsi="Bookman Old Style"/>
          <w:b/>
          <w:bCs/>
          <w:sz w:val="22"/>
          <w:szCs w:val="22"/>
        </w:rPr>
      </w:pPr>
    </w:p>
    <w:p w14:paraId="2C8A092B" w14:textId="0BBA34D3" w:rsidR="00676BC9" w:rsidRPr="00AF1FAD" w:rsidRDefault="00676BC9" w:rsidP="00676BC9">
      <w:pPr>
        <w:jc w:val="both"/>
        <w:rPr>
          <w:rFonts w:ascii="Bookman Old Style" w:hAnsi="Bookman Old Style" w:cstheme="minorHAnsi"/>
          <w:bCs/>
          <w:sz w:val="22"/>
          <w:szCs w:val="22"/>
        </w:rPr>
      </w:pPr>
      <w:r>
        <w:rPr>
          <w:rFonts w:ascii="Bookman Old Style" w:hAnsi="Bookman Old Style" w:cstheme="minorHAnsi"/>
          <w:sz w:val="22"/>
          <w:szCs w:val="22"/>
        </w:rPr>
        <w:t xml:space="preserve">En materia ambiental, de cara a la protección de los recursos naturales por su estrecha relación con los derechos fundamentales a la vida y a la salud, se ha tenido como una máxima el Principio de </w:t>
      </w:r>
      <w:r w:rsidRPr="00FA533B">
        <w:rPr>
          <w:rFonts w:ascii="Bookman Old Style" w:hAnsi="Bookman Old Style" w:cstheme="minorHAnsi"/>
          <w:sz w:val="22"/>
          <w:szCs w:val="22"/>
        </w:rPr>
        <w:t xml:space="preserve">Precaución, </w:t>
      </w:r>
      <w:r w:rsidR="00FA533B" w:rsidRPr="00FA533B">
        <w:rPr>
          <w:rFonts w:ascii="Bookman Old Style" w:hAnsi="Bookman Old Style" w:cstheme="minorHAnsi"/>
          <w:sz w:val="22"/>
          <w:szCs w:val="22"/>
        </w:rPr>
        <w:t>el cual predica que</w:t>
      </w:r>
      <w:r w:rsidR="00FA533B" w:rsidRPr="00AF1FAD">
        <w:rPr>
          <w:rFonts w:ascii="Bookman Old Style" w:hAnsi="Bookman Old Style" w:cs="Arial"/>
          <w:color w:val="202124"/>
          <w:sz w:val="22"/>
          <w:szCs w:val="22"/>
          <w:shd w:val="clear" w:color="auto" w:fill="FFFFFF"/>
        </w:rPr>
        <w:t xml:space="preserve"> ante un caso de amenaza para el medio ambiente o la salud y en una situación de incertidumbre científica se tomen las medidas apropiadas para prevenir el daño.</w:t>
      </w:r>
      <w:r w:rsidR="00FA533B">
        <w:rPr>
          <w:rFonts w:ascii="Arial" w:hAnsi="Arial" w:cs="Arial"/>
          <w:color w:val="202124"/>
          <w:shd w:val="clear" w:color="auto" w:fill="FFFFFF"/>
        </w:rPr>
        <w:t xml:space="preserve"> </w:t>
      </w:r>
      <w:r w:rsidR="00FA533B">
        <w:rPr>
          <w:rFonts w:ascii="Bookman Old Style" w:hAnsi="Bookman Old Style" w:cstheme="minorHAnsi"/>
          <w:sz w:val="22"/>
          <w:szCs w:val="22"/>
        </w:rPr>
        <w:t>S</w:t>
      </w:r>
      <w:r>
        <w:rPr>
          <w:rFonts w:ascii="Bookman Old Style" w:hAnsi="Bookman Old Style" w:cstheme="minorHAnsi"/>
          <w:sz w:val="22"/>
          <w:szCs w:val="22"/>
        </w:rPr>
        <w:t>obre este l</w:t>
      </w:r>
      <w:r w:rsidRPr="00AF1FAD">
        <w:rPr>
          <w:rFonts w:ascii="Bookman Old Style" w:hAnsi="Bookman Old Style" w:cstheme="minorHAnsi"/>
          <w:sz w:val="22"/>
          <w:szCs w:val="22"/>
        </w:rPr>
        <w:t xml:space="preserve">a </w:t>
      </w:r>
      <w:r w:rsidRPr="00AF1FAD">
        <w:rPr>
          <w:rFonts w:ascii="Bookman Old Style" w:hAnsi="Bookman Old Style" w:cstheme="minorHAnsi"/>
          <w:bCs/>
          <w:sz w:val="22"/>
          <w:szCs w:val="22"/>
        </w:rPr>
        <w:t>Ley 99 de 1993 en su artículo 5, numeral 25, estipula:</w:t>
      </w:r>
    </w:p>
    <w:p w14:paraId="468E788F" w14:textId="77777777" w:rsidR="00676BC9" w:rsidRPr="00AF1FAD" w:rsidRDefault="00676BC9" w:rsidP="00676BC9">
      <w:pPr>
        <w:jc w:val="both"/>
        <w:rPr>
          <w:rFonts w:ascii="Bookman Old Style" w:hAnsi="Bookman Old Style" w:cstheme="minorHAnsi"/>
          <w:bCs/>
          <w:sz w:val="22"/>
          <w:szCs w:val="22"/>
        </w:rPr>
      </w:pPr>
    </w:p>
    <w:p w14:paraId="62B3D9CB" w14:textId="77777777" w:rsidR="00676BC9" w:rsidRPr="00AF1FAD" w:rsidRDefault="00676BC9" w:rsidP="00676BC9">
      <w:pPr>
        <w:ind w:left="851" w:right="616"/>
        <w:jc w:val="both"/>
        <w:rPr>
          <w:rFonts w:ascii="Bookman Old Style" w:hAnsi="Bookman Old Style" w:cstheme="minorHAnsi"/>
          <w:i/>
          <w:sz w:val="22"/>
          <w:szCs w:val="22"/>
        </w:rPr>
      </w:pPr>
      <w:r w:rsidRPr="00AF1FAD">
        <w:rPr>
          <w:rFonts w:ascii="Bookman Old Style" w:hAnsi="Bookman Old Style" w:cstheme="minorHAnsi"/>
          <w:bCs/>
          <w:i/>
          <w:sz w:val="22"/>
          <w:szCs w:val="22"/>
        </w:rPr>
        <w:t>“Establecer los límites máximos permisibles de emisión, descarga, transporte o depósito de substancias, productos, compuestos o cualquier otra materia que pueda afectar el medio ambiente o los recursos naturales renovables; del mismo modo, prohibir, restringir o regular la fabricación, distribución, uso, disposición o vertimiento de sustancias causantes de degradación ambiental. Los límites máximos se establecerán con base en estudios técnicos, sin perjuicio del principio de precaución”.</w:t>
      </w:r>
    </w:p>
    <w:p w14:paraId="28B72467" w14:textId="77777777" w:rsidR="00676BC9" w:rsidRPr="00AF1FAD" w:rsidRDefault="00676BC9" w:rsidP="00676BC9">
      <w:pPr>
        <w:jc w:val="both"/>
        <w:rPr>
          <w:rFonts w:ascii="Bookman Old Style" w:hAnsi="Bookman Old Style" w:cstheme="minorHAnsi"/>
          <w:i/>
          <w:sz w:val="22"/>
          <w:szCs w:val="22"/>
        </w:rPr>
      </w:pPr>
    </w:p>
    <w:p w14:paraId="14FC4D3A" w14:textId="77777777" w:rsidR="00676BC9" w:rsidRPr="00AF1FAD" w:rsidRDefault="00676BC9" w:rsidP="00676BC9">
      <w:pPr>
        <w:jc w:val="both"/>
        <w:rPr>
          <w:rFonts w:ascii="Bookman Old Style" w:hAnsi="Bookman Old Style" w:cstheme="minorHAnsi"/>
          <w:sz w:val="22"/>
          <w:szCs w:val="22"/>
        </w:rPr>
      </w:pPr>
      <w:r w:rsidRPr="00AF1FAD">
        <w:rPr>
          <w:rFonts w:ascii="Bookman Old Style" w:hAnsi="Bookman Old Style" w:cstheme="minorHAnsi"/>
          <w:sz w:val="22"/>
          <w:szCs w:val="22"/>
        </w:rPr>
        <w:t>Por su parte, la Ley 164 de 1994 que aprueba la "</w:t>
      </w:r>
      <w:r w:rsidRPr="00AF1FAD">
        <w:rPr>
          <w:rFonts w:ascii="Bookman Old Style" w:hAnsi="Bookman Old Style" w:cstheme="minorHAnsi"/>
          <w:i/>
          <w:sz w:val="22"/>
          <w:szCs w:val="22"/>
        </w:rPr>
        <w:t>Convención Marco de las Naciones Unidas sobre el Cambio Climático</w:t>
      </w:r>
      <w:r w:rsidRPr="00AF1FAD">
        <w:rPr>
          <w:rFonts w:ascii="Bookman Old Style" w:hAnsi="Bookman Old Style" w:cstheme="minorHAnsi"/>
          <w:sz w:val="22"/>
          <w:szCs w:val="22"/>
        </w:rPr>
        <w:t>", hecha en Nueva York el 9 de mayo de 1992, en su artículo 3, numeral 3, dispone:</w:t>
      </w:r>
    </w:p>
    <w:p w14:paraId="2E2B5A53" w14:textId="77777777" w:rsidR="00676BC9" w:rsidRPr="00AF1FAD" w:rsidRDefault="00676BC9" w:rsidP="00676BC9">
      <w:pPr>
        <w:jc w:val="both"/>
        <w:rPr>
          <w:rFonts w:ascii="Bookman Old Style" w:hAnsi="Bookman Old Style" w:cstheme="minorHAnsi"/>
          <w:sz w:val="22"/>
          <w:szCs w:val="22"/>
        </w:rPr>
      </w:pPr>
    </w:p>
    <w:p w14:paraId="5034FB17" w14:textId="77777777" w:rsidR="00676BC9" w:rsidRPr="00AF1FAD" w:rsidRDefault="00676BC9" w:rsidP="00676BC9">
      <w:pPr>
        <w:ind w:left="851" w:right="616"/>
        <w:jc w:val="both"/>
        <w:rPr>
          <w:rFonts w:ascii="Bookman Old Style" w:hAnsi="Bookman Old Style" w:cstheme="minorHAnsi"/>
          <w:i/>
          <w:sz w:val="22"/>
          <w:szCs w:val="22"/>
        </w:rPr>
      </w:pPr>
      <w:r w:rsidRPr="00AF1FAD">
        <w:rPr>
          <w:rFonts w:ascii="Bookman Old Style" w:hAnsi="Bookman Old Style" w:cstheme="minorHAnsi"/>
          <w:i/>
          <w:sz w:val="22"/>
          <w:szCs w:val="22"/>
        </w:rPr>
        <w:t xml:space="preserve">“Las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w:t>
      </w:r>
      <w:r w:rsidRPr="00AF1FAD">
        <w:rPr>
          <w:rFonts w:ascii="Bookman Old Style" w:hAnsi="Bookman Old Style" w:cstheme="minorHAnsi"/>
          <w:i/>
          <w:sz w:val="22"/>
          <w:szCs w:val="22"/>
        </w:rPr>
        <w:lastRenderedPageBreak/>
        <w:t>económicos. Los esfuerzos para hacer frente al cambio climático pueden llevarse a cabo en cooperación entre las Partes interesadas.”</w:t>
      </w:r>
    </w:p>
    <w:p w14:paraId="1B919280" w14:textId="77777777" w:rsidR="00676BC9" w:rsidRPr="00AF1FAD" w:rsidRDefault="00676BC9" w:rsidP="00676BC9">
      <w:pPr>
        <w:ind w:left="284"/>
        <w:jc w:val="both"/>
        <w:rPr>
          <w:rFonts w:ascii="Bookman Old Style" w:hAnsi="Bookman Old Style" w:cstheme="minorHAnsi"/>
          <w:i/>
          <w:sz w:val="22"/>
          <w:szCs w:val="22"/>
        </w:rPr>
      </w:pPr>
    </w:p>
    <w:p w14:paraId="3AADF69E" w14:textId="77777777" w:rsidR="00676BC9" w:rsidRPr="00AF1FAD" w:rsidRDefault="00676BC9" w:rsidP="00676BC9">
      <w:pPr>
        <w:jc w:val="both"/>
        <w:rPr>
          <w:rFonts w:ascii="Bookman Old Style" w:hAnsi="Bookman Old Style" w:cstheme="minorHAnsi"/>
          <w:bCs/>
          <w:i/>
          <w:sz w:val="22"/>
          <w:szCs w:val="22"/>
        </w:rPr>
      </w:pPr>
      <w:r w:rsidRPr="00AF1FAD">
        <w:rPr>
          <w:rFonts w:ascii="Bookman Old Style" w:hAnsi="Bookman Old Style" w:cstheme="minorHAnsi"/>
          <w:sz w:val="22"/>
          <w:szCs w:val="22"/>
        </w:rPr>
        <w:t xml:space="preserve">En materia de la aplicación del principio de precaución en aras de la protección del medio ambiente y la salud pública, la Corte Constitucional en </w:t>
      </w:r>
      <w:r w:rsidRPr="00AF1FAD">
        <w:rPr>
          <w:rFonts w:ascii="Bookman Old Style" w:hAnsi="Bookman Old Style" w:cstheme="minorHAnsi"/>
          <w:bCs/>
          <w:sz w:val="22"/>
          <w:szCs w:val="22"/>
        </w:rPr>
        <w:t>Sentencia C-595 de 2010</w:t>
      </w:r>
      <w:r w:rsidRPr="00AF1FAD">
        <w:rPr>
          <w:rStyle w:val="Refdenotaalpie"/>
          <w:rFonts w:ascii="Bookman Old Style" w:hAnsi="Bookman Old Style" w:cstheme="minorHAnsi"/>
          <w:bCs/>
          <w:sz w:val="22"/>
          <w:szCs w:val="22"/>
        </w:rPr>
        <w:footnoteReference w:id="70"/>
      </w:r>
      <w:r w:rsidRPr="00AF1FAD">
        <w:rPr>
          <w:rFonts w:ascii="Bookman Old Style" w:hAnsi="Bookman Old Style" w:cstheme="minorHAnsi"/>
          <w:bCs/>
          <w:sz w:val="22"/>
          <w:szCs w:val="22"/>
        </w:rPr>
        <w:t>, señaló sobre el particular que:</w:t>
      </w:r>
    </w:p>
    <w:p w14:paraId="3EDAD521" w14:textId="77777777" w:rsidR="00676BC9" w:rsidRPr="00AF1FAD" w:rsidRDefault="00676BC9" w:rsidP="00676BC9">
      <w:pPr>
        <w:jc w:val="both"/>
        <w:rPr>
          <w:rFonts w:ascii="Bookman Old Style" w:hAnsi="Bookman Old Style" w:cstheme="minorHAnsi"/>
          <w:sz w:val="22"/>
          <w:szCs w:val="22"/>
        </w:rPr>
      </w:pPr>
    </w:p>
    <w:p w14:paraId="6C2F22A2" w14:textId="77777777" w:rsidR="00676BC9" w:rsidRPr="00AF1FAD" w:rsidRDefault="00676BC9" w:rsidP="00676BC9">
      <w:pPr>
        <w:ind w:left="851" w:right="616"/>
        <w:jc w:val="both"/>
        <w:rPr>
          <w:rFonts w:ascii="Bookman Old Style" w:hAnsi="Bookman Old Style" w:cstheme="minorHAnsi"/>
          <w:sz w:val="22"/>
          <w:szCs w:val="22"/>
        </w:rPr>
      </w:pPr>
      <w:r w:rsidRPr="00AF1FAD">
        <w:rPr>
          <w:rFonts w:ascii="Bookman Old Style" w:hAnsi="Bookman Old Style" w:cstheme="minorHAnsi"/>
          <w:i/>
          <w:sz w:val="22"/>
          <w:szCs w:val="22"/>
        </w:rPr>
        <w:t>“Puede, entonces, señalarse que el principio de precaución constituye una herramienta constitucional y de orden internacional de suma relevancia a efectos de determinar la</w:t>
      </w:r>
      <w:r w:rsidRPr="00AF1FAD">
        <w:rPr>
          <w:rFonts w:ascii="Bookman Old Style" w:hAnsi="Bookman Old Style" w:cstheme="minorHAnsi"/>
          <w:b/>
          <w:i/>
          <w:sz w:val="22"/>
          <w:szCs w:val="22"/>
        </w:rPr>
        <w:t xml:space="preserve"> </w:t>
      </w:r>
      <w:r w:rsidRPr="00AF1FAD">
        <w:rPr>
          <w:rFonts w:ascii="Bookman Old Style" w:hAnsi="Bookman Old Style" w:cstheme="minorHAnsi"/>
          <w:bCs/>
          <w:i/>
          <w:sz w:val="22"/>
          <w:szCs w:val="22"/>
        </w:rPr>
        <w:t>necesidad de intervención de las autoridades frente a peligros potenciales que se ciernen sobre el medio ambiente y la salud pública. La precaución no sólo atiende en su ejercicio a las consecuencias de los actos, sino que principalmente exige una postura activa de anticipación, con un objetivo de previsión</w:t>
      </w:r>
      <w:r w:rsidRPr="00AF1FAD">
        <w:rPr>
          <w:rFonts w:ascii="Bookman Old Style" w:hAnsi="Bookman Old Style" w:cstheme="minorHAnsi"/>
          <w:i/>
          <w:sz w:val="22"/>
          <w:szCs w:val="22"/>
        </w:rPr>
        <w:t xml:space="preserve"> de la futura situación medioambiental a efectos de optimizar el entorno de la vida natural.”</w:t>
      </w:r>
    </w:p>
    <w:p w14:paraId="6750A446" w14:textId="77777777" w:rsidR="00676BC9" w:rsidRPr="00AF1FAD" w:rsidRDefault="00676BC9" w:rsidP="00676BC9">
      <w:pPr>
        <w:jc w:val="both"/>
        <w:rPr>
          <w:rFonts w:ascii="Bookman Old Style" w:hAnsi="Bookman Old Style" w:cstheme="minorHAnsi"/>
          <w:sz w:val="22"/>
          <w:szCs w:val="22"/>
        </w:rPr>
      </w:pPr>
    </w:p>
    <w:p w14:paraId="1BBB0259" w14:textId="77777777" w:rsidR="00676BC9" w:rsidRPr="00AF1FAD" w:rsidRDefault="00676BC9" w:rsidP="00676BC9">
      <w:pPr>
        <w:jc w:val="both"/>
        <w:rPr>
          <w:rFonts w:ascii="Bookman Old Style" w:hAnsi="Bookman Old Style" w:cstheme="minorHAnsi"/>
          <w:sz w:val="22"/>
          <w:szCs w:val="22"/>
        </w:rPr>
      </w:pPr>
      <w:r w:rsidRPr="00AF1FAD">
        <w:rPr>
          <w:rFonts w:ascii="Bookman Old Style" w:hAnsi="Bookman Old Style" w:cstheme="minorHAnsi"/>
          <w:sz w:val="22"/>
          <w:szCs w:val="22"/>
        </w:rPr>
        <w:t xml:space="preserve">En esa misma dirección, la jurisprudencia de la Corte Constitucional ha extendido la aplicación del principio de precaución no solo para proteger el derecho al medio ambiente sano, sino también el derecho a la salud en conexidad con la vida, al proferir la </w:t>
      </w:r>
      <w:r w:rsidRPr="00AF1FAD">
        <w:rPr>
          <w:rFonts w:ascii="Bookman Old Style" w:hAnsi="Bookman Old Style" w:cstheme="minorHAnsi"/>
          <w:bCs/>
          <w:sz w:val="22"/>
          <w:szCs w:val="22"/>
        </w:rPr>
        <w:t>Sentencia T- 622 del 2016</w:t>
      </w:r>
      <w:r w:rsidRPr="00AF1FAD">
        <w:rPr>
          <w:rFonts w:ascii="Bookman Old Style" w:hAnsi="Bookman Old Style" w:cstheme="minorHAnsi"/>
          <w:sz w:val="22"/>
          <w:szCs w:val="22"/>
        </w:rPr>
        <w:t>, en la cual declaró al Río Atrato como sujeto de derechos y encontró satisfechos los elementos para aplicar el principio de precaución ante la evidencia de los potenciales efectos nocivos del uso de sustancias tóxicas en la actividad minera ilegal desarrolladas en la cuenca del río Atrato, por lo que prohibió el uso de sustancias tóxicas como el mercurio en actividades de explotación minera, ya sean legales e ilegales, señalando sobre el particular lo siguiente</w:t>
      </w:r>
      <w:r w:rsidRPr="00AF1FAD">
        <w:rPr>
          <w:rStyle w:val="Refdenotaalpie"/>
          <w:rFonts w:ascii="Bookman Old Style" w:hAnsi="Bookman Old Style" w:cstheme="minorHAnsi"/>
          <w:sz w:val="22"/>
          <w:szCs w:val="22"/>
        </w:rPr>
        <w:footnoteReference w:id="71"/>
      </w:r>
      <w:r w:rsidRPr="00AF1FAD">
        <w:rPr>
          <w:rFonts w:ascii="Bookman Old Style" w:hAnsi="Bookman Old Style" w:cstheme="minorHAnsi"/>
          <w:sz w:val="22"/>
          <w:szCs w:val="22"/>
        </w:rPr>
        <w:t>:</w:t>
      </w:r>
    </w:p>
    <w:p w14:paraId="7055DFE7" w14:textId="77777777" w:rsidR="00676BC9" w:rsidRPr="00AF1FAD" w:rsidRDefault="00676BC9" w:rsidP="00676BC9">
      <w:pPr>
        <w:jc w:val="both"/>
        <w:rPr>
          <w:rFonts w:ascii="Bookman Old Style" w:hAnsi="Bookman Old Style" w:cstheme="minorHAnsi"/>
          <w:sz w:val="22"/>
          <w:szCs w:val="22"/>
        </w:rPr>
      </w:pPr>
    </w:p>
    <w:p w14:paraId="297B9D60" w14:textId="2A7EAED5" w:rsidR="00676BC9" w:rsidRPr="00AF1FAD" w:rsidRDefault="00676BC9" w:rsidP="00676BC9">
      <w:pPr>
        <w:ind w:left="851" w:right="900"/>
        <w:jc w:val="both"/>
        <w:rPr>
          <w:rFonts w:ascii="Bookman Old Style" w:hAnsi="Bookman Old Style" w:cstheme="minorHAnsi"/>
          <w:bCs/>
          <w:i/>
          <w:sz w:val="22"/>
          <w:szCs w:val="22"/>
        </w:rPr>
      </w:pPr>
      <w:r w:rsidRPr="00AF1FAD">
        <w:rPr>
          <w:rFonts w:ascii="Bookman Old Style" w:hAnsi="Bookman Old Style" w:cstheme="minorHAnsi"/>
          <w:i/>
          <w:sz w:val="22"/>
          <w:szCs w:val="22"/>
        </w:rPr>
        <w:t xml:space="preserve">“9.25. En consideración a lo hasta aquí expuesto, para la Corte es menester concluir que la actividad minera ilegal, al tener </w:t>
      </w:r>
      <w:r w:rsidRPr="00AF1FAD">
        <w:rPr>
          <w:rFonts w:ascii="Bookman Old Style" w:hAnsi="Bookman Old Style" w:cstheme="minorHAnsi"/>
          <w:b/>
          <w:i/>
          <w:sz w:val="22"/>
          <w:szCs w:val="22"/>
        </w:rPr>
        <w:t xml:space="preserve">la </w:t>
      </w:r>
      <w:r w:rsidRPr="00AF1FAD">
        <w:rPr>
          <w:rFonts w:ascii="Bookman Old Style" w:hAnsi="Bookman Old Style" w:cstheme="minorHAnsi"/>
          <w:bCs/>
          <w:i/>
          <w:sz w:val="22"/>
          <w:szCs w:val="22"/>
        </w:rPr>
        <w:t>potencialidad de generar menoscabo a la salud y al medio ambiente, como se ha visto en el caso de las comunidades étnicas que habitan la cuenca de río Atrato, está sujeta a la</w:t>
      </w:r>
      <w:r w:rsidR="00FA533B">
        <w:rPr>
          <w:rFonts w:ascii="Bookman Old Style" w:hAnsi="Bookman Old Style" w:cstheme="minorHAnsi"/>
          <w:bCs/>
          <w:i/>
          <w:sz w:val="22"/>
          <w:szCs w:val="22"/>
        </w:rPr>
        <w:t xml:space="preserve"> </w:t>
      </w:r>
      <w:r w:rsidRPr="00AF1FAD">
        <w:rPr>
          <w:rFonts w:ascii="Bookman Old Style" w:hAnsi="Bookman Old Style" w:cstheme="minorHAnsi"/>
          <w:bCs/>
          <w:i/>
          <w:sz w:val="22"/>
          <w:szCs w:val="22"/>
        </w:rPr>
        <w:t>aplicación del principio de precaución. Este se aplica cuando -aunque haya un principio de certeza técnica- existe incertidumbre científica respecto de los efectos nocivos de una medida o actividad. En ese caso, debe preferirse la solución que evite el daño y no aquella que pueda permitirla. Este principio no solo está concebido para proteger el derecho al medio ambiente sino también el derecho a la salud cuando exista la amenaza de vulneración. De esta forma, como se vio en el capítulo 7 (fundamentos 7.33 a 7.41) de la presente providencia, cuando por causa del desarrollo de actividades mineras ilegales, en caso de que exista duda razonable respecto de si estas afectan el entorno natural o la salud de las personas, como se ha evidenciado en el asunto sub examine, deben tomarse las medidas que anticipen y eviten cualquier daño, y en caso de que esté causado, las medidas de compensación correspondientes.</w:t>
      </w:r>
    </w:p>
    <w:p w14:paraId="06513A7B" w14:textId="77777777" w:rsidR="00676BC9" w:rsidRPr="00AF1FAD" w:rsidRDefault="00676BC9" w:rsidP="00676BC9">
      <w:pPr>
        <w:ind w:left="851" w:right="900"/>
        <w:jc w:val="both"/>
        <w:rPr>
          <w:rFonts w:ascii="Bookman Old Style" w:hAnsi="Bookman Old Style" w:cstheme="minorHAnsi"/>
          <w:bCs/>
          <w:i/>
          <w:sz w:val="22"/>
          <w:szCs w:val="22"/>
        </w:rPr>
      </w:pPr>
    </w:p>
    <w:p w14:paraId="753D228C" w14:textId="77777777" w:rsidR="00676BC9" w:rsidRPr="00AF1FAD" w:rsidRDefault="00676BC9" w:rsidP="00676BC9">
      <w:pPr>
        <w:ind w:left="851" w:right="900"/>
        <w:jc w:val="both"/>
        <w:rPr>
          <w:rFonts w:ascii="Bookman Old Style" w:hAnsi="Bookman Old Style" w:cstheme="minorHAnsi"/>
          <w:bCs/>
          <w:i/>
          <w:sz w:val="22"/>
          <w:szCs w:val="22"/>
        </w:rPr>
      </w:pPr>
      <w:r w:rsidRPr="00AF1FAD">
        <w:rPr>
          <w:rFonts w:ascii="Bookman Old Style" w:hAnsi="Bookman Old Style" w:cstheme="minorHAnsi"/>
          <w:bCs/>
          <w:i/>
          <w:sz w:val="22"/>
          <w:szCs w:val="22"/>
        </w:rPr>
        <w:t>En este orden de ideas, ante la evidencia de los potenciales efectos nocivos que puede tener el uso de mercurio y otras sustancias tóxicas en la actividad minera ilegal que se desarrolla en la cuenca del río Atrato, que pueden poner en peligro no solo a las comunidades sino al medio ambiente en su conjunto, así no exista certeza científica, la Sala considera que en este caso se reúnen los requisitos para dar aplicación al principio de precaución en materia ambiental y para proteger el derecho a la salud de las personas[304]. Como se señaló en el acápite respectivo, el principio de precaución implica en términos muy sencillos, que en caso de duda científica no se abstenga y por el contrario, se proteja el derecho al medio ambiente sano y a la salud en conexidad con la vida.</w:t>
      </w:r>
    </w:p>
    <w:p w14:paraId="456358F5" w14:textId="77777777" w:rsidR="00676BC9" w:rsidRPr="00AF1FAD" w:rsidRDefault="00676BC9" w:rsidP="00676BC9">
      <w:pPr>
        <w:ind w:left="851" w:right="900"/>
        <w:jc w:val="both"/>
        <w:rPr>
          <w:rFonts w:ascii="Bookman Old Style" w:hAnsi="Bookman Old Style" w:cstheme="minorHAnsi"/>
          <w:bCs/>
          <w:i/>
          <w:sz w:val="22"/>
          <w:szCs w:val="22"/>
        </w:rPr>
      </w:pPr>
    </w:p>
    <w:p w14:paraId="0F5891D6" w14:textId="77777777" w:rsidR="00676BC9" w:rsidRPr="00AF1FAD" w:rsidRDefault="00676BC9" w:rsidP="00676BC9">
      <w:pPr>
        <w:ind w:left="851" w:right="900"/>
        <w:jc w:val="both"/>
        <w:rPr>
          <w:rFonts w:ascii="Bookman Old Style" w:hAnsi="Bookman Old Style" w:cstheme="minorHAnsi"/>
          <w:sz w:val="22"/>
          <w:szCs w:val="22"/>
        </w:rPr>
      </w:pPr>
      <w:r w:rsidRPr="00AF1FAD">
        <w:rPr>
          <w:rFonts w:ascii="Bookman Old Style" w:hAnsi="Bookman Old Style" w:cstheme="minorHAnsi"/>
          <w:bCs/>
          <w:i/>
          <w:sz w:val="22"/>
          <w:szCs w:val="22"/>
        </w:rPr>
        <w:t>En concreto, la aplicación del principio de precaución en el presente caso tendrá como objetivos, (i) prohibir que en adelante se usen sustancias tóxicas como el mercurio en</w:t>
      </w:r>
      <w:r w:rsidRPr="00AF1FAD">
        <w:rPr>
          <w:rFonts w:ascii="Bookman Old Style" w:hAnsi="Bookman Old Style" w:cstheme="minorHAnsi"/>
          <w:i/>
          <w:sz w:val="22"/>
          <w:szCs w:val="22"/>
        </w:rPr>
        <w:t xml:space="preserve"> actividades de explotación minera, ya sean legales e ilegales; y (ii) declarará que el río Atrato es sujeto de derechos que implican su protección, conservación, mantenimiento y en el caso concreto, restauración (…).”</w:t>
      </w:r>
    </w:p>
    <w:p w14:paraId="53DF889F"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
          <w:sz w:val="22"/>
          <w:szCs w:val="22"/>
        </w:rPr>
      </w:pPr>
    </w:p>
    <w:p w14:paraId="49811A1B" w14:textId="77777777" w:rsidR="00057BAF" w:rsidRPr="00057BAF" w:rsidRDefault="00057BAF" w:rsidP="00057BAF">
      <w:pPr>
        <w:pStyle w:val="Prrafodelista"/>
        <w:numPr>
          <w:ilvl w:val="0"/>
          <w:numId w:val="18"/>
        </w:numPr>
        <w:shd w:val="clear" w:color="auto" w:fill="FFFFFF"/>
        <w:contextualSpacing w:val="0"/>
        <w:jc w:val="both"/>
        <w:rPr>
          <w:rFonts w:ascii="Bookman Old Style" w:hAnsi="Bookman Old Style" w:cs="Arial"/>
          <w:b/>
          <w:vanish/>
          <w:sz w:val="22"/>
          <w:szCs w:val="22"/>
        </w:rPr>
      </w:pPr>
    </w:p>
    <w:p w14:paraId="5D15E126" w14:textId="77777777" w:rsidR="00057BAF" w:rsidRPr="00057BAF" w:rsidRDefault="00057BAF" w:rsidP="00057BAF">
      <w:pPr>
        <w:pStyle w:val="Prrafodelista"/>
        <w:numPr>
          <w:ilvl w:val="0"/>
          <w:numId w:val="18"/>
        </w:numPr>
        <w:shd w:val="clear" w:color="auto" w:fill="FFFFFF"/>
        <w:contextualSpacing w:val="0"/>
        <w:jc w:val="both"/>
        <w:rPr>
          <w:rFonts w:ascii="Bookman Old Style" w:hAnsi="Bookman Old Style" w:cs="Arial"/>
          <w:b/>
          <w:vanish/>
          <w:sz w:val="22"/>
          <w:szCs w:val="22"/>
        </w:rPr>
      </w:pPr>
    </w:p>
    <w:p w14:paraId="521E81F4" w14:textId="77777777" w:rsidR="00057BAF" w:rsidRPr="00057BAF" w:rsidRDefault="00057BAF" w:rsidP="00057BAF">
      <w:pPr>
        <w:pStyle w:val="Prrafodelista"/>
        <w:numPr>
          <w:ilvl w:val="0"/>
          <w:numId w:val="18"/>
        </w:numPr>
        <w:shd w:val="clear" w:color="auto" w:fill="FFFFFF"/>
        <w:contextualSpacing w:val="0"/>
        <w:jc w:val="both"/>
        <w:rPr>
          <w:rFonts w:ascii="Bookman Old Style" w:hAnsi="Bookman Old Style" w:cs="Arial"/>
          <w:b/>
          <w:vanish/>
          <w:sz w:val="22"/>
          <w:szCs w:val="22"/>
        </w:rPr>
      </w:pPr>
    </w:p>
    <w:p w14:paraId="0E7DDCB0" w14:textId="77777777" w:rsidR="00057BAF" w:rsidRPr="00057BAF" w:rsidRDefault="00057BAF" w:rsidP="00057BAF">
      <w:pPr>
        <w:pStyle w:val="Prrafodelista"/>
        <w:numPr>
          <w:ilvl w:val="0"/>
          <w:numId w:val="18"/>
        </w:numPr>
        <w:shd w:val="clear" w:color="auto" w:fill="FFFFFF"/>
        <w:contextualSpacing w:val="0"/>
        <w:jc w:val="both"/>
        <w:rPr>
          <w:rFonts w:ascii="Bookman Old Style" w:hAnsi="Bookman Old Style" w:cs="Arial"/>
          <w:b/>
          <w:vanish/>
          <w:sz w:val="22"/>
          <w:szCs w:val="22"/>
        </w:rPr>
      </w:pPr>
    </w:p>
    <w:p w14:paraId="3791BDD5" w14:textId="77777777" w:rsidR="00057BAF" w:rsidRPr="00057BAF" w:rsidRDefault="00057BAF" w:rsidP="00057BAF">
      <w:pPr>
        <w:pStyle w:val="Prrafodelista"/>
        <w:numPr>
          <w:ilvl w:val="0"/>
          <w:numId w:val="18"/>
        </w:numPr>
        <w:shd w:val="clear" w:color="auto" w:fill="FFFFFF"/>
        <w:contextualSpacing w:val="0"/>
        <w:jc w:val="both"/>
        <w:rPr>
          <w:rFonts w:ascii="Bookman Old Style" w:hAnsi="Bookman Old Style" w:cs="Arial"/>
          <w:b/>
          <w:vanish/>
          <w:sz w:val="22"/>
          <w:szCs w:val="22"/>
        </w:rPr>
      </w:pPr>
    </w:p>
    <w:p w14:paraId="41891959" w14:textId="0D880E1A" w:rsidR="00676BC9" w:rsidRPr="00676BC9" w:rsidRDefault="00057BAF" w:rsidP="00AF1FAD">
      <w:pPr>
        <w:pStyle w:val="NormalWeb"/>
        <w:numPr>
          <w:ilvl w:val="1"/>
          <w:numId w:val="18"/>
        </w:numPr>
        <w:shd w:val="clear" w:color="auto" w:fill="FFFFFF"/>
        <w:spacing w:before="0" w:beforeAutospacing="0" w:after="0" w:afterAutospacing="0"/>
        <w:jc w:val="both"/>
        <w:rPr>
          <w:rFonts w:ascii="Bookman Old Style" w:hAnsi="Bookman Old Style" w:cs="Arial"/>
          <w:b/>
          <w:sz w:val="22"/>
          <w:szCs w:val="22"/>
        </w:rPr>
      </w:pPr>
      <w:r>
        <w:rPr>
          <w:rFonts w:ascii="Bookman Old Style" w:hAnsi="Bookman Old Style" w:cs="Arial"/>
          <w:b/>
          <w:sz w:val="22"/>
          <w:szCs w:val="22"/>
        </w:rPr>
        <w:t xml:space="preserve">EL </w:t>
      </w:r>
      <w:r w:rsidR="00676BC9" w:rsidRPr="00676BC9">
        <w:rPr>
          <w:rFonts w:ascii="Bookman Old Style" w:hAnsi="Bookman Old Style" w:cs="Arial"/>
          <w:b/>
          <w:sz w:val="22"/>
          <w:szCs w:val="22"/>
        </w:rPr>
        <w:t>PRINCIPIO DE PRECAUCIÓN ANTE EL DERECHO A LA SALUD.</w:t>
      </w:r>
    </w:p>
    <w:p w14:paraId="439E4027"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sz w:val="22"/>
          <w:szCs w:val="22"/>
        </w:rPr>
      </w:pPr>
    </w:p>
    <w:p w14:paraId="290FE353"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i/>
          <w:sz w:val="22"/>
          <w:szCs w:val="22"/>
        </w:rPr>
      </w:pPr>
      <w:r w:rsidRPr="00676BC9">
        <w:rPr>
          <w:rFonts w:ascii="Bookman Old Style" w:hAnsi="Bookman Old Style" w:cs="Arial"/>
          <w:bCs/>
          <w:sz w:val="22"/>
          <w:szCs w:val="22"/>
        </w:rPr>
        <w:t>Respecto a la aplicación del principio de precaución frente al derecho de salud, ha tenido la Corte Constitucional que: “</w:t>
      </w:r>
      <w:r w:rsidRPr="00676BC9">
        <w:rPr>
          <w:rFonts w:ascii="Bookman Old Style" w:hAnsi="Bookman Old Style" w:cs="Arial"/>
          <w:bCs/>
          <w:i/>
          <w:sz w:val="22"/>
          <w:szCs w:val="22"/>
        </w:rPr>
        <w:t>Si bien existen diversas formulaciones del principio de precaución, algunas que abarcarían un mayor grado de intervención, o un mayor alcance del concepto, todas las formulaciones comparten algunos elementos básicos: (i) ante la amenaza de un peligro grave al medio ambiente o la salud, del cual (ii) no existe certeza científica, pero (iii) sí existe algún principio de certeza, (iv) las autoridades deben adoptar medidas de protección, o no pueden diferir las mismas hasta que se acredita una prueba absoluta.”</w:t>
      </w:r>
      <w:r w:rsidRPr="00676BC9">
        <w:rPr>
          <w:rStyle w:val="Refdenotaalpie"/>
          <w:rFonts w:ascii="Bookman Old Style" w:hAnsi="Bookman Old Style" w:cs="Arial"/>
          <w:bCs/>
          <w:i/>
          <w:sz w:val="22"/>
          <w:szCs w:val="22"/>
        </w:rPr>
        <w:footnoteReference w:id="72"/>
      </w:r>
    </w:p>
    <w:p w14:paraId="6190A1BF"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i/>
          <w:sz w:val="22"/>
          <w:szCs w:val="22"/>
        </w:rPr>
      </w:pPr>
    </w:p>
    <w:p w14:paraId="0499F7E1"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
          <w:bCs/>
          <w:i/>
          <w:sz w:val="22"/>
          <w:szCs w:val="22"/>
          <w:u w:val="single"/>
        </w:rPr>
      </w:pPr>
      <w:r w:rsidRPr="00676BC9">
        <w:rPr>
          <w:rFonts w:ascii="Bookman Old Style" w:hAnsi="Bookman Old Style" w:cs="Arial"/>
          <w:bCs/>
          <w:sz w:val="22"/>
          <w:szCs w:val="22"/>
        </w:rPr>
        <w:t>Más específicamente, se ha planteado que: “</w:t>
      </w:r>
      <w:r w:rsidRPr="00676BC9">
        <w:rPr>
          <w:rFonts w:ascii="Bookman Old Style" w:hAnsi="Bookman Old Style" w:cs="Arial"/>
          <w:bCs/>
          <w:i/>
          <w:sz w:val="22"/>
          <w:szCs w:val="22"/>
        </w:rPr>
        <w:t xml:space="preserve">(i) El principio de precaución se aplica cuando el riesgo o la magnitud del daño generado o que puede sobrevenir no son conocidos con anticipación, porque no hay manera de establecer, a mediano o largo plazo, los efectos de una acción, lo cual generalmente ocurre por la falta de certeza científica absoluta acerca de las precisas consecuencias de un fenómeno, un producto o un proceso; </w:t>
      </w:r>
      <w:r w:rsidRPr="00676BC9">
        <w:rPr>
          <w:rFonts w:ascii="Bookman Old Style" w:hAnsi="Bookman Old Style" w:cs="Arial"/>
          <w:b/>
          <w:bCs/>
          <w:i/>
          <w:sz w:val="22"/>
          <w:szCs w:val="22"/>
          <w:u w:val="single"/>
        </w:rPr>
        <w:t>(ii) según los instrumentos internacionales, las normas y jurisprudencia nacionales, el principio de precaución puede ser empleado para proteger el derecho a la salud.”</w:t>
      </w:r>
    </w:p>
    <w:p w14:paraId="21C71DE6"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
          <w:bCs/>
          <w:i/>
          <w:sz w:val="22"/>
          <w:szCs w:val="22"/>
          <w:u w:val="single"/>
        </w:rPr>
      </w:pPr>
    </w:p>
    <w:p w14:paraId="6ED2CC01" w14:textId="46A1F882"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sz w:val="22"/>
          <w:szCs w:val="22"/>
        </w:rPr>
      </w:pPr>
      <w:r w:rsidRPr="00676BC9">
        <w:rPr>
          <w:rFonts w:ascii="Bookman Old Style" w:hAnsi="Bookman Old Style" w:cs="Arial"/>
          <w:bCs/>
          <w:sz w:val="22"/>
          <w:szCs w:val="22"/>
        </w:rPr>
        <w:t>la Corte reiteró que, “a falta de certeza científica, debe ser aplicado el principio de precaución”, ya que “la falta de certeza científica no [podía] aducirse como razón para postergar la adopción de medidas eficaces para precaver la degradación del ambiente y la generación de riesgos contra la salud”</w:t>
      </w:r>
      <w:r w:rsidRPr="00676BC9">
        <w:rPr>
          <w:rStyle w:val="Refdenotaalpie"/>
          <w:rFonts w:ascii="Bookman Old Style" w:hAnsi="Bookman Old Style" w:cs="Arial"/>
          <w:bCs/>
          <w:sz w:val="22"/>
          <w:szCs w:val="22"/>
        </w:rPr>
        <w:footnoteReference w:id="73"/>
      </w:r>
      <w:r w:rsidRPr="00676BC9">
        <w:rPr>
          <w:rFonts w:ascii="Bookman Old Style" w:hAnsi="Bookman Old Style" w:cs="Arial"/>
          <w:bCs/>
          <w:sz w:val="22"/>
          <w:szCs w:val="22"/>
        </w:rPr>
        <w:t>.</w:t>
      </w:r>
    </w:p>
    <w:p w14:paraId="27E93F32"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sz w:val="22"/>
          <w:szCs w:val="22"/>
        </w:rPr>
      </w:pPr>
    </w:p>
    <w:p w14:paraId="3A2A2C51" w14:textId="2714350C"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sz w:val="22"/>
          <w:szCs w:val="22"/>
        </w:rPr>
      </w:pPr>
      <w:r w:rsidRPr="00676BC9">
        <w:rPr>
          <w:rFonts w:ascii="Bookman Old Style" w:hAnsi="Bookman Old Style" w:cs="Arial"/>
          <w:bCs/>
          <w:sz w:val="22"/>
          <w:szCs w:val="22"/>
        </w:rPr>
        <w:t xml:space="preserve">Consecuencia de la falta de aplicación del principio de precaución, aunado a los efectos nocivos que puede tener para la salud </w:t>
      </w:r>
      <w:r w:rsidR="00FA533B">
        <w:rPr>
          <w:rFonts w:ascii="Bookman Old Style" w:hAnsi="Bookman Old Style" w:cs="Arial"/>
          <w:bCs/>
          <w:sz w:val="22"/>
          <w:szCs w:val="22"/>
        </w:rPr>
        <w:t xml:space="preserve">la actividad del fracking, de cara al rechazo que la misma comunidad, </w:t>
      </w:r>
      <w:r w:rsidRPr="00676BC9">
        <w:rPr>
          <w:rFonts w:ascii="Bookman Old Style" w:hAnsi="Bookman Old Style" w:cs="Arial"/>
          <w:bCs/>
          <w:sz w:val="22"/>
          <w:szCs w:val="22"/>
        </w:rPr>
        <w:t>podemos hablar de que nos encontramos ante la configuración de lo que podría ser denominado como un perjuicio irremediable a los derechos fundamentales de la vida, la salud y el medio ambiente sano.</w:t>
      </w:r>
    </w:p>
    <w:p w14:paraId="7EF30061" w14:textId="77777777" w:rsidR="00676BC9" w:rsidRPr="00676BC9" w:rsidRDefault="00676BC9" w:rsidP="00676BC9">
      <w:pPr>
        <w:pStyle w:val="NormalWeb"/>
        <w:shd w:val="clear" w:color="auto" w:fill="FFFFFF"/>
        <w:spacing w:after="0"/>
        <w:jc w:val="both"/>
        <w:rPr>
          <w:rFonts w:ascii="Bookman Old Style" w:hAnsi="Bookman Old Style" w:cs="Arial"/>
          <w:bCs/>
          <w:i/>
          <w:iCs/>
          <w:sz w:val="22"/>
          <w:szCs w:val="22"/>
        </w:rPr>
      </w:pPr>
      <w:r w:rsidRPr="00676BC9">
        <w:rPr>
          <w:rFonts w:ascii="Bookman Old Style" w:hAnsi="Bookman Old Style" w:cs="Arial"/>
          <w:bCs/>
          <w:sz w:val="22"/>
          <w:szCs w:val="22"/>
        </w:rPr>
        <w:t xml:space="preserve">Como ha dicho la Honorable Corte, </w:t>
      </w:r>
      <w:r w:rsidRPr="00676BC9">
        <w:rPr>
          <w:rFonts w:ascii="Bookman Old Style" w:hAnsi="Bookman Old Style" w:cs="Arial"/>
          <w:bCs/>
          <w:i/>
          <w:iCs/>
          <w:sz w:val="22"/>
          <w:szCs w:val="22"/>
        </w:rPr>
        <w:t>“De acuerdo con la doctrina constitucional pertinente, un perjuicio irremediable se configura cuando el peligro que se cierne sobre el derecho fundamental es de tal magnitud que afecta con inminencia y de manera grave su subsistencia, requiriendo por tanto de medidas impostergables que lo neutralicen. Sobre las características jurídicas del perjuicio irremediable la Corte dice en su jurisprudencia lo siguiente:</w:t>
      </w:r>
    </w:p>
    <w:p w14:paraId="4B628B17" w14:textId="77777777" w:rsidR="00676BC9" w:rsidRPr="00676BC9" w:rsidRDefault="00676BC9" w:rsidP="00676BC9">
      <w:pPr>
        <w:pStyle w:val="NormalWeb"/>
        <w:shd w:val="clear" w:color="auto" w:fill="FFFFFF"/>
        <w:spacing w:before="0" w:beforeAutospacing="0" w:after="0" w:afterAutospacing="0"/>
        <w:jc w:val="both"/>
        <w:rPr>
          <w:rFonts w:ascii="Bookman Old Style" w:hAnsi="Bookman Old Style" w:cs="Arial"/>
          <w:bCs/>
          <w:i/>
          <w:iCs/>
          <w:sz w:val="22"/>
          <w:szCs w:val="22"/>
        </w:rPr>
      </w:pPr>
      <w:r w:rsidRPr="00676BC9">
        <w:rPr>
          <w:rFonts w:ascii="Bookman Old Style" w:hAnsi="Bookman Old Style" w:cs="Arial"/>
          <w:bCs/>
          <w:i/>
          <w:iCs/>
          <w:sz w:val="22"/>
          <w:szCs w:val="22"/>
        </w:rPr>
        <w:t>En primer lugar, el perjuicio debe ser inminente o próximo a suceder. Este exige un considerable grado de certeza y suficientes elementos fácticos que así lo demuestren, tomando en cuenta, además, la causa del daño. En segundo lugar, el perjuicio ha de ser grave, es decir, que suponga un detrimento sobre un bien altamente significativo para la persona (moral o material), pero que sea susceptible de determinación jurídica. En tercer lugar, deben requerirse medidas urgentes para superar el daño, entendidas éstas desde una doble perspectiva: como una respuesta adecuada frente a la inminencia del perjuicio, y como respuesta que armonice con las particularidades del caso. Por último, las medidas de protección deben ser impostergables, esto es, que respondan a criterios de oportunidad y eficiencia a fin de evitar la consumación de un daño antijurídico irreparable”</w:t>
      </w:r>
      <w:r w:rsidRPr="00676BC9">
        <w:rPr>
          <w:rStyle w:val="Refdenotaalpie"/>
          <w:rFonts w:ascii="Bookman Old Style" w:hAnsi="Bookman Old Style" w:cs="Arial"/>
          <w:bCs/>
          <w:i/>
          <w:iCs/>
          <w:sz w:val="22"/>
          <w:szCs w:val="22"/>
        </w:rPr>
        <w:footnoteReference w:id="74"/>
      </w:r>
    </w:p>
    <w:p w14:paraId="063438E5" w14:textId="78089954" w:rsidR="0049582F" w:rsidRDefault="0049582F" w:rsidP="0049582F">
      <w:pPr>
        <w:ind w:right="49"/>
        <w:jc w:val="both"/>
        <w:rPr>
          <w:rFonts w:ascii="Bookman Old Style" w:hAnsi="Bookman Old Style"/>
          <w:sz w:val="22"/>
          <w:szCs w:val="22"/>
        </w:rPr>
      </w:pPr>
    </w:p>
    <w:p w14:paraId="7CEF1709" w14:textId="1CE0F895" w:rsidR="00FA533B" w:rsidRPr="00AF1FAD" w:rsidRDefault="00FA533B" w:rsidP="00AF1FAD">
      <w:pPr>
        <w:ind w:right="49"/>
        <w:jc w:val="both"/>
        <w:rPr>
          <w:rFonts w:ascii="Bookman Old Style" w:hAnsi="Bookman Old Style"/>
          <w:sz w:val="22"/>
          <w:szCs w:val="22"/>
        </w:rPr>
      </w:pPr>
      <w:r>
        <w:rPr>
          <w:rFonts w:ascii="Bookman Old Style" w:hAnsi="Bookman Old Style"/>
          <w:sz w:val="22"/>
          <w:szCs w:val="22"/>
        </w:rPr>
        <w:t xml:space="preserve">Siendo así </w:t>
      </w:r>
      <w:r w:rsidR="00AC4F23">
        <w:rPr>
          <w:rFonts w:ascii="Bookman Old Style" w:hAnsi="Bookman Old Style"/>
          <w:sz w:val="22"/>
          <w:szCs w:val="22"/>
        </w:rPr>
        <w:t>que una de las razones principales para prohibir el fracking en Colombia, incluso desde el ámbito penal, es que su realización atenta contra el principio de precaución y podría generar un perjuicio irremedibale.</w:t>
      </w:r>
    </w:p>
    <w:p w14:paraId="3F186AF4" w14:textId="77777777" w:rsidR="0049582F" w:rsidRPr="00AF1FAD" w:rsidRDefault="0049582F" w:rsidP="00AF1FAD">
      <w:pPr>
        <w:ind w:right="49"/>
        <w:jc w:val="center"/>
        <w:rPr>
          <w:rFonts w:ascii="Bookman Old Style" w:hAnsi="Bookman Old Style"/>
          <w:b/>
          <w:bCs/>
          <w:sz w:val="22"/>
          <w:szCs w:val="22"/>
        </w:rPr>
      </w:pPr>
    </w:p>
    <w:p w14:paraId="4FD46BE4" w14:textId="023F0CFC" w:rsidR="00BB4E37" w:rsidRPr="003F50C8" w:rsidRDefault="00BB4E37" w:rsidP="008C4CCD">
      <w:pPr>
        <w:pStyle w:val="Prrafodelista"/>
        <w:numPr>
          <w:ilvl w:val="0"/>
          <w:numId w:val="1"/>
        </w:numPr>
        <w:ind w:left="426" w:right="49" w:hanging="426"/>
        <w:jc w:val="center"/>
        <w:rPr>
          <w:rFonts w:ascii="Bookman Old Style" w:hAnsi="Bookman Old Style"/>
          <w:b/>
          <w:bCs/>
          <w:sz w:val="22"/>
          <w:szCs w:val="22"/>
        </w:rPr>
      </w:pPr>
      <w:r w:rsidRPr="003F50C8">
        <w:rPr>
          <w:rFonts w:ascii="Bookman Old Style" w:hAnsi="Bookman Old Style"/>
          <w:b/>
          <w:bCs/>
          <w:sz w:val="22"/>
          <w:szCs w:val="22"/>
        </w:rPr>
        <w:t>PRINCIPIO DE ÚLTIMA RATIO Y DEBER DE INTERVENCIÓN DEL ESTADO.</w:t>
      </w:r>
    </w:p>
    <w:p w14:paraId="233BE28C" w14:textId="77777777" w:rsidR="00BB4E37" w:rsidRPr="003F50C8" w:rsidRDefault="00BB4E37" w:rsidP="003F50C8">
      <w:pPr>
        <w:pStyle w:val="Prrafodelista"/>
        <w:ind w:left="360"/>
        <w:jc w:val="both"/>
        <w:rPr>
          <w:rFonts w:ascii="Bookman Old Style" w:hAnsi="Bookman Old Style"/>
          <w:bCs/>
          <w:sz w:val="22"/>
          <w:szCs w:val="22"/>
        </w:rPr>
      </w:pPr>
    </w:p>
    <w:p w14:paraId="4B6ECABC" w14:textId="77777777"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El principio de </w:t>
      </w:r>
      <w:r w:rsidRPr="003F50C8">
        <w:rPr>
          <w:rFonts w:ascii="Bookman Old Style" w:hAnsi="Bookman Old Style"/>
          <w:bCs/>
          <w:i/>
          <w:sz w:val="22"/>
          <w:szCs w:val="22"/>
        </w:rPr>
        <w:t>Última Ratio</w:t>
      </w:r>
      <w:r w:rsidRPr="003F50C8">
        <w:rPr>
          <w:rFonts w:ascii="Bookman Old Style" w:hAnsi="Bookman Old Style"/>
          <w:bCs/>
          <w:sz w:val="22"/>
          <w:szCs w:val="22"/>
        </w:rPr>
        <w:t xml:space="preserve"> es un pilar fundamental en el derecho penal, que debe ser acorde con los derechos de los ciudadanos, las garantías de los procesados y los deberes del Estado.</w:t>
      </w:r>
    </w:p>
    <w:p w14:paraId="746458C6" w14:textId="77777777" w:rsidR="00BB4E37" w:rsidRPr="003F50C8" w:rsidRDefault="00BB4E37" w:rsidP="003F50C8">
      <w:pPr>
        <w:ind w:right="333"/>
        <w:jc w:val="both"/>
        <w:rPr>
          <w:rFonts w:ascii="Bookman Old Style" w:hAnsi="Bookman Old Style"/>
          <w:bCs/>
          <w:sz w:val="22"/>
          <w:szCs w:val="22"/>
        </w:rPr>
      </w:pPr>
    </w:p>
    <w:p w14:paraId="48AE92E6" w14:textId="77777777"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En nuestro ordenamiento jurídico, las conductas de los ciudadanos pueden tener consecuencias de distinta naturaleza, ya sea en el ámbito civil, laboral, o administrativo, entre otros. </w:t>
      </w:r>
    </w:p>
    <w:p w14:paraId="6C465BD7" w14:textId="77777777" w:rsidR="00BB4E37" w:rsidRPr="003F50C8" w:rsidRDefault="00BB4E37" w:rsidP="003F50C8">
      <w:pPr>
        <w:pStyle w:val="Prrafodelista"/>
        <w:ind w:left="360" w:right="333"/>
        <w:jc w:val="both"/>
        <w:rPr>
          <w:rFonts w:ascii="Bookman Old Style" w:hAnsi="Bookman Old Style"/>
          <w:bCs/>
          <w:sz w:val="22"/>
          <w:szCs w:val="22"/>
        </w:rPr>
      </w:pPr>
    </w:p>
    <w:p w14:paraId="623E4296" w14:textId="77777777"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Algunas de estas conductas que, por ser contrarias a las re</w:t>
      </w:r>
      <w:r w:rsidR="00296F43" w:rsidRPr="003F50C8">
        <w:rPr>
          <w:rFonts w:ascii="Bookman Old Style" w:hAnsi="Bookman Old Style"/>
          <w:bCs/>
          <w:sz w:val="22"/>
          <w:szCs w:val="22"/>
        </w:rPr>
        <w:t>glas del ordenamiento, perturban la sana convivencia o afectan</w:t>
      </w:r>
      <w:r w:rsidRPr="003F50C8">
        <w:rPr>
          <w:rFonts w:ascii="Bookman Old Style" w:hAnsi="Bookman Old Style"/>
          <w:bCs/>
          <w:sz w:val="22"/>
          <w:szCs w:val="22"/>
        </w:rPr>
        <w:t xml:space="preserve"> derechos, tienen unos grados de reproche que hacen necesario enmarcarlas en el ámbito sancionatorio.</w:t>
      </w:r>
    </w:p>
    <w:p w14:paraId="098D5B86" w14:textId="77777777" w:rsidR="00BB4E37" w:rsidRPr="003F50C8" w:rsidRDefault="00BB4E37" w:rsidP="003F50C8">
      <w:pPr>
        <w:pStyle w:val="Prrafodelista"/>
        <w:ind w:left="360" w:right="333"/>
        <w:jc w:val="both"/>
        <w:rPr>
          <w:rFonts w:ascii="Bookman Old Style" w:hAnsi="Bookman Old Style"/>
          <w:bCs/>
          <w:sz w:val="22"/>
          <w:szCs w:val="22"/>
        </w:rPr>
      </w:pPr>
    </w:p>
    <w:p w14:paraId="0EFCCDCB" w14:textId="77777777"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Es así, como aquellas conductas que atentan contra derechos fundamentales, colectivos o contra el Estado se considera deben ser sancionadas por el Derecho Penal, por ejemplo, atentar contra los derechos a la vida, la libertad, la libertad sexual, a un ambiente sano, la asociación o apropiarse del erario</w:t>
      </w:r>
      <w:r w:rsidR="00292A35" w:rsidRPr="003F50C8">
        <w:rPr>
          <w:rFonts w:ascii="Bookman Old Style" w:hAnsi="Bookman Old Style"/>
          <w:bCs/>
          <w:sz w:val="22"/>
          <w:szCs w:val="22"/>
        </w:rPr>
        <w:t>,</w:t>
      </w:r>
      <w:r w:rsidRPr="003F50C8">
        <w:rPr>
          <w:rFonts w:ascii="Bookman Old Style" w:hAnsi="Bookman Old Style"/>
          <w:bCs/>
          <w:sz w:val="22"/>
          <w:szCs w:val="22"/>
        </w:rPr>
        <w:t xml:space="preserve"> tiene como consecuencia una pena de prisión.</w:t>
      </w:r>
    </w:p>
    <w:p w14:paraId="136F9B5F" w14:textId="77777777" w:rsidR="00BB4E37" w:rsidRPr="003F50C8" w:rsidRDefault="00BB4E37" w:rsidP="003F50C8">
      <w:pPr>
        <w:pStyle w:val="Prrafodelista"/>
        <w:ind w:left="360" w:right="333"/>
        <w:jc w:val="both"/>
        <w:rPr>
          <w:rFonts w:ascii="Bookman Old Style" w:hAnsi="Bookman Old Style"/>
          <w:bCs/>
          <w:sz w:val="22"/>
          <w:szCs w:val="22"/>
        </w:rPr>
      </w:pPr>
    </w:p>
    <w:p w14:paraId="3BA84EF3" w14:textId="77777777" w:rsidR="00BB4E37" w:rsidRPr="003F50C8" w:rsidRDefault="00BB4E37" w:rsidP="003F50C8">
      <w:pPr>
        <w:jc w:val="both"/>
        <w:rPr>
          <w:rFonts w:ascii="Bookman Old Style" w:hAnsi="Bookman Old Style"/>
          <w:bCs/>
          <w:color w:val="000000" w:themeColor="text1"/>
          <w:sz w:val="22"/>
          <w:szCs w:val="22"/>
        </w:rPr>
      </w:pPr>
      <w:r w:rsidRPr="003F50C8">
        <w:rPr>
          <w:rFonts w:ascii="Bookman Old Style" w:hAnsi="Bookman Old Style"/>
          <w:bCs/>
          <w:sz w:val="22"/>
          <w:szCs w:val="22"/>
        </w:rPr>
        <w:t xml:space="preserve">El Constituyente Primario consagró </w:t>
      </w:r>
      <w:r w:rsidRPr="003F50C8">
        <w:rPr>
          <w:rFonts w:ascii="Bookman Old Style" w:hAnsi="Bookman Old Style"/>
          <w:bCs/>
          <w:color w:val="000000" w:themeColor="text1"/>
          <w:sz w:val="22"/>
          <w:szCs w:val="22"/>
        </w:rPr>
        <w:t>en su artículo 79 el derecho más colectivo de los humanos: el derecho a gozar de un ambiente sano, determinando que es deber del Estado, proteger la diversidad e integridad del ambiente y las áreas de especial importancia ecológica.</w:t>
      </w:r>
    </w:p>
    <w:p w14:paraId="42E98609" w14:textId="77777777" w:rsidR="00BB4E37" w:rsidRPr="003F50C8" w:rsidRDefault="00BB4E37" w:rsidP="003F50C8">
      <w:pPr>
        <w:pStyle w:val="Prrafodelista"/>
        <w:ind w:left="360" w:right="333"/>
        <w:jc w:val="both"/>
        <w:rPr>
          <w:rFonts w:ascii="Bookman Old Style" w:hAnsi="Bookman Old Style"/>
          <w:bCs/>
          <w:sz w:val="22"/>
          <w:szCs w:val="22"/>
        </w:rPr>
      </w:pPr>
    </w:p>
    <w:p w14:paraId="13C7E53C" w14:textId="77777777"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Al buscar con este proyecto de ley la sanción penal de una actividad tan específica, únicamente al método de fracturación hidráulica-</w:t>
      </w:r>
      <w:r w:rsidRPr="003F50C8">
        <w:rPr>
          <w:rFonts w:ascii="Bookman Old Style" w:hAnsi="Bookman Old Style"/>
          <w:bCs/>
          <w:i/>
          <w:sz w:val="22"/>
          <w:szCs w:val="22"/>
        </w:rPr>
        <w:t>fracking</w:t>
      </w:r>
      <w:r w:rsidRPr="003F50C8">
        <w:rPr>
          <w:rFonts w:ascii="Bookman Old Style" w:hAnsi="Bookman Old Style"/>
          <w:bCs/>
          <w:sz w:val="22"/>
          <w:szCs w:val="22"/>
        </w:rPr>
        <w:t>, se respeta</w:t>
      </w:r>
      <w:r w:rsidR="00AD6252" w:rsidRPr="003F50C8">
        <w:rPr>
          <w:rFonts w:ascii="Bookman Old Style" w:hAnsi="Bookman Old Style"/>
          <w:bCs/>
          <w:sz w:val="22"/>
          <w:szCs w:val="22"/>
        </w:rPr>
        <w:t>n</w:t>
      </w:r>
      <w:r w:rsidRPr="003F50C8">
        <w:rPr>
          <w:rFonts w:ascii="Bookman Old Style" w:hAnsi="Bookman Old Style"/>
          <w:bCs/>
          <w:sz w:val="22"/>
          <w:szCs w:val="22"/>
        </w:rPr>
        <w:t xml:space="preserve"> los pilares del principio de </w:t>
      </w:r>
      <w:r w:rsidRPr="003F50C8">
        <w:rPr>
          <w:rFonts w:ascii="Bookman Old Style" w:hAnsi="Bookman Old Style"/>
          <w:bCs/>
          <w:i/>
          <w:sz w:val="22"/>
          <w:szCs w:val="22"/>
        </w:rPr>
        <w:t>última ratio</w:t>
      </w:r>
      <w:r w:rsidRPr="003F50C8">
        <w:rPr>
          <w:rFonts w:ascii="Bookman Old Style" w:hAnsi="Bookman Old Style"/>
          <w:bCs/>
          <w:sz w:val="22"/>
          <w:szCs w:val="22"/>
        </w:rPr>
        <w:t xml:space="preserve">, ya que: 1) las sanciones penales se han de limitar a la esfera de lo indispensable en contra posición con conductas más leves; y 2) la aplicación del </w:t>
      </w:r>
      <w:r w:rsidRPr="003F50C8">
        <w:rPr>
          <w:rFonts w:ascii="Bookman Old Style" w:hAnsi="Bookman Old Style"/>
          <w:bCs/>
          <w:i/>
          <w:sz w:val="22"/>
          <w:szCs w:val="22"/>
        </w:rPr>
        <w:t>Ius Puniendi</w:t>
      </w:r>
      <w:r w:rsidRPr="003F50C8">
        <w:rPr>
          <w:rFonts w:ascii="Bookman Old Style" w:hAnsi="Bookman Old Style"/>
          <w:bCs/>
          <w:sz w:val="22"/>
          <w:szCs w:val="22"/>
        </w:rPr>
        <w:t xml:space="preserve"> cuando no exista o ha fracasado cualquier otro modo de protección.</w:t>
      </w:r>
    </w:p>
    <w:p w14:paraId="76B1D9BA" w14:textId="77777777" w:rsidR="00BB4E37" w:rsidRPr="003F50C8" w:rsidRDefault="00BB4E37" w:rsidP="003F50C8">
      <w:pPr>
        <w:pStyle w:val="Prrafodelista"/>
        <w:ind w:left="360"/>
        <w:jc w:val="both"/>
        <w:rPr>
          <w:rFonts w:ascii="Bookman Old Style" w:hAnsi="Bookman Old Style"/>
          <w:bCs/>
          <w:sz w:val="22"/>
          <w:szCs w:val="22"/>
        </w:rPr>
      </w:pPr>
    </w:p>
    <w:p w14:paraId="1FFAB7D9" w14:textId="77777777" w:rsidR="00AD6252"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Las actividades de exploración y explotación de los recursos del subsuelo a través del</w:t>
      </w:r>
      <w:r w:rsidRPr="003F50C8">
        <w:rPr>
          <w:rFonts w:ascii="Bookman Old Style" w:hAnsi="Bookman Old Style"/>
          <w:bCs/>
          <w:i/>
          <w:sz w:val="22"/>
          <w:szCs w:val="22"/>
        </w:rPr>
        <w:t xml:space="preserve"> fracking</w:t>
      </w:r>
      <w:r w:rsidRPr="003F50C8">
        <w:rPr>
          <w:rFonts w:ascii="Bookman Old Style" w:hAnsi="Bookman Old Style"/>
          <w:bCs/>
          <w:sz w:val="22"/>
          <w:szCs w:val="22"/>
        </w:rPr>
        <w:t xml:space="preserve">, como se ha evidenciado en la presente exposición de motivos, tienen consecuencias nocivas en el ambiente, la supervivencia de las especies de la biodiversidad y los ecosistemas en que habitan, </w:t>
      </w:r>
      <w:r w:rsidR="00832267" w:rsidRPr="003F50C8">
        <w:rPr>
          <w:rFonts w:ascii="Bookman Old Style" w:hAnsi="Bookman Old Style"/>
          <w:bCs/>
          <w:sz w:val="22"/>
          <w:szCs w:val="22"/>
        </w:rPr>
        <w:t>contribuye a la crisis climática</w:t>
      </w:r>
      <w:r w:rsidRPr="003F50C8">
        <w:rPr>
          <w:rFonts w:ascii="Bookman Old Style" w:hAnsi="Bookman Old Style"/>
          <w:bCs/>
          <w:sz w:val="22"/>
          <w:szCs w:val="22"/>
        </w:rPr>
        <w:t xml:space="preserve"> y puede poner en p</w:t>
      </w:r>
      <w:r w:rsidR="00AD6252" w:rsidRPr="003F50C8">
        <w:rPr>
          <w:rFonts w:ascii="Bookman Old Style" w:hAnsi="Bookman Old Style"/>
          <w:bCs/>
          <w:sz w:val="22"/>
          <w:szCs w:val="22"/>
        </w:rPr>
        <w:t>eligro o riesgo la salud humana.</w:t>
      </w:r>
      <w:r w:rsidRPr="003F50C8">
        <w:rPr>
          <w:rFonts w:ascii="Bookman Old Style" w:hAnsi="Bookman Old Style"/>
          <w:bCs/>
          <w:sz w:val="22"/>
          <w:szCs w:val="22"/>
        </w:rPr>
        <w:t xml:space="preserve"> </w:t>
      </w:r>
    </w:p>
    <w:p w14:paraId="706BBC4C" w14:textId="77777777" w:rsidR="00AD6252" w:rsidRPr="003F50C8" w:rsidRDefault="00AD6252" w:rsidP="003F50C8">
      <w:pPr>
        <w:jc w:val="both"/>
        <w:rPr>
          <w:rFonts w:ascii="Bookman Old Style" w:hAnsi="Bookman Old Style"/>
          <w:bCs/>
          <w:sz w:val="22"/>
          <w:szCs w:val="22"/>
        </w:rPr>
      </w:pPr>
    </w:p>
    <w:p w14:paraId="70239FD9" w14:textId="77777777" w:rsidR="00BB4E37" w:rsidRPr="003F50C8" w:rsidRDefault="00AD6252" w:rsidP="003F50C8">
      <w:pPr>
        <w:jc w:val="both"/>
        <w:rPr>
          <w:rFonts w:ascii="Bookman Old Style" w:hAnsi="Bookman Old Style"/>
          <w:bCs/>
          <w:sz w:val="22"/>
          <w:szCs w:val="22"/>
        </w:rPr>
      </w:pPr>
      <w:r w:rsidRPr="003F50C8">
        <w:rPr>
          <w:rFonts w:ascii="Bookman Old Style" w:hAnsi="Bookman Old Style"/>
          <w:bCs/>
          <w:sz w:val="22"/>
          <w:szCs w:val="22"/>
        </w:rPr>
        <w:t xml:space="preserve">Razón por la cual, </w:t>
      </w:r>
      <w:r w:rsidR="00BB4E37" w:rsidRPr="003F50C8">
        <w:rPr>
          <w:rFonts w:ascii="Bookman Old Style" w:hAnsi="Bookman Old Style"/>
          <w:bCs/>
          <w:sz w:val="22"/>
          <w:szCs w:val="22"/>
        </w:rPr>
        <w:t>es menester que el Estado Colombiano, bajo el principio de precaución, evite por todos los medios a su alcance dicha conducta en el territorio nacional y disuada de manera efectiva a quienes podrían realizarla a través de la prevención general de la función de la pena.</w:t>
      </w:r>
    </w:p>
    <w:p w14:paraId="21B84BEF" w14:textId="77777777" w:rsidR="00BB4E37" w:rsidRPr="003F50C8" w:rsidRDefault="00BB4E37" w:rsidP="003F50C8">
      <w:pPr>
        <w:pStyle w:val="Prrafodelista"/>
        <w:ind w:left="360"/>
        <w:jc w:val="both"/>
        <w:rPr>
          <w:rFonts w:ascii="Bookman Old Style" w:hAnsi="Bookman Old Style"/>
          <w:bCs/>
          <w:sz w:val="22"/>
          <w:szCs w:val="22"/>
        </w:rPr>
      </w:pPr>
    </w:p>
    <w:p w14:paraId="3645CC4B" w14:textId="77777777" w:rsidR="0041745C"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Por todo lo anterior, es deber del congreso, en ejercicio de sus funciones constitucionales y legales, crear como tipo penal autónomo, el delito de </w:t>
      </w:r>
      <w:r w:rsidRPr="003F50C8">
        <w:rPr>
          <w:rFonts w:ascii="Bookman Old Style" w:hAnsi="Bookman Old Style"/>
          <w:bCs/>
          <w:i/>
          <w:sz w:val="22"/>
          <w:szCs w:val="22"/>
        </w:rPr>
        <w:t>fracking</w:t>
      </w:r>
      <w:r w:rsidRPr="003F50C8">
        <w:rPr>
          <w:rFonts w:ascii="Bookman Old Style" w:hAnsi="Bookman Old Style"/>
          <w:bCs/>
          <w:sz w:val="22"/>
          <w:szCs w:val="22"/>
        </w:rPr>
        <w:t xml:space="preserve"> y de esta man</w:t>
      </w:r>
      <w:r w:rsidR="00246E11" w:rsidRPr="003F50C8">
        <w:rPr>
          <w:rFonts w:ascii="Bookman Old Style" w:hAnsi="Bookman Old Style"/>
          <w:bCs/>
          <w:sz w:val="22"/>
          <w:szCs w:val="22"/>
        </w:rPr>
        <w:t xml:space="preserve">era evitar el daño al ambiente, </w:t>
      </w:r>
      <w:r w:rsidRPr="003F50C8">
        <w:rPr>
          <w:rFonts w:ascii="Bookman Old Style" w:hAnsi="Bookman Old Style"/>
          <w:bCs/>
          <w:sz w:val="22"/>
          <w:szCs w:val="22"/>
        </w:rPr>
        <w:t>y a los seres humanos.</w:t>
      </w:r>
    </w:p>
    <w:p w14:paraId="2EBB2320" w14:textId="77777777" w:rsidR="00BB4E37" w:rsidRPr="003F50C8" w:rsidRDefault="00BB4E37" w:rsidP="003F50C8">
      <w:pPr>
        <w:jc w:val="both"/>
        <w:rPr>
          <w:rFonts w:ascii="Bookman Old Style" w:hAnsi="Bookman Old Style"/>
          <w:b/>
          <w:bCs/>
          <w:color w:val="000000" w:themeColor="text1"/>
          <w:sz w:val="22"/>
          <w:szCs w:val="22"/>
        </w:rPr>
      </w:pPr>
    </w:p>
    <w:p w14:paraId="5C3F6036" w14:textId="77777777" w:rsidR="006A3355" w:rsidRPr="003F50C8" w:rsidRDefault="006A3355" w:rsidP="008C4CCD">
      <w:pPr>
        <w:pStyle w:val="Prrafodelista"/>
        <w:numPr>
          <w:ilvl w:val="0"/>
          <w:numId w:val="1"/>
        </w:numPr>
        <w:jc w:val="center"/>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COMPETENCIA DEL CONGRESO</w:t>
      </w:r>
    </w:p>
    <w:bookmarkEnd w:id="2"/>
    <w:p w14:paraId="065ACC71" w14:textId="77777777" w:rsidR="006A3355" w:rsidRPr="003F50C8" w:rsidRDefault="006A3355" w:rsidP="003F50C8">
      <w:pPr>
        <w:contextualSpacing/>
        <w:jc w:val="both"/>
        <w:rPr>
          <w:rFonts w:ascii="Bookman Old Style" w:hAnsi="Bookman Old Style"/>
          <w:color w:val="000000" w:themeColor="text1"/>
          <w:sz w:val="22"/>
          <w:szCs w:val="22"/>
        </w:rPr>
      </w:pPr>
    </w:p>
    <w:p w14:paraId="6461AFD7" w14:textId="77777777" w:rsidR="00E672E0" w:rsidRPr="003F50C8" w:rsidRDefault="005B6840" w:rsidP="008C4CCD">
      <w:pPr>
        <w:pStyle w:val="Prrafodelista"/>
        <w:numPr>
          <w:ilvl w:val="1"/>
          <w:numId w:val="1"/>
        </w:numPr>
        <w:ind w:left="284" w:hanging="284"/>
        <w:jc w:val="both"/>
        <w:rPr>
          <w:rFonts w:ascii="Bookman Old Style" w:hAnsi="Bookman Old Style"/>
          <w:b/>
          <w:color w:val="000000" w:themeColor="text1"/>
          <w:sz w:val="22"/>
          <w:szCs w:val="22"/>
          <w:u w:val="single"/>
        </w:rPr>
      </w:pPr>
      <w:r w:rsidRPr="003F50C8">
        <w:rPr>
          <w:rFonts w:ascii="Bookman Old Style" w:hAnsi="Bookman Old Style"/>
          <w:b/>
          <w:color w:val="000000" w:themeColor="text1"/>
          <w:sz w:val="22"/>
          <w:szCs w:val="22"/>
          <w:u w:val="single"/>
        </w:rPr>
        <w:t>CONSTITUCIONAL:</w:t>
      </w:r>
    </w:p>
    <w:p w14:paraId="12A3AC11" w14:textId="77777777" w:rsidR="00E672E0" w:rsidRPr="003F50C8" w:rsidRDefault="00E672E0" w:rsidP="003F50C8">
      <w:pPr>
        <w:jc w:val="both"/>
        <w:rPr>
          <w:rFonts w:ascii="Bookman Old Style" w:hAnsi="Bookman Old Style"/>
          <w:b/>
          <w:color w:val="000000" w:themeColor="text1"/>
          <w:sz w:val="22"/>
          <w:szCs w:val="22"/>
        </w:rPr>
      </w:pPr>
    </w:p>
    <w:p w14:paraId="2C0CBD4D"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r w:rsidRPr="003F50C8">
        <w:rPr>
          <w:rFonts w:ascii="Bookman Old Style" w:hAnsi="Bookman Old Style"/>
          <w:b/>
          <w:color w:val="000000" w:themeColor="text1"/>
          <w:sz w:val="22"/>
          <w:szCs w:val="22"/>
        </w:rPr>
        <w:t>ARTICULO 114</w:t>
      </w:r>
      <w:r w:rsidRPr="003F50C8">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14:paraId="7FC7047E"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p>
    <w:p w14:paraId="11044798"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El Congreso de la República, estará integrado por el Senado y la Cámara de Representantes</w:t>
      </w:r>
    </w:p>
    <w:p w14:paraId="6C3B4265"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p>
    <w:p w14:paraId="386F1507"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r w:rsidRPr="003F50C8">
        <w:rPr>
          <w:rFonts w:ascii="Bookman Old Style" w:hAnsi="Bookman Old Style"/>
          <w:b/>
          <w:color w:val="000000" w:themeColor="text1"/>
          <w:sz w:val="22"/>
          <w:szCs w:val="22"/>
        </w:rPr>
        <w:t>ARTICULO  150</w:t>
      </w:r>
      <w:r w:rsidRPr="003F50C8">
        <w:rPr>
          <w:rFonts w:ascii="Bookman Old Style" w:hAnsi="Bookman Old Style"/>
          <w:color w:val="000000" w:themeColor="text1"/>
          <w:sz w:val="22"/>
          <w:szCs w:val="22"/>
        </w:rPr>
        <w:t>. Corresponde al Congreso hacer las leyes. Por medio de ellas ejerce las siguientes funciones:</w:t>
      </w:r>
    </w:p>
    <w:p w14:paraId="18867C98" w14:textId="77777777" w:rsidR="00E672E0" w:rsidRPr="003F50C8" w:rsidRDefault="00E672E0" w:rsidP="008C4CCD">
      <w:pPr>
        <w:ind w:left="851" w:right="616"/>
        <w:contextualSpacing/>
        <w:jc w:val="both"/>
        <w:rPr>
          <w:rFonts w:ascii="Bookman Old Style" w:hAnsi="Bookman Old Style"/>
          <w:color w:val="000000" w:themeColor="text1"/>
          <w:sz w:val="22"/>
          <w:szCs w:val="22"/>
        </w:rPr>
      </w:pPr>
    </w:p>
    <w:p w14:paraId="7A669EE5" w14:textId="77777777" w:rsidR="00016C24" w:rsidRPr="003F50C8" w:rsidRDefault="00E672E0" w:rsidP="003B3170">
      <w:pPr>
        <w:pStyle w:val="Prrafodelista"/>
        <w:numPr>
          <w:ilvl w:val="0"/>
          <w:numId w:val="2"/>
        </w:numPr>
        <w:ind w:left="1276" w:right="616"/>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Interpretar, reformar y derogar las leyes.</w:t>
      </w:r>
      <w:r w:rsidR="00016C24" w:rsidRPr="003F50C8">
        <w:rPr>
          <w:sz w:val="22"/>
          <w:szCs w:val="22"/>
        </w:rPr>
        <w:t xml:space="preserve"> </w:t>
      </w:r>
    </w:p>
    <w:p w14:paraId="4DEAA290" w14:textId="77777777" w:rsidR="00016C24" w:rsidRPr="003F50C8" w:rsidRDefault="00016C24" w:rsidP="008C4CCD">
      <w:pPr>
        <w:pStyle w:val="Prrafodelista"/>
        <w:ind w:left="1276" w:right="616"/>
        <w:jc w:val="both"/>
        <w:rPr>
          <w:rFonts w:ascii="Bookman Old Style" w:hAnsi="Bookman Old Style"/>
          <w:color w:val="000000" w:themeColor="text1"/>
          <w:sz w:val="22"/>
          <w:szCs w:val="22"/>
        </w:rPr>
      </w:pPr>
    </w:p>
    <w:p w14:paraId="3D6B5364" w14:textId="77777777" w:rsidR="00E672E0" w:rsidRPr="003F50C8" w:rsidRDefault="005B6840" w:rsidP="008C4CCD">
      <w:pPr>
        <w:pStyle w:val="Prrafodelista"/>
        <w:numPr>
          <w:ilvl w:val="1"/>
          <w:numId w:val="1"/>
        </w:numPr>
        <w:ind w:left="284" w:hanging="284"/>
        <w:jc w:val="both"/>
        <w:rPr>
          <w:rFonts w:ascii="Bookman Old Style" w:hAnsi="Bookman Old Style"/>
          <w:b/>
          <w:color w:val="000000" w:themeColor="text1"/>
          <w:sz w:val="22"/>
          <w:szCs w:val="22"/>
          <w:u w:val="single"/>
        </w:rPr>
      </w:pPr>
      <w:r w:rsidRPr="003F50C8">
        <w:rPr>
          <w:rFonts w:ascii="Bookman Old Style" w:hAnsi="Bookman Old Style"/>
          <w:b/>
          <w:color w:val="000000" w:themeColor="text1"/>
          <w:sz w:val="22"/>
          <w:szCs w:val="22"/>
          <w:u w:val="single"/>
        </w:rPr>
        <w:t xml:space="preserve">LEGAL: </w:t>
      </w:r>
    </w:p>
    <w:p w14:paraId="596AFE71" w14:textId="77777777" w:rsidR="00E672E0" w:rsidRPr="003F50C8" w:rsidRDefault="00E672E0" w:rsidP="003F50C8">
      <w:pPr>
        <w:contextualSpacing/>
        <w:jc w:val="both"/>
        <w:rPr>
          <w:rFonts w:ascii="Bookman Old Style" w:hAnsi="Bookman Old Style"/>
          <w:color w:val="000000" w:themeColor="text1"/>
          <w:sz w:val="22"/>
          <w:szCs w:val="22"/>
        </w:rPr>
      </w:pPr>
    </w:p>
    <w:p w14:paraId="78B00A17" w14:textId="77777777" w:rsidR="00016C24" w:rsidRPr="003F50C8" w:rsidRDefault="00016C24" w:rsidP="008C4CCD">
      <w:pPr>
        <w:ind w:left="851" w:right="616"/>
        <w:jc w:val="both"/>
        <w:rPr>
          <w:rFonts w:ascii="Bookman Old Style" w:hAnsi="Bookman Old Style" w:cs="Arial"/>
          <w:b/>
          <w:sz w:val="22"/>
          <w:szCs w:val="22"/>
          <w:lang w:eastAsia="es-ES"/>
        </w:rPr>
      </w:pPr>
      <w:r w:rsidRPr="003F50C8">
        <w:rPr>
          <w:rFonts w:ascii="Bookman Old Style" w:hAnsi="Bookman Old Style"/>
          <w:b/>
          <w:color w:val="000000" w:themeColor="text1"/>
          <w:sz w:val="22"/>
          <w:szCs w:val="22"/>
        </w:rPr>
        <w:t>LEY 3 DE 1992.</w:t>
      </w:r>
      <w:r w:rsidRPr="003F50C8">
        <w:rPr>
          <w:rFonts w:ascii="Bookman Old Style" w:hAnsi="Bookman Old Style" w:cs="Arial"/>
          <w:b/>
          <w:sz w:val="22"/>
          <w:szCs w:val="22"/>
          <w:lang w:eastAsia="es-ES"/>
        </w:rPr>
        <w:t xml:space="preserve"> </w:t>
      </w:r>
      <w:r w:rsidR="00F219B7" w:rsidRPr="003F50C8">
        <w:rPr>
          <w:rFonts w:ascii="Bookman Old Style" w:hAnsi="Bookman Old Style" w:cs="Arial"/>
          <w:b/>
          <w:sz w:val="22"/>
          <w:szCs w:val="22"/>
          <w:lang w:eastAsia="es-ES"/>
        </w:rPr>
        <w:t>Por la cual se expiden normas sobre las comisiones del Congreso de Colombia y se dictan otras disposiciones</w:t>
      </w:r>
      <w:r w:rsidRPr="003F50C8">
        <w:rPr>
          <w:rFonts w:ascii="Bookman Old Style" w:hAnsi="Bookman Old Style" w:cs="Arial"/>
          <w:b/>
          <w:sz w:val="22"/>
          <w:szCs w:val="22"/>
          <w:lang w:eastAsia="es-ES"/>
        </w:rPr>
        <w:t>.</w:t>
      </w:r>
    </w:p>
    <w:p w14:paraId="14801AC8" w14:textId="77777777" w:rsidR="00E672E0" w:rsidRPr="003F50C8" w:rsidRDefault="00E672E0" w:rsidP="008C4CCD">
      <w:pPr>
        <w:ind w:left="851" w:right="616"/>
        <w:jc w:val="both"/>
        <w:rPr>
          <w:rFonts w:ascii="Bookman Old Style" w:hAnsi="Bookman Old Style"/>
          <w:b/>
          <w:color w:val="000000" w:themeColor="text1"/>
          <w:sz w:val="22"/>
          <w:szCs w:val="22"/>
        </w:rPr>
      </w:pPr>
    </w:p>
    <w:p w14:paraId="1190190A" w14:textId="77777777" w:rsidR="00016C24" w:rsidRPr="003F50C8" w:rsidRDefault="00016C24" w:rsidP="008C4CCD">
      <w:pPr>
        <w:ind w:left="851" w:right="616"/>
        <w:jc w:val="both"/>
        <w:rPr>
          <w:rFonts w:ascii="Bookman Old Style" w:hAnsi="Bookman Old Style"/>
          <w:i/>
          <w:color w:val="000000" w:themeColor="text1"/>
          <w:sz w:val="22"/>
          <w:szCs w:val="22"/>
        </w:rPr>
      </w:pPr>
      <w:r w:rsidRPr="003F50C8">
        <w:rPr>
          <w:rFonts w:ascii="Bookman Old Style" w:hAnsi="Bookman Old Style"/>
          <w:b/>
          <w:i/>
          <w:color w:val="000000" w:themeColor="text1"/>
          <w:sz w:val="22"/>
          <w:szCs w:val="22"/>
        </w:rPr>
        <w:t xml:space="preserve">ARTÍCULO 2º </w:t>
      </w:r>
      <w:r w:rsidRPr="003F50C8">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601D58D1" w14:textId="77777777" w:rsidR="00016C24" w:rsidRPr="003F50C8" w:rsidRDefault="00016C24" w:rsidP="008C4CCD">
      <w:pPr>
        <w:ind w:left="851" w:right="616"/>
        <w:jc w:val="both"/>
        <w:rPr>
          <w:rFonts w:ascii="Bookman Old Style" w:hAnsi="Bookman Old Style"/>
          <w:i/>
          <w:color w:val="000000" w:themeColor="text1"/>
          <w:sz w:val="22"/>
          <w:szCs w:val="22"/>
        </w:rPr>
      </w:pPr>
    </w:p>
    <w:p w14:paraId="60E52F01" w14:textId="77777777" w:rsidR="004E711D" w:rsidRPr="003F50C8" w:rsidRDefault="00016C24"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Las Comisiones Constitucionales Permanentes en cada una de las Cámaras serán siete (7) a saber:</w:t>
      </w:r>
    </w:p>
    <w:p w14:paraId="5349147A" w14:textId="77777777" w:rsidR="004E711D" w:rsidRPr="003F50C8" w:rsidRDefault="004E711D" w:rsidP="008C4CCD">
      <w:pPr>
        <w:ind w:left="851" w:right="616"/>
        <w:jc w:val="both"/>
        <w:rPr>
          <w:rFonts w:ascii="Bookman Old Style" w:hAnsi="Bookman Old Style"/>
          <w:i/>
          <w:color w:val="000000" w:themeColor="text1"/>
          <w:sz w:val="22"/>
          <w:szCs w:val="22"/>
        </w:rPr>
      </w:pPr>
    </w:p>
    <w:p w14:paraId="35A3615D" w14:textId="77777777" w:rsidR="00016C24" w:rsidRPr="003F50C8" w:rsidRDefault="004E711D"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Comisión Primera</w:t>
      </w:r>
      <w:r w:rsidR="00016C24" w:rsidRPr="003F50C8">
        <w:rPr>
          <w:rFonts w:ascii="Bookman Old Style" w:hAnsi="Bookman Old Style"/>
          <w:i/>
          <w:color w:val="000000" w:themeColor="text1"/>
          <w:sz w:val="22"/>
          <w:szCs w:val="22"/>
        </w:rPr>
        <w:t>.</w:t>
      </w:r>
    </w:p>
    <w:p w14:paraId="57DB0CD8" w14:textId="77777777" w:rsidR="004E711D" w:rsidRPr="003F50C8" w:rsidRDefault="004E711D" w:rsidP="008C4CCD">
      <w:pPr>
        <w:ind w:left="851" w:right="616"/>
        <w:jc w:val="both"/>
        <w:rPr>
          <w:rFonts w:ascii="Bookman Old Style" w:hAnsi="Bookman Old Style"/>
          <w:i/>
          <w:color w:val="000000" w:themeColor="text1"/>
          <w:sz w:val="22"/>
          <w:szCs w:val="22"/>
        </w:rPr>
      </w:pPr>
    </w:p>
    <w:p w14:paraId="09888F11" w14:textId="77777777" w:rsidR="00016C24" w:rsidRPr="003F50C8" w:rsidRDefault="004E711D"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3F50C8">
        <w:rPr>
          <w:rFonts w:ascii="Bookman Old Style" w:hAnsi="Bookman Old Style"/>
          <w:i/>
          <w:color w:val="000000" w:themeColor="text1"/>
          <w:sz w:val="22"/>
          <w:szCs w:val="22"/>
          <w:u w:val="single"/>
        </w:rPr>
        <w:t>de los derechos, las garantías y los deberes</w:t>
      </w:r>
      <w:r w:rsidRPr="003F50C8">
        <w:rPr>
          <w:rFonts w:ascii="Bookman Old Style" w:hAnsi="Bookman Old Style"/>
          <w:i/>
          <w:color w:val="000000" w:themeColor="text1"/>
          <w:sz w:val="22"/>
          <w:szCs w:val="22"/>
        </w:rPr>
        <w:t>; rama legislativa; estrategias y políticas para la paz; propiedad intelectual; variación de la residencia de los altos poderes nacionales; asuntos étnicos.</w:t>
      </w:r>
      <w:r w:rsidR="00016C24" w:rsidRPr="003F50C8">
        <w:rPr>
          <w:rFonts w:ascii="Bookman Old Style" w:hAnsi="Bookman Old Style"/>
          <w:i/>
          <w:color w:val="000000" w:themeColor="text1"/>
          <w:sz w:val="22"/>
          <w:szCs w:val="22"/>
        </w:rPr>
        <w:t xml:space="preserve"> </w:t>
      </w:r>
      <w:r w:rsidR="00016C24" w:rsidRPr="003F50C8">
        <w:rPr>
          <w:rFonts w:ascii="Bookman Old Style" w:hAnsi="Bookman Old Style"/>
          <w:color w:val="000000" w:themeColor="text1"/>
          <w:sz w:val="22"/>
          <w:szCs w:val="22"/>
        </w:rPr>
        <w:t>(Subrayado por fuera del texto).</w:t>
      </w:r>
      <w:r w:rsidR="00092744" w:rsidRPr="003F50C8">
        <w:rPr>
          <w:rFonts w:ascii="Bookman Old Style" w:hAnsi="Bookman Old Style"/>
          <w:color w:val="000000" w:themeColor="text1"/>
          <w:sz w:val="22"/>
          <w:szCs w:val="22"/>
        </w:rPr>
        <w:t xml:space="preserve"> </w:t>
      </w:r>
    </w:p>
    <w:p w14:paraId="56E5356C" w14:textId="77777777" w:rsidR="00016C24" w:rsidRPr="003F50C8" w:rsidRDefault="00016C24" w:rsidP="008C4CCD">
      <w:pPr>
        <w:ind w:left="851" w:right="616"/>
        <w:jc w:val="both"/>
        <w:rPr>
          <w:rFonts w:ascii="Bookman Old Style" w:hAnsi="Bookman Old Style"/>
          <w:b/>
          <w:color w:val="000000" w:themeColor="text1"/>
          <w:sz w:val="22"/>
          <w:szCs w:val="22"/>
        </w:rPr>
      </w:pPr>
    </w:p>
    <w:p w14:paraId="323F5D8E" w14:textId="77777777" w:rsidR="00016C24" w:rsidRPr="003F50C8" w:rsidRDefault="00016C24" w:rsidP="008C4CCD">
      <w:pPr>
        <w:ind w:left="851" w:right="616"/>
        <w:jc w:val="both"/>
        <w:rPr>
          <w:rFonts w:ascii="Bookman Old Style" w:hAnsi="Bookman Old Style"/>
          <w:b/>
          <w:color w:val="000000" w:themeColor="text1"/>
          <w:sz w:val="22"/>
          <w:szCs w:val="22"/>
        </w:rPr>
      </w:pPr>
      <w:r w:rsidRPr="003F50C8">
        <w:rPr>
          <w:rFonts w:ascii="Bookman Old Style" w:hAnsi="Bookman Old Style"/>
          <w:b/>
          <w:color w:val="000000" w:themeColor="text1"/>
          <w:sz w:val="22"/>
          <w:szCs w:val="22"/>
        </w:rPr>
        <w:t>LEY 5 DE 1992.</w:t>
      </w:r>
      <w:r w:rsidRPr="003F50C8">
        <w:rPr>
          <w:sz w:val="22"/>
          <w:szCs w:val="22"/>
        </w:rPr>
        <w:t xml:space="preserve"> </w:t>
      </w:r>
      <w:r w:rsidR="00F219B7" w:rsidRPr="003F50C8">
        <w:rPr>
          <w:rFonts w:ascii="Bookman Old Style" w:hAnsi="Bookman Old Style"/>
          <w:b/>
          <w:color w:val="000000" w:themeColor="text1"/>
          <w:sz w:val="22"/>
          <w:szCs w:val="22"/>
        </w:rPr>
        <w:t>Por la cu</w:t>
      </w:r>
      <w:r w:rsidR="00985D44" w:rsidRPr="003F50C8">
        <w:rPr>
          <w:rFonts w:ascii="Bookman Old Style" w:hAnsi="Bookman Old Style"/>
          <w:b/>
          <w:color w:val="000000" w:themeColor="text1"/>
          <w:sz w:val="22"/>
          <w:szCs w:val="22"/>
        </w:rPr>
        <w:t>al se expide el reglamento del Congreso; el Senado y la Cámara de R</w:t>
      </w:r>
      <w:r w:rsidR="00F219B7" w:rsidRPr="003F50C8">
        <w:rPr>
          <w:rFonts w:ascii="Bookman Old Style" w:hAnsi="Bookman Old Style"/>
          <w:b/>
          <w:color w:val="000000" w:themeColor="text1"/>
          <w:sz w:val="22"/>
          <w:szCs w:val="22"/>
        </w:rPr>
        <w:t>epresentantes</w:t>
      </w:r>
    </w:p>
    <w:p w14:paraId="43F4EAF3" w14:textId="77777777" w:rsidR="00016C24" w:rsidRPr="003F50C8" w:rsidRDefault="00016C24" w:rsidP="008C4CCD">
      <w:pPr>
        <w:ind w:left="851" w:right="616"/>
        <w:jc w:val="both"/>
        <w:rPr>
          <w:rFonts w:ascii="Bookman Old Style" w:hAnsi="Bookman Old Style"/>
          <w:b/>
          <w:color w:val="000000" w:themeColor="text1"/>
          <w:sz w:val="22"/>
          <w:szCs w:val="22"/>
        </w:rPr>
      </w:pPr>
    </w:p>
    <w:p w14:paraId="25E6485E" w14:textId="77777777" w:rsidR="00EF3E15" w:rsidRPr="003F50C8" w:rsidRDefault="00EF3E15" w:rsidP="008C4CCD">
      <w:pPr>
        <w:ind w:left="851" w:right="616"/>
        <w:jc w:val="both"/>
        <w:rPr>
          <w:rFonts w:ascii="Bookman Old Style" w:hAnsi="Bookman Old Style"/>
          <w:i/>
          <w:color w:val="000000" w:themeColor="text1"/>
          <w:sz w:val="22"/>
          <w:szCs w:val="22"/>
        </w:rPr>
      </w:pPr>
      <w:r w:rsidRPr="003F50C8">
        <w:rPr>
          <w:rFonts w:ascii="Bookman Old Style" w:hAnsi="Bookman Old Style"/>
          <w:b/>
          <w:i/>
          <w:color w:val="000000" w:themeColor="text1"/>
          <w:sz w:val="22"/>
          <w:szCs w:val="22"/>
        </w:rPr>
        <w:t xml:space="preserve">ARTICULO 6o. </w:t>
      </w:r>
      <w:r w:rsidRPr="003F50C8">
        <w:rPr>
          <w:rFonts w:ascii="Bookman Old Style" w:hAnsi="Bookman Old Style"/>
          <w:i/>
          <w:caps/>
          <w:color w:val="000000" w:themeColor="text1"/>
          <w:sz w:val="22"/>
          <w:szCs w:val="22"/>
        </w:rPr>
        <w:t>Clases de funciones del Congreso</w:t>
      </w:r>
      <w:r w:rsidRPr="003F50C8">
        <w:rPr>
          <w:rFonts w:ascii="Bookman Old Style" w:hAnsi="Bookman Old Style"/>
          <w:i/>
          <w:color w:val="000000" w:themeColor="text1"/>
          <w:sz w:val="22"/>
          <w:szCs w:val="22"/>
        </w:rPr>
        <w:t>. El Congreso de la República cumple:</w:t>
      </w:r>
    </w:p>
    <w:p w14:paraId="0E72FAB2" w14:textId="77777777" w:rsidR="00EF3E15" w:rsidRPr="003F50C8" w:rsidRDefault="00EF3E15" w:rsidP="008C4CCD">
      <w:pPr>
        <w:ind w:left="851" w:right="616"/>
        <w:jc w:val="both"/>
        <w:rPr>
          <w:rFonts w:ascii="Bookman Old Style" w:hAnsi="Bookman Old Style"/>
          <w:i/>
          <w:color w:val="000000" w:themeColor="text1"/>
          <w:sz w:val="22"/>
          <w:szCs w:val="22"/>
        </w:rPr>
      </w:pPr>
    </w:p>
    <w:p w14:paraId="6C082925" w14:textId="77777777" w:rsidR="00EF3E15" w:rsidRPr="003F50C8" w:rsidRDefault="00EF3E15"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w:t>
      </w:r>
    </w:p>
    <w:p w14:paraId="101F7046" w14:textId="77777777" w:rsidR="00EF3E15" w:rsidRPr="003F50C8" w:rsidRDefault="00EF3E15"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2. Función legislativa, para elaborar, interpretar, reformar y derogar las leyes y códigos en todos los ramos de la legislación.</w:t>
      </w:r>
    </w:p>
    <w:p w14:paraId="2122DC69" w14:textId="77777777" w:rsidR="00EF3E15" w:rsidRPr="003F50C8" w:rsidRDefault="00EF3E15" w:rsidP="008C4CCD">
      <w:pPr>
        <w:ind w:left="851" w:right="616"/>
        <w:jc w:val="both"/>
        <w:rPr>
          <w:rFonts w:ascii="Bookman Old Style" w:hAnsi="Bookman Old Style"/>
          <w:b/>
          <w:i/>
          <w:color w:val="000000" w:themeColor="text1"/>
          <w:sz w:val="22"/>
          <w:szCs w:val="22"/>
        </w:rPr>
      </w:pPr>
    </w:p>
    <w:p w14:paraId="516E7DB6" w14:textId="77777777" w:rsidR="00F677ED" w:rsidRPr="003F50C8" w:rsidRDefault="00F677ED" w:rsidP="008C4CCD">
      <w:pPr>
        <w:ind w:left="851" w:right="616"/>
        <w:jc w:val="both"/>
        <w:rPr>
          <w:rFonts w:ascii="Bookman Old Style" w:hAnsi="Bookman Old Style"/>
          <w:i/>
          <w:color w:val="000000" w:themeColor="text1"/>
          <w:sz w:val="22"/>
          <w:szCs w:val="22"/>
        </w:rPr>
      </w:pPr>
      <w:r w:rsidRPr="003F50C8">
        <w:rPr>
          <w:rFonts w:ascii="Bookman Old Style" w:hAnsi="Bookman Old Style"/>
          <w:b/>
          <w:i/>
          <w:caps/>
          <w:color w:val="000000" w:themeColor="text1"/>
          <w:sz w:val="22"/>
          <w:szCs w:val="22"/>
        </w:rPr>
        <w:t xml:space="preserve">ARTICULO 139. </w:t>
      </w:r>
      <w:r w:rsidRPr="003F50C8">
        <w:rPr>
          <w:rFonts w:ascii="Bookman Old Style" w:hAnsi="Bookman Old Style"/>
          <w:i/>
          <w:caps/>
          <w:color w:val="000000" w:themeColor="text1"/>
          <w:sz w:val="22"/>
          <w:szCs w:val="22"/>
        </w:rPr>
        <w:t xml:space="preserve">Presentación de proyectos. </w:t>
      </w:r>
      <w:r w:rsidRPr="003F50C8">
        <w:rPr>
          <w:rFonts w:ascii="Bookman Old Style" w:hAnsi="Bookman Old Style"/>
          <w:i/>
          <w:color w:val="000000" w:themeColor="text1"/>
          <w:sz w:val="22"/>
          <w:szCs w:val="22"/>
        </w:rPr>
        <w:t>Los proyectos de ley podrán presentarse en la Secretaría General de las Cámaras o en sus plenarias.</w:t>
      </w:r>
    </w:p>
    <w:p w14:paraId="16D99998" w14:textId="77777777" w:rsidR="00F677ED" w:rsidRPr="003F50C8" w:rsidRDefault="00F677ED" w:rsidP="008C4CCD">
      <w:pPr>
        <w:ind w:left="851" w:right="616"/>
        <w:jc w:val="both"/>
        <w:rPr>
          <w:rFonts w:ascii="Bookman Old Style" w:hAnsi="Bookman Old Style"/>
          <w:b/>
          <w:i/>
          <w:caps/>
          <w:color w:val="000000" w:themeColor="text1"/>
          <w:sz w:val="22"/>
          <w:szCs w:val="22"/>
        </w:rPr>
      </w:pPr>
    </w:p>
    <w:p w14:paraId="34E613F7" w14:textId="77777777" w:rsidR="00D90E69" w:rsidRPr="003F50C8" w:rsidRDefault="00D90E69" w:rsidP="008C4CCD">
      <w:pPr>
        <w:ind w:left="851" w:right="616"/>
        <w:jc w:val="both"/>
        <w:rPr>
          <w:rFonts w:ascii="Bookman Old Style" w:hAnsi="Bookman Old Style"/>
          <w:i/>
          <w:color w:val="000000" w:themeColor="text1"/>
          <w:sz w:val="22"/>
          <w:szCs w:val="22"/>
        </w:rPr>
      </w:pPr>
      <w:r w:rsidRPr="003F50C8">
        <w:rPr>
          <w:rFonts w:ascii="Bookman Old Style" w:hAnsi="Bookman Old Style"/>
          <w:b/>
          <w:i/>
          <w:caps/>
          <w:color w:val="000000" w:themeColor="text1"/>
          <w:sz w:val="22"/>
          <w:szCs w:val="22"/>
        </w:rPr>
        <w:t xml:space="preserve">Artículo 140. </w:t>
      </w:r>
      <w:r w:rsidRPr="003F50C8">
        <w:rPr>
          <w:rFonts w:ascii="Bookman Old Style" w:hAnsi="Bookman Old Style"/>
          <w:i/>
          <w:caps/>
          <w:color w:val="000000" w:themeColor="text1"/>
          <w:sz w:val="22"/>
          <w:szCs w:val="22"/>
        </w:rPr>
        <w:t>Iniciativa legislativa.</w:t>
      </w:r>
      <w:r w:rsidRPr="003F50C8">
        <w:rPr>
          <w:rFonts w:ascii="Bookman Old Style" w:hAnsi="Bookman Old Style"/>
          <w:i/>
          <w:color w:val="000000" w:themeColor="text1"/>
          <w:sz w:val="22"/>
          <w:szCs w:val="22"/>
        </w:rPr>
        <w:t xml:space="preserve"> Pueden presentar proyectos de ley:</w:t>
      </w:r>
    </w:p>
    <w:p w14:paraId="7998C9F6" w14:textId="77777777" w:rsidR="00D90E69" w:rsidRPr="003F50C8" w:rsidRDefault="00D90E69" w:rsidP="008C4CCD">
      <w:pPr>
        <w:ind w:left="851" w:right="616"/>
        <w:jc w:val="both"/>
        <w:rPr>
          <w:rFonts w:ascii="Bookman Old Style" w:hAnsi="Bookman Old Style"/>
          <w:i/>
          <w:color w:val="000000" w:themeColor="text1"/>
          <w:sz w:val="22"/>
          <w:szCs w:val="22"/>
        </w:rPr>
      </w:pPr>
    </w:p>
    <w:p w14:paraId="7588DD66" w14:textId="77777777" w:rsidR="00D90E69" w:rsidRPr="003F50C8" w:rsidRDefault="00D90E69" w:rsidP="008C4CCD">
      <w:pPr>
        <w:ind w:left="851" w:right="616"/>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1. Los Senadores y Representantes a la Cámara individualmente y a través de las bancadas.</w:t>
      </w:r>
    </w:p>
    <w:p w14:paraId="1EA275C9" w14:textId="77777777" w:rsidR="00D90E69" w:rsidRPr="003F50C8" w:rsidRDefault="00D90E69" w:rsidP="003F50C8">
      <w:pPr>
        <w:jc w:val="both"/>
        <w:rPr>
          <w:rFonts w:ascii="Bookman Old Style" w:hAnsi="Bookman Old Style"/>
          <w:b/>
          <w:i/>
          <w:color w:val="000000" w:themeColor="text1"/>
          <w:sz w:val="22"/>
          <w:szCs w:val="22"/>
        </w:rPr>
      </w:pPr>
    </w:p>
    <w:p w14:paraId="598D70DE" w14:textId="77777777" w:rsidR="00AD6252" w:rsidRPr="003F50C8" w:rsidRDefault="00AD6252" w:rsidP="005E3ECD">
      <w:pPr>
        <w:pStyle w:val="Prrafodelista"/>
        <w:numPr>
          <w:ilvl w:val="0"/>
          <w:numId w:val="1"/>
        </w:numPr>
        <w:jc w:val="center"/>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CO</w:t>
      </w:r>
      <w:r w:rsidR="00F36D92" w:rsidRPr="003F50C8">
        <w:rPr>
          <w:rFonts w:ascii="Bookman Old Style" w:hAnsi="Bookman Old Style"/>
          <w:b/>
          <w:bCs/>
          <w:color w:val="000000" w:themeColor="text1"/>
          <w:sz w:val="22"/>
          <w:szCs w:val="22"/>
        </w:rPr>
        <w:t>NFLICTO DE INTERÉS</w:t>
      </w:r>
    </w:p>
    <w:p w14:paraId="222FCE1D" w14:textId="77777777" w:rsidR="00AD6252" w:rsidRPr="003F50C8" w:rsidRDefault="00AD6252" w:rsidP="003F50C8">
      <w:pPr>
        <w:jc w:val="both"/>
        <w:rPr>
          <w:rFonts w:ascii="Bookman Old Style" w:hAnsi="Bookman Old Style"/>
          <w:b/>
          <w:i/>
          <w:color w:val="000000" w:themeColor="text1"/>
          <w:sz w:val="22"/>
          <w:szCs w:val="22"/>
        </w:rPr>
      </w:pPr>
    </w:p>
    <w:p w14:paraId="1F0303BB" w14:textId="77777777" w:rsidR="00F36D92" w:rsidRPr="003F50C8" w:rsidRDefault="009B075B"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Dando alcance a</w:t>
      </w:r>
      <w:r w:rsidR="00F36D92" w:rsidRPr="003F50C8">
        <w:rPr>
          <w:rFonts w:ascii="Bookman Old Style" w:hAnsi="Bookman Old Style" w:cs="Arial"/>
          <w:bCs/>
          <w:sz w:val="22"/>
          <w:szCs w:val="22"/>
          <w:shd w:val="clear" w:color="auto" w:fill="FFFFFF"/>
        </w:rPr>
        <w:t xml:space="preserve"> lo establecido en el artículo 3 de la Ley 2003 de 2019, “</w:t>
      </w:r>
      <w:r w:rsidR="00F36D92" w:rsidRPr="003F50C8">
        <w:rPr>
          <w:rFonts w:ascii="Bookman Old Style" w:hAnsi="Bookman Old Style" w:cs="Arial"/>
          <w:bCs/>
          <w:i/>
          <w:sz w:val="22"/>
          <w:szCs w:val="22"/>
          <w:shd w:val="clear" w:color="auto" w:fill="FFFFFF"/>
        </w:rPr>
        <w:t>Por la cual se modifica parcialmente la Ley 5 de 1992</w:t>
      </w:r>
      <w:r w:rsidR="00F36D92" w:rsidRPr="003F50C8">
        <w:rPr>
          <w:rFonts w:ascii="Bookman Old Style" w:hAnsi="Bookman Old Style" w:cs="Arial"/>
          <w:bCs/>
          <w:sz w:val="22"/>
          <w:szCs w:val="22"/>
          <w:shd w:val="clear" w:color="auto" w:fill="FFFFFF"/>
        </w:rPr>
        <w:t>”, se hacen las siguientes consideraciones</w:t>
      </w:r>
      <w:r w:rsidRPr="003F50C8">
        <w:rPr>
          <w:rFonts w:ascii="Bookman Old Style" w:hAnsi="Bookman Old Style" w:cs="Arial"/>
          <w:bCs/>
          <w:sz w:val="22"/>
          <w:szCs w:val="22"/>
          <w:shd w:val="clear" w:color="auto" w:fill="FFFFFF"/>
        </w:rPr>
        <w:t xml:space="preserve"> a fin de describir la circunstancias o eventos que podrían generar conflicto de interés en la discusión y votación de la presente iniciativa legislativa</w:t>
      </w:r>
      <w:r w:rsidR="005349D2" w:rsidRPr="003F50C8">
        <w:rPr>
          <w:rFonts w:ascii="Bookman Old Style" w:hAnsi="Bookman Old Style" w:cs="Arial"/>
          <w:bCs/>
          <w:sz w:val="22"/>
          <w:szCs w:val="22"/>
          <w:shd w:val="clear" w:color="auto" w:fill="FFFFFF"/>
        </w:rPr>
        <w:t xml:space="preserve">, de conformidad con el </w:t>
      </w:r>
      <w:r w:rsidR="00F36D92" w:rsidRPr="003F50C8">
        <w:rPr>
          <w:rFonts w:ascii="Bookman Old Style" w:hAnsi="Bookman Old Style" w:cs="Arial"/>
          <w:bCs/>
          <w:sz w:val="22"/>
          <w:szCs w:val="22"/>
          <w:shd w:val="clear" w:color="auto" w:fill="FFFFFF"/>
        </w:rPr>
        <w:t xml:space="preserve">artículo 286 de la Ley 5 de 1992, modificado por el artículo 1 de la Ley 2003 de 2019, </w:t>
      </w:r>
      <w:r w:rsidR="005349D2" w:rsidRPr="003F50C8">
        <w:rPr>
          <w:rFonts w:ascii="Bookman Old Style" w:hAnsi="Bookman Old Style" w:cs="Arial"/>
          <w:bCs/>
          <w:sz w:val="22"/>
          <w:szCs w:val="22"/>
          <w:shd w:val="clear" w:color="auto" w:fill="FFFFFF"/>
        </w:rPr>
        <w:t xml:space="preserve">que </w:t>
      </w:r>
      <w:r w:rsidR="00F36D92" w:rsidRPr="003F50C8">
        <w:rPr>
          <w:rFonts w:ascii="Bookman Old Style" w:hAnsi="Bookman Old Style" w:cs="Arial"/>
          <w:bCs/>
          <w:sz w:val="22"/>
          <w:szCs w:val="22"/>
          <w:shd w:val="clear" w:color="auto" w:fill="FFFFFF"/>
        </w:rPr>
        <w:t xml:space="preserve">reza: </w:t>
      </w:r>
    </w:p>
    <w:p w14:paraId="51B2E490" w14:textId="77777777" w:rsidR="00B82EBF" w:rsidRPr="003F50C8" w:rsidRDefault="00B82EBF" w:rsidP="003F50C8">
      <w:pPr>
        <w:jc w:val="both"/>
        <w:rPr>
          <w:rFonts w:ascii="Bookman Old Style" w:hAnsi="Bookman Old Style" w:cs="Arial"/>
          <w:bCs/>
          <w:sz w:val="22"/>
          <w:szCs w:val="22"/>
          <w:shd w:val="clear" w:color="auto" w:fill="FFFFFF"/>
        </w:rPr>
      </w:pPr>
    </w:p>
    <w:p w14:paraId="56F75B07" w14:textId="77777777" w:rsidR="00F36D92" w:rsidRPr="003F50C8" w:rsidRDefault="00F36D92" w:rsidP="003F50C8">
      <w:pPr>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w:t>
      </w:r>
      <w:r w:rsidRPr="003F50C8">
        <w:rPr>
          <w:rFonts w:ascii="Bookman Old Style" w:hAnsi="Bookman Old Style" w:cs="Arial"/>
          <w:b/>
          <w:bCs/>
          <w:i/>
          <w:iCs/>
          <w:sz w:val="22"/>
          <w:szCs w:val="22"/>
          <w:shd w:val="clear" w:color="auto" w:fill="FFFFFF"/>
        </w:rPr>
        <w:t>Artículo 286. Régimen de conflicto de interés de los congresistas.</w:t>
      </w:r>
      <w:r w:rsidRPr="003F50C8">
        <w:rPr>
          <w:rFonts w:ascii="Bookman Old Style" w:hAnsi="Bookman Old Style" w:cs="Arial"/>
          <w:bCs/>
          <w:i/>
          <w:iCs/>
          <w:sz w:val="22"/>
          <w:szCs w:val="22"/>
          <w:shd w:val="clear" w:color="auto" w:fill="FFFFFF"/>
        </w:rPr>
        <w:t xml:space="preserve"> Todos los congresistas deberán declarar los conflictos De intereses que pudieran surgir en ejercicio de sus funciones.</w:t>
      </w:r>
    </w:p>
    <w:p w14:paraId="6A6BF8E7" w14:textId="77777777" w:rsidR="00A070A4" w:rsidRPr="003F50C8" w:rsidRDefault="00A070A4" w:rsidP="003F50C8">
      <w:pPr>
        <w:ind w:left="851" w:right="900"/>
        <w:jc w:val="both"/>
        <w:rPr>
          <w:rFonts w:ascii="Bookman Old Style" w:hAnsi="Bookman Old Style" w:cs="Arial"/>
          <w:bCs/>
          <w:i/>
          <w:iCs/>
          <w:sz w:val="22"/>
          <w:szCs w:val="22"/>
          <w:shd w:val="clear" w:color="auto" w:fill="FFFFFF"/>
        </w:rPr>
      </w:pPr>
    </w:p>
    <w:p w14:paraId="4B389C32" w14:textId="77777777" w:rsidR="00F36D92" w:rsidRPr="003F50C8" w:rsidRDefault="00F36D92" w:rsidP="003F50C8">
      <w:pPr>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55CD01AE" w14:textId="77777777" w:rsidR="00A070A4" w:rsidRPr="003F50C8" w:rsidRDefault="00A070A4" w:rsidP="0054356C">
      <w:pPr>
        <w:ind w:left="851" w:right="900"/>
        <w:jc w:val="both"/>
        <w:rPr>
          <w:rFonts w:ascii="Bookman Old Style" w:hAnsi="Bookman Old Style" w:cs="Arial"/>
          <w:bCs/>
          <w:i/>
          <w:iCs/>
          <w:sz w:val="22"/>
          <w:szCs w:val="22"/>
          <w:shd w:val="clear" w:color="auto" w:fill="FFFFFF"/>
        </w:rPr>
      </w:pPr>
    </w:p>
    <w:p w14:paraId="34C6500C" w14:textId="77777777" w:rsidR="00F36D92" w:rsidRDefault="00F36D92" w:rsidP="003B3170">
      <w:pPr>
        <w:numPr>
          <w:ilvl w:val="0"/>
          <w:numId w:val="12"/>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6F99C0D" w14:textId="77777777" w:rsidR="0054356C" w:rsidRPr="0054356C" w:rsidRDefault="0054356C" w:rsidP="0054356C">
      <w:pPr>
        <w:ind w:left="851" w:right="900"/>
        <w:jc w:val="both"/>
        <w:rPr>
          <w:rFonts w:ascii="Bookman Old Style" w:hAnsi="Bookman Old Style" w:cs="Arial"/>
          <w:bCs/>
          <w:i/>
          <w:iCs/>
          <w:sz w:val="22"/>
          <w:szCs w:val="22"/>
          <w:shd w:val="clear" w:color="auto" w:fill="FFFFFF"/>
        </w:rPr>
      </w:pPr>
    </w:p>
    <w:p w14:paraId="20E46156" w14:textId="77777777" w:rsidR="00F36D92" w:rsidRDefault="00F36D92" w:rsidP="003B3170">
      <w:pPr>
        <w:numPr>
          <w:ilvl w:val="0"/>
          <w:numId w:val="12"/>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actual: aquel que efectivamente se configura en las circunstancias presentes y existentes al momento en el que el congresista participa de la decisión. </w:t>
      </w:r>
    </w:p>
    <w:p w14:paraId="7476E613" w14:textId="77777777" w:rsidR="0054356C" w:rsidRPr="0054356C" w:rsidRDefault="0054356C" w:rsidP="0054356C">
      <w:pPr>
        <w:ind w:right="900"/>
        <w:jc w:val="both"/>
        <w:rPr>
          <w:rFonts w:ascii="Bookman Old Style" w:hAnsi="Bookman Old Style" w:cs="Arial"/>
          <w:bCs/>
          <w:i/>
          <w:iCs/>
          <w:sz w:val="22"/>
          <w:szCs w:val="22"/>
          <w:shd w:val="clear" w:color="auto" w:fill="FFFFFF"/>
        </w:rPr>
      </w:pPr>
    </w:p>
    <w:p w14:paraId="10654BD6" w14:textId="77777777" w:rsidR="00F36D92" w:rsidRPr="0054356C" w:rsidRDefault="00F36D92" w:rsidP="003B3170">
      <w:pPr>
        <w:numPr>
          <w:ilvl w:val="0"/>
          <w:numId w:val="12"/>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91AF7A2" w14:textId="77777777" w:rsidR="0054356C" w:rsidRDefault="00F36D92" w:rsidP="0054356C">
      <w:pPr>
        <w:ind w:right="49"/>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 xml:space="preserve">                                                                                                     </w:t>
      </w:r>
      <w:r w:rsidR="00654879" w:rsidRPr="003F50C8">
        <w:rPr>
          <w:rFonts w:ascii="Bookman Old Style" w:hAnsi="Bookman Old Style" w:cs="Arial"/>
          <w:bCs/>
          <w:i/>
          <w:iCs/>
          <w:sz w:val="22"/>
          <w:szCs w:val="22"/>
          <w:shd w:val="clear" w:color="auto" w:fill="FFFFFF"/>
        </w:rPr>
        <w:t xml:space="preserve">   </w:t>
      </w:r>
    </w:p>
    <w:p w14:paraId="3A9ABFBE" w14:textId="77777777" w:rsidR="0054356C" w:rsidRPr="003F50C8" w:rsidRDefault="00F36D92" w:rsidP="0054356C">
      <w:pPr>
        <w:ind w:right="49"/>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5DBAB736" w14:textId="77777777" w:rsidR="00A070A4" w:rsidRPr="003F50C8" w:rsidRDefault="00A070A4" w:rsidP="003F50C8">
      <w:pPr>
        <w:jc w:val="both"/>
        <w:rPr>
          <w:rFonts w:ascii="Bookman Old Style" w:hAnsi="Bookman Old Style" w:cs="Arial"/>
          <w:bCs/>
          <w:sz w:val="22"/>
          <w:szCs w:val="22"/>
          <w:shd w:val="clear" w:color="auto" w:fill="FFFFFF"/>
        </w:rPr>
      </w:pPr>
    </w:p>
    <w:p w14:paraId="5F136EA1" w14:textId="77777777" w:rsidR="00F36D92" w:rsidRPr="003F50C8" w:rsidRDefault="00F36D92" w:rsidP="003F50C8">
      <w:pPr>
        <w:tabs>
          <w:tab w:val="left" w:pos="7938"/>
        </w:tabs>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787F26E" w14:textId="77777777" w:rsidR="00F36D92" w:rsidRPr="003F50C8" w:rsidRDefault="00F36D92" w:rsidP="003F50C8">
      <w:pPr>
        <w:jc w:val="both"/>
        <w:rPr>
          <w:rFonts w:ascii="Bookman Old Style" w:hAnsi="Bookman Old Style" w:cs="Arial"/>
          <w:bCs/>
          <w:sz w:val="22"/>
          <w:szCs w:val="22"/>
          <w:shd w:val="clear" w:color="auto" w:fill="FFFFFF"/>
        </w:rPr>
      </w:pPr>
    </w:p>
    <w:p w14:paraId="056C1492" w14:textId="77777777"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 xml:space="preserve">Se tiene entonces que el presente proyecto </w:t>
      </w:r>
      <w:r w:rsidR="00D952C8" w:rsidRPr="003F50C8">
        <w:rPr>
          <w:rFonts w:ascii="Bookman Old Style" w:hAnsi="Bookman Old Style" w:cs="Arial"/>
          <w:bCs/>
          <w:sz w:val="22"/>
          <w:szCs w:val="22"/>
          <w:shd w:val="clear" w:color="auto" w:fill="FFFFFF"/>
        </w:rPr>
        <w:t xml:space="preserve">de ley </w:t>
      </w:r>
      <w:r w:rsidRPr="003F50C8">
        <w:rPr>
          <w:rFonts w:ascii="Bookman Old Style" w:hAnsi="Bookman Old Style" w:cs="Arial"/>
          <w:bCs/>
          <w:sz w:val="22"/>
          <w:szCs w:val="22"/>
          <w:shd w:val="clear" w:color="auto" w:fill="FFFFFF"/>
        </w:rPr>
        <w:t xml:space="preserve">al tener por objeto </w:t>
      </w:r>
      <w:r w:rsidR="00B15226" w:rsidRPr="003F50C8">
        <w:rPr>
          <w:rFonts w:ascii="Bookman Old Style" w:hAnsi="Bookman Old Style" w:cs="Arial"/>
          <w:bCs/>
          <w:sz w:val="22"/>
          <w:szCs w:val="22"/>
          <w:shd w:val="clear" w:color="auto" w:fill="FFFFFF"/>
        </w:rPr>
        <w:t xml:space="preserve">la creación </w:t>
      </w:r>
      <w:r w:rsidR="00B15226" w:rsidRPr="003F50C8">
        <w:rPr>
          <w:rFonts w:ascii="Bookman Old Style" w:hAnsi="Bookman Old Style" w:cs="Arial"/>
          <w:sz w:val="22"/>
          <w:szCs w:val="22"/>
        </w:rPr>
        <w:t xml:space="preserve">del delito de Fracking en el Código Penal colombiano, </w:t>
      </w:r>
      <w:r w:rsidR="00B15226" w:rsidRPr="003F50C8">
        <w:rPr>
          <w:rFonts w:ascii="Bookman Old Style" w:hAnsi="Bookman Old Style" w:cs="Arial"/>
          <w:bCs/>
          <w:sz w:val="22"/>
          <w:szCs w:val="22"/>
          <w:shd w:val="clear" w:color="auto" w:fill="FFFFFF"/>
        </w:rPr>
        <w:t xml:space="preserve">delito </w:t>
      </w:r>
      <w:r w:rsidRPr="003F50C8">
        <w:rPr>
          <w:rFonts w:ascii="Bookman Old Style" w:hAnsi="Bookman Old Style" w:cs="Arial"/>
          <w:bCs/>
          <w:sz w:val="22"/>
          <w:szCs w:val="22"/>
          <w:shd w:val="clear" w:color="auto" w:fill="FFFFFF"/>
        </w:rPr>
        <w:t>aplicable de manera general sobre cualquier persona que cometa la conducta desde el momento de su promulgación en adelante, no genera la aplicación de un principio de favorabilidad de ninguna naturaleza, toda vez que, no existen noticias criminales al respecto, investigaciones en curso, actuación o denuncia, ni vinculación como parte a un proceso penal o sancionatorio ambiental sobre la materia.</w:t>
      </w:r>
    </w:p>
    <w:p w14:paraId="1E5DD7C5" w14:textId="77777777" w:rsidR="00F36D92" w:rsidRPr="003F50C8" w:rsidRDefault="00F36D92" w:rsidP="003F50C8">
      <w:pPr>
        <w:jc w:val="both"/>
        <w:rPr>
          <w:rFonts w:ascii="Bookman Old Style" w:hAnsi="Bookman Old Style" w:cs="Arial"/>
          <w:bCs/>
          <w:sz w:val="22"/>
          <w:szCs w:val="22"/>
          <w:shd w:val="clear" w:color="auto" w:fill="FFFFFF"/>
        </w:rPr>
      </w:pPr>
    </w:p>
    <w:p w14:paraId="112B52EC" w14:textId="77777777"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 xml:space="preserve">Aunado a que la discusión o aprobación de la </w:t>
      </w:r>
      <w:r w:rsidR="00B15226" w:rsidRPr="003F50C8">
        <w:rPr>
          <w:rFonts w:ascii="Bookman Old Style" w:hAnsi="Bookman Old Style" w:cs="Arial"/>
          <w:bCs/>
          <w:sz w:val="22"/>
          <w:szCs w:val="22"/>
          <w:shd w:val="clear" w:color="auto" w:fill="FFFFFF"/>
        </w:rPr>
        <w:t xml:space="preserve">presente </w:t>
      </w:r>
      <w:r w:rsidRPr="003F50C8">
        <w:rPr>
          <w:rFonts w:ascii="Bookman Old Style" w:hAnsi="Bookman Old Style" w:cs="Arial"/>
          <w:bCs/>
          <w:sz w:val="22"/>
          <w:szCs w:val="22"/>
          <w:shd w:val="clear" w:color="auto" w:fill="FFFFFF"/>
        </w:rPr>
        <w:t>iniciativa no configura un beneficio particular, actual o directo a favor de un congresista, de su cónyuge, compañero o compañera permanente o pariente dentro del segundo grado de consanguinidad, segundo de afinidad o primero civil, ya que la modificación al código penal no otorga privilegios de ninguna clase, no genera ganancias, no crea indemnizaciones económicas y no elimina obligaciones de ningún tipo.</w:t>
      </w:r>
    </w:p>
    <w:p w14:paraId="4618DD9C" w14:textId="77777777" w:rsidR="00F36D92" w:rsidRPr="003F50C8" w:rsidRDefault="00F36D92" w:rsidP="003F50C8">
      <w:pPr>
        <w:jc w:val="both"/>
        <w:rPr>
          <w:rFonts w:ascii="Bookman Old Style" w:hAnsi="Bookman Old Style" w:cs="Arial"/>
          <w:bCs/>
          <w:sz w:val="22"/>
          <w:szCs w:val="22"/>
          <w:shd w:val="clear" w:color="auto" w:fill="FFFFFF"/>
        </w:rPr>
      </w:pPr>
    </w:p>
    <w:p w14:paraId="42FA7427" w14:textId="77777777"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Es menester señalar</w:t>
      </w:r>
      <w:r w:rsidR="0057190A" w:rsidRPr="003F50C8">
        <w:rPr>
          <w:rFonts w:ascii="Bookman Old Style" w:hAnsi="Bookman Old Style" w:cs="Arial"/>
          <w:bCs/>
          <w:sz w:val="22"/>
          <w:szCs w:val="22"/>
          <w:shd w:val="clear" w:color="auto" w:fill="FFFFFF"/>
        </w:rPr>
        <w:t>,</w:t>
      </w:r>
      <w:r w:rsidRPr="003F50C8">
        <w:rPr>
          <w:rFonts w:ascii="Bookman Old Style" w:hAnsi="Bookman Old Style" w:cs="Arial"/>
          <w:bCs/>
          <w:sz w:val="22"/>
          <w:szCs w:val="22"/>
          <w:shd w:val="clear" w:color="auto" w:fill="FFFFFF"/>
        </w:rPr>
        <w:t xml:space="preserve"> que la descripción de los posibles conflictos de interés que se puedan presentar frente al trámite o votación del presente proyecto de ley, conforme a lo disp</w:t>
      </w:r>
      <w:r w:rsidR="0057190A" w:rsidRPr="003F50C8">
        <w:rPr>
          <w:rFonts w:ascii="Bookman Old Style" w:hAnsi="Bookman Old Style" w:cs="Arial"/>
          <w:bCs/>
          <w:sz w:val="22"/>
          <w:szCs w:val="22"/>
          <w:shd w:val="clear" w:color="auto" w:fill="FFFFFF"/>
        </w:rPr>
        <w:t>uesto en el artículo 291 de la Ley 5 de 1992 modificado por la L</w:t>
      </w:r>
      <w:r w:rsidRPr="003F50C8">
        <w:rPr>
          <w:rFonts w:ascii="Bookman Old Style" w:hAnsi="Bookman Old Style" w:cs="Arial"/>
          <w:bCs/>
          <w:sz w:val="22"/>
          <w:szCs w:val="22"/>
          <w:shd w:val="clear" w:color="auto" w:fill="FFFFFF"/>
        </w:rPr>
        <w:t>ey 2003 de 2019, no exime al Congresista de identificar causales adicionales en las que pueda estar incurso.</w:t>
      </w:r>
    </w:p>
    <w:p w14:paraId="1D46C4C7" w14:textId="77777777" w:rsidR="00F36D92" w:rsidRPr="003F50C8" w:rsidRDefault="00F36D92" w:rsidP="003F50C8">
      <w:pPr>
        <w:jc w:val="both"/>
        <w:rPr>
          <w:sz w:val="22"/>
          <w:szCs w:val="22"/>
        </w:rPr>
      </w:pPr>
    </w:p>
    <w:p w14:paraId="3EF7BA25" w14:textId="13B26810" w:rsidR="00F36D92" w:rsidRPr="003F50C8" w:rsidRDefault="00F36D92" w:rsidP="003F50C8">
      <w:pPr>
        <w:jc w:val="both"/>
        <w:rPr>
          <w:rFonts w:ascii="Bookman Old Style" w:hAnsi="Bookman Old Style"/>
          <w:b/>
          <w:i/>
          <w:color w:val="000000" w:themeColor="text1"/>
          <w:sz w:val="22"/>
          <w:szCs w:val="22"/>
        </w:rPr>
      </w:pPr>
    </w:p>
    <w:bookmarkEnd w:id="1"/>
    <w:p w14:paraId="40ACEB98" w14:textId="144CB965" w:rsidR="006A3355" w:rsidRPr="003F50C8" w:rsidRDefault="006A3355" w:rsidP="003F50C8">
      <w:pPr>
        <w:contextualSpacing/>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Cordialmente,</w:t>
      </w:r>
    </w:p>
    <w:p w14:paraId="44D6EB01" w14:textId="519C7DB0" w:rsidR="00460BF2" w:rsidRPr="003F50C8" w:rsidRDefault="00460BF2" w:rsidP="003F50C8">
      <w:pPr>
        <w:pStyle w:val="Sinespaciado"/>
        <w:tabs>
          <w:tab w:val="left" w:pos="8055"/>
        </w:tabs>
        <w:jc w:val="center"/>
        <w:rPr>
          <w:rFonts w:ascii="Bookman Old Style" w:hAnsi="Bookman Old Style" w:cs="Arial"/>
        </w:rPr>
      </w:pPr>
    </w:p>
    <w:p w14:paraId="04025577" w14:textId="7DC07DF0" w:rsidR="0084358B" w:rsidRPr="003F50C8" w:rsidRDefault="0084358B" w:rsidP="003F50C8">
      <w:pPr>
        <w:pStyle w:val="Sinespaciado"/>
        <w:tabs>
          <w:tab w:val="left" w:pos="8055"/>
        </w:tabs>
        <w:jc w:val="center"/>
        <w:rPr>
          <w:rFonts w:ascii="Bookman Old Style" w:hAnsi="Bookman Old Style" w:cs="Arial"/>
        </w:rPr>
      </w:pPr>
    </w:p>
    <w:p w14:paraId="6895705F" w14:textId="77777777" w:rsidR="0084358B" w:rsidRPr="003F50C8" w:rsidRDefault="0084358B" w:rsidP="003F50C8">
      <w:pPr>
        <w:pStyle w:val="Sinespaciado"/>
        <w:tabs>
          <w:tab w:val="left" w:pos="8055"/>
        </w:tabs>
        <w:jc w:val="center"/>
        <w:rPr>
          <w:rFonts w:ascii="Bookman Old Style" w:hAnsi="Bookman Old Style" w:cs="Arial"/>
        </w:rPr>
      </w:pPr>
    </w:p>
    <w:p w14:paraId="4804EAEA" w14:textId="77777777" w:rsidR="0084358B" w:rsidRPr="003F50C8" w:rsidRDefault="0084358B" w:rsidP="003F50C8">
      <w:pPr>
        <w:pStyle w:val="Sinespaciado"/>
        <w:tabs>
          <w:tab w:val="left" w:pos="8055"/>
        </w:tabs>
        <w:jc w:val="center"/>
        <w:rPr>
          <w:rFonts w:ascii="Bookman Old Style" w:hAnsi="Bookman Old Style" w:cs="Arial"/>
        </w:rPr>
      </w:pPr>
    </w:p>
    <w:p w14:paraId="7FB4FD41" w14:textId="77777777" w:rsidR="0084358B" w:rsidRPr="003F50C8" w:rsidRDefault="0084358B" w:rsidP="003F50C8">
      <w:pPr>
        <w:pStyle w:val="Sinespaciado"/>
        <w:jc w:val="center"/>
        <w:rPr>
          <w:rFonts w:ascii="Bookman Old Style" w:hAnsi="Bookman Old Style"/>
          <w:b/>
        </w:rPr>
      </w:pPr>
      <w:r w:rsidRPr="003F50C8">
        <w:rPr>
          <w:rFonts w:ascii="Bookman Old Style" w:hAnsi="Bookman Old Style"/>
          <w:b/>
        </w:rPr>
        <w:t>JUAN CARLOS LOZADA</w:t>
      </w:r>
      <w:r w:rsidR="00B14365" w:rsidRPr="003F50C8">
        <w:rPr>
          <w:rFonts w:ascii="Bookman Old Style" w:hAnsi="Bookman Old Style"/>
          <w:b/>
        </w:rPr>
        <w:t xml:space="preserve"> VARGAS</w:t>
      </w:r>
    </w:p>
    <w:p w14:paraId="5D64962E" w14:textId="77777777" w:rsidR="0084358B" w:rsidRPr="003F50C8" w:rsidRDefault="0084358B" w:rsidP="003F50C8">
      <w:pPr>
        <w:pStyle w:val="Sinespaciado"/>
        <w:jc w:val="center"/>
        <w:rPr>
          <w:rFonts w:ascii="Bookman Old Style" w:hAnsi="Bookman Old Style"/>
        </w:rPr>
      </w:pPr>
      <w:r w:rsidRPr="003F50C8">
        <w:rPr>
          <w:rFonts w:ascii="Bookman Old Style" w:hAnsi="Bookman Old Style"/>
        </w:rPr>
        <w:t>Representante a la Cámara</w:t>
      </w:r>
    </w:p>
    <w:p w14:paraId="76E24E61" w14:textId="77777777" w:rsidR="00460BF2" w:rsidRPr="00827AEA" w:rsidRDefault="00827AEA" w:rsidP="00827AEA">
      <w:pPr>
        <w:pStyle w:val="Sinespaciado"/>
        <w:jc w:val="center"/>
        <w:rPr>
          <w:rFonts w:ascii="Bookman Old Style" w:hAnsi="Bookman Old Style"/>
        </w:rPr>
      </w:pPr>
      <w:r>
        <w:rPr>
          <w:rFonts w:ascii="Bookman Old Style" w:hAnsi="Bookman Old Style"/>
        </w:rPr>
        <w:t>Partido Liberal Colombiano</w:t>
      </w:r>
    </w:p>
    <w:sectPr w:rsidR="00460BF2" w:rsidRPr="00827AEA" w:rsidSect="00C7656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CB92" w14:textId="77777777" w:rsidR="00113E59" w:rsidRDefault="00113E59" w:rsidP="008B3619">
      <w:r>
        <w:separator/>
      </w:r>
    </w:p>
  </w:endnote>
  <w:endnote w:type="continuationSeparator" w:id="0">
    <w:p w14:paraId="0CDC0D79" w14:textId="77777777" w:rsidR="00113E59" w:rsidRDefault="00113E59"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A55" w14:textId="77777777" w:rsidR="005D4D57" w:rsidRDefault="005D4D57"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81CC" w14:textId="77777777" w:rsidR="00113E59" w:rsidRDefault="00113E59" w:rsidP="008B3619">
      <w:r>
        <w:separator/>
      </w:r>
    </w:p>
  </w:footnote>
  <w:footnote w:type="continuationSeparator" w:id="0">
    <w:p w14:paraId="69EEC439" w14:textId="77777777" w:rsidR="00113E59" w:rsidRDefault="00113E59" w:rsidP="008B3619">
      <w:r>
        <w:continuationSeparator/>
      </w:r>
    </w:p>
  </w:footnote>
  <w:footnote w:id="1">
    <w:p w14:paraId="2BAC9208" w14:textId="77777777" w:rsidR="005E3ECD" w:rsidRPr="00827AEA" w:rsidRDefault="005E3ECD" w:rsidP="005E3ECD">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Corte Constitucional, sentencia C-198 de 1997.</w:t>
      </w:r>
    </w:p>
  </w:footnote>
  <w:footnote w:id="2">
    <w:p w14:paraId="166B0B6F" w14:textId="77777777" w:rsidR="005D4D57" w:rsidRPr="00827AEA" w:rsidRDefault="005D4D57" w:rsidP="003F50C8">
      <w:pPr>
        <w:pStyle w:val="Textonotapie"/>
        <w:tabs>
          <w:tab w:val="clear" w:pos="300"/>
          <w:tab w:val="left" w:pos="0"/>
        </w:tabs>
        <w:ind w:left="0" w:firstLine="0"/>
        <w:rPr>
          <w:rStyle w:val="Refdenotaalpie"/>
          <w:rFonts w:ascii="Bookman Old Style" w:hAnsi="Bookman Old Style"/>
          <w:i/>
          <w:sz w:val="18"/>
          <w:szCs w:val="18"/>
          <w:lang w:val="en-U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https://aida-americas.org/sites/default/files/publication/publicacion_fracking_aida_boell_0.pdf Cfr. Broderick, John et al., Shale gas: anupdatedassessment of environmental and climatechangeimpacts, Estados Unidos, Universidad de Manchester, 2011; citado por Eduardo D’Elia et al., Op. </w:t>
      </w:r>
      <w:r w:rsidRPr="00827AEA">
        <w:rPr>
          <w:rFonts w:ascii="Bookman Old Style" w:hAnsi="Bookman Old Style"/>
          <w:i/>
          <w:sz w:val="18"/>
          <w:szCs w:val="18"/>
          <w:lang w:val="en-US"/>
        </w:rPr>
        <w:t>Cit., p. 108; y, UnitedStatesEnvironmentalProtection Agency, Assessment of thepotentialimpacts of hydraulicfracturingforoil and gas ondrinkingwaterresources– ExecutiveSummary, 2015.</w:t>
      </w:r>
      <w:r w:rsidRPr="00827AEA">
        <w:rPr>
          <w:rStyle w:val="Refdenotaalpie"/>
          <w:rFonts w:ascii="Bookman Old Style" w:hAnsi="Bookman Old Style"/>
          <w:i/>
          <w:sz w:val="18"/>
          <w:szCs w:val="18"/>
          <w:lang w:val="en-US"/>
        </w:rPr>
        <w:tab/>
      </w:r>
    </w:p>
  </w:footnote>
  <w:footnote w:id="3">
    <w:p w14:paraId="23A26297"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Ibíd.</w:t>
      </w:r>
    </w:p>
  </w:footnote>
  <w:footnote w:id="4">
    <w:p w14:paraId="27ACF65A" w14:textId="77777777" w:rsidR="005D4D57" w:rsidRPr="003F50C8" w:rsidRDefault="005D4D57" w:rsidP="003F50C8">
      <w:pPr>
        <w:pStyle w:val="Textonotapie"/>
        <w:tabs>
          <w:tab w:val="clear" w:pos="300"/>
          <w:tab w:val="left" w:pos="0"/>
        </w:tabs>
        <w:ind w:left="0" w:firstLine="0"/>
        <w:rPr>
          <w:i/>
          <w:sz w:val="16"/>
          <w:szCs w:val="16"/>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Contestación al derecho de petición, adjunto en el acápite de pruebas de la Acción Popular interpuesta ante el Tribunal Administrativo de Cundinamarca por Dr. Álvaro Diazgranados, radicado:2018-691.</w:t>
      </w:r>
    </w:p>
  </w:footnote>
  <w:footnote w:id="5">
    <w:p w14:paraId="317396B7"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https://advances.sciencemag.org/content/4/8/eaar5982</w:t>
      </w:r>
    </w:p>
  </w:footnote>
  <w:footnote w:id="6">
    <w:p w14:paraId="3A69B0EA" w14:textId="77777777" w:rsidR="005D4D57" w:rsidRPr="003F50C8" w:rsidRDefault="005D4D57" w:rsidP="003F50C8">
      <w:pPr>
        <w:spacing w:line="360" w:lineRule="auto"/>
        <w:jc w:val="both"/>
        <w:rPr>
          <w:i/>
          <w:sz w:val="16"/>
          <w:szCs w:val="16"/>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hyperlink r:id="rId1" w:history="1">
        <w:r w:rsidRPr="00827AEA">
          <w:rPr>
            <w:rFonts w:ascii="Bookman Old Style" w:hAnsi="Bookman Old Style"/>
            <w:i/>
            <w:sz w:val="18"/>
            <w:szCs w:val="18"/>
            <w:lang w:val="es-ES"/>
          </w:rPr>
          <w:t>https://cfpub.epa.gov/ncea/hfstudy/recordisplay.cfm?deid=332990</w:t>
        </w:r>
      </w:hyperlink>
      <w:r w:rsidRPr="003F50C8">
        <w:rPr>
          <w:i/>
          <w:sz w:val="16"/>
          <w:szCs w:val="16"/>
          <w:lang w:val="es-ES"/>
        </w:rPr>
        <w:t xml:space="preserve"> </w:t>
      </w:r>
    </w:p>
  </w:footnote>
  <w:footnote w:id="7">
    <w:p w14:paraId="03B4D0F6" w14:textId="77777777" w:rsidR="005D4D57" w:rsidRPr="00827AEA" w:rsidRDefault="005D4D57" w:rsidP="003F50C8">
      <w:pPr>
        <w:pStyle w:val="Textonotapie"/>
        <w:rPr>
          <w:rFonts w:ascii="Bookman Old Style" w:hAnsi="Bookman Old Style"/>
          <w:i/>
          <w:sz w:val="18"/>
          <w:szCs w:val="18"/>
          <w:lang w:val="en-GB"/>
        </w:rPr>
      </w:pPr>
      <w:r w:rsidRPr="00827AEA">
        <w:rPr>
          <w:rStyle w:val="Refdenotaalpie"/>
          <w:rFonts w:ascii="Bookman Old Style" w:hAnsi="Bookman Old Style"/>
          <w:i/>
          <w:sz w:val="18"/>
          <w:szCs w:val="18"/>
        </w:rPr>
        <w:footnoteRef/>
      </w:r>
      <w:r w:rsidRPr="00827AEA">
        <w:rPr>
          <w:rStyle w:val="Refdenotaalpie"/>
          <w:rFonts w:ascii="Bookman Old Style" w:hAnsi="Bookman Old Style"/>
          <w:i/>
          <w:sz w:val="18"/>
          <w:szCs w:val="18"/>
        </w:rPr>
        <w:t xml:space="preserve"> https://ecologica.jornada.com.mx/2018/01/26/el-fracking-y-sus-consecuencias-en-el-ambiente-865.html</w:t>
      </w:r>
    </w:p>
  </w:footnote>
  <w:footnote w:id="8">
    <w:p w14:paraId="4AC11993" w14:textId="77777777" w:rsidR="005D4D57" w:rsidRPr="003F50C8" w:rsidRDefault="005D4D57" w:rsidP="003F50C8">
      <w:pPr>
        <w:pStyle w:val="Textonotapie"/>
        <w:tabs>
          <w:tab w:val="clear" w:pos="300"/>
          <w:tab w:val="left" w:pos="0"/>
        </w:tabs>
        <w:ind w:left="0" w:firstLine="0"/>
        <w:rPr>
          <w:i/>
          <w:sz w:val="16"/>
          <w:szCs w:val="16"/>
          <w:lang w:val="en-GB"/>
        </w:rPr>
      </w:pPr>
      <w:r w:rsidRPr="00827AEA">
        <w:rPr>
          <w:rStyle w:val="Refdenotaalpie"/>
          <w:rFonts w:ascii="Bookman Old Style" w:hAnsi="Bookman Old Style"/>
          <w:i/>
          <w:sz w:val="18"/>
          <w:szCs w:val="18"/>
        </w:rPr>
        <w:footnoteRef/>
      </w:r>
      <w:hyperlink r:id="rId2" w:history="1">
        <w:r w:rsidRPr="00827AEA">
          <w:rPr>
            <w:rFonts w:ascii="Bookman Old Style" w:hAnsi="Bookman Old Style"/>
            <w:i/>
            <w:sz w:val="18"/>
            <w:szCs w:val="18"/>
            <w:lang w:val="en-GB"/>
          </w:rPr>
          <w:t>https://www.americangeosciences.org/critical-issues/faq/how-much-water-does-typical-hydraulically-fractured-well-require</w:t>
        </w:r>
      </w:hyperlink>
    </w:p>
  </w:footnote>
  <w:footnote w:id="9">
    <w:p w14:paraId="6CFEFCAF" w14:textId="77777777" w:rsidR="005D4D57" w:rsidRPr="00827AEA" w:rsidRDefault="005D4D57" w:rsidP="003F50C8">
      <w:pPr>
        <w:pStyle w:val="Textonotapie"/>
        <w:rPr>
          <w:rFonts w:ascii="Bookman Old Style" w:hAnsi="Bookman Old Style"/>
          <w:i/>
          <w:color w:val="auto"/>
          <w:sz w:val="18"/>
          <w:szCs w:val="18"/>
          <w:lang w:val="es-CO"/>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w:t>
      </w:r>
      <w:hyperlink r:id="rId3" w:history="1">
        <w:r w:rsidRPr="00827AEA">
          <w:rPr>
            <w:rStyle w:val="Hipervnculo"/>
            <w:rFonts w:ascii="Bookman Old Style" w:hAnsi="Bookman Old Style"/>
            <w:i/>
            <w:color w:val="auto"/>
            <w:sz w:val="18"/>
            <w:szCs w:val="18"/>
            <w:u w:val="none"/>
          </w:rPr>
          <w:t>https://today.duke.edu/2015/09/frackfoot</w:t>
        </w:r>
      </w:hyperlink>
      <w:r w:rsidRPr="00827AEA">
        <w:rPr>
          <w:rFonts w:ascii="Bookman Old Style" w:hAnsi="Bookman Old Style"/>
          <w:i/>
          <w:color w:val="auto"/>
          <w:sz w:val="18"/>
          <w:szCs w:val="18"/>
        </w:rPr>
        <w:t xml:space="preserve"> </w:t>
      </w:r>
    </w:p>
  </w:footnote>
  <w:footnote w:id="10">
    <w:p w14:paraId="0D30AF14" w14:textId="77777777" w:rsidR="005D4D57" w:rsidRPr="00827AEA" w:rsidRDefault="005D4D57" w:rsidP="003F50C8">
      <w:pPr>
        <w:pStyle w:val="Textonotapie"/>
        <w:rPr>
          <w:rFonts w:ascii="Bookman Old Style" w:hAnsi="Bookman Old Style"/>
          <w:i/>
          <w:sz w:val="18"/>
          <w:szCs w:val="18"/>
        </w:rPr>
      </w:pPr>
      <w:r w:rsidRPr="00827AEA">
        <w:rPr>
          <w:rFonts w:ascii="Bookman Old Style" w:hAnsi="Bookman Old Style"/>
          <w:i/>
          <w:sz w:val="18"/>
          <w:szCs w:val="18"/>
        </w:rPr>
        <w:footnoteRef/>
      </w:r>
      <w:r w:rsidRPr="00827AEA">
        <w:rPr>
          <w:rFonts w:ascii="Bookman Old Style" w:hAnsi="Bookman Old Style"/>
          <w:i/>
          <w:sz w:val="18"/>
          <w:szCs w:val="18"/>
        </w:rPr>
        <w:t xml:space="preserve"> Comisión de Medio Ambiente, Salud Pública y Seguridad Alimentaria del Parlamento Europeo. 2011.</w:t>
      </w:r>
    </w:p>
  </w:footnote>
  <w:footnote w:id="11">
    <w:p w14:paraId="1FB93C27"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hyperlink r:id="rId4" w:history="1">
        <w:r w:rsidRPr="00827AEA">
          <w:rPr>
            <w:rStyle w:val="Hipervnculo"/>
            <w:rFonts w:ascii="Bookman Old Style" w:hAnsi="Bookman Old Style"/>
            <w:i/>
            <w:color w:val="auto"/>
            <w:sz w:val="18"/>
            <w:szCs w:val="18"/>
            <w:u w:val="none"/>
            <w:lang w:val="es-ES"/>
          </w:rPr>
          <w:t>https://www.ewg.org/enviroblog/2013/07/duke-study-links-fracking-methane-drinking-water</w:t>
        </w:r>
      </w:hyperlink>
    </w:p>
  </w:footnote>
  <w:footnote w:id="12">
    <w:p w14:paraId="20456C40" w14:textId="77777777" w:rsidR="005D4D57" w:rsidRPr="003F50C8" w:rsidRDefault="005D4D57" w:rsidP="003F50C8">
      <w:pPr>
        <w:spacing w:line="360" w:lineRule="auto"/>
        <w:jc w:val="both"/>
        <w:rPr>
          <w:i/>
          <w:sz w:val="16"/>
          <w:szCs w:val="16"/>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hyperlink r:id="rId5" w:history="1">
        <w:r w:rsidRPr="00827AEA">
          <w:rPr>
            <w:rStyle w:val="Hipervnculo"/>
            <w:rFonts w:ascii="Bookman Old Style" w:hAnsi="Bookman Old Style"/>
            <w:i/>
            <w:color w:val="auto"/>
            <w:sz w:val="18"/>
            <w:szCs w:val="18"/>
            <w:u w:val="none"/>
            <w:lang w:val="es-ES"/>
          </w:rPr>
          <w:t>https://www.biologicaldiversity.org/campaigns/california_fracking/wildlife.html</w:t>
        </w:r>
      </w:hyperlink>
    </w:p>
  </w:footnote>
  <w:footnote w:id="13">
    <w:p w14:paraId="2256A30D"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Contestación al derecho de petición, adjunto en el acápite de pruebas de la Acción Popular interpuesta ante el Tribunal Administrativo de Cundinamarca por Dr. Álvaro Diazgranados, radicado:2018-691.</w:t>
      </w:r>
    </w:p>
  </w:footnote>
  <w:footnote w:id="14">
    <w:p w14:paraId="70B9EE5B"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hyperlink r:id="rId6" w:history="1">
        <w:r w:rsidRPr="00827AEA">
          <w:rPr>
            <w:rStyle w:val="Hipervnculo"/>
            <w:rFonts w:ascii="Bookman Old Style" w:hAnsi="Bookman Old Style"/>
            <w:i/>
            <w:color w:val="auto"/>
            <w:sz w:val="18"/>
            <w:szCs w:val="18"/>
            <w:u w:val="none"/>
            <w:lang w:val="es-ES"/>
          </w:rPr>
          <w:t>https://www.theguardian.com/environment/2011/nov/02/fracking-cause-lancashire-quakes</w:t>
        </w:r>
      </w:hyperlink>
    </w:p>
  </w:footnote>
  <w:footnote w:id="15">
    <w:p w14:paraId="27FA0196" w14:textId="77777777" w:rsidR="005D4D57" w:rsidRPr="00827AEA" w:rsidRDefault="005D4D57" w:rsidP="003F50C8">
      <w:pPr>
        <w:pStyle w:val="Textonotapie"/>
        <w:tabs>
          <w:tab w:val="clear" w:pos="300"/>
          <w:tab w:val="left" w:pos="0"/>
        </w:tabs>
        <w:ind w:left="0" w:firstLine="0"/>
        <w:rPr>
          <w:rFonts w:ascii="Bookman Old Style" w:hAnsi="Bookman Old Style"/>
          <w:i/>
          <w:sz w:val="18"/>
          <w:szCs w:val="18"/>
        </w:rPr>
      </w:pPr>
      <w:r w:rsidRPr="00827AEA">
        <w:rPr>
          <w:rStyle w:val="Refdenotaalpie"/>
          <w:rFonts w:ascii="Bookman Old Style" w:hAnsi="Bookman Old Style"/>
          <w:i/>
          <w:sz w:val="18"/>
          <w:szCs w:val="18"/>
        </w:rPr>
        <w:footnoteRef/>
      </w:r>
      <w:hyperlink r:id="rId7" w:history="1">
        <w:r w:rsidRPr="00827AEA">
          <w:rPr>
            <w:rStyle w:val="Hipervnculo"/>
            <w:rFonts w:ascii="Bookman Old Style" w:hAnsi="Bookman Old Style"/>
            <w:i/>
            <w:color w:val="auto"/>
            <w:sz w:val="18"/>
            <w:szCs w:val="18"/>
            <w:u w:val="none"/>
            <w:lang w:val="es-ES"/>
          </w:rPr>
          <w:t>https://www.theguardian.com/environment/2018/oct/23/fracking-at-lancashire-site-paused-after-seismic-event-detected</w:t>
        </w:r>
      </w:hyperlink>
    </w:p>
  </w:footnote>
  <w:footnote w:id="16">
    <w:p w14:paraId="3D1B99F4" w14:textId="77777777" w:rsidR="005D4D57" w:rsidRPr="00827AEA" w:rsidRDefault="005D4D57" w:rsidP="003F50C8">
      <w:pPr>
        <w:pStyle w:val="Textonotapie"/>
        <w:tabs>
          <w:tab w:val="clear" w:pos="300"/>
          <w:tab w:val="left" w:pos="0"/>
        </w:tabs>
        <w:ind w:left="0" w:firstLine="0"/>
        <w:rPr>
          <w:rFonts w:ascii="Bookman Old Style" w:hAnsi="Bookman Old Style"/>
          <w:i/>
          <w:color w:val="auto"/>
          <w:sz w:val="18"/>
          <w:szCs w:val="18"/>
        </w:rPr>
      </w:pPr>
      <w:r w:rsidRPr="00827AEA">
        <w:rPr>
          <w:rStyle w:val="Refdenotaalpie"/>
          <w:rFonts w:ascii="Bookman Old Style" w:hAnsi="Bookman Old Style"/>
          <w:i/>
          <w:sz w:val="18"/>
          <w:szCs w:val="18"/>
        </w:rPr>
        <w:footnoteRef/>
      </w:r>
      <w:hyperlink r:id="rId8" w:history="1">
        <w:r w:rsidRPr="00827AEA">
          <w:rPr>
            <w:rStyle w:val="Hipervnculo"/>
            <w:rFonts w:ascii="Bookman Old Style" w:hAnsi="Bookman Old Style"/>
            <w:i/>
            <w:color w:val="auto"/>
            <w:sz w:val="18"/>
            <w:szCs w:val="18"/>
            <w:u w:val="none"/>
          </w:rPr>
          <w:t>https://www.theguardian.com/environment/2019/nov/02/fracking-banned-in-uk-as-government-makes-major-u-turn</w:t>
        </w:r>
      </w:hyperlink>
      <w:r w:rsidRPr="00827AEA">
        <w:rPr>
          <w:rFonts w:ascii="Bookman Old Style" w:hAnsi="Bookman Old Style"/>
          <w:i/>
          <w:color w:val="auto"/>
          <w:sz w:val="18"/>
          <w:szCs w:val="18"/>
        </w:rPr>
        <w:t xml:space="preserve"> </w:t>
      </w:r>
    </w:p>
  </w:footnote>
  <w:footnote w:id="17">
    <w:p w14:paraId="66EE03E6" w14:textId="77777777" w:rsidR="005D4D57" w:rsidRPr="00827AEA" w:rsidRDefault="005D4D57" w:rsidP="003F50C8">
      <w:pPr>
        <w:spacing w:line="360" w:lineRule="auto"/>
        <w:jc w:val="both"/>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hyperlink r:id="rId9" w:history="1">
        <w:r w:rsidRPr="00827AEA">
          <w:rPr>
            <w:rStyle w:val="Hipervnculo"/>
            <w:rFonts w:ascii="Bookman Old Style" w:hAnsi="Bookman Old Style"/>
            <w:i/>
            <w:color w:val="auto"/>
            <w:sz w:val="18"/>
            <w:szCs w:val="18"/>
            <w:u w:val="none"/>
            <w:lang w:val="es-ES"/>
          </w:rPr>
          <w:t>http://science.sciencemag.org/content/354/6318/1406</w:t>
        </w:r>
      </w:hyperlink>
      <w:r w:rsidRPr="00827AEA">
        <w:rPr>
          <w:rFonts w:ascii="Bookman Old Style" w:hAnsi="Bookman Old Style"/>
          <w:i/>
          <w:sz w:val="18"/>
          <w:szCs w:val="18"/>
          <w:lang w:val="es-ES"/>
        </w:rPr>
        <w:t xml:space="preserve"> </w:t>
      </w:r>
    </w:p>
  </w:footnote>
  <w:footnote w:id="18">
    <w:p w14:paraId="54187BB9" w14:textId="77777777" w:rsidR="005D4D57" w:rsidRPr="00827AEA" w:rsidRDefault="005D4D57" w:rsidP="003F50C8">
      <w:pPr>
        <w:pStyle w:val="Textonotapie"/>
        <w:rPr>
          <w:rFonts w:ascii="Bookman Old Style" w:hAnsi="Bookman Old Style"/>
          <w:i/>
          <w:color w:val="auto"/>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color w:val="auto"/>
          <w:sz w:val="18"/>
          <w:szCs w:val="18"/>
        </w:rPr>
        <w:t xml:space="preserve"> </w:t>
      </w:r>
      <w:hyperlink r:id="rId10" w:history="1">
        <w:r w:rsidRPr="00827AEA">
          <w:rPr>
            <w:rStyle w:val="Hipervnculo"/>
            <w:rFonts w:ascii="Bookman Old Style" w:hAnsi="Bookman Old Style"/>
            <w:i/>
            <w:color w:val="auto"/>
            <w:sz w:val="18"/>
            <w:szCs w:val="18"/>
            <w:u w:val="none"/>
          </w:rPr>
          <w:t>https://www.sciencedaily.com/releases/2018/02/180201141519.htm</w:t>
        </w:r>
      </w:hyperlink>
      <w:r w:rsidRPr="00827AEA">
        <w:rPr>
          <w:rFonts w:ascii="Bookman Old Style" w:hAnsi="Bookman Old Style"/>
          <w:i/>
          <w:color w:val="auto"/>
          <w:sz w:val="18"/>
          <w:szCs w:val="18"/>
        </w:rPr>
        <w:t xml:space="preserve"> </w:t>
      </w:r>
    </w:p>
  </w:footnote>
  <w:footnote w:id="19">
    <w:p w14:paraId="4A4F5AFF" w14:textId="77777777" w:rsidR="005D4D57" w:rsidRPr="00827AEA" w:rsidRDefault="005D4D57" w:rsidP="003F50C8">
      <w:pPr>
        <w:pStyle w:val="Textonotapie"/>
        <w:rPr>
          <w:rFonts w:ascii="Bookman Old Style" w:hAnsi="Bookman Old Style"/>
          <w:i/>
          <w:color w:val="auto"/>
          <w:sz w:val="18"/>
          <w:szCs w:val="18"/>
          <w:lang w:val="es-ES"/>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w:t>
      </w:r>
      <w:hyperlink r:id="rId11" w:history="1">
        <w:r w:rsidRPr="00827AEA">
          <w:rPr>
            <w:rStyle w:val="Hipervnculo"/>
            <w:rFonts w:ascii="Bookman Old Style" w:hAnsi="Bookman Old Style"/>
            <w:i/>
            <w:color w:val="auto"/>
            <w:sz w:val="18"/>
            <w:szCs w:val="18"/>
            <w:u w:val="none"/>
          </w:rPr>
          <w:t>https://www.theguardian.com/environment/2016/jan/10/fracking-earthquakes-oklahoma-colorado-gas-companies</w:t>
        </w:r>
      </w:hyperlink>
      <w:r w:rsidRPr="00827AEA">
        <w:rPr>
          <w:rFonts w:ascii="Bookman Old Style" w:hAnsi="Bookman Old Style"/>
          <w:i/>
          <w:color w:val="auto"/>
          <w:sz w:val="18"/>
          <w:szCs w:val="18"/>
        </w:rPr>
        <w:t xml:space="preserve"> </w:t>
      </w:r>
    </w:p>
  </w:footnote>
  <w:footnote w:id="20">
    <w:p w14:paraId="6162CCF7" w14:textId="77777777" w:rsidR="005D4D57" w:rsidRPr="00827AEA" w:rsidRDefault="005D4D57" w:rsidP="003F50C8">
      <w:pPr>
        <w:pStyle w:val="Textonotapie"/>
        <w:rPr>
          <w:rFonts w:ascii="Bookman Old Style" w:hAnsi="Bookman Old Style"/>
          <w:i/>
          <w:color w:val="auto"/>
          <w:sz w:val="18"/>
          <w:szCs w:val="18"/>
          <w:lang w:val="es-ES"/>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w:t>
      </w:r>
      <w:hyperlink r:id="rId12" w:history="1">
        <w:r w:rsidRPr="00827AEA">
          <w:rPr>
            <w:rStyle w:val="Hipervnculo"/>
            <w:rFonts w:ascii="Bookman Old Style" w:hAnsi="Bookman Old Style"/>
            <w:i/>
            <w:color w:val="auto"/>
            <w:sz w:val="18"/>
            <w:szCs w:val="18"/>
            <w:u w:val="none"/>
          </w:rPr>
          <w:t>https://www.npr.org/sections/thetwo-way/2017/08/03/541298754/earthquake-shakes-central-oklahoma-one-of-7-in-28-hours</w:t>
        </w:r>
      </w:hyperlink>
      <w:r w:rsidRPr="00827AEA">
        <w:rPr>
          <w:rFonts w:ascii="Bookman Old Style" w:hAnsi="Bookman Old Style"/>
          <w:i/>
          <w:color w:val="auto"/>
          <w:sz w:val="18"/>
          <w:szCs w:val="18"/>
        </w:rPr>
        <w:t xml:space="preserve"> </w:t>
      </w:r>
    </w:p>
  </w:footnote>
  <w:footnote w:id="21">
    <w:p w14:paraId="265E01E3" w14:textId="77777777" w:rsidR="005D4D57" w:rsidRPr="00827AEA" w:rsidRDefault="005D4D57" w:rsidP="003F50C8">
      <w:pPr>
        <w:pStyle w:val="Textonotapie"/>
        <w:rPr>
          <w:rFonts w:ascii="Bookman Old Style" w:hAnsi="Bookman Old Style"/>
          <w:i/>
          <w:color w:val="auto"/>
          <w:sz w:val="18"/>
          <w:szCs w:val="18"/>
          <w:lang w:val="es-ES"/>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w:t>
      </w:r>
      <w:hyperlink r:id="rId13" w:history="1">
        <w:r w:rsidRPr="00827AEA">
          <w:rPr>
            <w:rStyle w:val="Hipervnculo"/>
            <w:rFonts w:ascii="Bookman Old Style" w:hAnsi="Bookman Old Style"/>
            <w:i/>
            <w:color w:val="auto"/>
            <w:sz w:val="18"/>
            <w:szCs w:val="18"/>
            <w:u w:val="none"/>
          </w:rPr>
          <w:t>https://www.theguardian.com/world/2015/apr/23/oil-gas-drilling-triggers-man-made-earthquakes-usgs</w:t>
        </w:r>
      </w:hyperlink>
      <w:r w:rsidRPr="00827AEA">
        <w:rPr>
          <w:rFonts w:ascii="Bookman Old Style" w:hAnsi="Bookman Old Style"/>
          <w:i/>
          <w:color w:val="auto"/>
          <w:sz w:val="18"/>
          <w:szCs w:val="18"/>
        </w:rPr>
        <w:t xml:space="preserve"> </w:t>
      </w:r>
    </w:p>
  </w:footnote>
  <w:footnote w:id="22">
    <w:p w14:paraId="7F7B395A" w14:textId="77777777" w:rsidR="005D4D57" w:rsidRPr="00827AEA" w:rsidRDefault="005D4D57" w:rsidP="003F50C8">
      <w:pPr>
        <w:pStyle w:val="Textonotapie"/>
        <w:rPr>
          <w:rFonts w:ascii="Bookman Old Style" w:hAnsi="Bookman Old Style"/>
          <w:i/>
          <w:color w:val="auto"/>
          <w:sz w:val="18"/>
          <w:szCs w:val="18"/>
          <w:lang w:val="es-ES"/>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w:t>
      </w:r>
      <w:hyperlink r:id="rId14" w:history="1">
        <w:r w:rsidRPr="00827AEA">
          <w:rPr>
            <w:rStyle w:val="Hipervnculo"/>
            <w:rFonts w:ascii="Bookman Old Style" w:hAnsi="Bookman Old Style"/>
            <w:i/>
            <w:color w:val="auto"/>
            <w:sz w:val="18"/>
            <w:szCs w:val="18"/>
            <w:u w:val="none"/>
          </w:rPr>
          <w:t>https://www.theguardian.com/world/2015/apr/23/oil-gas-drilling-triggers-man-made-earthquakes-usgs</w:t>
        </w:r>
      </w:hyperlink>
      <w:r w:rsidRPr="00827AEA">
        <w:rPr>
          <w:rFonts w:ascii="Bookman Old Style" w:hAnsi="Bookman Old Style"/>
          <w:i/>
          <w:color w:val="auto"/>
          <w:sz w:val="18"/>
          <w:szCs w:val="18"/>
        </w:rPr>
        <w:t xml:space="preserve"> </w:t>
      </w:r>
    </w:p>
  </w:footnote>
  <w:footnote w:id="23">
    <w:p w14:paraId="3554345F"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https://www.vox.com/energy-and-environment/2019/8/15/20805136/climate-change-fracking-methane-emissions?__c=1</w:t>
      </w:r>
      <w:r w:rsidRPr="00827AEA">
        <w:rPr>
          <w:rFonts w:ascii="Bookman Old Style" w:hAnsi="Bookman Old Style"/>
          <w:i/>
          <w:sz w:val="18"/>
          <w:szCs w:val="18"/>
        </w:rPr>
        <w:t xml:space="preserve"> </w:t>
      </w:r>
    </w:p>
  </w:footnote>
  <w:footnote w:id="24">
    <w:p w14:paraId="7A69F1F5"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https://www.vox.com/energy-and-environment/2019/8/15/20805136/climate-change-fracking-methane-emissions?__c=1</w:t>
      </w:r>
      <w:r w:rsidRPr="00827AEA">
        <w:rPr>
          <w:rFonts w:ascii="Bookman Old Style" w:hAnsi="Bookman Old Style"/>
          <w:i/>
          <w:sz w:val="18"/>
          <w:szCs w:val="18"/>
        </w:rPr>
        <w:t xml:space="preserve"> </w:t>
      </w:r>
    </w:p>
  </w:footnote>
  <w:footnote w:id="25">
    <w:p w14:paraId="4D742EDA"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https://www.vox.com/energy-and-environment/2019/8/15/20805136/climate-change-fracking-methane-emissions?__c=1</w:t>
      </w:r>
      <w:r w:rsidRPr="00827AEA">
        <w:rPr>
          <w:rFonts w:ascii="Bookman Old Style" w:hAnsi="Bookman Old Style"/>
          <w:i/>
          <w:sz w:val="18"/>
          <w:szCs w:val="18"/>
        </w:rPr>
        <w:t xml:space="preserve"> </w:t>
      </w:r>
    </w:p>
  </w:footnote>
  <w:footnote w:id="26">
    <w:p w14:paraId="7D363BEE"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https://www.biogeosciences.net/16/3033/2019/</w:t>
      </w:r>
      <w:r w:rsidRPr="00827AEA">
        <w:rPr>
          <w:rFonts w:ascii="Bookman Old Style" w:hAnsi="Bookman Old Style"/>
          <w:i/>
          <w:sz w:val="18"/>
          <w:szCs w:val="18"/>
        </w:rPr>
        <w:t xml:space="preserve"> </w:t>
      </w:r>
    </w:p>
  </w:footnote>
  <w:footnote w:id="27">
    <w:p w14:paraId="24A61864"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https://www.vox.com/energy-and-environment/2019/8/15/20805136/climate-change-fracking-methane-emissions?__c=1</w:t>
      </w:r>
      <w:r w:rsidRPr="00827AEA">
        <w:rPr>
          <w:rFonts w:ascii="Bookman Old Style" w:hAnsi="Bookman Old Style"/>
          <w:i/>
          <w:sz w:val="18"/>
          <w:szCs w:val="18"/>
        </w:rPr>
        <w:t xml:space="preserve"> </w:t>
      </w:r>
    </w:p>
  </w:footnote>
  <w:footnote w:id="28">
    <w:p w14:paraId="130282C8"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https://science.sciencemag.org/content/361/6398/186</w:t>
      </w:r>
      <w:r w:rsidRPr="00827AEA">
        <w:rPr>
          <w:rFonts w:ascii="Bookman Old Style" w:hAnsi="Bookman Old Style"/>
          <w:i/>
          <w:sz w:val="18"/>
          <w:szCs w:val="18"/>
        </w:rPr>
        <w:t xml:space="preserve"> </w:t>
      </w:r>
    </w:p>
  </w:footnote>
  <w:footnote w:id="29">
    <w:p w14:paraId="625FECF3" w14:textId="77777777" w:rsidR="005D4D57" w:rsidRPr="00827AEA" w:rsidRDefault="005D4D57" w:rsidP="003F50C8">
      <w:pPr>
        <w:pStyle w:val="Textonotapie"/>
        <w:rPr>
          <w:rFonts w:ascii="Bookman Old Style" w:hAnsi="Bookman Old Style"/>
          <w:i/>
          <w:sz w:val="18"/>
          <w:szCs w:val="18"/>
          <w:lang w:val="es-ES"/>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https://www.wwf.org.co/que_hacemos/campanas/energias_renovables/</w:t>
      </w:r>
      <w:r w:rsidRPr="00827AEA">
        <w:rPr>
          <w:rFonts w:ascii="Bookman Old Style" w:hAnsi="Bookman Old Style"/>
          <w:i/>
          <w:sz w:val="18"/>
          <w:szCs w:val="18"/>
        </w:rPr>
        <w:t xml:space="preserve"> </w:t>
      </w:r>
    </w:p>
  </w:footnote>
  <w:footnote w:id="30">
    <w:p w14:paraId="15120C42"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lang w:val="es-CO"/>
        </w:rPr>
        <w:t xml:space="preserve">Schroeder, C. (Coord.). </w:t>
      </w:r>
      <w:r w:rsidRPr="00827AEA">
        <w:rPr>
          <w:rFonts w:ascii="Bookman Old Style" w:hAnsi="Bookman Old Style"/>
          <w:i/>
          <w:sz w:val="18"/>
          <w:szCs w:val="18"/>
        </w:rPr>
        <w:t xml:space="preserve">(2016). Principio de Precaución: Herramienta jurídica ante los impactos del Fracking. Ciudad de México. AIDA &amp; Heinrich Böll. p 31. </w:t>
      </w:r>
    </w:p>
    <w:p w14:paraId="706CFB9E" w14:textId="77777777" w:rsidR="005D4D57" w:rsidRPr="00827AEA" w:rsidRDefault="005D4D57" w:rsidP="003F50C8">
      <w:pPr>
        <w:pStyle w:val="Textonotapie"/>
        <w:rPr>
          <w:rFonts w:ascii="Bookman Old Style" w:hAnsi="Bookman Old Style"/>
          <w:i/>
          <w:sz w:val="18"/>
          <w:szCs w:val="18"/>
        </w:rPr>
      </w:pPr>
      <w:r w:rsidRPr="00827AEA">
        <w:rPr>
          <w:rFonts w:ascii="Bookman Old Style" w:hAnsi="Bookman Old Style"/>
          <w:i/>
          <w:sz w:val="18"/>
          <w:szCs w:val="18"/>
        </w:rPr>
        <w:t>Ver:  https://aida-americas.org/sites/default/files/publication/publicacion_fracking_aida_boell_0.pdf</w:t>
      </w:r>
    </w:p>
    <w:p w14:paraId="1FFDCCB8" w14:textId="77777777" w:rsidR="005D4D57" w:rsidRPr="00827AEA" w:rsidRDefault="005D4D57" w:rsidP="003F50C8">
      <w:pPr>
        <w:pStyle w:val="Textonotapie"/>
        <w:rPr>
          <w:rFonts w:ascii="Bookman Old Style" w:hAnsi="Bookman Old Style"/>
          <w:i/>
          <w:sz w:val="18"/>
          <w:szCs w:val="18"/>
        </w:rPr>
      </w:pPr>
      <w:r w:rsidRPr="00827AEA">
        <w:rPr>
          <w:rFonts w:ascii="Bookman Old Style" w:hAnsi="Bookman Old Style"/>
          <w:i/>
          <w:sz w:val="18"/>
          <w:szCs w:val="18"/>
        </w:rPr>
        <w:t>Cfr. UnitedStatesEnvironmentalProtection Agency, Assessment of thepotentialimpacts of hydraulicfracturingforoil and gas ondrinkingwaterresources – ExecutiveSummary, 2015; Consejo de Académicos de Canadá, Impactos ambientales de la explotación de gas de esquisto en Canadá, Otawa, 2014; Parlamento Europeo – Comité sobre Medio Ambiente, Salud Pública y Seguridad Alimentaria, Reporte sobre los impactos ambientales en las actividades de extracción de gas y petróleo de lutitas, 2011.</w:t>
      </w:r>
    </w:p>
  </w:footnote>
  <w:footnote w:id="31">
    <w:p w14:paraId="66A36D1B"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https://www.nature.com/articles/jes201581  </w:t>
      </w:r>
    </w:p>
  </w:footnote>
  <w:footnote w:id="32">
    <w:p w14:paraId="269DA2D7"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http://advances.sciencemag.org/content/3/12/e1603021</w:t>
      </w:r>
    </w:p>
  </w:footnote>
  <w:footnote w:id="33">
    <w:p w14:paraId="087CD984" w14:textId="77777777" w:rsidR="005D4D57" w:rsidRPr="003F50C8" w:rsidRDefault="005D4D57" w:rsidP="003F50C8">
      <w:pPr>
        <w:pStyle w:val="Textonotapie"/>
        <w:rPr>
          <w:i/>
          <w:sz w:val="16"/>
          <w:szCs w:val="16"/>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https://advances.sciencemag.org/content/advances/archive/4/8/eaar5982/1.full.pdf</w:t>
      </w:r>
      <w:r w:rsidRPr="003F50C8">
        <w:rPr>
          <w:i/>
          <w:sz w:val="16"/>
          <w:szCs w:val="16"/>
        </w:rPr>
        <w:t xml:space="preserve"> </w:t>
      </w:r>
    </w:p>
  </w:footnote>
  <w:footnote w:id="34">
    <w:p w14:paraId="1FC2B28F" w14:textId="688FC4A1" w:rsidR="00DB5E29" w:rsidRPr="00AF1FAD" w:rsidRDefault="00DB5E29">
      <w:pPr>
        <w:pStyle w:val="Textonotapie"/>
        <w:rPr>
          <w:rFonts w:ascii="Bookman Old Style" w:hAnsi="Bookman Old Style"/>
          <w:i/>
          <w:iCs/>
          <w:sz w:val="18"/>
          <w:szCs w:val="18"/>
        </w:rPr>
      </w:pPr>
      <w:r w:rsidRPr="00AF1FAD">
        <w:rPr>
          <w:rStyle w:val="Refdenotaalpie"/>
          <w:rFonts w:ascii="Bookman Old Style" w:hAnsi="Bookman Old Style"/>
          <w:i/>
          <w:iCs/>
          <w:sz w:val="18"/>
          <w:szCs w:val="18"/>
        </w:rPr>
        <w:footnoteRef/>
      </w:r>
      <w:r w:rsidRPr="00AF1FAD">
        <w:rPr>
          <w:rFonts w:ascii="Bookman Old Style" w:hAnsi="Bookman Old Style"/>
          <w:i/>
          <w:iCs/>
          <w:sz w:val="18"/>
          <w:szCs w:val="18"/>
        </w:rPr>
        <w:t>https://www.infobae.com/america/colombia/2022/06/07/se-levanto-el-paro-por-parte-de-la-comunidad-de-puerto-wilches-tras-13-horas/</w:t>
      </w:r>
    </w:p>
  </w:footnote>
  <w:footnote w:id="35">
    <w:p w14:paraId="38B15467"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https://pubs.acs.org/doi/pdf/10.1021/acs.est.6b05749</w:t>
      </w:r>
      <w:r w:rsidRPr="00827AEA">
        <w:rPr>
          <w:rFonts w:ascii="Bookman Old Style" w:hAnsi="Bookman Old Style"/>
          <w:i/>
          <w:sz w:val="18"/>
          <w:szCs w:val="18"/>
        </w:rPr>
        <w:t xml:space="preserve"> </w:t>
      </w:r>
    </w:p>
  </w:footnote>
  <w:footnote w:id="36">
    <w:p w14:paraId="05FFB6C8"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https://www.epa.gov/sites/production/files/2015-05/documents/hf_spills_report_final_5-12-15_508_km_sb.pdf</w:t>
      </w:r>
    </w:p>
  </w:footnote>
  <w:footnote w:id="37">
    <w:p w14:paraId="3E13D572"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Desde 2011 mediante Ley No. 2011-835 del 13 julio de 2011. Ver: https://www.legifrance.gouv.fr/affichTexte.do?cidTexte=JORFTEXT000024361355&amp;categorieLien=id</w:t>
      </w:r>
    </w:p>
  </w:footnote>
  <w:footnote w:id="38">
    <w:p w14:paraId="19F0587F"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El Parlamento impuso prohibición el 18/01/2012. Ver: http://www.parliament.bg/en/news/ID/2351</w:t>
      </w:r>
    </w:p>
  </w:footnote>
  <w:footnote w:id="39">
    <w:p w14:paraId="347FD10F" w14:textId="77777777" w:rsidR="005D4D57" w:rsidRPr="00827AEA" w:rsidRDefault="005D4D57" w:rsidP="003F50C8">
      <w:pPr>
        <w:pStyle w:val="Textonotapie"/>
        <w:rPr>
          <w:rFonts w:ascii="Bookman Old Style" w:hAnsi="Bookman Old Style"/>
          <w:sz w:val="18"/>
          <w:szCs w:val="18"/>
          <w:lang w:val="es-CO"/>
        </w:rPr>
      </w:pPr>
      <w:r w:rsidRPr="00827AEA">
        <w:rPr>
          <w:rStyle w:val="Refdenotaalpie"/>
          <w:rFonts w:ascii="Bookman Old Style" w:hAnsi="Bookman Old Style"/>
          <w:sz w:val="18"/>
          <w:szCs w:val="18"/>
        </w:rPr>
        <w:footnoteRef/>
      </w:r>
      <w:r w:rsidRPr="00827AEA">
        <w:rPr>
          <w:rFonts w:ascii="Bookman Old Style" w:hAnsi="Bookman Old Style"/>
          <w:sz w:val="18"/>
          <w:szCs w:val="18"/>
        </w:rPr>
        <w:t xml:space="preserve"> </w:t>
      </w:r>
      <w:r w:rsidRPr="00827AEA">
        <w:rPr>
          <w:rFonts w:ascii="Bookman Old Style" w:hAnsi="Bookman Old Style"/>
          <w:i/>
          <w:sz w:val="18"/>
          <w:szCs w:val="18"/>
        </w:rPr>
        <w:t>En 2016. Ver: https://www.bundestag.de/dokumente/textarchiv/2016/kw25-de-fracking/429014</w:t>
      </w:r>
    </w:p>
  </w:footnote>
  <w:footnote w:id="40">
    <w:p w14:paraId="26840CE2" w14:textId="77777777" w:rsidR="005D4D57" w:rsidRPr="00827AEA" w:rsidRDefault="005D4D57" w:rsidP="003F50C8">
      <w:pPr>
        <w:pStyle w:val="Textonotapie"/>
        <w:rPr>
          <w:rFonts w:ascii="Bookman Old Style" w:hAnsi="Bookman Old Style"/>
          <w:i/>
          <w:color w:val="auto"/>
          <w:sz w:val="18"/>
          <w:szCs w:val="18"/>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Ley No. 15 del 6 de julio de 2017.</w:t>
      </w:r>
    </w:p>
    <w:p w14:paraId="32EF0B2D" w14:textId="77777777" w:rsidR="005D4D57" w:rsidRPr="00827AEA" w:rsidRDefault="005D4D57" w:rsidP="003F50C8">
      <w:pPr>
        <w:pStyle w:val="Textonotapie"/>
        <w:rPr>
          <w:rFonts w:ascii="Bookman Old Style" w:hAnsi="Bookman Old Style"/>
          <w:i/>
          <w:color w:val="auto"/>
          <w:sz w:val="18"/>
          <w:szCs w:val="18"/>
        </w:rPr>
      </w:pPr>
      <w:r w:rsidRPr="00827AEA">
        <w:rPr>
          <w:rFonts w:ascii="Bookman Old Style" w:hAnsi="Bookman Old Style"/>
          <w:i/>
          <w:color w:val="auto"/>
          <w:sz w:val="18"/>
          <w:szCs w:val="18"/>
        </w:rPr>
        <w:t xml:space="preserve">Ver: </w:t>
      </w:r>
      <w:hyperlink r:id="rId15" w:history="1">
        <w:r w:rsidRPr="00827AEA">
          <w:rPr>
            <w:rStyle w:val="Hipervnculo"/>
            <w:rFonts w:ascii="Bookman Old Style" w:hAnsi="Bookman Old Style"/>
            <w:i/>
            <w:color w:val="auto"/>
            <w:sz w:val="18"/>
            <w:szCs w:val="18"/>
            <w:u w:val="none"/>
          </w:rPr>
          <w:t>https://data.oireachtas.ie/ie/oireachtas/act/2017/15/eng/enacted/a1517.pdf</w:t>
        </w:r>
      </w:hyperlink>
    </w:p>
    <w:p w14:paraId="178C855B" w14:textId="77777777" w:rsidR="005D4D57" w:rsidRPr="00827AEA" w:rsidRDefault="00000000" w:rsidP="003F50C8">
      <w:pPr>
        <w:pStyle w:val="Textonotapie"/>
        <w:rPr>
          <w:rFonts w:ascii="Bookman Old Style" w:hAnsi="Bookman Old Style"/>
          <w:i/>
          <w:color w:val="auto"/>
          <w:sz w:val="18"/>
          <w:szCs w:val="18"/>
        </w:rPr>
      </w:pPr>
      <w:hyperlink r:id="rId16" w:history="1">
        <w:r w:rsidR="005D4D57" w:rsidRPr="00827AEA">
          <w:rPr>
            <w:rStyle w:val="Hipervnculo"/>
            <w:rFonts w:ascii="Bookman Old Style" w:hAnsi="Bookman Old Style"/>
            <w:i/>
            <w:color w:val="auto"/>
            <w:sz w:val="18"/>
            <w:szCs w:val="18"/>
            <w:u w:val="none"/>
          </w:rPr>
          <w:t>https://www.oireachtas.ie/en/bills/bill/2016/37/</w:t>
        </w:r>
      </w:hyperlink>
      <w:r w:rsidR="005D4D57" w:rsidRPr="00827AEA">
        <w:rPr>
          <w:rStyle w:val="Hipervnculo"/>
          <w:rFonts w:ascii="Bookman Old Style" w:hAnsi="Bookman Old Style"/>
          <w:i/>
          <w:color w:val="auto"/>
          <w:sz w:val="18"/>
          <w:szCs w:val="18"/>
          <w:u w:val="none"/>
        </w:rPr>
        <w:t xml:space="preserve"> </w:t>
      </w:r>
    </w:p>
  </w:footnote>
  <w:footnote w:id="41">
    <w:p w14:paraId="04E4BCE5" w14:textId="77777777" w:rsidR="005D4D57" w:rsidRPr="003F50C8" w:rsidRDefault="005D4D57" w:rsidP="003F50C8">
      <w:pPr>
        <w:pStyle w:val="Sinespaciado"/>
        <w:jc w:val="both"/>
        <w:rPr>
          <w:rFonts w:ascii="Times New Roman" w:hAnsi="Times New Roman" w:cs="Times New Roman"/>
          <w:sz w:val="16"/>
          <w:szCs w:val="16"/>
        </w:rPr>
      </w:pPr>
      <w:r w:rsidRPr="00827AEA">
        <w:rPr>
          <w:rStyle w:val="Refdenotaalpie"/>
          <w:rFonts w:ascii="Bookman Old Style" w:hAnsi="Bookman Old Style" w:cs="Times New Roman"/>
          <w:sz w:val="18"/>
          <w:szCs w:val="18"/>
        </w:rPr>
        <w:footnoteRef/>
      </w:r>
      <w:r w:rsidRPr="00827AEA">
        <w:rPr>
          <w:rFonts w:ascii="Bookman Old Style" w:hAnsi="Bookman Old Style" w:cs="Times New Roman"/>
          <w:sz w:val="18"/>
          <w:szCs w:val="18"/>
        </w:rPr>
        <w:t xml:space="preserve"> </w:t>
      </w:r>
      <w:r w:rsidRPr="00827AEA">
        <w:rPr>
          <w:rFonts w:ascii="Bookman Old Style" w:hAnsi="Bookman Old Style" w:cs="Times New Roman"/>
          <w:i/>
          <w:sz w:val="18"/>
          <w:szCs w:val="18"/>
        </w:rPr>
        <w:t>Ley N° 19585 de 2017. Ver: https://www.impo.com.uy/bases/leyes/19585-2017</w:t>
      </w:r>
    </w:p>
  </w:footnote>
  <w:footnote w:id="42">
    <w:p w14:paraId="562F3F95" w14:textId="77777777" w:rsidR="005D4D57" w:rsidRPr="00827AEA" w:rsidRDefault="005D4D57" w:rsidP="003F50C8">
      <w:pPr>
        <w:pStyle w:val="Textonotapie"/>
        <w:rPr>
          <w:rFonts w:ascii="Bookman Old Style" w:hAnsi="Bookman Old Style"/>
          <w:i/>
          <w:color w:val="auto"/>
          <w:sz w:val="18"/>
          <w:szCs w:val="18"/>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Gobierno del Estado Occidental de Australia. </w:t>
      </w:r>
    </w:p>
    <w:p w14:paraId="6DA71F47" w14:textId="77777777" w:rsidR="005D4D57" w:rsidRPr="00827AEA" w:rsidRDefault="005D4D57" w:rsidP="003F50C8">
      <w:pPr>
        <w:pStyle w:val="Textonotapie"/>
        <w:rPr>
          <w:rFonts w:ascii="Bookman Old Style" w:hAnsi="Bookman Old Style"/>
          <w:i/>
          <w:color w:val="auto"/>
          <w:sz w:val="18"/>
          <w:szCs w:val="18"/>
        </w:rPr>
      </w:pPr>
      <w:r w:rsidRPr="00827AEA">
        <w:rPr>
          <w:rFonts w:ascii="Bookman Old Style" w:hAnsi="Bookman Old Style"/>
          <w:i/>
          <w:color w:val="auto"/>
          <w:sz w:val="18"/>
          <w:szCs w:val="18"/>
        </w:rPr>
        <w:t xml:space="preserve">Ver: </w:t>
      </w:r>
      <w:hyperlink r:id="rId17" w:history="1">
        <w:r w:rsidRPr="00827AEA">
          <w:rPr>
            <w:rStyle w:val="Hipervnculo"/>
            <w:rFonts w:ascii="Bookman Old Style" w:hAnsi="Bookman Old Style"/>
            <w:i/>
            <w:color w:val="auto"/>
            <w:sz w:val="18"/>
            <w:szCs w:val="18"/>
            <w:u w:val="none"/>
          </w:rPr>
          <w:t>http://www.dmp.wa.gov.au/Documents/Petroleum/PET-HydraulicFracture_PolicyStatement.pdf</w:t>
        </w:r>
      </w:hyperlink>
    </w:p>
  </w:footnote>
  <w:footnote w:id="43">
    <w:p w14:paraId="3F67D311" w14:textId="77777777" w:rsidR="005D4D57" w:rsidRPr="00827AEA" w:rsidRDefault="005D4D57" w:rsidP="003F50C8">
      <w:pPr>
        <w:pStyle w:val="Textonotapie"/>
        <w:rPr>
          <w:rFonts w:ascii="Bookman Old Style" w:hAnsi="Bookman Old Style"/>
          <w:i/>
          <w:color w:val="auto"/>
          <w:sz w:val="18"/>
          <w:szCs w:val="18"/>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Legislatura de la Provincia de Entre Ríos en Argentina mediante Ley No. 10.477 del 11 de mayo de 2017. </w:t>
      </w:r>
    </w:p>
    <w:p w14:paraId="0D18F8CA" w14:textId="77777777" w:rsidR="005D4D57" w:rsidRPr="00827AEA" w:rsidRDefault="005D4D57" w:rsidP="003F50C8">
      <w:pPr>
        <w:pStyle w:val="Textonotapie"/>
        <w:rPr>
          <w:rFonts w:ascii="Bookman Old Style" w:hAnsi="Bookman Old Style"/>
          <w:i/>
          <w:color w:val="auto"/>
          <w:sz w:val="18"/>
          <w:szCs w:val="18"/>
        </w:rPr>
      </w:pPr>
      <w:r w:rsidRPr="00827AEA">
        <w:rPr>
          <w:rFonts w:ascii="Bookman Old Style" w:hAnsi="Bookman Old Style"/>
          <w:i/>
          <w:color w:val="auto"/>
          <w:sz w:val="18"/>
          <w:szCs w:val="18"/>
        </w:rPr>
        <w:t xml:space="preserve">Ver: </w:t>
      </w:r>
      <w:hyperlink r:id="rId18" w:history="1">
        <w:r w:rsidRPr="00827AEA">
          <w:rPr>
            <w:rStyle w:val="Hipervnculo"/>
            <w:rFonts w:ascii="Bookman Old Style" w:hAnsi="Bookman Old Style"/>
            <w:i/>
            <w:color w:val="auto"/>
            <w:sz w:val="18"/>
            <w:szCs w:val="18"/>
            <w:u w:val="none"/>
          </w:rPr>
          <w:t>http://www.senadoer.gob.ar/leyes/leyes.php</w:t>
        </w:r>
      </w:hyperlink>
    </w:p>
  </w:footnote>
  <w:footnote w:id="44">
    <w:p w14:paraId="120D070C" w14:textId="77777777" w:rsidR="005D4D57" w:rsidRPr="00827AEA" w:rsidRDefault="005D4D57" w:rsidP="003F50C8">
      <w:pPr>
        <w:pStyle w:val="Textonotapie"/>
        <w:rPr>
          <w:rFonts w:ascii="Bookman Old Style" w:hAnsi="Bookman Old Style"/>
          <w:i/>
          <w:color w:val="auto"/>
          <w:sz w:val="18"/>
          <w:szCs w:val="18"/>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Estado de Maryland mediante Ley No. SBO740 del 1 de octubre de 2017. </w:t>
      </w:r>
    </w:p>
    <w:p w14:paraId="18D40A8A" w14:textId="77777777" w:rsidR="005D4D57" w:rsidRPr="00827AEA" w:rsidRDefault="005D4D57" w:rsidP="003F50C8">
      <w:pPr>
        <w:pStyle w:val="Textonotapie"/>
        <w:rPr>
          <w:rFonts w:ascii="Bookman Old Style" w:hAnsi="Bookman Old Style"/>
          <w:i/>
          <w:color w:val="auto"/>
          <w:sz w:val="18"/>
          <w:szCs w:val="18"/>
        </w:rPr>
      </w:pPr>
      <w:r w:rsidRPr="00827AEA">
        <w:rPr>
          <w:rFonts w:ascii="Bookman Old Style" w:hAnsi="Bookman Old Style"/>
          <w:i/>
          <w:color w:val="auto"/>
          <w:sz w:val="18"/>
          <w:szCs w:val="18"/>
        </w:rPr>
        <w:t xml:space="preserve">Ver: </w:t>
      </w:r>
      <w:hyperlink r:id="rId19" w:history="1">
        <w:r w:rsidRPr="00827AEA">
          <w:rPr>
            <w:rStyle w:val="Hipervnculo"/>
            <w:rFonts w:ascii="Bookman Old Style" w:hAnsi="Bookman Old Style"/>
            <w:i/>
            <w:color w:val="auto"/>
            <w:sz w:val="18"/>
            <w:szCs w:val="18"/>
            <w:u w:val="none"/>
          </w:rPr>
          <w:t>http://mgaleg.maryland.gov/2017RS/bills/sb/sb0740F.pdf</w:t>
        </w:r>
      </w:hyperlink>
    </w:p>
  </w:footnote>
  <w:footnote w:id="45">
    <w:p w14:paraId="19A505EF"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color w:val="auto"/>
          <w:sz w:val="18"/>
          <w:szCs w:val="18"/>
        </w:rPr>
        <w:footnoteRef/>
      </w:r>
      <w:r w:rsidRPr="00827AEA">
        <w:rPr>
          <w:rFonts w:ascii="Bookman Old Style" w:hAnsi="Bookman Old Style"/>
          <w:i/>
          <w:color w:val="auto"/>
          <w:sz w:val="18"/>
          <w:szCs w:val="18"/>
        </w:rPr>
        <w:t xml:space="preserve"> Asamblea Nacional de la Provincia de Quebec mediante Ley 591 de 2014. Ver: </w:t>
      </w:r>
      <w:hyperlink r:id="rId20" w:history="1">
        <w:r w:rsidRPr="00827AEA">
          <w:rPr>
            <w:rStyle w:val="Hipervnculo"/>
            <w:rFonts w:ascii="Bookman Old Style" w:hAnsi="Bookman Old Style"/>
            <w:i/>
            <w:color w:val="auto"/>
            <w:sz w:val="18"/>
            <w:szCs w:val="18"/>
            <w:u w:val="none"/>
          </w:rPr>
          <w:t>http://www.assnat.qc.ca/Media/Process.aspx?MediaId=ANQ.Vigie.Bll.DocumentGenerique_80995en&amp;process=Original&amp;token=ZyMoxNwUn8ikQ+TRKYwPCjWrKwg+vIv9rjij7p3xLGTZDmLVSmJLoqe/vG7/YWzz</w:t>
        </w:r>
      </w:hyperlink>
    </w:p>
  </w:footnote>
  <w:footnote w:id="46">
    <w:p w14:paraId="6AE16555"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CONTRALORÍA GENERAL DE LA REPÚBLICA. Contraloría Delegada para el Medio Ambiente. INFORME DE ACTUACIÓN ESPECIAL - AT No. 31 SEGUIMIENTO FUNCIÓN DE ADVERTENCIA. Principio de Precaución y Desarrollo Sostenible, posibles riesgos Hidrocarburos No Convencionales. 2014.</w:t>
      </w:r>
    </w:p>
  </w:footnote>
  <w:footnote w:id="47">
    <w:p w14:paraId="63F960F8"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CONTRALORÍA GENERAL DE LA REPÚBLICA. RIESGOS Y POSIBLES AFECTACIONES AMBIENTALES AL EMPLEAR LA TÉCNICA DE FRACTURAMIENTO HIDRÁULICO EN LA EXPLORACIÓN Y EXPLOTACIÓN DE HIDROCARBUROS EN YACIMIENTOS NO CONVENCIONALES EN COLOMBIA. 2018.</w:t>
      </w:r>
    </w:p>
  </w:footnote>
  <w:footnote w:id="48">
    <w:p w14:paraId="7109E3EE"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https://news.un.org/en/story/2018/05/1010571</w:t>
      </w:r>
    </w:p>
  </w:footnote>
  <w:footnote w:id="49">
    <w:p w14:paraId="237A1980"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https://unctad.org/en/PublicationsLibrary/suc2017d10_en.pdf</w:t>
      </w:r>
    </w:p>
  </w:footnote>
  <w:footnote w:id="50">
    <w:p w14:paraId="7043FE85" w14:textId="65C4D17E" w:rsidR="004F3665" w:rsidRPr="004F3665" w:rsidRDefault="004F3665">
      <w:pPr>
        <w:pStyle w:val="Textonotapie"/>
      </w:pPr>
      <w:r>
        <w:rPr>
          <w:rStyle w:val="Refdenotaalpie"/>
        </w:rPr>
        <w:footnoteRef/>
      </w:r>
      <w:r>
        <w:t xml:space="preserve"> </w:t>
      </w:r>
      <w:r w:rsidRPr="00AF1FAD">
        <w:rPr>
          <w:rFonts w:ascii="Bookman Old Style" w:hAnsi="Bookman Old Style"/>
          <w:i/>
          <w:iCs/>
          <w:sz w:val="18"/>
          <w:szCs w:val="18"/>
        </w:rPr>
        <w:t>https://www.wradio.com.co/noticias/regionales/admiten-demanda-de-grupo-de-litigio-e-interes-publico-de-uninorte-contra-fracking/20180906/nota/3795851.aspx</w:t>
      </w:r>
    </w:p>
  </w:footnote>
  <w:footnote w:id="51">
    <w:p w14:paraId="58EBE7B4" w14:textId="1433CB62" w:rsidR="002410C3" w:rsidRPr="002410C3" w:rsidRDefault="002410C3">
      <w:pPr>
        <w:pStyle w:val="Textonotapie"/>
      </w:pPr>
      <w:r>
        <w:rPr>
          <w:rStyle w:val="Refdenotaalpie"/>
        </w:rPr>
        <w:footnoteRef/>
      </w:r>
      <w:r w:rsidRPr="002410C3">
        <w:t>https://www.larepublica.co/economia/consejo-de-estado-nego-medidas-cautelares-interpuestas-y-no-suspendera-los-pilotos-de-fracking-3055930</w:t>
      </w:r>
    </w:p>
  </w:footnote>
  <w:footnote w:id="52">
    <w:p w14:paraId="1E30F6AE"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u w:color="0000FF"/>
        </w:rPr>
        <w:t>https://www.lavanguardia.com/economia/20200420/48645609372/precio-petroleo-hunde-minimo-historico-caida-demanda-coronavirus.html</w:t>
      </w:r>
      <w:r w:rsidRPr="00827AEA">
        <w:rPr>
          <w:rFonts w:ascii="Bookman Old Style" w:hAnsi="Bookman Old Style"/>
          <w:i/>
          <w:sz w:val="18"/>
          <w:szCs w:val="18"/>
        </w:rPr>
        <w:t xml:space="preserve"> </w:t>
      </w:r>
    </w:p>
  </w:footnote>
  <w:footnote w:id="53">
    <w:p w14:paraId="7C00409A" w14:textId="47AF0EB9" w:rsidR="00D5412E" w:rsidRPr="00D5412E" w:rsidRDefault="00D5412E">
      <w:pPr>
        <w:pStyle w:val="Textonotapie"/>
      </w:pPr>
      <w:r>
        <w:rPr>
          <w:rStyle w:val="Refdenotaalpie"/>
        </w:rPr>
        <w:footnoteRef/>
      </w:r>
      <w:r>
        <w:t xml:space="preserve"> </w:t>
      </w:r>
      <w:r w:rsidRPr="00AF1FAD">
        <w:rPr>
          <w:rFonts w:ascii="Bookman Old Style" w:hAnsi="Bookman Old Style"/>
          <w:i/>
          <w:iCs/>
          <w:sz w:val="18"/>
          <w:szCs w:val="18"/>
        </w:rPr>
        <w:t>https://imco.org.mx/la-invasion-de-ucrania-y-la-cuarta-crisis-petrolera/</w:t>
      </w:r>
    </w:p>
  </w:footnote>
  <w:footnote w:id="54">
    <w:p w14:paraId="57742702"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https://edition.cnn.com/2020/06/23/investing/oil-prices-bankruptcy-debt-shale/</w:t>
      </w:r>
      <w:r w:rsidRPr="00827AEA">
        <w:rPr>
          <w:rFonts w:ascii="Bookman Old Style" w:hAnsi="Bookman Old Style"/>
          <w:i/>
          <w:sz w:val="18"/>
          <w:szCs w:val="18"/>
        </w:rPr>
        <w:t xml:space="preserve"> </w:t>
      </w:r>
    </w:p>
  </w:footnote>
  <w:footnote w:id="55">
    <w:p w14:paraId="1E09619A" w14:textId="77777777" w:rsidR="005D4D57" w:rsidRPr="003F50C8" w:rsidRDefault="005D4D57" w:rsidP="003F50C8">
      <w:pPr>
        <w:pStyle w:val="Textonotapie"/>
        <w:rPr>
          <w:i/>
          <w:sz w:val="16"/>
          <w:szCs w:val="16"/>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https://edition.cnn.com/2020/06/28/business/chesapeake-energy-bankruptcy/index.html</w:t>
      </w:r>
      <w:r w:rsidRPr="003F50C8">
        <w:rPr>
          <w:i/>
          <w:sz w:val="16"/>
          <w:szCs w:val="16"/>
        </w:rPr>
        <w:t xml:space="preserve"> </w:t>
      </w:r>
    </w:p>
  </w:footnote>
  <w:footnote w:id="56">
    <w:p w14:paraId="68F21DAB"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00827AEA">
        <w:rPr>
          <w:rFonts w:ascii="Bookman Old Style" w:hAnsi="Bookman Old Style"/>
          <w:i/>
          <w:sz w:val="18"/>
          <w:szCs w:val="18"/>
        </w:rPr>
        <w:t xml:space="preserve"> </w:t>
      </w:r>
      <w:r w:rsidRPr="00827AEA">
        <w:rPr>
          <w:rFonts w:ascii="Bookman Old Style" w:hAnsi="Bookman Old Style"/>
          <w:i/>
          <w:sz w:val="18"/>
          <w:szCs w:val="18"/>
          <w:u w:color="0000FF"/>
        </w:rPr>
        <w:t>https://www.dinero.com/edicion-impresa/opinion/articulo/el-papel-de-los-inversionistas-institucionales-en-la-transicion-hacia-la-economia-limpia-y-resiliente/281709</w:t>
      </w:r>
      <w:r w:rsidRPr="00827AEA">
        <w:rPr>
          <w:rFonts w:ascii="Bookman Old Style" w:hAnsi="Bookman Old Style"/>
          <w:i/>
          <w:sz w:val="18"/>
          <w:szCs w:val="18"/>
        </w:rPr>
        <w:t xml:space="preserve"> </w:t>
      </w:r>
    </w:p>
  </w:footnote>
  <w:footnote w:id="57">
    <w:p w14:paraId="2B692953"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https://www.theguardian.com/business/2020/jan/14/blackrock-says-climate-crisis-will-now-guide-its-investments</w:t>
      </w:r>
      <w:r w:rsidRPr="00827AEA">
        <w:rPr>
          <w:rFonts w:ascii="Bookman Old Style" w:hAnsi="Bookman Old Style"/>
          <w:i/>
          <w:sz w:val="18"/>
          <w:szCs w:val="18"/>
        </w:rPr>
        <w:t xml:space="preserve"> </w:t>
      </w:r>
    </w:p>
  </w:footnote>
  <w:footnote w:id="58">
    <w:p w14:paraId="7C6326D2"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https://www.theguardian.com/environment/2019/dec/02/coal-power-becoming-uninsurable-as-firms-refuse-cover</w:t>
      </w:r>
    </w:p>
  </w:footnote>
  <w:footnote w:id="59">
    <w:p w14:paraId="02D5460C"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https://www.imf.org/~/media/Files/Publications/covid19-special-notes/en-special-series-on-covid-19-greening-the-recovery.ashx</w:t>
      </w:r>
      <w:r w:rsidRPr="00827AEA">
        <w:rPr>
          <w:rFonts w:ascii="Bookman Old Style" w:hAnsi="Bookman Old Style"/>
          <w:i/>
          <w:sz w:val="18"/>
          <w:szCs w:val="18"/>
        </w:rPr>
        <w:t xml:space="preserve"> </w:t>
      </w:r>
    </w:p>
  </w:footnote>
  <w:footnote w:id="60">
    <w:p w14:paraId="4AECE24C" w14:textId="77777777" w:rsidR="005D4D57" w:rsidRPr="00827AEA" w:rsidRDefault="005D4D57" w:rsidP="003F50C8">
      <w:pPr>
        <w:pStyle w:val="Textonotapie"/>
        <w:rPr>
          <w:rFonts w:ascii="Bookman Old Style" w:hAnsi="Bookman Old Style"/>
          <w:i/>
          <w:sz w:val="18"/>
          <w:szCs w:val="18"/>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https://www.undp.org/content/dam/rblac/Policy%20Papers%20COVID%2019/undp-rblac-CD19-PDS-Number14A.pdf</w:t>
      </w:r>
      <w:r w:rsidRPr="00827AEA">
        <w:rPr>
          <w:rFonts w:ascii="Bookman Old Style" w:hAnsi="Bookman Old Style"/>
          <w:i/>
          <w:sz w:val="18"/>
          <w:szCs w:val="18"/>
        </w:rPr>
        <w:t xml:space="preserve"> </w:t>
      </w:r>
    </w:p>
  </w:footnote>
  <w:footnote w:id="61">
    <w:p w14:paraId="7CB25054"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La Agencia Internacional de Energías Renovables actúa como la principal plataforma de cooperación internacional, centro de excelencia y repositorio de conocimiento sobre políticas, tecnologías, recursos y financiación, y como motor de acción sobre el terreno para avanzar en la transformación del sistema energético global. </w:t>
      </w:r>
    </w:p>
  </w:footnote>
  <w:footnote w:id="62">
    <w:p w14:paraId="5FC0ABBD"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https://www.irena.org/-/media/Files/IRENA/Agency/Publication/2020/Apr/IRENA_GRO_2020_findings_ES.pdf?la=en&amp;hash=C383FC272E58FC08AF6D9F43CBC282C6C62E7930</w:t>
      </w:r>
      <w:r w:rsidRPr="00827AEA">
        <w:rPr>
          <w:rFonts w:ascii="Bookman Old Style" w:hAnsi="Bookman Old Style"/>
          <w:i/>
          <w:sz w:val="18"/>
          <w:szCs w:val="18"/>
        </w:rPr>
        <w:t xml:space="preserve"> </w:t>
      </w:r>
    </w:p>
  </w:footnote>
  <w:footnote w:id="63">
    <w:p w14:paraId="7D8949FF" w14:textId="77777777" w:rsidR="005D4D57" w:rsidRPr="003F50C8" w:rsidRDefault="005D4D57" w:rsidP="003F50C8">
      <w:pPr>
        <w:pBdr>
          <w:top w:val="nil"/>
          <w:left w:val="nil"/>
          <w:bottom w:val="nil"/>
          <w:right w:val="nil"/>
          <w:between w:val="nil"/>
        </w:pBdr>
        <w:jc w:val="both"/>
        <w:rPr>
          <w:i/>
          <w:color w:val="000000"/>
          <w:sz w:val="16"/>
          <w:szCs w:val="16"/>
        </w:rPr>
      </w:pPr>
      <w:r w:rsidRPr="00827AEA">
        <w:rPr>
          <w:rFonts w:ascii="Bookman Old Style" w:hAnsi="Bookman Old Style"/>
          <w:i/>
          <w:sz w:val="18"/>
          <w:szCs w:val="18"/>
          <w:vertAlign w:val="superscript"/>
        </w:rPr>
        <w:footnoteRef/>
      </w:r>
      <w:r w:rsidRPr="00827AEA">
        <w:rPr>
          <w:rFonts w:ascii="Bookman Old Style" w:eastAsia="Calibri" w:hAnsi="Bookman Old Style"/>
          <w:i/>
          <w:color w:val="000000"/>
          <w:sz w:val="18"/>
          <w:szCs w:val="18"/>
        </w:rPr>
        <w:t xml:space="preserve"> http://www.fao.org/costarica/noticias/detail-events/en/c/1144420/</w:t>
      </w:r>
    </w:p>
  </w:footnote>
  <w:footnote w:id="64">
    <w:p w14:paraId="16E8C1C3"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https://www.annualreviews.org/doi/abs/10.1146/annurev-environ-101718-033046</w:t>
      </w:r>
      <w:r w:rsidRPr="00827AEA">
        <w:rPr>
          <w:rFonts w:ascii="Bookman Old Style" w:hAnsi="Bookman Old Style"/>
          <w:i/>
          <w:sz w:val="18"/>
          <w:szCs w:val="18"/>
        </w:rPr>
        <w:t xml:space="preserve"> </w:t>
      </w:r>
    </w:p>
  </w:footnote>
  <w:footnote w:id="65">
    <w:p w14:paraId="7A5E0EB5" w14:textId="77777777" w:rsidR="005D4D57" w:rsidRPr="00827AEA" w:rsidRDefault="005D4D57" w:rsidP="003F50C8">
      <w:pPr>
        <w:pStyle w:val="Textonotapie"/>
        <w:rPr>
          <w:rFonts w:ascii="Bookman Old Style" w:hAnsi="Bookman Old Style"/>
          <w:i/>
          <w:sz w:val="18"/>
          <w:szCs w:val="18"/>
          <w:lang w:val="es-CO"/>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https://www.annualreviews.org/doi/abs/10.1146/annurev-environ-101718-033046</w:t>
      </w:r>
    </w:p>
  </w:footnote>
  <w:footnote w:id="66">
    <w:p w14:paraId="056730CA" w14:textId="77777777" w:rsidR="005D4D57" w:rsidRPr="00827AEA" w:rsidRDefault="005D4D57" w:rsidP="003F50C8">
      <w:pPr>
        <w:pBdr>
          <w:top w:val="nil"/>
          <w:left w:val="nil"/>
          <w:bottom w:val="nil"/>
          <w:right w:val="nil"/>
          <w:between w:val="nil"/>
        </w:pBdr>
        <w:jc w:val="both"/>
        <w:rPr>
          <w:rFonts w:ascii="Bookman Old Style" w:hAnsi="Bookman Old Style"/>
          <w:i/>
          <w:color w:val="000000"/>
          <w:sz w:val="18"/>
          <w:szCs w:val="18"/>
          <w:lang w:val="en-US"/>
        </w:rPr>
      </w:pPr>
      <w:r w:rsidRPr="00827AEA">
        <w:rPr>
          <w:rFonts w:ascii="Bookman Old Style" w:hAnsi="Bookman Old Style"/>
          <w:i/>
          <w:sz w:val="18"/>
          <w:szCs w:val="18"/>
          <w:vertAlign w:val="superscript"/>
        </w:rPr>
        <w:footnoteRef/>
      </w:r>
      <w:r w:rsidRPr="00827AEA">
        <w:rPr>
          <w:rFonts w:ascii="Bookman Old Style" w:eastAsia="Calibri" w:hAnsi="Bookman Old Style"/>
          <w:i/>
          <w:color w:val="000000"/>
          <w:sz w:val="18"/>
          <w:szCs w:val="18"/>
          <w:lang w:val="en-US"/>
        </w:rPr>
        <w:t xml:space="preserve"> Honey, Martha. Ecotourism and Sustainable Development: Who Owns Paradise?. Island Press, Washington, D.C., 1999.</w:t>
      </w:r>
    </w:p>
  </w:footnote>
  <w:footnote w:id="67">
    <w:p w14:paraId="62C772BF" w14:textId="77777777" w:rsidR="005D4D57" w:rsidRPr="00827AEA" w:rsidRDefault="005D4D57" w:rsidP="003F50C8">
      <w:pPr>
        <w:pBdr>
          <w:top w:val="nil"/>
          <w:left w:val="nil"/>
          <w:bottom w:val="nil"/>
          <w:right w:val="nil"/>
          <w:between w:val="nil"/>
        </w:pBdr>
        <w:jc w:val="both"/>
        <w:rPr>
          <w:rFonts w:ascii="Bookman Old Style" w:hAnsi="Bookman Old Style"/>
          <w:i/>
          <w:color w:val="000000"/>
          <w:sz w:val="18"/>
          <w:szCs w:val="18"/>
          <w:lang w:val="en-US"/>
        </w:rPr>
      </w:pPr>
      <w:r w:rsidRPr="00827AEA">
        <w:rPr>
          <w:rFonts w:ascii="Bookman Old Style" w:hAnsi="Bookman Old Style"/>
          <w:i/>
          <w:sz w:val="18"/>
          <w:szCs w:val="18"/>
          <w:vertAlign w:val="superscript"/>
        </w:rPr>
        <w:footnoteRef/>
      </w:r>
      <w:r w:rsidRPr="00827AEA">
        <w:rPr>
          <w:rFonts w:ascii="Bookman Old Style" w:eastAsia="Calibri" w:hAnsi="Bookman Old Style"/>
          <w:i/>
          <w:color w:val="000000"/>
          <w:sz w:val="18"/>
          <w:szCs w:val="18"/>
          <w:lang w:val="en-US"/>
        </w:rPr>
        <w:t xml:space="preserve"> https://www.trainingaid.org/news/conservation-stories-africa-ecotourism-destinations-promote-biodiversity</w:t>
      </w:r>
    </w:p>
  </w:footnote>
  <w:footnote w:id="68">
    <w:p w14:paraId="188A0087" w14:textId="77777777" w:rsidR="005D4D57" w:rsidRPr="00827AEA" w:rsidRDefault="005D4D57" w:rsidP="003F50C8">
      <w:pPr>
        <w:pBdr>
          <w:top w:val="nil"/>
          <w:left w:val="nil"/>
          <w:bottom w:val="nil"/>
          <w:right w:val="nil"/>
          <w:between w:val="nil"/>
        </w:pBdr>
        <w:jc w:val="both"/>
        <w:rPr>
          <w:rFonts w:ascii="Bookman Old Style" w:hAnsi="Bookman Old Style"/>
          <w:i/>
          <w:color w:val="000000"/>
          <w:sz w:val="18"/>
          <w:szCs w:val="18"/>
        </w:rPr>
      </w:pPr>
      <w:r w:rsidRPr="00827AEA">
        <w:rPr>
          <w:rFonts w:ascii="Bookman Old Style" w:hAnsi="Bookman Old Style"/>
          <w:i/>
          <w:sz w:val="18"/>
          <w:szCs w:val="18"/>
          <w:vertAlign w:val="superscript"/>
        </w:rPr>
        <w:footnoteRef/>
      </w:r>
      <w:r w:rsidRPr="00827AEA">
        <w:rPr>
          <w:rFonts w:ascii="Bookman Old Style" w:eastAsia="Calibri" w:hAnsi="Bookman Old Style"/>
          <w:i/>
          <w:color w:val="000000"/>
          <w:sz w:val="18"/>
          <w:szCs w:val="18"/>
        </w:rPr>
        <w:t xml:space="preserve"> Ibid.</w:t>
      </w:r>
    </w:p>
  </w:footnote>
  <w:footnote w:id="69">
    <w:p w14:paraId="0142E72E" w14:textId="77777777" w:rsidR="005D4D57" w:rsidRPr="003F50C8" w:rsidRDefault="005D4D57" w:rsidP="003F50C8">
      <w:pPr>
        <w:pBdr>
          <w:top w:val="nil"/>
          <w:left w:val="nil"/>
          <w:bottom w:val="nil"/>
          <w:right w:val="nil"/>
          <w:between w:val="nil"/>
        </w:pBdr>
        <w:jc w:val="both"/>
        <w:rPr>
          <w:i/>
          <w:sz w:val="16"/>
          <w:szCs w:val="16"/>
        </w:rPr>
      </w:pPr>
      <w:r w:rsidRPr="00827AEA">
        <w:rPr>
          <w:rStyle w:val="Refdenotaalpie"/>
          <w:rFonts w:ascii="Bookman Old Style" w:hAnsi="Bookman Old Style"/>
          <w:i/>
          <w:sz w:val="18"/>
          <w:szCs w:val="18"/>
        </w:rPr>
        <w:footnoteRef/>
      </w:r>
      <w:r w:rsidRPr="00827AEA">
        <w:rPr>
          <w:rFonts w:ascii="Bookman Old Style" w:hAnsi="Bookman Old Style"/>
          <w:i/>
          <w:sz w:val="18"/>
          <w:szCs w:val="18"/>
        </w:rPr>
        <w:t xml:space="preserve"> </w:t>
      </w:r>
      <w:r w:rsidRPr="00827AEA">
        <w:rPr>
          <w:rFonts w:ascii="Bookman Old Style" w:hAnsi="Bookman Old Style"/>
          <w:i/>
          <w:sz w:val="18"/>
          <w:szCs w:val="18"/>
          <w:u w:color="0000FF"/>
        </w:rPr>
        <w:t>https://www.undp.org/content/dam/rblac/Policy%20Papers%20COVID%2019/undp-rblac-CD19-PDS-Number14A.pdf</w:t>
      </w:r>
      <w:r w:rsidRPr="003F50C8">
        <w:rPr>
          <w:i/>
          <w:sz w:val="16"/>
          <w:szCs w:val="16"/>
        </w:rPr>
        <w:t xml:space="preserve"> </w:t>
      </w:r>
    </w:p>
  </w:footnote>
  <w:footnote w:id="70">
    <w:p w14:paraId="1E7EC2F4" w14:textId="77777777" w:rsidR="00676BC9" w:rsidRPr="002B71F1" w:rsidRDefault="00676BC9" w:rsidP="00676BC9">
      <w:pPr>
        <w:pStyle w:val="Textonotapie"/>
        <w:rPr>
          <w:rFonts w:ascii="Bookman Old Style" w:hAnsi="Bookman Old Style"/>
          <w:iCs/>
          <w:sz w:val="18"/>
          <w:szCs w:val="18"/>
        </w:rPr>
      </w:pPr>
      <w:r w:rsidRPr="002B71F1">
        <w:rPr>
          <w:rStyle w:val="Refdenotaalpie"/>
          <w:rFonts w:ascii="Bookman Old Style" w:hAnsi="Bookman Old Style"/>
          <w:iCs/>
          <w:sz w:val="18"/>
          <w:szCs w:val="18"/>
        </w:rPr>
        <w:footnoteRef/>
      </w:r>
      <w:r w:rsidRPr="002B71F1">
        <w:rPr>
          <w:rFonts w:ascii="Bookman Old Style" w:hAnsi="Bookman Old Style"/>
          <w:iCs/>
          <w:sz w:val="18"/>
          <w:szCs w:val="18"/>
        </w:rPr>
        <w:t xml:space="preserve"> Sentencia C-595 de 2010</w:t>
      </w:r>
      <w:r>
        <w:rPr>
          <w:rFonts w:ascii="Bookman Old Style" w:hAnsi="Bookman Old Style"/>
          <w:iCs/>
          <w:sz w:val="18"/>
          <w:szCs w:val="18"/>
        </w:rPr>
        <w:t>, Corte Constitucional.</w:t>
      </w:r>
    </w:p>
    <w:p w14:paraId="0009DD11" w14:textId="77777777" w:rsidR="00676BC9" w:rsidRPr="00862C41" w:rsidRDefault="00676BC9" w:rsidP="00676BC9">
      <w:pPr>
        <w:pStyle w:val="Textonotapie"/>
        <w:rPr>
          <w:i/>
          <w:sz w:val="14"/>
          <w:szCs w:val="14"/>
        </w:rPr>
      </w:pPr>
    </w:p>
  </w:footnote>
  <w:footnote w:id="71">
    <w:p w14:paraId="15728129" w14:textId="77777777" w:rsidR="00676BC9" w:rsidRPr="002B71F1" w:rsidRDefault="00676BC9" w:rsidP="00676BC9">
      <w:pPr>
        <w:pStyle w:val="Textonotapie"/>
        <w:rPr>
          <w:rFonts w:ascii="Bookman Old Style" w:hAnsi="Bookman Old Style"/>
          <w:iCs/>
          <w:sz w:val="18"/>
          <w:szCs w:val="18"/>
        </w:rPr>
      </w:pPr>
      <w:r w:rsidRPr="002B71F1">
        <w:rPr>
          <w:rStyle w:val="Refdenotaalpie"/>
          <w:rFonts w:ascii="Bookman Old Style" w:hAnsi="Bookman Old Style"/>
          <w:iCs/>
          <w:sz w:val="18"/>
          <w:szCs w:val="18"/>
        </w:rPr>
        <w:footnoteRef/>
      </w:r>
      <w:r w:rsidRPr="002B71F1">
        <w:rPr>
          <w:rFonts w:ascii="Bookman Old Style" w:hAnsi="Bookman Old Style"/>
          <w:iCs/>
          <w:sz w:val="18"/>
          <w:szCs w:val="18"/>
        </w:rPr>
        <w:t xml:space="preserve"> Sentencia T-622 de 2016, Corte Constitucional.</w:t>
      </w:r>
    </w:p>
  </w:footnote>
  <w:footnote w:id="72">
    <w:p w14:paraId="64D1CD46" w14:textId="77777777" w:rsidR="00676BC9" w:rsidRPr="006C2B46" w:rsidRDefault="00676BC9" w:rsidP="00676BC9">
      <w:pPr>
        <w:pStyle w:val="Textonotapie"/>
        <w:rPr>
          <w:rFonts w:ascii="Bookman Old Style" w:hAnsi="Bookman Old Style"/>
          <w:sz w:val="18"/>
        </w:rPr>
      </w:pPr>
      <w:r w:rsidRPr="006C2B46">
        <w:rPr>
          <w:rStyle w:val="Refdenotaalpie"/>
          <w:rFonts w:ascii="Bookman Old Style" w:hAnsi="Bookman Old Style"/>
          <w:sz w:val="18"/>
        </w:rPr>
        <w:footnoteRef/>
      </w:r>
      <w:r w:rsidRPr="006C2B46">
        <w:rPr>
          <w:rFonts w:ascii="Bookman Old Style" w:hAnsi="Bookman Old Style"/>
          <w:sz w:val="18"/>
        </w:rPr>
        <w:t xml:space="preserve"> Sentencia T-299 de 2008, Corte Constitucional.</w:t>
      </w:r>
    </w:p>
  </w:footnote>
  <w:footnote w:id="73">
    <w:p w14:paraId="5FBCD395" w14:textId="77777777" w:rsidR="00676BC9" w:rsidRDefault="00676BC9" w:rsidP="00676BC9">
      <w:pPr>
        <w:pStyle w:val="Textonotapie"/>
      </w:pPr>
      <w:r w:rsidRPr="006C2B46">
        <w:rPr>
          <w:rStyle w:val="Refdenotaalpie"/>
          <w:rFonts w:ascii="Bookman Old Style" w:hAnsi="Bookman Old Style"/>
          <w:sz w:val="18"/>
        </w:rPr>
        <w:footnoteRef/>
      </w:r>
      <w:r w:rsidRPr="006C2B46">
        <w:rPr>
          <w:rFonts w:ascii="Bookman Old Style" w:hAnsi="Bookman Old Style"/>
          <w:sz w:val="18"/>
        </w:rPr>
        <w:t xml:space="preserve"> Sentencia T-397 de 2014, Corte Constitucional.</w:t>
      </w:r>
    </w:p>
  </w:footnote>
  <w:footnote w:id="74">
    <w:p w14:paraId="6A0DEAFF" w14:textId="77777777" w:rsidR="00676BC9" w:rsidRPr="002B71F1" w:rsidRDefault="00676BC9" w:rsidP="00676BC9">
      <w:pPr>
        <w:pStyle w:val="Textonotapie"/>
        <w:rPr>
          <w:rFonts w:ascii="Bookman Old Style" w:hAnsi="Bookman Old Style"/>
        </w:rPr>
      </w:pPr>
      <w:r w:rsidRPr="002B71F1">
        <w:rPr>
          <w:rStyle w:val="Refdenotaalpie"/>
          <w:rFonts w:ascii="Bookman Old Style" w:hAnsi="Bookman Old Style"/>
          <w:sz w:val="18"/>
          <w:szCs w:val="18"/>
        </w:rPr>
        <w:footnoteRef/>
      </w:r>
      <w:r w:rsidRPr="002B71F1">
        <w:rPr>
          <w:rFonts w:ascii="Bookman Old Style" w:hAnsi="Bookman Old Style"/>
          <w:sz w:val="18"/>
          <w:szCs w:val="18"/>
        </w:rPr>
        <w:t xml:space="preserve"> Sentencia T-318 de 2017,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69750"/>
      <w:docPartObj>
        <w:docPartGallery w:val="Page Numbers (Top of Page)"/>
        <w:docPartUnique/>
      </w:docPartObj>
    </w:sdtPr>
    <w:sdtContent>
      <w:p w14:paraId="579DDE51" w14:textId="77777777" w:rsidR="005D4D57" w:rsidRDefault="005D4D57">
        <w:pPr>
          <w:pStyle w:val="Encabezado"/>
          <w:jc w:val="right"/>
        </w:pPr>
        <w:r>
          <w:rPr>
            <w:lang w:val="es-ES"/>
          </w:rPr>
          <w:t xml:space="preserve">Página </w:t>
        </w:r>
        <w:r>
          <w:rPr>
            <w:b/>
            <w:bCs/>
          </w:rPr>
          <w:fldChar w:fldCharType="begin"/>
        </w:r>
        <w:r>
          <w:rPr>
            <w:b/>
            <w:bCs/>
          </w:rPr>
          <w:instrText>PAGE</w:instrText>
        </w:r>
        <w:r>
          <w:rPr>
            <w:b/>
            <w:bCs/>
          </w:rPr>
          <w:fldChar w:fldCharType="separate"/>
        </w:r>
        <w:r w:rsidR="00C361C3">
          <w:rPr>
            <w:b/>
            <w:bCs/>
            <w:noProof/>
          </w:rPr>
          <w:t>25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361C3">
          <w:rPr>
            <w:b/>
            <w:bCs/>
            <w:noProof/>
          </w:rPr>
          <w:t>27</w:t>
        </w:r>
        <w:r>
          <w:rPr>
            <w:b/>
            <w:bCs/>
          </w:rPr>
          <w:fldChar w:fldCharType="end"/>
        </w:r>
      </w:p>
    </w:sdtContent>
  </w:sdt>
  <w:p w14:paraId="5E66B146" w14:textId="77777777" w:rsidR="005D4D57" w:rsidRDefault="005D4D57" w:rsidP="00E95829">
    <w:pPr>
      <w:pStyle w:val="Encabezado"/>
      <w:jc w:val="center"/>
    </w:pPr>
    <w:r>
      <w:rPr>
        <w:noProof/>
      </w:rPr>
      <w:drawing>
        <wp:inline distT="0" distB="0" distL="0" distR="0" wp14:anchorId="377985C1" wp14:editId="4C0D0CB0">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24ABC131" w14:textId="77777777" w:rsidR="005D4D57" w:rsidRPr="006D6125" w:rsidRDefault="005D4D57" w:rsidP="00060B0D">
    <w:pPr>
      <w:tabs>
        <w:tab w:val="left" w:pos="1795"/>
        <w:tab w:val="left" w:pos="3127"/>
        <w:tab w:val="left" w:pos="4853"/>
      </w:tabs>
      <w:jc w:val="center"/>
      <w:rPr>
        <w:rFonts w:ascii="Bookman Old Style" w:hAnsi="Bookman Old Style"/>
        <w:b/>
        <w:sz w:val="28"/>
      </w:rPr>
    </w:pPr>
    <w:r w:rsidRPr="006D6125">
      <w:rPr>
        <w:rFonts w:ascii="Bookman Old Style" w:hAnsi="Bookman Old Style"/>
        <w:b/>
        <w:sz w:val="28"/>
      </w:rPr>
      <w:t>J U A N   C A R L O S   L O Z A D A   V A R G A S</w:t>
    </w:r>
  </w:p>
  <w:p w14:paraId="6C1F4AD1" w14:textId="77777777" w:rsidR="005D4D57" w:rsidRPr="006D6125" w:rsidRDefault="005D4D57" w:rsidP="00060B0D">
    <w:pPr>
      <w:spacing w:before="2"/>
      <w:ind w:right="1"/>
      <w:jc w:val="center"/>
      <w:rPr>
        <w:rFonts w:ascii="Bookman Old Style" w:hAnsi="Bookman Old Style"/>
        <w:b/>
        <w:sz w:val="16"/>
      </w:rPr>
    </w:pPr>
    <w:r w:rsidRPr="006D6125">
      <w:rPr>
        <w:rFonts w:ascii="Bookman Old Style" w:hAnsi="Bookman Old Style"/>
        <w:b/>
        <w:sz w:val="16"/>
      </w:rPr>
      <w:t>R E P R E S E N T A N T E   A   L A   C A M A R A   –   B O G O T Á</w:t>
    </w:r>
  </w:p>
  <w:p w14:paraId="078621D9" w14:textId="77777777" w:rsidR="005D4D57" w:rsidRDefault="005D4D57" w:rsidP="00E9582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5ED"/>
    <w:multiLevelType w:val="hybridMultilevel"/>
    <w:tmpl w:val="4AD8A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ED2C2A"/>
    <w:multiLevelType w:val="hybridMultilevel"/>
    <w:tmpl w:val="F7260AD8"/>
    <w:lvl w:ilvl="0" w:tplc="0409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BB1BE7"/>
    <w:multiLevelType w:val="hybridMultilevel"/>
    <w:tmpl w:val="6B3EA1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B61036"/>
    <w:multiLevelType w:val="hybridMultilevel"/>
    <w:tmpl w:val="CE2AE098"/>
    <w:lvl w:ilvl="0" w:tplc="04090001">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7550F24"/>
    <w:multiLevelType w:val="hybridMultilevel"/>
    <w:tmpl w:val="F19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B444B"/>
    <w:multiLevelType w:val="hybridMultilevel"/>
    <w:tmpl w:val="661A573C"/>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DD6B9A"/>
    <w:multiLevelType w:val="hybridMultilevel"/>
    <w:tmpl w:val="6B7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F6E96"/>
    <w:multiLevelType w:val="multilevel"/>
    <w:tmpl w:val="8EEEC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7AA99C"/>
    <w:multiLevelType w:val="hybridMultilevel"/>
    <w:tmpl w:val="FFFFFFFF"/>
    <w:lvl w:ilvl="0" w:tplc="B28E72B0">
      <w:start w:val="1"/>
      <w:numFmt w:val="decimal"/>
      <w:lvlText w:val="%1)"/>
      <w:lvlJc w:val="left"/>
      <w:pPr>
        <w:ind w:left="720" w:hanging="360"/>
      </w:pPr>
    </w:lvl>
    <w:lvl w:ilvl="1" w:tplc="5A46979E">
      <w:start w:val="1"/>
      <w:numFmt w:val="lowerLetter"/>
      <w:lvlText w:val="%2."/>
      <w:lvlJc w:val="left"/>
      <w:pPr>
        <w:ind w:left="1440" w:hanging="360"/>
      </w:pPr>
    </w:lvl>
    <w:lvl w:ilvl="2" w:tplc="0A76CDC6">
      <w:start w:val="1"/>
      <w:numFmt w:val="lowerRoman"/>
      <w:lvlText w:val="%3."/>
      <w:lvlJc w:val="right"/>
      <w:pPr>
        <w:ind w:left="2160" w:hanging="180"/>
      </w:pPr>
    </w:lvl>
    <w:lvl w:ilvl="3" w:tplc="DAF45216">
      <w:start w:val="1"/>
      <w:numFmt w:val="decimal"/>
      <w:lvlText w:val="%4."/>
      <w:lvlJc w:val="left"/>
      <w:pPr>
        <w:ind w:left="2880" w:hanging="360"/>
      </w:pPr>
    </w:lvl>
    <w:lvl w:ilvl="4" w:tplc="6B3690DC">
      <w:start w:val="1"/>
      <w:numFmt w:val="lowerLetter"/>
      <w:lvlText w:val="%5."/>
      <w:lvlJc w:val="left"/>
      <w:pPr>
        <w:ind w:left="3600" w:hanging="360"/>
      </w:pPr>
    </w:lvl>
    <w:lvl w:ilvl="5" w:tplc="B5504F28">
      <w:start w:val="1"/>
      <w:numFmt w:val="lowerRoman"/>
      <w:lvlText w:val="%6."/>
      <w:lvlJc w:val="right"/>
      <w:pPr>
        <w:ind w:left="4320" w:hanging="180"/>
      </w:pPr>
    </w:lvl>
    <w:lvl w:ilvl="6" w:tplc="09EE4FAA">
      <w:start w:val="1"/>
      <w:numFmt w:val="decimal"/>
      <w:lvlText w:val="%7."/>
      <w:lvlJc w:val="left"/>
      <w:pPr>
        <w:ind w:left="5040" w:hanging="360"/>
      </w:pPr>
    </w:lvl>
    <w:lvl w:ilvl="7" w:tplc="B31E326A">
      <w:start w:val="1"/>
      <w:numFmt w:val="lowerLetter"/>
      <w:lvlText w:val="%8."/>
      <w:lvlJc w:val="left"/>
      <w:pPr>
        <w:ind w:left="5760" w:hanging="360"/>
      </w:pPr>
    </w:lvl>
    <w:lvl w:ilvl="8" w:tplc="9318709A">
      <w:start w:val="1"/>
      <w:numFmt w:val="lowerRoman"/>
      <w:lvlText w:val="%9."/>
      <w:lvlJc w:val="right"/>
      <w:pPr>
        <w:ind w:left="6480" w:hanging="180"/>
      </w:pPr>
    </w:lvl>
  </w:abstractNum>
  <w:abstractNum w:abstractNumId="9"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0652FB"/>
    <w:multiLevelType w:val="hybridMultilevel"/>
    <w:tmpl w:val="3B2A38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F2ED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69094A"/>
    <w:multiLevelType w:val="hybridMultilevel"/>
    <w:tmpl w:val="9D961B10"/>
    <w:lvl w:ilvl="0" w:tplc="37540768">
      <w:start w:val="1"/>
      <w:numFmt w:val="upperRoman"/>
      <w:lvlText w:val="%1."/>
      <w:lvlJc w:val="left"/>
      <w:pPr>
        <w:ind w:left="1080" w:hanging="72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64887607"/>
    <w:multiLevelType w:val="hybridMultilevel"/>
    <w:tmpl w:val="7FB84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48A54F5"/>
    <w:multiLevelType w:val="hybridMultilevel"/>
    <w:tmpl w:val="FA7E4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4B5A31"/>
    <w:multiLevelType w:val="hybridMultilevel"/>
    <w:tmpl w:val="827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369814">
    <w:abstractNumId w:val="9"/>
  </w:num>
  <w:num w:numId="2" w16cid:durableId="803543178">
    <w:abstractNumId w:val="7"/>
  </w:num>
  <w:num w:numId="3" w16cid:durableId="2003119893">
    <w:abstractNumId w:val="3"/>
  </w:num>
  <w:num w:numId="4" w16cid:durableId="1584297868">
    <w:abstractNumId w:val="6"/>
  </w:num>
  <w:num w:numId="5" w16cid:durableId="2103909502">
    <w:abstractNumId w:val="17"/>
  </w:num>
  <w:num w:numId="6" w16cid:durableId="1580214379">
    <w:abstractNumId w:val="5"/>
  </w:num>
  <w:num w:numId="7" w16cid:durableId="1661275798">
    <w:abstractNumId w:val="2"/>
  </w:num>
  <w:num w:numId="8" w16cid:durableId="1761174193">
    <w:abstractNumId w:val="4"/>
  </w:num>
  <w:num w:numId="9" w16cid:durableId="1949384426">
    <w:abstractNumId w:val="15"/>
  </w:num>
  <w:num w:numId="10" w16cid:durableId="1628003794">
    <w:abstractNumId w:val="1"/>
  </w:num>
  <w:num w:numId="11" w16cid:durableId="1516848327">
    <w:abstractNumId w:val="16"/>
  </w:num>
  <w:num w:numId="12" w16cid:durableId="2035108880">
    <w:abstractNumId w:val="14"/>
  </w:num>
  <w:num w:numId="13" w16cid:durableId="2080322222">
    <w:abstractNumId w:val="12"/>
  </w:num>
  <w:num w:numId="14" w16cid:durableId="1251547961">
    <w:abstractNumId w:val="0"/>
  </w:num>
  <w:num w:numId="15" w16cid:durableId="149953720">
    <w:abstractNumId w:val="10"/>
  </w:num>
  <w:num w:numId="16" w16cid:durableId="2135252451">
    <w:abstractNumId w:val="8"/>
  </w:num>
  <w:num w:numId="17" w16cid:durableId="1222836355">
    <w:abstractNumId w:val="13"/>
  </w:num>
  <w:num w:numId="18" w16cid:durableId="18860644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CO" w:vendorID="64" w:dllVersion="0" w:nlCheck="1" w:checkStyle="0"/>
  <w:activeWritingStyle w:appName="MSWord" w:lang="es-ES_tradnl" w:vendorID="64" w:dllVersion="0"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19"/>
    <w:rsid w:val="00000B67"/>
    <w:rsid w:val="0000116A"/>
    <w:rsid w:val="00002342"/>
    <w:rsid w:val="00004ECB"/>
    <w:rsid w:val="000061AE"/>
    <w:rsid w:val="0000670E"/>
    <w:rsid w:val="00011C06"/>
    <w:rsid w:val="00013A4B"/>
    <w:rsid w:val="000146D6"/>
    <w:rsid w:val="000148D5"/>
    <w:rsid w:val="00015130"/>
    <w:rsid w:val="000152C5"/>
    <w:rsid w:val="00015DD9"/>
    <w:rsid w:val="00015F71"/>
    <w:rsid w:val="000169AC"/>
    <w:rsid w:val="00016C24"/>
    <w:rsid w:val="000171A9"/>
    <w:rsid w:val="000208CE"/>
    <w:rsid w:val="00022B5E"/>
    <w:rsid w:val="0002512E"/>
    <w:rsid w:val="00025B47"/>
    <w:rsid w:val="00030549"/>
    <w:rsid w:val="00031EC9"/>
    <w:rsid w:val="00032DD7"/>
    <w:rsid w:val="00033BD3"/>
    <w:rsid w:val="0003553F"/>
    <w:rsid w:val="000366D7"/>
    <w:rsid w:val="0004006C"/>
    <w:rsid w:val="00040BA6"/>
    <w:rsid w:val="0004155F"/>
    <w:rsid w:val="00041CAE"/>
    <w:rsid w:val="0004266B"/>
    <w:rsid w:val="00042A16"/>
    <w:rsid w:val="00043C1B"/>
    <w:rsid w:val="0004421B"/>
    <w:rsid w:val="00044AED"/>
    <w:rsid w:val="0004536B"/>
    <w:rsid w:val="000455DD"/>
    <w:rsid w:val="0004576E"/>
    <w:rsid w:val="00046FB8"/>
    <w:rsid w:val="00047214"/>
    <w:rsid w:val="0004763A"/>
    <w:rsid w:val="00047A7C"/>
    <w:rsid w:val="0005062F"/>
    <w:rsid w:val="00050861"/>
    <w:rsid w:val="00050C94"/>
    <w:rsid w:val="000513AD"/>
    <w:rsid w:val="00051B7F"/>
    <w:rsid w:val="00054687"/>
    <w:rsid w:val="00055410"/>
    <w:rsid w:val="00057BAF"/>
    <w:rsid w:val="0006072F"/>
    <w:rsid w:val="00060B0D"/>
    <w:rsid w:val="000638EB"/>
    <w:rsid w:val="00064CF4"/>
    <w:rsid w:val="000657CF"/>
    <w:rsid w:val="00065895"/>
    <w:rsid w:val="00065E85"/>
    <w:rsid w:val="0006663A"/>
    <w:rsid w:val="000675A5"/>
    <w:rsid w:val="00067AF2"/>
    <w:rsid w:val="0007175E"/>
    <w:rsid w:val="00072B33"/>
    <w:rsid w:val="000737CE"/>
    <w:rsid w:val="0007499C"/>
    <w:rsid w:val="00074F7B"/>
    <w:rsid w:val="00075199"/>
    <w:rsid w:val="00076D0C"/>
    <w:rsid w:val="00077999"/>
    <w:rsid w:val="0008022B"/>
    <w:rsid w:val="000808F2"/>
    <w:rsid w:val="00083071"/>
    <w:rsid w:val="00083B8C"/>
    <w:rsid w:val="00084508"/>
    <w:rsid w:val="000850F8"/>
    <w:rsid w:val="00085EEC"/>
    <w:rsid w:val="000868FF"/>
    <w:rsid w:val="00086955"/>
    <w:rsid w:val="00090785"/>
    <w:rsid w:val="00092744"/>
    <w:rsid w:val="00093612"/>
    <w:rsid w:val="00093E81"/>
    <w:rsid w:val="000949A9"/>
    <w:rsid w:val="00094FD7"/>
    <w:rsid w:val="000960F6"/>
    <w:rsid w:val="000A102D"/>
    <w:rsid w:val="000A20EC"/>
    <w:rsid w:val="000A2593"/>
    <w:rsid w:val="000A4208"/>
    <w:rsid w:val="000A50CD"/>
    <w:rsid w:val="000A5891"/>
    <w:rsid w:val="000A67CC"/>
    <w:rsid w:val="000A7F7F"/>
    <w:rsid w:val="000B1AD7"/>
    <w:rsid w:val="000B1C8F"/>
    <w:rsid w:val="000B38BC"/>
    <w:rsid w:val="000B4656"/>
    <w:rsid w:val="000B500F"/>
    <w:rsid w:val="000B515E"/>
    <w:rsid w:val="000B5215"/>
    <w:rsid w:val="000B7734"/>
    <w:rsid w:val="000B7BE2"/>
    <w:rsid w:val="000C0129"/>
    <w:rsid w:val="000C0254"/>
    <w:rsid w:val="000C06CD"/>
    <w:rsid w:val="000C4191"/>
    <w:rsid w:val="000C566E"/>
    <w:rsid w:val="000D08C4"/>
    <w:rsid w:val="000D09DA"/>
    <w:rsid w:val="000D09E6"/>
    <w:rsid w:val="000D0DC5"/>
    <w:rsid w:val="000D13AA"/>
    <w:rsid w:val="000D1720"/>
    <w:rsid w:val="000D2028"/>
    <w:rsid w:val="000D2D7D"/>
    <w:rsid w:val="000D4785"/>
    <w:rsid w:val="000D565C"/>
    <w:rsid w:val="000D6216"/>
    <w:rsid w:val="000D6A09"/>
    <w:rsid w:val="000E01EF"/>
    <w:rsid w:val="000E06A5"/>
    <w:rsid w:val="000E1DDA"/>
    <w:rsid w:val="000E4F36"/>
    <w:rsid w:val="000E539D"/>
    <w:rsid w:val="000E611C"/>
    <w:rsid w:val="000F19C2"/>
    <w:rsid w:val="000F34CC"/>
    <w:rsid w:val="000F35E4"/>
    <w:rsid w:val="000F561B"/>
    <w:rsid w:val="000F5F40"/>
    <w:rsid w:val="000F6110"/>
    <w:rsid w:val="000F6F4B"/>
    <w:rsid w:val="000F7ECF"/>
    <w:rsid w:val="000F7F69"/>
    <w:rsid w:val="001021E8"/>
    <w:rsid w:val="001026C1"/>
    <w:rsid w:val="00102F45"/>
    <w:rsid w:val="00104881"/>
    <w:rsid w:val="00104C03"/>
    <w:rsid w:val="00104C31"/>
    <w:rsid w:val="00104F98"/>
    <w:rsid w:val="001054C3"/>
    <w:rsid w:val="00105BDF"/>
    <w:rsid w:val="001061D4"/>
    <w:rsid w:val="00106536"/>
    <w:rsid w:val="00106FE4"/>
    <w:rsid w:val="0010796C"/>
    <w:rsid w:val="00111617"/>
    <w:rsid w:val="00112528"/>
    <w:rsid w:val="00112A43"/>
    <w:rsid w:val="00113E59"/>
    <w:rsid w:val="001144C7"/>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318A4"/>
    <w:rsid w:val="00132FC9"/>
    <w:rsid w:val="001335AE"/>
    <w:rsid w:val="00133D25"/>
    <w:rsid w:val="00133F61"/>
    <w:rsid w:val="00134701"/>
    <w:rsid w:val="00136F77"/>
    <w:rsid w:val="00142991"/>
    <w:rsid w:val="00145346"/>
    <w:rsid w:val="0014541F"/>
    <w:rsid w:val="001474C3"/>
    <w:rsid w:val="0015032D"/>
    <w:rsid w:val="00151541"/>
    <w:rsid w:val="00151E65"/>
    <w:rsid w:val="00153D07"/>
    <w:rsid w:val="00154423"/>
    <w:rsid w:val="001548F0"/>
    <w:rsid w:val="00154AB0"/>
    <w:rsid w:val="00155FAA"/>
    <w:rsid w:val="001572AA"/>
    <w:rsid w:val="00157EC1"/>
    <w:rsid w:val="0016025E"/>
    <w:rsid w:val="0016211B"/>
    <w:rsid w:val="00162DC6"/>
    <w:rsid w:val="001635E9"/>
    <w:rsid w:val="001636C2"/>
    <w:rsid w:val="00163966"/>
    <w:rsid w:val="00163AD0"/>
    <w:rsid w:val="00163D20"/>
    <w:rsid w:val="001645E0"/>
    <w:rsid w:val="00164E7A"/>
    <w:rsid w:val="00165D97"/>
    <w:rsid w:val="001663BF"/>
    <w:rsid w:val="0016676D"/>
    <w:rsid w:val="00170A10"/>
    <w:rsid w:val="00170B8F"/>
    <w:rsid w:val="001714B8"/>
    <w:rsid w:val="00172F4D"/>
    <w:rsid w:val="00173A8E"/>
    <w:rsid w:val="00173E0D"/>
    <w:rsid w:val="001758DA"/>
    <w:rsid w:val="00175C93"/>
    <w:rsid w:val="00175DF5"/>
    <w:rsid w:val="00176090"/>
    <w:rsid w:val="00182090"/>
    <w:rsid w:val="00184249"/>
    <w:rsid w:val="00184FCB"/>
    <w:rsid w:val="001854E2"/>
    <w:rsid w:val="00186951"/>
    <w:rsid w:val="0018723C"/>
    <w:rsid w:val="0019002E"/>
    <w:rsid w:val="00191A8B"/>
    <w:rsid w:val="00192492"/>
    <w:rsid w:val="001936E8"/>
    <w:rsid w:val="001962DD"/>
    <w:rsid w:val="0019632E"/>
    <w:rsid w:val="00196F9A"/>
    <w:rsid w:val="00197661"/>
    <w:rsid w:val="001A1466"/>
    <w:rsid w:val="001A28C1"/>
    <w:rsid w:val="001A351B"/>
    <w:rsid w:val="001A3947"/>
    <w:rsid w:val="001A4978"/>
    <w:rsid w:val="001A6C74"/>
    <w:rsid w:val="001A6F2E"/>
    <w:rsid w:val="001A7987"/>
    <w:rsid w:val="001B01C9"/>
    <w:rsid w:val="001B0400"/>
    <w:rsid w:val="001B067D"/>
    <w:rsid w:val="001B1F4F"/>
    <w:rsid w:val="001B1F74"/>
    <w:rsid w:val="001B1F7B"/>
    <w:rsid w:val="001B32C0"/>
    <w:rsid w:val="001B440C"/>
    <w:rsid w:val="001B5920"/>
    <w:rsid w:val="001B5F8B"/>
    <w:rsid w:val="001B679C"/>
    <w:rsid w:val="001C00F7"/>
    <w:rsid w:val="001C0441"/>
    <w:rsid w:val="001C2368"/>
    <w:rsid w:val="001C2592"/>
    <w:rsid w:val="001C3C60"/>
    <w:rsid w:val="001C3E43"/>
    <w:rsid w:val="001C5CAB"/>
    <w:rsid w:val="001C6347"/>
    <w:rsid w:val="001C6C17"/>
    <w:rsid w:val="001C6C52"/>
    <w:rsid w:val="001C6DB8"/>
    <w:rsid w:val="001C7F3A"/>
    <w:rsid w:val="001D0116"/>
    <w:rsid w:val="001D03A9"/>
    <w:rsid w:val="001D05A9"/>
    <w:rsid w:val="001D0F26"/>
    <w:rsid w:val="001D1071"/>
    <w:rsid w:val="001D18DE"/>
    <w:rsid w:val="001D37EC"/>
    <w:rsid w:val="001D37EF"/>
    <w:rsid w:val="001D4542"/>
    <w:rsid w:val="001D4574"/>
    <w:rsid w:val="001D4D60"/>
    <w:rsid w:val="001D5025"/>
    <w:rsid w:val="001D54E8"/>
    <w:rsid w:val="001D5655"/>
    <w:rsid w:val="001D62C2"/>
    <w:rsid w:val="001E2065"/>
    <w:rsid w:val="001E21F6"/>
    <w:rsid w:val="001E6511"/>
    <w:rsid w:val="001E7143"/>
    <w:rsid w:val="001E7301"/>
    <w:rsid w:val="001F0C63"/>
    <w:rsid w:val="001F34A8"/>
    <w:rsid w:val="001F6CFF"/>
    <w:rsid w:val="001F6D2B"/>
    <w:rsid w:val="001F7DAC"/>
    <w:rsid w:val="00200562"/>
    <w:rsid w:val="0020193D"/>
    <w:rsid w:val="00203272"/>
    <w:rsid w:val="00204439"/>
    <w:rsid w:val="0020451D"/>
    <w:rsid w:val="0020549A"/>
    <w:rsid w:val="00205569"/>
    <w:rsid w:val="00205B65"/>
    <w:rsid w:val="0020633B"/>
    <w:rsid w:val="00206847"/>
    <w:rsid w:val="0021156B"/>
    <w:rsid w:val="002122A7"/>
    <w:rsid w:val="00212C2D"/>
    <w:rsid w:val="0021393B"/>
    <w:rsid w:val="002139A4"/>
    <w:rsid w:val="00213F89"/>
    <w:rsid w:val="00214A8B"/>
    <w:rsid w:val="00215FFD"/>
    <w:rsid w:val="002222F2"/>
    <w:rsid w:val="002228DE"/>
    <w:rsid w:val="00223D34"/>
    <w:rsid w:val="00224EB6"/>
    <w:rsid w:val="0022512A"/>
    <w:rsid w:val="00225EFD"/>
    <w:rsid w:val="00226108"/>
    <w:rsid w:val="00227389"/>
    <w:rsid w:val="0023038F"/>
    <w:rsid w:val="002306DC"/>
    <w:rsid w:val="0023337F"/>
    <w:rsid w:val="00233855"/>
    <w:rsid w:val="00234078"/>
    <w:rsid w:val="002341ED"/>
    <w:rsid w:val="00234B48"/>
    <w:rsid w:val="00234FAD"/>
    <w:rsid w:val="00235125"/>
    <w:rsid w:val="0023517F"/>
    <w:rsid w:val="00236360"/>
    <w:rsid w:val="002369A1"/>
    <w:rsid w:val="002378F8"/>
    <w:rsid w:val="00240517"/>
    <w:rsid w:val="002410C3"/>
    <w:rsid w:val="00241646"/>
    <w:rsid w:val="002427EA"/>
    <w:rsid w:val="00242C43"/>
    <w:rsid w:val="00245D50"/>
    <w:rsid w:val="00246E11"/>
    <w:rsid w:val="002474C4"/>
    <w:rsid w:val="00253504"/>
    <w:rsid w:val="002537C0"/>
    <w:rsid w:val="00253D9C"/>
    <w:rsid w:val="0025698B"/>
    <w:rsid w:val="0025754A"/>
    <w:rsid w:val="002576C3"/>
    <w:rsid w:val="00262FC3"/>
    <w:rsid w:val="0026418B"/>
    <w:rsid w:val="00264BDA"/>
    <w:rsid w:val="002671DD"/>
    <w:rsid w:val="00267231"/>
    <w:rsid w:val="00267402"/>
    <w:rsid w:val="00267C3A"/>
    <w:rsid w:val="00267CC3"/>
    <w:rsid w:val="00267E8E"/>
    <w:rsid w:val="00267ED2"/>
    <w:rsid w:val="00270692"/>
    <w:rsid w:val="00271E48"/>
    <w:rsid w:val="00272FEF"/>
    <w:rsid w:val="00273C97"/>
    <w:rsid w:val="00274202"/>
    <w:rsid w:val="0027498F"/>
    <w:rsid w:val="0027525D"/>
    <w:rsid w:val="002765A3"/>
    <w:rsid w:val="0027733F"/>
    <w:rsid w:val="002776E6"/>
    <w:rsid w:val="00280AC9"/>
    <w:rsid w:val="00280F59"/>
    <w:rsid w:val="0028113F"/>
    <w:rsid w:val="002812CC"/>
    <w:rsid w:val="0028268D"/>
    <w:rsid w:val="002827DC"/>
    <w:rsid w:val="00283A45"/>
    <w:rsid w:val="0028680E"/>
    <w:rsid w:val="00286D1E"/>
    <w:rsid w:val="0028744F"/>
    <w:rsid w:val="0029022A"/>
    <w:rsid w:val="002906C8"/>
    <w:rsid w:val="002919C4"/>
    <w:rsid w:val="00291B9B"/>
    <w:rsid w:val="00291D67"/>
    <w:rsid w:val="0029210E"/>
    <w:rsid w:val="002928C4"/>
    <w:rsid w:val="002929FA"/>
    <w:rsid w:val="00292A35"/>
    <w:rsid w:val="00293E5F"/>
    <w:rsid w:val="00295BFC"/>
    <w:rsid w:val="00295F15"/>
    <w:rsid w:val="00296F43"/>
    <w:rsid w:val="002A001E"/>
    <w:rsid w:val="002A01FA"/>
    <w:rsid w:val="002A0847"/>
    <w:rsid w:val="002A1685"/>
    <w:rsid w:val="002A23E4"/>
    <w:rsid w:val="002A335E"/>
    <w:rsid w:val="002A4F32"/>
    <w:rsid w:val="002A5171"/>
    <w:rsid w:val="002A58DD"/>
    <w:rsid w:val="002A7F12"/>
    <w:rsid w:val="002B0A44"/>
    <w:rsid w:val="002B12F6"/>
    <w:rsid w:val="002B1A31"/>
    <w:rsid w:val="002B1DB7"/>
    <w:rsid w:val="002B2174"/>
    <w:rsid w:val="002B3361"/>
    <w:rsid w:val="002B354C"/>
    <w:rsid w:val="002B73E9"/>
    <w:rsid w:val="002B7D5C"/>
    <w:rsid w:val="002C36CA"/>
    <w:rsid w:val="002C5BC8"/>
    <w:rsid w:val="002C60B6"/>
    <w:rsid w:val="002D0394"/>
    <w:rsid w:val="002D1401"/>
    <w:rsid w:val="002D2E12"/>
    <w:rsid w:val="002D493B"/>
    <w:rsid w:val="002D6370"/>
    <w:rsid w:val="002D6AAB"/>
    <w:rsid w:val="002D6FB3"/>
    <w:rsid w:val="002E1354"/>
    <w:rsid w:val="002E1694"/>
    <w:rsid w:val="002E1FE2"/>
    <w:rsid w:val="002E4C9D"/>
    <w:rsid w:val="002E6883"/>
    <w:rsid w:val="002E7275"/>
    <w:rsid w:val="002F0164"/>
    <w:rsid w:val="002F0754"/>
    <w:rsid w:val="002F1C18"/>
    <w:rsid w:val="002F1C91"/>
    <w:rsid w:val="002F271E"/>
    <w:rsid w:val="002F2F2D"/>
    <w:rsid w:val="002F31B2"/>
    <w:rsid w:val="002F42DA"/>
    <w:rsid w:val="002F5597"/>
    <w:rsid w:val="002F78D9"/>
    <w:rsid w:val="0030155C"/>
    <w:rsid w:val="003019A2"/>
    <w:rsid w:val="0030394A"/>
    <w:rsid w:val="003054BB"/>
    <w:rsid w:val="00306506"/>
    <w:rsid w:val="003069A5"/>
    <w:rsid w:val="003073EC"/>
    <w:rsid w:val="0030778C"/>
    <w:rsid w:val="003104C4"/>
    <w:rsid w:val="00310EC0"/>
    <w:rsid w:val="0031274E"/>
    <w:rsid w:val="00312999"/>
    <w:rsid w:val="00312A12"/>
    <w:rsid w:val="00312C6F"/>
    <w:rsid w:val="00313545"/>
    <w:rsid w:val="00313914"/>
    <w:rsid w:val="00313AD1"/>
    <w:rsid w:val="00315942"/>
    <w:rsid w:val="00315A96"/>
    <w:rsid w:val="00315B10"/>
    <w:rsid w:val="00316977"/>
    <w:rsid w:val="003176FC"/>
    <w:rsid w:val="00317873"/>
    <w:rsid w:val="00317F16"/>
    <w:rsid w:val="00320142"/>
    <w:rsid w:val="00323817"/>
    <w:rsid w:val="00325599"/>
    <w:rsid w:val="00326B4D"/>
    <w:rsid w:val="00327418"/>
    <w:rsid w:val="00330D9E"/>
    <w:rsid w:val="0033104D"/>
    <w:rsid w:val="00331E58"/>
    <w:rsid w:val="00333BFE"/>
    <w:rsid w:val="00335D54"/>
    <w:rsid w:val="0033677F"/>
    <w:rsid w:val="00336BF6"/>
    <w:rsid w:val="00336ED6"/>
    <w:rsid w:val="003377B3"/>
    <w:rsid w:val="003401EC"/>
    <w:rsid w:val="003411BD"/>
    <w:rsid w:val="00342009"/>
    <w:rsid w:val="003420CD"/>
    <w:rsid w:val="0034239C"/>
    <w:rsid w:val="003441DE"/>
    <w:rsid w:val="0034585B"/>
    <w:rsid w:val="00345C47"/>
    <w:rsid w:val="00345EBD"/>
    <w:rsid w:val="00346590"/>
    <w:rsid w:val="00346933"/>
    <w:rsid w:val="003503A5"/>
    <w:rsid w:val="00350C48"/>
    <w:rsid w:val="00352BE8"/>
    <w:rsid w:val="00352F64"/>
    <w:rsid w:val="00353B00"/>
    <w:rsid w:val="00353F74"/>
    <w:rsid w:val="003567C1"/>
    <w:rsid w:val="003572B4"/>
    <w:rsid w:val="00357523"/>
    <w:rsid w:val="00357AA5"/>
    <w:rsid w:val="00360620"/>
    <w:rsid w:val="00361D80"/>
    <w:rsid w:val="003620A2"/>
    <w:rsid w:val="00362D65"/>
    <w:rsid w:val="00362D7B"/>
    <w:rsid w:val="00364CF5"/>
    <w:rsid w:val="00364D91"/>
    <w:rsid w:val="003659F0"/>
    <w:rsid w:val="00365FD9"/>
    <w:rsid w:val="00366049"/>
    <w:rsid w:val="00370225"/>
    <w:rsid w:val="00370E0D"/>
    <w:rsid w:val="00370F04"/>
    <w:rsid w:val="00371064"/>
    <w:rsid w:val="003723BF"/>
    <w:rsid w:val="00372868"/>
    <w:rsid w:val="00372EDF"/>
    <w:rsid w:val="00374A9A"/>
    <w:rsid w:val="00375217"/>
    <w:rsid w:val="003800F5"/>
    <w:rsid w:val="00383F34"/>
    <w:rsid w:val="00384247"/>
    <w:rsid w:val="0038459E"/>
    <w:rsid w:val="00385CCE"/>
    <w:rsid w:val="00385D9C"/>
    <w:rsid w:val="00390436"/>
    <w:rsid w:val="0039060B"/>
    <w:rsid w:val="003906B9"/>
    <w:rsid w:val="0039082E"/>
    <w:rsid w:val="0039199D"/>
    <w:rsid w:val="00391A53"/>
    <w:rsid w:val="00391FF4"/>
    <w:rsid w:val="003929A0"/>
    <w:rsid w:val="00393229"/>
    <w:rsid w:val="0039608D"/>
    <w:rsid w:val="003A2B96"/>
    <w:rsid w:val="003A33B3"/>
    <w:rsid w:val="003A3DB2"/>
    <w:rsid w:val="003A5206"/>
    <w:rsid w:val="003A690F"/>
    <w:rsid w:val="003A6987"/>
    <w:rsid w:val="003A6B35"/>
    <w:rsid w:val="003A6BFE"/>
    <w:rsid w:val="003A7664"/>
    <w:rsid w:val="003B05FB"/>
    <w:rsid w:val="003B0ACC"/>
    <w:rsid w:val="003B114E"/>
    <w:rsid w:val="003B267D"/>
    <w:rsid w:val="003B3170"/>
    <w:rsid w:val="003B51E5"/>
    <w:rsid w:val="003B5D27"/>
    <w:rsid w:val="003B65CD"/>
    <w:rsid w:val="003B6781"/>
    <w:rsid w:val="003B70D9"/>
    <w:rsid w:val="003B7557"/>
    <w:rsid w:val="003C419C"/>
    <w:rsid w:val="003C499E"/>
    <w:rsid w:val="003C5589"/>
    <w:rsid w:val="003C57A0"/>
    <w:rsid w:val="003C5D9F"/>
    <w:rsid w:val="003C6872"/>
    <w:rsid w:val="003D028E"/>
    <w:rsid w:val="003D0905"/>
    <w:rsid w:val="003D0CD9"/>
    <w:rsid w:val="003D3E08"/>
    <w:rsid w:val="003D577C"/>
    <w:rsid w:val="003D742E"/>
    <w:rsid w:val="003E06EB"/>
    <w:rsid w:val="003E0E0B"/>
    <w:rsid w:val="003E4B83"/>
    <w:rsid w:val="003E54D6"/>
    <w:rsid w:val="003E6C1A"/>
    <w:rsid w:val="003F065A"/>
    <w:rsid w:val="003F13BA"/>
    <w:rsid w:val="003F1833"/>
    <w:rsid w:val="003F3623"/>
    <w:rsid w:val="003F36B1"/>
    <w:rsid w:val="003F3933"/>
    <w:rsid w:val="003F3E64"/>
    <w:rsid w:val="003F464D"/>
    <w:rsid w:val="003F50C8"/>
    <w:rsid w:val="003F5564"/>
    <w:rsid w:val="003F5E5C"/>
    <w:rsid w:val="003F69F9"/>
    <w:rsid w:val="0040035A"/>
    <w:rsid w:val="00401AD5"/>
    <w:rsid w:val="0040352D"/>
    <w:rsid w:val="004062AC"/>
    <w:rsid w:val="004065E7"/>
    <w:rsid w:val="0040684F"/>
    <w:rsid w:val="00406873"/>
    <w:rsid w:val="00407DFD"/>
    <w:rsid w:val="0041018E"/>
    <w:rsid w:val="0041059C"/>
    <w:rsid w:val="00412F7E"/>
    <w:rsid w:val="004131C5"/>
    <w:rsid w:val="004144B5"/>
    <w:rsid w:val="00414654"/>
    <w:rsid w:val="00414956"/>
    <w:rsid w:val="004155B6"/>
    <w:rsid w:val="004165F7"/>
    <w:rsid w:val="0041745C"/>
    <w:rsid w:val="00421377"/>
    <w:rsid w:val="00421410"/>
    <w:rsid w:val="00421EAF"/>
    <w:rsid w:val="00422C01"/>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CDD"/>
    <w:rsid w:val="00440CF8"/>
    <w:rsid w:val="00440FCC"/>
    <w:rsid w:val="004417ED"/>
    <w:rsid w:val="00441CCD"/>
    <w:rsid w:val="00442723"/>
    <w:rsid w:val="00443B09"/>
    <w:rsid w:val="00444729"/>
    <w:rsid w:val="00445CA3"/>
    <w:rsid w:val="00446418"/>
    <w:rsid w:val="00446B8F"/>
    <w:rsid w:val="0045103E"/>
    <w:rsid w:val="004562B6"/>
    <w:rsid w:val="0045695F"/>
    <w:rsid w:val="00457A30"/>
    <w:rsid w:val="00460BF2"/>
    <w:rsid w:val="004634EE"/>
    <w:rsid w:val="004639F6"/>
    <w:rsid w:val="00465785"/>
    <w:rsid w:val="00466EDD"/>
    <w:rsid w:val="00467526"/>
    <w:rsid w:val="00467BCA"/>
    <w:rsid w:val="00470024"/>
    <w:rsid w:val="00470575"/>
    <w:rsid w:val="00471D43"/>
    <w:rsid w:val="0047269E"/>
    <w:rsid w:val="00473F21"/>
    <w:rsid w:val="004741CE"/>
    <w:rsid w:val="004751CB"/>
    <w:rsid w:val="004768D9"/>
    <w:rsid w:val="00480020"/>
    <w:rsid w:val="00481703"/>
    <w:rsid w:val="00482A96"/>
    <w:rsid w:val="004847C8"/>
    <w:rsid w:val="004849E4"/>
    <w:rsid w:val="00486D94"/>
    <w:rsid w:val="004909A7"/>
    <w:rsid w:val="00491C54"/>
    <w:rsid w:val="0049293A"/>
    <w:rsid w:val="00493064"/>
    <w:rsid w:val="0049534A"/>
    <w:rsid w:val="0049582F"/>
    <w:rsid w:val="00495E4C"/>
    <w:rsid w:val="00495F90"/>
    <w:rsid w:val="00496724"/>
    <w:rsid w:val="004968A7"/>
    <w:rsid w:val="0049749B"/>
    <w:rsid w:val="00497FFC"/>
    <w:rsid w:val="004A0C9C"/>
    <w:rsid w:val="004A1AC9"/>
    <w:rsid w:val="004A2773"/>
    <w:rsid w:val="004A2EC0"/>
    <w:rsid w:val="004A3885"/>
    <w:rsid w:val="004A3F11"/>
    <w:rsid w:val="004A513B"/>
    <w:rsid w:val="004A59CF"/>
    <w:rsid w:val="004A5C60"/>
    <w:rsid w:val="004A5FDA"/>
    <w:rsid w:val="004B04EC"/>
    <w:rsid w:val="004B105F"/>
    <w:rsid w:val="004B15FD"/>
    <w:rsid w:val="004B2174"/>
    <w:rsid w:val="004B3112"/>
    <w:rsid w:val="004B4099"/>
    <w:rsid w:val="004B548B"/>
    <w:rsid w:val="004B7853"/>
    <w:rsid w:val="004B7901"/>
    <w:rsid w:val="004B7C7F"/>
    <w:rsid w:val="004B7D3A"/>
    <w:rsid w:val="004B7E68"/>
    <w:rsid w:val="004C15DA"/>
    <w:rsid w:val="004C18C7"/>
    <w:rsid w:val="004C3155"/>
    <w:rsid w:val="004C3232"/>
    <w:rsid w:val="004C3354"/>
    <w:rsid w:val="004C3640"/>
    <w:rsid w:val="004C516C"/>
    <w:rsid w:val="004C5EDB"/>
    <w:rsid w:val="004C6443"/>
    <w:rsid w:val="004C72C5"/>
    <w:rsid w:val="004C7FB8"/>
    <w:rsid w:val="004D09B3"/>
    <w:rsid w:val="004D1432"/>
    <w:rsid w:val="004D1632"/>
    <w:rsid w:val="004D1D87"/>
    <w:rsid w:val="004D217F"/>
    <w:rsid w:val="004D2789"/>
    <w:rsid w:val="004D364E"/>
    <w:rsid w:val="004D56DA"/>
    <w:rsid w:val="004D5B7A"/>
    <w:rsid w:val="004D5BFE"/>
    <w:rsid w:val="004D6214"/>
    <w:rsid w:val="004D6435"/>
    <w:rsid w:val="004D71DE"/>
    <w:rsid w:val="004D794B"/>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665"/>
    <w:rsid w:val="004F37D1"/>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F9C"/>
    <w:rsid w:val="0051529A"/>
    <w:rsid w:val="00515479"/>
    <w:rsid w:val="00515FD0"/>
    <w:rsid w:val="00517044"/>
    <w:rsid w:val="00517401"/>
    <w:rsid w:val="00520665"/>
    <w:rsid w:val="00520CEF"/>
    <w:rsid w:val="00522C55"/>
    <w:rsid w:val="005239C4"/>
    <w:rsid w:val="00524504"/>
    <w:rsid w:val="00524BA9"/>
    <w:rsid w:val="00525118"/>
    <w:rsid w:val="0052566A"/>
    <w:rsid w:val="005273DF"/>
    <w:rsid w:val="005304B9"/>
    <w:rsid w:val="005304EC"/>
    <w:rsid w:val="00531510"/>
    <w:rsid w:val="00531768"/>
    <w:rsid w:val="005322E5"/>
    <w:rsid w:val="00532B9E"/>
    <w:rsid w:val="00534630"/>
    <w:rsid w:val="005349D2"/>
    <w:rsid w:val="00535421"/>
    <w:rsid w:val="00536B61"/>
    <w:rsid w:val="00541088"/>
    <w:rsid w:val="00541976"/>
    <w:rsid w:val="00541D82"/>
    <w:rsid w:val="0054356C"/>
    <w:rsid w:val="005437DC"/>
    <w:rsid w:val="00544600"/>
    <w:rsid w:val="00546515"/>
    <w:rsid w:val="0054701E"/>
    <w:rsid w:val="0054781D"/>
    <w:rsid w:val="005510F6"/>
    <w:rsid w:val="0055119B"/>
    <w:rsid w:val="00552F5D"/>
    <w:rsid w:val="00553376"/>
    <w:rsid w:val="00553B45"/>
    <w:rsid w:val="005554C2"/>
    <w:rsid w:val="005567D4"/>
    <w:rsid w:val="00556F46"/>
    <w:rsid w:val="00563223"/>
    <w:rsid w:val="00563279"/>
    <w:rsid w:val="00564F88"/>
    <w:rsid w:val="005654BB"/>
    <w:rsid w:val="00566BED"/>
    <w:rsid w:val="005706CF"/>
    <w:rsid w:val="0057190A"/>
    <w:rsid w:val="00573449"/>
    <w:rsid w:val="00574CC3"/>
    <w:rsid w:val="00575023"/>
    <w:rsid w:val="00575B87"/>
    <w:rsid w:val="00580DBC"/>
    <w:rsid w:val="0058133D"/>
    <w:rsid w:val="005823D2"/>
    <w:rsid w:val="00582A9A"/>
    <w:rsid w:val="0058413F"/>
    <w:rsid w:val="00584A55"/>
    <w:rsid w:val="00584EB0"/>
    <w:rsid w:val="005852FA"/>
    <w:rsid w:val="00585BDA"/>
    <w:rsid w:val="00585F9B"/>
    <w:rsid w:val="00587524"/>
    <w:rsid w:val="00587BC9"/>
    <w:rsid w:val="00593B0A"/>
    <w:rsid w:val="00594FDF"/>
    <w:rsid w:val="00596894"/>
    <w:rsid w:val="00596BAD"/>
    <w:rsid w:val="00597EFE"/>
    <w:rsid w:val="005A05FF"/>
    <w:rsid w:val="005A07C1"/>
    <w:rsid w:val="005A0CE9"/>
    <w:rsid w:val="005A1791"/>
    <w:rsid w:val="005A18E8"/>
    <w:rsid w:val="005A295F"/>
    <w:rsid w:val="005A4756"/>
    <w:rsid w:val="005A5336"/>
    <w:rsid w:val="005A7C02"/>
    <w:rsid w:val="005B19D5"/>
    <w:rsid w:val="005B2541"/>
    <w:rsid w:val="005B3404"/>
    <w:rsid w:val="005B34F7"/>
    <w:rsid w:val="005B3F07"/>
    <w:rsid w:val="005B4B95"/>
    <w:rsid w:val="005B527C"/>
    <w:rsid w:val="005B5478"/>
    <w:rsid w:val="005B6840"/>
    <w:rsid w:val="005B6F1E"/>
    <w:rsid w:val="005C0923"/>
    <w:rsid w:val="005C1AC2"/>
    <w:rsid w:val="005C1D38"/>
    <w:rsid w:val="005C22C5"/>
    <w:rsid w:val="005C457C"/>
    <w:rsid w:val="005C70F9"/>
    <w:rsid w:val="005C72BA"/>
    <w:rsid w:val="005C7F56"/>
    <w:rsid w:val="005D06DA"/>
    <w:rsid w:val="005D3924"/>
    <w:rsid w:val="005D3BC4"/>
    <w:rsid w:val="005D4B2E"/>
    <w:rsid w:val="005D4D57"/>
    <w:rsid w:val="005D4DD8"/>
    <w:rsid w:val="005D4E45"/>
    <w:rsid w:val="005D5295"/>
    <w:rsid w:val="005D55C6"/>
    <w:rsid w:val="005D570D"/>
    <w:rsid w:val="005D7727"/>
    <w:rsid w:val="005D7A84"/>
    <w:rsid w:val="005E00D8"/>
    <w:rsid w:val="005E1128"/>
    <w:rsid w:val="005E1B15"/>
    <w:rsid w:val="005E3005"/>
    <w:rsid w:val="005E3A54"/>
    <w:rsid w:val="005E3ECD"/>
    <w:rsid w:val="005E417E"/>
    <w:rsid w:val="005E42BE"/>
    <w:rsid w:val="005E4926"/>
    <w:rsid w:val="005E4D75"/>
    <w:rsid w:val="005E62EB"/>
    <w:rsid w:val="005E6446"/>
    <w:rsid w:val="005E7E2B"/>
    <w:rsid w:val="005F06B3"/>
    <w:rsid w:val="005F0CED"/>
    <w:rsid w:val="005F3F70"/>
    <w:rsid w:val="005F4692"/>
    <w:rsid w:val="005F55EF"/>
    <w:rsid w:val="005F581E"/>
    <w:rsid w:val="005F593A"/>
    <w:rsid w:val="00601823"/>
    <w:rsid w:val="0060335A"/>
    <w:rsid w:val="006033EC"/>
    <w:rsid w:val="0060360B"/>
    <w:rsid w:val="0060495A"/>
    <w:rsid w:val="00605118"/>
    <w:rsid w:val="00605240"/>
    <w:rsid w:val="00606273"/>
    <w:rsid w:val="00606A96"/>
    <w:rsid w:val="006073A2"/>
    <w:rsid w:val="00610BA7"/>
    <w:rsid w:val="00613DBC"/>
    <w:rsid w:val="0061475F"/>
    <w:rsid w:val="006151F8"/>
    <w:rsid w:val="00615679"/>
    <w:rsid w:val="00615DB8"/>
    <w:rsid w:val="00616501"/>
    <w:rsid w:val="006168C7"/>
    <w:rsid w:val="00616FCD"/>
    <w:rsid w:val="00617B69"/>
    <w:rsid w:val="00620673"/>
    <w:rsid w:val="00620724"/>
    <w:rsid w:val="006212F2"/>
    <w:rsid w:val="00621AFF"/>
    <w:rsid w:val="0062301F"/>
    <w:rsid w:val="00623A7B"/>
    <w:rsid w:val="0062433B"/>
    <w:rsid w:val="00624F8E"/>
    <w:rsid w:val="00626F21"/>
    <w:rsid w:val="0062731D"/>
    <w:rsid w:val="00627BD8"/>
    <w:rsid w:val="0063145A"/>
    <w:rsid w:val="00632942"/>
    <w:rsid w:val="00635027"/>
    <w:rsid w:val="00640AEA"/>
    <w:rsid w:val="00640B06"/>
    <w:rsid w:val="00641E84"/>
    <w:rsid w:val="006434BE"/>
    <w:rsid w:val="00643D8E"/>
    <w:rsid w:val="00643EF2"/>
    <w:rsid w:val="00644E04"/>
    <w:rsid w:val="00644E8F"/>
    <w:rsid w:val="00645E04"/>
    <w:rsid w:val="00646101"/>
    <w:rsid w:val="00646372"/>
    <w:rsid w:val="006473CD"/>
    <w:rsid w:val="00647D45"/>
    <w:rsid w:val="006508E2"/>
    <w:rsid w:val="0065228A"/>
    <w:rsid w:val="0065288D"/>
    <w:rsid w:val="00652A78"/>
    <w:rsid w:val="00652BE4"/>
    <w:rsid w:val="00654879"/>
    <w:rsid w:val="0065503A"/>
    <w:rsid w:val="00655C12"/>
    <w:rsid w:val="00657D4E"/>
    <w:rsid w:val="00660796"/>
    <w:rsid w:val="00660C84"/>
    <w:rsid w:val="0066152A"/>
    <w:rsid w:val="006628F0"/>
    <w:rsid w:val="00663E2F"/>
    <w:rsid w:val="0066579A"/>
    <w:rsid w:val="00665C20"/>
    <w:rsid w:val="0066688F"/>
    <w:rsid w:val="00670352"/>
    <w:rsid w:val="006704C3"/>
    <w:rsid w:val="00671518"/>
    <w:rsid w:val="00672348"/>
    <w:rsid w:val="00672795"/>
    <w:rsid w:val="00672A8A"/>
    <w:rsid w:val="00672EB2"/>
    <w:rsid w:val="006739A1"/>
    <w:rsid w:val="00673A7B"/>
    <w:rsid w:val="006750D0"/>
    <w:rsid w:val="006758DB"/>
    <w:rsid w:val="00675DB4"/>
    <w:rsid w:val="006763D0"/>
    <w:rsid w:val="006764D4"/>
    <w:rsid w:val="00676BC9"/>
    <w:rsid w:val="00680067"/>
    <w:rsid w:val="00680176"/>
    <w:rsid w:val="00682657"/>
    <w:rsid w:val="00682685"/>
    <w:rsid w:val="00685329"/>
    <w:rsid w:val="006859D5"/>
    <w:rsid w:val="0069029C"/>
    <w:rsid w:val="00690F6F"/>
    <w:rsid w:val="00692A17"/>
    <w:rsid w:val="0069309A"/>
    <w:rsid w:val="00694B7F"/>
    <w:rsid w:val="0069779B"/>
    <w:rsid w:val="00697B0C"/>
    <w:rsid w:val="006A062C"/>
    <w:rsid w:val="006A0A0B"/>
    <w:rsid w:val="006A0B67"/>
    <w:rsid w:val="006A0F62"/>
    <w:rsid w:val="006A271A"/>
    <w:rsid w:val="006A2A92"/>
    <w:rsid w:val="006A3088"/>
    <w:rsid w:val="006A3153"/>
    <w:rsid w:val="006A3355"/>
    <w:rsid w:val="006A4B0B"/>
    <w:rsid w:val="006A5DE6"/>
    <w:rsid w:val="006A6BAE"/>
    <w:rsid w:val="006A6C6A"/>
    <w:rsid w:val="006A772A"/>
    <w:rsid w:val="006B08D6"/>
    <w:rsid w:val="006B171D"/>
    <w:rsid w:val="006B1BC4"/>
    <w:rsid w:val="006B4F40"/>
    <w:rsid w:val="006B5508"/>
    <w:rsid w:val="006B6537"/>
    <w:rsid w:val="006B6FCA"/>
    <w:rsid w:val="006B7D8B"/>
    <w:rsid w:val="006C175E"/>
    <w:rsid w:val="006C242F"/>
    <w:rsid w:val="006C309F"/>
    <w:rsid w:val="006C36A0"/>
    <w:rsid w:val="006C37CD"/>
    <w:rsid w:val="006C3CB9"/>
    <w:rsid w:val="006C4D63"/>
    <w:rsid w:val="006C53DA"/>
    <w:rsid w:val="006C5F96"/>
    <w:rsid w:val="006C6BF2"/>
    <w:rsid w:val="006C7FAA"/>
    <w:rsid w:val="006D0650"/>
    <w:rsid w:val="006D1EAF"/>
    <w:rsid w:val="006D2E5A"/>
    <w:rsid w:val="006D52B2"/>
    <w:rsid w:val="006D6125"/>
    <w:rsid w:val="006D753C"/>
    <w:rsid w:val="006D7DF2"/>
    <w:rsid w:val="006E0113"/>
    <w:rsid w:val="006E0172"/>
    <w:rsid w:val="006E1608"/>
    <w:rsid w:val="006E47DB"/>
    <w:rsid w:val="006E590A"/>
    <w:rsid w:val="006E5D7F"/>
    <w:rsid w:val="006E65CC"/>
    <w:rsid w:val="006E7A47"/>
    <w:rsid w:val="006E7DAB"/>
    <w:rsid w:val="006E7F7F"/>
    <w:rsid w:val="006F024A"/>
    <w:rsid w:val="006F02FC"/>
    <w:rsid w:val="006F121C"/>
    <w:rsid w:val="006F23E5"/>
    <w:rsid w:val="006F4A34"/>
    <w:rsid w:val="006F7ADF"/>
    <w:rsid w:val="00700E68"/>
    <w:rsid w:val="00701B2B"/>
    <w:rsid w:val="00701E05"/>
    <w:rsid w:val="00701FD4"/>
    <w:rsid w:val="0070318D"/>
    <w:rsid w:val="0070355A"/>
    <w:rsid w:val="007053B7"/>
    <w:rsid w:val="00705C69"/>
    <w:rsid w:val="007072E8"/>
    <w:rsid w:val="0070777C"/>
    <w:rsid w:val="007102F4"/>
    <w:rsid w:val="0071071B"/>
    <w:rsid w:val="007135A3"/>
    <w:rsid w:val="00713829"/>
    <w:rsid w:val="007138FF"/>
    <w:rsid w:val="007154A6"/>
    <w:rsid w:val="007158D9"/>
    <w:rsid w:val="0071635F"/>
    <w:rsid w:val="00716645"/>
    <w:rsid w:val="00716BA2"/>
    <w:rsid w:val="00721A2F"/>
    <w:rsid w:val="00722FB0"/>
    <w:rsid w:val="00722FEC"/>
    <w:rsid w:val="00723290"/>
    <w:rsid w:val="00723B69"/>
    <w:rsid w:val="00724245"/>
    <w:rsid w:val="0072653D"/>
    <w:rsid w:val="00726AAA"/>
    <w:rsid w:val="00730CE4"/>
    <w:rsid w:val="0073342D"/>
    <w:rsid w:val="00737F9F"/>
    <w:rsid w:val="00740D07"/>
    <w:rsid w:val="0074102F"/>
    <w:rsid w:val="00741511"/>
    <w:rsid w:val="00741E99"/>
    <w:rsid w:val="00741EC3"/>
    <w:rsid w:val="007424FE"/>
    <w:rsid w:val="0074259A"/>
    <w:rsid w:val="00743657"/>
    <w:rsid w:val="007439D3"/>
    <w:rsid w:val="0074437E"/>
    <w:rsid w:val="00744C3D"/>
    <w:rsid w:val="00745236"/>
    <w:rsid w:val="00746C35"/>
    <w:rsid w:val="00750F6A"/>
    <w:rsid w:val="007521BB"/>
    <w:rsid w:val="00753403"/>
    <w:rsid w:val="00753C25"/>
    <w:rsid w:val="00754528"/>
    <w:rsid w:val="0075523C"/>
    <w:rsid w:val="00760989"/>
    <w:rsid w:val="00761A12"/>
    <w:rsid w:val="00762445"/>
    <w:rsid w:val="00762CC9"/>
    <w:rsid w:val="00763430"/>
    <w:rsid w:val="00764624"/>
    <w:rsid w:val="007647E2"/>
    <w:rsid w:val="00764D9D"/>
    <w:rsid w:val="00764FAD"/>
    <w:rsid w:val="00765831"/>
    <w:rsid w:val="00766D90"/>
    <w:rsid w:val="00766E70"/>
    <w:rsid w:val="00766EBA"/>
    <w:rsid w:val="0077057E"/>
    <w:rsid w:val="00770AEC"/>
    <w:rsid w:val="0077262F"/>
    <w:rsid w:val="007806EA"/>
    <w:rsid w:val="007816DC"/>
    <w:rsid w:val="0078198C"/>
    <w:rsid w:val="00782335"/>
    <w:rsid w:val="00782539"/>
    <w:rsid w:val="00782A6B"/>
    <w:rsid w:val="00785228"/>
    <w:rsid w:val="007860C9"/>
    <w:rsid w:val="00786C78"/>
    <w:rsid w:val="00791A3E"/>
    <w:rsid w:val="007924EC"/>
    <w:rsid w:val="0079429F"/>
    <w:rsid w:val="00795A94"/>
    <w:rsid w:val="007A1D94"/>
    <w:rsid w:val="007A3283"/>
    <w:rsid w:val="007A4290"/>
    <w:rsid w:val="007A44B2"/>
    <w:rsid w:val="007A4C19"/>
    <w:rsid w:val="007A6E60"/>
    <w:rsid w:val="007B0C6B"/>
    <w:rsid w:val="007B1175"/>
    <w:rsid w:val="007B2315"/>
    <w:rsid w:val="007B24F5"/>
    <w:rsid w:val="007B25E2"/>
    <w:rsid w:val="007B3AAF"/>
    <w:rsid w:val="007B4F39"/>
    <w:rsid w:val="007B60F1"/>
    <w:rsid w:val="007B651C"/>
    <w:rsid w:val="007B7B30"/>
    <w:rsid w:val="007C0F09"/>
    <w:rsid w:val="007C1754"/>
    <w:rsid w:val="007C1DB8"/>
    <w:rsid w:val="007C20C3"/>
    <w:rsid w:val="007C2274"/>
    <w:rsid w:val="007C227C"/>
    <w:rsid w:val="007C2483"/>
    <w:rsid w:val="007C39FE"/>
    <w:rsid w:val="007C6103"/>
    <w:rsid w:val="007D02FD"/>
    <w:rsid w:val="007D1B16"/>
    <w:rsid w:val="007D1D49"/>
    <w:rsid w:val="007D276C"/>
    <w:rsid w:val="007D326A"/>
    <w:rsid w:val="007D40DD"/>
    <w:rsid w:val="007D65F4"/>
    <w:rsid w:val="007D6DF5"/>
    <w:rsid w:val="007D7290"/>
    <w:rsid w:val="007D785F"/>
    <w:rsid w:val="007E129E"/>
    <w:rsid w:val="007E27A4"/>
    <w:rsid w:val="007E398B"/>
    <w:rsid w:val="007E4AC5"/>
    <w:rsid w:val="007E5875"/>
    <w:rsid w:val="007E5A01"/>
    <w:rsid w:val="007E5ADC"/>
    <w:rsid w:val="007E5B28"/>
    <w:rsid w:val="007E5B72"/>
    <w:rsid w:val="007E6C9A"/>
    <w:rsid w:val="007E6F80"/>
    <w:rsid w:val="007E71CC"/>
    <w:rsid w:val="007F0C64"/>
    <w:rsid w:val="007F1DB7"/>
    <w:rsid w:val="007F2465"/>
    <w:rsid w:val="007F4919"/>
    <w:rsid w:val="007F4CBC"/>
    <w:rsid w:val="007F6072"/>
    <w:rsid w:val="007F6816"/>
    <w:rsid w:val="007F7DA9"/>
    <w:rsid w:val="0080005B"/>
    <w:rsid w:val="00800B87"/>
    <w:rsid w:val="0080282B"/>
    <w:rsid w:val="0080362F"/>
    <w:rsid w:val="0080541F"/>
    <w:rsid w:val="00806917"/>
    <w:rsid w:val="00806AA7"/>
    <w:rsid w:val="00806CA4"/>
    <w:rsid w:val="00807486"/>
    <w:rsid w:val="008105D1"/>
    <w:rsid w:val="008118BB"/>
    <w:rsid w:val="00811D8B"/>
    <w:rsid w:val="0081239B"/>
    <w:rsid w:val="00812EE2"/>
    <w:rsid w:val="00813EF2"/>
    <w:rsid w:val="00813F04"/>
    <w:rsid w:val="008142AF"/>
    <w:rsid w:val="0081583B"/>
    <w:rsid w:val="00815D20"/>
    <w:rsid w:val="00815F8B"/>
    <w:rsid w:val="00817117"/>
    <w:rsid w:val="008211AC"/>
    <w:rsid w:val="00821373"/>
    <w:rsid w:val="0082262F"/>
    <w:rsid w:val="0082407B"/>
    <w:rsid w:val="00825EBB"/>
    <w:rsid w:val="00827AEA"/>
    <w:rsid w:val="0083096E"/>
    <w:rsid w:val="00831372"/>
    <w:rsid w:val="00831861"/>
    <w:rsid w:val="00832267"/>
    <w:rsid w:val="0083262A"/>
    <w:rsid w:val="00833985"/>
    <w:rsid w:val="00833F2B"/>
    <w:rsid w:val="00835410"/>
    <w:rsid w:val="008357AF"/>
    <w:rsid w:val="008359E5"/>
    <w:rsid w:val="0083743E"/>
    <w:rsid w:val="00837C2D"/>
    <w:rsid w:val="00840390"/>
    <w:rsid w:val="008413B4"/>
    <w:rsid w:val="008413D3"/>
    <w:rsid w:val="00843172"/>
    <w:rsid w:val="0084358B"/>
    <w:rsid w:val="00844A2F"/>
    <w:rsid w:val="008462CA"/>
    <w:rsid w:val="00846F16"/>
    <w:rsid w:val="00851108"/>
    <w:rsid w:val="0085235F"/>
    <w:rsid w:val="00854CA6"/>
    <w:rsid w:val="0085631A"/>
    <w:rsid w:val="00856891"/>
    <w:rsid w:val="00856991"/>
    <w:rsid w:val="00857369"/>
    <w:rsid w:val="00857B60"/>
    <w:rsid w:val="00857FE7"/>
    <w:rsid w:val="00862F07"/>
    <w:rsid w:val="00864BA4"/>
    <w:rsid w:val="00865F1C"/>
    <w:rsid w:val="00867E85"/>
    <w:rsid w:val="00870F00"/>
    <w:rsid w:val="00871C96"/>
    <w:rsid w:val="00872D75"/>
    <w:rsid w:val="00872E47"/>
    <w:rsid w:val="00873BC8"/>
    <w:rsid w:val="00874800"/>
    <w:rsid w:val="00875532"/>
    <w:rsid w:val="00876903"/>
    <w:rsid w:val="00881467"/>
    <w:rsid w:val="008816F3"/>
    <w:rsid w:val="00883D76"/>
    <w:rsid w:val="00885091"/>
    <w:rsid w:val="00885557"/>
    <w:rsid w:val="00885CD2"/>
    <w:rsid w:val="008871F8"/>
    <w:rsid w:val="00890E40"/>
    <w:rsid w:val="0089219D"/>
    <w:rsid w:val="00892654"/>
    <w:rsid w:val="008942E1"/>
    <w:rsid w:val="008942EE"/>
    <w:rsid w:val="0089595D"/>
    <w:rsid w:val="00896660"/>
    <w:rsid w:val="00896E57"/>
    <w:rsid w:val="00897270"/>
    <w:rsid w:val="008975D5"/>
    <w:rsid w:val="008A04E0"/>
    <w:rsid w:val="008A082B"/>
    <w:rsid w:val="008A08EF"/>
    <w:rsid w:val="008A111C"/>
    <w:rsid w:val="008A1965"/>
    <w:rsid w:val="008A19C7"/>
    <w:rsid w:val="008A2CCF"/>
    <w:rsid w:val="008A3512"/>
    <w:rsid w:val="008A3BE6"/>
    <w:rsid w:val="008A503B"/>
    <w:rsid w:val="008B01FF"/>
    <w:rsid w:val="008B1820"/>
    <w:rsid w:val="008B21EF"/>
    <w:rsid w:val="008B3619"/>
    <w:rsid w:val="008B3641"/>
    <w:rsid w:val="008B3CAF"/>
    <w:rsid w:val="008B44BF"/>
    <w:rsid w:val="008B5286"/>
    <w:rsid w:val="008B5571"/>
    <w:rsid w:val="008B7165"/>
    <w:rsid w:val="008C00AD"/>
    <w:rsid w:val="008C151B"/>
    <w:rsid w:val="008C1628"/>
    <w:rsid w:val="008C180E"/>
    <w:rsid w:val="008C1900"/>
    <w:rsid w:val="008C1F34"/>
    <w:rsid w:val="008C209E"/>
    <w:rsid w:val="008C291B"/>
    <w:rsid w:val="008C3609"/>
    <w:rsid w:val="008C3C44"/>
    <w:rsid w:val="008C4CCD"/>
    <w:rsid w:val="008C5F5B"/>
    <w:rsid w:val="008C6EF6"/>
    <w:rsid w:val="008C78DC"/>
    <w:rsid w:val="008D10A8"/>
    <w:rsid w:val="008D1A83"/>
    <w:rsid w:val="008D2C54"/>
    <w:rsid w:val="008D3BDD"/>
    <w:rsid w:val="008D3CDE"/>
    <w:rsid w:val="008D5711"/>
    <w:rsid w:val="008D5D29"/>
    <w:rsid w:val="008E080E"/>
    <w:rsid w:val="008E08F3"/>
    <w:rsid w:val="008E0AB4"/>
    <w:rsid w:val="008E0DAE"/>
    <w:rsid w:val="008E0F55"/>
    <w:rsid w:val="008E3F4F"/>
    <w:rsid w:val="008E5ECA"/>
    <w:rsid w:val="008E672E"/>
    <w:rsid w:val="008E7F1D"/>
    <w:rsid w:val="008F012D"/>
    <w:rsid w:val="008F387C"/>
    <w:rsid w:val="008F44A2"/>
    <w:rsid w:val="008F4F32"/>
    <w:rsid w:val="008F606B"/>
    <w:rsid w:val="0090267B"/>
    <w:rsid w:val="00902B6B"/>
    <w:rsid w:val="00903896"/>
    <w:rsid w:val="0090523F"/>
    <w:rsid w:val="009063A1"/>
    <w:rsid w:val="00907D1D"/>
    <w:rsid w:val="00912731"/>
    <w:rsid w:val="00914CD9"/>
    <w:rsid w:val="00915844"/>
    <w:rsid w:val="009165EC"/>
    <w:rsid w:val="0091679B"/>
    <w:rsid w:val="009168AC"/>
    <w:rsid w:val="00916FDD"/>
    <w:rsid w:val="0092000B"/>
    <w:rsid w:val="00921646"/>
    <w:rsid w:val="0092277E"/>
    <w:rsid w:val="00923130"/>
    <w:rsid w:val="00923827"/>
    <w:rsid w:val="00925F3E"/>
    <w:rsid w:val="00927B90"/>
    <w:rsid w:val="009315ED"/>
    <w:rsid w:val="00932C55"/>
    <w:rsid w:val="00933F46"/>
    <w:rsid w:val="00934A6C"/>
    <w:rsid w:val="00935E9E"/>
    <w:rsid w:val="00937004"/>
    <w:rsid w:val="00937C32"/>
    <w:rsid w:val="009418E9"/>
    <w:rsid w:val="0094247D"/>
    <w:rsid w:val="00942505"/>
    <w:rsid w:val="0094296C"/>
    <w:rsid w:val="00943E8F"/>
    <w:rsid w:val="00945502"/>
    <w:rsid w:val="009462ED"/>
    <w:rsid w:val="00946459"/>
    <w:rsid w:val="009468FF"/>
    <w:rsid w:val="009476AF"/>
    <w:rsid w:val="00950D0B"/>
    <w:rsid w:val="00951BE2"/>
    <w:rsid w:val="00951C1D"/>
    <w:rsid w:val="00952A90"/>
    <w:rsid w:val="009537CB"/>
    <w:rsid w:val="009548F6"/>
    <w:rsid w:val="00955A52"/>
    <w:rsid w:val="00956D04"/>
    <w:rsid w:val="009576A9"/>
    <w:rsid w:val="00960E24"/>
    <w:rsid w:val="009616E7"/>
    <w:rsid w:val="00961895"/>
    <w:rsid w:val="00963D34"/>
    <w:rsid w:val="009666E6"/>
    <w:rsid w:val="0096744F"/>
    <w:rsid w:val="009724BE"/>
    <w:rsid w:val="00972666"/>
    <w:rsid w:val="00972BDB"/>
    <w:rsid w:val="00972FD1"/>
    <w:rsid w:val="00973FC5"/>
    <w:rsid w:val="009742C9"/>
    <w:rsid w:val="00974582"/>
    <w:rsid w:val="0097696D"/>
    <w:rsid w:val="00977E32"/>
    <w:rsid w:val="009800D1"/>
    <w:rsid w:val="009817B1"/>
    <w:rsid w:val="00981EA5"/>
    <w:rsid w:val="00983F3D"/>
    <w:rsid w:val="0098594F"/>
    <w:rsid w:val="00985D44"/>
    <w:rsid w:val="00986413"/>
    <w:rsid w:val="00986D43"/>
    <w:rsid w:val="009911C9"/>
    <w:rsid w:val="0099127D"/>
    <w:rsid w:val="00994CD8"/>
    <w:rsid w:val="00994E18"/>
    <w:rsid w:val="0099505D"/>
    <w:rsid w:val="0099575B"/>
    <w:rsid w:val="00997003"/>
    <w:rsid w:val="009A101D"/>
    <w:rsid w:val="009A1782"/>
    <w:rsid w:val="009A1AC1"/>
    <w:rsid w:val="009A30A1"/>
    <w:rsid w:val="009A4621"/>
    <w:rsid w:val="009A4BDF"/>
    <w:rsid w:val="009A5923"/>
    <w:rsid w:val="009A5952"/>
    <w:rsid w:val="009B075B"/>
    <w:rsid w:val="009B081D"/>
    <w:rsid w:val="009B1FA0"/>
    <w:rsid w:val="009B2A86"/>
    <w:rsid w:val="009B41C2"/>
    <w:rsid w:val="009B44FF"/>
    <w:rsid w:val="009B4A27"/>
    <w:rsid w:val="009B6640"/>
    <w:rsid w:val="009C0505"/>
    <w:rsid w:val="009C0616"/>
    <w:rsid w:val="009C25A3"/>
    <w:rsid w:val="009C2826"/>
    <w:rsid w:val="009C405C"/>
    <w:rsid w:val="009C439F"/>
    <w:rsid w:val="009C552C"/>
    <w:rsid w:val="009C5720"/>
    <w:rsid w:val="009D08BD"/>
    <w:rsid w:val="009D3081"/>
    <w:rsid w:val="009D395E"/>
    <w:rsid w:val="009D430B"/>
    <w:rsid w:val="009D47E1"/>
    <w:rsid w:val="009D578B"/>
    <w:rsid w:val="009D6C36"/>
    <w:rsid w:val="009D7167"/>
    <w:rsid w:val="009E0BEC"/>
    <w:rsid w:val="009E12FA"/>
    <w:rsid w:val="009E187C"/>
    <w:rsid w:val="009E346F"/>
    <w:rsid w:val="009E45F2"/>
    <w:rsid w:val="009E46D6"/>
    <w:rsid w:val="009E5E88"/>
    <w:rsid w:val="009E6654"/>
    <w:rsid w:val="009E6879"/>
    <w:rsid w:val="009E71F9"/>
    <w:rsid w:val="009E741E"/>
    <w:rsid w:val="009F1A87"/>
    <w:rsid w:val="009F2BCB"/>
    <w:rsid w:val="009F2DE6"/>
    <w:rsid w:val="009F5259"/>
    <w:rsid w:val="009F68EC"/>
    <w:rsid w:val="009F6A5B"/>
    <w:rsid w:val="009F6C5E"/>
    <w:rsid w:val="009F6C96"/>
    <w:rsid w:val="00A01A21"/>
    <w:rsid w:val="00A01C96"/>
    <w:rsid w:val="00A0220D"/>
    <w:rsid w:val="00A02802"/>
    <w:rsid w:val="00A02D89"/>
    <w:rsid w:val="00A035BE"/>
    <w:rsid w:val="00A04113"/>
    <w:rsid w:val="00A041F6"/>
    <w:rsid w:val="00A049A6"/>
    <w:rsid w:val="00A051C6"/>
    <w:rsid w:val="00A05AAF"/>
    <w:rsid w:val="00A064BB"/>
    <w:rsid w:val="00A06555"/>
    <w:rsid w:val="00A066E9"/>
    <w:rsid w:val="00A070A4"/>
    <w:rsid w:val="00A106F3"/>
    <w:rsid w:val="00A11396"/>
    <w:rsid w:val="00A11B48"/>
    <w:rsid w:val="00A1486F"/>
    <w:rsid w:val="00A1658C"/>
    <w:rsid w:val="00A170DA"/>
    <w:rsid w:val="00A17B75"/>
    <w:rsid w:val="00A2157A"/>
    <w:rsid w:val="00A2402D"/>
    <w:rsid w:val="00A2424F"/>
    <w:rsid w:val="00A258AD"/>
    <w:rsid w:val="00A271FF"/>
    <w:rsid w:val="00A309E5"/>
    <w:rsid w:val="00A31B43"/>
    <w:rsid w:val="00A32B8D"/>
    <w:rsid w:val="00A343BE"/>
    <w:rsid w:val="00A34EF7"/>
    <w:rsid w:val="00A359E6"/>
    <w:rsid w:val="00A36C4F"/>
    <w:rsid w:val="00A36E63"/>
    <w:rsid w:val="00A40611"/>
    <w:rsid w:val="00A41C38"/>
    <w:rsid w:val="00A42755"/>
    <w:rsid w:val="00A43A7E"/>
    <w:rsid w:val="00A45AEB"/>
    <w:rsid w:val="00A46B79"/>
    <w:rsid w:val="00A47572"/>
    <w:rsid w:val="00A47AE0"/>
    <w:rsid w:val="00A47DB7"/>
    <w:rsid w:val="00A5092D"/>
    <w:rsid w:val="00A513A4"/>
    <w:rsid w:val="00A52562"/>
    <w:rsid w:val="00A5377C"/>
    <w:rsid w:val="00A54499"/>
    <w:rsid w:val="00A55329"/>
    <w:rsid w:val="00A55869"/>
    <w:rsid w:val="00A56AA6"/>
    <w:rsid w:val="00A57A12"/>
    <w:rsid w:val="00A57A84"/>
    <w:rsid w:val="00A6050B"/>
    <w:rsid w:val="00A60790"/>
    <w:rsid w:val="00A60DB0"/>
    <w:rsid w:val="00A633D0"/>
    <w:rsid w:val="00A643A1"/>
    <w:rsid w:val="00A649DD"/>
    <w:rsid w:val="00A64D05"/>
    <w:rsid w:val="00A6546B"/>
    <w:rsid w:val="00A66892"/>
    <w:rsid w:val="00A66E55"/>
    <w:rsid w:val="00A701E6"/>
    <w:rsid w:val="00A709D8"/>
    <w:rsid w:val="00A710E1"/>
    <w:rsid w:val="00A72D83"/>
    <w:rsid w:val="00A73C37"/>
    <w:rsid w:val="00A754D2"/>
    <w:rsid w:val="00A755E5"/>
    <w:rsid w:val="00A759FE"/>
    <w:rsid w:val="00A75BC7"/>
    <w:rsid w:val="00A75BEF"/>
    <w:rsid w:val="00A77301"/>
    <w:rsid w:val="00A777BD"/>
    <w:rsid w:val="00A80FEF"/>
    <w:rsid w:val="00A81CFA"/>
    <w:rsid w:val="00A822E3"/>
    <w:rsid w:val="00A83D3E"/>
    <w:rsid w:val="00A86584"/>
    <w:rsid w:val="00A871B4"/>
    <w:rsid w:val="00A905AE"/>
    <w:rsid w:val="00A919D2"/>
    <w:rsid w:val="00A91D1C"/>
    <w:rsid w:val="00A9342D"/>
    <w:rsid w:val="00A93714"/>
    <w:rsid w:val="00A94191"/>
    <w:rsid w:val="00A9540E"/>
    <w:rsid w:val="00A969A4"/>
    <w:rsid w:val="00A96E47"/>
    <w:rsid w:val="00A97C63"/>
    <w:rsid w:val="00AA0463"/>
    <w:rsid w:val="00AA21BF"/>
    <w:rsid w:val="00AA2F78"/>
    <w:rsid w:val="00AA2F9E"/>
    <w:rsid w:val="00AA71E5"/>
    <w:rsid w:val="00AB0C11"/>
    <w:rsid w:val="00AB174D"/>
    <w:rsid w:val="00AB2B63"/>
    <w:rsid w:val="00AB2F66"/>
    <w:rsid w:val="00AB61F9"/>
    <w:rsid w:val="00AB66DD"/>
    <w:rsid w:val="00AB6CF0"/>
    <w:rsid w:val="00AB6E82"/>
    <w:rsid w:val="00AB7AB3"/>
    <w:rsid w:val="00AB7E93"/>
    <w:rsid w:val="00AC042F"/>
    <w:rsid w:val="00AC107C"/>
    <w:rsid w:val="00AC1628"/>
    <w:rsid w:val="00AC3289"/>
    <w:rsid w:val="00AC34BF"/>
    <w:rsid w:val="00AC3A1C"/>
    <w:rsid w:val="00AC3ADE"/>
    <w:rsid w:val="00AC4608"/>
    <w:rsid w:val="00AC4F23"/>
    <w:rsid w:val="00AC4FFD"/>
    <w:rsid w:val="00AC6DCD"/>
    <w:rsid w:val="00AD115A"/>
    <w:rsid w:val="00AD1825"/>
    <w:rsid w:val="00AD2419"/>
    <w:rsid w:val="00AD342D"/>
    <w:rsid w:val="00AD385C"/>
    <w:rsid w:val="00AD4F55"/>
    <w:rsid w:val="00AD5909"/>
    <w:rsid w:val="00AD6252"/>
    <w:rsid w:val="00AD644B"/>
    <w:rsid w:val="00AD69C5"/>
    <w:rsid w:val="00AD7629"/>
    <w:rsid w:val="00AE1283"/>
    <w:rsid w:val="00AE78EB"/>
    <w:rsid w:val="00AF049C"/>
    <w:rsid w:val="00AF14CB"/>
    <w:rsid w:val="00AF1566"/>
    <w:rsid w:val="00AF1E4D"/>
    <w:rsid w:val="00AF1FAD"/>
    <w:rsid w:val="00AF2321"/>
    <w:rsid w:val="00AF2E78"/>
    <w:rsid w:val="00AF4E13"/>
    <w:rsid w:val="00AF59B1"/>
    <w:rsid w:val="00B028BA"/>
    <w:rsid w:val="00B02D02"/>
    <w:rsid w:val="00B03F6B"/>
    <w:rsid w:val="00B0436D"/>
    <w:rsid w:val="00B04466"/>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E0D"/>
    <w:rsid w:val="00B171FD"/>
    <w:rsid w:val="00B211B9"/>
    <w:rsid w:val="00B2322A"/>
    <w:rsid w:val="00B238F2"/>
    <w:rsid w:val="00B23D22"/>
    <w:rsid w:val="00B245F8"/>
    <w:rsid w:val="00B24ECF"/>
    <w:rsid w:val="00B252AA"/>
    <w:rsid w:val="00B255E7"/>
    <w:rsid w:val="00B25FCC"/>
    <w:rsid w:val="00B30348"/>
    <w:rsid w:val="00B30D56"/>
    <w:rsid w:val="00B31065"/>
    <w:rsid w:val="00B3144F"/>
    <w:rsid w:val="00B32176"/>
    <w:rsid w:val="00B322D6"/>
    <w:rsid w:val="00B32B91"/>
    <w:rsid w:val="00B3344B"/>
    <w:rsid w:val="00B3353A"/>
    <w:rsid w:val="00B34209"/>
    <w:rsid w:val="00B34950"/>
    <w:rsid w:val="00B35B84"/>
    <w:rsid w:val="00B36700"/>
    <w:rsid w:val="00B37A31"/>
    <w:rsid w:val="00B37BB5"/>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312E"/>
    <w:rsid w:val="00B533CF"/>
    <w:rsid w:val="00B5595F"/>
    <w:rsid w:val="00B55EF6"/>
    <w:rsid w:val="00B5634D"/>
    <w:rsid w:val="00B61981"/>
    <w:rsid w:val="00B62DC0"/>
    <w:rsid w:val="00B6342D"/>
    <w:rsid w:val="00B63A08"/>
    <w:rsid w:val="00B63D55"/>
    <w:rsid w:val="00B64343"/>
    <w:rsid w:val="00B644BD"/>
    <w:rsid w:val="00B652C0"/>
    <w:rsid w:val="00B655BB"/>
    <w:rsid w:val="00B65985"/>
    <w:rsid w:val="00B659B2"/>
    <w:rsid w:val="00B67CDA"/>
    <w:rsid w:val="00B7065C"/>
    <w:rsid w:val="00B708A2"/>
    <w:rsid w:val="00B7145A"/>
    <w:rsid w:val="00B716AE"/>
    <w:rsid w:val="00B74382"/>
    <w:rsid w:val="00B75DBC"/>
    <w:rsid w:val="00B76A2B"/>
    <w:rsid w:val="00B77C06"/>
    <w:rsid w:val="00B8197F"/>
    <w:rsid w:val="00B81D0B"/>
    <w:rsid w:val="00B81F46"/>
    <w:rsid w:val="00B82EBF"/>
    <w:rsid w:val="00B8449E"/>
    <w:rsid w:val="00B86F8C"/>
    <w:rsid w:val="00B87B73"/>
    <w:rsid w:val="00B90627"/>
    <w:rsid w:val="00B90927"/>
    <w:rsid w:val="00B910B5"/>
    <w:rsid w:val="00B91F16"/>
    <w:rsid w:val="00B92508"/>
    <w:rsid w:val="00B9322E"/>
    <w:rsid w:val="00B96915"/>
    <w:rsid w:val="00BA0588"/>
    <w:rsid w:val="00BA1E39"/>
    <w:rsid w:val="00BA3C6F"/>
    <w:rsid w:val="00BA4387"/>
    <w:rsid w:val="00BA49DB"/>
    <w:rsid w:val="00BA4EF9"/>
    <w:rsid w:val="00BA680C"/>
    <w:rsid w:val="00BA76C2"/>
    <w:rsid w:val="00BA77D4"/>
    <w:rsid w:val="00BB1652"/>
    <w:rsid w:val="00BB21C5"/>
    <w:rsid w:val="00BB2263"/>
    <w:rsid w:val="00BB2652"/>
    <w:rsid w:val="00BB41F3"/>
    <w:rsid w:val="00BB4E37"/>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16E9"/>
    <w:rsid w:val="00BD1C1E"/>
    <w:rsid w:val="00BD26E8"/>
    <w:rsid w:val="00BD28A8"/>
    <w:rsid w:val="00BD53BE"/>
    <w:rsid w:val="00BD58B1"/>
    <w:rsid w:val="00BD5DB0"/>
    <w:rsid w:val="00BD63FE"/>
    <w:rsid w:val="00BD647F"/>
    <w:rsid w:val="00BD6EEE"/>
    <w:rsid w:val="00BD6F80"/>
    <w:rsid w:val="00BD713E"/>
    <w:rsid w:val="00BE0134"/>
    <w:rsid w:val="00BE01F4"/>
    <w:rsid w:val="00BE4925"/>
    <w:rsid w:val="00BE4A2F"/>
    <w:rsid w:val="00BE5E0F"/>
    <w:rsid w:val="00BE61B1"/>
    <w:rsid w:val="00BE67B9"/>
    <w:rsid w:val="00BE7DD7"/>
    <w:rsid w:val="00BF00FB"/>
    <w:rsid w:val="00BF16FC"/>
    <w:rsid w:val="00BF18DC"/>
    <w:rsid w:val="00BF3CDA"/>
    <w:rsid w:val="00BF5729"/>
    <w:rsid w:val="00BF5842"/>
    <w:rsid w:val="00BF7289"/>
    <w:rsid w:val="00BF7FB8"/>
    <w:rsid w:val="00C00C75"/>
    <w:rsid w:val="00C040E5"/>
    <w:rsid w:val="00C043A6"/>
    <w:rsid w:val="00C045A6"/>
    <w:rsid w:val="00C04CB0"/>
    <w:rsid w:val="00C06C9E"/>
    <w:rsid w:val="00C11B45"/>
    <w:rsid w:val="00C11D2A"/>
    <w:rsid w:val="00C151C6"/>
    <w:rsid w:val="00C15909"/>
    <w:rsid w:val="00C16ACC"/>
    <w:rsid w:val="00C170D9"/>
    <w:rsid w:val="00C176F0"/>
    <w:rsid w:val="00C179FE"/>
    <w:rsid w:val="00C2061C"/>
    <w:rsid w:val="00C21C62"/>
    <w:rsid w:val="00C21ECF"/>
    <w:rsid w:val="00C233B6"/>
    <w:rsid w:val="00C24EB9"/>
    <w:rsid w:val="00C26DD9"/>
    <w:rsid w:val="00C271A9"/>
    <w:rsid w:val="00C27561"/>
    <w:rsid w:val="00C27CA0"/>
    <w:rsid w:val="00C31998"/>
    <w:rsid w:val="00C3291A"/>
    <w:rsid w:val="00C32B8A"/>
    <w:rsid w:val="00C3357D"/>
    <w:rsid w:val="00C33780"/>
    <w:rsid w:val="00C33DF5"/>
    <w:rsid w:val="00C34DEF"/>
    <w:rsid w:val="00C35D29"/>
    <w:rsid w:val="00C361C3"/>
    <w:rsid w:val="00C36373"/>
    <w:rsid w:val="00C367CC"/>
    <w:rsid w:val="00C368E6"/>
    <w:rsid w:val="00C373CC"/>
    <w:rsid w:val="00C37AE2"/>
    <w:rsid w:val="00C41A6D"/>
    <w:rsid w:val="00C45CB6"/>
    <w:rsid w:val="00C462BD"/>
    <w:rsid w:val="00C464D9"/>
    <w:rsid w:val="00C46A0C"/>
    <w:rsid w:val="00C474F8"/>
    <w:rsid w:val="00C47D21"/>
    <w:rsid w:val="00C50D46"/>
    <w:rsid w:val="00C516DD"/>
    <w:rsid w:val="00C5245F"/>
    <w:rsid w:val="00C53BD1"/>
    <w:rsid w:val="00C554D4"/>
    <w:rsid w:val="00C55DED"/>
    <w:rsid w:val="00C56E30"/>
    <w:rsid w:val="00C603E0"/>
    <w:rsid w:val="00C61EE7"/>
    <w:rsid w:val="00C62459"/>
    <w:rsid w:val="00C651E6"/>
    <w:rsid w:val="00C659D4"/>
    <w:rsid w:val="00C66826"/>
    <w:rsid w:val="00C71B85"/>
    <w:rsid w:val="00C7322A"/>
    <w:rsid w:val="00C74EBB"/>
    <w:rsid w:val="00C74F1E"/>
    <w:rsid w:val="00C7521C"/>
    <w:rsid w:val="00C76566"/>
    <w:rsid w:val="00C77201"/>
    <w:rsid w:val="00C77223"/>
    <w:rsid w:val="00C77314"/>
    <w:rsid w:val="00C774AE"/>
    <w:rsid w:val="00C77630"/>
    <w:rsid w:val="00C77CFF"/>
    <w:rsid w:val="00C80C93"/>
    <w:rsid w:val="00C84AF3"/>
    <w:rsid w:val="00C84F69"/>
    <w:rsid w:val="00C85186"/>
    <w:rsid w:val="00C85872"/>
    <w:rsid w:val="00C86588"/>
    <w:rsid w:val="00C871FF"/>
    <w:rsid w:val="00C8743A"/>
    <w:rsid w:val="00C91BDD"/>
    <w:rsid w:val="00C935F8"/>
    <w:rsid w:val="00C936E8"/>
    <w:rsid w:val="00C93EE3"/>
    <w:rsid w:val="00C94FA8"/>
    <w:rsid w:val="00C951BB"/>
    <w:rsid w:val="00C957EF"/>
    <w:rsid w:val="00C95827"/>
    <w:rsid w:val="00C95B73"/>
    <w:rsid w:val="00C96D4F"/>
    <w:rsid w:val="00CA153C"/>
    <w:rsid w:val="00CA2A17"/>
    <w:rsid w:val="00CA2CF7"/>
    <w:rsid w:val="00CA32D9"/>
    <w:rsid w:val="00CA4658"/>
    <w:rsid w:val="00CA53AD"/>
    <w:rsid w:val="00CA6703"/>
    <w:rsid w:val="00CA6C40"/>
    <w:rsid w:val="00CA708E"/>
    <w:rsid w:val="00CA7C8F"/>
    <w:rsid w:val="00CB0EB7"/>
    <w:rsid w:val="00CB1E6F"/>
    <w:rsid w:val="00CB2049"/>
    <w:rsid w:val="00CB20E8"/>
    <w:rsid w:val="00CB2CF6"/>
    <w:rsid w:val="00CB33D6"/>
    <w:rsid w:val="00CB5F90"/>
    <w:rsid w:val="00CB66BE"/>
    <w:rsid w:val="00CB6917"/>
    <w:rsid w:val="00CC0E8F"/>
    <w:rsid w:val="00CC1448"/>
    <w:rsid w:val="00CC3A27"/>
    <w:rsid w:val="00CC49C9"/>
    <w:rsid w:val="00CC63D1"/>
    <w:rsid w:val="00CC6B57"/>
    <w:rsid w:val="00CC7D7F"/>
    <w:rsid w:val="00CD138C"/>
    <w:rsid w:val="00CD2F7A"/>
    <w:rsid w:val="00CD335C"/>
    <w:rsid w:val="00CD33C9"/>
    <w:rsid w:val="00CD3736"/>
    <w:rsid w:val="00CD3A5D"/>
    <w:rsid w:val="00CD3D61"/>
    <w:rsid w:val="00CD4203"/>
    <w:rsid w:val="00CD62BA"/>
    <w:rsid w:val="00CD7053"/>
    <w:rsid w:val="00CE3B14"/>
    <w:rsid w:val="00CE48BF"/>
    <w:rsid w:val="00CE52B5"/>
    <w:rsid w:val="00CE5A24"/>
    <w:rsid w:val="00CE730E"/>
    <w:rsid w:val="00CE7EC7"/>
    <w:rsid w:val="00CF02A1"/>
    <w:rsid w:val="00CF090A"/>
    <w:rsid w:val="00CF2505"/>
    <w:rsid w:val="00CF45D9"/>
    <w:rsid w:val="00CF460C"/>
    <w:rsid w:val="00CF512C"/>
    <w:rsid w:val="00CF74BF"/>
    <w:rsid w:val="00D00849"/>
    <w:rsid w:val="00D01393"/>
    <w:rsid w:val="00D01F3A"/>
    <w:rsid w:val="00D0290E"/>
    <w:rsid w:val="00D03552"/>
    <w:rsid w:val="00D03712"/>
    <w:rsid w:val="00D06070"/>
    <w:rsid w:val="00D077C2"/>
    <w:rsid w:val="00D102FE"/>
    <w:rsid w:val="00D104E4"/>
    <w:rsid w:val="00D10748"/>
    <w:rsid w:val="00D10D7F"/>
    <w:rsid w:val="00D13598"/>
    <w:rsid w:val="00D137C1"/>
    <w:rsid w:val="00D13C03"/>
    <w:rsid w:val="00D14626"/>
    <w:rsid w:val="00D21BA9"/>
    <w:rsid w:val="00D245C9"/>
    <w:rsid w:val="00D2486A"/>
    <w:rsid w:val="00D258BB"/>
    <w:rsid w:val="00D25B8D"/>
    <w:rsid w:val="00D27124"/>
    <w:rsid w:val="00D27E29"/>
    <w:rsid w:val="00D3080B"/>
    <w:rsid w:val="00D30F83"/>
    <w:rsid w:val="00D31B96"/>
    <w:rsid w:val="00D326F4"/>
    <w:rsid w:val="00D36A1F"/>
    <w:rsid w:val="00D3715F"/>
    <w:rsid w:val="00D377B5"/>
    <w:rsid w:val="00D402B6"/>
    <w:rsid w:val="00D407C4"/>
    <w:rsid w:val="00D4168D"/>
    <w:rsid w:val="00D42009"/>
    <w:rsid w:val="00D424B5"/>
    <w:rsid w:val="00D42603"/>
    <w:rsid w:val="00D43DA9"/>
    <w:rsid w:val="00D44DB3"/>
    <w:rsid w:val="00D45608"/>
    <w:rsid w:val="00D50496"/>
    <w:rsid w:val="00D5265F"/>
    <w:rsid w:val="00D5412E"/>
    <w:rsid w:val="00D54AD5"/>
    <w:rsid w:val="00D54F26"/>
    <w:rsid w:val="00D55056"/>
    <w:rsid w:val="00D55634"/>
    <w:rsid w:val="00D5568A"/>
    <w:rsid w:val="00D55A4C"/>
    <w:rsid w:val="00D56FE4"/>
    <w:rsid w:val="00D579DE"/>
    <w:rsid w:val="00D57FB3"/>
    <w:rsid w:val="00D6033C"/>
    <w:rsid w:val="00D63336"/>
    <w:rsid w:val="00D63DAA"/>
    <w:rsid w:val="00D64EFE"/>
    <w:rsid w:val="00D65810"/>
    <w:rsid w:val="00D65C8A"/>
    <w:rsid w:val="00D65E3E"/>
    <w:rsid w:val="00D669C9"/>
    <w:rsid w:val="00D66E30"/>
    <w:rsid w:val="00D6780E"/>
    <w:rsid w:val="00D702B5"/>
    <w:rsid w:val="00D7034A"/>
    <w:rsid w:val="00D72298"/>
    <w:rsid w:val="00D77034"/>
    <w:rsid w:val="00D806D1"/>
    <w:rsid w:val="00D81008"/>
    <w:rsid w:val="00D81531"/>
    <w:rsid w:val="00D819D1"/>
    <w:rsid w:val="00D8241C"/>
    <w:rsid w:val="00D83EDA"/>
    <w:rsid w:val="00D85554"/>
    <w:rsid w:val="00D856D5"/>
    <w:rsid w:val="00D85CCE"/>
    <w:rsid w:val="00D86EDD"/>
    <w:rsid w:val="00D90129"/>
    <w:rsid w:val="00D906A3"/>
    <w:rsid w:val="00D90E69"/>
    <w:rsid w:val="00D91D8F"/>
    <w:rsid w:val="00D93A08"/>
    <w:rsid w:val="00D93B56"/>
    <w:rsid w:val="00D93B62"/>
    <w:rsid w:val="00D941BC"/>
    <w:rsid w:val="00D952C8"/>
    <w:rsid w:val="00D958A0"/>
    <w:rsid w:val="00D976F1"/>
    <w:rsid w:val="00D97CB8"/>
    <w:rsid w:val="00DA07E2"/>
    <w:rsid w:val="00DA1359"/>
    <w:rsid w:val="00DA15D6"/>
    <w:rsid w:val="00DA1E0F"/>
    <w:rsid w:val="00DA24CD"/>
    <w:rsid w:val="00DA2B41"/>
    <w:rsid w:val="00DA35E1"/>
    <w:rsid w:val="00DA3F5E"/>
    <w:rsid w:val="00DA44B0"/>
    <w:rsid w:val="00DA601C"/>
    <w:rsid w:val="00DA7974"/>
    <w:rsid w:val="00DB0156"/>
    <w:rsid w:val="00DB19BC"/>
    <w:rsid w:val="00DB53D9"/>
    <w:rsid w:val="00DB5E29"/>
    <w:rsid w:val="00DB61A8"/>
    <w:rsid w:val="00DC0D96"/>
    <w:rsid w:val="00DC174A"/>
    <w:rsid w:val="00DC22CD"/>
    <w:rsid w:val="00DC270F"/>
    <w:rsid w:val="00DC3456"/>
    <w:rsid w:val="00DC3D08"/>
    <w:rsid w:val="00DC5BE1"/>
    <w:rsid w:val="00DD0C50"/>
    <w:rsid w:val="00DD0D16"/>
    <w:rsid w:val="00DD1153"/>
    <w:rsid w:val="00DD2E2D"/>
    <w:rsid w:val="00DD383A"/>
    <w:rsid w:val="00DD3FBB"/>
    <w:rsid w:val="00DD489E"/>
    <w:rsid w:val="00DD5997"/>
    <w:rsid w:val="00DD607A"/>
    <w:rsid w:val="00DE1E20"/>
    <w:rsid w:val="00DE2634"/>
    <w:rsid w:val="00DE6F61"/>
    <w:rsid w:val="00DE7D85"/>
    <w:rsid w:val="00DF0CD8"/>
    <w:rsid w:val="00DF1588"/>
    <w:rsid w:val="00DF1A63"/>
    <w:rsid w:val="00DF247E"/>
    <w:rsid w:val="00DF2994"/>
    <w:rsid w:val="00DF4E59"/>
    <w:rsid w:val="00DF4F85"/>
    <w:rsid w:val="00DF530A"/>
    <w:rsid w:val="00DF58EB"/>
    <w:rsid w:val="00DF67CF"/>
    <w:rsid w:val="00E00118"/>
    <w:rsid w:val="00E016EE"/>
    <w:rsid w:val="00E026FC"/>
    <w:rsid w:val="00E02CF2"/>
    <w:rsid w:val="00E03D51"/>
    <w:rsid w:val="00E0411A"/>
    <w:rsid w:val="00E045DE"/>
    <w:rsid w:val="00E04783"/>
    <w:rsid w:val="00E05A87"/>
    <w:rsid w:val="00E07419"/>
    <w:rsid w:val="00E11080"/>
    <w:rsid w:val="00E11C9C"/>
    <w:rsid w:val="00E12030"/>
    <w:rsid w:val="00E12EA6"/>
    <w:rsid w:val="00E14918"/>
    <w:rsid w:val="00E162AC"/>
    <w:rsid w:val="00E16BC5"/>
    <w:rsid w:val="00E17390"/>
    <w:rsid w:val="00E17EB5"/>
    <w:rsid w:val="00E20AB7"/>
    <w:rsid w:val="00E21655"/>
    <w:rsid w:val="00E22198"/>
    <w:rsid w:val="00E224B7"/>
    <w:rsid w:val="00E23149"/>
    <w:rsid w:val="00E2527F"/>
    <w:rsid w:val="00E3019B"/>
    <w:rsid w:val="00E32234"/>
    <w:rsid w:val="00E32664"/>
    <w:rsid w:val="00E32F47"/>
    <w:rsid w:val="00E33812"/>
    <w:rsid w:val="00E34C89"/>
    <w:rsid w:val="00E35746"/>
    <w:rsid w:val="00E362FB"/>
    <w:rsid w:val="00E3798D"/>
    <w:rsid w:val="00E404AF"/>
    <w:rsid w:val="00E40841"/>
    <w:rsid w:val="00E4102D"/>
    <w:rsid w:val="00E44023"/>
    <w:rsid w:val="00E45354"/>
    <w:rsid w:val="00E45B55"/>
    <w:rsid w:val="00E45F81"/>
    <w:rsid w:val="00E46C01"/>
    <w:rsid w:val="00E46E08"/>
    <w:rsid w:val="00E47425"/>
    <w:rsid w:val="00E5129D"/>
    <w:rsid w:val="00E52156"/>
    <w:rsid w:val="00E534FC"/>
    <w:rsid w:val="00E5412E"/>
    <w:rsid w:val="00E56186"/>
    <w:rsid w:val="00E57A43"/>
    <w:rsid w:val="00E62016"/>
    <w:rsid w:val="00E63D5B"/>
    <w:rsid w:val="00E65C0B"/>
    <w:rsid w:val="00E66098"/>
    <w:rsid w:val="00E66365"/>
    <w:rsid w:val="00E66397"/>
    <w:rsid w:val="00E664D1"/>
    <w:rsid w:val="00E66EC7"/>
    <w:rsid w:val="00E66F26"/>
    <w:rsid w:val="00E672E0"/>
    <w:rsid w:val="00E7749D"/>
    <w:rsid w:val="00E807F0"/>
    <w:rsid w:val="00E80A86"/>
    <w:rsid w:val="00E816E6"/>
    <w:rsid w:val="00E842DC"/>
    <w:rsid w:val="00E856B0"/>
    <w:rsid w:val="00E866D9"/>
    <w:rsid w:val="00E87458"/>
    <w:rsid w:val="00E90937"/>
    <w:rsid w:val="00E90F38"/>
    <w:rsid w:val="00E91603"/>
    <w:rsid w:val="00E919EB"/>
    <w:rsid w:val="00E925E4"/>
    <w:rsid w:val="00E92A43"/>
    <w:rsid w:val="00E9488F"/>
    <w:rsid w:val="00E94B12"/>
    <w:rsid w:val="00E95352"/>
    <w:rsid w:val="00E95829"/>
    <w:rsid w:val="00E96B7F"/>
    <w:rsid w:val="00E96D0B"/>
    <w:rsid w:val="00E96DCF"/>
    <w:rsid w:val="00E96E1C"/>
    <w:rsid w:val="00E96E3B"/>
    <w:rsid w:val="00E97DF4"/>
    <w:rsid w:val="00EA10F1"/>
    <w:rsid w:val="00EA177F"/>
    <w:rsid w:val="00EA1914"/>
    <w:rsid w:val="00EA287B"/>
    <w:rsid w:val="00EA32E0"/>
    <w:rsid w:val="00EA428B"/>
    <w:rsid w:val="00EA435E"/>
    <w:rsid w:val="00EA5091"/>
    <w:rsid w:val="00EA7173"/>
    <w:rsid w:val="00EB1EDE"/>
    <w:rsid w:val="00EB28EC"/>
    <w:rsid w:val="00EB33A7"/>
    <w:rsid w:val="00EB33C7"/>
    <w:rsid w:val="00EB3EBD"/>
    <w:rsid w:val="00EB49C7"/>
    <w:rsid w:val="00EB62F5"/>
    <w:rsid w:val="00EB6ABF"/>
    <w:rsid w:val="00EB784B"/>
    <w:rsid w:val="00EB78EB"/>
    <w:rsid w:val="00EC0953"/>
    <w:rsid w:val="00EC1437"/>
    <w:rsid w:val="00EC202E"/>
    <w:rsid w:val="00EC228C"/>
    <w:rsid w:val="00EC3CBD"/>
    <w:rsid w:val="00EC4743"/>
    <w:rsid w:val="00EC4A8F"/>
    <w:rsid w:val="00EC5DBF"/>
    <w:rsid w:val="00EC61A9"/>
    <w:rsid w:val="00EC63D7"/>
    <w:rsid w:val="00EC65EE"/>
    <w:rsid w:val="00EC6C11"/>
    <w:rsid w:val="00ED17B1"/>
    <w:rsid w:val="00ED17E9"/>
    <w:rsid w:val="00ED3815"/>
    <w:rsid w:val="00ED5D4A"/>
    <w:rsid w:val="00ED61B5"/>
    <w:rsid w:val="00ED6372"/>
    <w:rsid w:val="00ED7328"/>
    <w:rsid w:val="00ED7822"/>
    <w:rsid w:val="00ED7B24"/>
    <w:rsid w:val="00EE00A6"/>
    <w:rsid w:val="00EE21E1"/>
    <w:rsid w:val="00EE2349"/>
    <w:rsid w:val="00EE5169"/>
    <w:rsid w:val="00EE5267"/>
    <w:rsid w:val="00EE550F"/>
    <w:rsid w:val="00EE6C0C"/>
    <w:rsid w:val="00EE773C"/>
    <w:rsid w:val="00EE788F"/>
    <w:rsid w:val="00EE7CB6"/>
    <w:rsid w:val="00EF0317"/>
    <w:rsid w:val="00EF1FCC"/>
    <w:rsid w:val="00EF2450"/>
    <w:rsid w:val="00EF3E15"/>
    <w:rsid w:val="00EF3F28"/>
    <w:rsid w:val="00EF54FD"/>
    <w:rsid w:val="00EF5AEE"/>
    <w:rsid w:val="00EF705A"/>
    <w:rsid w:val="00F01E5E"/>
    <w:rsid w:val="00F0329A"/>
    <w:rsid w:val="00F106A7"/>
    <w:rsid w:val="00F1097E"/>
    <w:rsid w:val="00F11FF9"/>
    <w:rsid w:val="00F12A95"/>
    <w:rsid w:val="00F158B1"/>
    <w:rsid w:val="00F15FD5"/>
    <w:rsid w:val="00F161A2"/>
    <w:rsid w:val="00F1633D"/>
    <w:rsid w:val="00F21642"/>
    <w:rsid w:val="00F219B7"/>
    <w:rsid w:val="00F21CDD"/>
    <w:rsid w:val="00F21D37"/>
    <w:rsid w:val="00F21ECC"/>
    <w:rsid w:val="00F21FFE"/>
    <w:rsid w:val="00F223D4"/>
    <w:rsid w:val="00F239DC"/>
    <w:rsid w:val="00F23FD7"/>
    <w:rsid w:val="00F2568B"/>
    <w:rsid w:val="00F25809"/>
    <w:rsid w:val="00F25E74"/>
    <w:rsid w:val="00F25EE2"/>
    <w:rsid w:val="00F26215"/>
    <w:rsid w:val="00F264C6"/>
    <w:rsid w:val="00F303DA"/>
    <w:rsid w:val="00F31257"/>
    <w:rsid w:val="00F34C64"/>
    <w:rsid w:val="00F359D3"/>
    <w:rsid w:val="00F36773"/>
    <w:rsid w:val="00F36888"/>
    <w:rsid w:val="00F36D92"/>
    <w:rsid w:val="00F40A9B"/>
    <w:rsid w:val="00F41071"/>
    <w:rsid w:val="00F42505"/>
    <w:rsid w:val="00F432A7"/>
    <w:rsid w:val="00F434D2"/>
    <w:rsid w:val="00F441D0"/>
    <w:rsid w:val="00F45C23"/>
    <w:rsid w:val="00F47268"/>
    <w:rsid w:val="00F47D5B"/>
    <w:rsid w:val="00F51370"/>
    <w:rsid w:val="00F515B9"/>
    <w:rsid w:val="00F51DAF"/>
    <w:rsid w:val="00F52E87"/>
    <w:rsid w:val="00F546F0"/>
    <w:rsid w:val="00F54E58"/>
    <w:rsid w:val="00F56768"/>
    <w:rsid w:val="00F56C0A"/>
    <w:rsid w:val="00F57627"/>
    <w:rsid w:val="00F57EBD"/>
    <w:rsid w:val="00F62106"/>
    <w:rsid w:val="00F6227E"/>
    <w:rsid w:val="00F62388"/>
    <w:rsid w:val="00F63720"/>
    <w:rsid w:val="00F63CC7"/>
    <w:rsid w:val="00F6481A"/>
    <w:rsid w:val="00F64EE8"/>
    <w:rsid w:val="00F65C4E"/>
    <w:rsid w:val="00F66A16"/>
    <w:rsid w:val="00F677ED"/>
    <w:rsid w:val="00F71048"/>
    <w:rsid w:val="00F72000"/>
    <w:rsid w:val="00F7403D"/>
    <w:rsid w:val="00F761FD"/>
    <w:rsid w:val="00F766D3"/>
    <w:rsid w:val="00F7725B"/>
    <w:rsid w:val="00F81D2D"/>
    <w:rsid w:val="00F822BE"/>
    <w:rsid w:val="00F82C83"/>
    <w:rsid w:val="00F82F51"/>
    <w:rsid w:val="00F84369"/>
    <w:rsid w:val="00F848C3"/>
    <w:rsid w:val="00F8517B"/>
    <w:rsid w:val="00F8624B"/>
    <w:rsid w:val="00F870CB"/>
    <w:rsid w:val="00F875F3"/>
    <w:rsid w:val="00F87BD1"/>
    <w:rsid w:val="00F87CA8"/>
    <w:rsid w:val="00F904BD"/>
    <w:rsid w:val="00F90BAE"/>
    <w:rsid w:val="00F91824"/>
    <w:rsid w:val="00F91855"/>
    <w:rsid w:val="00F91F2D"/>
    <w:rsid w:val="00F92831"/>
    <w:rsid w:val="00F9320A"/>
    <w:rsid w:val="00F96C77"/>
    <w:rsid w:val="00FA0029"/>
    <w:rsid w:val="00FA0788"/>
    <w:rsid w:val="00FA10C2"/>
    <w:rsid w:val="00FA332E"/>
    <w:rsid w:val="00FA3E9B"/>
    <w:rsid w:val="00FA467A"/>
    <w:rsid w:val="00FA533B"/>
    <w:rsid w:val="00FA60D4"/>
    <w:rsid w:val="00FA65EB"/>
    <w:rsid w:val="00FA6B69"/>
    <w:rsid w:val="00FB03F6"/>
    <w:rsid w:val="00FB44C4"/>
    <w:rsid w:val="00FB4C07"/>
    <w:rsid w:val="00FB4CE7"/>
    <w:rsid w:val="00FB583B"/>
    <w:rsid w:val="00FB7315"/>
    <w:rsid w:val="00FB7FCF"/>
    <w:rsid w:val="00FC080A"/>
    <w:rsid w:val="00FC3067"/>
    <w:rsid w:val="00FC3E9F"/>
    <w:rsid w:val="00FC5D05"/>
    <w:rsid w:val="00FC6367"/>
    <w:rsid w:val="00FC6727"/>
    <w:rsid w:val="00FC7C20"/>
    <w:rsid w:val="00FD10DB"/>
    <w:rsid w:val="00FD28B7"/>
    <w:rsid w:val="00FD3302"/>
    <w:rsid w:val="00FD3807"/>
    <w:rsid w:val="00FD4A86"/>
    <w:rsid w:val="00FD6005"/>
    <w:rsid w:val="00FE19AA"/>
    <w:rsid w:val="00FE22AF"/>
    <w:rsid w:val="00FE234B"/>
    <w:rsid w:val="00FE5039"/>
    <w:rsid w:val="00FE5452"/>
    <w:rsid w:val="00FE57D8"/>
    <w:rsid w:val="00FE5AC4"/>
    <w:rsid w:val="00FE5B8F"/>
    <w:rsid w:val="00FE5E29"/>
    <w:rsid w:val="00FE638F"/>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23F1"/>
  <w15:docId w15:val="{D3AEF012-36E0-CD42-9C61-88D8B83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6A3355"/>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semiHidden/>
    <w:unhideWhenUsed/>
    <w:rsid w:val="00FA60D4"/>
    <w:rPr>
      <w:sz w:val="20"/>
      <w:szCs w:val="20"/>
    </w:rPr>
  </w:style>
  <w:style w:type="character" w:customStyle="1" w:styleId="TextocomentarioCar">
    <w:name w:val="Texto comentario Car"/>
    <w:basedOn w:val="Fuentedeprrafopredeter"/>
    <w:link w:val="Textocomentario"/>
    <w:uiPriority w:val="99"/>
    <w:semiHidden/>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Ttulo">
    <w:name w:val="Title"/>
    <w:basedOn w:val="Normal"/>
    <w:next w:val="Normal"/>
    <w:link w:val="TtuloCar"/>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 w:type="paragraph" w:styleId="Revisin">
    <w:name w:val="Revision"/>
    <w:hidden/>
    <w:uiPriority w:val="99"/>
    <w:semiHidden/>
    <w:rsid w:val="00AD4F55"/>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1032808369">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380206753">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sgs.gov/media/videos/science-or-soundbite-shale-gas-hydraulic-fracturing-and-induced-earthquakes"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environment/2019/nov/02/fracking-banned-in-uk-as-government-makes-major-u-turn" TargetMode="External"/><Relationship Id="rId13" Type="http://schemas.openxmlformats.org/officeDocument/2006/relationships/hyperlink" Target="https://www.theguardian.com/world/2015/apr/23/oil-gas-drilling-triggers-man-made-earthquakes-usgs" TargetMode="External"/><Relationship Id="rId18" Type="http://schemas.openxmlformats.org/officeDocument/2006/relationships/hyperlink" Target="http://www.senadoer.gob.ar/leyes/leyes.php" TargetMode="External"/><Relationship Id="rId3" Type="http://schemas.openxmlformats.org/officeDocument/2006/relationships/hyperlink" Target="https://today.duke.edu/2015/09/frackfoot" TargetMode="External"/><Relationship Id="rId7" Type="http://schemas.openxmlformats.org/officeDocument/2006/relationships/hyperlink" Target="https://www.theguardian.com/environment/2018/oct/23/fracking-at-lancashire-site-paused-after-seismic-event-detected" TargetMode="External"/><Relationship Id="rId12" Type="http://schemas.openxmlformats.org/officeDocument/2006/relationships/hyperlink" Target="https://www.npr.org/sections/thetwo-way/2017/08/03/541298754/earthquake-shakes-central-oklahoma-one-of-7-in-28-hours" TargetMode="External"/><Relationship Id="rId17" Type="http://schemas.openxmlformats.org/officeDocument/2006/relationships/hyperlink" Target="http://www.dmp.wa.gov.au/Documents/Petroleum/PET-HydraulicFracture_PolicyStatement.pdf" TargetMode="External"/><Relationship Id="rId2" Type="http://schemas.openxmlformats.org/officeDocument/2006/relationships/hyperlink" Target="https://www.americangeosciences.org/critical-issues/faq/how-much-water-does-typical-hydraulically-fractured-well-require" TargetMode="External"/><Relationship Id="rId16" Type="http://schemas.openxmlformats.org/officeDocument/2006/relationships/hyperlink" Target="https://www.oireachtas.ie/en/bills/bill/2016/37/" TargetMode="External"/><Relationship Id="rId20" Type="http://schemas.openxmlformats.org/officeDocument/2006/relationships/hyperlink" Target="http://www.assnat.qc.ca/Media/Process.aspx?MediaId=ANQ.Vigie.Bll.DocumentGenerique_80995en&amp;process=Original&amp;token=ZyMoxNwUn8ikQ+TRKYwPCjWrKwg+vIv9rjij7p3xLGTZDmLVSmJLoqe/vG7/YWzz" TargetMode="External"/><Relationship Id="rId1" Type="http://schemas.openxmlformats.org/officeDocument/2006/relationships/hyperlink" Target="https://cfpub.epa.gov/ncea/hfstudy/recordisplay.cfm?deid=332990" TargetMode="External"/><Relationship Id="rId6" Type="http://schemas.openxmlformats.org/officeDocument/2006/relationships/hyperlink" Target="https://www.theguardian.com/environment/2011/nov/02/fracking-cause-lancashire-quakes" TargetMode="External"/><Relationship Id="rId11" Type="http://schemas.openxmlformats.org/officeDocument/2006/relationships/hyperlink" Target="https://www.theguardian.com/environment/2016/jan/10/fracking-earthquakes-oklahoma-colorado-gas-companies" TargetMode="External"/><Relationship Id="rId5" Type="http://schemas.openxmlformats.org/officeDocument/2006/relationships/hyperlink" Target="https://www.biologicaldiversity.org/campaigns/california_fracking/wildlife.html" TargetMode="External"/><Relationship Id="rId15" Type="http://schemas.openxmlformats.org/officeDocument/2006/relationships/hyperlink" Target="https://data.oireachtas.ie/ie/oireachtas/act/2017/15/eng/enacted/a1517.pdf" TargetMode="External"/><Relationship Id="rId10" Type="http://schemas.openxmlformats.org/officeDocument/2006/relationships/hyperlink" Target="https://www.sciencedaily.com/releases/2018/02/180201141519.htm" TargetMode="External"/><Relationship Id="rId19" Type="http://schemas.openxmlformats.org/officeDocument/2006/relationships/hyperlink" Target="http://mgaleg.maryland.gov/2017RS/bills/sb/sb0740F.pdf" TargetMode="External"/><Relationship Id="rId4" Type="http://schemas.openxmlformats.org/officeDocument/2006/relationships/hyperlink" Target="https://www.ewg.org/enviroblog/2013/07/duke-study-links-fracking-methane-drinking-water" TargetMode="External"/><Relationship Id="rId9" Type="http://schemas.openxmlformats.org/officeDocument/2006/relationships/hyperlink" Target="http://science.sciencemag.org/content/354/6318/1406" TargetMode="External"/><Relationship Id="rId14" Type="http://schemas.openxmlformats.org/officeDocument/2006/relationships/hyperlink" Target="https://www.theguardian.com/world/2015/apr/23/oil-gas-drilling-triggers-man-made-earthquakes-us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3E36-145E-4E3C-9B39-46BA82B3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10777</Words>
  <Characters>59274</Characters>
  <Application>Microsoft Office Word</Application>
  <DocSecurity>0</DocSecurity>
  <Lines>493</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Ana Maria Hinestrosa Villa</cp:lastModifiedBy>
  <cp:revision>7</cp:revision>
  <cp:lastPrinted>2017-08-23T16:23:00Z</cp:lastPrinted>
  <dcterms:created xsi:type="dcterms:W3CDTF">2022-07-20T02:51:00Z</dcterms:created>
  <dcterms:modified xsi:type="dcterms:W3CDTF">2022-07-21T14:44:00Z</dcterms:modified>
</cp:coreProperties>
</file>