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69AA" w14:textId="77777777" w:rsidR="00F36280" w:rsidRDefault="00F36280" w:rsidP="00F36280">
      <w:pPr>
        <w:jc w:val="right"/>
        <w:rPr>
          <w:rFonts w:ascii="Bookman Old Style" w:hAnsi="Bookman Old Style" w:cstheme="minorHAnsi"/>
          <w:b/>
          <w:sz w:val="20"/>
          <w:szCs w:val="20"/>
        </w:rPr>
      </w:pPr>
    </w:p>
    <w:p w14:paraId="4A119080" w14:textId="77777777" w:rsidR="00F36280" w:rsidRDefault="00F36280" w:rsidP="00F36280">
      <w:pPr>
        <w:jc w:val="right"/>
        <w:rPr>
          <w:rFonts w:ascii="Bookman Old Style" w:hAnsi="Bookman Old Style" w:cstheme="minorHAnsi"/>
          <w:b/>
        </w:rPr>
      </w:pPr>
    </w:p>
    <w:p w14:paraId="6BD66D04" w14:textId="77777777" w:rsidR="004D2009" w:rsidRDefault="004D2009" w:rsidP="00F36280">
      <w:pPr>
        <w:jc w:val="right"/>
        <w:rPr>
          <w:rFonts w:ascii="Bookman Old Style" w:hAnsi="Bookman Old Style" w:cstheme="minorHAnsi"/>
          <w:b/>
        </w:rPr>
      </w:pPr>
    </w:p>
    <w:p w14:paraId="1EE14E27" w14:textId="1A954721" w:rsidR="00F36280" w:rsidRPr="00485CC5" w:rsidRDefault="002921B3" w:rsidP="00F36280">
      <w:pPr>
        <w:jc w:val="right"/>
        <w:rPr>
          <w:rFonts w:ascii="Bookman Old Style" w:hAnsi="Bookman Old Style" w:cstheme="minorHAnsi"/>
          <w:b/>
        </w:rPr>
      </w:pPr>
      <w:r>
        <w:rPr>
          <w:rFonts w:ascii="Bookman Old Style" w:hAnsi="Bookman Old Style" w:cstheme="minorHAnsi"/>
          <w:b/>
        </w:rPr>
        <w:t>Bogotá D.C., 20 de julio de 202</w:t>
      </w:r>
      <w:r w:rsidR="00FE4E72">
        <w:rPr>
          <w:rFonts w:ascii="Bookman Old Style" w:hAnsi="Bookman Old Style" w:cstheme="minorHAnsi"/>
          <w:b/>
        </w:rPr>
        <w:t>2</w:t>
      </w:r>
    </w:p>
    <w:p w14:paraId="447FE4DE" w14:textId="77777777" w:rsidR="00F36280" w:rsidRDefault="00F36280" w:rsidP="00F36280">
      <w:pPr>
        <w:rPr>
          <w:rFonts w:ascii="Bookman Old Style" w:hAnsi="Bookman Old Style" w:cstheme="minorHAnsi"/>
          <w:b/>
        </w:rPr>
      </w:pPr>
    </w:p>
    <w:p w14:paraId="797BE30D" w14:textId="77777777" w:rsidR="00470AE7" w:rsidRPr="00485CC5" w:rsidRDefault="00470AE7" w:rsidP="00F36280">
      <w:pPr>
        <w:rPr>
          <w:rFonts w:ascii="Bookman Old Style" w:hAnsi="Bookman Old Style" w:cstheme="minorHAnsi"/>
        </w:rPr>
      </w:pPr>
    </w:p>
    <w:p w14:paraId="20C251BA" w14:textId="77777777" w:rsidR="00F36280" w:rsidRPr="00485CC5" w:rsidRDefault="00F36280" w:rsidP="00F36280">
      <w:pPr>
        <w:rPr>
          <w:rFonts w:ascii="Bookman Old Style" w:hAnsi="Bookman Old Style" w:cstheme="minorHAnsi"/>
        </w:rPr>
      </w:pPr>
    </w:p>
    <w:p w14:paraId="59C6048A"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Doctor</w:t>
      </w:r>
    </w:p>
    <w:p w14:paraId="1DC843BD" w14:textId="21059171" w:rsidR="00F36280" w:rsidRPr="00ED7616" w:rsidRDefault="00ED7616" w:rsidP="00F36280">
      <w:pPr>
        <w:rPr>
          <w:rFonts w:ascii="Bookman Old Style" w:hAnsi="Bookman Old Style" w:cstheme="minorHAnsi"/>
          <w:b/>
          <w:bCs/>
        </w:rPr>
      </w:pPr>
      <w:r w:rsidRPr="00ED7616">
        <w:rPr>
          <w:rFonts w:ascii="Bookman Old Style" w:hAnsi="Bookman Old Style" w:cstheme="minorHAnsi"/>
          <w:b/>
          <w:bCs/>
        </w:rPr>
        <w:t xml:space="preserve">SECRETARIO GENERAL </w:t>
      </w:r>
    </w:p>
    <w:p w14:paraId="26DB6801"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Honorable Cámara de Representantes</w:t>
      </w:r>
    </w:p>
    <w:p w14:paraId="4A31A6A2" w14:textId="77777777" w:rsidR="00F36280" w:rsidRPr="00485CC5" w:rsidRDefault="00F36280" w:rsidP="00F36280">
      <w:pPr>
        <w:rPr>
          <w:rFonts w:ascii="Bookman Old Style" w:hAnsi="Bookman Old Style" w:cstheme="minorHAnsi"/>
        </w:rPr>
      </w:pPr>
      <w:r w:rsidRPr="00485CC5">
        <w:rPr>
          <w:rFonts w:ascii="Bookman Old Style" w:hAnsi="Bookman Old Style" w:cstheme="minorHAnsi"/>
        </w:rPr>
        <w:t xml:space="preserve">Ciudad </w:t>
      </w:r>
    </w:p>
    <w:p w14:paraId="6DD27E7F" w14:textId="77777777" w:rsidR="00F36280" w:rsidRPr="00485CC5" w:rsidRDefault="00F36280" w:rsidP="00F36280">
      <w:pPr>
        <w:rPr>
          <w:rFonts w:ascii="Bookman Old Style" w:hAnsi="Bookman Old Style" w:cstheme="minorHAnsi"/>
          <w:b/>
        </w:rPr>
      </w:pPr>
    </w:p>
    <w:p w14:paraId="3F4BD2A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18FA7B7" w14:textId="77777777" w:rsidR="00F36280" w:rsidRPr="00485CC5" w:rsidRDefault="00F36280" w:rsidP="00F36280">
      <w:pPr>
        <w:jc w:val="right"/>
        <w:rPr>
          <w:rFonts w:ascii="Bookman Old Style" w:hAnsi="Bookman Old Style" w:cstheme="minorHAnsi"/>
          <w:b/>
        </w:rPr>
      </w:pPr>
      <w:r w:rsidRPr="00485CC5">
        <w:rPr>
          <w:rFonts w:ascii="Bookman Old Style" w:hAnsi="Bookman Old Style" w:cstheme="minorHAnsi"/>
          <w:b/>
        </w:rPr>
        <w:t xml:space="preserve">REF: RADICACIÓN PROYECTO DE </w:t>
      </w:r>
      <w:r w:rsidR="006B01C7">
        <w:rPr>
          <w:rFonts w:ascii="Bookman Old Style" w:hAnsi="Bookman Old Style" w:cstheme="minorHAnsi"/>
          <w:b/>
        </w:rPr>
        <w:t>ACTO LEGISLATIVO</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65FFDF7D" w14:textId="0745DE9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En nuestra condición de miembros del Congreso de la República y en uso del derecho consagrado en el artículo 15</w:t>
      </w:r>
      <w:r w:rsidR="0013321A">
        <w:rPr>
          <w:rFonts w:ascii="Bookman Old Style" w:hAnsi="Bookman Old Style" w:cstheme="minorHAnsi"/>
        </w:rPr>
        <w:t>0</w:t>
      </w:r>
      <w:r w:rsidRPr="00485CC5">
        <w:rPr>
          <w:rFonts w:ascii="Bookman Old Style" w:hAnsi="Bookman Old Style" w:cstheme="minorHAnsi"/>
        </w:rPr>
        <w:t xml:space="preserve"> de la Constitución Política de Colombia, por su digno conducto nos permitimos poner a consideración de la Honorable Cámara de Representantes el siguiente proyecto de </w:t>
      </w:r>
      <w:r w:rsidR="00AD56C3">
        <w:rPr>
          <w:rFonts w:ascii="Bookman Old Style" w:hAnsi="Bookman Old Style" w:cstheme="minorHAnsi"/>
        </w:rPr>
        <w:t>acto legislativo</w:t>
      </w:r>
      <w:r w:rsidRPr="00485CC5">
        <w:rPr>
          <w:rFonts w:ascii="Bookman Old Style" w:hAnsi="Bookman Old Style" w:cstheme="minorHAnsi"/>
        </w:rPr>
        <w:t xml:space="preserve"> “</w:t>
      </w:r>
      <w:r w:rsidRPr="00485CC5">
        <w:rPr>
          <w:rFonts w:ascii="Bookman Old Style" w:hAnsi="Bookman Old Style" w:cstheme="minorHAnsi"/>
          <w:i/>
          <w:iCs/>
        </w:rPr>
        <w:t>Por medio del cual se modifica el artículo 49 de la Constitución Política de Colombia y se regulariza Cannabis</w:t>
      </w:r>
      <w:r w:rsidR="00E83A56">
        <w:rPr>
          <w:rFonts w:ascii="Bookman Old Style" w:hAnsi="Bookman Old Style" w:cstheme="minorHAnsi"/>
          <w:i/>
          <w:iCs/>
        </w:rPr>
        <w:t xml:space="preserve"> de uso adulto</w:t>
      </w:r>
      <w:r w:rsidRPr="00485CC5">
        <w:rPr>
          <w:rFonts w:ascii="Bookman Old Style" w:hAnsi="Bookman Old Style" w:cstheme="minorHAnsi"/>
        </w:rPr>
        <w:t>”.</w:t>
      </w:r>
      <w:r w:rsidR="00111B26">
        <w:rPr>
          <w:rFonts w:ascii="Bookman Old Style" w:hAnsi="Bookman Old Style" w:cstheme="minorHAnsi"/>
        </w:rPr>
        <w:t xml:space="preserve"> </w:t>
      </w:r>
      <w:r w:rsidR="00111B26" w:rsidRPr="00DD5051">
        <w:rPr>
          <w:rFonts w:ascii="Bookman Old Style" w:hAnsi="Bookman Old Style" w:cstheme="minorHAnsi"/>
          <w:b/>
          <w:bCs/>
        </w:rPr>
        <w:t>(Cannabis</w:t>
      </w:r>
      <w:r w:rsidR="00DD5051">
        <w:rPr>
          <w:rFonts w:ascii="Bookman Old Style" w:hAnsi="Bookman Old Style" w:cstheme="minorHAnsi"/>
          <w:b/>
          <w:bCs/>
        </w:rPr>
        <w:t xml:space="preserve"> de uso adulto</w:t>
      </w:r>
      <w:r w:rsidR="00111B26" w:rsidRPr="00DD5051">
        <w:rPr>
          <w:rFonts w:ascii="Bookman Old Style" w:hAnsi="Bookman Old Style" w:cstheme="minorHAnsi"/>
          <w:b/>
          <w:bCs/>
        </w:rPr>
        <w:t>)</w:t>
      </w:r>
    </w:p>
    <w:p w14:paraId="242DAAAF" w14:textId="77777777" w:rsidR="00F36280" w:rsidRPr="00485CC5" w:rsidRDefault="00F36280" w:rsidP="00F36280">
      <w:pPr>
        <w:jc w:val="both"/>
        <w:rPr>
          <w:rFonts w:ascii="Bookman Old Style" w:hAnsi="Bookman Old Style" w:cstheme="minorHAnsi"/>
        </w:rPr>
      </w:pPr>
    </w:p>
    <w:p w14:paraId="06F9C11D" w14:textId="77777777" w:rsidR="00F36280" w:rsidRPr="00485CC5" w:rsidRDefault="00F36280" w:rsidP="00F36280">
      <w:pPr>
        <w:jc w:val="both"/>
        <w:rPr>
          <w:rFonts w:ascii="Bookman Old Style" w:hAnsi="Bookman Old Style" w:cstheme="minorHAnsi"/>
        </w:rPr>
      </w:pPr>
    </w:p>
    <w:p w14:paraId="3672183A"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521846BB" w14:textId="1C211CDB" w:rsidR="00F36280" w:rsidRDefault="00F36280" w:rsidP="00F36280">
      <w:pPr>
        <w:rPr>
          <w:rFonts w:ascii="Bookman Old Style" w:hAnsi="Bookman Old Style" w:cstheme="minorHAnsi"/>
          <w:b/>
        </w:rPr>
      </w:pPr>
    </w:p>
    <w:p w14:paraId="3D5CAE56" w14:textId="2CEB0DB5" w:rsidR="004D2009" w:rsidRDefault="004D2009" w:rsidP="00F36280">
      <w:pPr>
        <w:rPr>
          <w:rFonts w:ascii="Bookman Old Style" w:hAnsi="Bookman Old Style" w:cstheme="minorHAnsi"/>
          <w:b/>
        </w:rPr>
      </w:pPr>
    </w:p>
    <w:p w14:paraId="50799C90" w14:textId="647828E9" w:rsidR="004D2009" w:rsidRDefault="004D2009" w:rsidP="00F36280">
      <w:pPr>
        <w:rPr>
          <w:rFonts w:ascii="Bookman Old Style" w:hAnsi="Bookman Old Style" w:cstheme="minorHAnsi"/>
          <w:b/>
        </w:rPr>
      </w:pPr>
    </w:p>
    <w:p w14:paraId="70C6625C" w14:textId="4E8460A5" w:rsidR="004D2009" w:rsidRDefault="004D2009" w:rsidP="00F36280">
      <w:pPr>
        <w:rPr>
          <w:rFonts w:ascii="Bookman Old Style" w:hAnsi="Bookman Old Style" w:cstheme="minorHAnsi"/>
          <w:b/>
        </w:rPr>
      </w:pPr>
    </w:p>
    <w:p w14:paraId="0CD2EE76" w14:textId="1AC07A01" w:rsidR="004D2009" w:rsidRDefault="004D2009" w:rsidP="00F36280">
      <w:pPr>
        <w:rPr>
          <w:rFonts w:ascii="Bookman Old Style" w:hAnsi="Bookman Old Style" w:cstheme="minorHAnsi"/>
          <w:b/>
        </w:rPr>
      </w:pPr>
    </w:p>
    <w:p w14:paraId="54811F76" w14:textId="0DA52D38" w:rsidR="004D2009" w:rsidRDefault="004D2009" w:rsidP="00F36280">
      <w:pPr>
        <w:rPr>
          <w:rFonts w:ascii="Bookman Old Style" w:hAnsi="Bookman Old Style" w:cstheme="minorHAnsi"/>
          <w:b/>
        </w:rPr>
      </w:pPr>
    </w:p>
    <w:p w14:paraId="4AAE1C32" w14:textId="147C7B04" w:rsidR="004D2009" w:rsidRDefault="004D2009" w:rsidP="00F36280">
      <w:pPr>
        <w:rPr>
          <w:rFonts w:ascii="Bookman Old Style" w:hAnsi="Bookman Old Style" w:cstheme="minorHAnsi"/>
          <w:b/>
        </w:rPr>
      </w:pPr>
    </w:p>
    <w:p w14:paraId="331F4DE1" w14:textId="20D98DB4" w:rsidR="004D2009" w:rsidRDefault="004D2009" w:rsidP="00F36280">
      <w:pPr>
        <w:rPr>
          <w:rFonts w:ascii="Bookman Old Style" w:hAnsi="Bookman Old Style" w:cstheme="minorHAnsi"/>
          <w:b/>
        </w:rPr>
      </w:pPr>
    </w:p>
    <w:p w14:paraId="46CB86E1" w14:textId="0902377D" w:rsidR="004D2009" w:rsidRDefault="004D2009" w:rsidP="00F36280">
      <w:pPr>
        <w:rPr>
          <w:rFonts w:ascii="Bookman Old Style" w:hAnsi="Bookman Old Style" w:cstheme="minorHAnsi"/>
          <w:b/>
        </w:rPr>
      </w:pPr>
    </w:p>
    <w:p w14:paraId="5F400FE2"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37AE4398"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35177068" w14:textId="52FB717A"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133D2CC4" w14:textId="77777777" w:rsidR="004D2009" w:rsidRPr="00485CC5" w:rsidRDefault="004D2009" w:rsidP="004D2009">
      <w:pPr>
        <w:jc w:val="center"/>
        <w:rPr>
          <w:rFonts w:ascii="Bookman Old Style" w:hAnsi="Bookman Old Style" w:cstheme="minorHAnsi"/>
          <w:b/>
        </w:rPr>
      </w:pPr>
    </w:p>
    <w:p w14:paraId="01EB2D36" w14:textId="77777777" w:rsidR="0013321A" w:rsidRDefault="0013321A" w:rsidP="00621929">
      <w:pPr>
        <w:pBdr>
          <w:top w:val="nil"/>
          <w:left w:val="nil"/>
          <w:bottom w:val="nil"/>
          <w:right w:val="nil"/>
          <w:between w:val="nil"/>
        </w:pBdr>
        <w:ind w:right="115"/>
        <w:rPr>
          <w:rFonts w:ascii="Bookman Old Style" w:hAnsi="Bookman Old Style" w:cstheme="minorHAnsi"/>
          <w:b/>
          <w:sz w:val="24"/>
          <w:szCs w:val="24"/>
        </w:rPr>
      </w:pPr>
    </w:p>
    <w:p w14:paraId="3B7A9FB5" w14:textId="6A4DB1E0"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41ADD762" w14:textId="452CB1DA"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5EAFDD92" w14:textId="29CA4BC8" w:rsidR="00485B08" w:rsidRDefault="00485B08" w:rsidP="00D6651D">
      <w:pPr>
        <w:pBdr>
          <w:top w:val="nil"/>
          <w:left w:val="nil"/>
          <w:bottom w:val="nil"/>
          <w:right w:val="nil"/>
          <w:between w:val="nil"/>
        </w:pBdr>
        <w:ind w:right="115"/>
        <w:rPr>
          <w:rFonts w:ascii="Bookman Old Style" w:hAnsi="Bookman Old Style" w:cstheme="minorHAnsi"/>
          <w:b/>
          <w:sz w:val="24"/>
          <w:szCs w:val="24"/>
        </w:rPr>
      </w:pPr>
    </w:p>
    <w:p w14:paraId="50C9FF49" w14:textId="7053863B"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4F518928" w14:textId="0607A9F6"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6F100174" w14:textId="5414BD18"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6B163BDC" w14:textId="77777777" w:rsidR="004D2009" w:rsidRPr="004D2009" w:rsidRDefault="004D2009" w:rsidP="004D2009">
      <w:pPr>
        <w:widowControl/>
        <w:spacing w:after="240"/>
        <w:rPr>
          <w:color w:val="000000"/>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88"/>
        <w:gridCol w:w="4140"/>
      </w:tblGrid>
      <w:tr w:rsidR="006A0E61" w:rsidRPr="000270E3" w14:paraId="18BF511B"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CF47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lastRenderedPageBreak/>
              <w:t>ALEJANDRO VEGA PÉREZ</w:t>
            </w:r>
          </w:p>
          <w:p w14:paraId="0EBBBCB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5343B4D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5C500"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DAVID LÓPEZ TENORIO</w:t>
            </w:r>
          </w:p>
          <w:p w14:paraId="2B236512"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Valle del Cauca</w:t>
            </w:r>
          </w:p>
          <w:p w14:paraId="07E935B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6A0E61" w:rsidRPr="000270E3" w14:paraId="01E03C2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A41D1"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JAIME RODRIGUEZ CONTRERAS</w:t>
            </w:r>
          </w:p>
          <w:p w14:paraId="3DFBA26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9921B1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CDFB0"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217E35BC" w14:textId="14924895" w:rsidR="006A0E61" w:rsidRPr="000270E3" w:rsidRDefault="000270E3" w:rsidP="000270E3">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6A0E61" w:rsidRPr="000270E3" w14:paraId="28DEA1A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1F706E"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7829007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58044453"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48460" w14:textId="77777777" w:rsidR="00B91948" w:rsidRPr="000270E3" w:rsidRDefault="00B91948" w:rsidP="00B91948">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5AB75B0C" w14:textId="77777777" w:rsidR="00B91948" w:rsidRPr="000270E3" w:rsidRDefault="00B91948" w:rsidP="00B91948">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AF234C1" w14:textId="472CD09F" w:rsidR="006A0E61" w:rsidRPr="000270E3" w:rsidRDefault="00B91948" w:rsidP="00B91948">
            <w:pPr>
              <w:widowControl/>
              <w:spacing w:after="24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r>
      <w:tr w:rsidR="006A0E61" w:rsidRPr="000270E3" w14:paraId="5A1AE84D"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ED0FA" w14:textId="77777777" w:rsidR="00B91948" w:rsidRPr="000270E3" w:rsidRDefault="00B91948" w:rsidP="00B91948">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4D4698AF" w14:textId="116F0173" w:rsidR="006A0E61" w:rsidRPr="000270E3" w:rsidRDefault="00B91948" w:rsidP="00B91948">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053055"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7A1C1EB1"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3D26935" w14:textId="77777777" w:rsidR="006A0E61" w:rsidRPr="000270E3" w:rsidRDefault="006A0E61" w:rsidP="00F067D5">
            <w:pPr>
              <w:widowControl/>
              <w:rPr>
                <w:rFonts w:ascii="Bookman Old Style" w:hAnsi="Bookman Old Style"/>
                <w:sz w:val="20"/>
                <w:szCs w:val="20"/>
                <w:lang w:eastAsia="es-MX"/>
              </w:rPr>
            </w:pPr>
          </w:p>
        </w:tc>
      </w:tr>
      <w:tr w:rsidR="006A0E61" w:rsidRPr="000270E3" w14:paraId="3046B43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9C317"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510E16F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24947BE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F0772"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4E2D886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3D728D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6A0E61" w:rsidRPr="000270E3" w14:paraId="4E8EDAE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44582" w14:textId="3457E45B"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2FEB4480"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FAFA5C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FA272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3EBD7423"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51D428D"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6A0E61" w:rsidRPr="000270E3" w14:paraId="6E2F87C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1059E" w14:textId="77777777" w:rsidR="006A0E61" w:rsidRPr="000270E3" w:rsidRDefault="006A0E61" w:rsidP="00F067D5">
            <w:pPr>
              <w:widowControl/>
              <w:rPr>
                <w:rFonts w:ascii="Bookman Old Style" w:hAnsi="Bookman Old Style"/>
                <w:sz w:val="20"/>
                <w:szCs w:val="20"/>
                <w:lang w:eastAsia="es-MX"/>
              </w:rPr>
            </w:pPr>
          </w:p>
          <w:p w14:paraId="5FF16A9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4B932E2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85E34FB"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35E79" w14:textId="77777777" w:rsidR="006A0E61" w:rsidRPr="000270E3" w:rsidRDefault="006A0E61" w:rsidP="00F067D5">
            <w:pPr>
              <w:widowControl/>
              <w:rPr>
                <w:rFonts w:ascii="Bookman Old Style" w:hAnsi="Bookman Old Style"/>
                <w:sz w:val="20"/>
                <w:szCs w:val="20"/>
                <w:lang w:eastAsia="es-MX"/>
              </w:rPr>
            </w:pPr>
          </w:p>
          <w:p w14:paraId="44EC00E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2CEB798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0A32782"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6A0E61" w:rsidRPr="000270E3" w14:paraId="5E7852C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228B0" w14:textId="77777777" w:rsidR="006A0E61" w:rsidRPr="000270E3" w:rsidRDefault="006A0E61" w:rsidP="00F067D5">
            <w:pPr>
              <w:widowControl/>
              <w:rPr>
                <w:rFonts w:ascii="Bookman Old Style" w:hAnsi="Bookman Old Style"/>
                <w:sz w:val="20"/>
                <w:szCs w:val="20"/>
                <w:lang w:eastAsia="es-MX"/>
              </w:rPr>
            </w:pPr>
          </w:p>
          <w:p w14:paraId="6D3FC47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42613C4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753815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3B03B" w14:textId="77777777" w:rsidR="006A0E61" w:rsidRPr="000270E3" w:rsidRDefault="006A0E61" w:rsidP="000270E3">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44EC8746"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10E58F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6A0E61" w:rsidRPr="000270E3" w14:paraId="6372334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335CD" w14:textId="77777777" w:rsidR="006A0E61" w:rsidRPr="000270E3" w:rsidRDefault="006A0E61" w:rsidP="000270E3">
            <w:pPr>
              <w:widowControl/>
              <w:rPr>
                <w:rFonts w:ascii="Bookman Old Style" w:hAnsi="Bookman Old Style"/>
                <w:sz w:val="20"/>
                <w:szCs w:val="20"/>
                <w:lang w:eastAsia="es-MX"/>
              </w:rPr>
            </w:pPr>
          </w:p>
          <w:p w14:paraId="33D3FA4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6635328F"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21E17DB4"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02F7D" w14:textId="77777777" w:rsidR="006A0E61" w:rsidRPr="000270E3" w:rsidRDefault="006A0E61" w:rsidP="00F067D5">
            <w:pPr>
              <w:widowControl/>
              <w:jc w:val="center"/>
              <w:rPr>
                <w:rFonts w:ascii="Bookman Old Style" w:hAnsi="Bookman Old Style"/>
                <w:sz w:val="20"/>
                <w:szCs w:val="20"/>
                <w:lang w:eastAsia="es-MX"/>
              </w:rPr>
            </w:pPr>
          </w:p>
          <w:p w14:paraId="364ACB1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6E5E14C8"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A503E49"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6A0E61" w:rsidRPr="000270E3" w14:paraId="399D8E0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265D46"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p>
          <w:p w14:paraId="6DD51387"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225B1EBA" w14:textId="77777777" w:rsidR="006A0E61" w:rsidRPr="000270E3" w:rsidRDefault="006A0E61"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1CB682A4" w14:textId="77777777" w:rsidR="006A0E61" w:rsidRPr="000270E3" w:rsidRDefault="006A0E61"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E827B"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47A0654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6F5B12C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13ECA4BB"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78784936" w14:textId="77777777" w:rsidR="006A0E61" w:rsidRPr="000270E3" w:rsidRDefault="006A0E61" w:rsidP="00F067D5">
            <w:pPr>
              <w:widowControl/>
              <w:jc w:val="center"/>
              <w:rPr>
                <w:rFonts w:ascii="Bookman Old Style" w:hAnsi="Bookman Old Style"/>
                <w:sz w:val="20"/>
                <w:szCs w:val="20"/>
                <w:lang w:eastAsia="es-MX"/>
              </w:rPr>
            </w:pPr>
          </w:p>
        </w:tc>
      </w:tr>
      <w:tr w:rsidR="006A0E61" w:rsidRPr="000270E3" w14:paraId="21A98FC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E77B1" w14:textId="77777777" w:rsidR="006A0E61" w:rsidRPr="000270E3" w:rsidRDefault="006A0E61" w:rsidP="000270E3">
            <w:pPr>
              <w:pStyle w:val="NormalWeb"/>
              <w:spacing w:before="0" w:beforeAutospacing="0" w:after="0" w:afterAutospacing="0"/>
              <w:rPr>
                <w:rFonts w:ascii="Bookman Old Style" w:hAnsi="Bookman Old Style"/>
                <w:b/>
                <w:bCs/>
                <w:color w:val="000000"/>
                <w:sz w:val="20"/>
                <w:szCs w:val="20"/>
              </w:rPr>
            </w:pPr>
          </w:p>
          <w:p w14:paraId="3432789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0F49615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0D29408C"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29DF5D5"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58978" w14:textId="77777777" w:rsidR="006A0E61" w:rsidRPr="000270E3" w:rsidRDefault="006A0E61" w:rsidP="000270E3">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08277E8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6E2EDC9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16D26CED"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6A0E61" w:rsidRPr="000270E3" w14:paraId="4943C05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C592E" w14:textId="77777777" w:rsidR="006A0E61" w:rsidRPr="000270E3" w:rsidRDefault="006A0E61"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00000000">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5F0621B6"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09482CF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30F2D900"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F3FC6" w14:textId="77777777" w:rsidR="006A0E61" w:rsidRPr="000270E3" w:rsidRDefault="006A0E61" w:rsidP="000270E3">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536E8ED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536A5D9D"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329640E1" w14:textId="77777777" w:rsidR="006A0E61" w:rsidRPr="000270E3" w:rsidRDefault="006A0E61"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6A0E61" w:rsidRPr="000270E3" w14:paraId="15880809"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CA2F"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1BF73B3A"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76A7E4DA"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220375A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58E9C" w14:textId="77777777" w:rsidR="006A0E61" w:rsidRPr="000270E3" w:rsidRDefault="006A0E61" w:rsidP="00F067D5">
            <w:pPr>
              <w:pStyle w:val="NormalWeb"/>
              <w:spacing w:before="0" w:beforeAutospacing="0" w:after="0" w:afterAutospacing="0"/>
              <w:rPr>
                <w:rFonts w:ascii="Bookman Old Style" w:hAnsi="Bookman Old Style"/>
                <w:sz w:val="20"/>
                <w:szCs w:val="20"/>
              </w:rPr>
            </w:pPr>
          </w:p>
          <w:p w14:paraId="2AFCFC0C"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rPr>
            </w:pPr>
          </w:p>
          <w:p w14:paraId="465E1820"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22D04D3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C2EABF8" w14:textId="77777777" w:rsidR="006A0E61" w:rsidRPr="000270E3" w:rsidRDefault="006A0E61" w:rsidP="00F067D5">
            <w:pPr>
              <w:spacing w:after="240"/>
              <w:rPr>
                <w:rFonts w:ascii="Bookman Old Style" w:hAnsi="Bookman Old Style"/>
                <w:sz w:val="20"/>
                <w:szCs w:val="20"/>
              </w:rPr>
            </w:pPr>
          </w:p>
        </w:tc>
      </w:tr>
      <w:tr w:rsidR="006A0E61" w:rsidRPr="000270E3" w14:paraId="0AD73607"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90AED" w14:textId="77777777" w:rsidR="006A0E61" w:rsidRPr="000270E3" w:rsidRDefault="006A0E61" w:rsidP="00F067D5">
            <w:pPr>
              <w:pStyle w:val="NormalWeb"/>
              <w:spacing w:before="0" w:beforeAutospacing="0" w:after="0" w:afterAutospacing="0"/>
              <w:jc w:val="both"/>
              <w:rPr>
                <w:rFonts w:ascii="Bookman Old Style" w:hAnsi="Bookman Old Style"/>
                <w:sz w:val="20"/>
                <w:szCs w:val="20"/>
              </w:rPr>
            </w:pPr>
          </w:p>
          <w:p w14:paraId="5614EEC7"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lastRenderedPageBreak/>
              <w:t>CATHERINE JUVINAO CLAVIJO</w:t>
            </w:r>
          </w:p>
          <w:p w14:paraId="7C19297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6C58F759"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2C15FCDB" w14:textId="77777777" w:rsidR="006A0E61" w:rsidRPr="000270E3" w:rsidRDefault="006A0E61"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2A35"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p>
          <w:p w14:paraId="1C6A2C7E"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lastRenderedPageBreak/>
              <w:t>DOLCEY OSCAR TORRES ROMERO</w:t>
            </w:r>
          </w:p>
          <w:p w14:paraId="30398D34"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AEADCE8" w14:textId="77777777" w:rsidR="006A0E61" w:rsidRPr="000270E3" w:rsidRDefault="006A0E61"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0F298208" w14:textId="77777777" w:rsidR="006A0E61" w:rsidRPr="000270E3" w:rsidRDefault="006A0E61" w:rsidP="00F067D5">
            <w:pPr>
              <w:rPr>
                <w:rFonts w:ascii="Bookman Old Style" w:hAnsi="Bookman Old Style"/>
                <w:sz w:val="20"/>
                <w:szCs w:val="20"/>
              </w:rPr>
            </w:pPr>
          </w:p>
          <w:p w14:paraId="466E26E7" w14:textId="77777777" w:rsidR="006A0E61" w:rsidRPr="000270E3" w:rsidRDefault="006A0E61" w:rsidP="00F067D5">
            <w:pPr>
              <w:rPr>
                <w:rFonts w:ascii="Bookman Old Style" w:hAnsi="Bookman Old Style"/>
                <w:sz w:val="20"/>
                <w:szCs w:val="20"/>
              </w:rPr>
            </w:pPr>
          </w:p>
        </w:tc>
      </w:tr>
      <w:tr w:rsidR="006A0E61" w:rsidRPr="000270E3" w14:paraId="12E7A1B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78476" w14:textId="77777777" w:rsidR="006A0E61" w:rsidRPr="000270E3" w:rsidRDefault="006A0E61" w:rsidP="00F067D5">
            <w:pPr>
              <w:rPr>
                <w:rFonts w:ascii="Bookman Old Style" w:hAnsi="Bookman Old Style"/>
                <w:sz w:val="20"/>
                <w:szCs w:val="20"/>
              </w:rPr>
            </w:pPr>
          </w:p>
          <w:p w14:paraId="34218925" w14:textId="77777777" w:rsidR="006A0E61" w:rsidRPr="000270E3" w:rsidRDefault="006A0E61"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72809" w14:textId="77777777" w:rsidR="006A0E61" w:rsidRPr="000270E3" w:rsidRDefault="006A0E61" w:rsidP="00F067D5">
            <w:pPr>
              <w:rPr>
                <w:rFonts w:ascii="Bookman Old Style" w:hAnsi="Bookman Old Style"/>
                <w:sz w:val="20"/>
                <w:szCs w:val="20"/>
              </w:rPr>
            </w:pPr>
          </w:p>
        </w:tc>
      </w:tr>
      <w:tr w:rsidR="006A0E61" w:rsidRPr="000270E3" w14:paraId="68E78E6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337EAF" w14:textId="77777777" w:rsidR="006A0E61" w:rsidRPr="000270E3" w:rsidRDefault="006A0E61" w:rsidP="00F067D5">
            <w:pPr>
              <w:widowControl/>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FE8EC" w14:textId="77777777" w:rsidR="006A0E61" w:rsidRPr="000270E3" w:rsidRDefault="006A0E61" w:rsidP="00F067D5">
            <w:pPr>
              <w:widowControl/>
              <w:rPr>
                <w:rFonts w:ascii="Bookman Old Style" w:hAnsi="Bookman Old Style"/>
                <w:sz w:val="20"/>
                <w:szCs w:val="20"/>
                <w:lang w:eastAsia="es-MX"/>
              </w:rPr>
            </w:pPr>
          </w:p>
        </w:tc>
      </w:tr>
      <w:tr w:rsidR="006A0E61" w:rsidRPr="000270E3" w14:paraId="558C999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F2278" w14:textId="77777777" w:rsidR="006A0E61" w:rsidRPr="000270E3" w:rsidRDefault="006A0E61" w:rsidP="00F067D5">
            <w:pPr>
              <w:widowControl/>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A24A4" w14:textId="77777777" w:rsidR="006A0E61" w:rsidRPr="000270E3" w:rsidRDefault="006A0E61" w:rsidP="00F067D5">
            <w:pPr>
              <w:widowControl/>
              <w:rPr>
                <w:rFonts w:ascii="Bookman Old Style" w:hAnsi="Bookman Old Style"/>
                <w:sz w:val="20"/>
                <w:szCs w:val="20"/>
                <w:lang w:eastAsia="es-MX"/>
              </w:rPr>
            </w:pPr>
          </w:p>
        </w:tc>
      </w:tr>
    </w:tbl>
    <w:p w14:paraId="0DEE2DED" w14:textId="77777777" w:rsidR="006A0E61" w:rsidRPr="000270E3" w:rsidRDefault="006A0E61" w:rsidP="006A0E61">
      <w:pPr>
        <w:pBdr>
          <w:top w:val="nil"/>
          <w:left w:val="nil"/>
          <w:bottom w:val="nil"/>
          <w:right w:val="nil"/>
          <w:between w:val="nil"/>
        </w:pBdr>
        <w:ind w:right="115"/>
        <w:rPr>
          <w:rFonts w:ascii="Bookman Old Style" w:hAnsi="Bookman Old Style" w:cstheme="minorHAnsi"/>
          <w:b/>
          <w:sz w:val="20"/>
          <w:szCs w:val="20"/>
        </w:rPr>
      </w:pPr>
    </w:p>
    <w:p w14:paraId="05648351" w14:textId="77777777" w:rsidR="006A0E61" w:rsidRPr="000270E3" w:rsidRDefault="006A0E61" w:rsidP="006A0E61">
      <w:pPr>
        <w:pBdr>
          <w:top w:val="nil"/>
          <w:left w:val="nil"/>
          <w:bottom w:val="nil"/>
          <w:right w:val="nil"/>
          <w:between w:val="nil"/>
        </w:pBdr>
        <w:ind w:right="115"/>
        <w:rPr>
          <w:rFonts w:ascii="Bookman Old Style" w:hAnsi="Bookman Old Style" w:cstheme="minorHAnsi"/>
          <w:b/>
          <w:sz w:val="20"/>
          <w:szCs w:val="20"/>
        </w:rPr>
      </w:pPr>
    </w:p>
    <w:p w14:paraId="7C0E5FF6" w14:textId="77777777" w:rsidR="006A0E61" w:rsidRPr="000270E3" w:rsidRDefault="006A0E61" w:rsidP="006A0E61">
      <w:pPr>
        <w:ind w:hanging="567"/>
        <w:rPr>
          <w:rFonts w:ascii="Bookman Old Style" w:eastAsia="Calibri" w:hAnsi="Bookman Old Style" w:cs="Calibri"/>
          <w:color w:val="000000"/>
          <w:sz w:val="20"/>
          <w:szCs w:val="20"/>
        </w:rPr>
      </w:pPr>
    </w:p>
    <w:p w14:paraId="602371CD" w14:textId="4AD1C24E"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6C17F556" w14:textId="6E2BDDA0"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23E226DB" w14:textId="35F97068" w:rsidR="00FE4E72" w:rsidRPr="000270E3" w:rsidRDefault="00FE4E72" w:rsidP="00D6651D">
      <w:pPr>
        <w:pBdr>
          <w:top w:val="nil"/>
          <w:left w:val="nil"/>
          <w:bottom w:val="nil"/>
          <w:right w:val="nil"/>
          <w:between w:val="nil"/>
        </w:pBdr>
        <w:ind w:right="115"/>
        <w:rPr>
          <w:rFonts w:ascii="Bookman Old Style" w:hAnsi="Bookman Old Style" w:cstheme="minorHAnsi"/>
          <w:b/>
          <w:sz w:val="20"/>
          <w:szCs w:val="20"/>
        </w:rPr>
      </w:pPr>
    </w:p>
    <w:p w14:paraId="3D5A1F3F" w14:textId="456D8915" w:rsidR="00FE4E72" w:rsidRDefault="00FE4E72" w:rsidP="00D6651D">
      <w:pPr>
        <w:pBdr>
          <w:top w:val="nil"/>
          <w:left w:val="nil"/>
          <w:bottom w:val="nil"/>
          <w:right w:val="nil"/>
          <w:between w:val="nil"/>
        </w:pBdr>
        <w:ind w:right="115"/>
        <w:rPr>
          <w:rFonts w:ascii="Bookman Old Style" w:hAnsi="Bookman Old Style" w:cstheme="minorHAnsi"/>
          <w:b/>
          <w:sz w:val="24"/>
          <w:szCs w:val="24"/>
        </w:rPr>
      </w:pPr>
    </w:p>
    <w:p w14:paraId="06AFCBCB" w14:textId="2129E39E"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5F0DF911" w14:textId="21CEA103"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0F03A212" w14:textId="196D45F0"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1020C0E9" w14:textId="53957160"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272B5BB3" w14:textId="4569A41D"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00C9CE52" w14:textId="075FE9D4" w:rsidR="00EF0058" w:rsidRDefault="00EF0058" w:rsidP="00D6651D">
      <w:pPr>
        <w:pBdr>
          <w:top w:val="nil"/>
          <w:left w:val="nil"/>
          <w:bottom w:val="nil"/>
          <w:right w:val="nil"/>
          <w:between w:val="nil"/>
        </w:pBdr>
        <w:ind w:right="115"/>
        <w:rPr>
          <w:rFonts w:ascii="Bookman Old Style" w:hAnsi="Bookman Old Style" w:cstheme="minorHAnsi"/>
          <w:b/>
          <w:sz w:val="24"/>
          <w:szCs w:val="24"/>
        </w:rPr>
      </w:pPr>
    </w:p>
    <w:p w14:paraId="6C41BD65" w14:textId="310BAEE6"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84173EA" w14:textId="7208A0FC"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014E09A" w14:textId="4BF953E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7159F16" w14:textId="5384EFB9"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DED7927" w14:textId="0A4DAB0F"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0A8026A" w14:textId="28717D8B"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4E9F997" w14:textId="3F18E342"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8D326CE" w14:textId="17847FC9"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126F86B" w14:textId="5F14F5C3"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42253253" w14:textId="280876F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7C9A3C5" w14:textId="3D9CB0EE"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F3C77AC" w14:textId="0DC7D9D4"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46FC5369" w14:textId="5918C23A"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5E0182B" w14:textId="210BEF15"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1DFBAB7" w14:textId="5F0AE043"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3F4A45C1" w14:textId="1F62C7AB"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B92BAB2" w14:textId="371114C2"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5562501" w14:textId="74D6589F"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5E12D3FB" w14:textId="135B26B8"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2AE90EDA" w14:textId="49EB88E7"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BEFD93C" w14:textId="6B6DD266"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6F2D79C7" w14:textId="77777777" w:rsidR="000270E3" w:rsidRDefault="000270E3" w:rsidP="00D6651D">
      <w:pPr>
        <w:pBdr>
          <w:top w:val="nil"/>
          <w:left w:val="nil"/>
          <w:bottom w:val="nil"/>
          <w:right w:val="nil"/>
          <w:between w:val="nil"/>
        </w:pBdr>
        <w:ind w:right="115"/>
        <w:rPr>
          <w:rFonts w:ascii="Bookman Old Style" w:hAnsi="Bookman Old Style" w:cstheme="minorHAnsi"/>
          <w:b/>
          <w:sz w:val="24"/>
          <w:szCs w:val="24"/>
        </w:rPr>
      </w:pPr>
    </w:p>
    <w:p w14:paraId="740CA94F" w14:textId="24C83CCD" w:rsidR="004D2009" w:rsidRDefault="004D2009" w:rsidP="00D6651D">
      <w:pPr>
        <w:pBdr>
          <w:top w:val="nil"/>
          <w:left w:val="nil"/>
          <w:bottom w:val="nil"/>
          <w:right w:val="nil"/>
          <w:between w:val="nil"/>
        </w:pBdr>
        <w:ind w:right="115"/>
        <w:rPr>
          <w:rFonts w:ascii="Bookman Old Style" w:hAnsi="Bookman Old Style" w:cstheme="minorHAnsi"/>
          <w:b/>
          <w:sz w:val="24"/>
          <w:szCs w:val="24"/>
        </w:rPr>
      </w:pPr>
    </w:p>
    <w:p w14:paraId="53DD526E" w14:textId="77777777" w:rsidR="00FE4E72" w:rsidRPr="00485CC5" w:rsidRDefault="00FE4E72" w:rsidP="00D6651D">
      <w:pPr>
        <w:pBdr>
          <w:top w:val="nil"/>
          <w:left w:val="nil"/>
          <w:bottom w:val="nil"/>
          <w:right w:val="nil"/>
          <w:between w:val="nil"/>
        </w:pBdr>
        <w:ind w:right="115"/>
        <w:rPr>
          <w:rFonts w:ascii="Bookman Old Style" w:hAnsi="Bookman Old Style" w:cstheme="minorHAnsi"/>
          <w:b/>
          <w:sz w:val="24"/>
          <w:szCs w:val="24"/>
        </w:rPr>
      </w:pPr>
    </w:p>
    <w:p w14:paraId="4B2B638E" w14:textId="3E057E7C" w:rsidR="00F36280" w:rsidRPr="00485CC5" w:rsidRDefault="00F36280" w:rsidP="001D0620">
      <w:pPr>
        <w:pBdr>
          <w:top w:val="nil"/>
          <w:left w:val="nil"/>
          <w:bottom w:val="nil"/>
          <w:right w:val="nil"/>
          <w:between w:val="nil"/>
        </w:pBdr>
        <w:ind w:right="115"/>
        <w:jc w:val="center"/>
        <w:rPr>
          <w:rFonts w:ascii="Bookman Old Style" w:hAnsi="Bookman Old Style" w:cstheme="minorHAnsi"/>
          <w:b/>
        </w:rPr>
      </w:pPr>
      <w:r w:rsidRPr="00485CC5">
        <w:rPr>
          <w:rFonts w:ascii="Bookman Old Style" w:hAnsi="Bookman Old Style" w:cstheme="minorHAnsi"/>
          <w:b/>
        </w:rPr>
        <w:t>PROYECTO DE</w:t>
      </w:r>
      <w:r w:rsidR="006B01C7">
        <w:rPr>
          <w:rFonts w:ascii="Bookman Old Style" w:hAnsi="Bookman Old Style" w:cstheme="minorHAnsi"/>
          <w:b/>
        </w:rPr>
        <w:t xml:space="preserve"> ACTO LEGISLATIVO</w:t>
      </w:r>
      <w:r w:rsidRPr="00485CC5">
        <w:rPr>
          <w:rFonts w:ascii="Bookman Old Style" w:hAnsi="Bookman Old Style" w:cstheme="minorHAnsi"/>
          <w:b/>
        </w:rPr>
        <w:t xml:space="preserve"> ______ de 20</w:t>
      </w:r>
      <w:r w:rsidR="006B01C7">
        <w:rPr>
          <w:rFonts w:ascii="Bookman Old Style" w:hAnsi="Bookman Old Style" w:cstheme="minorHAnsi"/>
          <w:b/>
        </w:rPr>
        <w:t>2</w:t>
      </w:r>
      <w:r w:rsidR="00FE4E72">
        <w:rPr>
          <w:rFonts w:ascii="Bookman Old Style" w:hAnsi="Bookman Old Style" w:cstheme="minorHAnsi"/>
          <w:b/>
        </w:rPr>
        <w:t>2</w:t>
      </w:r>
    </w:p>
    <w:p w14:paraId="5A97132E" w14:textId="77777777"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p>
    <w:p w14:paraId="70C7A852" w14:textId="7D961EFF" w:rsidR="00F36280" w:rsidRPr="00485CC5" w:rsidRDefault="00F36280" w:rsidP="00F36280">
      <w:pPr>
        <w:pBdr>
          <w:top w:val="nil"/>
          <w:left w:val="nil"/>
          <w:bottom w:val="nil"/>
          <w:right w:val="nil"/>
          <w:between w:val="nil"/>
        </w:pBdr>
        <w:ind w:right="115"/>
        <w:jc w:val="center"/>
        <w:rPr>
          <w:rFonts w:ascii="Bookman Old Style" w:hAnsi="Bookman Old Style" w:cstheme="minorHAnsi"/>
          <w:b/>
        </w:rPr>
      </w:pPr>
      <w:r w:rsidRPr="00485CC5">
        <w:rPr>
          <w:rStyle w:val="Textoennegrita"/>
          <w:rFonts w:ascii="Bookman Old Style" w:hAnsi="Bookman Old Style" w:cs="Calibri"/>
          <w:b w:val="0"/>
          <w:bCs w:val="0"/>
          <w:i/>
        </w:rPr>
        <w:lastRenderedPageBreak/>
        <w:t>“Por medio del cual se modifica el artículo </w:t>
      </w:r>
      <w:r w:rsidRPr="00485CC5">
        <w:rPr>
          <w:rFonts w:ascii="Bookman Old Style" w:hAnsi="Bookman Old Style" w:cs="Calibri"/>
          <w:i/>
        </w:rPr>
        <w:t>49</w:t>
      </w:r>
      <w:r w:rsidRPr="00485CC5">
        <w:rPr>
          <w:rStyle w:val="Textoennegrita"/>
          <w:rFonts w:ascii="Bookman Old Style" w:hAnsi="Bookman Old Style" w:cs="Calibri"/>
          <w:i/>
        </w:rPr>
        <w:t> </w:t>
      </w:r>
      <w:r w:rsidRPr="00485CC5">
        <w:rPr>
          <w:rStyle w:val="Textoennegrita"/>
          <w:rFonts w:ascii="Bookman Old Style" w:hAnsi="Bookman Old Style" w:cs="Calibri"/>
          <w:b w:val="0"/>
          <w:bCs w:val="0"/>
          <w:i/>
        </w:rPr>
        <w:t>de la Constitución Política de Colombia y se regulariza el Cannabis</w:t>
      </w:r>
      <w:r w:rsidR="00BB5BB4">
        <w:rPr>
          <w:rStyle w:val="Textoennegrita"/>
          <w:rFonts w:ascii="Bookman Old Style" w:hAnsi="Bookman Old Style" w:cs="Calibri"/>
          <w:b w:val="0"/>
          <w:bCs w:val="0"/>
          <w:i/>
        </w:rPr>
        <w:t xml:space="preserve"> de uso adulto</w:t>
      </w:r>
      <w:r w:rsidRPr="00485CC5">
        <w:rPr>
          <w:rStyle w:val="Textoennegrita"/>
          <w:rFonts w:ascii="Bookman Old Style" w:hAnsi="Bookman Old Style" w:cs="Calibri"/>
          <w:b w:val="0"/>
          <w:bCs w:val="0"/>
          <w:i/>
        </w:rPr>
        <w:t>”.</w:t>
      </w:r>
    </w:p>
    <w:p w14:paraId="36913F1C"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7D2EEF9B" w14:textId="77777777" w:rsidR="00F36280" w:rsidRPr="00485CC5" w:rsidRDefault="00F36280" w:rsidP="00F36280">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0CAB16BB" w14:textId="77777777" w:rsidR="00F36280" w:rsidRPr="00485CC5" w:rsidRDefault="00F36280" w:rsidP="00F36280">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1A93BC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30B38006"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714333E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3A2A2671"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7E117F82" w14:textId="77777777" w:rsidR="00F36280"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0055A2DB" w14:textId="77777777" w:rsidR="00254DDC" w:rsidRPr="00485CC5" w:rsidRDefault="00F36280" w:rsidP="00F36280">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70554C26" w14:textId="088126AA" w:rsidR="00254DDC" w:rsidRPr="00485CC5" w:rsidRDefault="00254DDC" w:rsidP="00621929">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 xml:space="preserve">La prohibición prevista en el inciso anterior no aplicará </w:t>
      </w:r>
      <w:r w:rsidR="00753CAF" w:rsidRPr="00485CC5">
        <w:rPr>
          <w:rFonts w:ascii="Bookman Old Style" w:hAnsi="Bookman Old Style" w:cs="Calibri"/>
          <w:b/>
          <w:szCs w:val="24"/>
          <w:u w:val="single"/>
        </w:rPr>
        <w:t xml:space="preserve">para el uso por parte de mayores de edad </w:t>
      </w:r>
      <w:r w:rsidR="00753CAF">
        <w:rPr>
          <w:rFonts w:ascii="Bookman Old Style" w:hAnsi="Bookman Old Style" w:cs="Calibri"/>
          <w:b/>
          <w:szCs w:val="24"/>
          <w:u w:val="single"/>
        </w:rPr>
        <w:t>de</w:t>
      </w:r>
      <w:r w:rsidRPr="00485CC5">
        <w:rPr>
          <w:rFonts w:ascii="Bookman Old Style" w:hAnsi="Bookman Old Style" w:cs="Calibri"/>
          <w:b/>
          <w:szCs w:val="24"/>
          <w:u w:val="single"/>
        </w:rPr>
        <w:t>l cannabis y sus derivados</w:t>
      </w:r>
      <w:r w:rsidR="00BB5BB4">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 xml:space="preserve">aplicará </w:t>
      </w:r>
      <w:r w:rsidR="00EB478E">
        <w:rPr>
          <w:rFonts w:ascii="Bookman Old Style" w:hAnsi="Bookman Old Style" w:cs="Calibri"/>
          <w:b/>
          <w:szCs w:val="24"/>
          <w:u w:val="single"/>
        </w:rPr>
        <w:t>para la</w:t>
      </w:r>
      <w:r w:rsidRPr="00485CC5">
        <w:rPr>
          <w:rFonts w:ascii="Bookman Old Style" w:hAnsi="Bookman Old Style" w:cs="Calibri"/>
          <w:b/>
          <w:szCs w:val="24"/>
          <w:u w:val="single"/>
        </w:rPr>
        <w:t xml:space="preserve"> destinación científica</w:t>
      </w:r>
      <w:r w:rsidR="00EB478E">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el porte y consumo del cannabis y sus derivados en espacios públicos</w:t>
      </w:r>
      <w:r w:rsidR="00BB5BB4">
        <w:rPr>
          <w:rFonts w:ascii="Bookman Old Style" w:hAnsi="Bookman Old Style" w:cs="Calibri"/>
          <w:b/>
          <w:szCs w:val="24"/>
          <w:u w:val="single"/>
        </w:rPr>
        <w:t xml:space="preserve">, </w:t>
      </w:r>
      <w:r>
        <w:rPr>
          <w:rFonts w:ascii="Bookman Old Style" w:hAnsi="Bookman Old Style" w:cs="Calibri"/>
          <w:b/>
          <w:szCs w:val="24"/>
          <w:u w:val="single"/>
        </w:rPr>
        <w:t>zonas comunes</w:t>
      </w:r>
      <w:r w:rsidR="00BB5BB4">
        <w:rPr>
          <w:rFonts w:ascii="Bookman Old Style" w:hAnsi="Bookman Old Style" w:cs="Calibri"/>
          <w:b/>
          <w:szCs w:val="24"/>
          <w:u w:val="single"/>
        </w:rPr>
        <w:t xml:space="preserve"> y entornos escolares, entre otros</w:t>
      </w:r>
      <w:r>
        <w:rPr>
          <w:rFonts w:ascii="Bookman Old Style" w:hAnsi="Bookman Old Style" w:cs="Calibri"/>
          <w:b/>
          <w:szCs w:val="24"/>
          <w:u w:val="single"/>
        </w:rPr>
        <w:t>.</w:t>
      </w:r>
    </w:p>
    <w:p w14:paraId="13574E89" w14:textId="0E88FC87" w:rsidR="00F36280" w:rsidRDefault="00F36280" w:rsidP="00254DDC">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w:t>
      </w:r>
      <w:r w:rsidR="00E45D35">
        <w:rPr>
          <w:rFonts w:ascii="Bookman Old Style" w:hAnsi="Bookman Old Style" w:cs="Calibri"/>
        </w:rPr>
        <w:t xml:space="preserve"> </w:t>
      </w:r>
      <w:r w:rsidR="00E45D35" w:rsidRPr="00E45D35">
        <w:rPr>
          <w:rFonts w:ascii="Bookman Old Style" w:hAnsi="Bookman Old Style" w:cs="Calibri"/>
          <w:b/>
          <w:bCs/>
          <w:u w:val="single"/>
        </w:rPr>
        <w:t>garantizar su tratamiento; y así</w:t>
      </w:r>
      <w:r w:rsidRPr="00485CC5">
        <w:rPr>
          <w:rFonts w:ascii="Bookman Old Style" w:hAnsi="Bookman Old Style" w:cs="Calibri"/>
        </w:rPr>
        <w:t xml:space="preserve"> fortalecerla en valores y </w:t>
      </w:r>
      <w:r w:rsidRPr="00485CC5">
        <w:rPr>
          <w:rFonts w:ascii="Bookman Old Style" w:hAnsi="Bookman Old Style" w:cs="Calibri"/>
        </w:rPr>
        <w:lastRenderedPageBreak/>
        <w:t>principios que contribuyan a prevenir comportamientos que afecten el cuidado integral de la salud de las personas y, por consiguiente, de la comunidad, y desarrollará en forma permanente campañas de prevención contra el consumo de drogas o sustancias estupefacientes y</w:t>
      </w:r>
      <w:r w:rsidR="004750AD">
        <w:rPr>
          <w:rFonts w:ascii="Bookman Old Style" w:hAnsi="Bookman Old Style" w:cs="Calibri"/>
        </w:rPr>
        <w:t xml:space="preserve"> </w:t>
      </w:r>
      <w:r w:rsidR="004750AD" w:rsidRPr="004750AD">
        <w:rPr>
          <w:rFonts w:ascii="Bookman Old Style" w:hAnsi="Bookman Old Style" w:cs="Calibri"/>
          <w:b/>
          <w:bCs/>
          <w:u w:val="single"/>
        </w:rPr>
        <w:t>sus efectos nocivos</w:t>
      </w:r>
      <w:r w:rsidRPr="00485CC5">
        <w:rPr>
          <w:rFonts w:ascii="Bookman Old Style" w:hAnsi="Bookman Old Style" w:cs="Calibri"/>
        </w:rPr>
        <w:t xml:space="preserve"> en favor de la recuperación de los enfermos dependientes o adictos.</w:t>
      </w:r>
    </w:p>
    <w:p w14:paraId="384C8B9A" w14:textId="7FD0D01C" w:rsidR="004750AD" w:rsidRPr="004750AD" w:rsidRDefault="004750AD" w:rsidP="004750AD">
      <w:pPr>
        <w:spacing w:before="100" w:beforeAutospacing="1" w:after="100" w:afterAutospacing="1" w:line="270" w:lineRule="atLeast"/>
        <w:ind w:left="284"/>
        <w:jc w:val="both"/>
        <w:rPr>
          <w:rFonts w:ascii="Bookman Old Style" w:hAnsi="Bookman Old Style" w:cs="Calibri"/>
          <w:b/>
          <w:bCs/>
          <w:u w:val="single"/>
        </w:rPr>
      </w:pPr>
      <w:r w:rsidRPr="0055251D">
        <w:rPr>
          <w:rFonts w:ascii="Bookman Old Style" w:hAnsi="Bookman Old Style" w:cs="Calibri"/>
          <w:b/>
          <w:bCs/>
          <w:u w:val="single"/>
        </w:rPr>
        <w:t>Las entidades integrantes del Sistema Integral de Seguridad Social y sus prestadores garantizaran la aplicación de lo establecido en este artículo.</w:t>
      </w:r>
    </w:p>
    <w:p w14:paraId="28178D89" w14:textId="2494E3E1" w:rsidR="00BB5BB4" w:rsidRDefault="00F36280" w:rsidP="00F36280">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sidR="00BB5BB4">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sidR="00BB5BB4">
        <w:rPr>
          <w:rFonts w:ascii="Bookman Old Style" w:hAnsi="Bookman Old Style" w:cs="Calibri"/>
          <w:b/>
          <w:bCs/>
          <w:sz w:val="22"/>
          <w:szCs w:val="22"/>
        </w:rPr>
        <w:t xml:space="preserve"> </w:t>
      </w:r>
      <w:r w:rsidR="00BB5BB4">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176CA1E2" w14:textId="49ACA184" w:rsidR="00F36280" w:rsidRPr="00485CC5" w:rsidRDefault="00BB5BB4" w:rsidP="00F36280">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00F36280" w:rsidRPr="00485CC5">
        <w:rPr>
          <w:rFonts w:ascii="Bookman Old Style" w:hAnsi="Bookman Old Style" w:cs="Calibri"/>
          <w:b/>
          <w:bCs/>
          <w:sz w:val="22"/>
          <w:szCs w:val="22"/>
        </w:rPr>
        <w:t>VIGENCIA.</w:t>
      </w:r>
      <w:r w:rsidR="00470A0B">
        <w:rPr>
          <w:rFonts w:ascii="Bookman Old Style" w:hAnsi="Bookman Old Style" w:cs="Calibri"/>
          <w:sz w:val="22"/>
          <w:szCs w:val="22"/>
        </w:rPr>
        <w:t> El presente Acto Legislativo</w:t>
      </w:r>
      <w:r w:rsidR="00F36280"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3D8B12D9" w14:textId="77777777" w:rsidR="00F36280" w:rsidRPr="00485CC5" w:rsidRDefault="00F36280" w:rsidP="00F36280">
      <w:pPr>
        <w:pStyle w:val="NormalWeb"/>
        <w:spacing w:line="270" w:lineRule="atLeast"/>
        <w:jc w:val="both"/>
        <w:rPr>
          <w:rFonts w:ascii="Bookman Old Style" w:hAnsi="Bookman Old Style" w:cs="Calibri"/>
          <w:sz w:val="22"/>
          <w:szCs w:val="22"/>
        </w:rPr>
      </w:pPr>
    </w:p>
    <w:p w14:paraId="1B5EEE12" w14:textId="77777777" w:rsidR="00F36280" w:rsidRPr="00485CC5" w:rsidRDefault="00F36280" w:rsidP="00F36280">
      <w:pPr>
        <w:jc w:val="both"/>
        <w:rPr>
          <w:rFonts w:ascii="Bookman Old Style" w:hAnsi="Bookman Old Style" w:cstheme="minorHAnsi"/>
        </w:rPr>
      </w:pPr>
      <w:r w:rsidRPr="00485CC5">
        <w:rPr>
          <w:rFonts w:ascii="Bookman Old Style" w:hAnsi="Bookman Old Style" w:cstheme="minorHAnsi"/>
        </w:rPr>
        <w:t xml:space="preserve">Cordialmente, </w:t>
      </w:r>
    </w:p>
    <w:p w14:paraId="23DFD6D9" w14:textId="1416C42F" w:rsidR="00F36280" w:rsidRDefault="00F36280" w:rsidP="00F36280">
      <w:pPr>
        <w:rPr>
          <w:rFonts w:ascii="Bookman Old Style" w:hAnsi="Bookman Old Style" w:cstheme="minorHAnsi"/>
          <w:b/>
        </w:rPr>
      </w:pPr>
    </w:p>
    <w:p w14:paraId="785654C4" w14:textId="757B5736" w:rsidR="004D2009" w:rsidRDefault="004D2009" w:rsidP="004D2009">
      <w:pPr>
        <w:rPr>
          <w:rFonts w:ascii="Bookman Old Style" w:hAnsi="Bookman Old Style" w:cstheme="minorHAnsi"/>
          <w:b/>
        </w:rPr>
      </w:pPr>
    </w:p>
    <w:p w14:paraId="2B7CCD8A" w14:textId="6DE600F8" w:rsidR="004D2009" w:rsidRDefault="004D2009" w:rsidP="004D2009">
      <w:pPr>
        <w:rPr>
          <w:rFonts w:ascii="Bookman Old Style" w:hAnsi="Bookman Old Style" w:cstheme="minorHAnsi"/>
          <w:b/>
        </w:rPr>
      </w:pPr>
    </w:p>
    <w:p w14:paraId="2BC02221" w14:textId="77777777" w:rsidR="004D2009" w:rsidRDefault="004D2009" w:rsidP="004D2009">
      <w:pPr>
        <w:rPr>
          <w:rFonts w:ascii="Bookman Old Style" w:hAnsi="Bookman Old Style" w:cstheme="minorHAnsi"/>
          <w:b/>
        </w:rPr>
      </w:pPr>
    </w:p>
    <w:p w14:paraId="22FEECA0" w14:textId="77777777" w:rsidR="004D2009" w:rsidRDefault="004D2009" w:rsidP="004D2009">
      <w:pPr>
        <w:rPr>
          <w:rFonts w:ascii="Bookman Old Style" w:hAnsi="Bookman Old Style" w:cstheme="minorHAnsi"/>
          <w:b/>
        </w:rPr>
      </w:pPr>
    </w:p>
    <w:p w14:paraId="28C86EB3"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2C4B81D3"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67C0495A" w14:textId="77777777"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56CAE965" w14:textId="77777777" w:rsidR="004D2009" w:rsidRPr="00485CC5" w:rsidRDefault="004D2009" w:rsidP="004D2009">
      <w:pPr>
        <w:jc w:val="center"/>
        <w:rPr>
          <w:rFonts w:ascii="Bookman Old Style" w:hAnsi="Bookman Old Style" w:cstheme="minorHAnsi"/>
          <w:b/>
        </w:rPr>
      </w:pPr>
    </w:p>
    <w:p w14:paraId="4168B084"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68489636"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43B782CA" w14:textId="10EDB08B"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99A8311" w14:textId="07A2C9FE"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B2BCC33" w14:textId="2A457979"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4651F298" w14:textId="50D490AD"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5BF266D" w14:textId="77777777"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72214BCF" w14:textId="00DFBB2B"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221C1B98" w14:textId="2B5B47D3"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7DF3212" w14:textId="7890B883"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303652F" w14:textId="144DB5FC"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044B4C55" w14:textId="57BC0CCE"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p w14:paraId="64440FF4" w14:textId="77777777" w:rsidR="000270E3" w:rsidRDefault="000270E3" w:rsidP="004D2009">
      <w:pPr>
        <w:pBdr>
          <w:top w:val="nil"/>
          <w:left w:val="nil"/>
          <w:bottom w:val="nil"/>
          <w:right w:val="nil"/>
          <w:between w:val="nil"/>
        </w:pBdr>
        <w:ind w:right="115"/>
        <w:rPr>
          <w:rFonts w:ascii="Bookman Old Style" w:hAnsi="Bookman Old Style" w:cstheme="minorHAnsi"/>
          <w:b/>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88"/>
        <w:gridCol w:w="4140"/>
      </w:tblGrid>
      <w:tr w:rsidR="000270E3" w:rsidRPr="000270E3" w14:paraId="2BD804A5"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4EAA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VEGA PÉREZ</w:t>
            </w:r>
          </w:p>
          <w:p w14:paraId="7D4B7297"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lastRenderedPageBreak/>
              <w:t>Senador de la República</w:t>
            </w:r>
          </w:p>
          <w:p w14:paraId="52780E3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C5CAC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lastRenderedPageBreak/>
              <w:t>JULIÁN DAVID LÓPEZ TENORIO</w:t>
            </w:r>
          </w:p>
          <w:p w14:paraId="59008DE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lastRenderedPageBreak/>
              <w:t>Representante a la Cámara Valle del Cauca</w:t>
            </w:r>
          </w:p>
          <w:p w14:paraId="0551BD4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0270E3" w:rsidRPr="000270E3" w14:paraId="6CD5E19C"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37075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lastRenderedPageBreak/>
              <w:t>JAIME RODRIGUEZ CONTRERAS</w:t>
            </w:r>
          </w:p>
          <w:p w14:paraId="6F21161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359D58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2C15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4FA0F4A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0270E3" w:rsidRPr="000270E3" w14:paraId="4DC1C927"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3D1A0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171D52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5AF8495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21D6A3" w14:textId="77777777" w:rsidR="000270E3" w:rsidRPr="000270E3" w:rsidRDefault="000270E3" w:rsidP="00F067D5">
            <w:pPr>
              <w:widowControl/>
              <w:spacing w:after="240"/>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PEINADO RAMÍREZ</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Representante a la Cámara</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Departamento de Antioquia</w:t>
            </w:r>
          </w:p>
          <w:p w14:paraId="6733EAC1"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3CF3F28B"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EC24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4E7EC60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707EC30A" w14:textId="77777777" w:rsidR="000270E3" w:rsidRPr="000270E3" w:rsidRDefault="000270E3" w:rsidP="00F067D5">
            <w:pPr>
              <w:widowControl/>
              <w:spacing w:after="20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D5D0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7DB7B6D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0BEDCD91" w14:textId="77777777" w:rsidR="000270E3" w:rsidRPr="000270E3" w:rsidRDefault="000270E3" w:rsidP="00F067D5">
            <w:pPr>
              <w:widowControl/>
              <w:rPr>
                <w:rFonts w:ascii="Bookman Old Style" w:hAnsi="Bookman Old Style"/>
                <w:sz w:val="20"/>
                <w:szCs w:val="20"/>
                <w:lang w:eastAsia="es-MX"/>
              </w:rPr>
            </w:pPr>
          </w:p>
        </w:tc>
      </w:tr>
      <w:tr w:rsidR="000270E3" w:rsidRPr="000270E3" w14:paraId="0C03007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AC812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75E4B4D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61FBD64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7769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576C9BA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C9C1C9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0270E3" w:rsidRPr="000270E3" w14:paraId="5146804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697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4B6485C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A6D389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22C5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690BD3C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5C77E57"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73A9833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B53317" w14:textId="77777777" w:rsidR="000270E3" w:rsidRPr="000270E3" w:rsidRDefault="000270E3" w:rsidP="00F067D5">
            <w:pPr>
              <w:widowControl/>
              <w:rPr>
                <w:rFonts w:ascii="Bookman Old Style" w:hAnsi="Bookman Old Style"/>
                <w:sz w:val="20"/>
                <w:szCs w:val="20"/>
                <w:lang w:eastAsia="es-MX"/>
              </w:rPr>
            </w:pPr>
          </w:p>
          <w:p w14:paraId="7A75AB6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0F3D9B8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983A54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67EFC7" w14:textId="77777777" w:rsidR="000270E3" w:rsidRPr="000270E3" w:rsidRDefault="000270E3" w:rsidP="00F067D5">
            <w:pPr>
              <w:widowControl/>
              <w:rPr>
                <w:rFonts w:ascii="Bookman Old Style" w:hAnsi="Bookman Old Style"/>
                <w:sz w:val="20"/>
                <w:szCs w:val="20"/>
                <w:lang w:eastAsia="es-MX"/>
              </w:rPr>
            </w:pPr>
          </w:p>
          <w:p w14:paraId="6066897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58B4BB2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287D8D7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0270E3" w:rsidRPr="000270E3" w14:paraId="1DF48F1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CE060" w14:textId="77777777" w:rsidR="000270E3" w:rsidRPr="000270E3" w:rsidRDefault="000270E3" w:rsidP="00F067D5">
            <w:pPr>
              <w:widowControl/>
              <w:rPr>
                <w:rFonts w:ascii="Bookman Old Style" w:hAnsi="Bookman Old Style"/>
                <w:sz w:val="20"/>
                <w:szCs w:val="20"/>
                <w:lang w:eastAsia="es-MX"/>
              </w:rPr>
            </w:pPr>
          </w:p>
          <w:p w14:paraId="73D8B0A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5AFD87C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B4DBA7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F7991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58B9A94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659EF39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0270E3" w:rsidRPr="000270E3" w14:paraId="33B2CB9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198DA" w14:textId="77777777" w:rsidR="000270E3" w:rsidRPr="000270E3" w:rsidRDefault="000270E3" w:rsidP="00F067D5">
            <w:pPr>
              <w:widowControl/>
              <w:rPr>
                <w:rFonts w:ascii="Bookman Old Style" w:hAnsi="Bookman Old Style"/>
                <w:sz w:val="20"/>
                <w:szCs w:val="20"/>
                <w:lang w:eastAsia="es-MX"/>
              </w:rPr>
            </w:pPr>
          </w:p>
          <w:p w14:paraId="05F1D1F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290FCFD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5EA6056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5D5A" w14:textId="77777777" w:rsidR="000270E3" w:rsidRPr="000270E3" w:rsidRDefault="000270E3" w:rsidP="00F067D5">
            <w:pPr>
              <w:widowControl/>
              <w:jc w:val="center"/>
              <w:rPr>
                <w:rFonts w:ascii="Bookman Old Style" w:hAnsi="Bookman Old Style"/>
                <w:sz w:val="20"/>
                <w:szCs w:val="20"/>
                <w:lang w:eastAsia="es-MX"/>
              </w:rPr>
            </w:pPr>
          </w:p>
          <w:p w14:paraId="74A8F9F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118B7D3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F50394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3379CCA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81A91"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1C6022E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2F2836C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34C9A2D1" w14:textId="77777777" w:rsidR="000270E3" w:rsidRPr="000270E3" w:rsidRDefault="000270E3"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80CC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369035B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5569A97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5197EB7D"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4C31F466"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09F8AE64"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D66E7" w14:textId="77777777" w:rsidR="000270E3" w:rsidRPr="000270E3" w:rsidRDefault="000270E3" w:rsidP="00F067D5">
            <w:pPr>
              <w:pStyle w:val="NormalWeb"/>
              <w:spacing w:before="0" w:beforeAutospacing="0" w:after="0" w:afterAutospacing="0"/>
              <w:rPr>
                <w:rFonts w:ascii="Bookman Old Style" w:hAnsi="Bookman Old Style"/>
                <w:b/>
                <w:bCs/>
                <w:color w:val="000000"/>
                <w:sz w:val="20"/>
                <w:szCs w:val="20"/>
              </w:rPr>
            </w:pPr>
          </w:p>
          <w:p w14:paraId="3151A14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23A425B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6B469A1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E9162CF"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85093"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5A880C2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30469AEB"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1FB1FB0C"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0270E3" w:rsidRPr="000270E3" w14:paraId="461E769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6DA31"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00000000">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4D2D558E"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5F37F49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00AE1933"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967AF"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2DDB7A3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57EC8CE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28E72260"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0270E3" w:rsidRPr="000270E3" w14:paraId="4B7E6093"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93A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32A78A7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6077BE3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6CC811CC"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FC18F" w14:textId="77777777" w:rsidR="000270E3" w:rsidRPr="000270E3" w:rsidRDefault="000270E3" w:rsidP="00F067D5">
            <w:pPr>
              <w:pStyle w:val="NormalWeb"/>
              <w:spacing w:before="0" w:beforeAutospacing="0" w:after="0" w:afterAutospacing="0"/>
              <w:rPr>
                <w:rFonts w:ascii="Bookman Old Style" w:hAnsi="Bookman Old Style"/>
                <w:sz w:val="20"/>
                <w:szCs w:val="20"/>
              </w:rPr>
            </w:pPr>
          </w:p>
          <w:p w14:paraId="3E916DEE"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p>
          <w:p w14:paraId="6C331B46"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7FAA482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29E3C5C" w14:textId="77777777" w:rsidR="000270E3" w:rsidRPr="000270E3" w:rsidRDefault="000270E3" w:rsidP="00F067D5">
            <w:pPr>
              <w:spacing w:after="240"/>
              <w:rPr>
                <w:rFonts w:ascii="Bookman Old Style" w:hAnsi="Bookman Old Style"/>
                <w:sz w:val="20"/>
                <w:szCs w:val="20"/>
              </w:rPr>
            </w:pPr>
          </w:p>
        </w:tc>
      </w:tr>
      <w:tr w:rsidR="000270E3" w:rsidRPr="000270E3" w14:paraId="2A52B8A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4BC85C" w14:textId="77777777" w:rsidR="000270E3" w:rsidRPr="000270E3" w:rsidRDefault="000270E3" w:rsidP="00F067D5">
            <w:pPr>
              <w:pStyle w:val="NormalWeb"/>
              <w:spacing w:before="0" w:beforeAutospacing="0" w:after="0" w:afterAutospacing="0"/>
              <w:jc w:val="both"/>
              <w:rPr>
                <w:rFonts w:ascii="Bookman Old Style" w:hAnsi="Bookman Old Style"/>
                <w:sz w:val="20"/>
                <w:szCs w:val="20"/>
              </w:rPr>
            </w:pPr>
          </w:p>
          <w:p w14:paraId="58524CE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lastRenderedPageBreak/>
              <w:t>CATHERINE JUVINAO CLAVIJO</w:t>
            </w:r>
          </w:p>
          <w:p w14:paraId="685D582A"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600C351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4F5CF05E"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E378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742495F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lastRenderedPageBreak/>
              <w:t>DOLCEY OSCAR TORRES ROMERO</w:t>
            </w:r>
          </w:p>
          <w:p w14:paraId="3A9A553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DC2E34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489640FC" w14:textId="77777777" w:rsidR="000270E3" w:rsidRPr="000270E3" w:rsidRDefault="000270E3" w:rsidP="00F067D5">
            <w:pPr>
              <w:rPr>
                <w:rFonts w:ascii="Bookman Old Style" w:hAnsi="Bookman Old Style"/>
                <w:sz w:val="20"/>
                <w:szCs w:val="20"/>
              </w:rPr>
            </w:pPr>
          </w:p>
          <w:p w14:paraId="4747D8BD" w14:textId="77777777" w:rsidR="000270E3" w:rsidRPr="000270E3" w:rsidRDefault="000270E3" w:rsidP="00F067D5">
            <w:pPr>
              <w:rPr>
                <w:rFonts w:ascii="Bookman Old Style" w:hAnsi="Bookman Old Style"/>
                <w:sz w:val="20"/>
                <w:szCs w:val="20"/>
              </w:rPr>
            </w:pPr>
          </w:p>
        </w:tc>
      </w:tr>
      <w:tr w:rsidR="000270E3" w:rsidRPr="000270E3" w14:paraId="72F3E03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2D162"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p w14:paraId="2FA779F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46FEB8A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p w14:paraId="34FE6975" w14:textId="77777777" w:rsidR="000270E3" w:rsidRPr="000270E3" w:rsidRDefault="000270E3" w:rsidP="00F067D5">
            <w:pPr>
              <w:rPr>
                <w:rFonts w:ascii="Bookman Old Style" w:hAnsi="Bookman Old Style"/>
                <w:sz w:val="20"/>
                <w:szCs w:val="20"/>
              </w:rPr>
            </w:pPr>
          </w:p>
          <w:p w14:paraId="1F208D57" w14:textId="77777777" w:rsidR="000270E3" w:rsidRPr="000270E3" w:rsidRDefault="000270E3"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024B" w14:textId="77777777" w:rsidR="000270E3" w:rsidRPr="000270E3" w:rsidRDefault="000270E3" w:rsidP="00F067D5">
            <w:pPr>
              <w:rPr>
                <w:rFonts w:ascii="Bookman Old Style" w:hAnsi="Bookman Old Style"/>
                <w:sz w:val="20"/>
                <w:szCs w:val="20"/>
              </w:rPr>
            </w:pPr>
          </w:p>
        </w:tc>
      </w:tr>
    </w:tbl>
    <w:p w14:paraId="238C99C8" w14:textId="04EA2588" w:rsidR="004750AD" w:rsidRDefault="004750AD" w:rsidP="00F36280">
      <w:pPr>
        <w:pStyle w:val="Sinespaciado"/>
        <w:pBdr>
          <w:bottom w:val="single" w:sz="4" w:space="1" w:color="auto"/>
        </w:pBdr>
        <w:tabs>
          <w:tab w:val="left" w:pos="8055"/>
        </w:tabs>
        <w:jc w:val="center"/>
        <w:rPr>
          <w:rFonts w:ascii="Bookman Old Style" w:hAnsi="Bookman Old Style" w:cs="Arial"/>
          <w:b/>
        </w:rPr>
      </w:pPr>
    </w:p>
    <w:p w14:paraId="6F720607" w14:textId="1D7D4423" w:rsidR="009A294A" w:rsidRDefault="009A294A" w:rsidP="00F36280">
      <w:pPr>
        <w:pStyle w:val="Sinespaciado"/>
        <w:pBdr>
          <w:bottom w:val="single" w:sz="4" w:space="1" w:color="auto"/>
        </w:pBdr>
        <w:tabs>
          <w:tab w:val="left" w:pos="8055"/>
        </w:tabs>
        <w:jc w:val="center"/>
        <w:rPr>
          <w:rFonts w:ascii="Bookman Old Style" w:hAnsi="Bookman Old Style" w:cs="Arial"/>
          <w:b/>
        </w:rPr>
      </w:pPr>
    </w:p>
    <w:p w14:paraId="69ABA42A" w14:textId="78C5DAF6"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596E0B4C" w14:textId="6DB44D3B"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903BC7B" w14:textId="5F6291D3"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63812F01" w14:textId="6DF53405"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72D98AEA" w14:textId="1131D474"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FB02A1A" w14:textId="644BF79E"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1674FE0" w14:textId="0370184C"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E60DFDE" w14:textId="657933B1"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5C10ACD" w14:textId="09C8643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7B8803E" w14:textId="2C1CBF90"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5EDC682" w14:textId="6DE5693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501D306" w14:textId="02094CA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9CE2A03" w14:textId="352E874A"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508F653" w14:textId="53DEC330"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23F2FE01" w14:textId="3C071F9D"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854AD2A" w14:textId="63840A0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B80E257" w14:textId="7A7807D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9D25E1B" w14:textId="46713442"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FEEAAE1" w14:textId="021E70F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4DFF3D1" w14:textId="7E99751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602DCDDE" w14:textId="583FA7AC"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D104C26" w14:textId="15461F68"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E2F84D7" w14:textId="4007FE74"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0DB97386" w14:textId="1E9184D1"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4FA1150D" w14:textId="71B1665E"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3DB10B66" w14:textId="4C0F2D95"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7D548BAF" w14:textId="2F7FC19F"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333ACC7" w14:textId="00783B18"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F7FB14E" w14:textId="00C1CFEA"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2651E311" w14:textId="2E80D4F6"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1F76BD88" w14:textId="2951CDE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42557D19" w14:textId="64AD01EB"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C2F8C68" w14:textId="77777777" w:rsidR="000270E3" w:rsidRDefault="000270E3" w:rsidP="00F36280">
      <w:pPr>
        <w:pStyle w:val="Sinespaciado"/>
        <w:pBdr>
          <w:bottom w:val="single" w:sz="4" w:space="1" w:color="auto"/>
        </w:pBdr>
        <w:tabs>
          <w:tab w:val="left" w:pos="8055"/>
        </w:tabs>
        <w:jc w:val="center"/>
        <w:rPr>
          <w:rFonts w:ascii="Bookman Old Style" w:hAnsi="Bookman Old Style" w:cs="Arial"/>
          <w:b/>
        </w:rPr>
      </w:pPr>
    </w:p>
    <w:p w14:paraId="5B647480" w14:textId="37D643A4"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31EDCF0F" w14:textId="0B2D3C2F" w:rsidR="0093147F" w:rsidRDefault="0093147F" w:rsidP="00F36280">
      <w:pPr>
        <w:pStyle w:val="Sinespaciado"/>
        <w:pBdr>
          <w:bottom w:val="single" w:sz="4" w:space="1" w:color="auto"/>
        </w:pBdr>
        <w:tabs>
          <w:tab w:val="left" w:pos="8055"/>
        </w:tabs>
        <w:jc w:val="center"/>
        <w:rPr>
          <w:rFonts w:ascii="Bookman Old Style" w:hAnsi="Bookman Old Style" w:cs="Arial"/>
          <w:b/>
        </w:rPr>
      </w:pPr>
    </w:p>
    <w:p w14:paraId="52FCDF80" w14:textId="77777777" w:rsidR="00011ACE" w:rsidRDefault="00011ACE" w:rsidP="00EF0058">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5B6F108E" w14:textId="30263621" w:rsidR="00963B79" w:rsidRDefault="00963B79" w:rsidP="000B0FBF">
      <w:pPr>
        <w:pBdr>
          <w:top w:val="nil"/>
          <w:left w:val="nil"/>
          <w:bottom w:val="nil"/>
          <w:right w:val="nil"/>
          <w:between w:val="nil"/>
        </w:pBdr>
        <w:ind w:right="115"/>
        <w:rPr>
          <w:rFonts w:ascii="Bookman Old Style" w:eastAsia="Calibri" w:hAnsi="Bookman Old Style" w:cs="Calibri"/>
          <w:szCs w:val="24"/>
        </w:rPr>
      </w:pPr>
      <w:r>
        <w:rPr>
          <w:rFonts w:ascii="Bookman Old Style" w:eastAsia="Calibri" w:hAnsi="Bookman Old Style" w:cs="Calibri"/>
          <w:szCs w:val="24"/>
        </w:rPr>
        <w:t xml:space="preserve">La presente exposición de motivos está compuesta por </w:t>
      </w:r>
      <w:r w:rsidR="00666F3D">
        <w:rPr>
          <w:rFonts w:ascii="Bookman Old Style" w:eastAsia="Calibri" w:hAnsi="Bookman Old Style" w:cs="Calibri"/>
          <w:szCs w:val="24"/>
        </w:rPr>
        <w:t>doce</w:t>
      </w:r>
      <w:r>
        <w:rPr>
          <w:rFonts w:ascii="Bookman Old Style" w:eastAsia="Calibri" w:hAnsi="Bookman Old Style" w:cs="Calibri"/>
          <w:szCs w:val="24"/>
        </w:rPr>
        <w:t xml:space="preserve"> (1</w:t>
      </w:r>
      <w:r w:rsidR="00666F3D">
        <w:rPr>
          <w:rFonts w:ascii="Bookman Old Style" w:eastAsia="Calibri" w:hAnsi="Bookman Old Style" w:cs="Calibri"/>
          <w:szCs w:val="24"/>
        </w:rPr>
        <w:t>2</w:t>
      </w:r>
      <w:r>
        <w:rPr>
          <w:rFonts w:ascii="Bookman Old Style" w:eastAsia="Calibri" w:hAnsi="Bookman Old Style" w:cs="Calibri"/>
          <w:szCs w:val="24"/>
        </w:rPr>
        <w:t>) apartes:</w:t>
      </w:r>
    </w:p>
    <w:p w14:paraId="4EDB0069" w14:textId="77777777" w:rsidR="00963B79" w:rsidRPr="00621929" w:rsidRDefault="00963B79" w:rsidP="000B0FBF">
      <w:pPr>
        <w:pBdr>
          <w:top w:val="nil"/>
          <w:left w:val="nil"/>
          <w:bottom w:val="nil"/>
          <w:right w:val="nil"/>
          <w:between w:val="nil"/>
        </w:pBdr>
        <w:ind w:right="115"/>
        <w:rPr>
          <w:rFonts w:ascii="Bookman Old Style" w:eastAsia="Calibri" w:hAnsi="Bookman Old Style" w:cs="Calibri"/>
          <w:szCs w:val="24"/>
        </w:rPr>
      </w:pPr>
    </w:p>
    <w:p w14:paraId="42AB9A68" w14:textId="77777777"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4C4F4E97" w14:textId="77777777" w:rsidR="004561C0" w:rsidRDefault="004561C0"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986C349"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61FE857C"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Problema a resolver.</w:t>
      </w:r>
    </w:p>
    <w:p w14:paraId="7C53C833"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F62A94">
        <w:rPr>
          <w:rFonts w:ascii="Bookman Old Style" w:eastAsia="Calibri" w:hAnsi="Bookman Old Style" w:cs="Calibri"/>
          <w:bCs/>
          <w:szCs w:val="24"/>
        </w:rPr>
        <w:t>4</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621A0259" w14:textId="0137C949" w:rsidR="00FF35F1" w:rsidRDefault="00FF35F1"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Impacto Económico de la Industria del Cannabis Medicinal en Colombia.</w:t>
      </w:r>
    </w:p>
    <w:p w14:paraId="49984E74" w14:textId="77777777" w:rsidR="00176820"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p>
    <w:p w14:paraId="1A9E2864" w14:textId="737EB48C"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6.2.1.1 Frente al daño al consumidor.</w:t>
      </w:r>
    </w:p>
    <w:p w14:paraId="27B34097" w14:textId="058BC591"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6.2.1.2 Frente a la probabilidad de desarrollar trastornos asociados al consumo.</w:t>
      </w:r>
    </w:p>
    <w:p w14:paraId="2ED11103" w14:textId="4A96D4AE" w:rsidR="000F7EA5"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6.2.1.3 Frente al aumento del consumo por regulación.</w:t>
      </w:r>
    </w:p>
    <w:p w14:paraId="35344AC8" w14:textId="51FB5456" w:rsidR="000B0FBF" w:rsidRPr="00114CF9" w:rsidRDefault="000F7EA5"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6.2.1.4 Frente al aumento de violencia por consumo de cannabis.</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176820">
        <w:rPr>
          <w:rFonts w:ascii="Bookman Old Style" w:eastAsia="Calibri" w:hAnsi="Bookman Old Style" w:cs="Calibri"/>
          <w:bCs/>
          <w:szCs w:val="24"/>
        </w:rPr>
        <w:t>6</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3225B70B" w14:textId="6B43B346" w:rsidR="00647748" w:rsidRPr="002B6B8C"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r w:rsidR="005B5FC0" w:rsidRPr="002B6B8C">
        <w:rPr>
          <w:rFonts w:ascii="Bookman Old Style" w:eastAsia="Calibri" w:hAnsi="Bookman Old Style" w:cs="Calibri"/>
          <w:bCs/>
          <w:szCs w:val="24"/>
        </w:rPr>
        <w:t>.</w:t>
      </w:r>
    </w:p>
    <w:p w14:paraId="6BEBF969" w14:textId="01897DD6" w:rsidR="00647748" w:rsidRPr="00647748" w:rsidRDefault="004750AD"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00647748" w:rsidRPr="00647748">
        <w:rPr>
          <w:rFonts w:ascii="Bookman Old Style" w:eastAsia="Calibri" w:hAnsi="Bookman Old Style" w:cs="Calibri"/>
          <w:bCs/>
          <w:szCs w:val="24"/>
        </w:rPr>
        <w:t xml:space="preserve"> Constitución</w:t>
      </w:r>
      <w:r w:rsidR="005B5FC0">
        <w:rPr>
          <w:rFonts w:ascii="Bookman Old Style" w:eastAsia="Calibri" w:hAnsi="Bookman Old Style" w:cs="Calibri"/>
          <w:bCs/>
          <w:szCs w:val="24"/>
        </w:rPr>
        <w:t>.</w:t>
      </w:r>
    </w:p>
    <w:p w14:paraId="56CC17DF" w14:textId="12AD26CE" w:rsid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17B658D3" w14:textId="6046E09A" w:rsidR="004750AD" w:rsidRDefault="004750AD"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1A236936" w14:textId="703E9039" w:rsidR="005D217A" w:rsidRDefault="005D217A" w:rsidP="005D217A">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Constitucional.</w:t>
      </w:r>
    </w:p>
    <w:p w14:paraId="2B2FC422" w14:textId="4E53B432" w:rsidR="005D217A" w:rsidRDefault="005D217A" w:rsidP="005D217A">
      <w:pPr>
        <w:pStyle w:val="Prrafodelista"/>
        <w:numPr>
          <w:ilvl w:val="1"/>
          <w:numId w:val="3"/>
        </w:numPr>
        <w:pBdr>
          <w:top w:val="nil"/>
          <w:left w:val="nil"/>
          <w:bottom w:val="nil"/>
          <w:right w:val="nil"/>
          <w:between w:val="nil"/>
        </w:pBdr>
        <w:ind w:left="993" w:right="115" w:hanging="633"/>
        <w:rPr>
          <w:rFonts w:ascii="Bookman Old Style" w:eastAsia="Calibri" w:hAnsi="Bookman Old Style" w:cs="Calibri"/>
          <w:bCs/>
          <w:szCs w:val="24"/>
        </w:rPr>
      </w:pPr>
      <w:r>
        <w:rPr>
          <w:rFonts w:ascii="Bookman Old Style" w:eastAsia="Calibri" w:hAnsi="Bookman Old Style" w:cs="Calibri"/>
          <w:bCs/>
          <w:szCs w:val="24"/>
        </w:rPr>
        <w:t>Legal.</w:t>
      </w:r>
    </w:p>
    <w:p w14:paraId="6EBCA10C" w14:textId="77777777"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557B3DCC" w14:textId="77777777"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73FE9F6F" w14:textId="1DE3531B" w:rsidR="000B0FBF" w:rsidRDefault="000B0FBF" w:rsidP="000B0FBF">
      <w:pPr>
        <w:pBdr>
          <w:top w:val="nil"/>
          <w:left w:val="nil"/>
          <w:bottom w:val="nil"/>
          <w:right w:val="nil"/>
          <w:between w:val="nil"/>
        </w:pBdr>
        <w:ind w:left="-1133" w:right="115"/>
        <w:rPr>
          <w:rFonts w:ascii="Bookman Old Style" w:eastAsia="Calibri" w:hAnsi="Bookman Old Style" w:cs="Calibri"/>
          <w:b/>
          <w:szCs w:val="24"/>
        </w:rPr>
      </w:pPr>
    </w:p>
    <w:p w14:paraId="34F7E83C" w14:textId="77777777" w:rsidR="00FF35F1" w:rsidRPr="00485CC5" w:rsidRDefault="00FF35F1" w:rsidP="000B0FBF">
      <w:pPr>
        <w:pBdr>
          <w:top w:val="nil"/>
          <w:left w:val="nil"/>
          <w:bottom w:val="nil"/>
          <w:right w:val="nil"/>
          <w:between w:val="nil"/>
        </w:pBdr>
        <w:ind w:left="-1133" w:right="115"/>
        <w:rPr>
          <w:rFonts w:ascii="Bookman Old Style" w:eastAsia="Calibri" w:hAnsi="Bookman Old Style" w:cs="Calibri"/>
          <w:b/>
          <w:szCs w:val="24"/>
        </w:rPr>
      </w:pPr>
    </w:p>
    <w:p w14:paraId="0A376DD9" w14:textId="3B3A5246" w:rsidR="009B6C3A" w:rsidRDefault="009B6C3A"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748E9879" w14:textId="409B9F4F"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 xml:space="preserve">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 </w:t>
      </w:r>
      <w:r w:rsidRPr="009B6C3A">
        <w:rPr>
          <w:rFonts w:ascii="Bookman Old Style" w:eastAsia="Calibri" w:hAnsi="Bookman Old Style" w:cs="Calibri"/>
          <w:szCs w:val="24"/>
        </w:rPr>
        <w:lastRenderedPageBreak/>
        <w:t>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1D7C4987" w14:textId="77777777" w:rsidR="009B6C3A" w:rsidRDefault="009B6C3A" w:rsidP="009B6C3A">
      <w:pPr>
        <w:jc w:val="both"/>
        <w:rPr>
          <w:rFonts w:ascii="Bookman Old Style" w:eastAsia="Calibri" w:hAnsi="Bookman Old Style" w:cs="Calibri"/>
          <w:bCs/>
          <w:i/>
          <w:iCs/>
          <w:szCs w:val="24"/>
        </w:rPr>
      </w:pPr>
    </w:p>
    <w:p w14:paraId="5DEEE347" w14:textId="785E5595"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r w:rsidR="002B1845">
        <w:rPr>
          <w:rFonts w:ascii="Bookman Old Style" w:eastAsia="Calibri" w:hAnsi="Bookman Old Style" w:cs="Calibri"/>
          <w:bCs/>
          <w:iCs/>
          <w:szCs w:val="24"/>
        </w:rPr>
        <w:t>E</w:t>
      </w:r>
      <w:r>
        <w:rPr>
          <w:rFonts w:ascii="Bookman Old Style" w:eastAsia="Calibri" w:hAnsi="Bookman Old Style" w:cs="Calibri"/>
          <w:bCs/>
          <w:iCs/>
          <w:szCs w:val="24"/>
        </w:rPr>
        <w:t>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xml:space="preserve">, de acuerdo a lo dispuesto en </w:t>
      </w:r>
      <w:r w:rsidR="002B1845">
        <w:rPr>
          <w:rFonts w:ascii="Bookman Old Style" w:eastAsia="Calibri" w:hAnsi="Bookman Old Style" w:cs="Calibri"/>
          <w:bCs/>
          <w:iCs/>
          <w:szCs w:val="24"/>
        </w:rPr>
        <w:t>los artículos</w:t>
      </w:r>
      <w:r w:rsidR="00DA389D">
        <w:rPr>
          <w:rFonts w:ascii="Bookman Old Style" w:eastAsia="Calibri" w:hAnsi="Bookman Old Style" w:cs="Calibri"/>
          <w:bCs/>
          <w:iCs/>
          <w:szCs w:val="24"/>
        </w:rPr>
        <w:t xml:space="preserve"> 224 y 225 de la Ley 5ta de 1992.</w:t>
      </w:r>
    </w:p>
    <w:p w14:paraId="3091F575" w14:textId="56061CE7" w:rsidR="00DA389D" w:rsidRDefault="00DA389D" w:rsidP="009B6C3A">
      <w:pPr>
        <w:jc w:val="both"/>
        <w:rPr>
          <w:rFonts w:ascii="Bookman Old Style" w:eastAsia="Calibri" w:hAnsi="Bookman Old Style" w:cs="Calibri"/>
          <w:bCs/>
          <w:iCs/>
          <w:szCs w:val="24"/>
        </w:rPr>
      </w:pPr>
    </w:p>
    <w:p w14:paraId="438FB9C9" w14:textId="0F15F05F" w:rsidR="002B1845" w:rsidRDefault="002B1845" w:rsidP="002B1845">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6F81258" w14:textId="55E4A125" w:rsidR="00FE1D30" w:rsidRDefault="00FE1D30" w:rsidP="009B6C3A">
      <w:pPr>
        <w:jc w:val="both"/>
        <w:rPr>
          <w:rFonts w:ascii="Bookman Old Style" w:eastAsia="Calibri" w:hAnsi="Bookman Old Style" w:cs="Calibri"/>
          <w:bCs/>
          <w:iCs/>
          <w:szCs w:val="24"/>
        </w:rPr>
      </w:pPr>
    </w:p>
    <w:p w14:paraId="4DD18D6F" w14:textId="76F5F48A" w:rsidR="0090453E" w:rsidRDefault="002B1845"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15 de septiembre de 2020 el proyecto fue puesto en consideración en la Comisión Primera Constitucional Permanente de la Cámara de Representantes, donde fue aprobado.</w:t>
      </w:r>
      <w:r w:rsidR="002129C0">
        <w:rPr>
          <w:rFonts w:ascii="Bookman Old Style" w:eastAsia="Calibri" w:hAnsi="Bookman Old Style" w:cs="Calibri"/>
          <w:bCs/>
          <w:iCs/>
          <w:szCs w:val="24"/>
        </w:rPr>
        <w:t xml:space="preserve"> </w:t>
      </w:r>
      <w:r w:rsidR="0090453E">
        <w:rPr>
          <w:rFonts w:ascii="Bookman Old Style" w:eastAsia="Calibri" w:hAnsi="Bookman Old Style" w:cs="Calibri"/>
          <w:bCs/>
          <w:iCs/>
          <w:szCs w:val="24"/>
        </w:rPr>
        <w:t>El 03 de noviembre de 2020 tuvo lugar el segundo debate del Proyecto de Acto Legislativo ante la Honorable Plenaria de la Cámara de Representantes, en donde se archivó</w:t>
      </w:r>
      <w:r w:rsidR="002129C0">
        <w:rPr>
          <w:rFonts w:ascii="Bookman Old Style" w:eastAsia="Calibri" w:hAnsi="Bookman Old Style" w:cs="Calibri"/>
          <w:bCs/>
          <w:iCs/>
          <w:szCs w:val="24"/>
        </w:rPr>
        <w:t xml:space="preserve"> por no alcanzar las mayorías necesarias para su aprobación</w:t>
      </w:r>
      <w:r w:rsidR="0090453E">
        <w:rPr>
          <w:rFonts w:ascii="Bookman Old Style" w:eastAsia="Calibri" w:hAnsi="Bookman Old Style" w:cs="Calibri"/>
          <w:bCs/>
          <w:iCs/>
          <w:szCs w:val="24"/>
        </w:rPr>
        <w:t>.</w:t>
      </w:r>
    </w:p>
    <w:p w14:paraId="0F18507D" w14:textId="54B3479F" w:rsidR="002B1845" w:rsidRDefault="002B1845" w:rsidP="009B6C3A">
      <w:pPr>
        <w:jc w:val="both"/>
        <w:rPr>
          <w:rFonts w:ascii="Bookman Old Style" w:eastAsia="Calibri" w:hAnsi="Bookman Old Style" w:cs="Calibri"/>
          <w:bCs/>
          <w:iCs/>
          <w:szCs w:val="24"/>
        </w:rPr>
      </w:pPr>
    </w:p>
    <w:p w14:paraId="7CCF7167" w14:textId="29255C52" w:rsidR="002129C0" w:rsidRDefault="002129C0"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2021 se presentó el proyecto una vez más, suscrito por los H.R. </w:t>
      </w:r>
      <w:r w:rsidR="00C173FD" w:rsidRPr="00C173FD">
        <w:rPr>
          <w:rFonts w:ascii="Bookman Old Style" w:eastAsia="Calibri" w:hAnsi="Bookman Old Style" w:cs="Calibri"/>
          <w:bCs/>
          <w:iCs/>
          <w:szCs w:val="24"/>
        </w:rPr>
        <w:t>Juan Carlos Lozada Vargas,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Juan Fernando Reyes Kuri,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Mauricio Andrés Toro Orjuela,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Rodrigo Arturo Rojas Lara,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José Daniel López Jiménez,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Jorge Enrique Benedetti Martelo,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Juanita María Goebertus Estrada,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Carlos Adolfo Ardila Espinosa,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Jhon Arley Murillo Benítez,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Faber Alberto Muñoz Cerón,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Katherine Miranda Peña,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Carlos Germán Navas Talero,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Ángel María Gaitán Pulido,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Harry Giovanny González García,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Catalina Ortiz Lalinde,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María José Pizarro Rodríguez,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Henry Fernando Correal Herrera,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Andrés David Calle Aguas,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Julián Peinado Ramírez,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Elizabeth Jay-Pang Díaz,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Inti Raúl Asprilla Reyes,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Jairo Reinaldo Cala Suárez,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Alejandro Alberto Vega Pérez,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Luis Alberto Albán Urbano,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Gabriel Santos García,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Alfredo Rafael Deluque Zuleta,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Alejandro Carlos Chacón Camargo,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David Ricardo Racero Mayorca,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Álvaro Henry Monedero Rivera,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Teresa De Jesús Enríquez Rosero,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 xml:space="preserve">Luciano Grisales </w:t>
      </w:r>
      <w:r w:rsidR="00C173FD" w:rsidRPr="00C173FD">
        <w:rPr>
          <w:rFonts w:ascii="Bookman Old Style" w:eastAsia="Calibri" w:hAnsi="Bookman Old Style" w:cs="Calibri"/>
          <w:bCs/>
          <w:iCs/>
          <w:szCs w:val="24"/>
        </w:rPr>
        <w:lastRenderedPageBreak/>
        <w:t>Londoño, H.R.</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César Augusto Lorduy Maldonado</w:t>
      </w:r>
      <w:r w:rsidR="00C173FD">
        <w:rPr>
          <w:rFonts w:ascii="Bookman Old Style" w:eastAsia="Calibri" w:hAnsi="Bookman Old Style" w:cs="Calibri"/>
          <w:bCs/>
          <w:iCs/>
          <w:szCs w:val="24"/>
        </w:rPr>
        <w:t xml:space="preserve"> y los H.S. </w:t>
      </w:r>
      <w:r w:rsidR="00C173FD" w:rsidRPr="00C173FD">
        <w:rPr>
          <w:rFonts w:ascii="Bookman Old Style" w:eastAsia="Calibri" w:hAnsi="Bookman Old Style" w:cs="Calibri"/>
          <w:bCs/>
          <w:iCs/>
          <w:szCs w:val="24"/>
        </w:rPr>
        <w:t>Juan Luis Castro Córdoba, H.S.</w:t>
      </w:r>
      <w:r w:rsidR="00C173FD">
        <w:rPr>
          <w:rFonts w:ascii="Bookman Old Style" w:eastAsia="Calibri" w:hAnsi="Bookman Old Style" w:cs="Calibri"/>
          <w:bCs/>
          <w:iCs/>
          <w:szCs w:val="24"/>
        </w:rPr>
        <w:t xml:space="preserve"> </w:t>
      </w:r>
      <w:r w:rsidR="00C173FD" w:rsidRPr="00C173FD">
        <w:rPr>
          <w:rFonts w:ascii="Bookman Old Style" w:eastAsia="Calibri" w:hAnsi="Bookman Old Style" w:cs="Calibri"/>
          <w:bCs/>
          <w:iCs/>
          <w:szCs w:val="24"/>
        </w:rPr>
        <w:t xml:space="preserve">Horacio </w:t>
      </w:r>
      <w:r w:rsidR="00C173FD">
        <w:rPr>
          <w:rFonts w:ascii="Bookman Old Style" w:eastAsia="Calibri" w:hAnsi="Bookman Old Style" w:cs="Calibri"/>
          <w:bCs/>
          <w:iCs/>
          <w:szCs w:val="24"/>
        </w:rPr>
        <w:t>J</w:t>
      </w:r>
      <w:r w:rsidR="00C173FD" w:rsidRPr="00C173FD">
        <w:rPr>
          <w:rFonts w:ascii="Bookman Old Style" w:eastAsia="Calibri" w:hAnsi="Bookman Old Style" w:cs="Calibri"/>
          <w:bCs/>
          <w:iCs/>
          <w:szCs w:val="24"/>
        </w:rPr>
        <w:t xml:space="preserve">osé </w:t>
      </w:r>
      <w:r w:rsidR="00C173FD">
        <w:rPr>
          <w:rFonts w:ascii="Bookman Old Style" w:eastAsia="Calibri" w:hAnsi="Bookman Old Style" w:cs="Calibri"/>
          <w:bCs/>
          <w:iCs/>
          <w:szCs w:val="24"/>
        </w:rPr>
        <w:t>S</w:t>
      </w:r>
      <w:r w:rsidR="00C173FD" w:rsidRPr="00C173FD">
        <w:rPr>
          <w:rFonts w:ascii="Bookman Old Style" w:eastAsia="Calibri" w:hAnsi="Bookman Old Style" w:cs="Calibri"/>
          <w:bCs/>
          <w:iCs/>
          <w:szCs w:val="24"/>
        </w:rPr>
        <w:t xml:space="preserve">erpa </w:t>
      </w:r>
      <w:r w:rsidR="00C173FD">
        <w:rPr>
          <w:rFonts w:ascii="Bookman Old Style" w:eastAsia="Calibri" w:hAnsi="Bookman Old Style" w:cs="Calibri"/>
          <w:bCs/>
          <w:iCs/>
          <w:szCs w:val="24"/>
        </w:rPr>
        <w:t>M</w:t>
      </w:r>
      <w:r w:rsidR="00C173FD" w:rsidRPr="00C173FD">
        <w:rPr>
          <w:rFonts w:ascii="Bookman Old Style" w:eastAsia="Calibri" w:hAnsi="Bookman Old Style" w:cs="Calibri"/>
          <w:bCs/>
          <w:iCs/>
          <w:szCs w:val="24"/>
        </w:rPr>
        <w:t>oncada</w:t>
      </w:r>
      <w:r w:rsidR="00C173FD">
        <w:rPr>
          <w:rFonts w:ascii="Bookman Old Style" w:eastAsia="Calibri" w:hAnsi="Bookman Old Style" w:cs="Calibri"/>
          <w:bCs/>
          <w:iCs/>
          <w:szCs w:val="24"/>
        </w:rPr>
        <w:t>.</w:t>
      </w:r>
    </w:p>
    <w:p w14:paraId="19537867" w14:textId="323ECD41" w:rsidR="00C173FD" w:rsidRDefault="00C173FD" w:rsidP="009B6C3A">
      <w:pPr>
        <w:jc w:val="both"/>
        <w:rPr>
          <w:rFonts w:ascii="Bookman Old Style" w:eastAsia="Calibri" w:hAnsi="Bookman Old Style" w:cs="Calibri"/>
          <w:bCs/>
          <w:iCs/>
          <w:szCs w:val="24"/>
        </w:rPr>
      </w:pPr>
    </w:p>
    <w:p w14:paraId="2E54F52E" w14:textId="0FC6EC4C" w:rsidR="00C173FD" w:rsidRDefault="00C173FD"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18 de agosto de 2021 el proyecto de acto legislativo fue puesto en consideración de la Comisión Primera Constitucional Permanente de la Cámara de Representantes, siendo aprobado el día 24 de agosto de 2021. </w:t>
      </w:r>
      <w:r w:rsidR="003B34DE">
        <w:rPr>
          <w:rFonts w:ascii="Bookman Old Style" w:eastAsia="Calibri" w:hAnsi="Bookman Old Style" w:cs="Calibri"/>
          <w:bCs/>
          <w:iCs/>
          <w:szCs w:val="24"/>
        </w:rPr>
        <w:t>Por lo cual continuó su trámite en la Plenaria de la Cámara de Representantes, donde fue puesto en consideración el día 17 de noviembre de 2021, oportunidad en la que se archivó por no alcanzar las mayorías necesarias para su aprobación.</w:t>
      </w:r>
    </w:p>
    <w:p w14:paraId="388FCCFF" w14:textId="77777777" w:rsidR="00C173FD" w:rsidRDefault="00C173FD" w:rsidP="009B6C3A">
      <w:pPr>
        <w:jc w:val="both"/>
        <w:rPr>
          <w:rFonts w:ascii="Bookman Old Style" w:eastAsia="Calibri" w:hAnsi="Bookman Old Style" w:cs="Calibri"/>
          <w:bCs/>
          <w:iCs/>
          <w:szCs w:val="24"/>
        </w:rPr>
      </w:pPr>
    </w:p>
    <w:p w14:paraId="6A825B19" w14:textId="59612D1E" w:rsidR="00DA389D"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 xml:space="preserve">que surgieron durante su </w:t>
      </w:r>
      <w:r w:rsidR="0090453E">
        <w:rPr>
          <w:rFonts w:ascii="Bookman Old Style" w:eastAsia="Calibri" w:hAnsi="Bookman Old Style" w:cs="Calibri"/>
          <w:bCs/>
          <w:iCs/>
          <w:szCs w:val="24"/>
        </w:rPr>
        <w:t>tránsito en la Cámara de Representantes</w:t>
      </w:r>
      <w:r w:rsidR="00DA389D">
        <w:rPr>
          <w:rFonts w:ascii="Bookman Old Style" w:eastAsia="Calibri" w:hAnsi="Bookman Old Style" w:cs="Calibri"/>
          <w:bCs/>
          <w:iCs/>
          <w:szCs w:val="24"/>
        </w:rPr>
        <w:t>.</w:t>
      </w:r>
    </w:p>
    <w:p w14:paraId="000CC632" w14:textId="77777777" w:rsidR="00AF62CD" w:rsidRPr="009B6C3A" w:rsidRDefault="00AF62CD" w:rsidP="009B6C3A">
      <w:pPr>
        <w:jc w:val="both"/>
        <w:rPr>
          <w:rFonts w:ascii="Bookman Old Style" w:eastAsia="Calibri" w:hAnsi="Bookman Old Style" w:cs="Calibri"/>
          <w:bCs/>
          <w:iCs/>
          <w:szCs w:val="24"/>
        </w:rPr>
      </w:pPr>
    </w:p>
    <w:p w14:paraId="25EDC6DE" w14:textId="77777777" w:rsidR="009B6C3A" w:rsidRPr="009B6C3A" w:rsidRDefault="009B6C3A" w:rsidP="009B6C3A">
      <w:pPr>
        <w:jc w:val="both"/>
        <w:rPr>
          <w:rFonts w:eastAsia="Calibri"/>
        </w:rPr>
      </w:pPr>
    </w:p>
    <w:p w14:paraId="2DF304FF" w14:textId="477311E9"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251E8F6C" w14:textId="28EF55FF" w:rsidR="00AF62CD" w:rsidRPr="00C37B21" w:rsidRDefault="00F36280" w:rsidP="00C37B2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sidR="0090453E">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w:t>
      </w:r>
      <w:r w:rsidR="00753CAF">
        <w:rPr>
          <w:rFonts w:ascii="Bookman Old Style" w:eastAsia="Calibri" w:hAnsi="Bookman Old Style" w:cs="Calibri"/>
          <w:b w:val="0"/>
          <w:sz w:val="22"/>
          <w:szCs w:val="24"/>
        </w:rPr>
        <w:t>con la finalidad</w:t>
      </w:r>
      <w:r w:rsidR="00753CAF" w:rsidRPr="00485CC5">
        <w:rPr>
          <w:rFonts w:ascii="Bookman Old Style" w:eastAsia="Calibri" w:hAnsi="Bookman Old Style" w:cs="Calibri"/>
          <w:b w:val="0"/>
          <w:sz w:val="22"/>
          <w:szCs w:val="24"/>
        </w:rPr>
        <w:t xml:space="preserve"> </w:t>
      </w:r>
      <w:r w:rsidR="00153AC4">
        <w:rPr>
          <w:rFonts w:ascii="Bookman Old Style" w:eastAsia="Calibri" w:hAnsi="Bookman Old Style" w:cs="Calibri"/>
          <w:b w:val="0"/>
          <w:sz w:val="22"/>
          <w:szCs w:val="24"/>
        </w:rPr>
        <w:t>de</w:t>
      </w:r>
      <w:r w:rsidR="00AD5D59">
        <w:rPr>
          <w:rFonts w:ascii="Bookman Old Style" w:eastAsia="Calibri" w:hAnsi="Bookman Old Style" w:cs="Calibri"/>
          <w:b w:val="0"/>
          <w:sz w:val="22"/>
          <w:szCs w:val="24"/>
        </w:rPr>
        <w:t xml:space="preserve"> reconocer y garantizar los derechos fundamentales a la igualdad y al libre desarrollo de la </w:t>
      </w:r>
      <w:r w:rsidR="00285E76">
        <w:rPr>
          <w:rFonts w:ascii="Bookman Old Style" w:eastAsia="Calibri" w:hAnsi="Bookman Old Style" w:cs="Calibri"/>
          <w:b w:val="0"/>
          <w:sz w:val="22"/>
          <w:szCs w:val="24"/>
        </w:rPr>
        <w:t>personalidad, unificar</w:t>
      </w:r>
      <w:r w:rsidR="00C33DA6">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 xml:space="preserve">las referencias constitucionales, legales y jurisprudenciales sobre la materia </w:t>
      </w:r>
      <w:r w:rsidR="002548C6">
        <w:rPr>
          <w:rFonts w:ascii="Bookman Old Style" w:eastAsia="Calibri" w:hAnsi="Bookman Old Style" w:cs="Calibri"/>
          <w:b w:val="0"/>
          <w:sz w:val="22"/>
          <w:szCs w:val="24"/>
        </w:rPr>
        <w:t>y plantear</w:t>
      </w:r>
      <w:r w:rsidR="00C33DA6">
        <w:rPr>
          <w:rFonts w:ascii="Bookman Old Style" w:eastAsia="Calibri" w:hAnsi="Bookman Old Style" w:cs="Calibri"/>
          <w:b w:val="0"/>
          <w:sz w:val="22"/>
          <w:szCs w:val="24"/>
        </w:rPr>
        <w:t xml:space="preserve">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 xml:space="preserve">como </w:t>
      </w:r>
      <w:r w:rsidR="0090453E">
        <w:rPr>
          <w:rFonts w:ascii="Bookman Old Style" w:eastAsia="Calibri" w:hAnsi="Bookman Old Style" w:cs="Calibri"/>
          <w:b w:val="0"/>
          <w:sz w:val="22"/>
          <w:szCs w:val="24"/>
        </w:rPr>
        <w:t>táctica</w:t>
      </w:r>
      <w:r w:rsidR="00AD5D59">
        <w:rPr>
          <w:rFonts w:ascii="Bookman Old Style" w:eastAsia="Calibri" w:hAnsi="Bookman Old Style" w:cs="Calibri"/>
          <w:b w:val="0"/>
          <w:sz w:val="22"/>
          <w:szCs w:val="24"/>
        </w:rPr>
        <w:t xml:space="preserve"> para reducir la violencia en el país.</w:t>
      </w:r>
    </w:p>
    <w:p w14:paraId="0F4E5C5B" w14:textId="77777777" w:rsidR="00AF62CD" w:rsidRPr="00485CC5" w:rsidRDefault="00AF62CD" w:rsidP="00F36280">
      <w:pPr>
        <w:rPr>
          <w:rFonts w:ascii="Bookman Old Style" w:eastAsia="Calibri" w:hAnsi="Bookman Old Style" w:cs="Calibri"/>
          <w:szCs w:val="24"/>
        </w:rPr>
      </w:pPr>
    </w:p>
    <w:p w14:paraId="5D13AAD9" w14:textId="2482E041"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PROBLEMA A RESOLVER</w:t>
      </w:r>
      <w:r w:rsidR="008D6C03">
        <w:rPr>
          <w:rFonts w:ascii="Bookman Old Style" w:eastAsia="Calibri" w:hAnsi="Bookman Old Style" w:cs="Calibri"/>
          <w:sz w:val="22"/>
          <w:szCs w:val="24"/>
        </w:rPr>
        <w:t>.</w:t>
      </w:r>
    </w:p>
    <w:p w14:paraId="568E2E28" w14:textId="77777777" w:rsidR="00F36280" w:rsidRPr="00485CC5" w:rsidRDefault="00F36280" w:rsidP="00F36280">
      <w:pPr>
        <w:ind w:left="822"/>
        <w:rPr>
          <w:rFonts w:ascii="Bookman Old Style" w:hAnsi="Bookman Old Style" w:cs="Calibri"/>
          <w:szCs w:val="24"/>
        </w:rPr>
      </w:pPr>
    </w:p>
    <w:p w14:paraId="278DA0E1" w14:textId="2C56446E"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 xml:space="preserve">En Colombia, </w:t>
      </w:r>
      <w:r w:rsidR="00153AC4">
        <w:rPr>
          <w:rFonts w:ascii="Bookman Old Style" w:eastAsia="Calibri" w:hAnsi="Bookman Old Style" w:cs="Arial"/>
          <w:szCs w:val="24"/>
        </w:rPr>
        <w:t xml:space="preserve">a partir de la modificación </w:t>
      </w:r>
      <w:r w:rsidRPr="00510F82">
        <w:rPr>
          <w:rFonts w:ascii="Bookman Old Style" w:eastAsia="Calibri" w:hAnsi="Bookman Old Style" w:cs="Arial"/>
          <w:szCs w:val="24"/>
        </w:rPr>
        <w:t>de</w:t>
      </w:r>
      <w:r w:rsidR="00153AC4">
        <w:rPr>
          <w:rFonts w:ascii="Bookman Old Style" w:eastAsia="Calibri" w:hAnsi="Bookman Old Style" w:cs="Arial"/>
          <w:szCs w:val="24"/>
        </w:rPr>
        <w:t>l</w:t>
      </w:r>
      <w:r w:rsidRPr="00510F82">
        <w:rPr>
          <w:rFonts w:ascii="Bookman Old Style" w:eastAsia="Calibri" w:hAnsi="Bookman Old Style" w:cs="Arial"/>
          <w:szCs w:val="24"/>
        </w:rPr>
        <w:t xml:space="preserve"> artículo 49 Constitucional</w:t>
      </w:r>
      <w:r w:rsidR="00C33DA6">
        <w:rPr>
          <w:rFonts w:ascii="Bookman Old Style" w:eastAsia="Calibri" w:hAnsi="Bookman Old Style" w:cs="Arial"/>
          <w:szCs w:val="24"/>
        </w:rPr>
        <w:t xml:space="preserve"> </w:t>
      </w:r>
      <w:r w:rsidRPr="00510F82">
        <w:rPr>
          <w:rFonts w:ascii="Bookman Old Style" w:eastAsia="Calibri" w:hAnsi="Bookman Old Style" w:cs="Arial"/>
          <w:szCs w:val="24"/>
        </w:rPr>
        <w:t>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dihidromorfina, heroína, metadona, morfina, </w:t>
      </w:r>
      <w:r w:rsidRPr="00510F82">
        <w:rPr>
          <w:rFonts w:ascii="Bookman Old Style" w:eastAsia="Calibri" w:hAnsi="Bookman Old Style" w:cs="Arial"/>
          <w:i/>
          <w:szCs w:val="24"/>
        </w:rPr>
        <w:t>cannabis y su resina y los extractos y tinturas de cannabis, amapola, droga sintética, nitrato de amilo popper, ketamina, GHB, entre otras)</w:t>
      </w:r>
      <w:r w:rsidRPr="00510F82">
        <w:rPr>
          <w:rFonts w:ascii="Bookman Old Style" w:eastAsia="Calibri" w:hAnsi="Bookman Old Style" w:cs="Arial"/>
          <w:szCs w:val="24"/>
        </w:rPr>
        <w:t xml:space="preserve">, salvo prescripción médica. Prohibición que fue incluida </w:t>
      </w:r>
      <w:r w:rsidR="00153AC4">
        <w:rPr>
          <w:rFonts w:ascii="Bookman Old Style" w:eastAsia="Calibri" w:hAnsi="Bookman Old Style" w:cs="Arial"/>
          <w:szCs w:val="24"/>
        </w:rPr>
        <w:t xml:space="preserve">bajo el argumento </w:t>
      </w:r>
      <w:r w:rsidRPr="00510F82">
        <w:rPr>
          <w:rFonts w:ascii="Bookman Old Style" w:eastAsia="Calibri" w:hAnsi="Bookman Old Style" w:cs="Arial"/>
          <w:szCs w:val="24"/>
        </w:rPr>
        <w:t>de proteger la salud pública de los colombianos.</w:t>
      </w:r>
    </w:p>
    <w:p w14:paraId="7F61A43D" w14:textId="77777777" w:rsidR="00452196" w:rsidRDefault="00452196" w:rsidP="00F36280">
      <w:pPr>
        <w:jc w:val="both"/>
        <w:rPr>
          <w:rFonts w:ascii="Bookman Old Style" w:eastAsia="Calibri" w:hAnsi="Bookman Old Style" w:cs="Calibri"/>
          <w:szCs w:val="24"/>
        </w:rPr>
      </w:pPr>
    </w:p>
    <w:p w14:paraId="5FE6A375" w14:textId="38F9A870"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Este listado incluye el THC CANNABIS, sustancia de reconocidos efectos terapéuticos de tipo anestésico, anticonvulsivante, anti glaucomatoso y antiasmático</w:t>
      </w:r>
      <w:r w:rsidR="00153AC4">
        <w:rPr>
          <w:rFonts w:ascii="Bookman Old Style" w:eastAsia="Calibri" w:hAnsi="Bookman Old Style" w:cs="Arial"/>
          <w:szCs w:val="24"/>
        </w:rPr>
        <w:t>, que además sirve</w:t>
      </w:r>
      <w:r w:rsidRPr="00510F82">
        <w:rPr>
          <w:rFonts w:ascii="Bookman Old Style" w:eastAsia="Calibri" w:hAnsi="Bookman Old Style" w:cs="Arial"/>
          <w:szCs w:val="24"/>
        </w:rPr>
        <w:t xml:space="preserve">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xml:space="preserve">. </w:t>
      </w:r>
      <w:r w:rsidR="00153AC4">
        <w:rPr>
          <w:rFonts w:ascii="Bookman Old Style" w:eastAsia="Calibri" w:hAnsi="Bookman Old Style" w:cs="Arial"/>
          <w:szCs w:val="24"/>
        </w:rPr>
        <w:t xml:space="preserve">Esta sustancia fue eliminada </w:t>
      </w:r>
      <w:r w:rsidR="00153AC4" w:rsidRPr="00510F82">
        <w:rPr>
          <w:rFonts w:ascii="Bookman Old Style" w:eastAsia="Calibri" w:hAnsi="Bookman Old Style" w:cs="Arial"/>
          <w:szCs w:val="24"/>
        </w:rPr>
        <w:t>de la Lista IV</w:t>
      </w:r>
      <w:r w:rsidR="00153AC4" w:rsidRPr="00510F82">
        <w:rPr>
          <w:rStyle w:val="Refdenotaalpie"/>
          <w:rFonts w:ascii="Bookman Old Style" w:eastAsia="Calibri" w:hAnsi="Bookman Old Style" w:cs="Arial"/>
          <w:szCs w:val="24"/>
        </w:rPr>
        <w:footnoteReference w:id="3"/>
      </w:r>
      <w:r w:rsidR="00153AC4" w:rsidRPr="00510F82">
        <w:rPr>
          <w:rStyle w:val="Refdenotaalpie"/>
          <w:rFonts w:ascii="Bookman Old Style" w:eastAsia="Calibri" w:hAnsi="Bookman Old Style" w:cs="Arial"/>
          <w:szCs w:val="24"/>
        </w:rPr>
        <w:footnoteReference w:id="4"/>
      </w:r>
      <w:r w:rsidR="00153AC4" w:rsidRPr="00510F82">
        <w:rPr>
          <w:rFonts w:ascii="Bookman Old Style" w:eastAsia="Calibri" w:hAnsi="Bookman Old Style" w:cs="Arial"/>
          <w:szCs w:val="24"/>
        </w:rPr>
        <w:t xml:space="preserve"> de la Convención Única de 1961 sobre Estupefacientes</w:t>
      </w:r>
      <w:r w:rsidR="00153AC4">
        <w:rPr>
          <w:rFonts w:ascii="Bookman Old Style" w:eastAsia="Calibri" w:hAnsi="Bookman Old Style" w:cs="Arial"/>
          <w:szCs w:val="24"/>
        </w:rPr>
        <w:t>, por solicitud de</w:t>
      </w:r>
      <w:r w:rsidRPr="00510F82">
        <w:rPr>
          <w:rFonts w:ascii="Bookman Old Style" w:eastAsia="Calibri" w:hAnsi="Bookman Old Style" w:cs="Arial"/>
          <w:szCs w:val="24"/>
        </w:rPr>
        <w:t xml:space="preserve"> la Organización Mundial de la Salud (OMS</w:t>
      </w:r>
      <w:r w:rsidR="002548C6" w:rsidRPr="00510F82">
        <w:rPr>
          <w:rFonts w:ascii="Bookman Old Style" w:eastAsia="Calibri" w:hAnsi="Bookman Old Style" w:cs="Arial"/>
          <w:szCs w:val="24"/>
        </w:rPr>
        <w:t>),</w:t>
      </w:r>
      <w:r w:rsidR="000512D5">
        <w:rPr>
          <w:rFonts w:ascii="Bookman Old Style" w:eastAsia="Calibri" w:hAnsi="Bookman Old Style" w:cs="Arial"/>
          <w:szCs w:val="24"/>
        </w:rPr>
        <w:t xml:space="preserve"> </w:t>
      </w:r>
      <w:r w:rsidR="00153AC4">
        <w:rPr>
          <w:rFonts w:ascii="Bookman Old Style" w:eastAsia="Calibri" w:hAnsi="Bookman Old Style" w:cs="Arial"/>
          <w:szCs w:val="24"/>
        </w:rPr>
        <w:t xml:space="preserve">requerimiento </w:t>
      </w:r>
      <w:r w:rsidR="000512D5">
        <w:rPr>
          <w:rFonts w:ascii="Bookman Old Style" w:eastAsia="Calibri" w:hAnsi="Bookman Old Style" w:cs="Arial"/>
          <w:szCs w:val="24"/>
        </w:rPr>
        <w:t>que fue acogid</w:t>
      </w:r>
      <w:r w:rsidR="00153AC4">
        <w:rPr>
          <w:rFonts w:ascii="Bookman Old Style" w:eastAsia="Calibri" w:hAnsi="Bookman Old Style" w:cs="Arial"/>
          <w:szCs w:val="24"/>
        </w:rPr>
        <w:t>o</w:t>
      </w:r>
      <w:r w:rsidR="000512D5">
        <w:rPr>
          <w:rFonts w:ascii="Bookman Old Style" w:eastAsia="Calibri" w:hAnsi="Bookman Old Style" w:cs="Arial"/>
          <w:szCs w:val="24"/>
        </w:rPr>
        <w:t xml:space="preserve"> por l</w:t>
      </w:r>
      <w:r w:rsidR="000512D5" w:rsidRPr="000512D5">
        <w:rPr>
          <w:rFonts w:ascii="Bookman Old Style" w:eastAsia="Calibri" w:hAnsi="Bookman Old Style" w:cs="Arial"/>
          <w:szCs w:val="24"/>
        </w:rPr>
        <w:t xml:space="preserve">a mayoría de los 53 Estados de la Comisión de Estupefacientes -el órgano Ejecutivo de la ONU en políticas de </w:t>
      </w:r>
      <w:r w:rsidR="000512D5" w:rsidRPr="000512D5">
        <w:rPr>
          <w:rFonts w:ascii="Bookman Old Style" w:eastAsia="Calibri" w:hAnsi="Bookman Old Style" w:cs="Arial"/>
          <w:szCs w:val="24"/>
        </w:rPr>
        <w:lastRenderedPageBreak/>
        <w:t xml:space="preserve">drogas- </w:t>
      </w:r>
      <w:r w:rsidR="000512D5">
        <w:rPr>
          <w:rFonts w:ascii="Bookman Old Style" w:eastAsia="Calibri" w:hAnsi="Bookman Old Style" w:cs="Arial"/>
          <w:szCs w:val="24"/>
        </w:rPr>
        <w:t xml:space="preserve">el cual </w:t>
      </w:r>
      <w:r w:rsidR="000512D5" w:rsidRPr="000512D5">
        <w:rPr>
          <w:rFonts w:ascii="Bookman Old Style" w:eastAsia="Calibri" w:hAnsi="Bookman Old Style" w:cs="Arial"/>
          <w:szCs w:val="24"/>
        </w:rPr>
        <w:t xml:space="preserve">decidió </w:t>
      </w:r>
      <w:r w:rsidR="000512D5">
        <w:rPr>
          <w:rFonts w:ascii="Bookman Old Style" w:eastAsia="Calibri" w:hAnsi="Bookman Old Style" w:cs="Arial"/>
          <w:szCs w:val="24"/>
        </w:rPr>
        <w:t>el 02 de diciembre de 2020</w:t>
      </w:r>
      <w:r w:rsidR="000512D5" w:rsidRPr="000512D5">
        <w:rPr>
          <w:rFonts w:ascii="Bookman Old Style" w:eastAsia="Calibri" w:hAnsi="Bookman Old Style" w:cs="Arial"/>
          <w:szCs w:val="24"/>
        </w:rPr>
        <w:t>.</w:t>
      </w:r>
      <w:r w:rsidR="000512D5">
        <w:rPr>
          <w:rStyle w:val="Refdenotaalpie"/>
          <w:rFonts w:ascii="Bookman Old Style" w:eastAsia="Calibri" w:hAnsi="Bookman Old Style" w:cs="Arial"/>
          <w:szCs w:val="24"/>
        </w:rPr>
        <w:footnoteReference w:id="5"/>
      </w:r>
    </w:p>
    <w:p w14:paraId="2E199D8A" w14:textId="77777777" w:rsidR="00F36280" w:rsidRPr="00485CC5" w:rsidRDefault="00F36280" w:rsidP="00F36280">
      <w:pPr>
        <w:jc w:val="both"/>
        <w:rPr>
          <w:rFonts w:ascii="Bookman Old Style" w:eastAsia="Calibri" w:hAnsi="Bookman Old Style" w:cs="Calibri"/>
          <w:szCs w:val="24"/>
        </w:rPr>
      </w:pPr>
    </w:p>
    <w:p w14:paraId="27BD8F66" w14:textId="5CBFB3D1" w:rsidR="00F36280" w:rsidRPr="00485CC5" w:rsidRDefault="00153AC4" w:rsidP="00F36280">
      <w:pPr>
        <w:jc w:val="both"/>
        <w:rPr>
          <w:rFonts w:ascii="Bookman Old Style" w:eastAsia="Calibri" w:hAnsi="Bookman Old Style" w:cs="Calibri"/>
          <w:szCs w:val="24"/>
        </w:rPr>
      </w:pPr>
      <w:r>
        <w:rPr>
          <w:rFonts w:ascii="Bookman Old Style" w:eastAsia="Calibri" w:hAnsi="Bookman Old Style" w:cs="Calibri"/>
          <w:szCs w:val="24"/>
        </w:rPr>
        <w:t>El Acto Legislativo 02 de 2019 fue regulado por l</w:t>
      </w:r>
      <w:r w:rsidRPr="00485CC5">
        <w:rPr>
          <w:rFonts w:ascii="Bookman Old Style" w:eastAsia="Calibri" w:hAnsi="Bookman Old Style" w:cs="Calibri"/>
          <w:szCs w:val="24"/>
        </w:rPr>
        <w:t xml:space="preserve">a </w:t>
      </w:r>
      <w:r w:rsidR="00F36280" w:rsidRPr="00485CC5">
        <w:rPr>
          <w:rFonts w:ascii="Bookman Old Style" w:eastAsia="Calibri" w:hAnsi="Bookman Old Style" w:cs="Calibri"/>
          <w:szCs w:val="24"/>
        </w:rPr>
        <w:t>Ley 1787 de 2016</w:t>
      </w:r>
      <w:r>
        <w:rPr>
          <w:rFonts w:ascii="Bookman Old Style" w:eastAsia="Calibri" w:hAnsi="Bookman Old Style" w:cs="Calibri"/>
          <w:szCs w:val="24"/>
        </w:rPr>
        <w:t>, norma que</w:t>
      </w:r>
      <w:r w:rsidR="00F36280" w:rsidRPr="00485CC5">
        <w:rPr>
          <w:rFonts w:ascii="Bookman Old Style" w:eastAsia="Calibri" w:hAnsi="Bookman Old Style" w:cs="Calibri"/>
          <w:szCs w:val="24"/>
        </w:rPr>
        <w:t xml:space="preserve"> </w:t>
      </w:r>
      <w:r>
        <w:rPr>
          <w:rFonts w:ascii="Bookman Old Style" w:eastAsia="Calibri" w:hAnsi="Bookman Old Style" w:cs="Calibri"/>
          <w:szCs w:val="24"/>
        </w:rPr>
        <w:t>fijó las condiciones de</w:t>
      </w:r>
      <w:r w:rsidR="00F36280" w:rsidRPr="00485CC5">
        <w:rPr>
          <w:rFonts w:ascii="Bookman Old Style" w:eastAsia="Calibri" w:hAnsi="Bookman Old Style" w:cs="Calibri"/>
          <w:szCs w:val="24"/>
        </w:rPr>
        <w:t xml:space="preserve"> importación, exportación, cultivo, producción, fabricación, adquisición a cualquier título, almacenamiento, transporte, comercialización, distribución, uso de las semillas de la planta de cannabis, del cannabis y de sus derivados </w:t>
      </w:r>
      <w:r w:rsidR="00F36280" w:rsidRPr="00485CC5">
        <w:rPr>
          <w:rFonts w:ascii="Bookman Old Style" w:eastAsia="Calibri" w:hAnsi="Bookman Old Style" w:cs="Calibri"/>
          <w:szCs w:val="24"/>
          <w:u w:val="single"/>
        </w:rPr>
        <w:t>siempre y cuando su finalidad sea médica o científica</w:t>
      </w:r>
      <w:r w:rsidR="00F36280" w:rsidRPr="00485CC5">
        <w:rPr>
          <w:rFonts w:ascii="Bookman Old Style" w:eastAsia="Calibri" w:hAnsi="Bookman Old Style" w:cs="Calibri"/>
          <w:szCs w:val="24"/>
        </w:rPr>
        <w:t xml:space="preserve">. </w:t>
      </w:r>
      <w:r w:rsidR="00C61547">
        <w:rPr>
          <w:rFonts w:ascii="Bookman Old Style" w:eastAsia="Calibri" w:hAnsi="Bookman Old Style" w:cs="Calibri"/>
          <w:szCs w:val="24"/>
        </w:rPr>
        <w:t xml:space="preserve">Cabe recordar que según el acto legislativo estas sustancias únicamente podían utilizarse con fines médicos, mientras que la regulación </w:t>
      </w:r>
      <w:r w:rsidR="00285E76">
        <w:rPr>
          <w:rFonts w:ascii="Bookman Old Style" w:eastAsia="Calibri" w:hAnsi="Bookman Old Style" w:cs="Calibri"/>
          <w:szCs w:val="24"/>
        </w:rPr>
        <w:t>les</w:t>
      </w:r>
      <w:r w:rsidR="00C61547">
        <w:rPr>
          <w:rFonts w:ascii="Bookman Old Style" w:eastAsia="Calibri" w:hAnsi="Bookman Old Style" w:cs="Calibri"/>
          <w:szCs w:val="24"/>
        </w:rPr>
        <w:t xml:space="preserve"> abrió las puertas a otros usos, existiendo </w:t>
      </w:r>
      <w:r w:rsidR="00F36280" w:rsidRPr="00485CC5">
        <w:rPr>
          <w:rFonts w:ascii="Bookman Old Style" w:eastAsia="Calibri" w:hAnsi="Bookman Old Style" w:cs="Calibri"/>
          <w:szCs w:val="24"/>
        </w:rPr>
        <w:t>hoy en día una incoherencia entre la disposición constitucional y el desarrollo legal sobre la materia.</w:t>
      </w:r>
    </w:p>
    <w:p w14:paraId="2E3314D9" w14:textId="77777777" w:rsidR="00F36280" w:rsidRPr="00485CC5" w:rsidRDefault="00F36280" w:rsidP="00F36280">
      <w:pPr>
        <w:jc w:val="both"/>
        <w:rPr>
          <w:rFonts w:ascii="Bookman Old Style" w:eastAsia="Calibri" w:hAnsi="Bookman Old Style" w:cs="Calibri"/>
          <w:szCs w:val="24"/>
        </w:rPr>
      </w:pPr>
    </w:p>
    <w:p w14:paraId="78B385AC" w14:textId="5AC9F422" w:rsidR="00F36280"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0A79DD6" w14:textId="13F4F2A9" w:rsidR="00C61547" w:rsidRDefault="00C61547" w:rsidP="00F36280">
      <w:pPr>
        <w:jc w:val="both"/>
        <w:rPr>
          <w:rFonts w:ascii="Bookman Old Style" w:eastAsia="Calibri" w:hAnsi="Bookman Old Style" w:cs="Calibri"/>
          <w:szCs w:val="24"/>
        </w:rPr>
      </w:pPr>
    </w:p>
    <w:p w14:paraId="370DEE79" w14:textId="19F2E05A" w:rsidR="00C61547"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De hecho, a pesar de la inclusión de este artículo en la Constitución, la jurisprudencia constitucional, ordinaria y administrativa han reconocido que el derecho al porte de la dosis mínima se mantiene incólume, en tanto se trata de un asunto que no le compete regular al Estado.</w:t>
      </w:r>
    </w:p>
    <w:p w14:paraId="15958EC0" w14:textId="5DCA392D" w:rsidR="00C61547" w:rsidRDefault="00C61547" w:rsidP="00F36280">
      <w:pPr>
        <w:jc w:val="both"/>
        <w:rPr>
          <w:rFonts w:ascii="Bookman Old Style" w:eastAsia="Calibri" w:hAnsi="Bookman Old Style" w:cs="Calibri"/>
          <w:szCs w:val="24"/>
        </w:rPr>
      </w:pPr>
    </w:p>
    <w:p w14:paraId="320059ED" w14:textId="0DDBF562" w:rsidR="00C61547"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Cabe resaltar que el Acto Legislativo 02 de 2009 se aprobó en un contexto de país distinto, en el que aún sea creía que la lucha contra las drogas debía partir de estrategias prohibicionistas y en el que este tipo de limitaciones se implementaban como herramientas para luchar contra el conflicto armado en el que estaba sumergido el país.</w:t>
      </w:r>
    </w:p>
    <w:p w14:paraId="4A6161E7" w14:textId="286FC3AD" w:rsidR="00C61547" w:rsidRDefault="00C61547" w:rsidP="00F36280">
      <w:pPr>
        <w:jc w:val="both"/>
        <w:rPr>
          <w:rFonts w:ascii="Bookman Old Style" w:eastAsia="Calibri" w:hAnsi="Bookman Old Style" w:cs="Calibri"/>
          <w:szCs w:val="24"/>
        </w:rPr>
      </w:pPr>
    </w:p>
    <w:p w14:paraId="62B29059" w14:textId="206C0BF0" w:rsidR="00C61547" w:rsidRPr="00485CC5" w:rsidRDefault="00C61547" w:rsidP="00F36280">
      <w:pPr>
        <w:jc w:val="both"/>
        <w:rPr>
          <w:rFonts w:ascii="Bookman Old Style" w:eastAsia="Calibri" w:hAnsi="Bookman Old Style" w:cs="Calibri"/>
          <w:szCs w:val="24"/>
        </w:rPr>
      </w:pPr>
      <w:r>
        <w:rPr>
          <w:rFonts w:ascii="Bookman Old Style" w:eastAsia="Calibri" w:hAnsi="Bookman Old Style" w:cs="Calibri"/>
          <w:szCs w:val="24"/>
        </w:rPr>
        <w:t>Hoy, 13 años después, está claro que la prohibición de las drogas no solo ha alimentado el conflicto, sino que además ha cobrado millones de vidas en Colombia y el mundo. También, se ha consolidado una fuerte defensa a las libertades individuales y se ha tendido a limitar la intervención del Estado en estos asuntos.</w:t>
      </w:r>
    </w:p>
    <w:p w14:paraId="1A1C0435" w14:textId="77777777" w:rsidR="00F36280" w:rsidRPr="00485CC5" w:rsidRDefault="00F36280" w:rsidP="00F36280">
      <w:pPr>
        <w:jc w:val="both"/>
        <w:rPr>
          <w:rFonts w:ascii="Bookman Old Style" w:eastAsia="Calibri" w:hAnsi="Bookman Old Style" w:cs="Calibri"/>
          <w:szCs w:val="24"/>
        </w:rPr>
      </w:pPr>
    </w:p>
    <w:p w14:paraId="3FDA2E4F" w14:textId="710B664F" w:rsidR="00F36280"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En consecuencia, es claro que una reforma constitucional que</w:t>
      </w:r>
      <w:r w:rsidR="00B61B80">
        <w:rPr>
          <w:rFonts w:ascii="Bookman Old Style" w:eastAsia="Calibri" w:hAnsi="Bookman Old Style" w:cs="Calibri"/>
          <w:szCs w:val="24"/>
        </w:rPr>
        <w:t xml:space="preserve"> permita</w:t>
      </w:r>
      <w:r w:rsidRPr="00485CC5">
        <w:rPr>
          <w:rFonts w:ascii="Bookman Old Style" w:eastAsia="Calibri" w:hAnsi="Bookman Old Style" w:cs="Calibri"/>
          <w:szCs w:val="24"/>
        </w:rPr>
        <w:t xml:space="preserve"> </w:t>
      </w:r>
      <w:r w:rsidR="00B61B80">
        <w:rPr>
          <w:rFonts w:ascii="Bookman Old Style" w:eastAsia="Calibri" w:hAnsi="Bookman Old Style" w:cs="Calibri"/>
          <w:szCs w:val="24"/>
        </w:rPr>
        <w:t>los</w:t>
      </w:r>
      <w:r w:rsidRPr="00485CC5">
        <w:rPr>
          <w:rFonts w:ascii="Bookman Old Style" w:eastAsia="Calibri" w:hAnsi="Bookman Old Style" w:cs="Calibri"/>
          <w:szCs w:val="24"/>
        </w:rPr>
        <w:t xml:space="preserve"> </w:t>
      </w:r>
      <w:r w:rsidR="00452196" w:rsidRPr="00485CC5">
        <w:rPr>
          <w:rFonts w:ascii="Bookman Old Style" w:eastAsia="Calibri" w:hAnsi="Bookman Old Style" w:cs="Calibri"/>
          <w:szCs w:val="24"/>
        </w:rPr>
        <w:t>uso</w:t>
      </w:r>
      <w:r w:rsidR="00B61B80">
        <w:rPr>
          <w:rFonts w:ascii="Bookman Old Style" w:eastAsia="Calibri" w:hAnsi="Bookman Old Style" w:cs="Calibri"/>
          <w:szCs w:val="24"/>
        </w:rPr>
        <w:t>s</w:t>
      </w:r>
      <w:r w:rsidRPr="00485CC5">
        <w:rPr>
          <w:rFonts w:ascii="Bookman Old Style" w:eastAsia="Calibri" w:hAnsi="Bookman Old Style" w:cs="Calibri"/>
          <w:szCs w:val="24"/>
        </w:rPr>
        <w:t xml:space="preserve"> medicinal,</w:t>
      </w:r>
      <w:r w:rsidR="00B61B80">
        <w:rPr>
          <w:rFonts w:ascii="Bookman Old Style" w:eastAsia="Calibri" w:hAnsi="Bookman Old Style" w:cs="Calibri"/>
          <w:szCs w:val="24"/>
        </w:rPr>
        <w:t xml:space="preserve"> </w:t>
      </w:r>
      <w:r w:rsidRPr="00485CC5">
        <w:rPr>
          <w:rFonts w:ascii="Bookman Old Style" w:eastAsia="Calibri" w:hAnsi="Bookman Old Style" w:cs="Calibri"/>
          <w:szCs w:val="24"/>
        </w:rPr>
        <w:t xml:space="preserve">científico y </w:t>
      </w:r>
      <w:r w:rsidR="00DD272D">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w:t>
      </w:r>
      <w:r w:rsidR="00B61B80">
        <w:rPr>
          <w:rFonts w:ascii="Bookman Old Style" w:eastAsia="Calibri" w:hAnsi="Bookman Old Style" w:cs="Calibri"/>
          <w:szCs w:val="24"/>
        </w:rPr>
        <w:t xml:space="preserve">, no solo es pertinente, sino además es </w:t>
      </w:r>
      <w:r w:rsidR="00285E76">
        <w:rPr>
          <w:rFonts w:ascii="Bookman Old Style" w:eastAsia="Calibri" w:hAnsi="Bookman Old Style" w:cs="Calibri"/>
          <w:szCs w:val="24"/>
        </w:rPr>
        <w:t>necesaria</w:t>
      </w:r>
      <w:r w:rsidR="00B61B80">
        <w:rPr>
          <w:rFonts w:ascii="Bookman Old Style" w:eastAsia="Calibri" w:hAnsi="Bookman Old Style" w:cs="Calibri"/>
          <w:szCs w:val="24"/>
        </w:rPr>
        <w:t xml:space="preserve"> para subsanar las contradicciones e incoherencias que hoy en día persisten en nuestro ordenamiento jurídico. </w:t>
      </w:r>
      <w:r w:rsidR="00285E76">
        <w:rPr>
          <w:rFonts w:ascii="Bookman Old Style" w:eastAsia="Calibri" w:hAnsi="Bookman Old Style" w:cs="Calibri"/>
          <w:szCs w:val="24"/>
        </w:rPr>
        <w:t>A</w:t>
      </w:r>
      <w:r w:rsidR="000803C9">
        <w:rPr>
          <w:rFonts w:ascii="Bookman Old Style" w:eastAsia="Calibri" w:hAnsi="Bookman Old Style" w:cs="Calibri"/>
          <w:szCs w:val="24"/>
        </w:rPr>
        <w:t>unado</w:t>
      </w:r>
      <w:r w:rsidR="00285E76">
        <w:rPr>
          <w:rFonts w:ascii="Bookman Old Style" w:eastAsia="Calibri" w:hAnsi="Bookman Old Style" w:cs="Calibri"/>
          <w:szCs w:val="24"/>
        </w:rPr>
        <w:t>,</w:t>
      </w:r>
      <w:r w:rsidR="00B61B80">
        <w:rPr>
          <w:rFonts w:ascii="Bookman Old Style" w:eastAsia="Calibri" w:hAnsi="Bookman Old Style" w:cs="Calibri"/>
          <w:szCs w:val="24"/>
        </w:rPr>
        <w:t xml:space="preserve"> es necesario que Colombia se sume a</w:t>
      </w:r>
      <w:r w:rsidRPr="00485CC5">
        <w:rPr>
          <w:rFonts w:ascii="Bookman Old Style" w:eastAsia="Calibri" w:hAnsi="Bookman Old Style" w:cs="Calibri"/>
          <w:szCs w:val="24"/>
        </w:rPr>
        <w:t xml:space="preserve"> las actuales posturas globales </w:t>
      </w:r>
      <w:r w:rsidR="00B61B80">
        <w:rPr>
          <w:rFonts w:ascii="Bookman Old Style" w:eastAsia="Calibri" w:hAnsi="Bookman Old Style" w:cs="Calibri"/>
          <w:szCs w:val="24"/>
        </w:rPr>
        <w:t xml:space="preserve">que han encontrado en la </w:t>
      </w:r>
      <w:r w:rsidRPr="00485CC5">
        <w:rPr>
          <w:rFonts w:ascii="Bookman Old Style" w:eastAsia="Calibri" w:hAnsi="Bookman Old Style" w:cs="Calibri"/>
          <w:szCs w:val="24"/>
        </w:rPr>
        <w:t>despenalización y regularización del porte y consumo</w:t>
      </w:r>
      <w:r w:rsidR="00C02AAD">
        <w:rPr>
          <w:rFonts w:ascii="Bookman Old Style" w:eastAsia="Calibri" w:hAnsi="Bookman Old Style" w:cs="Calibri"/>
          <w:szCs w:val="24"/>
        </w:rPr>
        <w:t xml:space="preserve">, estrategias mucho más efectivas para afrontar la hasta ahora fallida lucha contra las drogas. </w:t>
      </w:r>
    </w:p>
    <w:p w14:paraId="6CE984E8" w14:textId="55ABA42C" w:rsidR="00C02AAD" w:rsidRDefault="00C02AAD" w:rsidP="00F36280">
      <w:pPr>
        <w:jc w:val="both"/>
        <w:rPr>
          <w:rFonts w:ascii="Bookman Old Style" w:eastAsia="Calibri" w:hAnsi="Bookman Old Style" w:cs="Calibri"/>
          <w:szCs w:val="24"/>
        </w:rPr>
      </w:pPr>
    </w:p>
    <w:p w14:paraId="34C6164F" w14:textId="77777777" w:rsidR="00C02AAD" w:rsidRPr="00485CC5" w:rsidRDefault="00C02AAD" w:rsidP="00F36280">
      <w:pPr>
        <w:jc w:val="both"/>
        <w:rPr>
          <w:rFonts w:ascii="Bookman Old Style" w:eastAsia="Calibri" w:hAnsi="Bookman Old Style" w:cs="Calibri"/>
          <w:szCs w:val="24"/>
        </w:rPr>
      </w:pPr>
    </w:p>
    <w:p w14:paraId="10AC2E3C" w14:textId="77777777" w:rsidR="00AF62CD" w:rsidRPr="00485CC5" w:rsidRDefault="00AF62CD" w:rsidP="00F36280">
      <w:pPr>
        <w:rPr>
          <w:rFonts w:ascii="Bookman Old Style" w:hAnsi="Bookman Old Style" w:cs="Calibri"/>
          <w:szCs w:val="24"/>
        </w:rPr>
      </w:pPr>
    </w:p>
    <w:p w14:paraId="26102736" w14:textId="4BE1D177" w:rsidR="00F36280" w:rsidRPr="00485CC5" w:rsidRDefault="00F36280" w:rsidP="000B0FBF">
      <w:pPr>
        <w:pStyle w:val="Prrafodelista"/>
        <w:numPr>
          <w:ilvl w:val="0"/>
          <w:numId w:val="35"/>
        </w:numPr>
        <w:spacing w:after="0" w:line="240" w:lineRule="auto"/>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732806A2" w14:textId="3350BB9D" w:rsidR="00F36280" w:rsidRPr="00485CC5" w:rsidRDefault="000046EF"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4</w:t>
      </w:r>
      <w:r w:rsidR="00F36280" w:rsidRPr="00485CC5">
        <w:rPr>
          <w:rFonts w:ascii="Bookman Old Style" w:eastAsia="Calibri" w:hAnsi="Bookman Old Style" w:cs="Calibri"/>
          <w:sz w:val="22"/>
          <w:szCs w:val="24"/>
        </w:rPr>
        <w:t>.1 ANTECEDENTES JURÍDICOS Y NORMATIVOS SOBRE LA MATERIA EN COLOMBIA</w:t>
      </w:r>
      <w:r w:rsidR="008D6C03">
        <w:rPr>
          <w:rFonts w:ascii="Bookman Old Style" w:eastAsia="Calibri" w:hAnsi="Bookman Old Style" w:cs="Calibri"/>
          <w:sz w:val="22"/>
          <w:szCs w:val="24"/>
        </w:rPr>
        <w:t>.</w:t>
      </w:r>
    </w:p>
    <w:p w14:paraId="6193732E" w14:textId="77777777" w:rsidR="00F36280" w:rsidRPr="00485CC5" w:rsidRDefault="00F36280" w:rsidP="00F36280">
      <w:pPr>
        <w:pStyle w:val="Ttulo2"/>
        <w:ind w:left="0"/>
        <w:jc w:val="both"/>
        <w:rPr>
          <w:rFonts w:ascii="Bookman Old Style" w:eastAsia="Calibri" w:hAnsi="Bookman Old Style"/>
          <w:b w:val="0"/>
          <w:sz w:val="22"/>
          <w:szCs w:val="24"/>
        </w:rPr>
      </w:pPr>
    </w:p>
    <w:p w14:paraId="70B68F23"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269E3358" w14:textId="77777777" w:rsidR="00F36280" w:rsidRPr="00485CC5" w:rsidRDefault="00F36280" w:rsidP="00F36280">
      <w:pPr>
        <w:rPr>
          <w:rFonts w:ascii="Bookman Old Style" w:eastAsia="Calibri" w:hAnsi="Bookman Old Style"/>
          <w:szCs w:val="24"/>
        </w:rPr>
      </w:pPr>
    </w:p>
    <w:p w14:paraId="1E2473BD"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7778D90C"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722B94D2" w14:textId="77777777"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0CF9390C" w14:textId="77777777" w:rsidR="00F36280" w:rsidRPr="00485CC5" w:rsidRDefault="00F36280" w:rsidP="00F36280">
      <w:pPr>
        <w:ind w:left="720" w:right="900"/>
        <w:jc w:val="both"/>
        <w:rPr>
          <w:rFonts w:ascii="Bookman Old Style" w:hAnsi="Bookman Old Style"/>
          <w:i/>
          <w:sz w:val="20"/>
        </w:rPr>
      </w:pPr>
    </w:p>
    <w:p w14:paraId="500E4578" w14:textId="77777777"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4E8BEAB4" w14:textId="77777777" w:rsidR="00F36280" w:rsidRPr="00485CC5" w:rsidRDefault="00F36280" w:rsidP="00F36280">
      <w:pPr>
        <w:rPr>
          <w:rFonts w:ascii="Bookman Old Style" w:eastAsia="Calibri" w:hAnsi="Bookman Old Style"/>
          <w:szCs w:val="24"/>
        </w:rPr>
      </w:pPr>
    </w:p>
    <w:p w14:paraId="68B7DA9F"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704B00CB" w14:textId="77777777" w:rsidR="00F36280" w:rsidRPr="00485CC5" w:rsidRDefault="00F36280" w:rsidP="00F36280">
      <w:pPr>
        <w:rPr>
          <w:rFonts w:ascii="Bookman Old Style" w:eastAsia="Calibri" w:hAnsi="Bookman Old Style"/>
          <w:szCs w:val="24"/>
        </w:rPr>
      </w:pPr>
    </w:p>
    <w:p w14:paraId="086A4F54"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71720C6D"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3F53934E"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446EBC9" w14:textId="77777777" w:rsidR="00F36280" w:rsidRPr="00485CC5" w:rsidRDefault="00F36280" w:rsidP="00F36280">
      <w:pPr>
        <w:rPr>
          <w:rFonts w:ascii="Bookman Old Style" w:eastAsia="Calibri" w:hAnsi="Bookman Old Style"/>
          <w:szCs w:val="24"/>
        </w:rPr>
      </w:pPr>
    </w:p>
    <w:p w14:paraId="2FD02655" w14:textId="33FC384D"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w:t>
      </w:r>
      <w:r w:rsidRPr="00485CC5">
        <w:rPr>
          <w:rFonts w:ascii="Bookman Old Style" w:eastAsia="Calibri" w:hAnsi="Bookman Old Style" w:cs="Calibri"/>
          <w:b w:val="0"/>
          <w:sz w:val="22"/>
          <w:szCs w:val="24"/>
        </w:rPr>
        <w:lastRenderedPageBreak/>
        <w:t xml:space="preserve">cual se reformó el artículo 49 superior, elevando a rango constitucional la prohibición de porte y consumo de sustancias estupefacientes o psicotrópicas, salvo en los casos de prescripción médica. </w:t>
      </w:r>
    </w:p>
    <w:p w14:paraId="5F5B5A14"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4E9B8AE1"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02BBCDE"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68F97666" w14:textId="77777777"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45401A85" w14:textId="77777777" w:rsidR="00F36280" w:rsidRPr="00485CC5" w:rsidRDefault="00F36280" w:rsidP="00F36280">
      <w:pPr>
        <w:rPr>
          <w:rFonts w:ascii="Bookman Old Style" w:eastAsia="Calibri" w:hAnsi="Bookman Old Style"/>
          <w:b/>
          <w:szCs w:val="24"/>
        </w:rPr>
      </w:pPr>
    </w:p>
    <w:p w14:paraId="474636A2"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BAAC847" w14:textId="77777777" w:rsidR="00F36280" w:rsidRPr="00485CC5" w:rsidRDefault="00F36280" w:rsidP="00F36280">
      <w:pPr>
        <w:pStyle w:val="Ttulo2"/>
        <w:jc w:val="both"/>
        <w:rPr>
          <w:rFonts w:ascii="Bookman Old Style" w:eastAsia="Calibri" w:hAnsi="Bookman Old Style" w:cs="Calibri"/>
          <w:b w:val="0"/>
          <w:sz w:val="22"/>
          <w:szCs w:val="24"/>
        </w:rPr>
      </w:pPr>
    </w:p>
    <w:p w14:paraId="11D24D6C" w14:textId="38E93A17"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w:t>
      </w:r>
      <w:r w:rsidR="002B69BC">
        <w:rPr>
          <w:rFonts w:ascii="Bookman Old Style" w:eastAsia="Calibri" w:hAnsi="Bookman Old Style" w:cs="Calibri"/>
          <w:b w:val="0"/>
          <w:sz w:val="22"/>
          <w:szCs w:val="24"/>
        </w:rPr>
        <w:t xml:space="preserve"> y científicos</w:t>
      </w:r>
      <w:r w:rsidR="00F36280" w:rsidRPr="00485CC5">
        <w:rPr>
          <w:rFonts w:ascii="Bookman Old Style" w:eastAsia="Calibri" w:hAnsi="Bookman Old Style" w:cs="Calibri"/>
          <w:b w:val="0"/>
          <w:sz w:val="22"/>
          <w:szCs w:val="24"/>
        </w:rPr>
        <w:t xml:space="preserve"> del cannabis, </w:t>
      </w:r>
      <w:r w:rsidR="002B69BC" w:rsidRPr="00485CC5">
        <w:rPr>
          <w:rFonts w:ascii="Bookman Old Style" w:eastAsia="Calibri" w:hAnsi="Bookman Old Style" w:cs="Calibri"/>
          <w:b w:val="0"/>
          <w:sz w:val="22"/>
          <w:szCs w:val="24"/>
        </w:rPr>
        <w:t>previsi</w:t>
      </w:r>
      <w:r w:rsidR="002B69BC">
        <w:rPr>
          <w:rFonts w:ascii="Bookman Old Style" w:eastAsia="Calibri" w:hAnsi="Bookman Old Style" w:cs="Calibri"/>
          <w:b w:val="0"/>
          <w:sz w:val="22"/>
          <w:szCs w:val="24"/>
        </w:rPr>
        <w:t>o</w:t>
      </w:r>
      <w:r w:rsidR="002B69BC" w:rsidRPr="00485CC5">
        <w:rPr>
          <w:rFonts w:ascii="Bookman Old Style" w:eastAsia="Calibri" w:hAnsi="Bookman Old Style" w:cs="Calibri"/>
          <w:b w:val="0"/>
          <w:sz w:val="22"/>
          <w:szCs w:val="24"/>
        </w:rPr>
        <w:t>n</w:t>
      </w:r>
      <w:r w:rsidR="002B69BC">
        <w:rPr>
          <w:rFonts w:ascii="Bookman Old Style" w:eastAsia="Calibri" w:hAnsi="Bookman Old Style" w:cs="Calibri"/>
          <w:b w:val="0"/>
          <w:sz w:val="22"/>
          <w:szCs w:val="24"/>
        </w:rPr>
        <w:t>es</w:t>
      </w:r>
      <w:r w:rsidR="002B69BC" w:rsidRPr="00485CC5">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que no necesariamente se enmarca en la referencia del artículo 49 de la Constitución que se refiere exclusivamente a la tenencia de una fórmula médica. </w:t>
      </w:r>
    </w:p>
    <w:p w14:paraId="4BF0E500" w14:textId="77777777" w:rsidR="00F36280" w:rsidRPr="00485CC5" w:rsidRDefault="00F36280" w:rsidP="00F36280">
      <w:pPr>
        <w:pStyle w:val="Ttulo2"/>
        <w:jc w:val="both"/>
        <w:rPr>
          <w:rFonts w:ascii="Bookman Old Style" w:eastAsia="Calibri" w:hAnsi="Bookman Old Style" w:cs="Calibri"/>
          <w:b w:val="0"/>
          <w:sz w:val="22"/>
          <w:szCs w:val="24"/>
        </w:rPr>
      </w:pPr>
    </w:p>
    <w:p w14:paraId="738E16C0"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0BB737" w14:textId="77777777" w:rsidR="00F36280" w:rsidRPr="00485CC5" w:rsidRDefault="00F36280" w:rsidP="00F36280">
      <w:pPr>
        <w:pStyle w:val="Ttulo2"/>
        <w:jc w:val="both"/>
        <w:rPr>
          <w:rFonts w:ascii="Bookman Old Style" w:eastAsia="Calibri" w:hAnsi="Bookman Old Style" w:cs="Calibri"/>
          <w:b w:val="0"/>
          <w:sz w:val="22"/>
          <w:szCs w:val="24"/>
        </w:rPr>
      </w:pPr>
    </w:p>
    <w:p w14:paraId="35808F60" w14:textId="0E714D7F"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200919EA" w14:textId="77777777" w:rsidR="00F36280" w:rsidRPr="00485CC5" w:rsidRDefault="00F36280" w:rsidP="00F36280">
      <w:pPr>
        <w:rPr>
          <w:rFonts w:ascii="Bookman Old Style" w:eastAsia="Calibri" w:hAnsi="Bookman Old Style"/>
          <w:szCs w:val="24"/>
        </w:rPr>
      </w:pPr>
    </w:p>
    <w:p w14:paraId="1833D6CA" w14:textId="05E24DF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 xml:space="preserve">as personas que consumieran dichas sustancias, </w:t>
      </w:r>
      <w:r w:rsidR="002C4673">
        <w:rPr>
          <w:rFonts w:ascii="Bookman Old Style" w:eastAsia="Calibri" w:hAnsi="Bookman Old Style" w:cs="Calibri"/>
          <w:szCs w:val="24"/>
        </w:rPr>
        <w:t xml:space="preserve">en contravía de los derechos ya reconocidos por la jurisprudencia nacional. Proceso que además no otorgaba las garantías propias del debido proceso y que </w:t>
      </w:r>
      <w:r w:rsidR="00F36280" w:rsidRPr="00485CC5">
        <w:rPr>
          <w:rFonts w:ascii="Bookman Old Style" w:eastAsia="Calibri" w:hAnsi="Bookman Old Style" w:cs="Calibri"/>
          <w:szCs w:val="24"/>
        </w:rPr>
        <w:t>una serie de estigmatizaciones en contra de los consumidores.</w:t>
      </w:r>
    </w:p>
    <w:p w14:paraId="17C3C061" w14:textId="77777777" w:rsidR="00F36280" w:rsidRPr="00485CC5" w:rsidRDefault="00F36280" w:rsidP="00F36280">
      <w:pPr>
        <w:rPr>
          <w:rFonts w:eastAsia="Calibri"/>
        </w:rPr>
      </w:pPr>
    </w:p>
    <w:p w14:paraId="4BB7F72B" w14:textId="2359DD8F" w:rsidR="00F36280" w:rsidRPr="00485CC5" w:rsidRDefault="002C4673" w:rsidP="00F36280">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Ante esta disposición, abiertamente inconstitucional, las Cortes mantuvieron la postura adoptada desde</w:t>
      </w:r>
      <w:r w:rsidR="00F36280" w:rsidRPr="00485CC5">
        <w:rPr>
          <w:rFonts w:ascii="Bookman Old Style" w:eastAsia="Calibri" w:hAnsi="Bookman Old Style" w:cs="Calibri"/>
          <w:b w:val="0"/>
          <w:sz w:val="22"/>
          <w:szCs w:val="24"/>
        </w:rPr>
        <w:t xml:space="preserve"> el año 1994, como se evidenció el 9 de marzo de 2016, cuando</w:t>
      </w:r>
      <w:r w:rsidR="00DC49AD">
        <w:rPr>
          <w:rFonts w:ascii="Bookman Old Style" w:eastAsia="Calibri" w:hAnsi="Bookman Old Style" w:cs="Calibri"/>
          <w:b w:val="0"/>
          <w:sz w:val="22"/>
          <w:szCs w:val="24"/>
        </w:rPr>
        <w:t xml:space="preserve"> </w:t>
      </w:r>
      <w:r w:rsidR="00F36280" w:rsidRPr="00485CC5">
        <w:rPr>
          <w:rFonts w:ascii="Bookman Old Style" w:eastAsia="Calibri" w:hAnsi="Bookman Old Style" w:cs="Calibri"/>
          <w:b w:val="0"/>
          <w:sz w:val="22"/>
          <w:szCs w:val="24"/>
        </w:rPr>
        <w:t xml:space="preserve">la Corte Suprema de Justicia, mediante sentencia SP-2940-2016, reconoció que los consumidores, enfermos o adictos, podían portar una cantidad </w:t>
      </w:r>
      <w:r w:rsidR="00F36280" w:rsidRPr="00485CC5">
        <w:rPr>
          <w:rFonts w:ascii="Bookman Old Style" w:eastAsia="Calibri" w:hAnsi="Bookman Old Style" w:cs="Calibri"/>
          <w:b w:val="0"/>
          <w:sz w:val="22"/>
          <w:szCs w:val="24"/>
        </w:rPr>
        <w:lastRenderedPageBreak/>
        <w:t xml:space="preserve">diferente a la fijada por la ley para la dosis 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00F36280"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6B9213B8"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5E0B77A6" w14:textId="499575E4" w:rsidR="00F36280" w:rsidRDefault="00E52C4F" w:rsidP="00F36280">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 xml:space="preserve">Sin embargo, el Gobierno intentó nuevamente limitar los derechos de los consumidores </w:t>
      </w:r>
      <w:r w:rsidR="00F36280" w:rsidRPr="00485CC5">
        <w:rPr>
          <w:rFonts w:ascii="Bookman Old Style" w:eastAsia="Calibri" w:hAnsi="Bookman Old Style" w:cs="Calibri"/>
          <w:b w:val="0"/>
          <w:sz w:val="22"/>
          <w:szCs w:val="24"/>
        </w:rPr>
        <w:t>y</w:t>
      </w:r>
      <w:r w:rsidR="00C8439A">
        <w:rPr>
          <w:rFonts w:ascii="Bookman Old Style" w:eastAsia="Calibri" w:hAnsi="Bookman Old Style" w:cs="Calibri"/>
          <w:b w:val="0"/>
          <w:sz w:val="22"/>
          <w:szCs w:val="24"/>
        </w:rPr>
        <w:t>,</w:t>
      </w:r>
      <w:r w:rsidR="00F36280" w:rsidRPr="00485CC5">
        <w:rPr>
          <w:rFonts w:ascii="Bookman Old Style" w:eastAsia="Calibri" w:hAnsi="Bookman Old Style" w:cs="Calibri"/>
          <w:b w:val="0"/>
          <w:sz w:val="22"/>
          <w:szCs w:val="24"/>
        </w:rPr>
        <w:t xml:space="preserve"> en desarrollo de la Ley 1801 de 2016, </w:t>
      </w:r>
      <w:r>
        <w:rPr>
          <w:rFonts w:ascii="Bookman Old Style" w:eastAsia="Calibri" w:hAnsi="Bookman Old Style" w:cs="Calibri"/>
          <w:b w:val="0"/>
          <w:sz w:val="22"/>
          <w:szCs w:val="24"/>
        </w:rPr>
        <w:t xml:space="preserve">expidió </w:t>
      </w:r>
      <w:r w:rsidR="00F36280" w:rsidRPr="00485CC5">
        <w:rPr>
          <w:rFonts w:ascii="Bookman Old Style" w:eastAsia="Calibri" w:hAnsi="Bookman Old Style" w:cs="Calibri"/>
          <w:b w:val="0"/>
          <w:sz w:val="22"/>
          <w:szCs w:val="24"/>
        </w:rPr>
        <w:t>el Decreto 1844</w:t>
      </w:r>
      <w:r>
        <w:rPr>
          <w:rFonts w:ascii="Bookman Old Style" w:eastAsia="Calibri" w:hAnsi="Bookman Old Style" w:cs="Calibri"/>
          <w:b w:val="0"/>
          <w:sz w:val="22"/>
          <w:szCs w:val="24"/>
        </w:rPr>
        <w:t xml:space="preserve"> de la misma anualidad, que</w:t>
      </w:r>
      <w:r w:rsidR="00F36280" w:rsidRPr="00485CC5">
        <w:rPr>
          <w:rFonts w:ascii="Bookman Old Style" w:eastAsia="Calibri" w:hAnsi="Bookman Old Style" w:cs="Calibri"/>
          <w:b w:val="0"/>
          <w:sz w:val="22"/>
          <w:szCs w:val="24"/>
        </w:rPr>
        <w:t xml:space="preserve">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78F9F43E" w14:textId="77777777" w:rsidR="00C8439A" w:rsidRPr="00C8439A" w:rsidRDefault="00C8439A" w:rsidP="00C8439A">
      <w:pPr>
        <w:rPr>
          <w:rFonts w:eastAsia="Calibri"/>
        </w:rPr>
      </w:pPr>
    </w:p>
    <w:p w14:paraId="726DE370" w14:textId="69653A41" w:rsidR="00D318E3" w:rsidRPr="002C010E" w:rsidRDefault="00E52C4F" w:rsidP="001D5D7C">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 xml:space="preserve">No obstante, a través de </w:t>
      </w:r>
      <w:r w:rsidR="00F36280" w:rsidRPr="002C010E">
        <w:rPr>
          <w:rFonts w:ascii="Bookman Old Style" w:eastAsia="Calibri" w:hAnsi="Bookman Old Style" w:cs="Calibri"/>
          <w:b w:val="0"/>
          <w:sz w:val="22"/>
          <w:szCs w:val="22"/>
        </w:rPr>
        <w:t xml:space="preserve">sentencia C-253 de 2019, </w:t>
      </w:r>
      <w:r w:rsidRPr="002C010E">
        <w:rPr>
          <w:rFonts w:ascii="Bookman Old Style" w:eastAsia="Calibri" w:hAnsi="Bookman Old Style" w:cs="Calibri"/>
          <w:b w:val="0"/>
          <w:sz w:val="22"/>
          <w:szCs w:val="22"/>
        </w:rPr>
        <w:t xml:space="preserve">la Corte Constitucional dio fin a esta discusión declarando </w:t>
      </w:r>
      <w:r w:rsidR="00F36280" w:rsidRPr="002C010E">
        <w:rPr>
          <w:rFonts w:ascii="Bookman Old Style" w:eastAsia="Calibri" w:hAnsi="Bookman Old Style" w:cs="Calibri"/>
          <w:b w:val="0"/>
          <w:sz w:val="22"/>
          <w:szCs w:val="22"/>
        </w:rPr>
        <w:t xml:space="preserve">inexequible </w:t>
      </w:r>
      <w:r w:rsidR="000C074B" w:rsidRPr="002C010E">
        <w:rPr>
          <w:rFonts w:ascii="Bookman Old Style" w:eastAsia="Calibri" w:hAnsi="Bookman Old Style" w:cs="Calibri"/>
          <w:b w:val="0"/>
          <w:sz w:val="22"/>
          <w:szCs w:val="22"/>
        </w:rPr>
        <w:t xml:space="preserve">las expresiones ‘alcohólicas, psicoactivas o’ contenidas en </w:t>
      </w:r>
      <w:r w:rsidR="00A47C6C" w:rsidRPr="002C010E">
        <w:rPr>
          <w:rFonts w:ascii="Bookman Old Style" w:eastAsia="Calibri" w:hAnsi="Bookman Old Style" w:cs="Calibri"/>
          <w:b w:val="0"/>
          <w:sz w:val="22"/>
          <w:szCs w:val="22"/>
        </w:rPr>
        <w:t>los</w:t>
      </w:r>
      <w:r w:rsidR="000C074B" w:rsidRPr="002C010E">
        <w:rPr>
          <w:rFonts w:ascii="Bookman Old Style" w:eastAsia="Calibri" w:hAnsi="Bookman Old Style" w:cs="Calibri"/>
          <w:b w:val="0"/>
          <w:sz w:val="22"/>
          <w:szCs w:val="22"/>
        </w:rPr>
        <w:t xml:space="preserve"> Artículo</w:t>
      </w:r>
      <w:r w:rsidR="00A47C6C" w:rsidRPr="002C010E">
        <w:rPr>
          <w:rFonts w:ascii="Bookman Old Style" w:eastAsia="Calibri" w:hAnsi="Bookman Old Style" w:cs="Calibri"/>
          <w:b w:val="0"/>
          <w:sz w:val="22"/>
          <w:szCs w:val="22"/>
        </w:rPr>
        <w:t>s</w:t>
      </w:r>
      <w:r w:rsidR="000C074B" w:rsidRPr="002C010E">
        <w:rPr>
          <w:rFonts w:ascii="Bookman Old Style" w:eastAsia="Calibri" w:hAnsi="Bookman Old Style" w:cs="Calibri"/>
          <w:b w:val="0"/>
          <w:sz w:val="22"/>
          <w:szCs w:val="22"/>
        </w:rPr>
        <w:t xml:space="preserve"> 33 (literal c, numeral 2) </w:t>
      </w:r>
      <w:r w:rsidR="00A47C6C" w:rsidRPr="002C010E">
        <w:rPr>
          <w:rFonts w:ascii="Bookman Old Style" w:eastAsia="Calibri" w:hAnsi="Bookman Old Style" w:cs="Calibri"/>
          <w:b w:val="0"/>
          <w:sz w:val="22"/>
          <w:szCs w:val="22"/>
        </w:rPr>
        <w:t xml:space="preserve">y 140 (numeral 7) </w:t>
      </w:r>
      <w:r w:rsidR="000C074B" w:rsidRPr="002C010E">
        <w:rPr>
          <w:rFonts w:ascii="Bookman Old Style" w:eastAsia="Calibri" w:hAnsi="Bookman Old Style" w:cs="Calibri"/>
          <w:b w:val="0"/>
          <w:sz w:val="22"/>
          <w:szCs w:val="22"/>
        </w:rPr>
        <w:t>del Código Nacional de Policía y Convivencia (Ley 1801 de 2016)</w:t>
      </w:r>
      <w:r w:rsidR="00F36280" w:rsidRPr="002C010E">
        <w:rPr>
          <w:rStyle w:val="Refdenotaalpie"/>
          <w:rFonts w:ascii="Bookman Old Style" w:eastAsia="Calibri" w:hAnsi="Bookman Old Style" w:cs="Calibri"/>
          <w:b w:val="0"/>
          <w:i/>
          <w:sz w:val="22"/>
          <w:szCs w:val="22"/>
        </w:rPr>
        <w:footnoteReference w:id="6"/>
      </w:r>
      <w:r w:rsidR="00F36280" w:rsidRPr="002C010E">
        <w:rPr>
          <w:rFonts w:ascii="Bookman Old Style" w:eastAsia="Calibri" w:hAnsi="Bookman Old Style" w:cs="Calibri"/>
          <w:b w:val="0"/>
          <w:i/>
          <w:sz w:val="22"/>
          <w:szCs w:val="22"/>
        </w:rPr>
        <w:t xml:space="preserve">. </w:t>
      </w:r>
      <w:r w:rsidR="00A47C6C" w:rsidRPr="002C010E">
        <w:rPr>
          <w:rFonts w:ascii="Bookman Old Style" w:eastAsia="Calibri" w:hAnsi="Bookman Old Style" w:cs="Calibri"/>
          <w:b w:val="0"/>
          <w:iCs/>
          <w:sz w:val="22"/>
          <w:szCs w:val="22"/>
        </w:rPr>
        <w:t>Toda vez que</w:t>
      </w:r>
      <w:r w:rsidR="00A47C6C" w:rsidRPr="002C010E">
        <w:rPr>
          <w:rFonts w:ascii="Bookman Old Style" w:eastAsia="Calibri" w:hAnsi="Bookman Old Style" w:cs="Calibri"/>
          <w:b w:val="0"/>
          <w:sz w:val="22"/>
          <w:szCs w:val="22"/>
        </w:rPr>
        <w:t xml:space="preserve"> </w:t>
      </w:r>
      <w:r w:rsidR="00F36280" w:rsidRPr="001D5D7C">
        <w:rPr>
          <w:rFonts w:ascii="Bookman Old Style" w:eastAsia="Calibri" w:hAnsi="Bookman Old Style" w:cs="Calibri"/>
          <w:b w:val="0"/>
          <w:sz w:val="22"/>
          <w:szCs w:val="22"/>
        </w:rPr>
        <w:t>el texto legal de las reglas acusadas tiene unas amplias prohibiciones que impactan el ejercicio del derecho al libre desarrollo de la personalidad de forma considerable</w:t>
      </w:r>
      <w:r w:rsidR="00D318E3" w:rsidRPr="002C010E">
        <w:rPr>
          <w:rFonts w:ascii="Bookman Old Style" w:eastAsia="Calibri" w:hAnsi="Bookman Old Style" w:cs="Calibri"/>
          <w:b w:val="0"/>
          <w:sz w:val="22"/>
          <w:szCs w:val="22"/>
        </w:rPr>
        <w:t>, así lo afirmó la corte para cada uno de los artículos:</w:t>
      </w:r>
    </w:p>
    <w:p w14:paraId="768AEC71" w14:textId="4B2D2B61" w:rsidR="00D318E3" w:rsidRPr="002C010E" w:rsidRDefault="00D318E3" w:rsidP="001D5D7C">
      <w:pPr>
        <w:pStyle w:val="Ttulo2"/>
        <w:ind w:left="0"/>
        <w:jc w:val="both"/>
        <w:rPr>
          <w:rFonts w:ascii="Bookman Old Style" w:eastAsia="Calibri" w:hAnsi="Bookman Old Style" w:cs="Calibri"/>
          <w:b w:val="0"/>
          <w:sz w:val="22"/>
          <w:szCs w:val="22"/>
        </w:rPr>
      </w:pPr>
    </w:p>
    <w:p w14:paraId="441DE743" w14:textId="2685C20E" w:rsidR="00D318E3" w:rsidRPr="002C010E" w:rsidRDefault="00D318E3" w:rsidP="002C010E">
      <w:pPr>
        <w:pStyle w:val="Prrafodelista"/>
        <w:numPr>
          <w:ilvl w:val="0"/>
          <w:numId w:val="44"/>
        </w:numPr>
        <w:jc w:val="both"/>
        <w:rPr>
          <w:rFonts w:ascii="Bookman Old Style" w:eastAsia="Calibri" w:hAnsi="Bookman Old Style"/>
        </w:rPr>
      </w:pPr>
      <w:r w:rsidRPr="001D5D7C">
        <w:rPr>
          <w:rFonts w:ascii="Bookman Old Style" w:eastAsia="Calibri" w:hAnsi="Bookman Old Style"/>
        </w:rPr>
        <w:t>Artículo 33. Comportamientos que afectan la tranquilidad y relaciones respetuosas de las personas.</w:t>
      </w:r>
    </w:p>
    <w:p w14:paraId="747267AD" w14:textId="26DD6433" w:rsidR="002C010E" w:rsidRPr="001D5D7C" w:rsidRDefault="002C010E" w:rsidP="002C010E">
      <w:pPr>
        <w:pStyle w:val="Prrafodelista"/>
        <w:jc w:val="both"/>
        <w:rPr>
          <w:rFonts w:ascii="Bookman Old Style" w:eastAsia="Calibri" w:hAnsi="Bookman Old Style"/>
        </w:rPr>
      </w:pPr>
      <w:r w:rsidRPr="002C010E">
        <w:rPr>
          <w:rFonts w:ascii="Bookman Old Style" w:eastAsia="Calibri" w:hAnsi="Bookman Old Style"/>
        </w:rPr>
        <w:t>(…)</w:t>
      </w:r>
    </w:p>
    <w:p w14:paraId="5C3A2384" w14:textId="06BAB77D" w:rsidR="00D318E3" w:rsidRPr="001D5D7C" w:rsidRDefault="00D318E3" w:rsidP="001D5D7C">
      <w:pPr>
        <w:pStyle w:val="Prrafodelista"/>
        <w:jc w:val="both"/>
        <w:rPr>
          <w:rFonts w:ascii="Bookman Old Style" w:eastAsia="Calibri" w:hAnsi="Bookman Old Style"/>
        </w:rPr>
      </w:pPr>
      <w:r w:rsidRPr="001D5D7C">
        <w:rPr>
          <w:rFonts w:ascii="Bookman Old Style" w:hAnsi="Bookman Old Style" w:cs="Open Sans"/>
        </w:rPr>
        <w:t>c) &lt;Apartes tachados INEXEQUIBLES&gt; Consumir sustancias </w:t>
      </w:r>
      <w:r w:rsidRPr="001D5D7C">
        <w:rPr>
          <w:rStyle w:val="baj"/>
          <w:rFonts w:ascii="Bookman Old Style" w:hAnsi="Bookman Old Style" w:cs="Open Sans"/>
          <w:bCs/>
          <w:strike/>
        </w:rPr>
        <w:t>alcohólicas, psicoactivas o</w:t>
      </w:r>
      <w:r w:rsidRPr="001D5D7C">
        <w:rPr>
          <w:rFonts w:ascii="Bookman Old Style" w:hAnsi="Bookman Old Style" w:cs="Open Sans"/>
        </w:rPr>
        <w:t> prohibidas, no autorizados para su consumo.</w:t>
      </w:r>
    </w:p>
    <w:p w14:paraId="6C840844" w14:textId="7A2A7954" w:rsidR="00D318E3" w:rsidRPr="001D5D7C" w:rsidRDefault="00D318E3" w:rsidP="001D5D7C">
      <w:pPr>
        <w:jc w:val="both"/>
        <w:rPr>
          <w:rFonts w:ascii="Bookman Old Style" w:eastAsia="Calibri" w:hAnsi="Bookman Old Style"/>
        </w:rPr>
      </w:pPr>
    </w:p>
    <w:p w14:paraId="4A7D7E28" w14:textId="6BE2D48E" w:rsidR="00D318E3" w:rsidRPr="001D5D7C" w:rsidRDefault="00D318E3" w:rsidP="001D5D7C">
      <w:pPr>
        <w:ind w:left="851" w:right="616"/>
        <w:jc w:val="both"/>
        <w:rPr>
          <w:rFonts w:ascii="Bookman Old Style" w:eastAsia="Calibri" w:hAnsi="Bookman Old Style"/>
          <w:i/>
          <w:iCs/>
        </w:rPr>
      </w:pPr>
      <w:r w:rsidRPr="001D5D7C">
        <w:rPr>
          <w:rFonts w:ascii="Bookman Old Style" w:hAnsi="Bookman Old Style"/>
          <w:i/>
          <w:iCs/>
          <w:shd w:val="clear" w:color="auto" w:fill="FFFFFF"/>
        </w:rPr>
        <w:t>“Respecto del primer problema jurídico, el del artículo 33 (numeral 2, literal c), la Corte consideró que la prohibición amplia y genérica impuesta por el Código Nacional de Policía y Convivencia no es razonable constitucionalmente, pues a pesar de buscar un fin que es imperioso (la tranquilidad y las relaciones respetuosas) lo hace a través de un medio que no es necesario para alcanzar dicho fin, y en ocasiones tampoco idóneo. La generalidad de la disposición, que invierte el principio de libertad, incluye en la prohibición casos para los que el medio no es idóneo, puesto que no hay siquiera riesgo de que se afecten los bienes protegidos. El medio no es necesario, en todo caso, por cuanto existen otros medios de policía en el mismo Código que permiten alcanzar los fines buscados sin imponer una amplia restricción a la libertad. La regla también es desproporcionada al dar amplísima protección a unos derechos e imponer cargas al libre desarrollo de la personalidad.”</w:t>
      </w:r>
      <w:r w:rsidRPr="001D5D7C">
        <w:rPr>
          <w:rStyle w:val="Refdenotaalpie"/>
          <w:rFonts w:ascii="Bookman Old Style" w:hAnsi="Bookman Old Style"/>
          <w:i/>
          <w:iCs/>
          <w:shd w:val="clear" w:color="auto" w:fill="FFFFFF"/>
        </w:rPr>
        <w:footnoteReference w:id="7"/>
      </w:r>
    </w:p>
    <w:p w14:paraId="7A517308" w14:textId="6A8A91A7" w:rsidR="00D318E3" w:rsidRPr="001D5D7C" w:rsidRDefault="00D318E3" w:rsidP="001D5D7C">
      <w:pPr>
        <w:jc w:val="both"/>
        <w:rPr>
          <w:rFonts w:ascii="Bookman Old Style" w:eastAsia="Calibri" w:hAnsi="Bookman Old Style"/>
        </w:rPr>
      </w:pPr>
    </w:p>
    <w:p w14:paraId="41C0D5DD" w14:textId="77777777" w:rsidR="002C010E" w:rsidRDefault="002C010E" w:rsidP="00D318E3">
      <w:pPr>
        <w:pStyle w:val="Prrafodelista"/>
        <w:numPr>
          <w:ilvl w:val="0"/>
          <w:numId w:val="44"/>
        </w:numPr>
        <w:jc w:val="both"/>
        <w:rPr>
          <w:rFonts w:ascii="Bookman Old Style" w:eastAsia="Calibri" w:hAnsi="Bookman Old Style"/>
        </w:rPr>
      </w:pPr>
      <w:r w:rsidRPr="002C010E">
        <w:rPr>
          <w:rFonts w:ascii="Bookman Old Style" w:eastAsia="Calibri" w:hAnsi="Bookman Old Style"/>
        </w:rPr>
        <w:t>Artículo 140. Comportamientos contrarios al cuidado e integridad del espacio público.</w:t>
      </w:r>
    </w:p>
    <w:p w14:paraId="140589D3" w14:textId="71E38DB9" w:rsidR="00D318E3" w:rsidRPr="001D5D7C" w:rsidRDefault="00D318E3" w:rsidP="001D5D7C">
      <w:pPr>
        <w:pStyle w:val="Prrafodelista"/>
        <w:jc w:val="both"/>
        <w:rPr>
          <w:rFonts w:ascii="Bookman Old Style" w:eastAsia="Calibri" w:hAnsi="Bookman Old Style"/>
        </w:rPr>
      </w:pPr>
      <w:r w:rsidRPr="001D5D7C">
        <w:rPr>
          <w:rFonts w:ascii="Bookman Old Style" w:hAnsi="Bookman Old Style" w:cs="Open Sans"/>
        </w:rPr>
        <w:t>7. &lt;Apartes tachados INEXEQUIBLES&gt; Consumir </w:t>
      </w:r>
      <w:r w:rsidRPr="001D5D7C">
        <w:rPr>
          <w:rStyle w:val="baj"/>
          <w:rFonts w:ascii="Bookman Old Style" w:hAnsi="Bookman Old Style" w:cs="Open Sans"/>
          <w:b/>
          <w:bCs/>
          <w:strike/>
        </w:rPr>
        <w:t>bebidas alcohólicas</w:t>
      </w:r>
      <w:r w:rsidRPr="001D5D7C">
        <w:rPr>
          <w:rFonts w:ascii="Bookman Old Style" w:hAnsi="Bookman Old Style" w:cs="Open Sans"/>
        </w:rPr>
        <w:t>, sustancias </w:t>
      </w:r>
      <w:r w:rsidRPr="001D5D7C">
        <w:rPr>
          <w:rStyle w:val="baj"/>
          <w:rFonts w:ascii="Bookman Old Style" w:hAnsi="Bookman Old Style" w:cs="Open Sans"/>
          <w:b/>
          <w:bCs/>
          <w:strike/>
        </w:rPr>
        <w:t>psicoactivas o</w:t>
      </w:r>
      <w:r w:rsidRPr="001D5D7C">
        <w:rPr>
          <w:rFonts w:ascii="Bookman Old Style" w:hAnsi="Bookman Old Style" w:cs="Open Sans"/>
        </w:rPr>
        <w:t xml:space="preserve"> prohibidas en estadios, coliseos, centros </w:t>
      </w:r>
      <w:r w:rsidRPr="001D5D7C">
        <w:rPr>
          <w:rFonts w:ascii="Bookman Old Style" w:hAnsi="Bookman Old Style" w:cs="Open Sans"/>
        </w:rPr>
        <w:lastRenderedPageBreak/>
        <w:t>deportivos, parques, hospitales, centros de salud y en general, en el espacio público, excepto en las actividades autorizadas por la autoridad competente.</w:t>
      </w:r>
    </w:p>
    <w:p w14:paraId="37EA8FB1" w14:textId="43B5A3A9" w:rsidR="00D318E3" w:rsidRPr="001D5D7C" w:rsidRDefault="00D318E3" w:rsidP="001D5D7C">
      <w:pPr>
        <w:jc w:val="both"/>
        <w:rPr>
          <w:rFonts w:ascii="Bookman Old Style" w:hAnsi="Bookman Old Style" w:cs="Open Sans"/>
        </w:rPr>
      </w:pPr>
    </w:p>
    <w:p w14:paraId="2A546E0D" w14:textId="0D492B1C" w:rsidR="00D318E3" w:rsidRPr="001D5D7C" w:rsidRDefault="002C010E" w:rsidP="001D5D7C">
      <w:pPr>
        <w:ind w:left="851" w:right="616"/>
        <w:jc w:val="both"/>
        <w:rPr>
          <w:rFonts w:ascii="Bookman Old Style" w:eastAsia="Calibri" w:hAnsi="Bookman Old Style"/>
          <w:i/>
          <w:iCs/>
        </w:rPr>
      </w:pPr>
      <w:r w:rsidRPr="001D5D7C">
        <w:rPr>
          <w:rFonts w:ascii="Bookman Old Style" w:hAnsi="Bookman Old Style"/>
          <w:i/>
          <w:iCs/>
          <w:shd w:val="clear" w:color="auto" w:fill="FFFFFF"/>
        </w:rPr>
        <w:t>“</w:t>
      </w:r>
      <w:r w:rsidR="00D318E3" w:rsidRPr="001D5D7C">
        <w:rPr>
          <w:rFonts w:ascii="Bookman Old Style" w:hAnsi="Bookman Old Style"/>
          <w:i/>
          <w:iCs/>
          <w:shd w:val="clear" w:color="auto" w:fill="FFFFFF"/>
        </w:rPr>
        <w:t>Con respecto al segundo problema jurídico, referente al artículo 140 (numeral 7), la Corte consideró que la prohibición impuesta por el Código Nacional de Policía y Convivencia, objeto de la acción de inconstitucionalidad, tampoco es razonable constitucionalmente. Al igual que en el problema anterior, se advirtió que el fin que se busca con la norma es imperioso (el cuidado y la integridad del espacio público). Pero en este caso ni siquiera se muestra por qué se considera que el medio es adecuado para alcanzar el fin buscado. No se advierte, ni se dan elementos de juicio que permitan establecer una relación clara de causalidad entre el consumo de las bebidas y las sustancias psicoactivas, en general, y la destrucción o irrespeto a la integridad del espacio público. En cualquier caso, los eventos en los que el consumo de las sustancias referidas podría llevar a destruir o afectar el espacio público, debe ser objeto de prevención y corrección por parte de la Policía, usando otros medios que el propio Código de Policía contempla y faculta.</w:t>
      </w:r>
      <w:r w:rsidRPr="001D5D7C">
        <w:rPr>
          <w:rFonts w:ascii="Bookman Old Style" w:hAnsi="Bookman Old Style"/>
          <w:i/>
          <w:iCs/>
          <w:shd w:val="clear" w:color="auto" w:fill="FFFFFF"/>
        </w:rPr>
        <w:t>”</w:t>
      </w:r>
      <w:r w:rsidRPr="001D5D7C">
        <w:rPr>
          <w:rStyle w:val="Refdenotaalpie"/>
          <w:rFonts w:ascii="Bookman Old Style" w:hAnsi="Bookman Old Style"/>
          <w:i/>
          <w:iCs/>
          <w:shd w:val="clear" w:color="auto" w:fill="FFFFFF"/>
        </w:rPr>
        <w:footnoteReference w:id="8"/>
      </w:r>
    </w:p>
    <w:p w14:paraId="042A3E2A" w14:textId="77777777" w:rsidR="00D318E3" w:rsidRPr="002C010E" w:rsidRDefault="00D318E3" w:rsidP="001D5D7C">
      <w:pPr>
        <w:jc w:val="both"/>
        <w:rPr>
          <w:rFonts w:ascii="Bookman Old Style" w:eastAsia="Calibri" w:hAnsi="Bookman Old Style"/>
        </w:rPr>
      </w:pPr>
    </w:p>
    <w:p w14:paraId="281BDFAB" w14:textId="68A9852F" w:rsidR="00F36280" w:rsidRPr="002C010E" w:rsidRDefault="00D318E3" w:rsidP="00D318E3">
      <w:pPr>
        <w:pStyle w:val="Ttulo2"/>
        <w:ind w:left="0"/>
        <w:jc w:val="both"/>
        <w:rPr>
          <w:rFonts w:ascii="Bookman Old Style" w:eastAsia="Calibri" w:hAnsi="Bookman Old Style" w:cs="Calibri"/>
          <w:b w:val="0"/>
          <w:sz w:val="22"/>
          <w:szCs w:val="22"/>
        </w:rPr>
      </w:pPr>
      <w:r w:rsidRPr="002C010E">
        <w:rPr>
          <w:rFonts w:ascii="Bookman Old Style" w:eastAsia="Calibri" w:hAnsi="Bookman Old Style" w:cs="Calibri"/>
          <w:b w:val="0"/>
          <w:sz w:val="22"/>
          <w:szCs w:val="22"/>
        </w:rPr>
        <w:t>Argumentos que s</w:t>
      </w:r>
      <w:r w:rsidR="00F36280" w:rsidRPr="002C010E">
        <w:rPr>
          <w:rFonts w:ascii="Bookman Old Style" w:eastAsia="Calibri" w:hAnsi="Bookman Old Style" w:cs="Calibri"/>
          <w:b w:val="0"/>
          <w:sz w:val="22"/>
          <w:szCs w:val="22"/>
        </w:rPr>
        <w:t>e enmarca</w:t>
      </w:r>
      <w:r w:rsidRPr="002C010E">
        <w:rPr>
          <w:rFonts w:ascii="Bookman Old Style" w:eastAsia="Calibri" w:hAnsi="Bookman Old Style" w:cs="Calibri"/>
          <w:b w:val="0"/>
          <w:sz w:val="22"/>
          <w:szCs w:val="22"/>
        </w:rPr>
        <w:t>n</w:t>
      </w:r>
      <w:r w:rsidR="00F36280" w:rsidRPr="002C010E">
        <w:rPr>
          <w:rFonts w:ascii="Bookman Old Style" w:eastAsia="Calibri" w:hAnsi="Bookman Old Style" w:cs="Calibri"/>
          <w:b w:val="0"/>
          <w:sz w:val="22"/>
          <w:szCs w:val="22"/>
        </w:rPr>
        <w:t xml:space="preserve"> en la ya enunciada línea jurisprudencial que identifica estos asuntos como propios de la órbita del individuo. </w:t>
      </w:r>
    </w:p>
    <w:p w14:paraId="50606163" w14:textId="30B4AD67" w:rsidR="00F36280" w:rsidRDefault="00F36280" w:rsidP="00F36280">
      <w:pPr>
        <w:jc w:val="both"/>
        <w:rPr>
          <w:rFonts w:ascii="Bookman Old Style" w:eastAsia="Calibri" w:hAnsi="Bookman Old Style" w:cs="Calibri"/>
          <w:szCs w:val="24"/>
        </w:rPr>
      </w:pPr>
    </w:p>
    <w:p w14:paraId="1E6D0E54" w14:textId="0FD28FFC" w:rsidR="00CE71F2" w:rsidRDefault="00CE71F2" w:rsidP="00F36280">
      <w:pPr>
        <w:jc w:val="both"/>
        <w:rPr>
          <w:rFonts w:ascii="Bookman Old Style" w:eastAsia="Calibri" w:hAnsi="Bookman Old Style" w:cs="Calibri"/>
          <w:szCs w:val="24"/>
        </w:rPr>
      </w:pPr>
      <w:r>
        <w:rPr>
          <w:rFonts w:ascii="Bookman Old Style" w:eastAsia="Calibri" w:hAnsi="Bookman Old Style" w:cs="Calibri"/>
          <w:szCs w:val="24"/>
        </w:rPr>
        <w:t>El consejo de Estado a su vez, en sentencia del 30 de abril de 2020, dentro del proceso de nulidad del Decreto 1844 de 2018</w:t>
      </w:r>
      <w:r w:rsidR="00497756">
        <w:rPr>
          <w:rFonts w:ascii="Bookman Old Style" w:eastAsia="Calibri" w:hAnsi="Bookman Old Style" w:cs="Calibri"/>
          <w:szCs w:val="24"/>
        </w:rPr>
        <w:t xml:space="preserve"> </w:t>
      </w:r>
      <w:r w:rsidR="00497756" w:rsidRPr="001D5D7C">
        <w:rPr>
          <w:rFonts w:ascii="Bookman Old Style" w:eastAsia="Calibri" w:hAnsi="Bookman Old Style" w:cs="Calibri"/>
          <w:i/>
          <w:iCs/>
          <w:szCs w:val="24"/>
        </w:rPr>
        <w:t>“Por medio del cual se adiciona el capítulo 9º del título 8º de la parte 2ª del libro 2º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w:t>
      </w:r>
      <w:r w:rsidR="00497756" w:rsidRPr="00497756">
        <w:rPr>
          <w:rFonts w:ascii="Bookman Old Style" w:eastAsia="Calibri" w:hAnsi="Bookman Old Style" w:cs="Calibri"/>
          <w:szCs w:val="24"/>
        </w:rPr>
        <w:t>”</w:t>
      </w:r>
      <w:r>
        <w:rPr>
          <w:rFonts w:ascii="Bookman Old Style" w:eastAsia="Calibri" w:hAnsi="Bookman Old Style" w:cs="Calibri"/>
          <w:szCs w:val="24"/>
        </w:rPr>
        <w:t>, determinó que el decreto es válido</w:t>
      </w:r>
      <w:r w:rsidR="00497756">
        <w:rPr>
          <w:rFonts w:ascii="Bookman Old Style" w:eastAsia="Calibri" w:hAnsi="Bookman Old Style" w:cs="Calibri"/>
          <w:szCs w:val="24"/>
        </w:rPr>
        <w:t xml:space="preserve"> condicionado</w:t>
      </w:r>
      <w:r w:rsidR="00A43FAE">
        <w:rPr>
          <w:rFonts w:ascii="Bookman Old Style" w:eastAsia="Calibri" w:hAnsi="Bookman Old Style" w:cs="Calibri"/>
          <w:szCs w:val="24"/>
        </w:rPr>
        <w:t>, en el entendido que:</w:t>
      </w:r>
    </w:p>
    <w:p w14:paraId="1BEA69BA" w14:textId="452CCBE9" w:rsidR="00A43FAE" w:rsidRDefault="00A43FAE" w:rsidP="00F36280">
      <w:pPr>
        <w:jc w:val="both"/>
        <w:rPr>
          <w:rFonts w:ascii="Bookman Old Style" w:eastAsia="Calibri" w:hAnsi="Bookman Old Style" w:cs="Calibri"/>
          <w:szCs w:val="24"/>
        </w:rPr>
      </w:pPr>
    </w:p>
    <w:p w14:paraId="6B940AC7" w14:textId="47395004" w:rsidR="00A43FAE" w:rsidRPr="001D5D7C" w:rsidRDefault="00A43FAE" w:rsidP="001D5D7C">
      <w:pPr>
        <w:widowControl/>
        <w:numPr>
          <w:ilvl w:val="0"/>
          <w:numId w:val="45"/>
        </w:numPr>
        <w:jc w:val="both"/>
        <w:rPr>
          <w:rFonts w:ascii="Bookman Old Style" w:hAnsi="Bookman Old Style" w:cs="Arial"/>
          <w:i/>
          <w:iCs/>
          <w:color w:val="000000"/>
        </w:rPr>
      </w:pPr>
      <w:r>
        <w:rPr>
          <w:rFonts w:ascii="Bookman Old Style" w:hAnsi="Bookman Old Style" w:cs="Arial"/>
          <w:i/>
          <w:iCs/>
          <w:color w:val="000000"/>
        </w:rPr>
        <w:t>“</w:t>
      </w:r>
      <w:r w:rsidRPr="001D5D7C">
        <w:rPr>
          <w:rFonts w:ascii="Bookman Old Style" w:hAnsi="Bookman Old Style" w:cs="Arial"/>
          <w:i/>
          <w:iCs/>
          <w:color w:val="000000"/>
        </w:rPr>
        <w:t>El acto demandado reglamenta el CNSCC respecto de los verbos de porte, tenencia y posesión de SPA, cuando esa conducta traspasa la esfera íntima del consumidor dado que se relaciona: </w:t>
      </w:r>
      <w:r w:rsidRPr="001D5D7C">
        <w:rPr>
          <w:rFonts w:ascii="Bookman Old Style" w:hAnsi="Bookman Old Style" w:cs="Arial"/>
          <w:b/>
          <w:bCs/>
          <w:i/>
          <w:iCs/>
          <w:color w:val="000000"/>
        </w:rPr>
        <w:t>i)</w:t>
      </w:r>
      <w:r w:rsidRPr="001D5D7C">
        <w:rPr>
          <w:rFonts w:ascii="Bookman Old Style" w:hAnsi="Bookman Old Style" w:cs="Arial"/>
          <w:i/>
          <w:iCs/>
          <w:color w:val="000000"/>
        </w:rPr>
        <w:t> con la comercialización y/o distribución de SPA, o </w:t>
      </w:r>
      <w:r w:rsidRPr="001D5D7C">
        <w:rPr>
          <w:rFonts w:ascii="Bookman Old Style" w:hAnsi="Bookman Old Style" w:cs="Arial"/>
          <w:b/>
          <w:bCs/>
          <w:i/>
          <w:iCs/>
          <w:color w:val="000000"/>
        </w:rPr>
        <w:t>ii)</w:t>
      </w:r>
      <w:r w:rsidRPr="001D5D7C">
        <w:rPr>
          <w:rFonts w:ascii="Bookman Old Style" w:hAnsi="Bookman Old Style" w:cs="Arial"/>
          <w:i/>
          <w:iCs/>
          <w:color w:val="000000"/>
        </w:rPr>
        <w:t> porque afecta los derechos de terceros y/o colectivos.</w:t>
      </w:r>
    </w:p>
    <w:p w14:paraId="130C96C5" w14:textId="77777777" w:rsidR="00A43FAE" w:rsidRDefault="00A43FAE" w:rsidP="001D5D7C">
      <w:pPr>
        <w:widowControl/>
        <w:ind w:left="720"/>
        <w:jc w:val="both"/>
        <w:rPr>
          <w:rFonts w:ascii="Bookman Old Style" w:hAnsi="Bookman Old Style" w:cs="Arial"/>
          <w:i/>
          <w:iCs/>
          <w:color w:val="000000"/>
        </w:rPr>
      </w:pPr>
    </w:p>
    <w:p w14:paraId="296E6C7B" w14:textId="4FC9FD70" w:rsidR="00A43FAE" w:rsidRPr="001D5D7C" w:rsidRDefault="00A43FAE" w:rsidP="001D5D7C">
      <w:pPr>
        <w:widowControl/>
        <w:numPr>
          <w:ilvl w:val="0"/>
          <w:numId w:val="46"/>
        </w:numPr>
        <w:jc w:val="both"/>
        <w:rPr>
          <w:rFonts w:ascii="Bookman Old Style" w:hAnsi="Bookman Old Style" w:cs="Arial"/>
          <w:i/>
          <w:iCs/>
          <w:color w:val="000000"/>
        </w:rPr>
      </w:pPr>
      <w:r w:rsidRPr="001D5D7C">
        <w:rPr>
          <w:rFonts w:ascii="Bookman Old Style" w:hAnsi="Bookman Old Style" w:cs="Arial"/>
          <w:i/>
          <w:iCs/>
          <w:color w:val="000000"/>
        </w:rPr>
        <w:t>Los miembros de la Policía Nacional harán uso del proceso verbal inmediato al que hace referencia la norma acusada únicamente cuando se requiera verificar que la dosis personal está siendo utilizada para fines distintos al consumo de quien la tiene en su poder, ante la existencia de evidencias en torno a que se está atentando contra los derechos de terceros o de la colectividad.</w:t>
      </w:r>
    </w:p>
    <w:p w14:paraId="71E0A85C" w14:textId="77777777" w:rsidR="00A43FAE" w:rsidRDefault="00A43FAE" w:rsidP="001D5D7C">
      <w:pPr>
        <w:widowControl/>
        <w:ind w:left="720"/>
        <w:jc w:val="both"/>
        <w:rPr>
          <w:rFonts w:ascii="Bookman Old Style" w:hAnsi="Bookman Old Style" w:cs="Arial"/>
          <w:i/>
          <w:iCs/>
          <w:color w:val="000000"/>
        </w:rPr>
      </w:pPr>
    </w:p>
    <w:p w14:paraId="0C446BA6" w14:textId="2FA9E82F" w:rsidR="00A43FAE" w:rsidRPr="001D5D7C" w:rsidRDefault="00A43FAE" w:rsidP="001D5D7C">
      <w:pPr>
        <w:widowControl/>
        <w:numPr>
          <w:ilvl w:val="0"/>
          <w:numId w:val="47"/>
        </w:numPr>
        <w:jc w:val="both"/>
        <w:rPr>
          <w:rFonts w:ascii="Bookman Old Style" w:hAnsi="Bookman Old Style" w:cs="Arial"/>
          <w:i/>
          <w:iCs/>
          <w:color w:val="000000"/>
        </w:rPr>
      </w:pPr>
      <w:r w:rsidRPr="001D5D7C">
        <w:rPr>
          <w:rFonts w:ascii="Bookman Old Style" w:hAnsi="Bookman Old Style" w:cs="Arial"/>
          <w:i/>
          <w:iCs/>
          <w:color w:val="000000"/>
        </w:rPr>
        <w:t xml:space="preserve">Conforme con lo señalado por la Corte Constitucional en la sentencia C-253 de 2019, los comportamientos previstos por los artículos 33 (literal c, numeral 2º) y 140 (numeral 7º) de la ley 1801, únicamente podrán ser corregidos por </w:t>
      </w:r>
      <w:r w:rsidRPr="001D5D7C">
        <w:rPr>
          <w:rFonts w:ascii="Bookman Old Style" w:hAnsi="Bookman Old Style" w:cs="Arial"/>
          <w:i/>
          <w:iCs/>
          <w:color w:val="000000"/>
        </w:rPr>
        <w:lastRenderedPageBreak/>
        <w:t>la Policía Nacional cuando las autoridades competentes fijen, “dentro de los límites que impone el orden constitucional” y de manera “razonable y proporcionada”, las circunstancias de modo, tiempo y lugar, en virtud de las cuales el acto de consumo de estupefacientes afecta el orden público.</w:t>
      </w:r>
      <w:r>
        <w:rPr>
          <w:rFonts w:ascii="Bookman Old Style" w:hAnsi="Bookman Old Style" w:cs="Arial"/>
          <w:i/>
          <w:iCs/>
          <w:color w:val="000000"/>
        </w:rPr>
        <w:t>”</w:t>
      </w:r>
      <w:r>
        <w:rPr>
          <w:rStyle w:val="Refdenotaalpie"/>
          <w:rFonts w:ascii="Bookman Old Style" w:hAnsi="Bookman Old Style" w:cs="Arial"/>
          <w:i/>
          <w:iCs/>
          <w:color w:val="000000"/>
        </w:rPr>
        <w:footnoteReference w:id="9"/>
      </w:r>
    </w:p>
    <w:p w14:paraId="7230FFB1" w14:textId="77777777" w:rsidR="00CE71F2" w:rsidRPr="00485CC5" w:rsidRDefault="00CE71F2" w:rsidP="00F36280">
      <w:pPr>
        <w:jc w:val="both"/>
        <w:rPr>
          <w:rFonts w:ascii="Bookman Old Style" w:eastAsia="Calibri" w:hAnsi="Bookman Old Style" w:cs="Calibri"/>
          <w:szCs w:val="24"/>
        </w:rPr>
      </w:pPr>
    </w:p>
    <w:p w14:paraId="1C84EAA2" w14:textId="76103238"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Esto nos lleva a concluir que en Colombia ha existido</w:t>
      </w:r>
      <w:r w:rsidR="00E52C4F">
        <w:rPr>
          <w:rFonts w:ascii="Bookman Old Style" w:eastAsia="Calibri" w:hAnsi="Bookman Old Style" w:cs="Calibri"/>
          <w:szCs w:val="24"/>
        </w:rPr>
        <w:t xml:space="preserve"> una pugna en lo que respecta al consumo de sustancias psicoactivas. Por un </w:t>
      </w:r>
      <w:r w:rsidR="00BE056A">
        <w:rPr>
          <w:rFonts w:ascii="Bookman Old Style" w:eastAsia="Calibri" w:hAnsi="Bookman Old Style" w:cs="Calibri"/>
          <w:szCs w:val="24"/>
        </w:rPr>
        <w:t>lado,</w:t>
      </w:r>
      <w:r w:rsidR="00E52C4F">
        <w:rPr>
          <w:rFonts w:ascii="Bookman Old Style" w:eastAsia="Calibri" w:hAnsi="Bookman Old Style" w:cs="Calibri"/>
          <w:szCs w:val="24"/>
        </w:rPr>
        <w:t xml:space="preserve"> el Gobierno ha sostenido y defendido</w:t>
      </w:r>
      <w:r w:rsidRPr="00485CC5">
        <w:rPr>
          <w:rFonts w:ascii="Bookman Old Style" w:eastAsia="Calibri" w:hAnsi="Bookman Old Style" w:cs="Calibri"/>
          <w:szCs w:val="24"/>
        </w:rPr>
        <w:t xml:space="preserve"> una</w:t>
      </w:r>
      <w:r w:rsidR="00E52C4F">
        <w:rPr>
          <w:rFonts w:ascii="Bookman Old Style" w:eastAsia="Calibri" w:hAnsi="Bookman Old Style" w:cs="Calibri"/>
          <w:szCs w:val="24"/>
        </w:rPr>
        <w:t xml:space="preserve"> aproximación</w:t>
      </w:r>
      <w:r w:rsidRPr="00485CC5">
        <w:rPr>
          <w:rFonts w:ascii="Bookman Old Style" w:eastAsia="Calibri" w:hAnsi="Bookman Old Style" w:cs="Calibri"/>
          <w:szCs w:val="24"/>
        </w:rPr>
        <w:t xml:space="preserve"> prohibicionista</w:t>
      </w:r>
      <w:r w:rsidR="00E52C4F">
        <w:rPr>
          <w:rFonts w:ascii="Bookman Old Style" w:eastAsia="Calibri" w:hAnsi="Bookman Old Style" w:cs="Calibri"/>
          <w:szCs w:val="24"/>
        </w:rPr>
        <w:t xml:space="preserve"> al tema</w:t>
      </w:r>
      <w:r w:rsidRPr="00485CC5">
        <w:rPr>
          <w:rFonts w:ascii="Bookman Old Style" w:eastAsia="Calibri" w:hAnsi="Bookman Old Style" w:cs="Calibri"/>
          <w:szCs w:val="24"/>
        </w:rPr>
        <w:t>,</w:t>
      </w:r>
      <w:r w:rsidR="00E52C4F">
        <w:rPr>
          <w:rFonts w:ascii="Bookman Old Style" w:eastAsia="Calibri" w:hAnsi="Bookman Old Style" w:cs="Calibri"/>
          <w:szCs w:val="24"/>
        </w:rPr>
        <w:t xml:space="preserve"> la cual se ha visto materializada en </w:t>
      </w:r>
      <w:r w:rsidR="00E52C4F" w:rsidRPr="00485CC5">
        <w:rPr>
          <w:rFonts w:ascii="Bookman Old Style" w:eastAsia="Calibri" w:hAnsi="Bookman Old Style" w:cs="Calibri"/>
          <w:szCs w:val="24"/>
        </w:rPr>
        <w:t xml:space="preserve">el Acto Legislativo 02 de 2009, el Código Nacional de Policía y el Decreto 1844 de 2018. </w:t>
      </w:r>
      <w:r w:rsidRPr="00485CC5">
        <w:rPr>
          <w:rFonts w:ascii="Bookman Old Style" w:eastAsia="Calibri" w:hAnsi="Bookman Old Style" w:cs="Calibri"/>
          <w:szCs w:val="24"/>
        </w:rPr>
        <w:t xml:space="preserve"> </w:t>
      </w:r>
      <w:r w:rsidR="00770D70">
        <w:rPr>
          <w:rFonts w:ascii="Bookman Old Style" w:eastAsia="Calibri" w:hAnsi="Bookman Old Style" w:cs="Calibri"/>
          <w:szCs w:val="24"/>
        </w:rPr>
        <w:t xml:space="preserve">Postura que se contrapone </w:t>
      </w:r>
      <w:r w:rsidR="00E52C4F">
        <w:rPr>
          <w:rFonts w:ascii="Bookman Old Style" w:eastAsia="Calibri" w:hAnsi="Bookman Old Style" w:cs="Calibri"/>
          <w:szCs w:val="24"/>
        </w:rPr>
        <w:t>las posiciones</w:t>
      </w:r>
      <w:r w:rsidRPr="00485CC5">
        <w:rPr>
          <w:rFonts w:ascii="Bookman Old Style" w:eastAsia="Calibri" w:hAnsi="Bookman Old Style" w:cs="Calibri"/>
          <w:szCs w:val="24"/>
        </w:rPr>
        <w:t xml:space="preserve"> reivindicatoria</w:t>
      </w:r>
      <w:r w:rsidR="00E52C4F">
        <w:rPr>
          <w:rFonts w:ascii="Bookman Old Style" w:eastAsia="Calibri" w:hAnsi="Bookman Old Style" w:cs="Calibri"/>
          <w:szCs w:val="24"/>
        </w:rPr>
        <w:t>s</w:t>
      </w:r>
      <w:r w:rsidRPr="00485CC5">
        <w:rPr>
          <w:rFonts w:ascii="Bookman Old Style" w:eastAsia="Calibri" w:hAnsi="Bookman Old Style" w:cs="Calibri"/>
          <w:szCs w:val="24"/>
        </w:rPr>
        <w:t xml:space="preserve"> de las libertades individuales</w:t>
      </w:r>
      <w:r w:rsidR="00E52C4F">
        <w:rPr>
          <w:rFonts w:ascii="Bookman Old Style" w:eastAsia="Calibri" w:hAnsi="Bookman Old Style" w:cs="Calibri"/>
          <w:szCs w:val="24"/>
        </w:rPr>
        <w:t xml:space="preserve"> que han asumido las altas cortes</w:t>
      </w:r>
      <w:r w:rsidRPr="00485CC5">
        <w:rPr>
          <w:rFonts w:ascii="Bookman Old Style" w:eastAsia="Calibri" w:hAnsi="Bookman Old Style" w:cs="Calibri"/>
          <w:szCs w:val="24"/>
        </w:rPr>
        <w:t xml:space="preserve">. </w:t>
      </w:r>
      <w:r w:rsidR="00770D70">
        <w:rPr>
          <w:rFonts w:ascii="Bookman Old Style" w:eastAsia="Calibri" w:hAnsi="Bookman Old Style" w:cs="Calibri"/>
          <w:szCs w:val="24"/>
        </w:rPr>
        <w:t>Los tribunales en Colombia han optado por</w:t>
      </w:r>
      <w:r w:rsidRPr="00485CC5">
        <w:rPr>
          <w:rFonts w:ascii="Bookman Old Style" w:eastAsia="Calibri" w:hAnsi="Bookman Old Style" w:cs="Calibri"/>
          <w:szCs w:val="24"/>
        </w:rPr>
        <w:t xml:space="preserve"> adoptar una</w:t>
      </w:r>
      <w:r w:rsidR="00770D70">
        <w:rPr>
          <w:rFonts w:ascii="Bookman Old Style" w:eastAsia="Calibri" w:hAnsi="Bookman Old Style" w:cs="Calibri"/>
          <w:szCs w:val="24"/>
        </w:rPr>
        <w:t xml:space="preserve"> aproximación al consumo</w:t>
      </w:r>
      <w:r w:rsidRPr="00485CC5">
        <w:rPr>
          <w:rFonts w:ascii="Bookman Old Style" w:eastAsia="Calibri" w:hAnsi="Bookman Old Style" w:cs="Calibri"/>
          <w:szCs w:val="24"/>
        </w:rPr>
        <w:t xml:space="preserve"> de drogas más humana, garantista y eficaz</w:t>
      </w:r>
      <w:r w:rsidR="00770D70">
        <w:rPr>
          <w:rFonts w:ascii="Bookman Old Style" w:eastAsia="Calibri" w:hAnsi="Bookman Old Style" w:cs="Calibri"/>
          <w:szCs w:val="24"/>
        </w:rPr>
        <w:t>, llegando</w:t>
      </w:r>
      <w:r w:rsidRPr="00485CC5">
        <w:rPr>
          <w:rFonts w:ascii="Bookman Old Style" w:eastAsia="Calibri" w:hAnsi="Bookman Old Style" w:cs="Calibri"/>
          <w:szCs w:val="24"/>
        </w:rPr>
        <w:t xml:space="preserve"> a permitir la dosis mínima, la dosis de aprovisionamiento y el derecho al libre consumo</w:t>
      </w:r>
      <w:r w:rsidR="00770D70">
        <w:rPr>
          <w:rFonts w:ascii="Bookman Old Style" w:eastAsia="Calibri" w:hAnsi="Bookman Old Style" w:cs="Calibri"/>
          <w:szCs w:val="24"/>
        </w:rPr>
        <w:t>. Esto, en defensa de los derechos fundamentales que han venido siendo vulnerados por las medidas adoptadas desde el ejecutivo.</w:t>
      </w:r>
      <w:r w:rsidRPr="00485CC5">
        <w:rPr>
          <w:rFonts w:ascii="Bookman Old Style" w:eastAsia="Calibri" w:hAnsi="Bookman Old Style" w:cs="Calibri"/>
          <w:szCs w:val="24"/>
        </w:rPr>
        <w:t xml:space="preserve"> </w:t>
      </w:r>
    </w:p>
    <w:p w14:paraId="33EBB5BF" w14:textId="77777777" w:rsidR="00F36280" w:rsidRPr="00485CC5" w:rsidRDefault="00F36280" w:rsidP="00F36280">
      <w:pPr>
        <w:jc w:val="both"/>
        <w:rPr>
          <w:rFonts w:ascii="Bookman Old Style" w:eastAsia="Calibri" w:hAnsi="Bookman Old Style" w:cs="Calibri"/>
          <w:szCs w:val="24"/>
        </w:rPr>
      </w:pPr>
    </w:p>
    <w:p w14:paraId="74A81F2C"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70C0E36D" w14:textId="77777777" w:rsidR="00F36280" w:rsidRDefault="00F36280" w:rsidP="00F36280">
      <w:pPr>
        <w:jc w:val="both"/>
        <w:rPr>
          <w:rFonts w:ascii="Bookman Old Style" w:eastAsia="Calibri" w:hAnsi="Bookman Old Style" w:cs="Calibri"/>
          <w:b/>
          <w:szCs w:val="24"/>
        </w:rPr>
      </w:pPr>
    </w:p>
    <w:p w14:paraId="7242DD1A" w14:textId="2EE15A98" w:rsidR="00780580" w:rsidRPr="00780580" w:rsidRDefault="00780580" w:rsidP="00780580">
      <w:pPr>
        <w:jc w:val="both"/>
        <w:rPr>
          <w:rFonts w:ascii="Bookman Old Style" w:eastAsia="Calibri" w:hAnsi="Bookman Old Style" w:cs="Calibri"/>
          <w:b/>
        </w:rPr>
      </w:pPr>
      <w:r w:rsidRPr="00780580">
        <w:rPr>
          <w:rFonts w:ascii="Bookman Old Style" w:eastAsia="Calibri" w:hAnsi="Bookman Old Style" w:cs="Calibri"/>
          <w:b/>
        </w:rPr>
        <w:t>4.2 POSTURA ACTUAL FRENTE AL USO DEL CANNABIS A NIVEL INTERNACIONAL</w:t>
      </w:r>
      <w:r w:rsidR="008D6C03">
        <w:rPr>
          <w:rFonts w:ascii="Bookman Old Style" w:eastAsia="Calibri" w:hAnsi="Bookman Old Style" w:cs="Calibri"/>
          <w:b/>
        </w:rPr>
        <w:t>.</w:t>
      </w:r>
    </w:p>
    <w:p w14:paraId="0A292835" w14:textId="77777777" w:rsidR="00780580" w:rsidRPr="00780580" w:rsidRDefault="00780580" w:rsidP="00780580">
      <w:pPr>
        <w:pStyle w:val="Sinespaciado"/>
        <w:rPr>
          <w:rFonts w:ascii="Bookman Old Style" w:eastAsia="Calibri" w:hAnsi="Bookman Old Style"/>
        </w:rPr>
      </w:pPr>
    </w:p>
    <w:p w14:paraId="67F8332C" w14:textId="77777777" w:rsidR="00780580" w:rsidRPr="00780580" w:rsidRDefault="00780580" w:rsidP="00780580">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cannabis como pioneros, en donde se puede encontrar un mercado legal con controles eficaces y eficientes. </w:t>
      </w:r>
    </w:p>
    <w:p w14:paraId="37D0087C" w14:textId="77777777" w:rsidR="00780580" w:rsidRPr="00780580" w:rsidRDefault="00780580" w:rsidP="00780580">
      <w:pPr>
        <w:jc w:val="both"/>
        <w:rPr>
          <w:rFonts w:ascii="Bookman Old Style" w:eastAsia="Calibri" w:hAnsi="Bookman Old Style"/>
        </w:rPr>
      </w:pPr>
    </w:p>
    <w:p w14:paraId="42E24D4C"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10"/>
      </w:r>
      <w:r w:rsidRPr="00780580">
        <w:rPr>
          <w:rFonts w:ascii="Bookman Old Style" w:eastAsia="Calibri" w:hAnsi="Bookman Old Style"/>
        </w:rPr>
        <w:t>:</w:t>
      </w:r>
      <w:r w:rsidRPr="00780580" w:rsidDel="002E290A">
        <w:rPr>
          <w:rFonts w:ascii="Bookman Old Style" w:eastAsia="Calibri" w:hAnsi="Bookman Old Style"/>
        </w:rPr>
        <w:t xml:space="preserve"> </w:t>
      </w:r>
    </w:p>
    <w:p w14:paraId="7EBC24B0" w14:textId="77777777" w:rsidR="00780580" w:rsidRPr="00780580" w:rsidRDefault="00780580" w:rsidP="00780580">
      <w:pPr>
        <w:jc w:val="both"/>
        <w:rPr>
          <w:rFonts w:ascii="Bookman Old Style" w:eastAsia="Calibri" w:hAnsi="Bookman Old Style"/>
        </w:rPr>
      </w:pPr>
    </w:p>
    <w:p w14:paraId="12D86A1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1. </w:t>
      </w:r>
    </w:p>
    <w:p w14:paraId="136B2C28"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189C3A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6D240F05" w14:textId="77777777" w:rsidR="00780580" w:rsidRPr="00780580" w:rsidRDefault="00780580" w:rsidP="00780580">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80580" w:rsidRPr="00780580" w14:paraId="14F5E0C0" w14:textId="77777777" w:rsidTr="00BC095F">
        <w:trPr>
          <w:trHeight w:val="20"/>
        </w:trPr>
        <w:tc>
          <w:tcPr>
            <w:tcW w:w="2978" w:type="dxa"/>
            <w:shd w:val="clear" w:color="auto" w:fill="BFBFBF" w:themeFill="background1" w:themeFillShade="BF"/>
            <w:vAlign w:val="center"/>
          </w:tcPr>
          <w:p w14:paraId="1B6130D9" w14:textId="77777777" w:rsidR="00780580" w:rsidRPr="00780580" w:rsidRDefault="00780580" w:rsidP="00BC095F">
            <w:pPr>
              <w:jc w:val="center"/>
              <w:rPr>
                <w:rFonts w:ascii="Bookman Old Style" w:hAnsi="Bookman Old Style"/>
                <w:b/>
              </w:rPr>
            </w:pPr>
            <w:r w:rsidRPr="00780580">
              <w:rPr>
                <w:rFonts w:ascii="Bookman Old Style" w:hAnsi="Bookman Old Style"/>
                <w:b/>
              </w:rPr>
              <w:lastRenderedPageBreak/>
              <w:t>URUGUAY</w:t>
            </w:r>
          </w:p>
        </w:tc>
        <w:tc>
          <w:tcPr>
            <w:tcW w:w="4111" w:type="dxa"/>
            <w:shd w:val="clear" w:color="auto" w:fill="BFBFBF" w:themeFill="background1" w:themeFillShade="BF"/>
            <w:vAlign w:val="center"/>
          </w:tcPr>
          <w:p w14:paraId="7A9BBC63" w14:textId="77777777" w:rsidR="00780580" w:rsidRPr="00780580" w:rsidRDefault="00780580" w:rsidP="00BC095F">
            <w:pPr>
              <w:jc w:val="center"/>
              <w:rPr>
                <w:rFonts w:ascii="Bookman Old Style" w:hAnsi="Bookman Old Style"/>
                <w:b/>
              </w:rPr>
            </w:pPr>
            <w:r w:rsidRPr="00780580">
              <w:rPr>
                <w:rFonts w:ascii="Bookman Old Style" w:hAnsi="Bookman Old Style"/>
                <w:b/>
              </w:rPr>
              <w:t>COLORADO – EEUU</w:t>
            </w:r>
          </w:p>
        </w:tc>
        <w:tc>
          <w:tcPr>
            <w:tcW w:w="2787" w:type="dxa"/>
            <w:shd w:val="clear" w:color="auto" w:fill="BFBFBF" w:themeFill="background1" w:themeFillShade="BF"/>
            <w:vAlign w:val="center"/>
          </w:tcPr>
          <w:p w14:paraId="43970DB6" w14:textId="77777777" w:rsidR="00780580" w:rsidRPr="00780580" w:rsidRDefault="00780580" w:rsidP="00BC095F">
            <w:pPr>
              <w:jc w:val="center"/>
              <w:rPr>
                <w:rFonts w:ascii="Bookman Old Style" w:hAnsi="Bookman Old Style"/>
                <w:b/>
              </w:rPr>
            </w:pPr>
            <w:r w:rsidRPr="00780580">
              <w:rPr>
                <w:rFonts w:ascii="Bookman Old Style" w:hAnsi="Bookman Old Style"/>
                <w:b/>
              </w:rPr>
              <w:t>CANADÁ</w:t>
            </w:r>
          </w:p>
        </w:tc>
      </w:tr>
      <w:tr w:rsidR="00780580" w:rsidRPr="00780580" w14:paraId="406ECADE" w14:textId="77777777" w:rsidTr="00BC095F">
        <w:trPr>
          <w:trHeight w:val="20"/>
        </w:trPr>
        <w:tc>
          <w:tcPr>
            <w:tcW w:w="9876" w:type="dxa"/>
            <w:gridSpan w:val="3"/>
            <w:shd w:val="clear" w:color="auto" w:fill="D9D9D9" w:themeFill="background1" w:themeFillShade="D9"/>
            <w:vAlign w:val="center"/>
          </w:tcPr>
          <w:p w14:paraId="37BBF33A"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Enfoque</w:t>
            </w:r>
          </w:p>
        </w:tc>
      </w:tr>
      <w:tr w:rsidR="00780580" w:rsidRPr="00780580" w14:paraId="2D5EB1E9" w14:textId="77777777" w:rsidTr="00BC095F">
        <w:trPr>
          <w:trHeight w:val="20"/>
        </w:trPr>
        <w:tc>
          <w:tcPr>
            <w:tcW w:w="2978" w:type="dxa"/>
            <w:vAlign w:val="center"/>
          </w:tcPr>
          <w:p w14:paraId="7569757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69CC801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655AEA2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6BD638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14333E6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0CED99C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23084F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6A6AABC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194C271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1985641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80580" w:rsidRPr="00780580" w14:paraId="25AF40BA" w14:textId="77777777" w:rsidTr="00BC095F">
        <w:trPr>
          <w:trHeight w:val="20"/>
        </w:trPr>
        <w:tc>
          <w:tcPr>
            <w:tcW w:w="9876" w:type="dxa"/>
            <w:gridSpan w:val="3"/>
            <w:shd w:val="clear" w:color="auto" w:fill="D9D9D9" w:themeFill="background1" w:themeFillShade="D9"/>
            <w:vAlign w:val="center"/>
          </w:tcPr>
          <w:p w14:paraId="24DBF769" w14:textId="77777777" w:rsidR="00780580" w:rsidRPr="00780580" w:rsidRDefault="00780580" w:rsidP="00BC095F">
            <w:pPr>
              <w:jc w:val="center"/>
              <w:rPr>
                <w:rFonts w:ascii="Bookman Old Style" w:hAnsi="Bookman Old Style"/>
                <w:b/>
                <w:i/>
              </w:rPr>
            </w:pPr>
            <w:r w:rsidRPr="00780580">
              <w:rPr>
                <w:rFonts w:ascii="Bookman Old Style" w:hAnsi="Bookman Old Style"/>
                <w:b/>
                <w:i/>
              </w:rPr>
              <w:t>Objetivos</w:t>
            </w:r>
          </w:p>
        </w:tc>
      </w:tr>
      <w:tr w:rsidR="00780580" w:rsidRPr="00780580" w14:paraId="61B6525D" w14:textId="77777777" w:rsidTr="00BC095F">
        <w:trPr>
          <w:trHeight w:val="20"/>
        </w:trPr>
        <w:tc>
          <w:tcPr>
            <w:tcW w:w="2978" w:type="dxa"/>
            <w:vAlign w:val="center"/>
          </w:tcPr>
          <w:p w14:paraId="4F52E14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39996C7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4DE2B48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0D34415D" w14:textId="77777777" w:rsidR="00780580" w:rsidRPr="00780580" w:rsidRDefault="00780580" w:rsidP="00BC095F">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28BC479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5A13CF5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450601C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127E88C8" w14:textId="77777777" w:rsidR="00780580" w:rsidRPr="00780580" w:rsidRDefault="00780580" w:rsidP="00BC095F">
            <w:pPr>
              <w:jc w:val="center"/>
              <w:rPr>
                <w:rFonts w:ascii="Bookman Old Style" w:hAnsi="Bookman Old Style" w:cs="Calibri"/>
              </w:rPr>
            </w:pPr>
          </w:p>
          <w:p w14:paraId="1B522C90" w14:textId="77777777" w:rsidR="00780580" w:rsidRPr="00780580" w:rsidRDefault="00780580" w:rsidP="00BC095F">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3A8443D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7F2C4DE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80580" w:rsidRPr="00780580" w14:paraId="727C83B8" w14:textId="77777777" w:rsidTr="00BC095F">
        <w:trPr>
          <w:trHeight w:val="20"/>
        </w:trPr>
        <w:tc>
          <w:tcPr>
            <w:tcW w:w="9876" w:type="dxa"/>
            <w:gridSpan w:val="3"/>
            <w:shd w:val="clear" w:color="auto" w:fill="D9D9D9" w:themeFill="background1" w:themeFillShade="D9"/>
            <w:vAlign w:val="center"/>
          </w:tcPr>
          <w:p w14:paraId="2A82AEE6" w14:textId="77777777" w:rsidR="00780580" w:rsidRPr="00780580" w:rsidRDefault="00780580" w:rsidP="00BC095F">
            <w:pPr>
              <w:jc w:val="center"/>
              <w:rPr>
                <w:rFonts w:ascii="Bookman Old Style" w:hAnsi="Bookman Old Style"/>
                <w:b/>
                <w:i/>
                <w:lang w:val="en-US"/>
              </w:rPr>
            </w:pPr>
            <w:r w:rsidRPr="00780580">
              <w:rPr>
                <w:rFonts w:ascii="Bookman Old Style" w:hAnsi="Bookman Old Style"/>
                <w:b/>
                <w:i/>
                <w:lang w:val="en-US"/>
              </w:rPr>
              <w:t>Entidad que regula</w:t>
            </w:r>
          </w:p>
        </w:tc>
      </w:tr>
      <w:tr w:rsidR="00780580" w:rsidRPr="00B91948" w14:paraId="2172FB4C" w14:textId="77777777" w:rsidTr="00BC095F">
        <w:trPr>
          <w:trHeight w:val="20"/>
        </w:trPr>
        <w:tc>
          <w:tcPr>
            <w:tcW w:w="2978" w:type="dxa"/>
            <w:vAlign w:val="center"/>
          </w:tcPr>
          <w:p w14:paraId="2DD625B4"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Instituto de Regulación y Control de Cannabis (IRCCA). Ministerio de Salud Pública.</w:t>
            </w:r>
          </w:p>
        </w:tc>
        <w:tc>
          <w:tcPr>
            <w:tcW w:w="4111" w:type="dxa"/>
            <w:vAlign w:val="center"/>
          </w:tcPr>
          <w:p w14:paraId="0B71279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Marijuana Enforcement Division/ División de Aplicación de la Ley sobre Marihuana.</w:t>
            </w:r>
          </w:p>
          <w:p w14:paraId="0F094E8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7315ABF6" w14:textId="77777777" w:rsidR="00780580" w:rsidRPr="00780580" w:rsidRDefault="00780580" w:rsidP="00BC095F">
            <w:pPr>
              <w:jc w:val="both"/>
              <w:rPr>
                <w:rFonts w:ascii="Bookman Old Style" w:hAnsi="Bookman Old Style"/>
                <w:lang w:val="en-US"/>
              </w:rPr>
            </w:pPr>
            <w:r w:rsidRPr="00780580">
              <w:rPr>
                <w:rFonts w:ascii="Bookman Old Style" w:hAnsi="Bookman Old Style"/>
                <w:lang w:val="en-US"/>
              </w:rPr>
              <w:t>Access to Cannabis for Medical Purposes Regulations (ACMPR) del Ministerio de Salud Canadiense (Health Canada).</w:t>
            </w:r>
          </w:p>
        </w:tc>
      </w:tr>
      <w:tr w:rsidR="00780580" w:rsidRPr="00780580" w14:paraId="75DB5D1B" w14:textId="77777777" w:rsidTr="00BC095F">
        <w:trPr>
          <w:trHeight w:val="20"/>
        </w:trPr>
        <w:tc>
          <w:tcPr>
            <w:tcW w:w="9876" w:type="dxa"/>
            <w:gridSpan w:val="3"/>
            <w:shd w:val="clear" w:color="auto" w:fill="D9D9D9" w:themeFill="background1" w:themeFillShade="D9"/>
            <w:vAlign w:val="center"/>
          </w:tcPr>
          <w:p w14:paraId="531F610F" w14:textId="77777777" w:rsidR="00780580" w:rsidRPr="00780580" w:rsidRDefault="00780580" w:rsidP="00BC095F">
            <w:pPr>
              <w:jc w:val="center"/>
              <w:rPr>
                <w:rFonts w:ascii="Bookman Old Style" w:hAnsi="Bookman Old Style"/>
              </w:rPr>
            </w:pPr>
            <w:r w:rsidRPr="00780580">
              <w:rPr>
                <w:rFonts w:ascii="Bookman Old Style" w:hAnsi="Bookman Old Style"/>
                <w:b/>
                <w:i/>
              </w:rPr>
              <w:t>Distribución</w:t>
            </w:r>
          </w:p>
        </w:tc>
      </w:tr>
      <w:tr w:rsidR="00780580" w:rsidRPr="00780580" w14:paraId="49658D5C" w14:textId="77777777" w:rsidTr="00BC095F">
        <w:trPr>
          <w:trHeight w:val="20"/>
        </w:trPr>
        <w:tc>
          <w:tcPr>
            <w:tcW w:w="2978" w:type="dxa"/>
            <w:vAlign w:val="center"/>
          </w:tcPr>
          <w:p w14:paraId="7B8FBAC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público y privado.</w:t>
            </w:r>
          </w:p>
          <w:p w14:paraId="53FD93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42011D7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FD35F7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B01B21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B1A0B19"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3128A9C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00052BB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16A630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80580" w:rsidRPr="00780580" w14:paraId="35B0BDAB" w14:textId="77777777" w:rsidTr="00BC095F">
        <w:trPr>
          <w:trHeight w:val="20"/>
        </w:trPr>
        <w:tc>
          <w:tcPr>
            <w:tcW w:w="9876" w:type="dxa"/>
            <w:gridSpan w:val="3"/>
            <w:shd w:val="clear" w:color="auto" w:fill="D9D9D9" w:themeFill="background1" w:themeFillShade="D9"/>
            <w:vAlign w:val="center"/>
          </w:tcPr>
          <w:p w14:paraId="57ECE24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Establecimientos de venta</w:t>
            </w:r>
          </w:p>
        </w:tc>
      </w:tr>
      <w:tr w:rsidR="00780580" w:rsidRPr="00780580" w14:paraId="085E8F81" w14:textId="77777777" w:rsidTr="00BC095F">
        <w:trPr>
          <w:trHeight w:val="20"/>
        </w:trPr>
        <w:tc>
          <w:tcPr>
            <w:tcW w:w="2978" w:type="dxa"/>
            <w:vAlign w:val="center"/>
          </w:tcPr>
          <w:p w14:paraId="58690BB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 acreditadas en el registro del IRCCA.</w:t>
            </w:r>
          </w:p>
          <w:p w14:paraId="50F3F12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 registrados en el IRCCA.</w:t>
            </w:r>
          </w:p>
        </w:tc>
        <w:tc>
          <w:tcPr>
            <w:tcW w:w="4111" w:type="dxa"/>
            <w:vAlign w:val="center"/>
          </w:tcPr>
          <w:p w14:paraId="397663EB" w14:textId="77777777" w:rsidR="00780580" w:rsidRPr="00780580" w:rsidRDefault="00780580" w:rsidP="00BC095F">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0DE3FB8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E36072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79BCF5BF" w14:textId="77777777" w:rsidR="00780580" w:rsidRPr="00780580" w:rsidRDefault="00780580" w:rsidP="00BC095F">
            <w:pPr>
              <w:rPr>
                <w:rFonts w:ascii="Bookman Old Style" w:hAnsi="Bookman Old Style"/>
              </w:rPr>
            </w:pPr>
          </w:p>
          <w:p w14:paraId="612CA263" w14:textId="77777777" w:rsidR="00780580" w:rsidRPr="00780580" w:rsidRDefault="00780580" w:rsidP="00BC095F">
            <w:pPr>
              <w:rPr>
                <w:rFonts w:ascii="Bookman Old Style" w:hAnsi="Bookman Old Style"/>
              </w:rPr>
            </w:pPr>
          </w:p>
        </w:tc>
      </w:tr>
      <w:tr w:rsidR="00780580" w:rsidRPr="00780580" w14:paraId="4765454E" w14:textId="77777777" w:rsidTr="00BC095F">
        <w:trPr>
          <w:trHeight w:val="20"/>
        </w:trPr>
        <w:tc>
          <w:tcPr>
            <w:tcW w:w="9876" w:type="dxa"/>
            <w:gridSpan w:val="3"/>
            <w:shd w:val="clear" w:color="auto" w:fill="D9D9D9" w:themeFill="background1" w:themeFillShade="D9"/>
            <w:vAlign w:val="center"/>
          </w:tcPr>
          <w:p w14:paraId="2EB3EBAE"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Edad permitida</w:t>
            </w:r>
          </w:p>
        </w:tc>
      </w:tr>
      <w:tr w:rsidR="00780580" w:rsidRPr="00780580" w14:paraId="1734E91B" w14:textId="77777777" w:rsidTr="00BC095F">
        <w:trPr>
          <w:trHeight w:val="20"/>
        </w:trPr>
        <w:tc>
          <w:tcPr>
            <w:tcW w:w="2978" w:type="dxa"/>
            <w:vAlign w:val="center"/>
          </w:tcPr>
          <w:p w14:paraId="1320AC09" w14:textId="77777777" w:rsidR="00780580" w:rsidRPr="00780580" w:rsidRDefault="00780580" w:rsidP="00BC095F">
            <w:pPr>
              <w:jc w:val="center"/>
              <w:rPr>
                <w:rFonts w:ascii="Bookman Old Style" w:hAnsi="Bookman Old Style"/>
              </w:rPr>
            </w:pPr>
            <w:r w:rsidRPr="00780580">
              <w:rPr>
                <w:rFonts w:ascii="Bookman Old Style" w:hAnsi="Bookman Old Style"/>
              </w:rPr>
              <w:t>18 años</w:t>
            </w:r>
          </w:p>
        </w:tc>
        <w:tc>
          <w:tcPr>
            <w:tcW w:w="4111" w:type="dxa"/>
            <w:vAlign w:val="center"/>
          </w:tcPr>
          <w:p w14:paraId="6774A1EB" w14:textId="77777777" w:rsidR="00780580" w:rsidRPr="00780580" w:rsidRDefault="00780580" w:rsidP="00BC095F">
            <w:pPr>
              <w:jc w:val="center"/>
              <w:rPr>
                <w:rFonts w:ascii="Bookman Old Style" w:hAnsi="Bookman Old Style"/>
              </w:rPr>
            </w:pPr>
            <w:r w:rsidRPr="00780580">
              <w:rPr>
                <w:rFonts w:ascii="Bookman Old Style" w:hAnsi="Bookman Old Style"/>
              </w:rPr>
              <w:t>21 años</w:t>
            </w:r>
          </w:p>
        </w:tc>
        <w:tc>
          <w:tcPr>
            <w:tcW w:w="2787" w:type="dxa"/>
            <w:vAlign w:val="center"/>
          </w:tcPr>
          <w:p w14:paraId="0074AD9C" w14:textId="77777777" w:rsidR="00780580" w:rsidRPr="00780580" w:rsidRDefault="00780580" w:rsidP="00BC095F">
            <w:pPr>
              <w:jc w:val="center"/>
              <w:rPr>
                <w:rFonts w:ascii="Bookman Old Style" w:hAnsi="Bookman Old Style"/>
              </w:rPr>
            </w:pPr>
            <w:r w:rsidRPr="00780580">
              <w:rPr>
                <w:rFonts w:ascii="Bookman Old Style" w:hAnsi="Bookman Old Style"/>
              </w:rPr>
              <w:t>18 a 21 años según la provincia</w:t>
            </w:r>
          </w:p>
        </w:tc>
      </w:tr>
      <w:tr w:rsidR="00780580" w:rsidRPr="00780580" w14:paraId="0BF7831E" w14:textId="77777777" w:rsidTr="00BC095F">
        <w:trPr>
          <w:trHeight w:val="20"/>
        </w:trPr>
        <w:tc>
          <w:tcPr>
            <w:tcW w:w="9876" w:type="dxa"/>
            <w:gridSpan w:val="3"/>
            <w:shd w:val="clear" w:color="auto" w:fill="D9D9D9" w:themeFill="background1" w:themeFillShade="D9"/>
            <w:vAlign w:val="center"/>
          </w:tcPr>
          <w:p w14:paraId="63DF6376" w14:textId="77777777" w:rsidR="00780580" w:rsidRPr="00780580" w:rsidRDefault="00780580" w:rsidP="00BC095F">
            <w:pPr>
              <w:jc w:val="center"/>
              <w:rPr>
                <w:rFonts w:ascii="Bookman Old Style" w:hAnsi="Bookman Old Style"/>
              </w:rPr>
            </w:pPr>
            <w:r w:rsidRPr="00780580">
              <w:rPr>
                <w:rFonts w:ascii="Bookman Old Style" w:hAnsi="Bookman Old Style"/>
                <w:b/>
                <w:i/>
              </w:rPr>
              <w:t>Registro</w:t>
            </w:r>
          </w:p>
        </w:tc>
      </w:tr>
      <w:tr w:rsidR="00780580" w:rsidRPr="00780580" w14:paraId="082DD968" w14:textId="77777777" w:rsidTr="00BC095F">
        <w:trPr>
          <w:trHeight w:val="20"/>
        </w:trPr>
        <w:tc>
          <w:tcPr>
            <w:tcW w:w="2978" w:type="dxa"/>
            <w:vAlign w:val="center"/>
          </w:tcPr>
          <w:p w14:paraId="316DDE9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Registro de cultivos en el IRCCA (Datos de carácter sensible).</w:t>
            </w:r>
          </w:p>
          <w:p w14:paraId="5F00B4F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392A984F" w14:textId="66637AD7" w:rsidR="00780580" w:rsidRPr="00780580" w:rsidRDefault="00780580" w:rsidP="00BC095F">
            <w:pPr>
              <w:jc w:val="both"/>
              <w:rPr>
                <w:rFonts w:ascii="Bookman Old Style" w:hAnsi="Bookman Old Style"/>
              </w:rPr>
            </w:pPr>
            <w:r w:rsidRPr="00780580">
              <w:rPr>
                <w:rFonts w:ascii="Bookman Old Style" w:eastAsia="Calibri" w:hAnsi="Bookman Old Style" w:cs="Calibri"/>
              </w:rPr>
              <w:t xml:space="preserve">No se permite según la </w:t>
            </w:r>
            <w:r w:rsidR="002548C6" w:rsidRPr="00780580">
              <w:rPr>
                <w:rFonts w:ascii="Bookman Old Style" w:eastAsia="Calibri" w:hAnsi="Bookman Old Style" w:cs="Calibri"/>
              </w:rPr>
              <w:t>ley,</w:t>
            </w:r>
            <w:r w:rsidRPr="00780580">
              <w:rPr>
                <w:rFonts w:ascii="Bookman Old Style" w:eastAsia="Calibri" w:hAnsi="Bookman Old Style" w:cs="Calibri"/>
              </w:rPr>
              <w:t xml:space="preserve"> pero están obligados a instalar cámaras que registren la identidad de vendedor y comprador.</w:t>
            </w:r>
          </w:p>
        </w:tc>
        <w:tc>
          <w:tcPr>
            <w:tcW w:w="2787" w:type="dxa"/>
            <w:vAlign w:val="center"/>
          </w:tcPr>
          <w:p w14:paraId="3221D3D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56C96B7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80580" w:rsidRPr="00780580" w14:paraId="536A7B85" w14:textId="77777777" w:rsidTr="00BC095F">
        <w:trPr>
          <w:trHeight w:val="20"/>
        </w:trPr>
        <w:tc>
          <w:tcPr>
            <w:tcW w:w="9876" w:type="dxa"/>
            <w:gridSpan w:val="3"/>
            <w:shd w:val="clear" w:color="auto" w:fill="D9D9D9" w:themeFill="background1" w:themeFillShade="D9"/>
            <w:vAlign w:val="center"/>
          </w:tcPr>
          <w:p w14:paraId="61FA1E55"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Publicidad</w:t>
            </w:r>
          </w:p>
        </w:tc>
      </w:tr>
      <w:tr w:rsidR="00780580" w:rsidRPr="00780580" w14:paraId="5B64B303" w14:textId="77777777" w:rsidTr="00BC095F">
        <w:trPr>
          <w:trHeight w:val="20"/>
        </w:trPr>
        <w:tc>
          <w:tcPr>
            <w:tcW w:w="2978" w:type="dxa"/>
            <w:vAlign w:val="center"/>
          </w:tcPr>
          <w:p w14:paraId="37117296"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c>
          <w:tcPr>
            <w:tcW w:w="4111" w:type="dxa"/>
            <w:vAlign w:val="center"/>
          </w:tcPr>
          <w:p w14:paraId="3365B318" w14:textId="77777777" w:rsidR="00780580" w:rsidRPr="00780580" w:rsidRDefault="00780580" w:rsidP="00BC095F">
            <w:pPr>
              <w:jc w:val="center"/>
              <w:rPr>
                <w:rFonts w:ascii="Bookman Old Style" w:hAnsi="Bookman Old Style"/>
              </w:rPr>
            </w:pPr>
            <w:r w:rsidRPr="00780580">
              <w:rPr>
                <w:rFonts w:ascii="Bookman Old Style" w:hAnsi="Bookman Old Style"/>
              </w:rPr>
              <w:t>Regulada</w:t>
            </w:r>
          </w:p>
        </w:tc>
        <w:tc>
          <w:tcPr>
            <w:tcW w:w="2787" w:type="dxa"/>
            <w:vAlign w:val="center"/>
          </w:tcPr>
          <w:p w14:paraId="5F9467F3"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r>
      <w:tr w:rsidR="00780580" w:rsidRPr="00780580" w14:paraId="10DAB3BF" w14:textId="77777777" w:rsidTr="00BC095F">
        <w:trPr>
          <w:trHeight w:val="20"/>
        </w:trPr>
        <w:tc>
          <w:tcPr>
            <w:tcW w:w="9876" w:type="dxa"/>
            <w:gridSpan w:val="3"/>
            <w:shd w:val="clear" w:color="auto" w:fill="D9D9D9" w:themeFill="background1" w:themeFillShade="D9"/>
            <w:vAlign w:val="center"/>
          </w:tcPr>
          <w:p w14:paraId="41345CD8" w14:textId="77777777" w:rsidR="00780580" w:rsidRPr="00780580" w:rsidRDefault="00780580" w:rsidP="00BC095F">
            <w:pPr>
              <w:jc w:val="center"/>
              <w:rPr>
                <w:rFonts w:ascii="Bookman Old Style" w:hAnsi="Bookman Old Style"/>
                <w:b/>
                <w:i/>
              </w:rPr>
            </w:pPr>
            <w:r w:rsidRPr="00780580">
              <w:rPr>
                <w:rFonts w:ascii="Bookman Old Style" w:hAnsi="Bookman Old Style"/>
                <w:b/>
                <w:i/>
              </w:rPr>
              <w:t>Fiscalidad</w:t>
            </w:r>
          </w:p>
        </w:tc>
      </w:tr>
      <w:tr w:rsidR="00780580" w:rsidRPr="00780580" w14:paraId="46C8E17A" w14:textId="77777777" w:rsidTr="00BC095F">
        <w:trPr>
          <w:trHeight w:val="20"/>
        </w:trPr>
        <w:tc>
          <w:tcPr>
            <w:tcW w:w="2978" w:type="dxa"/>
            <w:vAlign w:val="center"/>
          </w:tcPr>
          <w:p w14:paraId="312E61BB"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5B681760"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4355B2E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9BD8A3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r w:rsidRPr="00780580">
              <w:rPr>
                <w:rFonts w:ascii="Bookman Old Style" w:eastAsia="Calibri" w:hAnsi="Bookman Old Style" w:cs="Calibri"/>
                <w:b w:val="0"/>
                <w:i/>
                <w:sz w:val="22"/>
                <w:szCs w:val="22"/>
              </w:rPr>
              <w:t>Excise taxes):</w:t>
            </w:r>
            <w:r w:rsidRPr="00780580">
              <w:rPr>
                <w:rFonts w:ascii="Bookman Old Style" w:eastAsia="Calibri" w:hAnsi="Bookman Old Style" w:cs="Calibri"/>
                <w:b w:val="0"/>
                <w:sz w:val="22"/>
                <w:szCs w:val="22"/>
              </w:rPr>
              <w:t xml:space="preserve"> 15% IVA especial</w:t>
            </w:r>
          </w:p>
          <w:p w14:paraId="076BECD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(Sales tax):</w:t>
            </w:r>
            <w:r w:rsidRPr="00780580">
              <w:rPr>
                <w:rFonts w:ascii="Bookman Old Style" w:eastAsia="Calibri" w:hAnsi="Bookman Old Style" w:cs="Calibri"/>
                <w:b w:val="0"/>
                <w:sz w:val="22"/>
                <w:szCs w:val="22"/>
              </w:rPr>
              <w:t xml:space="preserve"> 10%</w:t>
            </w:r>
          </w:p>
          <w:p w14:paraId="526AE3C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69B12F0B" w14:textId="77777777" w:rsidR="00780580" w:rsidRPr="00780580" w:rsidRDefault="00780580" w:rsidP="00BC095F">
            <w:pPr>
              <w:rPr>
                <w:rFonts w:ascii="Bookman Old Style" w:hAnsi="Bookman Old Style"/>
              </w:rPr>
            </w:pPr>
            <w:r w:rsidRPr="00780580">
              <w:rPr>
                <w:rFonts w:ascii="Bookman Old Style" w:hAnsi="Bookman Old Style"/>
              </w:rPr>
              <w:t>Existen dos tipos de impuestos:</w:t>
            </w:r>
          </w:p>
          <w:p w14:paraId="4D66AC76" w14:textId="77777777" w:rsidR="00780580" w:rsidRPr="00780580" w:rsidRDefault="00780580" w:rsidP="00BC095F">
            <w:pPr>
              <w:jc w:val="center"/>
              <w:rPr>
                <w:rFonts w:ascii="Bookman Old Style" w:hAnsi="Bookman Old Style"/>
              </w:rPr>
            </w:pPr>
          </w:p>
          <w:p w14:paraId="76F3012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63814B81" w14:textId="77777777" w:rsidR="00780580" w:rsidRPr="00780580" w:rsidRDefault="00780580" w:rsidP="00BC095F">
            <w:pPr>
              <w:jc w:val="center"/>
              <w:rPr>
                <w:rFonts w:ascii="Bookman Old Style" w:hAnsi="Bookman Old Style"/>
              </w:rPr>
            </w:pPr>
          </w:p>
          <w:p w14:paraId="723A6F3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80580" w:rsidRPr="00780580" w14:paraId="545E03E9" w14:textId="77777777" w:rsidTr="00BC095F">
        <w:trPr>
          <w:trHeight w:val="20"/>
        </w:trPr>
        <w:tc>
          <w:tcPr>
            <w:tcW w:w="9876" w:type="dxa"/>
            <w:gridSpan w:val="3"/>
            <w:shd w:val="clear" w:color="auto" w:fill="D9D9D9" w:themeFill="background1" w:themeFillShade="D9"/>
            <w:vAlign w:val="center"/>
          </w:tcPr>
          <w:p w14:paraId="237ED92B" w14:textId="77777777" w:rsidR="00780580" w:rsidRPr="00780580" w:rsidRDefault="00780580" w:rsidP="00BC095F">
            <w:pPr>
              <w:jc w:val="center"/>
              <w:rPr>
                <w:rFonts w:ascii="Bookman Old Style" w:hAnsi="Bookman Old Style"/>
                <w:b/>
                <w:i/>
              </w:rPr>
            </w:pPr>
            <w:r w:rsidRPr="00780580">
              <w:rPr>
                <w:rFonts w:ascii="Bookman Old Style" w:hAnsi="Bookman Old Style"/>
                <w:b/>
                <w:i/>
              </w:rPr>
              <w:t>Destinación de recursos recaudados</w:t>
            </w:r>
          </w:p>
        </w:tc>
      </w:tr>
      <w:tr w:rsidR="00780580" w:rsidRPr="00780580" w14:paraId="5E5BF6C3" w14:textId="77777777" w:rsidTr="00BC095F">
        <w:trPr>
          <w:trHeight w:val="20"/>
        </w:trPr>
        <w:tc>
          <w:tcPr>
            <w:tcW w:w="2978" w:type="dxa"/>
            <w:vAlign w:val="center"/>
          </w:tcPr>
          <w:p w14:paraId="35C8F1D0"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Sistema educativo y Sistema de salud.</w:t>
            </w:r>
          </w:p>
        </w:tc>
        <w:tc>
          <w:tcPr>
            <w:tcW w:w="4111" w:type="dxa"/>
            <w:vAlign w:val="center"/>
          </w:tcPr>
          <w:p w14:paraId="78F18F2D"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660EB0A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Marihuana Cash Fund</w:t>
            </w:r>
            <w:r w:rsidRPr="00780580">
              <w:rPr>
                <w:rFonts w:ascii="Bookman Old Style" w:eastAsia="Calibri" w:hAnsi="Bookman Old Style" w:cs="Calibri"/>
                <w:b w:val="0"/>
                <w:sz w:val="22"/>
                <w:szCs w:val="22"/>
              </w:rPr>
              <w:t>).</w:t>
            </w:r>
          </w:p>
        </w:tc>
        <w:tc>
          <w:tcPr>
            <w:tcW w:w="2787" w:type="dxa"/>
            <w:vAlign w:val="center"/>
          </w:tcPr>
          <w:p w14:paraId="5C9BC185" w14:textId="77777777" w:rsidR="00780580" w:rsidRPr="00780580" w:rsidRDefault="00780580" w:rsidP="00BC095F">
            <w:pPr>
              <w:jc w:val="both"/>
              <w:rPr>
                <w:rFonts w:ascii="Bookman Old Style" w:hAnsi="Bookman Old Style"/>
              </w:rPr>
            </w:pPr>
            <w:r w:rsidRPr="00780580">
              <w:rPr>
                <w:rFonts w:ascii="Bookman Old Style" w:hAnsi="Bookman Old Style"/>
              </w:rPr>
              <w:t>No se ha establecido destinación específica.</w:t>
            </w:r>
          </w:p>
        </w:tc>
      </w:tr>
      <w:tr w:rsidR="00780580" w:rsidRPr="00780580" w14:paraId="3FA53596" w14:textId="77777777" w:rsidTr="00BC095F">
        <w:trPr>
          <w:trHeight w:val="20"/>
        </w:trPr>
        <w:tc>
          <w:tcPr>
            <w:tcW w:w="9876" w:type="dxa"/>
            <w:gridSpan w:val="3"/>
            <w:shd w:val="clear" w:color="auto" w:fill="D9D9D9" w:themeFill="background1" w:themeFillShade="D9"/>
            <w:vAlign w:val="center"/>
          </w:tcPr>
          <w:p w14:paraId="091682D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Prevención</w:t>
            </w:r>
          </w:p>
        </w:tc>
      </w:tr>
      <w:tr w:rsidR="00780580" w:rsidRPr="00780580" w14:paraId="76D14D72" w14:textId="77777777" w:rsidTr="00BC095F">
        <w:trPr>
          <w:trHeight w:val="20"/>
        </w:trPr>
        <w:tc>
          <w:tcPr>
            <w:tcW w:w="2978" w:type="dxa"/>
            <w:vAlign w:val="center"/>
          </w:tcPr>
          <w:p w14:paraId="40059508"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31333012"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3C7E60D" w14:textId="77777777" w:rsidR="00780580" w:rsidRPr="00780580" w:rsidRDefault="00780580" w:rsidP="00BC095F">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6950E9E" w14:textId="118382A0" w:rsidR="00780580" w:rsidRPr="006127F0" w:rsidRDefault="00780580" w:rsidP="00780580">
      <w:pPr>
        <w:ind w:left="-426"/>
        <w:rPr>
          <w:rFonts w:ascii="Bookman Old Style" w:eastAsia="Calibri" w:hAnsi="Bookman Old Style" w:cs="Calibri"/>
          <w:i/>
          <w:iCs/>
          <w:sz w:val="20"/>
          <w:szCs w:val="20"/>
        </w:rPr>
      </w:pPr>
    </w:p>
    <w:p w14:paraId="0AC24B7E" w14:textId="77777777" w:rsidR="00AF62CD" w:rsidRPr="00780580" w:rsidRDefault="00AF62CD" w:rsidP="00780580">
      <w:pPr>
        <w:ind w:left="-426"/>
        <w:rPr>
          <w:rFonts w:ascii="Bookman Old Style" w:eastAsia="Calibri" w:hAnsi="Bookman Old Style" w:cs="Calibri"/>
        </w:rPr>
      </w:pPr>
    </w:p>
    <w:p w14:paraId="2F5E9526"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lastRenderedPageBreak/>
        <w:t xml:space="preserve">Tabla 2. </w:t>
      </w:r>
    </w:p>
    <w:p w14:paraId="5A8C8CCC"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80580" w:rsidRPr="00780580" w14:paraId="101B5CA6" w14:textId="77777777" w:rsidTr="00BC095F">
        <w:trPr>
          <w:trHeight w:val="305"/>
        </w:trPr>
        <w:tc>
          <w:tcPr>
            <w:tcW w:w="5104" w:type="dxa"/>
            <w:shd w:val="clear" w:color="auto" w:fill="BFBFBF" w:themeFill="background1" w:themeFillShade="BF"/>
          </w:tcPr>
          <w:p w14:paraId="5D025E93"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3EF31FE5"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COLORADO - EEUU</w:t>
            </w:r>
          </w:p>
        </w:tc>
      </w:tr>
      <w:tr w:rsidR="00780580" w:rsidRPr="00780580" w14:paraId="281BF2B7" w14:textId="77777777" w:rsidTr="00BC095F">
        <w:trPr>
          <w:trHeight w:val="288"/>
        </w:trPr>
        <w:tc>
          <w:tcPr>
            <w:tcW w:w="5104" w:type="dxa"/>
          </w:tcPr>
          <w:p w14:paraId="04BE189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0BC1E28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80580" w:rsidRPr="00780580" w14:paraId="07412332" w14:textId="77777777" w:rsidTr="00BC095F">
        <w:trPr>
          <w:trHeight w:val="305"/>
        </w:trPr>
        <w:tc>
          <w:tcPr>
            <w:tcW w:w="5104" w:type="dxa"/>
          </w:tcPr>
          <w:p w14:paraId="533B2D9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2052101E"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80580" w:rsidRPr="00780580" w14:paraId="5DFE8049" w14:textId="77777777" w:rsidTr="00BC095F">
        <w:trPr>
          <w:trHeight w:val="288"/>
        </w:trPr>
        <w:tc>
          <w:tcPr>
            <w:tcW w:w="5104" w:type="dxa"/>
          </w:tcPr>
          <w:p w14:paraId="68EFF5E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58B9765C"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80580" w:rsidRPr="00780580" w14:paraId="047B0747" w14:textId="77777777" w:rsidTr="00BC095F">
        <w:trPr>
          <w:trHeight w:val="305"/>
        </w:trPr>
        <w:tc>
          <w:tcPr>
            <w:tcW w:w="5104" w:type="dxa"/>
          </w:tcPr>
          <w:p w14:paraId="078C5AB2"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2E8020E7"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80580" w:rsidRPr="00780580" w14:paraId="6E7555DA" w14:textId="77777777" w:rsidTr="00BC095F">
        <w:trPr>
          <w:trHeight w:val="288"/>
        </w:trPr>
        <w:tc>
          <w:tcPr>
            <w:tcW w:w="5104" w:type="dxa"/>
          </w:tcPr>
          <w:p w14:paraId="7ED2DB99"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7A3F6E3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07073608" w14:textId="77777777" w:rsidR="00780580" w:rsidRPr="00780580" w:rsidRDefault="00780580" w:rsidP="00780580">
      <w:pPr>
        <w:ind w:left="-426"/>
        <w:rPr>
          <w:rFonts w:ascii="Bookman Old Style" w:eastAsia="Calibri" w:hAnsi="Bookman Old Style" w:cs="Calibri"/>
        </w:rPr>
      </w:pPr>
    </w:p>
    <w:p w14:paraId="00AFE27B" w14:textId="1DA4B074" w:rsidR="00AF62CD" w:rsidRDefault="00780580" w:rsidP="00780580">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sidR="009A3BA5">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11"/>
      </w:r>
      <w:r w:rsidRPr="00780580">
        <w:rPr>
          <w:rFonts w:ascii="Bookman Old Style" w:eastAsia="Calibri" w:hAnsi="Bookman Old Style"/>
        </w:rPr>
        <w:t xml:space="preserve"> Así mismo, el 31 de marzo del 2021, el estado de Nueva York legalizo el consumo de cannabis </w:t>
      </w:r>
      <w:r w:rsidR="009A3BA5">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521218B9" w14:textId="77777777" w:rsidR="003B34DE" w:rsidRDefault="003B34DE" w:rsidP="00780580">
      <w:pPr>
        <w:jc w:val="both"/>
        <w:rPr>
          <w:rFonts w:ascii="Bookman Old Style" w:eastAsia="Calibri" w:hAnsi="Bookman Old Style"/>
        </w:rPr>
      </w:pPr>
    </w:p>
    <w:p w14:paraId="148677E9" w14:textId="77777777" w:rsidR="00AF62CD" w:rsidRPr="00780580" w:rsidRDefault="00AF62CD" w:rsidP="00780580">
      <w:pPr>
        <w:jc w:val="both"/>
        <w:rPr>
          <w:rFonts w:ascii="Bookman Old Style" w:eastAsia="Calibri" w:hAnsi="Bookman Old Style"/>
        </w:rPr>
      </w:pPr>
    </w:p>
    <w:p w14:paraId="3E705463"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noProof/>
        </w:rPr>
        <w:drawing>
          <wp:anchor distT="0" distB="0" distL="114300" distR="114300" simplePos="0" relativeHeight="251659264" behindDoc="0" locked="0" layoutInCell="1" allowOverlap="1" wp14:anchorId="75E497FA" wp14:editId="5DA736D2">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662403D" w14:textId="77777777" w:rsidR="00780580" w:rsidRPr="006127F0" w:rsidRDefault="00780580" w:rsidP="00780580">
      <w:pPr>
        <w:jc w:val="center"/>
        <w:rPr>
          <w:rFonts w:ascii="Bookman Old Style" w:eastAsia="Calibri" w:hAnsi="Bookman Old Style"/>
          <w:i/>
          <w:iCs/>
          <w:sz w:val="20"/>
          <w:szCs w:val="20"/>
        </w:rPr>
      </w:pPr>
      <w:r w:rsidRPr="006127F0">
        <w:rPr>
          <w:rFonts w:ascii="Bookman Old Style" w:eastAsia="Calibri" w:hAnsi="Bookman Old Style"/>
          <w:i/>
          <w:iCs/>
          <w:sz w:val="20"/>
          <w:szCs w:val="20"/>
        </w:rPr>
        <w:t>Fuente: Marijuana Policy Project, gráfico desarrollado por Vox</w:t>
      </w:r>
    </w:p>
    <w:p w14:paraId="3247620A" w14:textId="77777777" w:rsidR="00780580" w:rsidRPr="00780580" w:rsidRDefault="00780580" w:rsidP="00780580">
      <w:pPr>
        <w:jc w:val="both"/>
        <w:rPr>
          <w:rFonts w:ascii="Bookman Old Style" w:eastAsia="Calibri" w:hAnsi="Bookman Old Style"/>
        </w:rPr>
      </w:pPr>
    </w:p>
    <w:p w14:paraId="7788F977"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 xml:space="preserve">En particular, la compañía de análisis e investigación de mercado que se </w:t>
      </w:r>
      <w:r w:rsidRPr="00780580">
        <w:rPr>
          <w:rFonts w:ascii="Bookman Old Style" w:eastAsia="Calibri" w:hAnsi="Bookman Old Style"/>
        </w:rPr>
        <w:lastRenderedPageBreak/>
        <w:t>especializa en la industria del cannabis, Brightfield Group,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12"/>
      </w:r>
    </w:p>
    <w:p w14:paraId="5CD73048" w14:textId="77777777" w:rsidR="00780580" w:rsidRPr="00780580" w:rsidRDefault="00780580" w:rsidP="00780580">
      <w:pPr>
        <w:jc w:val="both"/>
        <w:rPr>
          <w:rFonts w:ascii="Bookman Old Style" w:eastAsia="Calibri" w:hAnsi="Bookman Old Style"/>
        </w:rPr>
      </w:pPr>
    </w:p>
    <w:p w14:paraId="22FAE6E4" w14:textId="1B4B4F18" w:rsidR="00AF62CD" w:rsidRPr="00780580" w:rsidRDefault="00780580" w:rsidP="00780580">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sidR="009A3BA5">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sidR="009A3BA5">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0AAA54EE" w14:textId="77777777" w:rsidR="00780580" w:rsidRPr="00780580" w:rsidRDefault="00780580" w:rsidP="00780580">
      <w:pPr>
        <w:jc w:val="both"/>
        <w:rPr>
          <w:rFonts w:ascii="Bookman Old Style" w:eastAsia="Calibri" w:hAnsi="Bookman Old Style"/>
        </w:rPr>
      </w:pPr>
    </w:p>
    <w:p w14:paraId="4388E4C9"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b/>
          <w:bCs/>
        </w:rPr>
        <w:t>Gráfico 2. Legislación sobre el uso del cannabis en América</w:t>
      </w:r>
    </w:p>
    <w:p w14:paraId="75BDC0F1" w14:textId="77777777" w:rsidR="00780580" w:rsidRPr="00780580" w:rsidRDefault="00780580" w:rsidP="00780580">
      <w:pPr>
        <w:jc w:val="center"/>
        <w:rPr>
          <w:rFonts w:ascii="Bookman Old Style" w:eastAsia="Calibri" w:hAnsi="Bookman Old Style"/>
          <w:noProof/>
        </w:rPr>
      </w:pPr>
    </w:p>
    <w:p w14:paraId="0B9FDA29" w14:textId="77777777" w:rsidR="00780580" w:rsidRPr="00780580" w:rsidRDefault="00780580" w:rsidP="00780580">
      <w:pPr>
        <w:jc w:val="center"/>
        <w:rPr>
          <w:rFonts w:ascii="Bookman Old Style" w:eastAsia="Calibri" w:hAnsi="Bookman Old Style"/>
        </w:rPr>
      </w:pPr>
      <w:r w:rsidRPr="00780580">
        <w:rPr>
          <w:rFonts w:ascii="Bookman Old Style" w:eastAsia="Calibri" w:hAnsi="Bookman Old Style"/>
          <w:noProof/>
        </w:rPr>
        <w:drawing>
          <wp:inline distT="0" distB="0" distL="0" distR="0" wp14:anchorId="72EF10CB" wp14:editId="58643B46">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E810D12" w14:textId="77777777" w:rsidR="00780580" w:rsidRPr="00780580" w:rsidRDefault="00780580" w:rsidP="00780580">
      <w:pPr>
        <w:jc w:val="center"/>
        <w:rPr>
          <w:rFonts w:ascii="Bookman Old Style" w:eastAsia="Calibri" w:hAnsi="Bookman Old Style"/>
          <w:i/>
          <w:iCs/>
        </w:rPr>
      </w:pPr>
      <w:r w:rsidRPr="00780580">
        <w:rPr>
          <w:rFonts w:ascii="Bookman Old Style" w:eastAsia="Calibri" w:hAnsi="Bookman Old Style"/>
          <w:i/>
          <w:iCs/>
        </w:rPr>
        <w:lastRenderedPageBreak/>
        <w:t>Fuente: CNNEE.</w:t>
      </w:r>
      <w:r w:rsidRPr="00780580">
        <w:rPr>
          <w:rStyle w:val="Refdenotaalpie"/>
          <w:rFonts w:ascii="Bookman Old Style" w:eastAsia="Calibri" w:hAnsi="Bookman Old Style"/>
          <w:i/>
          <w:iCs/>
        </w:rPr>
        <w:footnoteReference w:id="13"/>
      </w:r>
    </w:p>
    <w:p w14:paraId="07DF2B88" w14:textId="77777777" w:rsidR="00780580" w:rsidRPr="00780580" w:rsidRDefault="00780580" w:rsidP="00780580">
      <w:pPr>
        <w:jc w:val="center"/>
        <w:rPr>
          <w:rFonts w:ascii="Bookman Old Style" w:eastAsia="Calibri" w:hAnsi="Bookman Old Style"/>
          <w:i/>
          <w:iCs/>
        </w:rPr>
      </w:pPr>
    </w:p>
    <w:p w14:paraId="1795B888" w14:textId="3B9BD84D" w:rsidR="00780580" w:rsidRPr="00780580" w:rsidRDefault="00780580" w:rsidP="009A3BA5">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sidR="009A3BA5">
        <w:rPr>
          <w:rFonts w:ascii="Bookman Old Style" w:eastAsia="Calibri" w:hAnsi="Bookman Old Style"/>
        </w:rPr>
        <w:t>de uso adulto</w:t>
      </w:r>
      <w:r w:rsidRPr="00780580">
        <w:rPr>
          <w:rFonts w:ascii="Bookman Old Style" w:eastAsia="Calibri" w:hAnsi="Bookman Old Style"/>
        </w:rPr>
        <w:t>.</w:t>
      </w:r>
    </w:p>
    <w:p w14:paraId="65D4EEC1" w14:textId="77777777" w:rsidR="00780580" w:rsidRPr="00780580" w:rsidRDefault="00780580" w:rsidP="00780580">
      <w:pPr>
        <w:jc w:val="both"/>
        <w:rPr>
          <w:rFonts w:ascii="Bookman Old Style" w:eastAsia="Calibri" w:hAnsi="Bookman Old Style"/>
        </w:rPr>
      </w:pPr>
    </w:p>
    <w:p w14:paraId="6863BB95" w14:textId="312D9062" w:rsidR="00780580" w:rsidRPr="00780580" w:rsidRDefault="00780580" w:rsidP="00780580">
      <w:pPr>
        <w:jc w:val="both"/>
        <w:rPr>
          <w:rFonts w:ascii="Bookman Old Style" w:eastAsia="Calibri" w:hAnsi="Bookman Old Style" w:cs="Calibri"/>
          <w:b/>
          <w:bCs/>
        </w:rPr>
      </w:pPr>
      <w:r>
        <w:rPr>
          <w:rFonts w:ascii="Bookman Old Style" w:eastAsia="Calibri" w:hAnsi="Bookman Old Style" w:cs="Calibri"/>
          <w:b/>
          <w:bCs/>
        </w:rPr>
        <w:t>4</w:t>
      </w:r>
      <w:r w:rsidRPr="00780580">
        <w:rPr>
          <w:rFonts w:ascii="Bookman Old Style" w:eastAsia="Calibri" w:hAnsi="Bookman Old Style" w:cs="Calibri"/>
          <w:b/>
          <w:bCs/>
        </w:rPr>
        <w:t>.2.1 IMPACTO ECONÓMICO DE LA REGULACIÓN EN EL CASO INTERNACIONAL</w:t>
      </w:r>
      <w:r w:rsidR="008D6C03">
        <w:rPr>
          <w:rFonts w:ascii="Bookman Old Style" w:eastAsia="Calibri" w:hAnsi="Bookman Old Style" w:cs="Calibri"/>
          <w:b/>
          <w:bCs/>
        </w:rPr>
        <w:t>.</w:t>
      </w:r>
    </w:p>
    <w:p w14:paraId="55204115" w14:textId="77777777" w:rsidR="00780580" w:rsidRPr="00780580" w:rsidRDefault="00780580" w:rsidP="00780580">
      <w:pPr>
        <w:rPr>
          <w:rFonts w:ascii="Bookman Old Style" w:hAnsi="Bookman Old Style"/>
        </w:rPr>
      </w:pPr>
    </w:p>
    <w:p w14:paraId="516DA96E" w14:textId="765E7607" w:rsidR="00780580" w:rsidRPr="00780580" w:rsidRDefault="00780580" w:rsidP="00780580">
      <w:pPr>
        <w:jc w:val="both"/>
        <w:rPr>
          <w:rFonts w:ascii="Bookman Old Style" w:hAnsi="Bookman Old Style" w:cs="Calibri"/>
        </w:rPr>
      </w:pPr>
      <w:r w:rsidRPr="00780580">
        <w:rPr>
          <w:rFonts w:ascii="Bookman Old Style" w:hAnsi="Bookman Old Style" w:cs="Calibri"/>
        </w:rPr>
        <w:t>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w:t>
      </w:r>
      <w:r w:rsidR="00770D70">
        <w:rPr>
          <w:rFonts w:ascii="Bookman Old Style" w:hAnsi="Bookman Old Style" w:cs="Calibri"/>
        </w:rPr>
        <w:t>, l</w:t>
      </w:r>
      <w:r w:rsidRPr="00780580">
        <w:rPr>
          <w:rFonts w:ascii="Bookman Old Style" w:hAnsi="Bookman Old Style" w:cs="Calibri"/>
        </w:rPr>
        <w:t>o cual repercute favorablemente en la lucha para terminar con el mercado negro e ilegal</w:t>
      </w:r>
      <w:r w:rsidR="00A20BDA">
        <w:rPr>
          <w:rFonts w:ascii="Bookman Old Style" w:hAnsi="Bookman Old Style" w:cs="Calibri"/>
        </w:rPr>
        <w:t>,</w:t>
      </w:r>
      <w:r w:rsidRPr="00780580">
        <w:rPr>
          <w:rFonts w:ascii="Bookman Old Style" w:hAnsi="Bookman Old Style" w:cs="Calibri"/>
        </w:rPr>
        <w:t xml:space="preserve"> aliviar el sistema carcelario y judicial y, convertir este flagelo en una política encaminada al desarrollo sostenible del país.</w:t>
      </w:r>
    </w:p>
    <w:p w14:paraId="7709C2E4"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 </w:t>
      </w:r>
    </w:p>
    <w:p w14:paraId="4C868E2D" w14:textId="310E379D" w:rsidR="00780580" w:rsidRPr="00780580" w:rsidRDefault="00780580" w:rsidP="00780580">
      <w:pPr>
        <w:pStyle w:val="Sinespaciado"/>
        <w:jc w:val="both"/>
        <w:rPr>
          <w:rFonts w:ascii="Bookman Old Style" w:hAnsi="Bookman Old Style"/>
          <w:b/>
        </w:rPr>
      </w:pPr>
      <w:bookmarkStart w:id="0" w:name="_Toc5023208"/>
      <w:r w:rsidRPr="00780580">
        <w:rPr>
          <w:rFonts w:ascii="Bookman Old Style" w:hAnsi="Bookman Old Style"/>
        </w:rPr>
        <w:t xml:space="preserve">Así como el alcohol y el tabaco están regulados y </w:t>
      </w:r>
      <w:r w:rsidR="00A20BDA">
        <w:rPr>
          <w:rFonts w:ascii="Bookman Old Style" w:hAnsi="Bookman Old Style"/>
        </w:rPr>
        <w:t>están gravados con</w:t>
      </w:r>
      <w:r w:rsidR="00A20BDA" w:rsidRPr="00780580">
        <w:rPr>
          <w:rFonts w:ascii="Bookman Old Style" w:hAnsi="Bookman Old Style"/>
        </w:rPr>
        <w:t xml:space="preserve"> </w:t>
      </w:r>
      <w:r w:rsidRPr="00780580">
        <w:rPr>
          <w:rFonts w:ascii="Bookman Old Style" w:hAnsi="Bookman Old Style"/>
        </w:rPr>
        <w:t>impuesto</w:t>
      </w:r>
      <w:r w:rsidR="00A20BDA">
        <w:rPr>
          <w:rFonts w:ascii="Bookman Old Style" w:hAnsi="Bookman Old Style"/>
        </w:rPr>
        <w:t>s</w:t>
      </w:r>
      <w:r w:rsidRPr="00780580">
        <w:rPr>
          <w:rFonts w:ascii="Bookman Old Style" w:hAnsi="Bookman Old Style"/>
        </w:rPr>
        <w:t xml:space="preserve">, los impuestos al consumo del cannabis pueden ser una fuente de financiación para </w:t>
      </w:r>
      <w:r w:rsidR="00A20BDA">
        <w:rPr>
          <w:rFonts w:ascii="Bookman Old Style" w:hAnsi="Bookman Old Style"/>
        </w:rPr>
        <w:t>p</w:t>
      </w:r>
      <w:r w:rsidRPr="00780580">
        <w:rPr>
          <w:rFonts w:ascii="Bookman Old Style" w:hAnsi="Bookman Old Style"/>
        </w:rPr>
        <w:t xml:space="preserve">rogramas </w:t>
      </w:r>
      <w:r w:rsidR="00A20BDA">
        <w:rPr>
          <w:rFonts w:ascii="Bookman Old Style" w:hAnsi="Bookman Old Style"/>
        </w:rPr>
        <w:t>s</w:t>
      </w:r>
      <w:r w:rsidRPr="00780580">
        <w:rPr>
          <w:rFonts w:ascii="Bookman Old Style" w:hAnsi="Bookman Old Style"/>
        </w:rPr>
        <w:t xml:space="preserve">ociales, de </w:t>
      </w:r>
      <w:r w:rsidR="00A20BDA">
        <w:rPr>
          <w:rFonts w:ascii="Bookman Old Style" w:hAnsi="Bookman Old Style"/>
        </w:rPr>
        <w:t>s</w:t>
      </w:r>
      <w:r w:rsidR="00A20BDA" w:rsidRPr="00780580">
        <w:rPr>
          <w:rFonts w:ascii="Bookman Old Style" w:hAnsi="Bookman Old Style"/>
        </w:rPr>
        <w:t xml:space="preserve">alud </w:t>
      </w:r>
      <w:r w:rsidRPr="00780580">
        <w:rPr>
          <w:rFonts w:ascii="Bookman Old Style" w:hAnsi="Bookman Old Style"/>
        </w:rPr>
        <w:t xml:space="preserve">y de </w:t>
      </w:r>
      <w:r w:rsidR="00A20BDA">
        <w:rPr>
          <w:rFonts w:ascii="Bookman Old Style" w:hAnsi="Bookman Old Style"/>
        </w:rPr>
        <w:t>p</w:t>
      </w:r>
      <w:r w:rsidRPr="00780580">
        <w:rPr>
          <w:rFonts w:ascii="Bookman Old Style" w:hAnsi="Bookman Old Style"/>
        </w:rPr>
        <w:t xml:space="preserve">revención de </w:t>
      </w:r>
      <w:r w:rsidR="00A20BDA">
        <w:rPr>
          <w:rFonts w:ascii="Bookman Old Style" w:hAnsi="Bookman Old Style"/>
        </w:rPr>
        <w:t>a</w:t>
      </w:r>
      <w:r w:rsidRPr="00780580">
        <w:rPr>
          <w:rFonts w:ascii="Bookman Old Style" w:hAnsi="Bookman Old Style"/>
        </w:rPr>
        <w:t xml:space="preserve">buso de </w:t>
      </w:r>
      <w:r w:rsidR="00A20BDA">
        <w:rPr>
          <w:rFonts w:ascii="Bookman Old Style" w:hAnsi="Bookman Old Style"/>
        </w:rPr>
        <w:t>s</w:t>
      </w:r>
      <w:r w:rsidRPr="00780580">
        <w:rPr>
          <w:rFonts w:ascii="Bookman Old Style" w:hAnsi="Bookman Old Style"/>
        </w:rPr>
        <w:t>ustancias</w:t>
      </w:r>
      <w:bookmarkEnd w:id="0"/>
      <w:r w:rsidRPr="00780580">
        <w:rPr>
          <w:rFonts w:ascii="Bookman Old Style" w:hAnsi="Bookman Old Style"/>
        </w:rPr>
        <w:t>.</w:t>
      </w:r>
    </w:p>
    <w:p w14:paraId="61093D2C" w14:textId="77777777" w:rsidR="00780580" w:rsidRPr="00780580" w:rsidRDefault="00780580" w:rsidP="00780580">
      <w:pPr>
        <w:jc w:val="both"/>
        <w:rPr>
          <w:rFonts w:ascii="Bookman Old Style" w:hAnsi="Bookman Old Style" w:cs="Calibri"/>
        </w:rPr>
      </w:pPr>
    </w:p>
    <w:p w14:paraId="3A7C9F3F"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Este mercado en el mundo sigue generando ingresos y creciendo de manera exponencial, según Euromonitor International</w:t>
      </w:r>
      <w:r w:rsidRPr="00780580">
        <w:rPr>
          <w:rStyle w:val="Refdenotaalpie"/>
          <w:rFonts w:ascii="Bookman Old Style" w:hAnsi="Bookman Old Style" w:cs="Calibri"/>
        </w:rPr>
        <w:footnoteReference w:id="14"/>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59F5FAB1"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(JIFE, 2018).</w:t>
      </w:r>
      <w:r w:rsidRPr="00780580">
        <w:rPr>
          <w:rStyle w:val="Refdenotaalpie"/>
          <w:rFonts w:ascii="Bookman Old Style" w:hAnsi="Bookman Old Style" w:cs="Calibri"/>
        </w:rPr>
        <w:footnoteReference w:id="15"/>
      </w:r>
    </w:p>
    <w:p w14:paraId="4C9F4B17" w14:textId="77777777" w:rsidR="00780580" w:rsidRPr="00780580" w:rsidRDefault="00780580" w:rsidP="00780580">
      <w:pPr>
        <w:jc w:val="both"/>
        <w:rPr>
          <w:rFonts w:ascii="Bookman Old Style" w:hAnsi="Bookman Old Style" w:cs="Calibri"/>
        </w:rPr>
      </w:pPr>
    </w:p>
    <w:p w14:paraId="161095B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 Estados Unidos la marihuana es legal en los estados de Washington, Oregon,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6"/>
      </w:r>
      <w:r w:rsidRPr="00780580">
        <w:rPr>
          <w:rFonts w:ascii="Bookman Old Style" w:hAnsi="Bookman Old Style" w:cs="Calibri"/>
        </w:rPr>
        <w:t>. En los Estados de Colorado, Washington, Oregón y Alaska, hoy los ingresos por los impuestos en este tema se encuentran por encima de los valores que habían estimado. Como lo muestra el reporte del Drug Policy Alliance (Alianza para Políticas de Drogas) de 2018</w:t>
      </w:r>
      <w:r w:rsidRPr="00780580">
        <w:rPr>
          <w:rStyle w:val="Refdenotaalpie"/>
          <w:rFonts w:ascii="Bookman Old Style" w:hAnsi="Bookman Old Style" w:cs="Calibri"/>
        </w:rPr>
        <w:footnoteReference w:id="17"/>
      </w:r>
      <w:r w:rsidRPr="00780580">
        <w:rPr>
          <w:rFonts w:ascii="Bookman Old Style" w:hAnsi="Bookman Old Style" w:cs="Calibri"/>
        </w:rPr>
        <w:t>, los impuestos recaudados por las ventas de marihuana:</w:t>
      </w:r>
    </w:p>
    <w:p w14:paraId="154B3CBC" w14:textId="77777777" w:rsidR="00780580" w:rsidRPr="00780580" w:rsidRDefault="00780580" w:rsidP="00780580">
      <w:pPr>
        <w:jc w:val="both"/>
        <w:rPr>
          <w:rFonts w:ascii="Bookman Old Style" w:hAnsi="Bookman Old Style"/>
        </w:rPr>
      </w:pPr>
    </w:p>
    <w:p w14:paraId="0265A9D4"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1130DFF8" w14:textId="77777777" w:rsidR="00780580" w:rsidRPr="00780580" w:rsidRDefault="00780580" w:rsidP="00780580">
      <w:pPr>
        <w:pStyle w:val="Prrafodelista"/>
        <w:spacing w:after="0" w:line="240" w:lineRule="auto"/>
        <w:jc w:val="both"/>
        <w:rPr>
          <w:rFonts w:ascii="Bookman Old Style" w:hAnsi="Bookman Old Style" w:cs="Calibri"/>
        </w:rPr>
      </w:pPr>
    </w:p>
    <w:p w14:paraId="1B0CD82F"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56CE3833" w14:textId="77777777" w:rsidR="00780580" w:rsidRPr="00780580" w:rsidRDefault="00780580" w:rsidP="00780580">
      <w:pPr>
        <w:jc w:val="both"/>
        <w:rPr>
          <w:rFonts w:ascii="Bookman Old Style" w:hAnsi="Bookman Old Style" w:cs="Calibri"/>
        </w:rPr>
      </w:pPr>
    </w:p>
    <w:p w14:paraId="404ECE0D"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2A43942D" w14:textId="77777777" w:rsidR="00780580" w:rsidRPr="00780580" w:rsidRDefault="00780580" w:rsidP="00780580">
      <w:pPr>
        <w:jc w:val="both"/>
        <w:rPr>
          <w:rFonts w:ascii="Bookman Old Style" w:hAnsi="Bookman Old Style" w:cs="Calibri"/>
        </w:rPr>
      </w:pPr>
    </w:p>
    <w:p w14:paraId="7D9858D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Así mismo, de acuerdo con el Departamento de Impuestos de California (CDTFE) la industria de cannabis, durante el tercer cuatrimestre de 2019, recaudó 845 millones de dólares en impuestos.</w:t>
      </w:r>
      <w:r w:rsidRPr="00780580">
        <w:rPr>
          <w:rStyle w:val="Refdenotaalpie"/>
          <w:rFonts w:ascii="Bookman Old Style" w:hAnsi="Bookman Old Style" w:cs="Calibri"/>
        </w:rPr>
        <w:footnoteReference w:id="18"/>
      </w:r>
    </w:p>
    <w:p w14:paraId="589414EE" w14:textId="77777777" w:rsidR="00780580" w:rsidRPr="00780580" w:rsidRDefault="00780580" w:rsidP="00780580">
      <w:pPr>
        <w:jc w:val="both"/>
        <w:rPr>
          <w:rFonts w:ascii="Bookman Old Style" w:hAnsi="Bookman Old Style" w:cs="Calibri"/>
        </w:rPr>
      </w:pPr>
    </w:p>
    <w:p w14:paraId="43F3C18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9"/>
      </w:r>
      <w:r w:rsidRPr="00780580">
        <w:rPr>
          <w:rFonts w:ascii="Bookman Old Style" w:hAnsi="Bookman Old Style" w:cs="Calibri"/>
        </w:rPr>
        <w:t>:</w:t>
      </w:r>
    </w:p>
    <w:p w14:paraId="79554F48" w14:textId="77777777" w:rsidR="00780580" w:rsidRPr="00780580" w:rsidRDefault="00780580" w:rsidP="00780580">
      <w:pPr>
        <w:jc w:val="both"/>
        <w:rPr>
          <w:rFonts w:ascii="Bookman Old Style" w:hAnsi="Bookman Old Style" w:cs="Calibri"/>
        </w:rPr>
      </w:pPr>
    </w:p>
    <w:p w14:paraId="58CF702C"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Colorado distribuyó USD $230 millones al Departamento de Educación entre 2015 y 2017, para financiar la construcción de escuelas, programas de alfabetización temprana y de prevención del matoneo.</w:t>
      </w:r>
    </w:p>
    <w:p w14:paraId="290F1AEF" w14:textId="77777777" w:rsidR="00780580" w:rsidRPr="00780580" w:rsidRDefault="00780580" w:rsidP="00780580">
      <w:pPr>
        <w:pStyle w:val="Prrafodelista"/>
        <w:spacing w:after="0" w:line="240" w:lineRule="auto"/>
        <w:jc w:val="both"/>
        <w:rPr>
          <w:rFonts w:ascii="Bookman Old Style" w:hAnsi="Bookman Old Style" w:cs="Calibri"/>
        </w:rPr>
      </w:pPr>
    </w:p>
    <w:p w14:paraId="4388F939"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78CDD499" w14:textId="77777777" w:rsidR="00780580" w:rsidRPr="00780580" w:rsidRDefault="00780580" w:rsidP="00780580">
      <w:pPr>
        <w:jc w:val="both"/>
        <w:rPr>
          <w:rFonts w:ascii="Bookman Old Style" w:hAnsi="Bookman Old Style" w:cs="Calibri"/>
        </w:rPr>
      </w:pPr>
    </w:p>
    <w:p w14:paraId="0B61EA12"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465D6B03" w14:textId="77777777" w:rsidR="00780580" w:rsidRPr="00780580" w:rsidRDefault="00780580" w:rsidP="00780580">
      <w:pPr>
        <w:jc w:val="both"/>
        <w:rPr>
          <w:rFonts w:ascii="Bookman Old Style" w:hAnsi="Bookman Old Style" w:cs="Calibri"/>
        </w:rPr>
      </w:pPr>
    </w:p>
    <w:p w14:paraId="08DF2DF5"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74F2B7A3" w14:textId="77777777" w:rsidR="00780580" w:rsidRPr="00780580" w:rsidRDefault="00780580" w:rsidP="00780580">
      <w:pPr>
        <w:jc w:val="both"/>
        <w:rPr>
          <w:rFonts w:ascii="Bookman Old Style" w:hAnsi="Bookman Old Style" w:cs="Calibri"/>
        </w:rPr>
      </w:pPr>
    </w:p>
    <w:p w14:paraId="1E7BEBCB"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13117CBA" w14:textId="77777777" w:rsidR="00780580" w:rsidRPr="00780580" w:rsidRDefault="00780580" w:rsidP="00780580">
      <w:pPr>
        <w:jc w:val="both"/>
        <w:rPr>
          <w:rFonts w:ascii="Bookman Old Style" w:hAnsi="Bookman Old Style" w:cs="Calibri"/>
        </w:rPr>
      </w:pPr>
    </w:p>
    <w:p w14:paraId="20EAA4F8"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4C776D0" w14:textId="77777777" w:rsidR="00780580" w:rsidRPr="00780580" w:rsidRDefault="00780580" w:rsidP="00780580">
      <w:pPr>
        <w:jc w:val="both"/>
        <w:rPr>
          <w:rFonts w:ascii="Bookman Old Style" w:hAnsi="Bookman Old Style" w:cs="Calibri"/>
        </w:rPr>
      </w:pPr>
    </w:p>
    <w:p w14:paraId="5325F6A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727476DA" w14:textId="77777777" w:rsidR="00780580" w:rsidRPr="00780580" w:rsidRDefault="00780580" w:rsidP="00780580">
      <w:pPr>
        <w:jc w:val="both"/>
        <w:rPr>
          <w:rFonts w:ascii="Bookman Old Style" w:hAnsi="Bookman Old Style" w:cs="Calibri"/>
        </w:rPr>
      </w:pPr>
    </w:p>
    <w:p w14:paraId="790071A4"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 xml:space="preserve">En los Estados donde fue regulada la marihuana bajaron significativamente los arrestos por posesión de drogas, ahorrándoles cientos de millones de </w:t>
      </w:r>
      <w:r w:rsidRPr="00780580">
        <w:rPr>
          <w:rFonts w:ascii="Bookman Old Style" w:hAnsi="Bookman Old Style" w:cs="Calibri"/>
        </w:rPr>
        <w:lastRenderedPageBreak/>
        <w:t>dólares al Tesoro y antecedentes penales a las personas que los estigmatizarían de por vida.</w:t>
      </w:r>
      <w:r w:rsidRPr="00780580">
        <w:rPr>
          <w:rStyle w:val="Refdenotaalpie"/>
          <w:rFonts w:ascii="Bookman Old Style" w:hAnsi="Bookman Old Style" w:cs="Calibri"/>
        </w:rPr>
        <w:footnoteReference w:id="20"/>
      </w:r>
    </w:p>
    <w:p w14:paraId="2114A8E0" w14:textId="77777777" w:rsidR="00780580" w:rsidRPr="00780580" w:rsidRDefault="00780580" w:rsidP="00780580">
      <w:pPr>
        <w:ind w:left="360"/>
        <w:jc w:val="both"/>
        <w:rPr>
          <w:rFonts w:ascii="Bookman Old Style" w:hAnsi="Bookman Old Style" w:cs="Calibri"/>
        </w:rPr>
      </w:pPr>
    </w:p>
    <w:p w14:paraId="309F5C70"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21"/>
      </w:r>
    </w:p>
    <w:p w14:paraId="6CA9FDF7" w14:textId="77777777" w:rsidR="00780580" w:rsidRPr="00780580" w:rsidRDefault="00780580" w:rsidP="00780580">
      <w:pPr>
        <w:jc w:val="both"/>
        <w:rPr>
          <w:rFonts w:ascii="Bookman Old Style" w:hAnsi="Bookman Old Style" w:cs="Calibri"/>
        </w:rPr>
      </w:pPr>
    </w:p>
    <w:p w14:paraId="5080D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22"/>
      </w:r>
    </w:p>
    <w:p w14:paraId="7B03361B" w14:textId="77777777" w:rsidR="00780580" w:rsidRPr="00780580" w:rsidRDefault="00780580" w:rsidP="00780580">
      <w:pPr>
        <w:jc w:val="both"/>
        <w:rPr>
          <w:rFonts w:ascii="Bookman Old Style" w:hAnsi="Bookman Old Style" w:cs="Calibri"/>
          <w:b/>
        </w:rPr>
      </w:pPr>
    </w:p>
    <w:p w14:paraId="453F9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3"/>
      </w:r>
    </w:p>
    <w:p w14:paraId="34CEF942" w14:textId="77777777" w:rsidR="00780580" w:rsidRPr="00780580" w:rsidRDefault="00780580" w:rsidP="00780580">
      <w:pPr>
        <w:jc w:val="both"/>
        <w:rPr>
          <w:rFonts w:ascii="Bookman Old Style" w:hAnsi="Bookman Old Style" w:cs="Calibri"/>
        </w:rPr>
      </w:pPr>
    </w:p>
    <w:p w14:paraId="033D19DE"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4"/>
      </w:r>
    </w:p>
    <w:p w14:paraId="5A1618A9" w14:textId="77777777" w:rsidR="00780580" w:rsidRPr="00780580" w:rsidRDefault="00780580" w:rsidP="00780580">
      <w:pPr>
        <w:jc w:val="both"/>
        <w:rPr>
          <w:rFonts w:ascii="Bookman Old Style" w:hAnsi="Bookman Old Style" w:cs="Calibri"/>
        </w:rPr>
      </w:pPr>
    </w:p>
    <w:p w14:paraId="1CBD0263"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5"/>
      </w:r>
    </w:p>
    <w:p w14:paraId="1A11452B" w14:textId="77777777" w:rsidR="00780580" w:rsidRPr="00780580" w:rsidRDefault="00780580" w:rsidP="00780580">
      <w:pPr>
        <w:jc w:val="both"/>
        <w:rPr>
          <w:rFonts w:ascii="Bookman Old Style" w:hAnsi="Bookman Old Style" w:cs="Calibri"/>
          <w:lang w:val="es-ES"/>
        </w:rPr>
      </w:pPr>
    </w:p>
    <w:p w14:paraId="239734C0" w14:textId="4D2735A5"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w:t>
      </w:r>
      <w:r w:rsidR="00E12D89">
        <w:rPr>
          <w:rFonts w:ascii="Bookman Old Style" w:hAnsi="Bookman Old Style" w:cs="Calibri"/>
          <w:lang w:val="es-ES"/>
        </w:rPr>
        <w:t>Desde su presentación en</w:t>
      </w:r>
      <w:r w:rsidRPr="00780580">
        <w:rPr>
          <w:rFonts w:ascii="Bookman Old Style" w:hAnsi="Bookman Old Style" w:cs="Calibri"/>
          <w:lang w:val="es-ES"/>
        </w:rPr>
        <w:t xml:space="preserve"> 2019</w:t>
      </w:r>
      <w:r w:rsidR="00E12D89">
        <w:rPr>
          <w:rFonts w:ascii="Bookman Old Style" w:hAnsi="Bookman Old Style" w:cs="Calibri"/>
          <w:lang w:val="es-ES"/>
        </w:rPr>
        <w:t xml:space="preserve">, la </w:t>
      </w:r>
      <w:r w:rsidR="00E12D89" w:rsidRPr="001D5D7C">
        <w:rPr>
          <w:rFonts w:ascii="Bookman Old Style" w:hAnsi="Bookman Old Style" w:cs="Calibri"/>
          <w:i/>
          <w:iCs/>
          <w:lang w:val="es-ES"/>
        </w:rPr>
        <w:t>SAFE Banking Act</w:t>
      </w:r>
      <w:r w:rsidRPr="00780580">
        <w:rPr>
          <w:rFonts w:ascii="Bookman Old Style" w:hAnsi="Bookman Old Style" w:cs="Calibri"/>
          <w:lang w:val="es-ES"/>
        </w:rPr>
        <w:t xml:space="preserve"> </w:t>
      </w:r>
      <w:r w:rsidR="00E12D89">
        <w:rPr>
          <w:rFonts w:ascii="Bookman Old Style" w:hAnsi="Bookman Old Style" w:cs="Calibri"/>
          <w:lang w:val="es-ES"/>
        </w:rPr>
        <w:t>ha sido</w:t>
      </w:r>
      <w:r w:rsidRPr="00780580">
        <w:rPr>
          <w:rFonts w:ascii="Bookman Old Style" w:hAnsi="Bookman Old Style" w:cs="Calibri"/>
          <w:lang w:val="es-ES"/>
        </w:rPr>
        <w:t xml:space="preserve"> aprobada en la </w:t>
      </w:r>
      <w:r w:rsidR="00A20BDA">
        <w:rPr>
          <w:rFonts w:ascii="Bookman Old Style" w:hAnsi="Bookman Old Style" w:cs="Calibri"/>
          <w:lang w:val="es-ES"/>
        </w:rPr>
        <w:t>C</w:t>
      </w:r>
      <w:r w:rsidRPr="00780580">
        <w:rPr>
          <w:rFonts w:ascii="Bookman Old Style" w:hAnsi="Bookman Old Style" w:cs="Calibri"/>
          <w:lang w:val="es-ES"/>
        </w:rPr>
        <w:t xml:space="preserve">ámara de </w:t>
      </w:r>
      <w:r w:rsidR="00A20BDA">
        <w:rPr>
          <w:rFonts w:ascii="Bookman Old Style" w:hAnsi="Bookman Old Style" w:cs="Calibri"/>
          <w:lang w:val="es-ES"/>
        </w:rPr>
        <w:t>R</w:t>
      </w:r>
      <w:r w:rsidRPr="00780580">
        <w:rPr>
          <w:rFonts w:ascii="Bookman Old Style" w:hAnsi="Bookman Old Style" w:cs="Calibri"/>
          <w:lang w:val="es-ES"/>
        </w:rPr>
        <w:t xml:space="preserve">epresentantes </w:t>
      </w:r>
      <w:r w:rsidR="00E12D89">
        <w:rPr>
          <w:rFonts w:ascii="Bookman Old Style" w:hAnsi="Bookman Old Style" w:cs="Calibri"/>
          <w:lang w:val="es-ES"/>
        </w:rPr>
        <w:t>en seis oportunidades, y a pesar de que no ha podido ser aprobada en el Senado, ahora cuenta con apoyo del biparti</w:t>
      </w:r>
      <w:r w:rsidR="00705BAC">
        <w:rPr>
          <w:rFonts w:ascii="Bookman Old Style" w:hAnsi="Bookman Old Style" w:cs="Calibri"/>
          <w:lang w:val="es-ES"/>
        </w:rPr>
        <w:t>dis</w:t>
      </w:r>
      <w:r w:rsidR="00E12D89">
        <w:rPr>
          <w:rFonts w:ascii="Bookman Old Style" w:hAnsi="Bookman Old Style" w:cs="Calibri"/>
          <w:lang w:val="es-ES"/>
        </w:rPr>
        <w:t>mo</w:t>
      </w:r>
      <w:r w:rsidR="00705BAC">
        <w:rPr>
          <w:rStyle w:val="Refdenotaalpie"/>
          <w:rFonts w:ascii="Bookman Old Style" w:hAnsi="Bookman Old Style" w:cs="Calibri"/>
          <w:lang w:val="es-ES"/>
        </w:rPr>
        <w:footnoteReference w:id="26"/>
      </w:r>
      <w:r w:rsidR="00705BAC">
        <w:rPr>
          <w:rFonts w:ascii="Bookman Old Style" w:hAnsi="Bookman Old Style" w:cs="Calibri"/>
          <w:lang w:val="es-ES"/>
        </w:rPr>
        <w:t xml:space="preserve">. La </w:t>
      </w:r>
      <w:r w:rsidRPr="00780580">
        <w:rPr>
          <w:rFonts w:ascii="Bookman Old Style" w:hAnsi="Bookman Old Style" w:cs="Calibri"/>
          <w:i/>
          <w:lang w:val="es-ES"/>
        </w:rPr>
        <w:t>SAFE Banking Act</w:t>
      </w:r>
      <w:r w:rsidRPr="00780580">
        <w:rPr>
          <w:rFonts w:ascii="Bookman Old Style" w:hAnsi="Bookman Old Style" w:cs="Calibri"/>
          <w:lang w:val="es-ES"/>
        </w:rPr>
        <w:t xml:space="preserve">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7"/>
      </w:r>
      <w:r w:rsidRPr="00780580">
        <w:rPr>
          <w:rFonts w:ascii="Bookman Old Style" w:hAnsi="Bookman Old Style" w:cs="Calibri"/>
          <w:lang w:val="es-ES"/>
        </w:rPr>
        <w:t xml:space="preserve"> </w:t>
      </w:r>
      <w:r w:rsidR="00705BAC">
        <w:rPr>
          <w:rFonts w:ascii="Bookman Old Style" w:hAnsi="Bookman Old Style" w:cs="Calibri"/>
          <w:lang w:val="es-ES"/>
        </w:rPr>
        <w:t>D</w:t>
      </w:r>
      <w:r w:rsidRPr="00780580">
        <w:rPr>
          <w:rFonts w:ascii="Bookman Old Style" w:hAnsi="Bookman Old Style" w:cs="Calibri"/>
          <w:lang w:val="es-ES"/>
        </w:rPr>
        <w:t>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8"/>
      </w:r>
    </w:p>
    <w:p w14:paraId="7ACF7114" w14:textId="77777777" w:rsidR="00780580" w:rsidRPr="00780580" w:rsidRDefault="00780580" w:rsidP="00780580">
      <w:pPr>
        <w:jc w:val="both"/>
        <w:rPr>
          <w:rFonts w:ascii="Bookman Old Style" w:hAnsi="Bookman Old Style" w:cs="Calibri"/>
        </w:rPr>
      </w:pPr>
    </w:p>
    <w:p w14:paraId="0332097A"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lastRenderedPageBreak/>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9"/>
      </w:r>
    </w:p>
    <w:p w14:paraId="31A22E84" w14:textId="77777777" w:rsidR="00780580" w:rsidRPr="00780580" w:rsidRDefault="00780580" w:rsidP="00780580">
      <w:pPr>
        <w:jc w:val="both"/>
        <w:rPr>
          <w:rFonts w:ascii="Bookman Old Style" w:hAnsi="Bookman Old Style" w:cs="Calibri"/>
        </w:rPr>
      </w:pPr>
    </w:p>
    <w:p w14:paraId="35DF4357"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Entonces, regular es una manera de impulsar la economía y generar empleos dentro del marco legal. En Estados Unidos, el consumo de cannabis adulto se ha vuelto un motor económico, según Drug Policy Alliance (2018)</w:t>
      </w:r>
      <w:r w:rsidRPr="00780580">
        <w:rPr>
          <w:rStyle w:val="Refdenotaalpie"/>
          <w:rFonts w:ascii="Bookman Old Style" w:hAnsi="Bookman Old Style" w:cs="Calibri"/>
        </w:rPr>
        <w:footnoteReference w:id="30"/>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512732BA" w14:textId="77777777" w:rsidR="00780580" w:rsidRPr="00780580" w:rsidRDefault="00780580" w:rsidP="00780580">
      <w:pPr>
        <w:jc w:val="both"/>
        <w:rPr>
          <w:rFonts w:ascii="Bookman Old Style" w:hAnsi="Bookman Old Style" w:cs="Calibri"/>
        </w:rPr>
      </w:pPr>
    </w:p>
    <w:p w14:paraId="67D1E66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Además, un reporte del Congresista Norteamericano E. Blumenauer, señala cómo la industria de la marihuana se ha convertido en una de las de mayor crecimiento en Estados Unidos</w:t>
      </w:r>
      <w:r w:rsidRPr="00780580">
        <w:rPr>
          <w:rStyle w:val="Refdenotaalpie"/>
          <w:rFonts w:ascii="Bookman Old Style" w:hAnsi="Bookman Old Style" w:cs="Calibri"/>
        </w:rPr>
        <w:footnoteReference w:id="31"/>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7A80FFA4" w14:textId="77777777" w:rsidR="00780580" w:rsidRPr="00780580" w:rsidRDefault="00780580" w:rsidP="00780580">
      <w:pPr>
        <w:jc w:val="both"/>
        <w:rPr>
          <w:rFonts w:ascii="Bookman Old Style" w:hAnsi="Bookman Old Style" w:cs="Calibri"/>
        </w:rPr>
      </w:pPr>
    </w:p>
    <w:p w14:paraId="41DC2AF1"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36683CD6" w14:textId="77777777" w:rsidR="00780580" w:rsidRPr="00780580" w:rsidRDefault="00780580" w:rsidP="00780580">
      <w:pPr>
        <w:pStyle w:val="Sinespaciado"/>
        <w:jc w:val="both"/>
        <w:rPr>
          <w:rFonts w:ascii="Bookman Old Style" w:hAnsi="Bookman Old Style"/>
          <w:b/>
        </w:rPr>
      </w:pPr>
      <w:bookmarkStart w:id="1" w:name="_Toc5023212"/>
    </w:p>
    <w:p w14:paraId="57F2BD0D"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14:paraId="164B775D" w14:textId="77777777" w:rsidR="00780580" w:rsidRPr="00780580" w:rsidRDefault="00780580" w:rsidP="00780580">
      <w:pPr>
        <w:pStyle w:val="Sinespaciado"/>
        <w:jc w:val="both"/>
        <w:rPr>
          <w:rFonts w:ascii="Bookman Old Style" w:hAnsi="Bookman Old Style"/>
        </w:rPr>
      </w:pPr>
    </w:p>
    <w:p w14:paraId="682EE3E1" w14:textId="4A0C642A" w:rsidR="00780580" w:rsidRPr="00780580" w:rsidRDefault="00780580" w:rsidP="00780580">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32"/>
      </w:r>
      <w:r w:rsidRPr="00780580">
        <w:rPr>
          <w:rFonts w:ascii="Bookman Old Style" w:hAnsi="Bookman Old Style"/>
        </w:rPr>
        <w:t xml:space="preserve">. </w:t>
      </w:r>
    </w:p>
    <w:p w14:paraId="69E9184F" w14:textId="77777777" w:rsidR="00780580" w:rsidRPr="00780580" w:rsidRDefault="00780580" w:rsidP="00780580">
      <w:pPr>
        <w:jc w:val="both"/>
        <w:rPr>
          <w:rFonts w:ascii="Bookman Old Style" w:hAnsi="Bookman Old Style" w:cs="Calibri"/>
        </w:rPr>
      </w:pPr>
    </w:p>
    <w:p w14:paraId="2E568C48" w14:textId="040B5717" w:rsidR="00780580" w:rsidRPr="00780580" w:rsidRDefault="00780580" w:rsidP="00780580">
      <w:pPr>
        <w:jc w:val="both"/>
        <w:rPr>
          <w:rFonts w:ascii="Bookman Old Style" w:hAnsi="Bookman Old Style" w:cs="Calibri"/>
        </w:rPr>
      </w:pPr>
      <w:r w:rsidRPr="00780580">
        <w:rPr>
          <w:rFonts w:ascii="Bookman Old Style" w:hAnsi="Bookman Old Style" w:cs="Calibri"/>
        </w:rPr>
        <w:lastRenderedPageBreak/>
        <w:t>La Comisión Global de Políticas de Drogas</w:t>
      </w:r>
      <w:r w:rsidRPr="00780580">
        <w:rPr>
          <w:rStyle w:val="Refdenotaalpie"/>
          <w:rFonts w:ascii="Bookman Old Style" w:hAnsi="Bookman Old Style" w:cs="Calibri"/>
        </w:rPr>
        <w:footnoteReference w:id="33"/>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4"/>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9506A1E" w14:textId="77777777" w:rsidR="00780580" w:rsidRPr="00780580" w:rsidRDefault="00780580" w:rsidP="00780580">
      <w:pPr>
        <w:jc w:val="both"/>
        <w:rPr>
          <w:rFonts w:ascii="Bookman Old Style" w:hAnsi="Bookman Old Style" w:cs="Calibri"/>
        </w:rPr>
      </w:pPr>
    </w:p>
    <w:p w14:paraId="2D03D113"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Más importante aún, señala el informe, es el hecho de que los impactos que puede tener y ha tenido la lucha contra las drogas, como ha sido planteada hasta ahora, 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5"/>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06788705" w14:textId="77777777" w:rsidR="00780580" w:rsidRPr="00780580" w:rsidRDefault="00780580" w:rsidP="00780580">
      <w:pPr>
        <w:jc w:val="both"/>
        <w:rPr>
          <w:rFonts w:ascii="Bookman Old Style" w:hAnsi="Bookman Old Style" w:cs="Calibri"/>
        </w:rPr>
      </w:pPr>
    </w:p>
    <w:p w14:paraId="58E0785F"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6"/>
      </w:r>
    </w:p>
    <w:p w14:paraId="3676BF23" w14:textId="77777777" w:rsidR="00780580" w:rsidRPr="00780580" w:rsidRDefault="00780580" w:rsidP="00780580">
      <w:pPr>
        <w:pStyle w:val="Sinespaciado"/>
        <w:jc w:val="both"/>
        <w:rPr>
          <w:rFonts w:ascii="Bookman Old Style" w:hAnsi="Bookman Old Style"/>
        </w:rPr>
      </w:pPr>
      <w:bookmarkStart w:id="2" w:name="_Toc5023213"/>
    </w:p>
    <w:p w14:paraId="048F6767" w14:textId="77777777" w:rsidR="00780580" w:rsidRPr="00780580" w:rsidRDefault="00780580" w:rsidP="00780580">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7"/>
      </w:r>
      <w:r w:rsidRPr="00780580">
        <w:rPr>
          <w:rFonts w:ascii="Bookman Old Style" w:hAnsi="Bookman Old Style"/>
          <w:lang w:val="es-ES"/>
        </w:rPr>
        <w:t xml:space="preserve"> Casi un año después de la implementación de la medida, se tienen los siguientes resultados alentadores: </w:t>
      </w:r>
    </w:p>
    <w:p w14:paraId="0C7E8B0D" w14:textId="77777777" w:rsidR="00780580" w:rsidRPr="00780580" w:rsidRDefault="00780580" w:rsidP="00780580">
      <w:pPr>
        <w:pStyle w:val="Sinespaciado"/>
        <w:jc w:val="both"/>
        <w:rPr>
          <w:rFonts w:ascii="Bookman Old Style" w:hAnsi="Bookman Old Style"/>
          <w:lang w:val="es-ES"/>
        </w:rPr>
      </w:pPr>
    </w:p>
    <w:p w14:paraId="6DA920C6"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lastRenderedPageBreak/>
        <w:t>El mercado ilegal ya ha perdido un 30% de su participación y no se ha visto un incremento del mercado total del cannabis. Esto representa alrededor de USD 2$ billones en ventas que no pasaron por organizaciones criminales.</w:t>
      </w:r>
    </w:p>
    <w:p w14:paraId="0C5B4ED5"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25EC0172"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6A003180" w14:textId="77777777" w:rsidR="00780580" w:rsidRPr="00780580" w:rsidRDefault="00780580" w:rsidP="00780580">
      <w:pPr>
        <w:pStyle w:val="Sinespaciado"/>
        <w:jc w:val="both"/>
        <w:rPr>
          <w:rFonts w:ascii="Bookman Old Style" w:hAnsi="Bookman Old Style"/>
          <w:lang w:val="es-ES"/>
        </w:rPr>
      </w:pPr>
    </w:p>
    <w:p w14:paraId="2477F975"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29A9BDF2" w14:textId="77777777" w:rsidR="00780580" w:rsidRPr="00780580" w:rsidRDefault="00780580" w:rsidP="00780580">
      <w:pPr>
        <w:pStyle w:val="Sinespaciado"/>
        <w:jc w:val="both"/>
        <w:rPr>
          <w:rFonts w:ascii="Bookman Old Style" w:hAnsi="Bookman Old Style"/>
          <w:b/>
        </w:rPr>
      </w:pPr>
    </w:p>
    <w:p w14:paraId="6FE8A87B"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Dichas opciones de compra y producción legales han representado un fuerte golpe a las economías al margen de la ley. El Instituto de Regulación y Control del Cannabis de Uruguay (IRCCA) en su reporte</w:t>
      </w:r>
      <w:r w:rsidRPr="00780580">
        <w:rPr>
          <w:rStyle w:val="Refdenotaalpie"/>
          <w:rFonts w:ascii="Bookman Old Style" w:hAnsi="Bookman Old Style" w:cs="Calibri"/>
        </w:rPr>
        <w:footnoteReference w:id="38"/>
      </w:r>
      <w:r w:rsidRPr="00780580">
        <w:rPr>
          <w:rFonts w:ascii="Bookman Old Style" w:hAnsi="Bookman Old Style"/>
        </w:rPr>
        <w:t xml:space="preserve"> para abril de 2020 indica que alrededor del 22% de los usuarios de marihuana participan en el mercado regulado. Según el reporte del IRCCA,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9"/>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4B946008" w14:textId="77777777" w:rsidR="00780580" w:rsidRPr="00780580" w:rsidRDefault="00780580" w:rsidP="00780580">
      <w:pPr>
        <w:rPr>
          <w:rFonts w:ascii="Bookman Old Style" w:hAnsi="Bookman Old Style"/>
        </w:rPr>
      </w:pPr>
    </w:p>
    <w:p w14:paraId="1634FBBC" w14:textId="77777777" w:rsidR="00780580" w:rsidRPr="00780580" w:rsidRDefault="00780580" w:rsidP="00780580">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09AA1332" w14:textId="77777777" w:rsidR="00780580" w:rsidRPr="00780580" w:rsidRDefault="00780580" w:rsidP="00780580">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5CAF2BF8" w14:textId="77777777" w:rsidR="00780580" w:rsidRPr="00780580" w:rsidRDefault="00780580" w:rsidP="00780580">
      <w:pPr>
        <w:jc w:val="center"/>
        <w:rPr>
          <w:rFonts w:ascii="Bookman Old Style" w:hAnsi="Bookman Old Style"/>
          <w:b/>
        </w:rPr>
      </w:pPr>
      <w:r w:rsidRPr="00780580">
        <w:rPr>
          <w:rFonts w:ascii="Bookman Old Style" w:hAnsi="Bookman Old Style"/>
          <w:b/>
        </w:rPr>
        <w:t>según fecha de informes realizados.</w:t>
      </w:r>
    </w:p>
    <w:p w14:paraId="4736BBE2" w14:textId="77777777" w:rsidR="00780580" w:rsidRPr="00780580" w:rsidRDefault="00780580" w:rsidP="00780580">
      <w:pPr>
        <w:pStyle w:val="Ttulo2"/>
        <w:ind w:left="0"/>
        <w:jc w:val="both"/>
        <w:rPr>
          <w:rFonts w:ascii="Bookman Old Style" w:hAnsi="Bookman Old Style" w:cs="Calibri"/>
          <w:b w:val="0"/>
          <w:sz w:val="22"/>
          <w:szCs w:val="22"/>
        </w:rPr>
      </w:pPr>
    </w:p>
    <w:p w14:paraId="19D2B16F" w14:textId="77777777" w:rsidR="00780580" w:rsidRPr="00780580" w:rsidRDefault="00780580" w:rsidP="00780580">
      <w:pPr>
        <w:rPr>
          <w:rFonts w:ascii="Bookman Old Style" w:hAnsi="Bookman Old Style"/>
        </w:rPr>
      </w:pPr>
      <w:r w:rsidRPr="00780580">
        <w:rPr>
          <w:rFonts w:ascii="Bookman Old Style" w:hAnsi="Bookman Old Style"/>
          <w:noProof/>
        </w:rPr>
        <w:lastRenderedPageBreak/>
        <w:drawing>
          <wp:inline distT="0" distB="0" distL="0" distR="0" wp14:anchorId="1842CC44" wp14:editId="55A30C64">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42EDAB1E" w14:textId="77777777" w:rsidR="00780580" w:rsidRPr="00780580" w:rsidRDefault="00780580" w:rsidP="00780580">
      <w:pPr>
        <w:rPr>
          <w:rFonts w:ascii="Bookman Old Style" w:hAnsi="Bookman Old Style"/>
          <w:b/>
        </w:rPr>
      </w:pPr>
    </w:p>
    <w:p w14:paraId="32CA75CA" w14:textId="6801E2AD" w:rsidR="00780580" w:rsidRPr="00780580" w:rsidRDefault="00780580" w:rsidP="00780580">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40"/>
      </w:r>
      <w:r w:rsidRPr="00780580">
        <w:rPr>
          <w:rFonts w:ascii="Bookman Old Style" w:hAnsi="Bookman Old Style"/>
        </w:rPr>
        <w:t xml:space="preserve"> </w:t>
      </w:r>
    </w:p>
    <w:p w14:paraId="1C15A2B2" w14:textId="77777777" w:rsidR="00780580" w:rsidRPr="00780580" w:rsidRDefault="00780580" w:rsidP="00780580">
      <w:pPr>
        <w:pStyle w:val="Sinespaciado"/>
        <w:jc w:val="both"/>
        <w:rPr>
          <w:rFonts w:ascii="Bookman Old Style" w:hAnsi="Bookman Old Style"/>
          <w:b/>
        </w:rPr>
      </w:pPr>
    </w:p>
    <w:p w14:paraId="050F581D"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Otro punto importante es que la regulación de la marihuana para uso adulto puede llevar a que los países ahorren importantes recursos en políticas punitivas y sobrepoblación carcelaria.</w:t>
      </w:r>
      <w:r w:rsidRPr="00780580">
        <w:rPr>
          <w:rStyle w:val="Refdenotaalpie"/>
          <w:rFonts w:ascii="Bookman Old Style" w:hAnsi="Bookman Old Style" w:cs="Calibri"/>
        </w:rPr>
        <w:footnoteReference w:id="41"/>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42"/>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43"/>
      </w:r>
    </w:p>
    <w:p w14:paraId="38B41505" w14:textId="77777777" w:rsidR="00780580" w:rsidRPr="00780580" w:rsidRDefault="00780580" w:rsidP="00780580">
      <w:pPr>
        <w:pStyle w:val="Sinespaciado"/>
        <w:jc w:val="both"/>
        <w:rPr>
          <w:rFonts w:ascii="Bookman Old Style" w:hAnsi="Bookman Old Style" w:cs="Calibri"/>
        </w:rPr>
      </w:pPr>
    </w:p>
    <w:p w14:paraId="6F973B67"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7CECF6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73F7C5AF"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0367C2E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3EAD33B2" w14:textId="77777777" w:rsidR="00780580" w:rsidRPr="00780580" w:rsidRDefault="00780580" w:rsidP="00780580">
      <w:pPr>
        <w:pStyle w:val="Sinespaciado"/>
        <w:jc w:val="both"/>
        <w:rPr>
          <w:rFonts w:ascii="Bookman Old Style" w:hAnsi="Bookman Old Style"/>
        </w:rPr>
      </w:pPr>
      <w:bookmarkStart w:id="3" w:name="_Toc5023216"/>
    </w:p>
    <w:p w14:paraId="15A4FF58"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nacional. Respecto a este aspecto, según un estudio de Econcept</w:t>
      </w:r>
      <w:r w:rsidRPr="00780580">
        <w:rPr>
          <w:rStyle w:val="Refdenotaalpie"/>
          <w:rFonts w:ascii="Bookman Old Style" w:hAnsi="Bookman Old Style" w:cs="Calibri"/>
        </w:rPr>
        <w:footnoteReference w:id="44"/>
      </w:r>
      <w:r w:rsidRPr="00780580">
        <w:rPr>
          <w:rFonts w:ascii="Bookman Old Style" w:hAnsi="Bookman Old Style" w:cs="Calibri"/>
        </w:rPr>
        <w:t xml:space="preserve">, la firma liderada por el ex ministro de Hacienda Juan Carlos Echeverry, las estimaciones de exportaciones </w:t>
      </w:r>
      <w:r w:rsidRPr="00780580">
        <w:rPr>
          <w:rFonts w:ascii="Bookman Old Style" w:hAnsi="Bookman Old Style" w:cs="Calibri"/>
        </w:rPr>
        <w:lastRenderedPageBreak/>
        <w:t>de cannabis podrían ascender entre los 2,300 y 17,700 millones de dólares, con un recaudo de impuesto a la renta entre 1.2 y 3.5 billones de pesos.</w:t>
      </w:r>
    </w:p>
    <w:p w14:paraId="655B6069" w14:textId="77777777" w:rsidR="00F36280" w:rsidRPr="00485CC5" w:rsidRDefault="00F36280" w:rsidP="00F36280">
      <w:pPr>
        <w:rPr>
          <w:rFonts w:ascii="Bookman Old Style" w:hAnsi="Bookman Old Style"/>
          <w:szCs w:val="24"/>
        </w:rPr>
      </w:pPr>
    </w:p>
    <w:p w14:paraId="7C518C74" w14:textId="0C8ADD0B" w:rsidR="00291DEF" w:rsidRDefault="00291DEF" w:rsidP="00291DE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464E96C8" w14:textId="77777777" w:rsidR="00291DEF" w:rsidRPr="00291DEF" w:rsidRDefault="00291DEF" w:rsidP="00291DEF">
      <w:pPr>
        <w:rPr>
          <w:rFonts w:eastAsia="Calibri"/>
        </w:rPr>
      </w:pPr>
    </w:p>
    <w:p w14:paraId="75A3EF52" w14:textId="6E27684D" w:rsidR="00291DEF" w:rsidRDefault="00291DEF" w:rsidP="00291DEF">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78D93F84" w14:textId="6D4E8847" w:rsidR="00585043" w:rsidRDefault="00585043" w:rsidP="00585043">
      <w:pPr>
        <w:rPr>
          <w:rFonts w:eastAsia="Calibri"/>
        </w:rPr>
      </w:pPr>
    </w:p>
    <w:p w14:paraId="2B6BE474" w14:textId="1F98703C" w:rsidR="00585043" w:rsidRPr="00585043" w:rsidRDefault="00585043" w:rsidP="001D5D7C">
      <w:pPr>
        <w:jc w:val="both"/>
        <w:rPr>
          <w:rFonts w:ascii="Bookman Old Style" w:eastAsia="Calibri" w:hAnsi="Bookman Old Style"/>
        </w:rPr>
      </w:pPr>
      <w:r>
        <w:rPr>
          <w:rFonts w:ascii="Bookman Old Style" w:eastAsia="Calibri" w:hAnsi="Bookman Old Style"/>
        </w:rPr>
        <w:t xml:space="preserve">Bajo esta misma línea, en mayo de 2022 se sancionó la Ley 2204 de 2022, </w:t>
      </w:r>
      <w:r w:rsidRPr="001D5D7C">
        <w:rPr>
          <w:rFonts w:ascii="Bookman Old Style" w:eastAsia="Calibri" w:hAnsi="Bookman Old Style"/>
          <w:i/>
          <w:iCs/>
        </w:rPr>
        <w:t>“Por la cual se crea el marco legal para el uso industrial y científico del cáñamo en Colombia y se dictan otras disposiciones”</w:t>
      </w:r>
      <w:r>
        <w:rPr>
          <w:rFonts w:ascii="Bookman Old Style" w:eastAsia="Calibri" w:hAnsi="Bookman Old Style"/>
        </w:rPr>
        <w:t>, la cual c</w:t>
      </w:r>
      <w:r w:rsidRPr="001D5D7C">
        <w:rPr>
          <w:rFonts w:ascii="Bookman Old Style" w:hAnsi="Bookman Old Style"/>
        </w:rPr>
        <w:t>rea el marco legal para el uso de la fibra y el grano del cáñamo, cuyo contenido de tetrahidrocannabinol (THC), incluyendo isómeros, sales y formas acidas, sea igual o menor al 0.3% o aquel porcentaje que disponga el Gobierno Nacional, lo cual incluye el uso de semillas para siembra y cultivo destinadas a la producción de grano, semillas para siembra, plantas en estado vegetativo o componente vegetal, así como tambié</w:t>
      </w:r>
      <w:r>
        <w:rPr>
          <w:rFonts w:ascii="Bookman Old Style" w:hAnsi="Bookman Old Style"/>
        </w:rPr>
        <w:t>n</w:t>
      </w:r>
      <w:r w:rsidRPr="001D5D7C">
        <w:rPr>
          <w:rFonts w:ascii="Bookman Old Style" w:hAnsi="Bookman Old Style"/>
        </w:rPr>
        <w:t xml:space="preserve"> regula la comercialización, importación, exportación, adquisición a cualquier título, almacenamiento, transporte y disposición final de semillas para siembra, grano, plantas en estado vegetativo o componente vegetal con fines industriales y fines científicos en Colombia.</w:t>
      </w:r>
    </w:p>
    <w:p w14:paraId="2D210E02" w14:textId="77777777" w:rsidR="00291DEF" w:rsidRPr="00BA2C74" w:rsidRDefault="00291DEF" w:rsidP="00291DEF">
      <w:pPr>
        <w:pStyle w:val="Ttulo2"/>
        <w:ind w:left="0"/>
        <w:jc w:val="both"/>
        <w:rPr>
          <w:rFonts w:ascii="Bookman Old Style" w:eastAsia="Calibri" w:hAnsi="Bookman Old Style" w:cs="Calibri"/>
          <w:b w:val="0"/>
          <w:sz w:val="22"/>
          <w:szCs w:val="22"/>
        </w:rPr>
      </w:pPr>
    </w:p>
    <w:p w14:paraId="682327E2" w14:textId="7441C724" w:rsidR="00291DEF" w:rsidRPr="00BA2C74" w:rsidRDefault="00617787" w:rsidP="00291DEF">
      <w:pPr>
        <w:pStyle w:val="Ttulo2"/>
        <w:ind w:left="0"/>
        <w:jc w:val="both"/>
        <w:rPr>
          <w:rFonts w:ascii="Bookman Old Style" w:eastAsia="Calibri" w:hAnsi="Bookman Old Style"/>
          <w:b w:val="0"/>
          <w:sz w:val="22"/>
          <w:szCs w:val="22"/>
        </w:rPr>
      </w:pPr>
      <w:r>
        <w:rPr>
          <w:rFonts w:ascii="Bookman Old Style" w:eastAsia="Calibri" w:hAnsi="Bookman Old Style"/>
          <w:b w:val="0"/>
          <w:sz w:val="22"/>
          <w:szCs w:val="22"/>
        </w:rPr>
        <w:lastRenderedPageBreak/>
        <w:t>Leyes que han ayudado al desarrollo de la i</w:t>
      </w:r>
      <w:r w:rsidR="00291DEF" w:rsidRPr="00BA2C74">
        <w:rPr>
          <w:rFonts w:ascii="Bookman Old Style" w:eastAsia="Calibri" w:hAnsi="Bookman Old Style"/>
          <w:b w:val="0"/>
          <w:sz w:val="22"/>
          <w:szCs w:val="22"/>
        </w:rPr>
        <w:t>ndustria del Cannabis medicinal</w:t>
      </w:r>
      <w:r>
        <w:rPr>
          <w:rFonts w:ascii="Bookman Old Style" w:eastAsia="Calibri" w:hAnsi="Bookman Old Style"/>
          <w:b w:val="0"/>
          <w:sz w:val="22"/>
          <w:szCs w:val="22"/>
        </w:rPr>
        <w:t xml:space="preserve">, el cual </w:t>
      </w:r>
      <w:r w:rsidR="00291DEF" w:rsidRPr="00BA2C74">
        <w:rPr>
          <w:rFonts w:ascii="Bookman Old Style" w:eastAsia="Calibri" w:hAnsi="Bookman Old Style"/>
          <w:b w:val="0"/>
          <w:sz w:val="22"/>
          <w:szCs w:val="22"/>
        </w:rPr>
        <w:t xml:space="preserve"> le ha traído al país diversos beneficios teniendo en consideración que el solo tramité y expedición de las licencias tienen unos costos que oscilan entre los cuatro y los cinco millones.</w:t>
      </w:r>
    </w:p>
    <w:p w14:paraId="27BDFC0B" w14:textId="77777777" w:rsidR="00291DEF" w:rsidRPr="00BA2C74" w:rsidRDefault="00291DEF" w:rsidP="00291DEF">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5"/>
      </w:r>
    </w:p>
    <w:p w14:paraId="3E7AFDE6"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A 2019 había en Colombia 56 hectáreas cultivadas responsables por la generación de 975 empleos y de US$99 millones en ingresos. FEDESARROLLO estima que para 2025, con un crecimiento tendencial de 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6"/>
      </w:r>
    </w:p>
    <w:p w14:paraId="0F6B3A79" w14:textId="77777777" w:rsidR="00291DEF" w:rsidRPr="00BA2C74" w:rsidRDefault="00291DEF" w:rsidP="00291DEF">
      <w:pPr>
        <w:pBdr>
          <w:top w:val="nil"/>
          <w:left w:val="nil"/>
          <w:bottom w:val="nil"/>
          <w:right w:val="nil"/>
          <w:between w:val="nil"/>
        </w:pBdr>
        <w:ind w:left="720"/>
        <w:jc w:val="both"/>
        <w:rPr>
          <w:rFonts w:ascii="Bookman Old Style" w:eastAsia="Calibri" w:hAnsi="Bookman Old Style" w:cs="Arial"/>
          <w:color w:val="000000"/>
          <w:lang w:val="es-ES_tradnl"/>
        </w:rPr>
      </w:pPr>
    </w:p>
    <w:p w14:paraId="1FAEE63C" w14:textId="77777777" w:rsidR="00291DEF" w:rsidRPr="00BA2C74" w:rsidRDefault="00291DEF" w:rsidP="00291DEF">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13C36111" w14:textId="77777777" w:rsidR="00291DEF" w:rsidRPr="00BA2C74" w:rsidRDefault="00291DEF" w:rsidP="00291DEF">
      <w:pPr>
        <w:ind w:left="1440"/>
        <w:jc w:val="both"/>
        <w:rPr>
          <w:rFonts w:ascii="Bookman Old Style" w:eastAsia="Calibri" w:hAnsi="Bookman Old Style" w:cs="Arial"/>
          <w:lang w:val="es-ES_tradnl"/>
        </w:rPr>
      </w:pPr>
    </w:p>
    <w:p w14:paraId="496F97C6" w14:textId="77777777" w:rsidR="00291DEF" w:rsidRPr="00BA2C74" w:rsidRDefault="00291DEF" w:rsidP="00291DEF">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7"/>
      </w:r>
    </w:p>
    <w:p w14:paraId="591E7586" w14:textId="77777777" w:rsidR="00291DEF" w:rsidRPr="00BA2C74" w:rsidRDefault="00291DEF" w:rsidP="00291DEF">
      <w:pPr>
        <w:pStyle w:val="Prrafodelista"/>
        <w:spacing w:after="0" w:line="240" w:lineRule="auto"/>
        <w:ind w:left="993"/>
        <w:jc w:val="both"/>
        <w:rPr>
          <w:rFonts w:ascii="Bookman Old Style" w:eastAsia="Calibri" w:hAnsi="Bookman Old Style" w:cs="Arial"/>
          <w:lang w:val="es-ES_tradnl"/>
        </w:rPr>
      </w:pPr>
    </w:p>
    <w:p w14:paraId="008F736B"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8"/>
      </w:r>
    </w:p>
    <w:p w14:paraId="1A4B8C44" w14:textId="77777777" w:rsidR="00291DEF" w:rsidRPr="00BA2C74" w:rsidRDefault="00291DEF" w:rsidP="00291DEF">
      <w:pPr>
        <w:pStyle w:val="Ttulo2"/>
        <w:ind w:left="0"/>
        <w:jc w:val="both"/>
        <w:rPr>
          <w:rFonts w:ascii="Bookman Old Style" w:eastAsia="Calibri" w:hAnsi="Bookman Old Style"/>
          <w:b w:val="0"/>
          <w:sz w:val="22"/>
          <w:szCs w:val="22"/>
        </w:rPr>
      </w:pPr>
    </w:p>
    <w:p w14:paraId="5F50CF9D" w14:textId="3A6CF6FA"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 xml:space="preserve">el exministro Juan Carlos Echeverry, </w:t>
      </w:r>
      <w:r w:rsidR="00A20BDA">
        <w:rPr>
          <w:rFonts w:ascii="Bookman Old Style" w:eastAsia="Calibri" w:hAnsi="Bookman Old Style" w:cs="Arial"/>
          <w:color w:val="000000"/>
          <w:lang w:val="es-ES_tradnl"/>
        </w:rPr>
        <w:t xml:space="preserve">ha manifestado en distintos foros que </w:t>
      </w:r>
      <w:r w:rsidRPr="00BA2C74">
        <w:rPr>
          <w:rFonts w:ascii="Bookman Old Style" w:eastAsia="Calibri" w:hAnsi="Bookman Old Style" w:cs="Arial"/>
          <w:color w:val="000000"/>
          <w:lang w:val="es-ES_tradnl"/>
        </w:rPr>
        <w:t>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9"/>
      </w:r>
    </w:p>
    <w:p w14:paraId="3A39A73E"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p>
    <w:p w14:paraId="50D1D894"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50"/>
      </w:r>
      <w:r w:rsidRPr="00BA2C74">
        <w:rPr>
          <w:rFonts w:ascii="Bookman Old Style" w:eastAsia="Calibri" w:hAnsi="Bookman Old Style" w:cs="Arial"/>
          <w:color w:val="000000"/>
          <w:lang w:val="es-ES_tradnl"/>
        </w:rPr>
        <w:t xml:space="preserve"> </w:t>
      </w:r>
    </w:p>
    <w:p w14:paraId="1D6E848D" w14:textId="77777777" w:rsidR="00291DEF" w:rsidRPr="00BA2C74" w:rsidRDefault="00291DEF" w:rsidP="00291DEF">
      <w:pPr>
        <w:pStyle w:val="Ttulo2"/>
        <w:ind w:left="0"/>
        <w:jc w:val="both"/>
        <w:rPr>
          <w:rFonts w:ascii="Bookman Old Style" w:eastAsia="Calibri" w:hAnsi="Bookman Old Style"/>
          <w:b w:val="0"/>
          <w:sz w:val="22"/>
          <w:szCs w:val="22"/>
          <w:lang w:val="es-ES_tradnl"/>
        </w:rPr>
      </w:pPr>
    </w:p>
    <w:p w14:paraId="793163AE" w14:textId="69D7D9C5" w:rsidR="00666F3D" w:rsidRPr="00211111" w:rsidRDefault="00291DEF" w:rsidP="00211111">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lastRenderedPageBreak/>
        <w:t xml:space="preserve">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w:t>
      </w:r>
      <w:r w:rsidRPr="00211111">
        <w:rPr>
          <w:rFonts w:ascii="Bookman Old Style" w:eastAsia="Calibri" w:hAnsi="Bookman Old Style"/>
          <w:b w:val="0"/>
          <w:sz w:val="22"/>
          <w:szCs w:val="22"/>
        </w:rPr>
        <w:t>de países que se abren a este nuevo mercado.</w:t>
      </w:r>
    </w:p>
    <w:p w14:paraId="18CA5CB8" w14:textId="5E1DCB95" w:rsidR="00211111" w:rsidRPr="001D5D7C" w:rsidRDefault="00211111" w:rsidP="00211111">
      <w:pPr>
        <w:rPr>
          <w:rFonts w:ascii="Bookman Old Style" w:eastAsia="Calibri" w:hAnsi="Bookman Old Style"/>
        </w:rPr>
      </w:pPr>
    </w:p>
    <w:p w14:paraId="3817EDA5" w14:textId="24A7FE06" w:rsidR="00211111" w:rsidRDefault="00EF13D8" w:rsidP="00EF13D8">
      <w:pPr>
        <w:jc w:val="both"/>
        <w:rPr>
          <w:rFonts w:ascii="Bookman Old Style" w:eastAsia="Calibri" w:hAnsi="Bookman Old Style"/>
        </w:rPr>
      </w:pPr>
      <w:r>
        <w:rPr>
          <w:rFonts w:ascii="Bookman Old Style" w:eastAsia="Calibri" w:hAnsi="Bookman Old Style"/>
        </w:rPr>
        <w:t>Bajo cifras oficial</w:t>
      </w:r>
      <w:r w:rsidR="006D3ED5">
        <w:rPr>
          <w:rFonts w:ascii="Bookman Old Style" w:eastAsia="Calibri" w:hAnsi="Bookman Old Style"/>
        </w:rPr>
        <w:t>es</w:t>
      </w:r>
      <w:r>
        <w:rPr>
          <w:rFonts w:ascii="Bookman Old Style" w:eastAsia="Calibri" w:hAnsi="Bookman Old Style"/>
        </w:rPr>
        <w:t xml:space="preserve"> de</w:t>
      </w:r>
      <w:r w:rsidR="00211111" w:rsidRPr="001D5D7C">
        <w:rPr>
          <w:rFonts w:ascii="Bookman Old Style" w:eastAsia="Calibri" w:hAnsi="Bookman Old Style"/>
        </w:rPr>
        <w:t xml:space="preserve"> la </w:t>
      </w:r>
      <w:r w:rsidR="00211111">
        <w:rPr>
          <w:rFonts w:ascii="Bookman Old Style" w:eastAsia="Calibri" w:hAnsi="Bookman Old Style"/>
        </w:rPr>
        <w:t>D</w:t>
      </w:r>
      <w:r w:rsidR="00211111" w:rsidRPr="001D5D7C">
        <w:rPr>
          <w:rFonts w:ascii="Bookman Old Style" w:eastAsia="Calibri" w:hAnsi="Bookman Old Style"/>
        </w:rPr>
        <w:t xml:space="preserve">irección </w:t>
      </w:r>
      <w:r w:rsidR="00211111">
        <w:rPr>
          <w:rFonts w:ascii="Bookman Old Style" w:eastAsia="Calibri" w:hAnsi="Bookman Old Style"/>
        </w:rPr>
        <w:t xml:space="preserve">de política de drogas y actividades relacionadas, del Ministerio de Justicia y del Derecho, así como </w:t>
      </w:r>
      <w:r>
        <w:rPr>
          <w:rFonts w:ascii="Bookman Old Style" w:eastAsia="Calibri" w:hAnsi="Bookman Old Style"/>
        </w:rPr>
        <w:t>del</w:t>
      </w:r>
      <w:r w:rsidR="00211111">
        <w:rPr>
          <w:rFonts w:ascii="Bookman Old Style" w:eastAsia="Calibri" w:hAnsi="Bookman Old Style"/>
        </w:rPr>
        <w:t xml:space="preserve"> Fondo Nacional de estupefacientes del Ministerio de Salud y Protección Social</w:t>
      </w:r>
      <w:r>
        <w:rPr>
          <w:rFonts w:ascii="Bookman Old Style" w:eastAsia="Calibri" w:hAnsi="Bookman Old Style"/>
        </w:rPr>
        <w:t>, tenemos que en Colombia:</w:t>
      </w:r>
    </w:p>
    <w:p w14:paraId="4B68D5B8" w14:textId="3A7ED950" w:rsidR="00EF13D8" w:rsidRDefault="00EF13D8" w:rsidP="00EF13D8">
      <w:pPr>
        <w:jc w:val="both"/>
        <w:rPr>
          <w:rFonts w:ascii="Bookman Old Style" w:eastAsia="Calibri" w:hAnsi="Bookman Old Style"/>
        </w:rPr>
      </w:pPr>
    </w:p>
    <w:p w14:paraId="2F63B5A5" w14:textId="541D6AD0" w:rsidR="00EF13D8" w:rsidRPr="001D5D7C" w:rsidRDefault="00EF13D8" w:rsidP="001D5D7C">
      <w:pPr>
        <w:pStyle w:val="Prrafodelista"/>
        <w:numPr>
          <w:ilvl w:val="0"/>
          <w:numId w:val="42"/>
        </w:numPr>
        <w:jc w:val="both"/>
        <w:rPr>
          <w:rFonts w:ascii="Bookman Old Style" w:eastAsia="Calibri" w:hAnsi="Bookman Old Style"/>
        </w:rPr>
      </w:pPr>
      <w:r>
        <w:rPr>
          <w:rFonts w:ascii="Bookman Old Style" w:eastAsia="Calibri" w:hAnsi="Bookman Old Style"/>
        </w:rPr>
        <w:t>Desde el año 2017 hasta junio 30 de 2022, se han otorgado 493 cupos de cultivo tanto para fines científicos como para producción de semillas para siembra.</w:t>
      </w:r>
    </w:p>
    <w:p w14:paraId="64FE1E5C" w14:textId="303B3FFE" w:rsidR="00291DEF" w:rsidRDefault="00EF13D8" w:rsidP="00291DEF">
      <w:pPr>
        <w:rPr>
          <w:rFonts w:eastAsia="Calibri"/>
        </w:rPr>
      </w:pPr>
      <w:r>
        <w:rPr>
          <w:noProof/>
          <w:lang w:val="es-ES"/>
        </w:rPr>
        <w:drawing>
          <wp:inline distT="0" distB="0" distL="0" distR="0" wp14:anchorId="6C12CD2F" wp14:editId="6F37283F">
            <wp:extent cx="5612130" cy="194627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5612130" cy="1946275"/>
                    </a:xfrm>
                    <a:prstGeom prst="rect">
                      <a:avLst/>
                    </a:prstGeom>
                  </pic:spPr>
                </pic:pic>
              </a:graphicData>
            </a:graphic>
          </wp:inline>
        </w:drawing>
      </w:r>
    </w:p>
    <w:p w14:paraId="31BE5FB8" w14:textId="729DC7CD" w:rsidR="00291DEF" w:rsidRDefault="00EF13D8" w:rsidP="00291DEF">
      <w:pPr>
        <w:rPr>
          <w:rFonts w:eastAsia="Calibri"/>
        </w:rPr>
      </w:pPr>
      <w:r>
        <w:rPr>
          <w:noProof/>
          <w:lang w:val="es-ES"/>
        </w:rPr>
        <w:drawing>
          <wp:inline distT="0" distB="0" distL="0" distR="0" wp14:anchorId="59FDBDE8" wp14:editId="354D3DF4">
            <wp:extent cx="5612130" cy="2621280"/>
            <wp:effectExtent l="0" t="0" r="7620" b="7620"/>
            <wp:docPr id="8" name="Imagen 8"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2621280"/>
                    </a:xfrm>
                    <a:prstGeom prst="rect">
                      <a:avLst/>
                    </a:prstGeom>
                  </pic:spPr>
                </pic:pic>
              </a:graphicData>
            </a:graphic>
          </wp:inline>
        </w:drawing>
      </w:r>
    </w:p>
    <w:p w14:paraId="2A06FF08" w14:textId="03C7884B" w:rsidR="00EF13D8" w:rsidRDefault="00EF13D8" w:rsidP="00291DEF">
      <w:pPr>
        <w:rPr>
          <w:rFonts w:eastAsia="Calibri"/>
        </w:rPr>
      </w:pPr>
    </w:p>
    <w:p w14:paraId="1B6A0A49" w14:textId="50CAEA04" w:rsidR="00C63160" w:rsidRDefault="00EF13D8" w:rsidP="006D3ED5">
      <w:pPr>
        <w:pStyle w:val="Prrafodelista"/>
        <w:numPr>
          <w:ilvl w:val="0"/>
          <w:numId w:val="42"/>
        </w:numPr>
        <w:spacing w:after="0" w:line="240" w:lineRule="auto"/>
        <w:jc w:val="both"/>
        <w:rPr>
          <w:rFonts w:ascii="Bookman Old Style" w:eastAsia="Calibri" w:hAnsi="Bookman Old Style"/>
        </w:rPr>
      </w:pPr>
      <w:r w:rsidRPr="001D5D7C">
        <w:rPr>
          <w:rFonts w:ascii="Bookman Old Style" w:eastAsia="Calibri" w:hAnsi="Bookman Old Style"/>
        </w:rPr>
        <w:t xml:space="preserve">Bajo ese mismo periodo se han otorgado </w:t>
      </w:r>
      <w:r w:rsidR="00C63160" w:rsidRPr="001D5D7C">
        <w:rPr>
          <w:rFonts w:ascii="Bookman Old Style" w:eastAsia="Calibri" w:hAnsi="Bookman Old Style"/>
        </w:rPr>
        <w:t>más de 202 cupos para la fabricación de derivados de cannabis en las modalidades de investigación, uso nacional y exportación</w:t>
      </w:r>
      <w:r w:rsidR="00C63160" w:rsidRPr="006D3ED5">
        <w:rPr>
          <w:rFonts w:ascii="Bookman Old Style" w:eastAsia="Calibri" w:hAnsi="Bookman Old Style"/>
        </w:rPr>
        <w:t xml:space="preserve">, correspondientes a </w:t>
      </w:r>
      <w:r w:rsidR="00C63160" w:rsidRPr="001D5D7C">
        <w:rPr>
          <w:rFonts w:ascii="Bookman Old Style" w:hAnsi="Bookman Old Style"/>
        </w:rPr>
        <w:t>482.071,97 Kg de cannabis</w:t>
      </w:r>
      <w:r w:rsidR="00C63160" w:rsidRPr="001D5D7C">
        <w:rPr>
          <w:rFonts w:ascii="Bookman Old Style" w:eastAsia="Calibri" w:hAnsi="Bookman Old Style"/>
        </w:rPr>
        <w:t>.</w:t>
      </w:r>
    </w:p>
    <w:p w14:paraId="13808016" w14:textId="77777777" w:rsidR="006D3ED5" w:rsidRPr="001D5D7C" w:rsidRDefault="006D3ED5" w:rsidP="001D5D7C">
      <w:pPr>
        <w:pStyle w:val="Prrafodelista"/>
        <w:spacing w:after="0" w:line="240" w:lineRule="auto"/>
        <w:jc w:val="both"/>
        <w:rPr>
          <w:rFonts w:ascii="Bookman Old Style" w:eastAsia="Calibri" w:hAnsi="Bookman Old Style"/>
        </w:rPr>
      </w:pPr>
    </w:p>
    <w:tbl>
      <w:tblPr>
        <w:tblStyle w:val="Tablaconcuadrcula"/>
        <w:tblW w:w="0" w:type="auto"/>
        <w:tblLook w:val="04A0" w:firstRow="1" w:lastRow="0" w:firstColumn="1" w:lastColumn="0" w:noHBand="0" w:noVBand="1"/>
      </w:tblPr>
      <w:tblGrid>
        <w:gridCol w:w="2207"/>
        <w:gridCol w:w="2207"/>
        <w:gridCol w:w="2207"/>
        <w:gridCol w:w="2207"/>
      </w:tblGrid>
      <w:tr w:rsidR="00C63160" w14:paraId="1BA95DAC" w14:textId="77777777" w:rsidTr="00E00894">
        <w:tc>
          <w:tcPr>
            <w:tcW w:w="2207" w:type="dxa"/>
          </w:tcPr>
          <w:p w14:paraId="434CDF89" w14:textId="371CD512"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lastRenderedPageBreak/>
              <w:t>AÑO</w:t>
            </w:r>
          </w:p>
        </w:tc>
        <w:tc>
          <w:tcPr>
            <w:tcW w:w="2207" w:type="dxa"/>
          </w:tcPr>
          <w:p w14:paraId="77285120" w14:textId="0F84CE51"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INVESTIGACIÓN</w:t>
            </w:r>
          </w:p>
        </w:tc>
        <w:tc>
          <w:tcPr>
            <w:tcW w:w="2207" w:type="dxa"/>
          </w:tcPr>
          <w:p w14:paraId="60BD27F7" w14:textId="483945A7"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USO NACIONAL</w:t>
            </w:r>
          </w:p>
        </w:tc>
        <w:tc>
          <w:tcPr>
            <w:tcW w:w="2207" w:type="dxa"/>
          </w:tcPr>
          <w:p w14:paraId="53B32BEF" w14:textId="33A0463B" w:rsidR="00C63160" w:rsidRPr="001D5D7C" w:rsidRDefault="00C63160" w:rsidP="00E00894">
            <w:pPr>
              <w:jc w:val="center"/>
              <w:rPr>
                <w:rFonts w:ascii="Bookman Old Style" w:hAnsi="Bookman Old Style"/>
                <w:b/>
                <w:bCs/>
                <w:lang w:val="es-ES"/>
              </w:rPr>
            </w:pPr>
            <w:r w:rsidRPr="00C63160">
              <w:rPr>
                <w:rFonts w:ascii="Bookman Old Style" w:hAnsi="Bookman Old Style"/>
                <w:b/>
                <w:bCs/>
                <w:lang w:val="es-ES"/>
              </w:rPr>
              <w:t>MODALIDAD EXPORTACIÓN</w:t>
            </w:r>
          </w:p>
        </w:tc>
      </w:tr>
      <w:tr w:rsidR="00C63160" w14:paraId="0961C769" w14:textId="77777777" w:rsidTr="00E00894">
        <w:tc>
          <w:tcPr>
            <w:tcW w:w="2207" w:type="dxa"/>
          </w:tcPr>
          <w:p w14:paraId="4B7B4DE6"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2017</w:t>
            </w:r>
          </w:p>
        </w:tc>
        <w:tc>
          <w:tcPr>
            <w:tcW w:w="2207" w:type="dxa"/>
          </w:tcPr>
          <w:p w14:paraId="54685628"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41BE220F"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362D780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r>
      <w:tr w:rsidR="00C63160" w14:paraId="0B7CB435" w14:textId="77777777" w:rsidTr="00E00894">
        <w:tc>
          <w:tcPr>
            <w:tcW w:w="2207" w:type="dxa"/>
          </w:tcPr>
          <w:p w14:paraId="072BC317"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2018</w:t>
            </w:r>
          </w:p>
        </w:tc>
        <w:tc>
          <w:tcPr>
            <w:tcW w:w="2207" w:type="dxa"/>
          </w:tcPr>
          <w:p w14:paraId="34E808D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5 cupos – 1.445,2 Kg.</w:t>
            </w:r>
          </w:p>
        </w:tc>
        <w:tc>
          <w:tcPr>
            <w:tcW w:w="2207" w:type="dxa"/>
          </w:tcPr>
          <w:p w14:paraId="44A7345C"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c>
          <w:tcPr>
            <w:tcW w:w="2207" w:type="dxa"/>
          </w:tcPr>
          <w:p w14:paraId="5D907F9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0</w:t>
            </w:r>
          </w:p>
        </w:tc>
      </w:tr>
      <w:tr w:rsidR="00C63160" w14:paraId="5C611E08" w14:textId="77777777" w:rsidTr="00E00894">
        <w:tc>
          <w:tcPr>
            <w:tcW w:w="2207" w:type="dxa"/>
          </w:tcPr>
          <w:p w14:paraId="4A1A06A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2019</w:t>
            </w:r>
          </w:p>
        </w:tc>
        <w:tc>
          <w:tcPr>
            <w:tcW w:w="2207" w:type="dxa"/>
          </w:tcPr>
          <w:p w14:paraId="637D433A"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15 cupos – 4.610,70 Kg.</w:t>
            </w:r>
          </w:p>
        </w:tc>
        <w:tc>
          <w:tcPr>
            <w:tcW w:w="2207" w:type="dxa"/>
          </w:tcPr>
          <w:p w14:paraId="5788E1C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7 cupos – 886,90 Kg.</w:t>
            </w:r>
          </w:p>
        </w:tc>
        <w:tc>
          <w:tcPr>
            <w:tcW w:w="2207" w:type="dxa"/>
          </w:tcPr>
          <w:p w14:paraId="3949B993"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3 cupos – 1.074,12 Kg.</w:t>
            </w:r>
          </w:p>
        </w:tc>
      </w:tr>
      <w:tr w:rsidR="00C63160" w14:paraId="754242AC" w14:textId="77777777" w:rsidTr="00E00894">
        <w:tc>
          <w:tcPr>
            <w:tcW w:w="2207" w:type="dxa"/>
          </w:tcPr>
          <w:p w14:paraId="14CA0CC0"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2020</w:t>
            </w:r>
          </w:p>
        </w:tc>
        <w:tc>
          <w:tcPr>
            <w:tcW w:w="2207" w:type="dxa"/>
          </w:tcPr>
          <w:p w14:paraId="2657CE2F"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45 cupos – 7.543,53 Kg.</w:t>
            </w:r>
          </w:p>
        </w:tc>
        <w:tc>
          <w:tcPr>
            <w:tcW w:w="2207" w:type="dxa"/>
          </w:tcPr>
          <w:p w14:paraId="118DAFE7"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8 cupos – 5.180,20 Kg.</w:t>
            </w:r>
          </w:p>
        </w:tc>
        <w:tc>
          <w:tcPr>
            <w:tcW w:w="2207" w:type="dxa"/>
          </w:tcPr>
          <w:p w14:paraId="03A1E7B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18 cupos – 44.419,6 Kg.</w:t>
            </w:r>
          </w:p>
        </w:tc>
      </w:tr>
      <w:tr w:rsidR="00C63160" w14:paraId="5F8ABD1B" w14:textId="77777777" w:rsidTr="00E00894">
        <w:tc>
          <w:tcPr>
            <w:tcW w:w="2207" w:type="dxa"/>
          </w:tcPr>
          <w:p w14:paraId="0A04A45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2021</w:t>
            </w:r>
          </w:p>
        </w:tc>
        <w:tc>
          <w:tcPr>
            <w:tcW w:w="2207" w:type="dxa"/>
          </w:tcPr>
          <w:p w14:paraId="6F226291"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29 cupos – 10.143,26 Kg.</w:t>
            </w:r>
          </w:p>
        </w:tc>
        <w:tc>
          <w:tcPr>
            <w:tcW w:w="2207" w:type="dxa"/>
          </w:tcPr>
          <w:p w14:paraId="152C4C4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14 cupos - 7.859,50 Kg.</w:t>
            </w:r>
          </w:p>
        </w:tc>
        <w:tc>
          <w:tcPr>
            <w:tcW w:w="2207" w:type="dxa"/>
          </w:tcPr>
          <w:p w14:paraId="5F767C48"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19 cupos – 191.492,155 Kg.</w:t>
            </w:r>
          </w:p>
        </w:tc>
      </w:tr>
      <w:tr w:rsidR="00C63160" w14:paraId="0639E4B6" w14:textId="77777777" w:rsidTr="00E00894">
        <w:tc>
          <w:tcPr>
            <w:tcW w:w="2207" w:type="dxa"/>
          </w:tcPr>
          <w:p w14:paraId="6885A4AD"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2022 a junio 30.</w:t>
            </w:r>
          </w:p>
        </w:tc>
        <w:tc>
          <w:tcPr>
            <w:tcW w:w="2207" w:type="dxa"/>
          </w:tcPr>
          <w:p w14:paraId="6A0B61F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16 cupos – 3.791,53 Kg.</w:t>
            </w:r>
          </w:p>
        </w:tc>
        <w:tc>
          <w:tcPr>
            <w:tcW w:w="2207" w:type="dxa"/>
          </w:tcPr>
          <w:p w14:paraId="51B9B710"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11 cupos – 8.585,09 Kg.</w:t>
            </w:r>
          </w:p>
        </w:tc>
        <w:tc>
          <w:tcPr>
            <w:tcW w:w="2207" w:type="dxa"/>
          </w:tcPr>
          <w:p w14:paraId="5CB0D074"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12 cupos – 195.040,191 Kg.</w:t>
            </w:r>
          </w:p>
        </w:tc>
      </w:tr>
      <w:tr w:rsidR="00C63160" w14:paraId="345CC965" w14:textId="77777777" w:rsidTr="001D5D7C">
        <w:tc>
          <w:tcPr>
            <w:tcW w:w="2207" w:type="dxa"/>
            <w:shd w:val="clear" w:color="auto" w:fill="BFBFBF" w:themeFill="background1" w:themeFillShade="BF"/>
          </w:tcPr>
          <w:p w14:paraId="7607C32D" w14:textId="77777777" w:rsidR="00C63160" w:rsidRPr="001D5D7C" w:rsidRDefault="00C63160" w:rsidP="00E00894">
            <w:pPr>
              <w:jc w:val="center"/>
              <w:rPr>
                <w:rFonts w:ascii="Bookman Old Style" w:hAnsi="Bookman Old Style"/>
                <w:b/>
                <w:bCs/>
                <w:lang w:val="es-ES"/>
              </w:rPr>
            </w:pPr>
            <w:r w:rsidRPr="001D5D7C">
              <w:rPr>
                <w:rFonts w:ascii="Bookman Old Style" w:hAnsi="Bookman Old Style"/>
                <w:b/>
                <w:bCs/>
                <w:lang w:val="es-ES"/>
              </w:rPr>
              <w:t>TOTAL MODALIDAD</w:t>
            </w:r>
          </w:p>
        </w:tc>
        <w:tc>
          <w:tcPr>
            <w:tcW w:w="2207" w:type="dxa"/>
            <w:shd w:val="clear" w:color="auto" w:fill="BFBFBF" w:themeFill="background1" w:themeFillShade="BF"/>
          </w:tcPr>
          <w:p w14:paraId="22D783D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110 cupos – 27.534,22 Kg.</w:t>
            </w:r>
          </w:p>
        </w:tc>
        <w:tc>
          <w:tcPr>
            <w:tcW w:w="2207" w:type="dxa"/>
            <w:shd w:val="clear" w:color="auto" w:fill="BFBFBF" w:themeFill="background1" w:themeFillShade="BF"/>
          </w:tcPr>
          <w:p w14:paraId="40EAB27E"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40 cupos – 22.511,69 Kg.</w:t>
            </w:r>
          </w:p>
        </w:tc>
        <w:tc>
          <w:tcPr>
            <w:tcW w:w="2207" w:type="dxa"/>
            <w:shd w:val="clear" w:color="auto" w:fill="BFBFBF" w:themeFill="background1" w:themeFillShade="BF"/>
          </w:tcPr>
          <w:p w14:paraId="06CE5342" w14:textId="77777777" w:rsidR="00C63160" w:rsidRPr="001D5D7C" w:rsidRDefault="00C63160" w:rsidP="00E00894">
            <w:pPr>
              <w:jc w:val="center"/>
              <w:rPr>
                <w:rFonts w:ascii="Bookman Old Style" w:hAnsi="Bookman Old Style"/>
                <w:lang w:val="es-ES"/>
              </w:rPr>
            </w:pPr>
            <w:r w:rsidRPr="001D5D7C">
              <w:rPr>
                <w:rFonts w:ascii="Bookman Old Style" w:hAnsi="Bookman Old Style"/>
                <w:lang w:val="es-ES"/>
              </w:rPr>
              <w:t>52 cupos – 432.026,06 Kg.</w:t>
            </w:r>
          </w:p>
        </w:tc>
      </w:tr>
    </w:tbl>
    <w:p w14:paraId="0EF2C1D5" w14:textId="1D228A9F" w:rsidR="00EF13D8" w:rsidRDefault="00EF13D8" w:rsidP="00291DEF">
      <w:pPr>
        <w:rPr>
          <w:rFonts w:eastAsia="Calibri"/>
        </w:rPr>
      </w:pPr>
    </w:p>
    <w:p w14:paraId="512CC689" w14:textId="605CA39A" w:rsidR="00EF13D8" w:rsidRPr="001D5D7C" w:rsidRDefault="006D3ED5" w:rsidP="001D5D7C">
      <w:pPr>
        <w:pStyle w:val="Prrafodelista"/>
        <w:numPr>
          <w:ilvl w:val="0"/>
          <w:numId w:val="42"/>
        </w:numPr>
        <w:spacing w:line="240" w:lineRule="auto"/>
        <w:jc w:val="both"/>
        <w:rPr>
          <w:rFonts w:ascii="Bookman Old Style" w:eastAsia="Calibri" w:hAnsi="Bookman Old Style"/>
        </w:rPr>
      </w:pPr>
      <w:r w:rsidRPr="001D5D7C">
        <w:rPr>
          <w:rFonts w:ascii="Bookman Old Style" w:eastAsia="Calibri" w:hAnsi="Bookman Old Style"/>
        </w:rPr>
        <w:t>Con corte al 30 de junio de 2022 el Ministerio de Justicia y del Derecho ha otorgado, en total, 279 licencias de semillas para siembra y grano, en una o varias modalidades.</w:t>
      </w:r>
    </w:p>
    <w:p w14:paraId="70AE7785" w14:textId="0ADC3AF8" w:rsidR="00C63160" w:rsidRDefault="006D3ED5" w:rsidP="00291DEF">
      <w:pPr>
        <w:rPr>
          <w:rFonts w:eastAsia="Calibri"/>
        </w:rPr>
      </w:pPr>
      <w:r w:rsidRPr="00933EEE">
        <w:rPr>
          <w:rFonts w:ascii="Bookman Old Style" w:hAnsi="Bookman Old Style"/>
          <w:noProof/>
          <w:lang w:val="es-ES"/>
        </w:rPr>
        <w:lastRenderedPageBreak/>
        <w:drawing>
          <wp:inline distT="0" distB="0" distL="0" distR="0" wp14:anchorId="3DCEF02B" wp14:editId="2BC394D0">
            <wp:extent cx="5581650" cy="5724525"/>
            <wp:effectExtent l="0" t="0" r="0" b="9525"/>
            <wp:docPr id="9" name="Imagen 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581650" cy="5724525"/>
                    </a:xfrm>
                    <a:prstGeom prst="rect">
                      <a:avLst/>
                    </a:prstGeom>
                  </pic:spPr>
                </pic:pic>
              </a:graphicData>
            </a:graphic>
          </wp:inline>
        </w:drawing>
      </w:r>
    </w:p>
    <w:p w14:paraId="01A48B59" w14:textId="050E1DCB" w:rsidR="00C63160" w:rsidRDefault="00C63160" w:rsidP="00291DEF">
      <w:pPr>
        <w:rPr>
          <w:rFonts w:eastAsia="Calibri"/>
        </w:rPr>
      </w:pPr>
    </w:p>
    <w:p w14:paraId="211586F0" w14:textId="5C1646BE" w:rsidR="00762188" w:rsidRDefault="00762188" w:rsidP="001D5D7C">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862 licencias de cultivo de plantas de cannabis psicoactivo, en una o varias modalidades.</w:t>
      </w:r>
    </w:p>
    <w:p w14:paraId="5DA4D850" w14:textId="77777777" w:rsidR="00762188" w:rsidRPr="001D5D7C" w:rsidRDefault="00762188" w:rsidP="001D5D7C">
      <w:pPr>
        <w:pStyle w:val="Prrafodelista"/>
        <w:spacing w:line="240" w:lineRule="auto"/>
        <w:jc w:val="both"/>
        <w:rPr>
          <w:rFonts w:ascii="Bookman Old Style" w:hAnsi="Bookman Old Style"/>
        </w:rPr>
      </w:pPr>
    </w:p>
    <w:p w14:paraId="2585F553" w14:textId="77777777" w:rsidR="00461422" w:rsidRDefault="00762188" w:rsidP="001D5D7C">
      <w:pPr>
        <w:pStyle w:val="Prrafodelista"/>
        <w:numPr>
          <w:ilvl w:val="0"/>
          <w:numId w:val="42"/>
        </w:numPr>
        <w:spacing w:line="240" w:lineRule="auto"/>
        <w:jc w:val="both"/>
        <w:rPr>
          <w:rFonts w:ascii="Bookman Old Style" w:hAnsi="Bookman Old Style"/>
        </w:rPr>
      </w:pPr>
      <w:r w:rsidRPr="001D5D7C">
        <w:rPr>
          <w:rFonts w:ascii="Bookman Old Style" w:hAnsi="Bookman Old Style"/>
        </w:rPr>
        <w:t>Con corte al 30 de junio de 2022 el Ministerio de Justicia y del Derecho ha otorgado, en total, 18 licencias de cultivo de plantas de cannabis psicoactivo, en una o varias modalidades, a pequeños y medianos cultivadores y productores.</w:t>
      </w:r>
    </w:p>
    <w:p w14:paraId="1F212814" w14:textId="77777777" w:rsidR="00461422" w:rsidRPr="001D5D7C" w:rsidRDefault="00461422" w:rsidP="001D5D7C">
      <w:pPr>
        <w:pStyle w:val="Prrafodelista"/>
        <w:spacing w:line="240" w:lineRule="auto"/>
        <w:rPr>
          <w:rFonts w:ascii="Bookman Old Style" w:hAnsi="Bookman Old Style"/>
        </w:rPr>
      </w:pPr>
    </w:p>
    <w:p w14:paraId="6413A5A0" w14:textId="4DA8E2E8" w:rsidR="00D71D62" w:rsidRPr="001D5D7C" w:rsidRDefault="00461422" w:rsidP="001D5D7C">
      <w:pPr>
        <w:pStyle w:val="Prrafodelista"/>
        <w:numPr>
          <w:ilvl w:val="0"/>
          <w:numId w:val="42"/>
        </w:numPr>
        <w:spacing w:line="240" w:lineRule="auto"/>
        <w:jc w:val="both"/>
        <w:rPr>
          <w:rFonts w:ascii="Bookman Old Style" w:hAnsi="Bookman Old Style"/>
        </w:rPr>
      </w:pPr>
      <w:r>
        <w:rPr>
          <w:rFonts w:ascii="Bookman Old Style" w:hAnsi="Bookman Old Style"/>
        </w:rPr>
        <w:t xml:space="preserve">Con corte al 30 de junio de 2022, los montos </w:t>
      </w:r>
      <w:r w:rsidR="00762188" w:rsidRPr="001D5D7C">
        <w:rPr>
          <w:rFonts w:ascii="Bookman Old Style" w:hAnsi="Bookman Old Style"/>
        </w:rPr>
        <w:t xml:space="preserve">recaudados por concepto de trámite de licencias de uso de semillas de cannabis y licencias de cultivo de </w:t>
      </w:r>
      <w:r w:rsidR="00762188" w:rsidRPr="001D5D7C">
        <w:rPr>
          <w:rFonts w:ascii="Bookman Old Style" w:hAnsi="Bookman Old Style"/>
        </w:rPr>
        <w:lastRenderedPageBreak/>
        <w:t>plantas de cannabis</w:t>
      </w:r>
      <w:r>
        <w:rPr>
          <w:rFonts w:ascii="Bookman Old Style" w:hAnsi="Bookman Old Style"/>
        </w:rPr>
        <w:t xml:space="preserve"> ascienden a un valor superior a los </w:t>
      </w:r>
      <w:r w:rsidRPr="00933EEE">
        <w:rPr>
          <w:rFonts w:ascii="Bookman Old Style" w:hAnsi="Bookman Old Style"/>
          <w:lang w:val="es-ES"/>
        </w:rPr>
        <w:t>cuarenta y dos mil cuatrocientos millones de pesos</w:t>
      </w:r>
      <w:r w:rsidR="00762188" w:rsidRPr="001D5D7C">
        <w:rPr>
          <w:rFonts w:ascii="Bookman Old Style" w:hAnsi="Bookman Old Style"/>
        </w:rPr>
        <w:t>.</w:t>
      </w:r>
    </w:p>
    <w:tbl>
      <w:tblPr>
        <w:tblStyle w:val="Tablaconcuadrcula"/>
        <w:tblW w:w="0" w:type="auto"/>
        <w:tblLook w:val="04A0" w:firstRow="1" w:lastRow="0" w:firstColumn="1" w:lastColumn="0" w:noHBand="0" w:noVBand="1"/>
      </w:tblPr>
      <w:tblGrid>
        <w:gridCol w:w="4414"/>
        <w:gridCol w:w="4414"/>
      </w:tblGrid>
      <w:tr w:rsidR="00D71D62" w:rsidRPr="00933EEE" w14:paraId="6B84B321" w14:textId="77777777" w:rsidTr="00E00894">
        <w:tc>
          <w:tcPr>
            <w:tcW w:w="8828" w:type="dxa"/>
            <w:gridSpan w:val="2"/>
          </w:tcPr>
          <w:p w14:paraId="646400EF"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RECAUDO TOTAL POR CONCEPTO DE LICENCIAS DE SEMILLAS Y DE CULTIVO DE PLANTAS DE CANNABIS</w:t>
            </w:r>
          </w:p>
        </w:tc>
      </w:tr>
      <w:tr w:rsidR="00D71D62" w:rsidRPr="00933EEE" w14:paraId="2BE9A7B5" w14:textId="77777777" w:rsidTr="00E00894">
        <w:tc>
          <w:tcPr>
            <w:tcW w:w="4414" w:type="dxa"/>
          </w:tcPr>
          <w:p w14:paraId="5CD8DED0"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AÑO</w:t>
            </w:r>
          </w:p>
        </w:tc>
        <w:tc>
          <w:tcPr>
            <w:tcW w:w="4414" w:type="dxa"/>
          </w:tcPr>
          <w:p w14:paraId="06E8CC13"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VALOR RECAUDADO</w:t>
            </w:r>
          </w:p>
        </w:tc>
      </w:tr>
      <w:tr w:rsidR="00D71D62" w:rsidRPr="00933EEE" w14:paraId="738D7BAB" w14:textId="77777777" w:rsidTr="00E00894">
        <w:tc>
          <w:tcPr>
            <w:tcW w:w="4414" w:type="dxa"/>
          </w:tcPr>
          <w:p w14:paraId="3DD38413"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2017</w:t>
            </w:r>
          </w:p>
        </w:tc>
        <w:tc>
          <w:tcPr>
            <w:tcW w:w="4414" w:type="dxa"/>
          </w:tcPr>
          <w:p w14:paraId="767EA504"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$ 811.950´453.43</w:t>
            </w:r>
          </w:p>
        </w:tc>
      </w:tr>
      <w:tr w:rsidR="00D71D62" w:rsidRPr="00933EEE" w14:paraId="2F66D217" w14:textId="77777777" w:rsidTr="00E00894">
        <w:tc>
          <w:tcPr>
            <w:tcW w:w="4414" w:type="dxa"/>
          </w:tcPr>
          <w:p w14:paraId="15CE3AA5"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2018</w:t>
            </w:r>
          </w:p>
        </w:tc>
        <w:tc>
          <w:tcPr>
            <w:tcW w:w="4414" w:type="dxa"/>
          </w:tcPr>
          <w:p w14:paraId="23AC9898"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$ 9.506´181.534,62</w:t>
            </w:r>
          </w:p>
        </w:tc>
      </w:tr>
      <w:tr w:rsidR="00D71D62" w:rsidRPr="00933EEE" w14:paraId="05670E0A" w14:textId="77777777" w:rsidTr="00E00894">
        <w:tc>
          <w:tcPr>
            <w:tcW w:w="4414" w:type="dxa"/>
          </w:tcPr>
          <w:p w14:paraId="16969227"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2019</w:t>
            </w:r>
          </w:p>
        </w:tc>
        <w:tc>
          <w:tcPr>
            <w:tcW w:w="4414" w:type="dxa"/>
          </w:tcPr>
          <w:p w14:paraId="297194D2"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$ 14.394´922.757,45</w:t>
            </w:r>
          </w:p>
        </w:tc>
      </w:tr>
      <w:tr w:rsidR="00D71D62" w:rsidRPr="00933EEE" w14:paraId="5F7B9C58" w14:textId="77777777" w:rsidTr="00E00894">
        <w:tc>
          <w:tcPr>
            <w:tcW w:w="4414" w:type="dxa"/>
          </w:tcPr>
          <w:p w14:paraId="5D924FA0"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2020</w:t>
            </w:r>
          </w:p>
        </w:tc>
        <w:tc>
          <w:tcPr>
            <w:tcW w:w="4414" w:type="dxa"/>
          </w:tcPr>
          <w:p w14:paraId="51059D97"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$ 5.440´612.915,45</w:t>
            </w:r>
          </w:p>
        </w:tc>
      </w:tr>
      <w:tr w:rsidR="00D71D62" w:rsidRPr="00933EEE" w14:paraId="5342F0C9" w14:textId="77777777" w:rsidTr="00E00894">
        <w:tc>
          <w:tcPr>
            <w:tcW w:w="4414" w:type="dxa"/>
          </w:tcPr>
          <w:p w14:paraId="2429CACA"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2021</w:t>
            </w:r>
          </w:p>
        </w:tc>
        <w:tc>
          <w:tcPr>
            <w:tcW w:w="4414" w:type="dxa"/>
          </w:tcPr>
          <w:p w14:paraId="725573A8"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$ 6.511´915.892,88</w:t>
            </w:r>
          </w:p>
        </w:tc>
      </w:tr>
      <w:tr w:rsidR="00D71D62" w:rsidRPr="00933EEE" w14:paraId="394EE156" w14:textId="77777777" w:rsidTr="00E00894">
        <w:tc>
          <w:tcPr>
            <w:tcW w:w="4414" w:type="dxa"/>
          </w:tcPr>
          <w:p w14:paraId="4A1C397E"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2022</w:t>
            </w:r>
          </w:p>
        </w:tc>
        <w:tc>
          <w:tcPr>
            <w:tcW w:w="4414" w:type="dxa"/>
          </w:tcPr>
          <w:p w14:paraId="37D674E2"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$ 5.750´137.541,17</w:t>
            </w:r>
          </w:p>
        </w:tc>
      </w:tr>
      <w:tr w:rsidR="00D71D62" w:rsidRPr="00933EEE" w14:paraId="11A55DE9" w14:textId="77777777" w:rsidTr="001D5D7C">
        <w:tc>
          <w:tcPr>
            <w:tcW w:w="4414" w:type="dxa"/>
            <w:shd w:val="clear" w:color="auto" w:fill="BFBFBF" w:themeFill="background1" w:themeFillShade="BF"/>
          </w:tcPr>
          <w:p w14:paraId="222774EA" w14:textId="77777777" w:rsidR="00D71D62" w:rsidRPr="00933EEE" w:rsidRDefault="00D71D62" w:rsidP="00762334">
            <w:pPr>
              <w:jc w:val="center"/>
              <w:rPr>
                <w:rFonts w:ascii="Bookman Old Style" w:hAnsi="Bookman Old Style"/>
                <w:b/>
                <w:bCs/>
                <w:lang w:val="es-ES"/>
              </w:rPr>
            </w:pPr>
            <w:r w:rsidRPr="00933EEE">
              <w:rPr>
                <w:rFonts w:ascii="Bookman Old Style" w:hAnsi="Bookman Old Style"/>
                <w:b/>
                <w:bCs/>
                <w:lang w:val="es-ES"/>
              </w:rPr>
              <w:t>Valor total recaudado</w:t>
            </w:r>
          </w:p>
        </w:tc>
        <w:tc>
          <w:tcPr>
            <w:tcW w:w="4414" w:type="dxa"/>
            <w:shd w:val="clear" w:color="auto" w:fill="BFBFBF" w:themeFill="background1" w:themeFillShade="BF"/>
          </w:tcPr>
          <w:p w14:paraId="5EBCF239" w14:textId="77777777" w:rsidR="00D71D62" w:rsidRPr="00933EEE" w:rsidRDefault="00D71D62" w:rsidP="00762334">
            <w:pPr>
              <w:jc w:val="center"/>
              <w:rPr>
                <w:rFonts w:ascii="Bookman Old Style" w:hAnsi="Bookman Old Style"/>
                <w:lang w:val="es-ES"/>
              </w:rPr>
            </w:pPr>
            <w:r w:rsidRPr="00933EEE">
              <w:rPr>
                <w:rFonts w:ascii="Bookman Old Style" w:hAnsi="Bookman Old Style"/>
                <w:lang w:val="es-ES"/>
              </w:rPr>
              <w:t>$ 42.415´721.095,00</w:t>
            </w:r>
          </w:p>
        </w:tc>
      </w:tr>
    </w:tbl>
    <w:p w14:paraId="4478A9B7" w14:textId="436235F9" w:rsidR="00D71D62" w:rsidRDefault="00D71D62" w:rsidP="00762334">
      <w:pPr>
        <w:jc w:val="both"/>
        <w:rPr>
          <w:rFonts w:ascii="Bookman Old Style" w:hAnsi="Bookman Old Style"/>
        </w:rPr>
      </w:pPr>
    </w:p>
    <w:p w14:paraId="30BC2DA8" w14:textId="33DC08DA" w:rsidR="00D71D62" w:rsidRPr="00D71D62" w:rsidRDefault="00D71D62" w:rsidP="001D5D7C">
      <w:pPr>
        <w:pStyle w:val="Prrafodelista"/>
        <w:numPr>
          <w:ilvl w:val="0"/>
          <w:numId w:val="48"/>
        </w:numPr>
        <w:spacing w:line="240" w:lineRule="auto"/>
        <w:jc w:val="both"/>
        <w:rPr>
          <w:rFonts w:ascii="Bookman Old Style" w:hAnsi="Bookman Old Style"/>
        </w:rPr>
      </w:pPr>
      <w:r w:rsidRPr="00D71D62">
        <w:rPr>
          <w:rFonts w:ascii="Bookman Old Style" w:hAnsi="Bookman Old Style"/>
        </w:rPr>
        <w:t>Del crecimiento económico que ha tenido la industria del cannabis medicinal y científico, de acuerdo a la Subdirección de Control y Fiscalización de Sustancias Químicas y Estupefacientes, se tiene</w:t>
      </w:r>
      <w:r w:rsidR="00201AD2">
        <w:rPr>
          <w:rFonts w:ascii="Bookman Old Style" w:hAnsi="Bookman Old Style"/>
        </w:rPr>
        <w:t xml:space="preserve"> que</w:t>
      </w:r>
      <w:r w:rsidRPr="00D71D62">
        <w:rPr>
          <w:rFonts w:ascii="Bookman Old Style" w:hAnsi="Bookman Old Style"/>
        </w:rPr>
        <w:t xml:space="preserve">: </w:t>
      </w:r>
    </w:p>
    <w:p w14:paraId="3E305156" w14:textId="77777777" w:rsidR="00D71D62" w:rsidRPr="00D71D62" w:rsidRDefault="00D71D62" w:rsidP="001D5D7C">
      <w:pPr>
        <w:pStyle w:val="Prrafodelista"/>
        <w:spacing w:line="240" w:lineRule="auto"/>
        <w:jc w:val="both"/>
        <w:rPr>
          <w:rFonts w:ascii="Bookman Old Style" w:hAnsi="Bookman Old Style"/>
        </w:rPr>
      </w:pPr>
    </w:p>
    <w:p w14:paraId="5EAD18C5" w14:textId="77777777" w:rsidR="00D71D62" w:rsidRPr="00D71D62" w:rsidRDefault="00D71D62" w:rsidP="001D5D7C">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“El país exportó, en cuanto a productos de cannabis, más de USD $ 9 millones en el año 2021. Las exportaciones de Colombia evidencian que el sector de cannabis es diversificado, debido a que se han realizado exportaciones a más de 26 países. Entre los principales destinos se encuentran Estados Unidos, Australia y Reino Unido, los cuales concentran alrededor del 70 % de las exportaciones. En la región, se destacan las exportaciones a Brasil.</w:t>
      </w:r>
    </w:p>
    <w:p w14:paraId="319C372D" w14:textId="77777777" w:rsidR="00D71D62" w:rsidRPr="00D71D62" w:rsidRDefault="00D71D62" w:rsidP="001D5D7C">
      <w:pPr>
        <w:pStyle w:val="Prrafodelista"/>
        <w:spacing w:line="240" w:lineRule="auto"/>
        <w:ind w:right="616"/>
        <w:jc w:val="both"/>
        <w:rPr>
          <w:rFonts w:ascii="Bookman Old Style" w:hAnsi="Bookman Old Style"/>
          <w:i/>
          <w:iCs/>
          <w:lang w:val="es-ES"/>
        </w:rPr>
      </w:pPr>
    </w:p>
    <w:p w14:paraId="50FD8B9E" w14:textId="77777777" w:rsidR="00D71D62" w:rsidRPr="00D71D62" w:rsidRDefault="00D71D62" w:rsidP="001D5D7C">
      <w:pPr>
        <w:pStyle w:val="Prrafodelista"/>
        <w:spacing w:line="240" w:lineRule="auto"/>
        <w:ind w:right="616"/>
        <w:jc w:val="both"/>
        <w:rPr>
          <w:rFonts w:ascii="Bookman Old Style" w:hAnsi="Bookman Old Style"/>
          <w:i/>
          <w:iCs/>
          <w:lang w:val="es-ES"/>
        </w:rPr>
      </w:pPr>
      <w:r w:rsidRPr="00D71D62">
        <w:rPr>
          <w:rFonts w:ascii="Bookman Old Style" w:hAnsi="Bookman Old Style"/>
          <w:i/>
          <w:iCs/>
          <w:lang w:val="es-ES"/>
        </w:rPr>
        <w:t xml:space="preserve">Así mismo, </w:t>
      </w:r>
      <w:r w:rsidRPr="00D71D62">
        <w:rPr>
          <w:rFonts w:ascii="Bookman Old Style" w:hAnsi="Bookman Old Style"/>
          <w:b/>
          <w:bCs/>
          <w:i/>
          <w:iCs/>
          <w:lang w:val="es-ES"/>
        </w:rPr>
        <w:t>actualmente se generan, aproximadamente, 17,5 empleos por hectárea sembrada</w:t>
      </w:r>
      <w:r w:rsidRPr="00D71D62">
        <w:rPr>
          <w:rFonts w:ascii="Bookman Old Style" w:hAnsi="Bookman Old Style"/>
          <w:i/>
          <w:iCs/>
          <w:lang w:val="es-ES"/>
        </w:rPr>
        <w:t>; más los que se pueden generar de forma indirecta conforme se incrementan las exportaciones. Bajo esta perspectiva, según cálculos de ProColombia, con información del DANE y Fedesarrollo, bajo un escenario de precios internacionales intermedio de cannabis medicinal (entre 1.000 y 1.500 USD por kg. de extracto), se proyecta que esta industria generará aproximadamente 44.000 puestos de trabajo para el 2030.</w:t>
      </w:r>
    </w:p>
    <w:p w14:paraId="29E2172C" w14:textId="77777777" w:rsidR="00D71D62" w:rsidRPr="00D71D62" w:rsidRDefault="00D71D62" w:rsidP="001D5D7C">
      <w:pPr>
        <w:pStyle w:val="Prrafodelista"/>
        <w:spacing w:line="240" w:lineRule="auto"/>
        <w:ind w:right="616"/>
        <w:jc w:val="both"/>
        <w:rPr>
          <w:rFonts w:ascii="Bookman Old Style" w:hAnsi="Bookman Old Style"/>
          <w:i/>
          <w:iCs/>
          <w:lang w:val="es-ES"/>
        </w:rPr>
      </w:pPr>
    </w:p>
    <w:p w14:paraId="0999B26A" w14:textId="711271D6" w:rsidR="006D3ED5" w:rsidRPr="001D5D7C" w:rsidRDefault="00D71D62" w:rsidP="001D5D7C">
      <w:pPr>
        <w:pStyle w:val="Prrafodelista"/>
        <w:spacing w:line="240" w:lineRule="auto"/>
        <w:ind w:right="616"/>
        <w:jc w:val="both"/>
        <w:rPr>
          <w:rFonts w:ascii="Bookman Old Style" w:hAnsi="Bookman Old Style"/>
          <w:i/>
          <w:iCs/>
        </w:rPr>
      </w:pPr>
      <w:r w:rsidRPr="00D71D62">
        <w:rPr>
          <w:rFonts w:ascii="Bookman Old Style" w:hAnsi="Bookman Old Style"/>
          <w:i/>
          <w:iCs/>
          <w:lang w:val="es-ES"/>
        </w:rPr>
        <w:t>Finalmente, en cuanto al volumen de exportaciones, considerando que entre el 2019 y el 2020 el sector creció un 1.568 %; con los nuevos avances regulatorios se esperan crecimientos que mantengan al sector como uno competitivo y atractivo para la inversión internacional, que incluso supere a otros rubros exporta</w:t>
      </w:r>
      <w:r w:rsidRPr="00D71D62">
        <w:rPr>
          <w:rFonts w:ascii="Bookman Old Style" w:hAnsi="Bookman Old Style"/>
          <w:i/>
          <w:iCs/>
        </w:rPr>
        <w:t>dores de la economía colombiana más tradicionales como, por ejemplo, las flores.”</w:t>
      </w:r>
    </w:p>
    <w:p w14:paraId="3D272DD5" w14:textId="77777777" w:rsidR="00201AD2" w:rsidRDefault="00201AD2" w:rsidP="001D5D7C">
      <w:pPr>
        <w:pStyle w:val="Prrafodelista"/>
        <w:rPr>
          <w:rFonts w:ascii="Bookman Old Style" w:eastAsia="Calibri" w:hAnsi="Bookman Old Style"/>
        </w:rPr>
      </w:pPr>
    </w:p>
    <w:p w14:paraId="38018370" w14:textId="331C600E" w:rsidR="006D3ED5" w:rsidRPr="001D5D7C" w:rsidRDefault="00201AD2" w:rsidP="001D5D7C">
      <w:pPr>
        <w:pStyle w:val="Prrafodelista"/>
        <w:numPr>
          <w:ilvl w:val="0"/>
          <w:numId w:val="48"/>
        </w:numPr>
        <w:rPr>
          <w:rFonts w:ascii="Bookman Old Style" w:eastAsia="Calibri" w:hAnsi="Bookman Old Style"/>
        </w:rPr>
      </w:pPr>
      <w:r>
        <w:rPr>
          <w:rFonts w:ascii="Bookman Old Style" w:hAnsi="Bookman Old Style"/>
        </w:rPr>
        <w:t>Con corte al 30 de junio de 2022, en Colombia son destinadas 530.602 hectáreas destinadas para cultivo de cannabis no psicoactivo, así como 578.</w:t>
      </w:r>
      <w:r w:rsidR="000606C7">
        <w:rPr>
          <w:rFonts w:ascii="Bookman Old Style" w:hAnsi="Bookman Old Style"/>
        </w:rPr>
        <w:t>620 hectáreas destinadas para cultivo de cannabis psicoactivo, para un total de más de 1´109.222 hectáreas, capaces de producir más de 19 millones de empleos.</w:t>
      </w:r>
    </w:p>
    <w:p w14:paraId="7D8E8C16" w14:textId="5F8640D0" w:rsidR="00F36280" w:rsidRPr="00485CC5" w:rsidRDefault="00291DEF" w:rsidP="000B0FBF">
      <w:pPr>
        <w:pStyle w:val="Ttulo2"/>
        <w:numPr>
          <w:ilvl w:val="0"/>
          <w:numId w:val="35"/>
        </w:numPr>
        <w:jc w:val="center"/>
        <w:rPr>
          <w:rFonts w:ascii="Bookman Old Style" w:eastAsia="Calibri" w:hAnsi="Bookman Old Style" w:cs="Calibri"/>
          <w:sz w:val="22"/>
          <w:szCs w:val="24"/>
        </w:rPr>
      </w:pPr>
      <w:r>
        <w:rPr>
          <w:rFonts w:ascii="Bookman Old Style" w:eastAsia="Calibri" w:hAnsi="Bookman Old Style" w:cs="Calibri"/>
          <w:sz w:val="22"/>
          <w:szCs w:val="24"/>
        </w:rPr>
        <w:lastRenderedPageBreak/>
        <w:t>R</w:t>
      </w:r>
      <w:r w:rsidR="00F36280" w:rsidRPr="00485CC5">
        <w:rPr>
          <w:rFonts w:ascii="Bookman Old Style" w:eastAsia="Calibri" w:hAnsi="Bookman Old Style" w:cs="Calibri"/>
          <w:sz w:val="22"/>
          <w:szCs w:val="24"/>
        </w:rPr>
        <w:t>EGULACIÓN DE ESTUPEFACIENTES EN COLOMBIA: ANÁLISIS CONSTITUCIONAL Y LEGAL.</w:t>
      </w:r>
    </w:p>
    <w:p w14:paraId="60A12712" w14:textId="77777777" w:rsidR="00F36280" w:rsidRPr="00485CC5" w:rsidRDefault="00F36280" w:rsidP="00F36280">
      <w:pPr>
        <w:rPr>
          <w:rFonts w:ascii="Bookman Old Style" w:eastAsia="Calibri" w:hAnsi="Bookman Old Style"/>
          <w:szCs w:val="24"/>
        </w:rPr>
      </w:pPr>
    </w:p>
    <w:p w14:paraId="2164B9C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determinó que la política criminal colombiana se ha caracterizado por ser reactiva, desprovista de una adecuada fundamentación empírica, incoherente, tendiente al endurecimiento punitivo, populista, poco reflexiva frente a los retos del contexto nacional, subordinada a la política de seguridad, volátil y débil. Estas características resultan problemáticas, en tanto, desligan la política criminal de sus objetivos principales: combatir la criminalidad y lograr la efectiva resocialización de los condenados.</w:t>
      </w:r>
    </w:p>
    <w:p w14:paraId="3037D1C6" w14:textId="77777777" w:rsidR="00F36280" w:rsidRPr="00485CC5" w:rsidRDefault="00F36280" w:rsidP="00F36280">
      <w:pPr>
        <w:jc w:val="both"/>
        <w:rPr>
          <w:rFonts w:ascii="Bookman Old Style" w:eastAsia="Calibri" w:hAnsi="Bookman Old Style" w:cs="Calibri"/>
          <w:szCs w:val="24"/>
        </w:rPr>
      </w:pPr>
    </w:p>
    <w:p w14:paraId="68776188"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6E59EFC" w14:textId="77777777" w:rsidR="00F36280" w:rsidRPr="00485CC5" w:rsidRDefault="00F36280" w:rsidP="00F36280">
      <w:pPr>
        <w:jc w:val="both"/>
        <w:rPr>
          <w:rFonts w:ascii="Bookman Old Style" w:eastAsia="Calibri" w:hAnsi="Bookman Old Style" w:cs="Calibri"/>
          <w:szCs w:val="24"/>
          <w:lang w:val="es-ES_tradnl"/>
        </w:rPr>
      </w:pPr>
    </w:p>
    <w:p w14:paraId="7210F7B2" w14:textId="4F8488A4"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w:t>
      </w:r>
      <w:r w:rsidR="00A20BDA">
        <w:rPr>
          <w:rFonts w:ascii="Bookman Old Style" w:eastAsia="Calibri" w:hAnsi="Bookman Old Style" w:cs="Calibri"/>
          <w:szCs w:val="24"/>
          <w:lang w:val="es-ES_tradnl"/>
        </w:rPr>
        <w:t>,</w:t>
      </w:r>
      <w:r w:rsidRPr="00485CC5">
        <w:rPr>
          <w:rFonts w:ascii="Bookman Old Style" w:eastAsia="Calibri" w:hAnsi="Bookman Old Style" w:cs="Calibri"/>
          <w:szCs w:val="24"/>
          <w:lang w:val="es-ES_tradnl"/>
        </w:rPr>
        <w:t xml:space="preserve"> van en detrimento de los derechos fundamentales al libre desarrollo de la personalidad, igualdad y salud pública.</w:t>
      </w:r>
    </w:p>
    <w:p w14:paraId="0FFB52D1" w14:textId="77777777" w:rsidR="00F36280" w:rsidRPr="00485CC5" w:rsidRDefault="00F36280" w:rsidP="00F36280">
      <w:pPr>
        <w:jc w:val="both"/>
        <w:rPr>
          <w:rFonts w:ascii="Bookman Old Style" w:eastAsia="Calibri" w:hAnsi="Bookman Old Style" w:cs="Calibri"/>
          <w:szCs w:val="24"/>
          <w:lang w:val="es-ES_tradnl"/>
        </w:rPr>
      </w:pPr>
    </w:p>
    <w:p w14:paraId="37A4C5D0"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51"/>
      </w:r>
      <w:r w:rsidRPr="00485CC5">
        <w:rPr>
          <w:rFonts w:ascii="Bookman Old Style" w:eastAsia="Calibri" w:hAnsi="Bookman Old Style" w:cs="Calibri"/>
          <w:bCs/>
          <w:i/>
          <w:iCs/>
          <w:szCs w:val="24"/>
          <w:lang w:val="es-ES_tradnl"/>
        </w:rPr>
        <w:t xml:space="preserve"> </w:t>
      </w:r>
    </w:p>
    <w:p w14:paraId="474584A5" w14:textId="77777777" w:rsidR="00F36280" w:rsidRPr="00485CC5" w:rsidRDefault="00F36280" w:rsidP="00F36280">
      <w:pPr>
        <w:jc w:val="both"/>
        <w:rPr>
          <w:rFonts w:ascii="Bookman Old Style" w:eastAsia="Calibri" w:hAnsi="Bookman Old Style" w:cs="Calibri"/>
          <w:bCs/>
          <w:i/>
          <w:iCs/>
          <w:szCs w:val="24"/>
          <w:lang w:val="es-ES_tradnl"/>
        </w:rPr>
      </w:pPr>
    </w:p>
    <w:p w14:paraId="55202756" w14:textId="6272281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4D91E588" w14:textId="77777777" w:rsidR="00F36280" w:rsidRPr="00485CC5" w:rsidRDefault="00F36280" w:rsidP="00F36280">
      <w:pPr>
        <w:pStyle w:val="Ttulo2"/>
        <w:ind w:left="0"/>
        <w:rPr>
          <w:rFonts w:ascii="Bookman Old Style" w:eastAsia="Calibri" w:hAnsi="Bookman Old Style" w:cs="Calibri"/>
          <w:sz w:val="22"/>
          <w:szCs w:val="24"/>
        </w:rPr>
      </w:pPr>
    </w:p>
    <w:p w14:paraId="711F83B2" w14:textId="3762DA10"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 PROHIBICIÓN VS. DERECHOS FUNDAMENTALES</w:t>
      </w:r>
    </w:p>
    <w:p w14:paraId="610C3614" w14:textId="77777777" w:rsidR="00F36280" w:rsidRPr="00485CC5" w:rsidRDefault="00F36280" w:rsidP="00F36280">
      <w:pPr>
        <w:jc w:val="both"/>
        <w:rPr>
          <w:rFonts w:ascii="Bookman Old Style" w:eastAsia="Calibri" w:hAnsi="Bookman Old Style" w:cs="Calibri"/>
          <w:szCs w:val="24"/>
        </w:rPr>
      </w:pPr>
    </w:p>
    <w:p w14:paraId="2C83853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4C99802B" w14:textId="77777777" w:rsidR="00F36280" w:rsidRPr="00485CC5" w:rsidRDefault="00F36280" w:rsidP="00F36280">
      <w:pPr>
        <w:pStyle w:val="Ttulo2"/>
        <w:ind w:left="0"/>
        <w:rPr>
          <w:rFonts w:ascii="Bookman Old Style" w:eastAsia="Calibri" w:hAnsi="Bookman Old Style" w:cs="Calibri"/>
          <w:sz w:val="22"/>
          <w:szCs w:val="24"/>
        </w:rPr>
      </w:pPr>
    </w:p>
    <w:p w14:paraId="37D6C385" w14:textId="5198B9D4"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.1.1. DERECHO AL LIBRE DESARROLLO DE LA PERSONALIDAD</w:t>
      </w:r>
    </w:p>
    <w:p w14:paraId="45178D3F" w14:textId="77777777" w:rsidR="00F36280" w:rsidRPr="00485CC5" w:rsidRDefault="00F36280" w:rsidP="00F36280">
      <w:pPr>
        <w:jc w:val="both"/>
        <w:rPr>
          <w:rFonts w:ascii="Bookman Old Style" w:eastAsia="Calibri" w:hAnsi="Bookman Old Style" w:cs="Calibri"/>
          <w:szCs w:val="24"/>
        </w:rPr>
      </w:pPr>
    </w:p>
    <w:p w14:paraId="3392921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 xml:space="preserve">libertad como </w:t>
      </w:r>
      <w:r w:rsidRPr="00485CC5">
        <w:rPr>
          <w:rFonts w:ascii="Bookman Old Style" w:eastAsia="Calibri" w:hAnsi="Bookman Old Style" w:cs="Calibri"/>
          <w:szCs w:val="24"/>
          <w:lang w:val="es-ES_tradnl"/>
        </w:rPr>
        <w:lastRenderedPageBreak/>
        <w:t>un fin esencial del Estado Social de Derecho</w:t>
      </w:r>
      <w:r w:rsidRPr="00485CC5">
        <w:rPr>
          <w:rStyle w:val="Refdenotaalpie"/>
          <w:rFonts w:ascii="Bookman Old Style" w:eastAsia="Calibri" w:hAnsi="Bookman Old Style" w:cs="Calibri"/>
          <w:szCs w:val="24"/>
          <w:lang w:val="es-ES_tradnl"/>
        </w:rPr>
        <w:footnoteReference w:id="52"/>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18FC2F6A" w14:textId="77777777" w:rsidR="00F36280" w:rsidRPr="00485CC5" w:rsidRDefault="00F36280" w:rsidP="00F36280">
      <w:pPr>
        <w:jc w:val="both"/>
        <w:rPr>
          <w:rFonts w:ascii="Bookman Old Style" w:eastAsia="Calibri" w:hAnsi="Bookman Old Style" w:cs="Calibri"/>
          <w:szCs w:val="24"/>
          <w:lang w:val="es-ES_tradnl"/>
        </w:rPr>
      </w:pPr>
    </w:p>
    <w:p w14:paraId="1DB3B6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53"/>
      </w:r>
    </w:p>
    <w:p w14:paraId="127D452B" w14:textId="77777777" w:rsidR="00F36280" w:rsidRPr="00485CC5" w:rsidRDefault="00F36280" w:rsidP="00F36280">
      <w:pPr>
        <w:jc w:val="both"/>
        <w:rPr>
          <w:rFonts w:ascii="Bookman Old Style" w:eastAsia="Calibri" w:hAnsi="Bookman Old Style" w:cs="Calibri"/>
          <w:szCs w:val="24"/>
          <w:lang w:val="es-ES_tradnl"/>
        </w:rPr>
      </w:pPr>
    </w:p>
    <w:p w14:paraId="6AD33665" w14:textId="07BCFF2E"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w:t>
      </w:r>
      <w:r w:rsidR="00E60301">
        <w:rPr>
          <w:rFonts w:ascii="Bookman Old Style" w:eastAsia="Calibri" w:hAnsi="Bookman Old Style" w:cs="Calibri"/>
          <w:szCs w:val="24"/>
          <w:lang w:val="es-ES_tradnl"/>
        </w:rPr>
        <w:t xml:space="preserve"> afirmar</w:t>
      </w:r>
      <w:r w:rsidRPr="00485CC5">
        <w:rPr>
          <w:rFonts w:ascii="Bookman Old Style" w:eastAsia="Calibri" w:hAnsi="Bookman Old Style" w:cs="Calibri"/>
          <w:szCs w:val="24"/>
          <w:lang w:val="es-ES_tradnl"/>
        </w:rPr>
        <w:t xml:space="preserve">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5"/>
      </w:r>
    </w:p>
    <w:p w14:paraId="43DAAE3D"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75B233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3E62D2A4" w14:textId="77777777" w:rsidR="00F36280" w:rsidRPr="00485CC5" w:rsidRDefault="00F36280" w:rsidP="00F36280">
      <w:pPr>
        <w:jc w:val="both"/>
        <w:rPr>
          <w:rFonts w:ascii="Bookman Old Style" w:eastAsia="Calibri" w:hAnsi="Bookman Old Style" w:cs="Calibri"/>
          <w:szCs w:val="24"/>
          <w:lang w:val="es-ES_tradnl"/>
        </w:rPr>
      </w:pPr>
    </w:p>
    <w:p w14:paraId="7037B95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24CF122F" w14:textId="77777777" w:rsidR="00F36280" w:rsidRPr="00485CC5" w:rsidRDefault="00F36280" w:rsidP="00F36280">
      <w:pPr>
        <w:jc w:val="both"/>
        <w:rPr>
          <w:rFonts w:ascii="Bookman Old Style" w:eastAsia="Calibri" w:hAnsi="Bookman Old Style" w:cs="Calibri"/>
          <w:szCs w:val="24"/>
          <w:lang w:val="es-ES_tradnl"/>
        </w:rPr>
      </w:pPr>
    </w:p>
    <w:p w14:paraId="36F9500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5808DF7" w14:textId="77777777" w:rsidR="00F36280" w:rsidRPr="00485CC5" w:rsidRDefault="00F36280" w:rsidP="00F36280">
      <w:pPr>
        <w:jc w:val="both"/>
        <w:rPr>
          <w:rFonts w:ascii="Bookman Old Style" w:eastAsia="Calibri" w:hAnsi="Bookman Old Style" w:cs="Calibri"/>
          <w:szCs w:val="24"/>
          <w:lang w:val="es-ES_tradnl"/>
        </w:rPr>
      </w:pPr>
    </w:p>
    <w:p w14:paraId="7FD2F9A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w:t>
      </w:r>
      <w:r w:rsidRPr="00485CC5">
        <w:rPr>
          <w:rFonts w:ascii="Bookman Old Style" w:eastAsia="Calibri" w:hAnsi="Bookman Old Style" w:cs="Calibri"/>
          <w:szCs w:val="24"/>
          <w:lang w:val="es-ES_tradnl"/>
        </w:rPr>
        <w:lastRenderedPageBreak/>
        <w:t>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6"/>
      </w:r>
    </w:p>
    <w:p w14:paraId="5BC022A1" w14:textId="77777777" w:rsidR="00F36280" w:rsidRPr="00485CC5" w:rsidRDefault="00F36280" w:rsidP="00F36280">
      <w:pPr>
        <w:jc w:val="both"/>
        <w:rPr>
          <w:rFonts w:ascii="Bookman Old Style" w:eastAsia="Calibri" w:hAnsi="Bookman Old Style" w:cs="Calibri"/>
          <w:szCs w:val="24"/>
          <w:lang w:val="es-ES_tradnl"/>
        </w:rPr>
      </w:pPr>
    </w:p>
    <w:p w14:paraId="74FD65B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derecho al libre desarrollo de la personalidad.</w:t>
      </w:r>
    </w:p>
    <w:p w14:paraId="3833CE2F" w14:textId="77777777" w:rsidR="00F36280" w:rsidRPr="00485CC5" w:rsidRDefault="00F36280" w:rsidP="00F36280">
      <w:pPr>
        <w:jc w:val="both"/>
        <w:rPr>
          <w:rFonts w:ascii="Bookman Old Style" w:eastAsia="Calibri" w:hAnsi="Bookman Old Style" w:cs="Calibri"/>
          <w:szCs w:val="24"/>
          <w:lang w:val="es-ES_tradnl"/>
        </w:rPr>
      </w:pPr>
    </w:p>
    <w:p w14:paraId="3679BD9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76BF005" w14:textId="77777777" w:rsidR="00F36280" w:rsidRPr="00485CC5" w:rsidRDefault="00F36280" w:rsidP="00F36280">
      <w:pPr>
        <w:jc w:val="both"/>
        <w:rPr>
          <w:rFonts w:ascii="Bookman Old Style" w:eastAsia="Calibri" w:hAnsi="Bookman Old Style" w:cs="Calibri"/>
          <w:szCs w:val="24"/>
          <w:lang w:val="es-ES_tradnl"/>
        </w:rPr>
      </w:pPr>
    </w:p>
    <w:p w14:paraId="02E3F4A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7E2DF98B" w14:textId="77777777" w:rsidR="00F36280" w:rsidRPr="00485CC5" w:rsidRDefault="00F36280" w:rsidP="00F36280">
      <w:pPr>
        <w:rPr>
          <w:rFonts w:ascii="Bookman Old Style" w:eastAsia="Calibri" w:hAnsi="Bookman Old Style"/>
          <w:szCs w:val="24"/>
          <w:lang w:val="es-ES_tradnl"/>
        </w:rPr>
      </w:pPr>
    </w:p>
    <w:p w14:paraId="44CB36E5" w14:textId="74CACDE8" w:rsidR="00F36280" w:rsidRPr="00485CC5" w:rsidRDefault="008D6C03"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6</w:t>
      </w:r>
      <w:r w:rsidR="00F36280" w:rsidRPr="00485CC5">
        <w:rPr>
          <w:rFonts w:ascii="Bookman Old Style" w:eastAsia="Calibri" w:hAnsi="Bookman Old Style" w:cs="Calibri"/>
          <w:sz w:val="22"/>
          <w:szCs w:val="24"/>
        </w:rPr>
        <w:t>.1.2. DERECHO A LA IGUALDAD</w:t>
      </w:r>
    </w:p>
    <w:p w14:paraId="4305C13D" w14:textId="77777777" w:rsidR="00F36280" w:rsidRPr="00485CC5" w:rsidRDefault="00F36280" w:rsidP="00F36280">
      <w:pPr>
        <w:jc w:val="both"/>
        <w:rPr>
          <w:rFonts w:ascii="Bookman Old Style" w:eastAsia="Calibri" w:hAnsi="Bookman Old Style" w:cs="Calibri"/>
          <w:szCs w:val="24"/>
          <w:lang w:val="es-ES_tradnl"/>
        </w:rPr>
      </w:pPr>
    </w:p>
    <w:p w14:paraId="4ED317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7"/>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8"/>
      </w:r>
      <w:r w:rsidRPr="00485CC5">
        <w:rPr>
          <w:rFonts w:ascii="Bookman Old Style" w:eastAsia="Calibri" w:hAnsi="Bookman Old Style" w:cs="Calibri"/>
          <w:szCs w:val="24"/>
          <w:lang w:val="es-ES_tradnl"/>
        </w:rPr>
        <w:t xml:space="preserve">: la igualdad como valor, como principio y como derecho. </w:t>
      </w:r>
    </w:p>
    <w:p w14:paraId="13274787" w14:textId="77777777" w:rsidR="00F36280" w:rsidRPr="00485CC5" w:rsidRDefault="00F36280" w:rsidP="00F36280">
      <w:pPr>
        <w:jc w:val="both"/>
        <w:rPr>
          <w:rFonts w:ascii="Bookman Old Style" w:eastAsia="Calibri" w:hAnsi="Bookman Old Style" w:cs="Calibri"/>
          <w:szCs w:val="24"/>
          <w:lang w:val="es-ES_tradnl"/>
        </w:rPr>
      </w:pPr>
    </w:p>
    <w:p w14:paraId="64EFD3AB"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autoridades públicas y en especial al legislador, en el desarrollo de su labor de concreción de los textos constitucionales. </w:t>
      </w:r>
    </w:p>
    <w:p w14:paraId="5F9827DA"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6B3DC32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B7419F7"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7014E322" w14:textId="77777777"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9"/>
      </w:r>
    </w:p>
    <w:p w14:paraId="6C5A775A" w14:textId="77777777" w:rsidR="00F36280" w:rsidRPr="00485CC5" w:rsidRDefault="00F36280" w:rsidP="00F36280">
      <w:pPr>
        <w:jc w:val="both"/>
        <w:rPr>
          <w:rFonts w:ascii="Bookman Old Style" w:eastAsia="Calibri" w:hAnsi="Bookman Old Style" w:cs="Calibri"/>
          <w:i/>
          <w:szCs w:val="24"/>
          <w:lang w:val="es-ES_tradnl"/>
        </w:rPr>
      </w:pPr>
    </w:p>
    <w:p w14:paraId="65A196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3057EC3" w14:textId="77777777" w:rsidR="00F36280" w:rsidRPr="00485CC5" w:rsidRDefault="00F36280" w:rsidP="009B3FAF">
      <w:pPr>
        <w:ind w:left="851" w:hanging="283"/>
        <w:jc w:val="both"/>
        <w:rPr>
          <w:rFonts w:ascii="Bookman Old Style" w:eastAsia="Calibri" w:hAnsi="Bookman Old Style" w:cs="Calibri"/>
          <w:szCs w:val="24"/>
          <w:lang w:val="es-ES_tradnl"/>
        </w:rPr>
      </w:pPr>
    </w:p>
    <w:p w14:paraId="04DCA7C1"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201C5156" w14:textId="77777777" w:rsidR="00F36280" w:rsidRPr="00485CC5" w:rsidRDefault="00F36280" w:rsidP="009B3FAF">
      <w:pPr>
        <w:jc w:val="both"/>
        <w:rPr>
          <w:rFonts w:ascii="Bookman Old Style" w:hAnsi="Bookman Old Style" w:cs="Calibri"/>
          <w:szCs w:val="24"/>
          <w:lang w:val="es-ES_tradnl"/>
        </w:rPr>
      </w:pPr>
    </w:p>
    <w:p w14:paraId="79691FE1"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enteramente diferenciado a quienes no compartan con otros, ningún elemento en común.</w:t>
      </w:r>
    </w:p>
    <w:p w14:paraId="50F8EEEA" w14:textId="77777777" w:rsidR="00F36280" w:rsidRPr="00485CC5" w:rsidRDefault="00F36280" w:rsidP="009B3FAF">
      <w:pPr>
        <w:ind w:left="568"/>
        <w:jc w:val="both"/>
        <w:rPr>
          <w:rFonts w:ascii="Bookman Old Style" w:hAnsi="Bookman Old Style" w:cs="Calibri"/>
          <w:szCs w:val="24"/>
          <w:lang w:val="es-ES_tradnl"/>
        </w:rPr>
      </w:pPr>
    </w:p>
    <w:p w14:paraId="78F26617" w14:textId="77777777" w:rsidR="00F36280" w:rsidRPr="00621929" w:rsidRDefault="00F36280" w:rsidP="001D5D7C">
      <w:pPr>
        <w:pStyle w:val="Prrafodelista"/>
        <w:numPr>
          <w:ilvl w:val="0"/>
          <w:numId w:val="37"/>
        </w:numPr>
        <w:spacing w:after="0" w:line="240" w:lineRule="auto"/>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6436D74" w14:textId="77777777" w:rsidR="00F36280" w:rsidRPr="00485CC5" w:rsidRDefault="00F36280" w:rsidP="001D5D7C">
      <w:pPr>
        <w:jc w:val="both"/>
        <w:rPr>
          <w:rFonts w:ascii="Bookman Old Style" w:hAnsi="Bookman Old Style" w:cs="Calibri"/>
          <w:szCs w:val="24"/>
          <w:lang w:val="es-ES_tradnl"/>
        </w:rPr>
      </w:pPr>
    </w:p>
    <w:p w14:paraId="63CAC099" w14:textId="77777777" w:rsidR="00F36280" w:rsidRPr="00621929" w:rsidRDefault="00F36280" w:rsidP="001D5D7C">
      <w:pPr>
        <w:pStyle w:val="Prrafodelista"/>
        <w:numPr>
          <w:ilvl w:val="0"/>
          <w:numId w:val="37"/>
        </w:numPr>
        <w:spacing w:after="0" w:line="240" w:lineRule="auto"/>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60"/>
      </w:r>
    </w:p>
    <w:p w14:paraId="744B9607" w14:textId="77777777" w:rsidR="00F36280" w:rsidRPr="00485CC5" w:rsidRDefault="00F36280" w:rsidP="009B3FAF">
      <w:pPr>
        <w:jc w:val="both"/>
        <w:rPr>
          <w:rFonts w:ascii="Bookman Old Style" w:eastAsia="Calibri" w:hAnsi="Bookman Old Style" w:cs="Calibri"/>
          <w:szCs w:val="24"/>
          <w:lang w:val="es-ES_tradnl"/>
        </w:rPr>
      </w:pPr>
    </w:p>
    <w:p w14:paraId="12C792B1" w14:textId="673FF73A"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w:t>
      </w:r>
      <w:r w:rsidR="00E60301">
        <w:rPr>
          <w:rFonts w:ascii="Bookman Old Style" w:eastAsia="Calibri" w:hAnsi="Bookman Old Style" w:cs="Calibri"/>
          <w:szCs w:val="24"/>
          <w:lang w:val="es-ES_tradnl"/>
        </w:rPr>
        <w:t>el</w:t>
      </w:r>
      <w:r w:rsidRPr="00485CC5">
        <w:rPr>
          <w:rFonts w:ascii="Bookman Old Style" w:eastAsia="Calibri" w:hAnsi="Bookman Old Style" w:cs="Calibri"/>
          <w:szCs w:val="24"/>
          <w:lang w:val="es-ES_tradnl"/>
        </w:rPr>
        <w:t xml:space="preserve"> que una de las circunstancias que motivó la inexequibilidad de las disposiciones que penalizaban la dosis personal fue que </w:t>
      </w:r>
      <w:r w:rsidR="00E60301">
        <w:rPr>
          <w:rFonts w:ascii="Bookman Old Style" w:eastAsia="Calibri" w:hAnsi="Bookman Old Style" w:cs="Calibri"/>
          <w:szCs w:val="24"/>
          <w:lang w:val="es-ES_tradnl"/>
        </w:rPr>
        <w:t>la</w:t>
      </w:r>
      <w:r w:rsidR="00E60301" w:rsidRPr="00485CC5">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0D53456E" w14:textId="77777777" w:rsidR="00F36280" w:rsidRPr="00485CC5" w:rsidRDefault="00F36280" w:rsidP="00F36280">
      <w:pPr>
        <w:jc w:val="both"/>
        <w:rPr>
          <w:rFonts w:ascii="Bookman Old Style" w:eastAsia="Calibri" w:hAnsi="Bookman Old Style" w:cs="Calibri"/>
          <w:b/>
          <w:i/>
          <w:szCs w:val="24"/>
          <w:lang w:val="es-ES_tradnl"/>
        </w:rPr>
      </w:pPr>
    </w:p>
    <w:p w14:paraId="4E9B381E" w14:textId="6F11F33A" w:rsidR="00F36280" w:rsidRPr="00485CC5" w:rsidRDefault="008D6C03"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.1.3. DERECHO A LA SALUD.</w:t>
      </w:r>
    </w:p>
    <w:p w14:paraId="33C4C8B7" w14:textId="77777777" w:rsidR="00F36280" w:rsidRPr="00485CC5" w:rsidRDefault="00F36280" w:rsidP="00F36280">
      <w:pPr>
        <w:jc w:val="both"/>
        <w:rPr>
          <w:rFonts w:ascii="Bookman Old Style" w:eastAsia="Calibri" w:hAnsi="Bookman Old Style" w:cs="Calibri"/>
          <w:b/>
          <w:szCs w:val="24"/>
          <w:lang w:val="es-ES_tradnl"/>
        </w:rPr>
      </w:pPr>
    </w:p>
    <w:p w14:paraId="12FCDC60"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099F0726" w14:textId="77777777" w:rsidR="00517032" w:rsidRPr="00BA2C74" w:rsidRDefault="00517032" w:rsidP="00517032">
      <w:pPr>
        <w:jc w:val="both"/>
        <w:rPr>
          <w:rFonts w:ascii="Bookman Old Style" w:eastAsia="Calibri" w:hAnsi="Bookman Old Style" w:cs="Calibri"/>
          <w:lang w:val="es-ES_tradnl"/>
        </w:rPr>
      </w:pPr>
    </w:p>
    <w:p w14:paraId="34E2001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5D2A508A" w14:textId="77777777" w:rsidR="00517032" w:rsidRPr="00BA2C74" w:rsidRDefault="00517032" w:rsidP="00517032">
      <w:pPr>
        <w:jc w:val="both"/>
        <w:rPr>
          <w:rFonts w:ascii="Bookman Old Style" w:eastAsia="Calibri" w:hAnsi="Bookman Old Style" w:cs="Calibri"/>
          <w:lang w:val="es-ES_tradnl"/>
        </w:rPr>
      </w:pPr>
    </w:p>
    <w:p w14:paraId="3B60A456"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58D47CB" w14:textId="77777777" w:rsidR="00517032" w:rsidRPr="00BA2C74" w:rsidRDefault="00517032" w:rsidP="00517032">
      <w:pPr>
        <w:jc w:val="both"/>
        <w:rPr>
          <w:rFonts w:ascii="Bookman Old Style" w:eastAsia="Calibri" w:hAnsi="Bookman Old Style" w:cs="Calibri"/>
          <w:lang w:val="es-ES_tradnl"/>
        </w:rPr>
      </w:pPr>
    </w:p>
    <w:p w14:paraId="1807F45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No obstante, a través de amplia jurisprudencia, la Corte Constitucional consolidó </w:t>
      </w:r>
      <w:r w:rsidRPr="00BA2C74">
        <w:rPr>
          <w:rFonts w:ascii="Bookman Old Style" w:eastAsia="Calibri" w:hAnsi="Bookman Old Style" w:cs="Calibri"/>
          <w:lang w:val="es-ES_tradnl"/>
        </w:rPr>
        <w:lastRenderedPageBreak/>
        <w:t>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61"/>
      </w:r>
    </w:p>
    <w:p w14:paraId="04356CED" w14:textId="77777777" w:rsidR="00517032" w:rsidRPr="00BA2C74" w:rsidRDefault="00517032" w:rsidP="00517032">
      <w:pPr>
        <w:jc w:val="both"/>
        <w:rPr>
          <w:rFonts w:ascii="Bookman Old Style" w:eastAsia="Calibri" w:hAnsi="Bookman Old Style" w:cs="Calibri"/>
          <w:lang w:val="es-ES_tradnl"/>
        </w:rPr>
      </w:pPr>
    </w:p>
    <w:p w14:paraId="10A05FDF"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Teniendo en cuenta que el consumo de estupefacientes había sido tratado también por la jurisprudencia constitucional desde el enfoque de los sujetos farmacodependientes, en el año 2009 se impulsó el Acto Legislativo que incluyó la prohibición del porte y consumo de estas sustancias, desde el artículo 49 constitucional.</w:t>
      </w:r>
    </w:p>
    <w:p w14:paraId="738AA216" w14:textId="77777777" w:rsidR="00517032" w:rsidRPr="00BA2C74" w:rsidRDefault="00517032" w:rsidP="00517032">
      <w:pPr>
        <w:jc w:val="both"/>
        <w:rPr>
          <w:rFonts w:ascii="Bookman Old Style" w:eastAsia="Calibri" w:hAnsi="Bookman Old Style" w:cs="Calibri"/>
          <w:lang w:val="es-ES_tradnl"/>
        </w:rPr>
      </w:pPr>
    </w:p>
    <w:p w14:paraId="2879090D"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62"/>
      </w:r>
    </w:p>
    <w:p w14:paraId="465CF04B" w14:textId="77777777" w:rsidR="00517032" w:rsidRPr="00BA2C74" w:rsidRDefault="00517032" w:rsidP="00517032">
      <w:pPr>
        <w:jc w:val="both"/>
        <w:rPr>
          <w:rFonts w:ascii="Bookman Old Style" w:eastAsia="Calibri" w:hAnsi="Bookman Old Style" w:cs="Calibri"/>
          <w:b/>
          <w:i/>
          <w:lang w:val="es-ES_tradnl"/>
        </w:rPr>
      </w:pPr>
    </w:p>
    <w:p w14:paraId="767B4C6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Así las cosas, partiendo de la posible afectación que el consumo podría generar en los individuos y en la protección al derecho a la salud de los colombianos, en el 2009 se incluyeron las siguientes modificaciones al artículo 49 C.P:</w:t>
      </w:r>
    </w:p>
    <w:p w14:paraId="732EFF7B" w14:textId="77777777" w:rsidR="00517032" w:rsidRPr="00BA2C74" w:rsidRDefault="00517032" w:rsidP="00517032">
      <w:pPr>
        <w:jc w:val="both"/>
        <w:rPr>
          <w:rFonts w:ascii="Bookman Old Style" w:eastAsia="Calibri" w:hAnsi="Bookman Old Style" w:cs="Calibri"/>
          <w:lang w:val="es-ES_tradnl"/>
        </w:rPr>
      </w:pPr>
    </w:p>
    <w:p w14:paraId="6D0BF975"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F6DED5E"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p>
    <w:p w14:paraId="373836B2"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29714C6" w14:textId="77777777" w:rsidR="00517032" w:rsidRPr="00BA2C74" w:rsidRDefault="00517032" w:rsidP="00517032">
      <w:pPr>
        <w:ind w:left="720" w:right="900"/>
        <w:jc w:val="both"/>
        <w:rPr>
          <w:rFonts w:ascii="Bookman Old Style" w:eastAsia="Calibri" w:hAnsi="Bookman Old Style" w:cs="Calibri"/>
          <w:i/>
          <w:lang w:val="es-ES_tradnl"/>
        </w:rPr>
      </w:pPr>
    </w:p>
    <w:p w14:paraId="790495B1" w14:textId="77777777" w:rsidR="00517032" w:rsidRPr="00BA2C74" w:rsidRDefault="00517032" w:rsidP="00517032">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42802C7" w14:textId="77777777" w:rsidR="00F36280" w:rsidRPr="00485CC5" w:rsidRDefault="00F36280" w:rsidP="00F36280">
      <w:pPr>
        <w:jc w:val="both"/>
        <w:rPr>
          <w:rFonts w:ascii="Bookman Old Style" w:eastAsia="Calibri" w:hAnsi="Bookman Old Style" w:cs="Calibri"/>
          <w:szCs w:val="24"/>
        </w:rPr>
      </w:pPr>
    </w:p>
    <w:p w14:paraId="7DFF57D2" w14:textId="6A75E15A" w:rsidR="00F36280" w:rsidRPr="00485CC5" w:rsidRDefault="008D6C03"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47D8FC3A" w14:textId="77777777" w:rsidR="00F36280" w:rsidRPr="00485CC5" w:rsidRDefault="00F36280" w:rsidP="00F36280">
      <w:pPr>
        <w:jc w:val="both"/>
        <w:rPr>
          <w:rFonts w:ascii="Bookman Old Style" w:eastAsia="Calibri" w:hAnsi="Bookman Old Style" w:cs="Calibri"/>
          <w:b/>
          <w:szCs w:val="24"/>
        </w:rPr>
      </w:pPr>
    </w:p>
    <w:p w14:paraId="6A5112B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w:t>
      </w:r>
      <w:r w:rsidRPr="00485CC5">
        <w:rPr>
          <w:rFonts w:ascii="Bookman Old Style" w:eastAsia="Calibri" w:hAnsi="Bookman Old Style" w:cs="Calibri"/>
          <w:szCs w:val="24"/>
        </w:rPr>
        <w:lastRenderedPageBreak/>
        <w:t xml:space="preserve">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4347C18F" w14:textId="77777777" w:rsidR="00F36280" w:rsidRPr="00485CC5" w:rsidRDefault="00F36280" w:rsidP="00F36280">
      <w:pPr>
        <w:jc w:val="both"/>
        <w:rPr>
          <w:rFonts w:ascii="Bookman Old Style" w:eastAsia="Calibri" w:hAnsi="Bookman Old Style" w:cs="Calibri"/>
          <w:szCs w:val="24"/>
          <w:lang w:val="es-ES_tradnl"/>
        </w:rPr>
      </w:pPr>
    </w:p>
    <w:p w14:paraId="32D964F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si bien es cierto que el parlamento no es, ni mucho menos, la única instancia del poder público en la que se pueden diseñar estrategias de política criminal,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63"/>
      </w:r>
    </w:p>
    <w:p w14:paraId="59022ACB" w14:textId="77777777" w:rsidR="00F36280" w:rsidRPr="00485CC5" w:rsidRDefault="00F36280" w:rsidP="00F36280">
      <w:pPr>
        <w:jc w:val="both"/>
        <w:rPr>
          <w:rFonts w:ascii="Bookman Old Style" w:eastAsia="Calibri" w:hAnsi="Bookman Old Style" w:cs="Calibri"/>
          <w:szCs w:val="24"/>
          <w:lang w:val="es-ES_tradnl"/>
        </w:rPr>
      </w:pPr>
    </w:p>
    <w:p w14:paraId="4330A542"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4"/>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3C40A3F4" w14:textId="77777777" w:rsidR="00F36280" w:rsidRPr="00485CC5" w:rsidRDefault="00F36280" w:rsidP="00F36280">
      <w:pPr>
        <w:jc w:val="both"/>
        <w:rPr>
          <w:rFonts w:ascii="Bookman Old Style" w:eastAsia="Calibri" w:hAnsi="Bookman Old Style" w:cs="Calibri"/>
          <w:szCs w:val="24"/>
        </w:rPr>
      </w:pPr>
    </w:p>
    <w:p w14:paraId="100D8049" w14:textId="7BB1AE29"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0FF21E5" w14:textId="77777777" w:rsidR="00F36280" w:rsidRPr="00485CC5" w:rsidRDefault="00F36280" w:rsidP="00F36280">
      <w:pPr>
        <w:jc w:val="both"/>
        <w:rPr>
          <w:rFonts w:ascii="Bookman Old Style" w:eastAsia="Calibri" w:hAnsi="Bookman Old Style" w:cs="Calibri"/>
          <w:szCs w:val="24"/>
        </w:rPr>
      </w:pPr>
    </w:p>
    <w:p w14:paraId="06C442EF" w14:textId="0E270BE0" w:rsidR="00F36280" w:rsidRPr="00485CC5" w:rsidRDefault="0059124F"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32487E4D" w14:textId="77777777" w:rsidR="00F36280" w:rsidRPr="00485CC5" w:rsidRDefault="00F36280" w:rsidP="00F36280">
      <w:pPr>
        <w:jc w:val="both"/>
        <w:rPr>
          <w:rFonts w:ascii="Bookman Old Style" w:eastAsia="Calibri" w:hAnsi="Bookman Old Style" w:cs="Calibri"/>
          <w:szCs w:val="24"/>
          <w:lang w:val="es-ES_tradnl"/>
        </w:rPr>
      </w:pPr>
    </w:p>
    <w:p w14:paraId="222221A6" w14:textId="537656F6" w:rsidR="00F36280"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7DF2EA90" w14:textId="6B1D964A" w:rsidR="007F6FA2" w:rsidRDefault="007F6FA2" w:rsidP="00F36280">
      <w:pPr>
        <w:jc w:val="both"/>
        <w:rPr>
          <w:rFonts w:ascii="Bookman Old Style" w:eastAsia="Calibri" w:hAnsi="Bookman Old Style" w:cs="Calibri"/>
          <w:szCs w:val="24"/>
          <w:lang w:val="es-ES_tradnl"/>
        </w:rPr>
      </w:pPr>
    </w:p>
    <w:p w14:paraId="691B7803" w14:textId="3831EDD5" w:rsidR="007F6FA2" w:rsidRPr="007F6FA2" w:rsidRDefault="007F6FA2" w:rsidP="00F36280">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w:t>
      </w:r>
      <w:r w:rsidRPr="00B10001">
        <w:rPr>
          <w:rFonts w:ascii="Bookman Old Style" w:eastAsia="Calibri" w:hAnsi="Bookman Old Style" w:cs="Calibri"/>
          <w:lang w:val="es-ES_tradnl"/>
        </w:rPr>
        <w:lastRenderedPageBreak/>
        <w:t xml:space="preserve">prohibicionista ha estado sustentada en gran parte en la creencia que el consumo no medicinal de cannabis es una gran amenaza contra la salud pública. Sin embargo, en este proceso hemos llegado a entender que definitivamente no </w:t>
      </w:r>
      <w:r w:rsidR="00E60301">
        <w:rPr>
          <w:rFonts w:ascii="Bookman Old Style" w:eastAsia="Calibri" w:hAnsi="Bookman Old Style" w:cs="Calibri"/>
          <w:lang w:val="es-ES_tradnl"/>
        </w:rPr>
        <w:t>podrá haber un</w:t>
      </w:r>
      <w:r w:rsidR="00E60301" w:rsidRPr="00B10001">
        <w:rPr>
          <w:rFonts w:ascii="Bookman Old Style" w:eastAsia="Calibri" w:hAnsi="Bookman Old Style" w:cs="Calibri"/>
          <w:lang w:val="es-ES_tradnl"/>
        </w:rPr>
        <w:t xml:space="preserve"> </w:t>
      </w:r>
      <w:r w:rsidRPr="00B10001">
        <w:rPr>
          <w:rFonts w:ascii="Bookman Old Style" w:eastAsia="Calibri" w:hAnsi="Bookman Old Style" w:cs="Calibri"/>
          <w:lang w:val="es-ES_tradnl"/>
        </w:rPr>
        <w:t>cambio de paradigma si no se despejan las dudas que</w:t>
      </w:r>
      <w:r w:rsidR="00E60301">
        <w:rPr>
          <w:rFonts w:ascii="Bookman Old Style" w:eastAsia="Calibri" w:hAnsi="Bookman Old Style" w:cs="Calibri"/>
          <w:lang w:val="es-ES_tradnl"/>
        </w:rPr>
        <w:t xml:space="preserve"> existen </w:t>
      </w:r>
      <w:r w:rsidRPr="00B10001">
        <w:rPr>
          <w:rFonts w:ascii="Bookman Old Style" w:eastAsia="Calibri" w:hAnsi="Bookman Old Style" w:cs="Calibri"/>
          <w:lang w:val="es-ES_tradnl"/>
        </w:rPr>
        <w:t>en materia de salud alrededor del consumo de cannabis de uso adulto.</w:t>
      </w:r>
    </w:p>
    <w:p w14:paraId="12719055" w14:textId="03C0C242" w:rsidR="00F36280" w:rsidRDefault="00F36280" w:rsidP="00F36280">
      <w:pPr>
        <w:jc w:val="both"/>
        <w:rPr>
          <w:rFonts w:ascii="Bookman Old Style" w:eastAsia="Calibri" w:hAnsi="Bookman Old Style" w:cs="Calibri"/>
          <w:szCs w:val="24"/>
          <w:lang w:val="es-ES_tradnl"/>
        </w:rPr>
      </w:pPr>
    </w:p>
    <w:p w14:paraId="14E90637" w14:textId="7FAB0C2C" w:rsidR="0090168D" w:rsidRDefault="0090168D" w:rsidP="00F36280">
      <w:pPr>
        <w:jc w:val="both"/>
        <w:rPr>
          <w:rFonts w:ascii="Bookman Old Style" w:eastAsia="Calibri" w:hAnsi="Bookman Old Style" w:cs="Calibri"/>
          <w:b/>
          <w:szCs w:val="24"/>
        </w:rPr>
      </w:pPr>
      <w:r>
        <w:rPr>
          <w:rFonts w:ascii="Bookman Old Style" w:eastAsia="Calibri" w:hAnsi="Bookman Old Style" w:cs="Calibri"/>
          <w:b/>
          <w:szCs w:val="24"/>
        </w:rPr>
        <w:t>6</w:t>
      </w:r>
      <w:r w:rsidRPr="00485CC5">
        <w:rPr>
          <w:rFonts w:ascii="Bookman Old Style" w:eastAsia="Calibri" w:hAnsi="Bookman Old Style" w:cs="Calibri"/>
          <w:b/>
          <w:szCs w:val="24"/>
        </w:rPr>
        <w:t>.</w:t>
      </w:r>
      <w:r w:rsidRPr="00C30DB4">
        <w:rPr>
          <w:rFonts w:ascii="Bookman Old Style" w:eastAsia="Calibri" w:hAnsi="Bookman Old Style" w:cs="Calibri"/>
          <w:b/>
          <w:szCs w:val="24"/>
        </w:rPr>
        <w:t>2.</w:t>
      </w:r>
      <w:r>
        <w:rPr>
          <w:rFonts w:ascii="Bookman Old Style" w:eastAsia="Calibri" w:hAnsi="Bookman Old Style" w:cs="Calibri"/>
          <w:b/>
          <w:szCs w:val="24"/>
        </w:rPr>
        <w:t>1.1</w:t>
      </w:r>
      <w:r w:rsidRPr="00485CC5">
        <w:rPr>
          <w:rFonts w:ascii="Bookman Old Style" w:eastAsia="Calibri" w:hAnsi="Bookman Old Style" w:cs="Calibri"/>
          <w:szCs w:val="24"/>
        </w:rPr>
        <w:t xml:space="preserve"> </w:t>
      </w:r>
      <w:r w:rsidR="000F7EA5">
        <w:rPr>
          <w:rFonts w:ascii="Bookman Old Style" w:eastAsia="Calibri" w:hAnsi="Bookman Old Style" w:cs="Calibri"/>
          <w:b/>
          <w:szCs w:val="24"/>
        </w:rPr>
        <w:t>FRENTE AL D</w:t>
      </w:r>
      <w:r w:rsidR="00176820">
        <w:rPr>
          <w:rFonts w:ascii="Bookman Old Style" w:eastAsia="Calibri" w:hAnsi="Bookman Old Style" w:cs="Calibri"/>
          <w:b/>
          <w:szCs w:val="24"/>
        </w:rPr>
        <w:t>AÑO A</w:t>
      </w:r>
      <w:r w:rsidR="000F7EA5">
        <w:rPr>
          <w:rFonts w:ascii="Bookman Old Style" w:eastAsia="Calibri" w:hAnsi="Bookman Old Style" w:cs="Calibri"/>
          <w:b/>
          <w:szCs w:val="24"/>
        </w:rPr>
        <w:t>L CONSUMIDOR</w:t>
      </w:r>
      <w:r w:rsidRPr="00485CC5">
        <w:rPr>
          <w:rFonts w:ascii="Bookman Old Style" w:eastAsia="Calibri" w:hAnsi="Bookman Old Style" w:cs="Calibri"/>
          <w:b/>
          <w:szCs w:val="24"/>
        </w:rPr>
        <w:t>.</w:t>
      </w:r>
    </w:p>
    <w:p w14:paraId="5FFF027F" w14:textId="77777777" w:rsidR="00AC7FB2" w:rsidRPr="00AC7FB2" w:rsidRDefault="00AC7FB2" w:rsidP="00F36280">
      <w:pPr>
        <w:jc w:val="both"/>
        <w:rPr>
          <w:rFonts w:ascii="Bookman Old Style" w:eastAsia="Calibri" w:hAnsi="Bookman Old Style" w:cs="Calibri"/>
          <w:b/>
          <w:szCs w:val="24"/>
        </w:rPr>
      </w:pPr>
    </w:p>
    <w:p w14:paraId="7586EDC3" w14:textId="260A7EDD" w:rsidR="00F36280"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4" w:tgtFrame="_blank" w:history="1">
        <w:r w:rsidRPr="00485CC5">
          <w:rPr>
            <w:rFonts w:ascii="Bookman Old Style" w:hAnsi="Bookman Old Style"/>
            <w:szCs w:val="24"/>
            <w:lang w:val="es-ES_tradnl"/>
          </w:rPr>
          <w:t>el artículo “Drug harms in the UK: a multicriteria decision analysis”</w:t>
        </w:r>
        <w:r w:rsidRPr="00485CC5">
          <w:rPr>
            <w:rStyle w:val="Refdenotaalpie"/>
            <w:rFonts w:ascii="Bookman Old Style" w:hAnsi="Bookman Old Style"/>
            <w:szCs w:val="24"/>
            <w:lang w:val="es-ES_tradnl"/>
          </w:rPr>
          <w:footnoteReference w:id="65"/>
        </w:r>
        <w:r w:rsidRPr="00485CC5">
          <w:rPr>
            <w:rFonts w:ascii="Bookman Old Style" w:hAnsi="Bookman Old Style"/>
            <w:szCs w:val="24"/>
            <w:lang w:val="es-ES_tradnl"/>
          </w:rPr>
          <w:t xml:space="preserve"> publicado en 2010 en el diario médico The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2F713BA9" w14:textId="77777777" w:rsidR="00E606C3" w:rsidRPr="00485CC5" w:rsidRDefault="00E606C3" w:rsidP="00F36280">
      <w:pPr>
        <w:widowControl/>
        <w:shd w:val="clear" w:color="auto" w:fill="FFFFFF"/>
        <w:jc w:val="both"/>
        <w:rPr>
          <w:rFonts w:ascii="Bookman Old Style" w:hAnsi="Bookman Old Style"/>
          <w:szCs w:val="24"/>
          <w:lang w:val="es-ES_tradnl"/>
        </w:rPr>
      </w:pPr>
    </w:p>
    <w:p w14:paraId="2663FE1D" w14:textId="77777777" w:rsidR="00AC7FB2"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74C963D3" w14:textId="75523B34" w:rsidR="00AC7FB2" w:rsidRPr="00485CC5" w:rsidRDefault="00F36280" w:rsidP="00E606C3">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75B16708"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EE99003" wp14:editId="1CD0D27E">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31CAA66D" w14:textId="77777777"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5F7BA3" w14:textId="77777777" w:rsidR="00F36280" w:rsidRPr="00485CC5" w:rsidRDefault="00F36280" w:rsidP="00F36280">
      <w:pPr>
        <w:widowControl/>
        <w:shd w:val="clear" w:color="auto" w:fill="FFFFFF"/>
        <w:rPr>
          <w:rFonts w:ascii="Bookman Old Style" w:hAnsi="Bookman Old Style"/>
          <w:i/>
          <w:sz w:val="20"/>
          <w:szCs w:val="24"/>
        </w:rPr>
      </w:pPr>
    </w:p>
    <w:p w14:paraId="0C6B0FF1"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024F447B" w14:textId="77777777" w:rsidR="00F36280" w:rsidRPr="00485CC5" w:rsidRDefault="00F36280" w:rsidP="00F36280">
      <w:pPr>
        <w:widowControl/>
        <w:shd w:val="clear" w:color="auto" w:fill="FFFFFF"/>
        <w:rPr>
          <w:rFonts w:ascii="Bookman Old Style" w:hAnsi="Bookman Old Style"/>
          <w:i/>
          <w:sz w:val="20"/>
          <w:szCs w:val="24"/>
        </w:rPr>
      </w:pPr>
    </w:p>
    <w:p w14:paraId="484A9582" w14:textId="77777777" w:rsidR="002722F9"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3602D171" w14:textId="530D823F"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25299CB8"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B081EC4" wp14:editId="4379856D">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5612130" cy="2990850"/>
                    </a:xfrm>
                    <a:prstGeom prst="rect">
                      <a:avLst/>
                    </a:prstGeom>
                  </pic:spPr>
                </pic:pic>
              </a:graphicData>
            </a:graphic>
          </wp:inline>
        </w:drawing>
      </w:r>
    </w:p>
    <w:p w14:paraId="486DFFF5"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F012DED" w14:textId="77777777" w:rsidR="00F36280" w:rsidRPr="00485CC5" w:rsidRDefault="00F36280" w:rsidP="00F36280">
      <w:pPr>
        <w:jc w:val="both"/>
        <w:rPr>
          <w:rFonts w:ascii="Bookman Old Style" w:eastAsia="Calibri" w:hAnsi="Bookman Old Style" w:cs="Calibri"/>
          <w:szCs w:val="24"/>
          <w:lang w:val="es-ES_tradnl"/>
        </w:rPr>
      </w:pPr>
    </w:p>
    <w:p w14:paraId="2B4BA15C" w14:textId="011788DC"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w:t>
      </w:r>
      <w:r w:rsidR="00070BD9">
        <w:rPr>
          <w:rFonts w:ascii="Bookman Old Style" w:hAnsi="Bookman Old Style"/>
          <w:szCs w:val="24"/>
          <w:lang w:val="es-ES_tradnl"/>
        </w:rPr>
        <w:t>terceros</w:t>
      </w:r>
      <w:r w:rsidRPr="00485CC5">
        <w:rPr>
          <w:rFonts w:ascii="Bookman Old Style" w:hAnsi="Bookman Old Style"/>
          <w:szCs w:val="24"/>
          <w:lang w:val="es-ES_tradnl"/>
        </w:rPr>
        <w:t xml:space="preserve"> y aún más pocas las que causan un efecto grave</w:t>
      </w:r>
      <w:r w:rsidR="00070BD9">
        <w:rPr>
          <w:rFonts w:ascii="Bookman Old Style" w:hAnsi="Bookman Old Style"/>
          <w:szCs w:val="24"/>
          <w:lang w:val="es-ES_tradnl"/>
        </w:rPr>
        <w:t xml:space="preserve"> al consumidor</w:t>
      </w:r>
      <w:r w:rsidRPr="00485CC5">
        <w:rPr>
          <w:rFonts w:ascii="Bookman Old Style" w:hAnsi="Bookman Old Style"/>
          <w:szCs w:val="24"/>
          <w:lang w:val="es-ES_tradnl"/>
        </w:rPr>
        <w:t xml:space="preserve">, alcanzando el nivel más alto de afectación el consumo de alcohol, práctica que es plenamente legal en nuestro país. </w:t>
      </w:r>
    </w:p>
    <w:p w14:paraId="0F7A0C1C"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F5547DD" w14:textId="77777777" w:rsidR="00ED3ACD" w:rsidRPr="00B10001" w:rsidRDefault="00ED3ACD" w:rsidP="00ED3AC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7"/>
      </w:r>
      <w:r w:rsidRPr="00B10001">
        <w:rPr>
          <w:rFonts w:ascii="Bookman Old Style" w:hAnsi="Bookman Old Style"/>
          <w:lang w:val="es-ES_tradnl"/>
        </w:rPr>
        <w:t xml:space="preserve">. </w:t>
      </w:r>
    </w:p>
    <w:p w14:paraId="75B2B733" w14:textId="77777777" w:rsidR="00ED3ACD" w:rsidRPr="00B10001" w:rsidRDefault="00ED3ACD" w:rsidP="00ED3ACD">
      <w:pPr>
        <w:shd w:val="clear" w:color="auto" w:fill="FFFFFF"/>
        <w:jc w:val="both"/>
        <w:rPr>
          <w:rFonts w:ascii="Bookman Old Style" w:hAnsi="Bookman Old Style"/>
          <w:lang w:val="es-ES_tradnl"/>
        </w:rPr>
      </w:pPr>
    </w:p>
    <w:p w14:paraId="338EE4E0" w14:textId="6AC327C1" w:rsidR="00AF4882" w:rsidRDefault="00ED3ACD" w:rsidP="00ED3AC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w:t>
      </w:r>
      <w:r w:rsidR="00070BD9">
        <w:rPr>
          <w:rFonts w:ascii="Bookman Old Style" w:hAnsi="Bookman Old Style"/>
          <w:lang w:val="es-ES_tradnl"/>
        </w:rPr>
        <w:t>,</w:t>
      </w:r>
      <w:r w:rsidRPr="00B10001">
        <w:rPr>
          <w:rFonts w:ascii="Bookman Old Style" w:hAnsi="Bookman Old Style"/>
          <w:lang w:val="es-ES_tradnl"/>
        </w:rPr>
        <w:t xml:space="preserve"> en la actualidad</w:t>
      </w:r>
      <w:r w:rsidR="00070BD9">
        <w:rPr>
          <w:rFonts w:ascii="Bookman Old Style" w:hAnsi="Bookman Old Style"/>
          <w:lang w:val="es-ES_tradnl"/>
        </w:rPr>
        <w:t>,</w:t>
      </w:r>
      <w:r w:rsidRPr="00B10001">
        <w:rPr>
          <w:rFonts w:ascii="Bookman Old Style" w:hAnsi="Bookman Old Style"/>
          <w:lang w:val="es-ES_tradnl"/>
        </w:rPr>
        <w:t xml:space="preserve"> existen sustancias incluso más perjudiciales para la salud, cuyo consumo se encuentra permitido y que no han sido objeto de ningún intento de restricción vía legal o constitucional. </w:t>
      </w:r>
      <w:r w:rsidR="00070BD9">
        <w:rPr>
          <w:rFonts w:ascii="Bookman Old Style" w:hAnsi="Bookman Old Style"/>
          <w:lang w:val="es-ES_tradnl"/>
        </w:rPr>
        <w:t>En cambio,</w:t>
      </w:r>
      <w:r w:rsidRPr="00B10001">
        <w:rPr>
          <w:rFonts w:ascii="Bookman Old Style" w:hAnsi="Bookman Old Style"/>
          <w:lang w:val="es-ES_tradnl"/>
        </w:rPr>
        <w:t xml:space="preserve"> su producción y consumo a gran escala permiten el recaudo de impuestos destinados a financiar programas sociales, el sistema de salud, entre otros</w:t>
      </w:r>
    </w:p>
    <w:p w14:paraId="2CD99AB9" w14:textId="33116DAB" w:rsidR="00987C6B" w:rsidRDefault="00987C6B" w:rsidP="00ED3ACD">
      <w:pPr>
        <w:widowControl/>
        <w:shd w:val="clear" w:color="auto" w:fill="FFFFFF"/>
        <w:jc w:val="both"/>
        <w:rPr>
          <w:rFonts w:ascii="Bookman Old Style" w:hAnsi="Bookman Old Style"/>
          <w:lang w:val="es-ES_tradnl"/>
        </w:rPr>
      </w:pPr>
    </w:p>
    <w:p w14:paraId="39587592" w14:textId="79476938"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6.2.1.2 FRENTE A LA PROBABILIDAD DE DESARROLLAR TRASTORNOS ASOCIADOS AL CONSUMO.</w:t>
      </w:r>
    </w:p>
    <w:p w14:paraId="1BBD3743" w14:textId="6E4390A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04AF4684"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Respecto a la posibilidad de desarrollar trastornos asociados al consumo por cannabis, vale traer a consideración el estudio publicado en por Catalina López, 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8"/>
      </w:r>
      <w:r w:rsidRPr="00B10001">
        <w:rPr>
          <w:rFonts w:ascii="Bookman Old Style" w:hAnsi="Bookman Old Style"/>
          <w:lang w:val="es-ES_tradnl"/>
        </w:rPr>
        <w:t xml:space="preserve"> Es decir, una de cada 10 personas podrían desarrollar lo que se conoce como consumo problemático. </w:t>
      </w:r>
    </w:p>
    <w:p w14:paraId="5330F20B" w14:textId="77777777" w:rsidR="00AF4882" w:rsidRPr="00B10001" w:rsidRDefault="00AF4882" w:rsidP="00AF4882">
      <w:pPr>
        <w:shd w:val="clear" w:color="auto" w:fill="FFFFFF"/>
        <w:jc w:val="both"/>
        <w:rPr>
          <w:rFonts w:ascii="Bookman Old Style" w:hAnsi="Bookman Old Style"/>
          <w:lang w:val="es-ES_tradnl"/>
        </w:rPr>
      </w:pPr>
    </w:p>
    <w:p w14:paraId="17C283C3" w14:textId="77777777" w:rsidR="00AF4882" w:rsidRPr="00B10001" w:rsidRDefault="00AF4882" w:rsidP="00AF4882">
      <w:pPr>
        <w:jc w:val="both"/>
        <w:rPr>
          <w:rFonts w:ascii="Bookman Old Style" w:hAnsi="Bookman Old Style"/>
          <w:lang w:val="es-ES_tradnl"/>
        </w:rPr>
      </w:pPr>
      <w:r w:rsidRPr="00B10001">
        <w:rPr>
          <w:rFonts w:ascii="Bookman Old Style" w:hAnsi="Bookman Old Style"/>
          <w:lang w:val="es-ES_tradnl"/>
        </w:rPr>
        <w:t>Un estudio más reciente del año 2019, realizado por los investigadores Christina Marel, Matthew Sunderland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1C459BAB" w14:textId="77777777" w:rsidR="00AF4882" w:rsidRPr="00B10001" w:rsidRDefault="00AF4882" w:rsidP="00AF4882">
      <w:pPr>
        <w:jc w:val="both"/>
        <w:rPr>
          <w:rFonts w:ascii="Bookman Old Style" w:hAnsi="Bookman Old Style"/>
          <w:lang w:val="es-ES_tradnl"/>
        </w:rPr>
      </w:pPr>
    </w:p>
    <w:p w14:paraId="3111512D" w14:textId="40A76EBC"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Adicional a lo anterior, de acuerdo con la publicación del National Institute on Drug Abuse (NIH) acerca del cannabis, no hay reportes de muertes por sobre dosis de consumo de esta sustancia.</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71"/>
      </w:r>
    </w:p>
    <w:p w14:paraId="584871D3" w14:textId="7777777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11A3465F" w14:textId="44FDD104" w:rsidR="00987C6B" w:rsidRPr="00987C6B" w:rsidRDefault="00987C6B" w:rsidP="00987C6B">
      <w:pPr>
        <w:pBdr>
          <w:top w:val="nil"/>
          <w:left w:val="nil"/>
          <w:bottom w:val="nil"/>
          <w:right w:val="nil"/>
          <w:between w:val="nil"/>
        </w:pBdr>
        <w:ind w:right="115"/>
        <w:jc w:val="both"/>
        <w:rPr>
          <w:rFonts w:ascii="Bookman Old Style" w:eastAsia="Calibri" w:hAnsi="Bookman Old Style" w:cs="Calibri"/>
          <w:b/>
          <w:szCs w:val="24"/>
        </w:rPr>
      </w:pPr>
      <w:r w:rsidRPr="00987C6B">
        <w:rPr>
          <w:rFonts w:ascii="Bookman Old Style" w:eastAsia="Calibri" w:hAnsi="Bookman Old Style" w:cs="Calibri"/>
          <w:b/>
          <w:szCs w:val="24"/>
        </w:rPr>
        <w:t>6.2.1.3 FRENTE AL AUMENTO DEL CONSUMO POR REGULACIÓN.</w:t>
      </w:r>
    </w:p>
    <w:p w14:paraId="42A828A5" w14:textId="2F633CC7" w:rsidR="00AF4882" w:rsidRDefault="00AF4882" w:rsidP="00987C6B">
      <w:pPr>
        <w:widowControl/>
        <w:shd w:val="clear" w:color="auto" w:fill="FFFFFF"/>
        <w:jc w:val="both"/>
        <w:rPr>
          <w:rFonts w:ascii="Bookman Old Style" w:eastAsia="Calibri" w:hAnsi="Bookman Old Style" w:cs="Calibri"/>
          <w:b/>
          <w:szCs w:val="24"/>
        </w:rPr>
      </w:pPr>
    </w:p>
    <w:p w14:paraId="4D9197C0"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65776C5A" w14:textId="77777777" w:rsidR="00AF4882" w:rsidRPr="00B10001" w:rsidRDefault="00AF4882" w:rsidP="00AF4882">
      <w:pPr>
        <w:shd w:val="clear" w:color="auto" w:fill="FFFFFF"/>
        <w:jc w:val="both"/>
        <w:rPr>
          <w:rFonts w:ascii="Bookman Old Style" w:hAnsi="Bookman Old Style"/>
          <w:lang w:val="es-ES_tradnl"/>
        </w:rPr>
      </w:pPr>
    </w:p>
    <w:p w14:paraId="31849D1A" w14:textId="307D37AA" w:rsidR="00AF4882" w:rsidRPr="00B10001" w:rsidRDefault="00070BD9" w:rsidP="00AF4882">
      <w:pPr>
        <w:shd w:val="clear" w:color="auto" w:fill="FFFFFF"/>
        <w:jc w:val="both"/>
        <w:rPr>
          <w:rFonts w:ascii="Bookman Old Style" w:hAnsi="Bookman Old Style"/>
          <w:lang w:val="es-ES_tradnl"/>
        </w:rPr>
      </w:pPr>
      <w:r>
        <w:rPr>
          <w:rFonts w:ascii="Bookman Old Style" w:hAnsi="Bookman Old Style"/>
          <w:lang w:val="es-ES_tradnl"/>
        </w:rPr>
        <w:t>Justamente uno de los temores que más se ha difundido frente a la regularización del cannabis es la posibilidad de aumento en</w:t>
      </w:r>
      <w:r w:rsidR="00AF4882" w:rsidRPr="00B10001">
        <w:rPr>
          <w:rFonts w:ascii="Bookman Old Style" w:hAnsi="Bookman Old Style"/>
          <w:lang w:val="es-ES_tradnl"/>
        </w:rPr>
        <w:t xml:space="preserve"> el consumo, en especial en menores de edad. Sin embargo, la evidencia de mercados ya regulados indica que la </w:t>
      </w:r>
      <w:r>
        <w:rPr>
          <w:rFonts w:ascii="Bookman Old Style" w:hAnsi="Bookman Old Style"/>
          <w:lang w:val="es-ES_tradnl"/>
        </w:rPr>
        <w:t xml:space="preserve">legalización </w:t>
      </w:r>
      <w:r w:rsidR="00AF4882" w:rsidRPr="00B10001">
        <w:rPr>
          <w:rFonts w:ascii="Bookman Old Style" w:hAnsi="Bookman Old Style"/>
          <w:lang w:val="es-ES_tradnl"/>
        </w:rPr>
        <w:t>de los mercados puede incidir en la reducción del consumo, e inclusive, mejorar la percepción del riesgo asociado al consumo y desincentivar prácticas riesgosas para los consumidores.</w:t>
      </w:r>
      <w:r w:rsidR="00AF4882" w:rsidRPr="00B10001">
        <w:rPr>
          <w:rStyle w:val="Refdenotaalpie"/>
          <w:rFonts w:ascii="Bookman Old Style" w:hAnsi="Bookman Old Style"/>
          <w:lang w:val="es-ES_tradnl"/>
        </w:rPr>
        <w:footnoteReference w:id="72"/>
      </w:r>
    </w:p>
    <w:p w14:paraId="478BB135" w14:textId="77777777" w:rsidR="00AF4882" w:rsidRPr="00B10001" w:rsidRDefault="00AF4882" w:rsidP="00AF4882">
      <w:pPr>
        <w:shd w:val="clear" w:color="auto" w:fill="FFFFFF"/>
        <w:jc w:val="both"/>
        <w:rPr>
          <w:rFonts w:ascii="Bookman Old Style" w:hAnsi="Bookman Old Style"/>
          <w:lang w:val="es-ES_tradnl"/>
        </w:rPr>
      </w:pPr>
    </w:p>
    <w:p w14:paraId="551A1206" w14:textId="6E7DC710"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De igual manera, frente al consumo de menores la evidencia internacional respalda la afirmación de que el mercado regulado no permitió el aumento en el consumo de menores de edad, </w:t>
      </w:r>
      <w:r w:rsidR="00070BD9">
        <w:rPr>
          <w:rFonts w:ascii="Bookman Old Style" w:hAnsi="Bookman Old Style"/>
          <w:lang w:val="es-ES_tradnl"/>
        </w:rPr>
        <w:t xml:space="preserve">sino </w:t>
      </w:r>
      <w:r w:rsidRPr="00B10001">
        <w:rPr>
          <w:rFonts w:ascii="Bookman Old Style" w:hAnsi="Bookman Old Style"/>
          <w:lang w:val="es-ES_tradnl"/>
        </w:rPr>
        <w:t>todo lo contrario</w:t>
      </w:r>
      <w:r w:rsidR="00070BD9">
        <w:rPr>
          <w:rFonts w:ascii="Bookman Old Style" w:hAnsi="Bookman Old Style"/>
          <w:lang w:val="es-ES_tradnl"/>
        </w:rPr>
        <w:t>: e</w:t>
      </w:r>
      <w:r w:rsidRPr="00B10001">
        <w:rPr>
          <w:rFonts w:ascii="Bookman Old Style" w:hAnsi="Bookman Old Style"/>
          <w:lang w:val="es-ES_tradnl"/>
        </w:rPr>
        <w:t>n Estados Unidos</w:t>
      </w:r>
      <w:r w:rsidR="00070BD9">
        <w:rPr>
          <w:rFonts w:ascii="Bookman Old Style" w:hAnsi="Bookman Old Style"/>
          <w:lang w:val="es-ES_tradnl"/>
        </w:rPr>
        <w:t xml:space="preserve">, por </w:t>
      </w:r>
      <w:r w:rsidR="002548C6">
        <w:rPr>
          <w:rFonts w:ascii="Bookman Old Style" w:hAnsi="Bookman Old Style"/>
          <w:lang w:val="es-ES_tradnl"/>
        </w:rPr>
        <w:t>ejemplo,</w:t>
      </w:r>
      <w:r w:rsidRPr="00B10001">
        <w:rPr>
          <w:rFonts w:ascii="Bookman Old Style" w:hAnsi="Bookman Old Style"/>
          <w:lang w:val="es-ES_tradnl"/>
        </w:rPr>
        <w:t xml:space="preserve"> se redujo hasta en un 9% el consumo en menores desde la legalización</w:t>
      </w:r>
      <w:r w:rsidRPr="00B10001">
        <w:rPr>
          <w:rStyle w:val="Refdenotaalpie"/>
          <w:rFonts w:ascii="Bookman Old Style" w:hAnsi="Bookman Old Style"/>
          <w:lang w:val="es-ES_tradnl"/>
        </w:rPr>
        <w:footnoteReference w:id="73"/>
      </w:r>
      <w:r w:rsidRPr="00B10001">
        <w:rPr>
          <w:rFonts w:ascii="Bookman Old Style" w:hAnsi="Bookman Old Style"/>
          <w:lang w:val="es-ES_tradnl"/>
        </w:rPr>
        <w:t>. De igual manera, en Uruguay</w:t>
      </w:r>
      <w:r w:rsidRPr="00B10001">
        <w:rPr>
          <w:rStyle w:val="Refdenotaalpie"/>
          <w:rFonts w:ascii="Bookman Old Style" w:hAnsi="Bookman Old Style"/>
          <w:lang w:val="es-ES_tradnl"/>
        </w:rPr>
        <w:footnoteReference w:id="74"/>
      </w:r>
      <w:r w:rsidRPr="00B10001">
        <w:rPr>
          <w:rFonts w:ascii="Bookman Old Style" w:hAnsi="Bookman Old Style"/>
          <w:lang w:val="es-ES_tradnl"/>
        </w:rPr>
        <w:t xml:space="preserve"> y en Canadá tampoco se aumentó el consumo en adolescentes.</w:t>
      </w:r>
      <w:r w:rsidRPr="00B10001">
        <w:rPr>
          <w:rStyle w:val="Refdenotaalpie"/>
          <w:rFonts w:ascii="Bookman Old Style" w:hAnsi="Bookman Old Style"/>
          <w:lang w:val="es-ES_tradnl"/>
        </w:rPr>
        <w:footnoteReference w:id="75"/>
      </w:r>
    </w:p>
    <w:p w14:paraId="64324CDD" w14:textId="77777777" w:rsidR="00AF4882" w:rsidRPr="00B10001" w:rsidRDefault="00AF4882" w:rsidP="00AF4882">
      <w:pPr>
        <w:shd w:val="clear" w:color="auto" w:fill="FFFFFF"/>
        <w:jc w:val="both"/>
        <w:rPr>
          <w:rFonts w:ascii="Bookman Old Style" w:hAnsi="Bookman Old Style"/>
          <w:lang w:val="es-ES_tradnl"/>
        </w:rPr>
      </w:pPr>
    </w:p>
    <w:p w14:paraId="78BBAE92" w14:textId="6A4AA3FA" w:rsidR="00AF4882" w:rsidRPr="00B10001" w:rsidRDefault="00AF4882" w:rsidP="00AF4882">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w:t>
      </w:r>
      <w:r w:rsidR="002548C6" w:rsidRPr="00B10001">
        <w:rPr>
          <w:rFonts w:ascii="Bookman Old Style" w:hAnsi="Bookman Old Style"/>
          <w:lang w:val="es-ES_tradnl"/>
        </w:rPr>
        <w:t>Unidos</w:t>
      </w:r>
      <w:r w:rsidRPr="00B10001">
        <w:rPr>
          <w:rFonts w:ascii="Bookman Old Style" w:hAnsi="Bookman Old Style"/>
          <w:lang w:val="es-ES_tradnl"/>
        </w:rPr>
        <w:t xml:space="preserve">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6"/>
      </w:r>
    </w:p>
    <w:p w14:paraId="532513A5" w14:textId="77777777" w:rsidR="00AF4882" w:rsidRPr="00B10001" w:rsidRDefault="00AF4882" w:rsidP="00AF4882">
      <w:pPr>
        <w:shd w:val="clear" w:color="auto" w:fill="FFFFFF"/>
        <w:jc w:val="both"/>
        <w:rPr>
          <w:rFonts w:ascii="Bookman Old Style" w:hAnsi="Bookman Old Style"/>
          <w:i/>
          <w:iCs/>
          <w:lang w:val="es-ES_tradnl"/>
        </w:rPr>
      </w:pPr>
    </w:p>
    <w:p w14:paraId="506F7D7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02D97AC" w14:textId="77777777" w:rsidR="00AF4882" w:rsidRPr="00B10001" w:rsidRDefault="00AF4882" w:rsidP="00AF4882">
      <w:pPr>
        <w:shd w:val="clear" w:color="auto" w:fill="FFFFFF"/>
        <w:jc w:val="both"/>
        <w:rPr>
          <w:rFonts w:ascii="Bookman Old Style" w:hAnsi="Bookman Old Style"/>
          <w:lang w:val="es-ES_tradnl"/>
        </w:rPr>
      </w:pPr>
    </w:p>
    <w:p w14:paraId="0D1F77E9" w14:textId="214C63E9" w:rsid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Los que abogamos por un cambio en la política de drogas y los que buscan mantener las cosas como están, tenemos al menos varios puntos en común, este es uno de ellos. Todos queremos proteger a los niños, niñas y adolescentes y a la población vulnerable</w:t>
      </w:r>
      <w:r w:rsidR="00070BD9">
        <w:rPr>
          <w:rFonts w:ascii="Bookman Old Style" w:hAnsi="Bookman Old Style"/>
          <w:lang w:val="es-ES_tradnl"/>
        </w:rPr>
        <w:t xml:space="preserve">. </w:t>
      </w:r>
      <w:r w:rsidR="002548C6">
        <w:rPr>
          <w:rFonts w:ascii="Bookman Old Style" w:hAnsi="Bookman Old Style"/>
          <w:lang w:val="es-ES_tradnl"/>
        </w:rPr>
        <w:t xml:space="preserve">Habiendo </w:t>
      </w:r>
      <w:r w:rsidR="002548C6" w:rsidRPr="00B10001">
        <w:rPr>
          <w:rFonts w:ascii="Bookman Old Style" w:hAnsi="Bookman Old Style"/>
          <w:lang w:val="es-ES_tradnl"/>
        </w:rPr>
        <w:t>acuerdo</w:t>
      </w:r>
      <w:r w:rsidRPr="00B10001">
        <w:rPr>
          <w:rFonts w:ascii="Bookman Old Style" w:hAnsi="Bookman Old Style"/>
          <w:lang w:val="es-ES_tradnl"/>
        </w:rPr>
        <w:t xml:space="preserve"> sobre eso, </w:t>
      </w:r>
      <w:r w:rsidR="00070BD9">
        <w:rPr>
          <w:rFonts w:ascii="Bookman Old Style" w:hAnsi="Bookman Old Style"/>
          <w:lang w:val="es-ES_tradnl"/>
        </w:rPr>
        <w:t>es necesario avanzar</w:t>
      </w:r>
      <w:r w:rsidR="00070BD9" w:rsidRPr="00B10001">
        <w:rPr>
          <w:rFonts w:ascii="Bookman Old Style" w:hAnsi="Bookman Old Style"/>
          <w:lang w:val="es-ES_tradnl"/>
        </w:rPr>
        <w:t xml:space="preserve"> </w:t>
      </w:r>
      <w:r w:rsidRPr="00B10001">
        <w:rPr>
          <w:rFonts w:ascii="Bookman Old Style" w:hAnsi="Bookman Old Style"/>
          <w:lang w:val="es-ES_tradnl"/>
        </w:rPr>
        <w:t xml:space="preserve">en la discusión </w:t>
      </w:r>
      <w:r w:rsidR="00070BD9">
        <w:rPr>
          <w:rFonts w:ascii="Bookman Old Style" w:hAnsi="Bookman Old Style"/>
          <w:lang w:val="es-ES_tradnl"/>
        </w:rPr>
        <w:t>acerca de</w:t>
      </w:r>
      <w:r w:rsidR="00070BD9" w:rsidRPr="00B10001">
        <w:rPr>
          <w:rFonts w:ascii="Bookman Old Style" w:hAnsi="Bookman Old Style"/>
          <w:lang w:val="es-ES_tradnl"/>
        </w:rPr>
        <w:t xml:space="preserve"> </w:t>
      </w:r>
      <w:r w:rsidRPr="00B10001">
        <w:rPr>
          <w:rFonts w:ascii="Bookman Old Style" w:hAnsi="Bookman Old Style"/>
          <w:lang w:val="es-ES_tradnl"/>
        </w:rPr>
        <w:t xml:space="preserve">cuál es la mejor forma de hacerlo. </w:t>
      </w:r>
    </w:p>
    <w:p w14:paraId="2660CC01" w14:textId="33EF8FE9" w:rsidR="00070BD9" w:rsidRDefault="00070BD9" w:rsidP="00AF4882">
      <w:pPr>
        <w:shd w:val="clear" w:color="auto" w:fill="FFFFFF"/>
        <w:jc w:val="both"/>
        <w:rPr>
          <w:rFonts w:ascii="Bookman Old Style" w:hAnsi="Bookman Old Style"/>
          <w:lang w:val="es-ES_tradnl"/>
        </w:rPr>
      </w:pPr>
    </w:p>
    <w:p w14:paraId="5C3E26EE" w14:textId="46C15CC8" w:rsidR="00070BD9" w:rsidRPr="00AF4882" w:rsidRDefault="00070BD9" w:rsidP="00AF4882">
      <w:pPr>
        <w:shd w:val="clear" w:color="auto" w:fill="FFFFFF"/>
        <w:jc w:val="both"/>
        <w:rPr>
          <w:rFonts w:ascii="Bookman Old Style" w:hAnsi="Bookman Old Style"/>
          <w:lang w:val="es-ES_tradnl"/>
        </w:rPr>
      </w:pPr>
      <w:r>
        <w:rPr>
          <w:rFonts w:ascii="Bookman Old Style" w:hAnsi="Bookman Old Style"/>
          <w:lang w:val="es-ES_tradnl"/>
        </w:rPr>
        <w:t>Finalmente, sobre este tema es importante resaltar que este proyecto de acto legislativo únicamente pretende legalizar el cannabis para uso adulto. Además, que se reconoce la posibilidad de limitar el consumo en espacios públicos, escolares y, en general, espacios que puedan generar afectaciones a los niños.</w:t>
      </w:r>
    </w:p>
    <w:p w14:paraId="5E63A2A3" w14:textId="77777777" w:rsidR="00AF4882" w:rsidRDefault="00AF4882" w:rsidP="00987C6B">
      <w:pPr>
        <w:widowControl/>
        <w:shd w:val="clear" w:color="auto" w:fill="FFFFFF"/>
        <w:jc w:val="both"/>
        <w:rPr>
          <w:rFonts w:ascii="Bookman Old Style" w:eastAsia="Calibri" w:hAnsi="Bookman Old Style" w:cs="Calibri"/>
          <w:b/>
          <w:szCs w:val="24"/>
        </w:rPr>
      </w:pPr>
    </w:p>
    <w:p w14:paraId="3EA91762" w14:textId="482C1663" w:rsidR="00987C6B" w:rsidRPr="00987C6B" w:rsidRDefault="00987C6B" w:rsidP="00987C6B">
      <w:pPr>
        <w:widowControl/>
        <w:shd w:val="clear" w:color="auto" w:fill="FFFFFF"/>
        <w:jc w:val="both"/>
        <w:rPr>
          <w:rFonts w:ascii="Bookman Old Style" w:hAnsi="Bookman Old Style"/>
          <w:b/>
          <w:lang w:val="es-ES_tradnl"/>
        </w:rPr>
      </w:pPr>
      <w:r w:rsidRPr="00987C6B">
        <w:rPr>
          <w:rFonts w:ascii="Bookman Old Style" w:eastAsia="Calibri" w:hAnsi="Bookman Old Style" w:cs="Calibri"/>
          <w:b/>
          <w:szCs w:val="24"/>
        </w:rPr>
        <w:t>6.2.1.4 FRENTE AL AUMENTO DE VIOLENCIA POR CONSUMO DE CANNABIS.</w:t>
      </w:r>
    </w:p>
    <w:p w14:paraId="73369556" w14:textId="71C6B1F2" w:rsidR="00ED3ACD" w:rsidRDefault="00ED3ACD" w:rsidP="00ED3ACD">
      <w:pPr>
        <w:widowControl/>
        <w:shd w:val="clear" w:color="auto" w:fill="FFFFFF"/>
        <w:jc w:val="both"/>
        <w:rPr>
          <w:rFonts w:ascii="Bookman Old Style" w:hAnsi="Bookman Old Style"/>
          <w:lang w:val="es-ES_tradnl"/>
        </w:rPr>
      </w:pPr>
    </w:p>
    <w:p w14:paraId="5C648F9E" w14:textId="3917BB95" w:rsidR="00987C6B" w:rsidRPr="00B10001" w:rsidRDefault="00987C6B" w:rsidP="00987C6B">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Sobre el</w:t>
      </w:r>
      <w:r w:rsidR="00070BD9">
        <w:rPr>
          <w:rFonts w:ascii="Bookman Old Style" w:hAnsi="Bookman Old Style"/>
          <w:lang w:val="es-ES_tradnl"/>
        </w:rPr>
        <w:t xml:space="preserve"> posible aumento de violencia por el consumo de cannabis</w:t>
      </w:r>
      <w:r w:rsidRPr="00B10001">
        <w:rPr>
          <w:rFonts w:ascii="Bookman Old Style" w:hAnsi="Bookman Old Style"/>
          <w:lang w:val="es-ES_tradnl"/>
        </w:rPr>
        <w:t xml:space="preserve">, no existe evidencia concluyente que asocie el consumo de cannabis con el aumento de comportamientos violentos. Inclusive existen estudios que sugieren que el cannabis disminuye la agresividad, entre ellos los traídos a colación por la FIP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7"/>
      </w:r>
    </w:p>
    <w:p w14:paraId="18E68FD2" w14:textId="77777777" w:rsidR="00987C6B" w:rsidRPr="00B10001" w:rsidRDefault="00987C6B" w:rsidP="00987C6B">
      <w:pPr>
        <w:shd w:val="clear" w:color="auto" w:fill="FFFFFF"/>
        <w:jc w:val="both"/>
        <w:rPr>
          <w:rFonts w:ascii="Bookman Old Style" w:hAnsi="Bookman Old Style"/>
          <w:lang w:val="es-ES_tradnl"/>
        </w:rPr>
      </w:pPr>
    </w:p>
    <w:p w14:paraId="60282296"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8"/>
      </w:r>
      <w:r w:rsidRPr="00B10001">
        <w:rPr>
          <w:rFonts w:ascii="Bookman Old Style" w:hAnsi="Bookman Old Style" w:cs="Arial"/>
          <w:color w:val="000000"/>
          <w:lang w:val="es-ES_tradnl"/>
        </w:rPr>
        <w:t xml:space="preserve"> </w:t>
      </w:r>
    </w:p>
    <w:p w14:paraId="7EC3B047" w14:textId="77777777" w:rsidR="00987C6B" w:rsidRPr="00B10001" w:rsidRDefault="00987C6B" w:rsidP="00987C6B">
      <w:pPr>
        <w:jc w:val="both"/>
        <w:rPr>
          <w:rFonts w:ascii="Bookman Old Style" w:hAnsi="Bookman Old Style" w:cs="Arial"/>
          <w:color w:val="000000"/>
          <w:lang w:val="es-ES_tradnl"/>
        </w:rPr>
      </w:pPr>
    </w:p>
    <w:p w14:paraId="344E8130"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Finalmente, conforme al estudio realizado por Denson, Blundell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9"/>
      </w:r>
      <w:r w:rsidRPr="00B10001">
        <w:rPr>
          <w:rFonts w:ascii="Bookman Old Style" w:hAnsi="Bookman Old Style" w:cs="Arial"/>
          <w:color w:val="000000"/>
          <w:lang w:val="es-ES_tradnl"/>
        </w:rPr>
        <w:t> </w:t>
      </w:r>
    </w:p>
    <w:p w14:paraId="42BEEFC5" w14:textId="77777777" w:rsidR="00987C6B" w:rsidRPr="00B10001" w:rsidRDefault="00987C6B" w:rsidP="00987C6B">
      <w:pPr>
        <w:shd w:val="clear" w:color="auto" w:fill="FFFFFF"/>
        <w:jc w:val="both"/>
        <w:rPr>
          <w:rFonts w:ascii="Bookman Old Style" w:hAnsi="Bookman Old Style"/>
          <w:lang w:val="es-ES_tradnl"/>
        </w:rPr>
      </w:pPr>
    </w:p>
    <w:p w14:paraId="32013089" w14:textId="058E60D3" w:rsidR="00987C6B" w:rsidRPr="00B10001" w:rsidRDefault="00987C6B" w:rsidP="00987C6B">
      <w:pPr>
        <w:jc w:val="both"/>
        <w:rPr>
          <w:rFonts w:ascii="Bookman Old Style" w:hAnsi="Bookman Old Style"/>
          <w:lang w:val="es-ES_tradnl"/>
        </w:rPr>
      </w:pPr>
      <w:r w:rsidRPr="00B10001">
        <w:rPr>
          <w:rFonts w:ascii="Bookman Old Style" w:hAnsi="Bookman Old Style"/>
          <w:lang w:val="es-ES_tradnl"/>
        </w:rPr>
        <w:t>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w:t>
      </w:r>
      <w:r w:rsidR="00C352F6">
        <w:rPr>
          <w:rFonts w:ascii="Bookman Old Style" w:hAnsi="Bookman Old Style"/>
          <w:lang w:val="es-ES_tradnl"/>
        </w:rPr>
        <w:t xml:space="preserve"> ante este escenario límite</w:t>
      </w:r>
      <w:r w:rsidR="00BE7408">
        <w:rPr>
          <w:rFonts w:ascii="Bookman Old Style" w:hAnsi="Bookman Old Style"/>
          <w:lang w:val="es-ES_tradnl"/>
        </w:rPr>
        <w:t>.</w:t>
      </w:r>
    </w:p>
    <w:p w14:paraId="72AFB4AF" w14:textId="77777777" w:rsidR="00987C6B" w:rsidRPr="00B10001" w:rsidRDefault="00987C6B" w:rsidP="00987C6B">
      <w:pPr>
        <w:shd w:val="clear" w:color="auto" w:fill="FFFFFF"/>
        <w:jc w:val="both"/>
        <w:rPr>
          <w:rFonts w:ascii="Bookman Old Style" w:hAnsi="Bookman Old Style"/>
          <w:lang w:val="es-ES_tradnl"/>
        </w:rPr>
      </w:pPr>
    </w:p>
    <w:p w14:paraId="68EF89F4" w14:textId="227DC1F3" w:rsidR="007F6FA2" w:rsidRPr="007F6FA2" w:rsidRDefault="00987C6B" w:rsidP="007F6FA2">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80"/>
      </w:r>
    </w:p>
    <w:p w14:paraId="4AF40F12" w14:textId="77777777" w:rsidR="007F6FA2" w:rsidRDefault="007F6FA2" w:rsidP="00ED3ACD">
      <w:pPr>
        <w:widowControl/>
        <w:shd w:val="clear" w:color="auto" w:fill="FFFFFF"/>
        <w:jc w:val="both"/>
        <w:rPr>
          <w:rFonts w:ascii="Bookman Old Style" w:hAnsi="Bookman Old Style"/>
          <w:szCs w:val="24"/>
          <w:lang w:val="es-ES_tradnl"/>
        </w:rPr>
      </w:pPr>
    </w:p>
    <w:p w14:paraId="582F3ECD" w14:textId="488C570B" w:rsidR="00F36280" w:rsidRPr="00987C6B" w:rsidRDefault="00F36280" w:rsidP="00ED3AC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278913E5" w14:textId="77777777" w:rsidR="00F36280" w:rsidRPr="00987C6B" w:rsidRDefault="00F36280" w:rsidP="00F36280">
      <w:pPr>
        <w:widowControl/>
        <w:shd w:val="clear" w:color="auto" w:fill="FFFFFF"/>
        <w:jc w:val="both"/>
        <w:rPr>
          <w:rFonts w:ascii="Bookman Old Style" w:hAnsi="Bookman Old Style"/>
          <w:szCs w:val="24"/>
          <w:lang w:val="es-ES_tradnl"/>
        </w:rPr>
      </w:pPr>
    </w:p>
    <w:p w14:paraId="50CCEE5D" w14:textId="77777777" w:rsidR="00F36280" w:rsidRPr="00987C6B" w:rsidRDefault="00F36280" w:rsidP="00F36280">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UNGASS (2016); y 3) la propia legislación colombiana a través de la Ley 1566 de 2012</w:t>
      </w:r>
      <w:r w:rsidRPr="00987C6B">
        <w:rPr>
          <w:rStyle w:val="Refdenotaalpie"/>
          <w:rFonts w:ascii="Bookman Old Style" w:hAnsi="Bookman Old Style"/>
          <w:szCs w:val="24"/>
          <w:lang w:val="es-ES_tradnl"/>
        </w:rPr>
        <w:footnoteReference w:id="81"/>
      </w:r>
      <w:r w:rsidRPr="00987C6B">
        <w:rPr>
          <w:rFonts w:ascii="Bookman Old Style" w:hAnsi="Bookman Old Style"/>
          <w:szCs w:val="24"/>
          <w:lang w:val="es-ES_tradnl"/>
        </w:rPr>
        <w:t>.</w:t>
      </w:r>
    </w:p>
    <w:p w14:paraId="60E14C23" w14:textId="77777777" w:rsidR="00F36280" w:rsidRPr="00987C6B" w:rsidRDefault="00F36280" w:rsidP="00F36280">
      <w:pPr>
        <w:widowControl/>
        <w:shd w:val="clear" w:color="auto" w:fill="FFFFFF"/>
        <w:jc w:val="both"/>
        <w:rPr>
          <w:rFonts w:ascii="Bookman Old Style" w:hAnsi="Bookman Old Style"/>
          <w:szCs w:val="24"/>
          <w:lang w:val="es-ES_tradnl"/>
        </w:rPr>
      </w:pPr>
    </w:p>
    <w:p w14:paraId="3E32B933"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82"/>
      </w:r>
    </w:p>
    <w:p w14:paraId="3AF7B53D"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p>
    <w:p w14:paraId="4BF0CB96"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6FBF1EF1" w14:textId="77777777" w:rsidR="00F36280" w:rsidRPr="00987C6B" w:rsidRDefault="00F36280" w:rsidP="00F36280">
      <w:pPr>
        <w:jc w:val="both"/>
        <w:rPr>
          <w:rFonts w:ascii="Bookman Old Style" w:eastAsia="Calibri" w:hAnsi="Bookman Old Style" w:cs="Calibri"/>
          <w:szCs w:val="24"/>
          <w:lang w:val="es-ES_tradnl"/>
        </w:rPr>
      </w:pPr>
    </w:p>
    <w:p w14:paraId="12130182"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83"/>
      </w:r>
    </w:p>
    <w:p w14:paraId="7E2D98BD" w14:textId="77777777" w:rsidR="00F36280" w:rsidRPr="00987C6B" w:rsidRDefault="00F36280" w:rsidP="00F36280">
      <w:pPr>
        <w:jc w:val="both"/>
        <w:rPr>
          <w:rFonts w:ascii="Bookman Old Style" w:eastAsia="Calibri" w:hAnsi="Bookman Old Style" w:cs="Calibri"/>
          <w:szCs w:val="24"/>
          <w:lang w:val="es-ES_tradnl"/>
        </w:rPr>
      </w:pPr>
    </w:p>
    <w:p w14:paraId="36497390" w14:textId="1932ECFB"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4"/>
      </w:r>
    </w:p>
    <w:p w14:paraId="3AE31A2E" w14:textId="77777777" w:rsidR="00F36280" w:rsidRPr="00987C6B" w:rsidRDefault="00F36280" w:rsidP="00F36280">
      <w:pPr>
        <w:jc w:val="both"/>
        <w:rPr>
          <w:rFonts w:ascii="Bookman Old Style" w:eastAsia="Calibri" w:hAnsi="Bookman Old Style" w:cs="Calibri"/>
          <w:szCs w:val="24"/>
          <w:lang w:val="es-ES_tradnl"/>
        </w:rPr>
      </w:pPr>
    </w:p>
    <w:p w14:paraId="35701966" w14:textId="42252B89" w:rsidR="00F36280" w:rsidRPr="00987C6B" w:rsidRDefault="00F36280" w:rsidP="00F36280">
      <w:pPr>
        <w:jc w:val="both"/>
        <w:rPr>
          <w:rFonts w:ascii="Bookman Old Style" w:hAnsi="Bookman Old Style"/>
          <w:i/>
          <w:szCs w:val="24"/>
          <w:lang w:val="es-ES_tradnl"/>
        </w:rPr>
      </w:pPr>
      <w:r w:rsidRPr="00987C6B">
        <w:rPr>
          <w:rFonts w:ascii="Bookman Old Style" w:eastAsia="Calibri" w:hAnsi="Bookman Old Style" w:cs="Calibri"/>
          <w:szCs w:val="24"/>
          <w:lang w:val="es-ES_tradnl"/>
        </w:rPr>
        <w:t>Durante los últimos 2</w:t>
      </w:r>
      <w:r w:rsidR="00B61766">
        <w:rPr>
          <w:rFonts w:ascii="Bookman Old Style" w:eastAsia="Calibri" w:hAnsi="Bookman Old Style" w:cs="Calibri"/>
          <w:szCs w:val="24"/>
          <w:lang w:val="es-ES_tradnl"/>
        </w:rPr>
        <w:t>8</w:t>
      </w:r>
      <w:r w:rsidRPr="00987C6B">
        <w:rPr>
          <w:rFonts w:ascii="Bookman Old Style" w:eastAsia="Calibri" w:hAnsi="Bookman Old Style" w:cs="Calibri"/>
          <w:szCs w:val="24"/>
          <w:lang w:val="es-ES_tradnl"/>
        </w:rPr>
        <w:t xml:space="preserve">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88B2ADC" w14:textId="77777777" w:rsidR="00F36280" w:rsidRPr="00987C6B" w:rsidRDefault="00F36280" w:rsidP="00F36280">
      <w:pPr>
        <w:jc w:val="both"/>
        <w:rPr>
          <w:rFonts w:ascii="Bookman Old Style" w:eastAsia="Calibri" w:hAnsi="Bookman Old Style" w:cs="Calibri"/>
          <w:szCs w:val="24"/>
          <w:lang w:val="es-ES_tradnl"/>
        </w:rPr>
      </w:pPr>
    </w:p>
    <w:p w14:paraId="7DF7F45D" w14:textId="77777777" w:rsidR="00F36280" w:rsidRPr="00485CC5"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5"/>
      </w:r>
    </w:p>
    <w:p w14:paraId="2C6687B3" w14:textId="77777777" w:rsidR="00F36280" w:rsidRPr="00485CC5" w:rsidRDefault="00F36280" w:rsidP="00F36280">
      <w:pPr>
        <w:jc w:val="both"/>
        <w:rPr>
          <w:rFonts w:ascii="Bookman Old Style" w:eastAsia="Calibri" w:hAnsi="Bookman Old Style" w:cs="Calibri"/>
          <w:szCs w:val="24"/>
          <w:lang w:val="es-ES_tradnl"/>
        </w:rPr>
      </w:pPr>
    </w:p>
    <w:p w14:paraId="7470B7DD" w14:textId="7EC68942" w:rsidR="00F36280" w:rsidRPr="001B4F33"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234A9153"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772ACCAC" w14:textId="77777777" w:rsidR="008F2EDE" w:rsidRPr="00B10001" w:rsidRDefault="008F2EDE" w:rsidP="008F2EDE">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3FFACCBC" w14:textId="77777777" w:rsidR="008F2EDE" w:rsidRPr="00B10001" w:rsidRDefault="008F2EDE" w:rsidP="008F2EDE">
      <w:pPr>
        <w:jc w:val="both"/>
        <w:rPr>
          <w:rFonts w:ascii="Bookman Old Style" w:eastAsia="Calibri" w:hAnsi="Bookman Old Style" w:cs="Calibri"/>
          <w:lang w:val="es-ES_tradnl"/>
        </w:rPr>
      </w:pPr>
    </w:p>
    <w:p w14:paraId="138D11A8" w14:textId="77777777"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De acuerdo al estudio realizado por el profesor de Psicofarmacología en la Universidad de Bristol, David Nutt, sustancias prohibidas y no prohibidas como la heroína (peligrosa por su alta mortalidad)</w:t>
      </w:r>
      <w:r w:rsidRPr="008F2EDE">
        <w:rPr>
          <w:rStyle w:val="Refdenotaalpie"/>
          <w:rFonts w:ascii="Bookman Old Style" w:eastAsia="Calibri" w:hAnsi="Bookman Old Style" w:cs="Calibri"/>
          <w:lang w:val="es-ES_tradnl"/>
        </w:rPr>
        <w:footnoteReference w:id="86"/>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la metanfetamina, el crack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8"/>
      </w:r>
    </w:p>
    <w:p w14:paraId="25EB06D7" w14:textId="77777777" w:rsidR="008F2EDE" w:rsidRPr="008F2EDE" w:rsidRDefault="008F2EDE" w:rsidP="008F2EDE">
      <w:pPr>
        <w:jc w:val="both"/>
        <w:rPr>
          <w:rFonts w:ascii="Bookman Old Style" w:eastAsia="Calibri" w:hAnsi="Bookman Old Style" w:cs="Calibri"/>
          <w:lang w:val="es-ES_tradnl"/>
        </w:rPr>
      </w:pPr>
    </w:p>
    <w:p w14:paraId="44723169" w14:textId="6A87C47E"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9"/>
      </w:r>
      <w:r w:rsidRPr="008F2EDE">
        <w:rPr>
          <w:rFonts w:ascii="Bookman Old Style" w:eastAsia="Calibri" w:hAnsi="Bookman Old Style" w:cs="Calibri"/>
          <w:lang w:val="es-ES_tradnl"/>
        </w:rPr>
        <w:t>, entre otras afectaciones a la salud de sus consumidores, como bien lo ha venido advirtiendo la OMS.</w:t>
      </w:r>
    </w:p>
    <w:p w14:paraId="6BDE51AC" w14:textId="77777777" w:rsidR="008F2EDE" w:rsidRPr="008F2EDE" w:rsidRDefault="008F2EDE" w:rsidP="008F2EDE">
      <w:pPr>
        <w:jc w:val="both"/>
        <w:rPr>
          <w:rFonts w:ascii="Bookman Old Style" w:eastAsia="Calibri" w:hAnsi="Bookman Old Style" w:cs="Calibri"/>
          <w:lang w:val="es-ES_tradnl"/>
        </w:rPr>
      </w:pPr>
    </w:p>
    <w:p w14:paraId="4AF02D18" w14:textId="48ABA0D8"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90"/>
      </w:r>
    </w:p>
    <w:p w14:paraId="7AFEC410" w14:textId="77777777" w:rsidR="008F2EDE" w:rsidRPr="008F2EDE" w:rsidRDefault="008F2EDE" w:rsidP="008F2EDE">
      <w:pPr>
        <w:jc w:val="both"/>
        <w:rPr>
          <w:rFonts w:ascii="Bookman Old Style" w:eastAsia="Calibri" w:hAnsi="Bookman Old Style" w:cs="Calibri"/>
        </w:rPr>
      </w:pPr>
    </w:p>
    <w:p w14:paraId="501FF33C" w14:textId="1AB48B8E" w:rsidR="001B4F33" w:rsidRDefault="008F2EDE" w:rsidP="008F2EDE">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91"/>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92"/>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3CF80310" w14:textId="77777777" w:rsidR="008F2EDE" w:rsidRDefault="008F2EDE" w:rsidP="001B4F33">
      <w:pPr>
        <w:jc w:val="both"/>
        <w:rPr>
          <w:rFonts w:ascii="Bookman Old Style" w:eastAsia="Calibri" w:hAnsi="Bookman Old Style" w:cs="Calibri"/>
          <w:szCs w:val="24"/>
          <w:lang w:val="es-ES_tradnl"/>
        </w:rPr>
      </w:pPr>
    </w:p>
    <w:p w14:paraId="74C31771" w14:textId="790B2E31"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7B67314C" w14:textId="77777777" w:rsidR="001B4F33" w:rsidRPr="00AE7B15" w:rsidRDefault="001B4F33" w:rsidP="001B4F33">
      <w:pPr>
        <w:jc w:val="both"/>
        <w:rPr>
          <w:rFonts w:ascii="Bookman Old Style" w:eastAsia="Calibri" w:hAnsi="Bookman Old Style" w:cs="Calibri"/>
          <w:szCs w:val="24"/>
          <w:lang w:val="es-ES_tradnl"/>
        </w:rPr>
      </w:pPr>
    </w:p>
    <w:p w14:paraId="40DB3C80" w14:textId="73AC99B0"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35ACD923" w14:textId="77777777" w:rsidR="001B4F33" w:rsidRPr="00AE7B15" w:rsidRDefault="001B4F33" w:rsidP="001B4F33">
      <w:pPr>
        <w:jc w:val="both"/>
        <w:rPr>
          <w:rFonts w:ascii="Bookman Old Style" w:eastAsia="Calibri" w:hAnsi="Bookman Old Style" w:cs="Calibri"/>
          <w:szCs w:val="24"/>
          <w:lang w:val="es-ES_tradnl"/>
        </w:rPr>
      </w:pPr>
    </w:p>
    <w:p w14:paraId="4312D70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44CEF92F" w14:textId="77777777" w:rsidR="001B4F33" w:rsidRPr="00AE7B15" w:rsidRDefault="001B4F33" w:rsidP="001B4F33">
      <w:pPr>
        <w:jc w:val="both"/>
        <w:rPr>
          <w:rFonts w:ascii="Bookman Old Style" w:eastAsia="Calibri" w:hAnsi="Bookman Old Style" w:cs="Calibri"/>
          <w:szCs w:val="24"/>
          <w:lang w:val="es-ES_tradnl"/>
        </w:rPr>
      </w:pPr>
    </w:p>
    <w:p w14:paraId="533A6647" w14:textId="7E13068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02728258" w14:textId="77777777"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 </w:t>
      </w:r>
    </w:p>
    <w:p w14:paraId="7DFF278E" w14:textId="363A68D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409D7EA1" w14:textId="77777777" w:rsidR="001B4F33" w:rsidRPr="00AE7B15" w:rsidRDefault="001B4F33" w:rsidP="00621929">
      <w:pPr>
        <w:pStyle w:val="Prrafodelista"/>
        <w:jc w:val="both"/>
        <w:rPr>
          <w:rFonts w:ascii="Bookman Old Style" w:eastAsia="Calibri" w:hAnsi="Bookman Old Style" w:cs="Calibri"/>
          <w:szCs w:val="24"/>
          <w:lang w:val="es-ES_tradnl"/>
        </w:rPr>
      </w:pPr>
    </w:p>
    <w:p w14:paraId="750FC39F" w14:textId="77777777"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78D0A27E" w14:textId="7EFCE754"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sidR="00C94B82">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76F6C62A" w14:textId="77777777" w:rsidR="009718AC" w:rsidRDefault="009718AC" w:rsidP="001B4F33">
      <w:pPr>
        <w:jc w:val="both"/>
        <w:rPr>
          <w:rFonts w:ascii="Bookman Old Style" w:eastAsia="Calibri" w:hAnsi="Bookman Old Style" w:cs="Calibri"/>
          <w:szCs w:val="24"/>
          <w:lang w:val="es-ES_tradnl"/>
        </w:rPr>
      </w:pPr>
    </w:p>
    <w:p w14:paraId="741D25FA" w14:textId="28610706"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Dejusticia, que señalan que existen tres tipos de consumo, a saber: 1) cotidiano, 2) habitual y 3) problemático. Según las experiencias de Uruguay, Canadá y Estados Unidos, países en los que se reguló la producción y la comercialización de cannabis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1D46D73E" w14:textId="77777777" w:rsidR="001B4F33" w:rsidRPr="00AE7B15" w:rsidRDefault="001B4F33" w:rsidP="001B4F33">
      <w:pPr>
        <w:jc w:val="both"/>
        <w:rPr>
          <w:rFonts w:ascii="Bookman Old Style" w:eastAsia="Calibri" w:hAnsi="Bookman Old Style" w:cs="Calibri"/>
          <w:szCs w:val="24"/>
          <w:lang w:val="es-ES_tradnl"/>
        </w:rPr>
      </w:pPr>
    </w:p>
    <w:p w14:paraId="41BC1CE5"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68AD5FF2" w14:textId="77777777" w:rsidR="001B4F33" w:rsidRPr="00AE7B15" w:rsidRDefault="001B4F33" w:rsidP="001B4F33">
      <w:pPr>
        <w:jc w:val="both"/>
        <w:rPr>
          <w:rFonts w:ascii="Bookman Old Style" w:eastAsia="Calibri" w:hAnsi="Bookman Old Style" w:cs="Calibri"/>
          <w:szCs w:val="24"/>
          <w:lang w:val="es-ES_tradnl"/>
        </w:rPr>
      </w:pPr>
    </w:p>
    <w:p w14:paraId="5E46B03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En el mismo sentido, Dejusticia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93"/>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8E20325" w14:textId="77777777" w:rsidR="001B4F33" w:rsidRPr="00AE7B15" w:rsidRDefault="001B4F33" w:rsidP="001B4F33">
      <w:pPr>
        <w:jc w:val="both"/>
        <w:rPr>
          <w:rFonts w:ascii="Bookman Old Style" w:eastAsia="Calibri" w:hAnsi="Bookman Old Style" w:cs="Calibri"/>
          <w:bCs/>
          <w:szCs w:val="24"/>
          <w:lang w:val="es-ES_tradnl"/>
        </w:rPr>
      </w:pPr>
    </w:p>
    <w:p w14:paraId="719F76E2"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DA0B125" w14:textId="77777777" w:rsidR="00F36280" w:rsidRPr="00485CC5" w:rsidRDefault="00F36280" w:rsidP="00F36280">
      <w:pPr>
        <w:jc w:val="both"/>
        <w:rPr>
          <w:rFonts w:ascii="Bookman Old Style" w:eastAsia="Calibri" w:hAnsi="Bookman Old Style" w:cs="Calibri"/>
          <w:szCs w:val="24"/>
          <w:lang w:val="es-ES_tradnl"/>
        </w:rPr>
      </w:pPr>
    </w:p>
    <w:p w14:paraId="68B8816D" w14:textId="6F773F59" w:rsidR="00F36280" w:rsidRPr="00485CC5" w:rsidRDefault="0059124F"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6</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p>
    <w:p w14:paraId="094A1A27" w14:textId="77777777" w:rsidR="00F36280" w:rsidRPr="00485CC5" w:rsidRDefault="00F36280" w:rsidP="00F36280">
      <w:pPr>
        <w:jc w:val="both"/>
        <w:rPr>
          <w:rFonts w:ascii="Bookman Old Style" w:eastAsia="Calibri" w:hAnsi="Bookman Old Style" w:cs="Calibri"/>
          <w:szCs w:val="24"/>
          <w:lang w:val="es-ES_tradnl"/>
        </w:rPr>
      </w:pPr>
    </w:p>
    <w:p w14:paraId="7AD9FEB0" w14:textId="2703F90B" w:rsidR="00F36280" w:rsidRPr="00485CC5" w:rsidRDefault="00B61766" w:rsidP="00F36280">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De conformidad con los capítulos anteriormente expuestos e</w:t>
      </w:r>
      <w:r w:rsidRPr="00485CC5">
        <w:rPr>
          <w:rFonts w:ascii="Bookman Old Style" w:eastAsia="Calibri" w:hAnsi="Bookman Old Style" w:cs="Calibri"/>
          <w:szCs w:val="24"/>
          <w:lang w:val="es-ES_tradnl"/>
        </w:rPr>
        <w:t xml:space="preserve">s </w:t>
      </w:r>
      <w:r w:rsidR="00F36280" w:rsidRPr="00485CC5">
        <w:rPr>
          <w:rFonts w:ascii="Bookman Old Style" w:eastAsia="Calibri" w:hAnsi="Bookman Old Style" w:cs="Calibri"/>
          <w:szCs w:val="24"/>
          <w:lang w:val="es-ES_tradnl"/>
        </w:rPr>
        <w:t xml:space="preserve">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180CB2CE" w14:textId="77777777" w:rsidR="00F36280" w:rsidRPr="00485CC5" w:rsidRDefault="00F36280" w:rsidP="00F36280">
      <w:pPr>
        <w:jc w:val="both"/>
        <w:rPr>
          <w:rFonts w:ascii="Bookman Old Style" w:eastAsia="Calibri" w:hAnsi="Bookman Old Style" w:cs="Calibri"/>
          <w:szCs w:val="24"/>
          <w:lang w:val="es-ES_tradnl"/>
        </w:rPr>
      </w:pPr>
    </w:p>
    <w:p w14:paraId="3A344EE5" w14:textId="3D337A2B" w:rsidR="00F36280" w:rsidRPr="00485CC5" w:rsidRDefault="00B61766" w:rsidP="00F36280">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Como argumento adicional</w:t>
      </w:r>
      <w:r w:rsidR="00F36280" w:rsidRPr="00485CC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se considera procedente</w:t>
      </w:r>
      <w:r w:rsidR="00F36280" w:rsidRPr="00485CC5">
        <w:rPr>
          <w:rFonts w:ascii="Bookman Old Style" w:eastAsia="Calibri" w:hAnsi="Bookman Old Style" w:cs="Calibri"/>
          <w:szCs w:val="24"/>
          <w:lang w:val="es-ES_tradnl"/>
        </w:rPr>
        <w:t xml:space="preserve">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00F36280" w:rsidRPr="00485CC5">
        <w:rPr>
          <w:rStyle w:val="Refdenotaalpie"/>
          <w:rFonts w:ascii="Bookman Old Style" w:eastAsia="Calibri" w:hAnsi="Bookman Old Style" w:cs="Calibri"/>
          <w:szCs w:val="24"/>
          <w:lang w:val="es-ES_tradnl"/>
        </w:rPr>
        <w:footnoteReference w:id="94"/>
      </w:r>
      <w:r w:rsidR="00F36280"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el test de igualdad estadounidense, con el fin de realizar un análisis de igualdad de diferente intensidad, dependiendo de si se está ante el caso de un test estricto, intermedio o flexible.</w:t>
      </w:r>
      <w:r w:rsidR="00F36280" w:rsidRPr="00485CC5">
        <w:rPr>
          <w:rStyle w:val="Refdenotaalpie"/>
          <w:rFonts w:ascii="Bookman Old Style" w:eastAsia="Calibri" w:hAnsi="Bookman Old Style" w:cs="Calibri"/>
          <w:szCs w:val="24"/>
          <w:lang w:val="es-ES_tradnl"/>
        </w:rPr>
        <w:footnoteReference w:id="95"/>
      </w:r>
    </w:p>
    <w:p w14:paraId="03C37AAA" w14:textId="77777777" w:rsidR="00F36280" w:rsidRPr="00485CC5" w:rsidRDefault="00F36280" w:rsidP="00F36280">
      <w:pPr>
        <w:jc w:val="both"/>
        <w:rPr>
          <w:rFonts w:ascii="Bookman Old Style" w:eastAsia="Calibri" w:hAnsi="Bookman Old Style" w:cs="Calibri"/>
          <w:szCs w:val="24"/>
          <w:lang w:val="es-ES_tradnl"/>
        </w:rPr>
      </w:pPr>
    </w:p>
    <w:p w14:paraId="7D458C9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(ii) la correlativa afectación que con la adopción de este tipo de medidas se puede generar; y (iii)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6"/>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7"/>
      </w:r>
    </w:p>
    <w:p w14:paraId="702E9B72" w14:textId="77777777" w:rsidR="00F36280" w:rsidRPr="00485CC5" w:rsidRDefault="00F36280" w:rsidP="00F36280">
      <w:pPr>
        <w:jc w:val="both"/>
        <w:rPr>
          <w:rFonts w:ascii="Bookman Old Style" w:eastAsia="Calibri" w:hAnsi="Bookman Old Style" w:cs="Calibri"/>
          <w:szCs w:val="24"/>
          <w:lang w:val="es-ES_tradnl"/>
        </w:rPr>
      </w:pPr>
    </w:p>
    <w:p w14:paraId="470E5F8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8"/>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0D735BF1" w14:textId="77777777" w:rsidR="00F36280" w:rsidRPr="00485CC5" w:rsidRDefault="00F36280" w:rsidP="00F36280">
      <w:pPr>
        <w:jc w:val="both"/>
        <w:rPr>
          <w:rFonts w:ascii="Bookman Old Style" w:eastAsia="Calibri" w:hAnsi="Bookman Old Style" w:cs="Calibri"/>
          <w:szCs w:val="24"/>
          <w:lang w:val="es-ES_tradnl"/>
        </w:rPr>
      </w:pPr>
    </w:p>
    <w:p w14:paraId="1D9AF23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9"/>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5C4BBECA" w14:textId="77777777" w:rsidR="00F36280" w:rsidRPr="00485CC5" w:rsidRDefault="00F36280" w:rsidP="00F36280">
      <w:pPr>
        <w:jc w:val="both"/>
        <w:rPr>
          <w:rFonts w:ascii="Bookman Old Style" w:eastAsia="Calibri" w:hAnsi="Bookman Old Style" w:cs="Calibri"/>
          <w:szCs w:val="24"/>
          <w:lang w:val="es-ES_tradnl"/>
        </w:rPr>
      </w:pPr>
    </w:p>
    <w:p w14:paraId="60E320C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46E3503" w14:textId="77777777" w:rsidR="00F36280" w:rsidRPr="00485CC5" w:rsidRDefault="00F36280" w:rsidP="00F36280">
      <w:pPr>
        <w:jc w:val="both"/>
        <w:rPr>
          <w:rFonts w:ascii="Bookman Old Style" w:eastAsia="Calibri" w:hAnsi="Bookman Old Style" w:cs="Calibri"/>
          <w:szCs w:val="24"/>
          <w:lang w:val="es-ES_tradnl"/>
        </w:rPr>
      </w:pPr>
    </w:p>
    <w:p w14:paraId="12F47415" w14:textId="56B68DA0"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la inspira y el consumidor que se ve reprimido por una intromisión indebida del poder público dentro de su esfera de decisión.</w:t>
      </w:r>
    </w:p>
    <w:p w14:paraId="471601C0" w14:textId="77777777" w:rsidR="00F36280" w:rsidRPr="00485CC5" w:rsidRDefault="00F36280" w:rsidP="00F36280">
      <w:pPr>
        <w:jc w:val="both"/>
        <w:rPr>
          <w:rFonts w:ascii="Bookman Old Style" w:eastAsia="Calibri" w:hAnsi="Bookman Old Style" w:cs="Calibri"/>
          <w:szCs w:val="24"/>
          <w:lang w:val="es-ES_tradnl"/>
        </w:rPr>
      </w:pPr>
    </w:p>
    <w:p w14:paraId="324DF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7527DB4B" w14:textId="77777777" w:rsidR="00F36280" w:rsidRPr="00485CC5" w:rsidRDefault="00F36280" w:rsidP="00F36280">
      <w:pPr>
        <w:jc w:val="both"/>
        <w:rPr>
          <w:rFonts w:ascii="Bookman Old Style" w:eastAsia="Calibri" w:hAnsi="Bookman Old Style" w:cs="Calibri"/>
          <w:szCs w:val="24"/>
          <w:lang w:val="es-ES_tradnl"/>
        </w:rPr>
      </w:pPr>
    </w:p>
    <w:p w14:paraId="1514B1B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“La primera consecuencia que se deriva de la autonomía, consiste en que es la propia persona (y no nadie por ella) quien debe darle sentido a su 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100"/>
      </w:r>
    </w:p>
    <w:p w14:paraId="55F1F7C4" w14:textId="77777777" w:rsidR="00F36280" w:rsidRPr="00485CC5" w:rsidRDefault="00F36280" w:rsidP="00F36280">
      <w:pPr>
        <w:jc w:val="both"/>
        <w:rPr>
          <w:rFonts w:ascii="Bookman Old Style" w:eastAsia="Calibri" w:hAnsi="Bookman Old Style" w:cs="Calibri"/>
          <w:szCs w:val="24"/>
          <w:lang w:val="es-ES_tradnl"/>
        </w:rPr>
      </w:pPr>
    </w:p>
    <w:p w14:paraId="3EBB0EF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29390D3E" w14:textId="77777777" w:rsidR="00F36280" w:rsidRPr="00485CC5" w:rsidRDefault="00F36280" w:rsidP="00F36280">
      <w:pPr>
        <w:jc w:val="both"/>
        <w:rPr>
          <w:rFonts w:ascii="Bookman Old Style" w:eastAsia="Calibri" w:hAnsi="Bookman Old Style" w:cs="Calibri"/>
          <w:szCs w:val="24"/>
          <w:lang w:val="es-ES_tradnl"/>
        </w:rPr>
      </w:pPr>
    </w:p>
    <w:p w14:paraId="0CBDC74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6792109B" w14:textId="77777777" w:rsidR="00F36280" w:rsidRPr="00485CC5" w:rsidRDefault="00F36280" w:rsidP="00F36280">
      <w:pPr>
        <w:jc w:val="both"/>
        <w:rPr>
          <w:rFonts w:ascii="Bookman Old Style" w:eastAsia="Calibri" w:hAnsi="Bookman Old Style" w:cs="Calibri"/>
          <w:szCs w:val="24"/>
          <w:lang w:val="es-ES_tradnl"/>
        </w:rPr>
      </w:pPr>
    </w:p>
    <w:p w14:paraId="6993FE25" w14:textId="2D572C4D"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6D89CA99" w14:textId="77777777" w:rsidR="00F36280" w:rsidRPr="00485CC5" w:rsidRDefault="00F36280" w:rsidP="00F36280">
      <w:pPr>
        <w:jc w:val="both"/>
        <w:rPr>
          <w:rFonts w:ascii="Bookman Old Style" w:eastAsia="Calibri" w:hAnsi="Bookman Old Style" w:cs="Calibri"/>
          <w:szCs w:val="24"/>
          <w:lang w:val="es-ES_tradnl"/>
        </w:rPr>
      </w:pPr>
    </w:p>
    <w:p w14:paraId="5A2E44C5" w14:textId="77777777" w:rsidR="00F36280" w:rsidRPr="00485CC5" w:rsidRDefault="00F36280" w:rsidP="001E18FE">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p>
    <w:p w14:paraId="3C1116B4" w14:textId="77777777" w:rsidR="00F36280" w:rsidRPr="00485CC5" w:rsidRDefault="00F36280" w:rsidP="00F36280">
      <w:pPr>
        <w:rPr>
          <w:rFonts w:ascii="Bookman Old Style" w:eastAsia="Calibri" w:hAnsi="Bookman Old Style"/>
          <w:szCs w:val="24"/>
        </w:rPr>
      </w:pPr>
    </w:p>
    <w:p w14:paraId="76A0C8C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142C4B9" w14:textId="77777777" w:rsidR="00F36280" w:rsidRPr="00485CC5" w:rsidRDefault="00F36280" w:rsidP="00F36280">
      <w:pPr>
        <w:jc w:val="both"/>
        <w:rPr>
          <w:rFonts w:ascii="Bookman Old Style" w:hAnsi="Bookman Old Style" w:cs="Calibri"/>
          <w:szCs w:val="24"/>
        </w:rPr>
      </w:pPr>
    </w:p>
    <w:p w14:paraId="4981A5A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 xml:space="preserve"> Por tanto, Dejusticia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102"/>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103"/>
      </w:r>
    </w:p>
    <w:p w14:paraId="0DBBE2B7" w14:textId="77777777" w:rsidR="00F36280" w:rsidRPr="00485CC5" w:rsidRDefault="00F36280" w:rsidP="00F36280">
      <w:pPr>
        <w:jc w:val="both"/>
        <w:rPr>
          <w:rFonts w:ascii="Bookman Old Style" w:hAnsi="Bookman Old Style" w:cs="Calibri"/>
          <w:szCs w:val="24"/>
        </w:rPr>
      </w:pPr>
    </w:p>
    <w:p w14:paraId="7BF5360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otras palabras, en Colombia la política de drogas se ha concentrado en la acción punitiva, generando los siguientes efectos indeseados, de acuerdo a Dejusticia 2017</w:t>
      </w:r>
      <w:r w:rsidRPr="00485CC5">
        <w:rPr>
          <w:rStyle w:val="Refdenotaalpie"/>
          <w:rFonts w:ascii="Bookman Old Style" w:hAnsi="Bookman Old Style" w:cs="Calibri"/>
          <w:szCs w:val="24"/>
        </w:rPr>
        <w:footnoteReference w:id="104"/>
      </w:r>
      <w:r w:rsidRPr="00485CC5">
        <w:rPr>
          <w:rFonts w:ascii="Bookman Old Style" w:hAnsi="Bookman Old Style" w:cs="Calibri"/>
          <w:szCs w:val="24"/>
        </w:rPr>
        <w:t>:</w:t>
      </w:r>
    </w:p>
    <w:p w14:paraId="0927C468" w14:textId="77777777" w:rsidR="00F36280" w:rsidRPr="00485CC5" w:rsidRDefault="00F36280" w:rsidP="00F36280">
      <w:pPr>
        <w:jc w:val="both"/>
        <w:rPr>
          <w:rFonts w:ascii="Bookman Old Style" w:hAnsi="Bookman Old Style" w:cs="Calibri"/>
          <w:szCs w:val="24"/>
        </w:rPr>
      </w:pPr>
    </w:p>
    <w:p w14:paraId="55A66D12"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6CB33A9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32DB4750"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14B922B"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6B3347BF"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2954593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23EF129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Es importante ver estas políticas punitivas a la luz de las actuales cifras de las prisiones en Colombia. Siguiendo la línea del informe de Dejusticia (2017) y actualizando las cifras para 2019, según los datos del International Center for Prison Studies (Centro Internacional de Estudios sobre Prisiones)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w:t>
      </w:r>
    </w:p>
    <w:p w14:paraId="25A9A1AC" w14:textId="77777777" w:rsidR="00F36280" w:rsidRPr="00485CC5" w:rsidRDefault="00F36280" w:rsidP="00F36280">
      <w:pPr>
        <w:jc w:val="both"/>
        <w:rPr>
          <w:rFonts w:ascii="Bookman Old Style" w:hAnsi="Bookman Old Style" w:cs="Calibri"/>
          <w:szCs w:val="24"/>
        </w:rPr>
      </w:pPr>
    </w:p>
    <w:p w14:paraId="77AC0365"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número 14 en términos de población privada de la libertad, con 119.896 personas en sus cárceles a 2018, población que en Latinoamérica solamente es superada por Brasil (719.998).</w:t>
      </w:r>
    </w:p>
    <w:p w14:paraId="1D0B37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525FBBDF"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6"/>
      </w:r>
    </w:p>
    <w:p w14:paraId="3DB74011" w14:textId="77777777" w:rsidR="00F36280" w:rsidRPr="00485CC5" w:rsidRDefault="00F36280" w:rsidP="00F36280">
      <w:pPr>
        <w:jc w:val="both"/>
        <w:rPr>
          <w:rFonts w:ascii="Bookman Old Style" w:hAnsi="Bookman Old Style" w:cs="Calibri"/>
          <w:szCs w:val="24"/>
        </w:rPr>
      </w:pPr>
    </w:p>
    <w:p w14:paraId="3A218ECA"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346FA138"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9889FE9"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96B7AD2"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3B53A793"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35091B7"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4F2CEC2"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41F2A192"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142D479E"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28212941"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B386693"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5DC3E5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61CD6BA" w14:textId="68D42115" w:rsidR="00C66E26" w:rsidRDefault="00C66E26" w:rsidP="00F36280">
      <w:pPr>
        <w:jc w:val="both"/>
        <w:rPr>
          <w:rFonts w:ascii="Bookman Old Style" w:hAnsi="Bookman Old Style" w:cs="Calibri"/>
          <w:szCs w:val="24"/>
        </w:rPr>
      </w:pPr>
      <w:r>
        <w:rPr>
          <w:rFonts w:ascii="Bookman Old Style" w:hAnsi="Bookman Old Style" w:cs="Calibri"/>
          <w:szCs w:val="24"/>
        </w:rPr>
        <w:t>De acuerdo al Instituto Nacional Penitenciario y Carcelario – INPEC, el hacinamiento carcelario en Colombia</w:t>
      </w:r>
      <w:r w:rsidR="00285E76">
        <w:rPr>
          <w:rFonts w:ascii="Bookman Old Style" w:hAnsi="Bookman Old Style" w:cs="Calibri"/>
          <w:szCs w:val="24"/>
        </w:rPr>
        <w:t xml:space="preserve"> ha sido una situación constante en el sistema penitenciario, en donde</w:t>
      </w:r>
      <w:r>
        <w:rPr>
          <w:rFonts w:ascii="Bookman Old Style" w:hAnsi="Bookman Old Style" w:cs="Calibri"/>
          <w:szCs w:val="24"/>
        </w:rPr>
        <w:t xml:space="preserve"> ha alcanzado picos </w:t>
      </w:r>
      <w:r w:rsidR="00285E76">
        <w:rPr>
          <w:rFonts w:ascii="Bookman Old Style" w:hAnsi="Bookman Old Style" w:cs="Calibri"/>
          <w:szCs w:val="24"/>
        </w:rPr>
        <w:t>hasta del</w:t>
      </w:r>
      <w:r>
        <w:rPr>
          <w:rFonts w:ascii="Bookman Old Style" w:hAnsi="Bookman Old Style" w:cs="Calibri"/>
          <w:szCs w:val="24"/>
        </w:rPr>
        <w:t xml:space="preserve"> 54,3%, como ocurrió en el año 2019</w:t>
      </w:r>
      <w:r w:rsidR="00285E76">
        <w:rPr>
          <w:rFonts w:ascii="Bookman Old Style" w:hAnsi="Bookman Old Style" w:cs="Calibri"/>
          <w:szCs w:val="24"/>
        </w:rPr>
        <w:t>.</w:t>
      </w:r>
      <w:r>
        <w:rPr>
          <w:rFonts w:ascii="Bookman Old Style" w:hAnsi="Bookman Old Style" w:cs="Calibri"/>
          <w:szCs w:val="24"/>
        </w:rPr>
        <w:t xml:space="preserve"> </w:t>
      </w:r>
      <w:r w:rsidR="00285E76">
        <w:rPr>
          <w:rFonts w:ascii="Bookman Old Style" w:hAnsi="Bookman Old Style" w:cs="Calibri"/>
          <w:szCs w:val="24"/>
        </w:rPr>
        <w:t>S</w:t>
      </w:r>
      <w:r>
        <w:rPr>
          <w:rFonts w:ascii="Bookman Old Style" w:hAnsi="Bookman Old Style" w:cs="Calibri"/>
          <w:szCs w:val="24"/>
        </w:rPr>
        <w:t>i bien esta cifra ha bajado a un 19,8% para Junio de 2022, persiste el hacinamiento carcelario en detrimento de los derechos fundamentales de las personas privadas de la libertad.</w:t>
      </w:r>
    </w:p>
    <w:p w14:paraId="1D03E3C9" w14:textId="0EB182A7" w:rsidR="00C66E26" w:rsidRDefault="00C66E26" w:rsidP="00F36280">
      <w:pPr>
        <w:jc w:val="both"/>
        <w:rPr>
          <w:rFonts w:ascii="Bookman Old Style" w:hAnsi="Bookman Old Style" w:cs="Calibri"/>
          <w:szCs w:val="24"/>
        </w:rPr>
      </w:pPr>
    </w:p>
    <w:tbl>
      <w:tblPr>
        <w:tblStyle w:val="Tablaconcuadrcula"/>
        <w:tblW w:w="0" w:type="auto"/>
        <w:tblLook w:val="04A0" w:firstRow="1" w:lastRow="0" w:firstColumn="1" w:lastColumn="0" w:noHBand="0" w:noVBand="1"/>
      </w:tblPr>
      <w:tblGrid>
        <w:gridCol w:w="3397"/>
        <w:gridCol w:w="5431"/>
      </w:tblGrid>
      <w:tr w:rsidR="00C66E26" w14:paraId="14A3CA92" w14:textId="77777777" w:rsidTr="001D5D7C">
        <w:tc>
          <w:tcPr>
            <w:tcW w:w="3397" w:type="dxa"/>
          </w:tcPr>
          <w:p w14:paraId="5804FEF2" w14:textId="3F40476C" w:rsidR="00C66E26" w:rsidRPr="001D5D7C" w:rsidRDefault="00C66E26" w:rsidP="001D5D7C">
            <w:pPr>
              <w:jc w:val="center"/>
              <w:rPr>
                <w:rFonts w:ascii="Bookman Old Style" w:hAnsi="Bookman Old Style" w:cs="Calibri"/>
                <w:b/>
                <w:bCs/>
                <w:szCs w:val="24"/>
              </w:rPr>
            </w:pPr>
            <w:r w:rsidRPr="001D5D7C">
              <w:rPr>
                <w:rFonts w:ascii="Bookman Old Style" w:hAnsi="Bookman Old Style" w:cs="Calibri"/>
                <w:b/>
                <w:bCs/>
                <w:szCs w:val="24"/>
              </w:rPr>
              <w:t>AÑO</w:t>
            </w:r>
          </w:p>
        </w:tc>
        <w:tc>
          <w:tcPr>
            <w:tcW w:w="5431" w:type="dxa"/>
          </w:tcPr>
          <w:p w14:paraId="52B569AC" w14:textId="29FD34DF" w:rsidR="00C66E26" w:rsidRPr="001D5D7C" w:rsidRDefault="00C66E26" w:rsidP="001D5D7C">
            <w:pPr>
              <w:jc w:val="center"/>
              <w:rPr>
                <w:rFonts w:ascii="Bookman Old Style" w:hAnsi="Bookman Old Style" w:cs="Calibri"/>
                <w:b/>
                <w:bCs/>
                <w:szCs w:val="24"/>
              </w:rPr>
            </w:pPr>
            <w:r w:rsidRPr="001D5D7C">
              <w:rPr>
                <w:rFonts w:ascii="Bookman Old Style" w:hAnsi="Bookman Old Style" w:cs="Calibri"/>
                <w:b/>
                <w:bCs/>
                <w:szCs w:val="24"/>
              </w:rPr>
              <w:t>PORCENTAJE HACINAMIENTO CARCELARIO</w:t>
            </w:r>
          </w:p>
        </w:tc>
      </w:tr>
      <w:tr w:rsidR="00C66E26" w14:paraId="1DCFDC6B" w14:textId="77777777" w:rsidTr="001D5D7C">
        <w:tc>
          <w:tcPr>
            <w:tcW w:w="3397" w:type="dxa"/>
          </w:tcPr>
          <w:p w14:paraId="6A9F09C5" w14:textId="027A3E0C" w:rsidR="00C66E26" w:rsidRDefault="00285E76" w:rsidP="001D5D7C">
            <w:pPr>
              <w:jc w:val="center"/>
              <w:rPr>
                <w:rFonts w:ascii="Bookman Old Style" w:hAnsi="Bookman Old Style" w:cs="Calibri"/>
                <w:szCs w:val="24"/>
              </w:rPr>
            </w:pPr>
            <w:r>
              <w:rPr>
                <w:rFonts w:ascii="Bookman Old Style" w:hAnsi="Bookman Old Style" w:cs="Calibri"/>
                <w:szCs w:val="24"/>
              </w:rPr>
              <w:t>2017</w:t>
            </w:r>
          </w:p>
        </w:tc>
        <w:tc>
          <w:tcPr>
            <w:tcW w:w="5431" w:type="dxa"/>
          </w:tcPr>
          <w:p w14:paraId="7246B663" w14:textId="35C3313D"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44,9%</w:t>
            </w:r>
          </w:p>
        </w:tc>
      </w:tr>
      <w:tr w:rsidR="00C66E26" w14:paraId="6C7D1BF1" w14:textId="77777777" w:rsidTr="001D5D7C">
        <w:tc>
          <w:tcPr>
            <w:tcW w:w="3397" w:type="dxa"/>
          </w:tcPr>
          <w:p w14:paraId="4A47B070" w14:textId="209DA7B9" w:rsidR="00C66E26" w:rsidRDefault="00285E76" w:rsidP="001D5D7C">
            <w:pPr>
              <w:jc w:val="center"/>
              <w:rPr>
                <w:rFonts w:ascii="Bookman Old Style" w:hAnsi="Bookman Old Style" w:cs="Calibri"/>
                <w:szCs w:val="24"/>
              </w:rPr>
            </w:pPr>
            <w:r>
              <w:rPr>
                <w:rFonts w:ascii="Bookman Old Style" w:hAnsi="Bookman Old Style" w:cs="Calibri"/>
                <w:szCs w:val="24"/>
              </w:rPr>
              <w:t>2018</w:t>
            </w:r>
          </w:p>
        </w:tc>
        <w:tc>
          <w:tcPr>
            <w:tcW w:w="5431" w:type="dxa"/>
          </w:tcPr>
          <w:p w14:paraId="3B48A20A" w14:textId="65FDD3B9"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47,7%</w:t>
            </w:r>
          </w:p>
        </w:tc>
      </w:tr>
      <w:tr w:rsidR="00C66E26" w14:paraId="51F6654B" w14:textId="77777777" w:rsidTr="001D5D7C">
        <w:tc>
          <w:tcPr>
            <w:tcW w:w="3397" w:type="dxa"/>
          </w:tcPr>
          <w:p w14:paraId="16A5E33D" w14:textId="01A48B59" w:rsidR="00C66E26" w:rsidRDefault="00285E76" w:rsidP="001D5D7C">
            <w:pPr>
              <w:jc w:val="center"/>
              <w:rPr>
                <w:rFonts w:ascii="Bookman Old Style" w:hAnsi="Bookman Old Style" w:cs="Calibri"/>
                <w:szCs w:val="24"/>
              </w:rPr>
            </w:pPr>
            <w:r>
              <w:rPr>
                <w:rFonts w:ascii="Bookman Old Style" w:hAnsi="Bookman Old Style" w:cs="Calibri"/>
                <w:szCs w:val="24"/>
              </w:rPr>
              <w:t>2019</w:t>
            </w:r>
          </w:p>
        </w:tc>
        <w:tc>
          <w:tcPr>
            <w:tcW w:w="5431" w:type="dxa"/>
          </w:tcPr>
          <w:p w14:paraId="750B6A35" w14:textId="1148DCDB"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54,3%</w:t>
            </w:r>
          </w:p>
        </w:tc>
      </w:tr>
      <w:tr w:rsidR="00C66E26" w14:paraId="0CD5827F" w14:textId="77777777" w:rsidTr="001D5D7C">
        <w:tc>
          <w:tcPr>
            <w:tcW w:w="3397" w:type="dxa"/>
          </w:tcPr>
          <w:p w14:paraId="7498D9C4" w14:textId="32B67BCA" w:rsidR="00C66E26" w:rsidRDefault="00285E76" w:rsidP="001D5D7C">
            <w:pPr>
              <w:jc w:val="center"/>
              <w:rPr>
                <w:rFonts w:ascii="Bookman Old Style" w:hAnsi="Bookman Old Style" w:cs="Calibri"/>
                <w:szCs w:val="24"/>
              </w:rPr>
            </w:pPr>
            <w:r>
              <w:rPr>
                <w:rFonts w:ascii="Bookman Old Style" w:hAnsi="Bookman Old Style" w:cs="Calibri"/>
                <w:szCs w:val="24"/>
              </w:rPr>
              <w:t>2020</w:t>
            </w:r>
          </w:p>
        </w:tc>
        <w:tc>
          <w:tcPr>
            <w:tcW w:w="5431" w:type="dxa"/>
          </w:tcPr>
          <w:p w14:paraId="26E72725" w14:textId="3658F6A3"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19,3%</w:t>
            </w:r>
          </w:p>
        </w:tc>
      </w:tr>
      <w:tr w:rsidR="00C66E26" w14:paraId="5B8FA7C5" w14:textId="77777777" w:rsidTr="001D5D7C">
        <w:tc>
          <w:tcPr>
            <w:tcW w:w="3397" w:type="dxa"/>
          </w:tcPr>
          <w:p w14:paraId="75FC039F" w14:textId="4FE92F34" w:rsidR="00C66E26" w:rsidRDefault="00285E76" w:rsidP="001D5D7C">
            <w:pPr>
              <w:jc w:val="center"/>
              <w:rPr>
                <w:rFonts w:ascii="Bookman Old Style" w:hAnsi="Bookman Old Style" w:cs="Calibri"/>
                <w:szCs w:val="24"/>
              </w:rPr>
            </w:pPr>
            <w:r>
              <w:rPr>
                <w:rFonts w:ascii="Bookman Old Style" w:hAnsi="Bookman Old Style" w:cs="Calibri"/>
                <w:szCs w:val="24"/>
              </w:rPr>
              <w:t>2021</w:t>
            </w:r>
          </w:p>
        </w:tc>
        <w:tc>
          <w:tcPr>
            <w:tcW w:w="5431" w:type="dxa"/>
          </w:tcPr>
          <w:p w14:paraId="6023E185" w14:textId="21F204CB" w:rsidR="00C66E2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20,5%</w:t>
            </w:r>
          </w:p>
        </w:tc>
      </w:tr>
      <w:tr w:rsidR="00285E76" w14:paraId="0FD5C38D" w14:textId="77777777" w:rsidTr="001D5D7C">
        <w:tc>
          <w:tcPr>
            <w:tcW w:w="3397" w:type="dxa"/>
          </w:tcPr>
          <w:p w14:paraId="5229AEFA" w14:textId="1D94F896" w:rsidR="00285E76" w:rsidRDefault="00285E76" w:rsidP="001D5D7C">
            <w:pPr>
              <w:jc w:val="center"/>
              <w:rPr>
                <w:rFonts w:ascii="Bookman Old Style" w:hAnsi="Bookman Old Style" w:cs="Calibri"/>
                <w:szCs w:val="24"/>
              </w:rPr>
            </w:pPr>
            <w:r>
              <w:rPr>
                <w:rFonts w:ascii="Bookman Old Style" w:hAnsi="Bookman Old Style" w:cs="Calibri"/>
                <w:szCs w:val="24"/>
              </w:rPr>
              <w:t>2022 (Corte al 30 de Junio)</w:t>
            </w:r>
          </w:p>
        </w:tc>
        <w:tc>
          <w:tcPr>
            <w:tcW w:w="5431" w:type="dxa"/>
          </w:tcPr>
          <w:p w14:paraId="242A8FA7" w14:textId="27569622" w:rsidR="00285E76" w:rsidRPr="001D5D7C" w:rsidRDefault="00285E76" w:rsidP="001D5D7C">
            <w:pPr>
              <w:jc w:val="center"/>
              <w:rPr>
                <w:rFonts w:ascii="Bookman Old Style" w:hAnsi="Bookman Old Style" w:cs="Calibri"/>
                <w:sz w:val="28"/>
                <w:szCs w:val="28"/>
              </w:rPr>
            </w:pPr>
            <w:r>
              <w:rPr>
                <w:rFonts w:ascii="Bookman Old Style" w:hAnsi="Bookman Old Style" w:cs="Calibri"/>
                <w:sz w:val="28"/>
                <w:szCs w:val="28"/>
              </w:rPr>
              <w:t>19,8%</w:t>
            </w:r>
          </w:p>
        </w:tc>
      </w:tr>
    </w:tbl>
    <w:p w14:paraId="4AEE0886" w14:textId="77777777" w:rsidR="00C66E26" w:rsidRDefault="00C66E26" w:rsidP="00F36280">
      <w:pPr>
        <w:jc w:val="both"/>
        <w:rPr>
          <w:rFonts w:ascii="Bookman Old Style" w:hAnsi="Bookman Old Style" w:cs="Calibri"/>
          <w:szCs w:val="24"/>
        </w:rPr>
      </w:pPr>
    </w:p>
    <w:p w14:paraId="3F4B1FE1" w14:textId="40AD5352"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(Dejusticia,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7"/>
      </w:r>
    </w:p>
    <w:p w14:paraId="4012CEA9" w14:textId="77777777" w:rsidR="00F36280" w:rsidRPr="00485CC5" w:rsidRDefault="00F36280" w:rsidP="00F36280">
      <w:pPr>
        <w:jc w:val="both"/>
        <w:rPr>
          <w:rFonts w:ascii="Bookman Old Style" w:hAnsi="Bookman Old Style" w:cs="Calibri"/>
          <w:szCs w:val="24"/>
        </w:rPr>
      </w:pPr>
    </w:p>
    <w:p w14:paraId="2C8EEDA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Así como la población privada de la libertad en Colombia por delitos asociados a 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8"/>
      </w:r>
    </w:p>
    <w:p w14:paraId="02400BB8" w14:textId="77777777" w:rsidR="00F36280" w:rsidRPr="00485CC5" w:rsidRDefault="00F36280" w:rsidP="00F36280">
      <w:pPr>
        <w:jc w:val="both"/>
        <w:rPr>
          <w:rFonts w:ascii="Bookman Old Style" w:hAnsi="Bookman Old Style" w:cs="Calibri"/>
          <w:szCs w:val="24"/>
        </w:rPr>
      </w:pPr>
    </w:p>
    <w:p w14:paraId="6E0E427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9"/>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10"/>
      </w:r>
      <w:r w:rsidRPr="00485CC5">
        <w:rPr>
          <w:rFonts w:ascii="Bookman Old Style" w:hAnsi="Bookman Old Style" w:cs="Calibri"/>
          <w:szCs w:val="24"/>
        </w:rPr>
        <w:t>, porcentaje que solamente es superado por los casos de hurto, que representan el 39%.</w:t>
      </w:r>
    </w:p>
    <w:p w14:paraId="3418F161" w14:textId="77777777" w:rsidR="00F36280" w:rsidRPr="00485CC5" w:rsidRDefault="00F36280" w:rsidP="00F36280">
      <w:pPr>
        <w:jc w:val="both"/>
        <w:rPr>
          <w:rFonts w:ascii="Bookman Old Style" w:hAnsi="Bookman Old Style" w:cs="Calibri"/>
          <w:szCs w:val="24"/>
        </w:rPr>
      </w:pPr>
    </w:p>
    <w:p w14:paraId="3BF0E37D"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Dejusticia sobre personas condenadas por tráfico, porte o fabricación de estupefacientes para el periodo 2010 – 2014</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35416AB" w14:textId="77777777" w:rsidR="00F36280" w:rsidRPr="00485CC5" w:rsidRDefault="00F36280" w:rsidP="00F36280">
      <w:pPr>
        <w:jc w:val="both"/>
        <w:rPr>
          <w:rFonts w:ascii="Bookman Old Style" w:hAnsi="Bookman Old Style" w:cs="Calibri"/>
          <w:szCs w:val="24"/>
        </w:rPr>
      </w:pPr>
    </w:p>
    <w:p w14:paraId="6BF652F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situación de hacinamiento es crítica en las cárceles colombianas, debido en parte, al gran número de personas privadas de libertad por delitos en conexión con drogas y el acelerado crecimiento de estas cifras. Al punto que, de acuerdo a Dejusticia,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12"/>
      </w:r>
    </w:p>
    <w:p w14:paraId="63D8E9ED" w14:textId="77777777" w:rsidR="00F36280" w:rsidRPr="00485CC5" w:rsidRDefault="00F36280" w:rsidP="00F36280">
      <w:pPr>
        <w:jc w:val="both"/>
        <w:rPr>
          <w:rFonts w:ascii="Bookman Old Style" w:hAnsi="Bookman Old Style" w:cs="Calibri"/>
          <w:szCs w:val="24"/>
        </w:rPr>
      </w:pPr>
    </w:p>
    <w:p w14:paraId="1393050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0A34FF3E" w14:textId="77777777" w:rsidR="00F36280" w:rsidRPr="00485CC5" w:rsidRDefault="00F36280" w:rsidP="00F36280">
      <w:pPr>
        <w:jc w:val="both"/>
        <w:rPr>
          <w:rFonts w:ascii="Bookman Old Style" w:hAnsi="Bookman Old Style" w:cs="Calibri"/>
          <w:szCs w:val="24"/>
        </w:rPr>
      </w:pPr>
    </w:p>
    <w:p w14:paraId="2E30A040" w14:textId="77777777" w:rsidR="00F36280" w:rsidRPr="00485CC5" w:rsidRDefault="00F36280" w:rsidP="00F36280">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Finalmente, tenemos que tener en cuenta que las Políticas de Drogas están encaminadas a los Objetivos de Desarrollo Sostenible</w:t>
      </w:r>
      <w:bookmarkEnd w:id="4"/>
      <w:r w:rsidRPr="00485CC5">
        <w:rPr>
          <w:rFonts w:ascii="Bookman Old Style" w:hAnsi="Bookman Old Style" w:cs="Calibri"/>
          <w:b w:val="0"/>
          <w:sz w:val="22"/>
          <w:szCs w:val="24"/>
        </w:rPr>
        <w:t>. En el reporte de 2018 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13"/>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4"/>
      </w:r>
      <w:r w:rsidRPr="00485CC5">
        <w:rPr>
          <w:rFonts w:ascii="Bookman Old Style" w:hAnsi="Bookman Old Style" w:cs="Calibri"/>
          <w:b w:val="0"/>
          <w:sz w:val="22"/>
          <w:szCs w:val="24"/>
        </w:rPr>
        <w:t>.</w:t>
      </w:r>
    </w:p>
    <w:p w14:paraId="1A808FF8" w14:textId="77777777" w:rsidR="00F36280" w:rsidRPr="00485CC5" w:rsidRDefault="00F36280" w:rsidP="00F36280">
      <w:pPr>
        <w:rPr>
          <w:rFonts w:ascii="Bookman Old Style" w:hAnsi="Bookman Old Style"/>
          <w:szCs w:val="24"/>
        </w:rPr>
      </w:pPr>
    </w:p>
    <w:p w14:paraId="511FD2F7" w14:textId="77777777"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CED3E92" w14:textId="77777777" w:rsidR="00F36280" w:rsidRPr="00485CC5" w:rsidRDefault="00F36280" w:rsidP="00F36280">
      <w:pPr>
        <w:rPr>
          <w:rFonts w:ascii="Bookman Old Style" w:hAnsi="Bookman Old Style"/>
          <w:szCs w:val="24"/>
        </w:rPr>
      </w:pPr>
    </w:p>
    <w:p w14:paraId="4486560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709E64F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933FB4"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7"/>
      </w:r>
      <w:r w:rsidRPr="00485CC5">
        <w:rPr>
          <w:rFonts w:ascii="Bookman Old Style" w:hAnsi="Bookman Old Style" w:cs="Calibri"/>
          <w:szCs w:val="24"/>
        </w:rPr>
        <w:t xml:space="preserve"> Criminalizar a las personas que consumen drogas solamente aumenta más su exclusión del empleo, salud y servicios sociales.</w:t>
      </w:r>
    </w:p>
    <w:p w14:paraId="36FFA14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D9EB5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En América Latina la gran mayoría de las mujeres que participan en actividades de 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20"/>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21"/>
      </w:r>
    </w:p>
    <w:p w14:paraId="4E255ED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AB329FB"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4"/>
      </w:r>
    </w:p>
    <w:p w14:paraId="165E428D" w14:textId="77777777" w:rsidR="00F36280" w:rsidRPr="00485CC5" w:rsidRDefault="00F36280" w:rsidP="00F36280">
      <w:pPr>
        <w:pStyle w:val="Prrafodelista"/>
        <w:spacing w:after="0" w:line="240" w:lineRule="auto"/>
        <w:rPr>
          <w:rFonts w:ascii="Bookman Old Style" w:hAnsi="Bookman Old Style" w:cs="Calibri"/>
          <w:szCs w:val="24"/>
        </w:rPr>
      </w:pPr>
    </w:p>
    <w:p w14:paraId="392BCFD3" w14:textId="0AA1B74B"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 xml:space="preserve">Las mujeres en América </w:t>
      </w:r>
      <w:r w:rsidR="002548C6" w:rsidRPr="00485CC5">
        <w:rPr>
          <w:rFonts w:ascii="Bookman Old Style" w:hAnsi="Bookman Old Style" w:cs="Calibri"/>
          <w:szCs w:val="24"/>
        </w:rPr>
        <w:t>Latina</w:t>
      </w:r>
      <w:r w:rsidRPr="00485CC5">
        <w:rPr>
          <w:rFonts w:ascii="Bookman Old Style" w:hAnsi="Bookman Old Style" w:cs="Calibri"/>
          <w:szCs w:val="24"/>
        </w:rPr>
        <w:t xml:space="preserve">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5"/>
      </w:r>
    </w:p>
    <w:p w14:paraId="60D098C2" w14:textId="77777777" w:rsidR="00F36280" w:rsidRPr="00485CC5" w:rsidRDefault="00F36280" w:rsidP="00F36280">
      <w:pPr>
        <w:jc w:val="both"/>
        <w:rPr>
          <w:rFonts w:ascii="Bookman Old Style" w:hAnsi="Bookman Old Style" w:cs="Calibri"/>
          <w:szCs w:val="24"/>
        </w:rPr>
      </w:pPr>
    </w:p>
    <w:p w14:paraId="3D8132C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6"/>
      </w:r>
      <w:r w:rsidRPr="00485CC5">
        <w:rPr>
          <w:rFonts w:ascii="Bookman Old Style" w:hAnsi="Bookman Old Style" w:cs="Calibri"/>
          <w:szCs w:val="24"/>
        </w:rPr>
        <w:t>:</w:t>
      </w:r>
    </w:p>
    <w:p w14:paraId="2085D024" w14:textId="77777777" w:rsidR="00F36280" w:rsidRPr="00485CC5" w:rsidRDefault="00F36280" w:rsidP="00F36280">
      <w:pPr>
        <w:jc w:val="both"/>
        <w:rPr>
          <w:rFonts w:ascii="Bookman Old Style" w:hAnsi="Bookman Old Style" w:cs="Calibri"/>
          <w:szCs w:val="24"/>
        </w:rPr>
      </w:pPr>
    </w:p>
    <w:p w14:paraId="488EB25F" w14:textId="77777777"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255DB051" w14:textId="77777777" w:rsidR="00F36280" w:rsidRPr="00485CC5" w:rsidRDefault="00F36280" w:rsidP="00621929">
      <w:pPr>
        <w:pStyle w:val="Prrafodelista"/>
        <w:spacing w:after="0" w:line="240" w:lineRule="auto"/>
        <w:jc w:val="both"/>
        <w:rPr>
          <w:rFonts w:ascii="Bookman Old Style" w:hAnsi="Bookman Old Style" w:cs="Calibri"/>
          <w:szCs w:val="24"/>
        </w:rPr>
      </w:pPr>
    </w:p>
    <w:p w14:paraId="1641EA0C" w14:textId="77777777"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79BC80EF" w14:textId="77777777" w:rsidR="00145FCB" w:rsidRPr="00621929" w:rsidRDefault="00145FCB" w:rsidP="00621929">
      <w:pPr>
        <w:pStyle w:val="Prrafodelista"/>
        <w:rPr>
          <w:rFonts w:ascii="Bookman Old Style" w:hAnsi="Bookman Old Style" w:cs="Calibri"/>
          <w:szCs w:val="24"/>
        </w:rPr>
      </w:pPr>
    </w:p>
    <w:p w14:paraId="4FAB41F7" w14:textId="77777777"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780E855B" w14:textId="77777777" w:rsidR="00F36280" w:rsidRPr="00485CC5" w:rsidRDefault="00F36280" w:rsidP="00621929"/>
    <w:p w14:paraId="601EF21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7"/>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8"/>
      </w:r>
    </w:p>
    <w:p w14:paraId="1E3A23EA"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7808D64" w14:textId="77777777" w:rsidR="00F36280" w:rsidRPr="00485CC5" w:rsidRDefault="00F36280" w:rsidP="000B0FBF">
      <w:pPr>
        <w:pStyle w:val="Ttulo2"/>
        <w:numPr>
          <w:ilvl w:val="0"/>
          <w:numId w:val="35"/>
        </w:numPr>
        <w:ind w:left="-1133"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MODIFICACIONES A LA CONSTITUCIÓN</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620E91A" w14:textId="77777777" w:rsidR="00F36280" w:rsidRPr="00485CC5" w:rsidRDefault="00F36280" w:rsidP="005B5FC0">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14:paraId="779B657B" w14:textId="77777777"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5E31EDF7" w14:textId="77777777" w:rsidTr="005B5FC0">
        <w:tc>
          <w:tcPr>
            <w:tcW w:w="4536" w:type="dxa"/>
          </w:tcPr>
          <w:p w14:paraId="1BBDCD98" w14:textId="77777777" w:rsidR="00F36280" w:rsidRPr="00485CC5" w:rsidRDefault="00F36280" w:rsidP="005B5FC0">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5B84FC03" w14:textId="77777777" w:rsidR="00F36280" w:rsidRPr="00485CC5" w:rsidRDefault="00F36280" w:rsidP="005B5FC0">
            <w:pPr>
              <w:ind w:left="29"/>
              <w:jc w:val="both"/>
              <w:rPr>
                <w:rFonts w:ascii="Bookman Old Style" w:hAnsi="Bookman Old Style" w:cs="Calibri"/>
                <w:b/>
                <w:szCs w:val="24"/>
                <w:lang w:val="es-ES_tradnl"/>
              </w:rPr>
            </w:pPr>
          </w:p>
          <w:p w14:paraId="17C4D6FC"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7578377E" w14:textId="77777777" w:rsidR="00F36280" w:rsidRPr="00485CC5" w:rsidRDefault="00F36280" w:rsidP="005B5FC0">
            <w:pPr>
              <w:ind w:left="29"/>
              <w:jc w:val="both"/>
              <w:rPr>
                <w:rFonts w:ascii="Bookman Old Style" w:hAnsi="Bookman Old Style" w:cs="Calibri"/>
                <w:szCs w:val="24"/>
                <w:lang w:val="es-ES_tradnl"/>
              </w:rPr>
            </w:pPr>
          </w:p>
          <w:p w14:paraId="1FF5D49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34E9430D" w14:textId="77777777" w:rsidR="00F36280" w:rsidRPr="00485CC5" w:rsidRDefault="00F36280" w:rsidP="005B5FC0">
            <w:pPr>
              <w:ind w:left="29"/>
              <w:jc w:val="both"/>
              <w:rPr>
                <w:rFonts w:ascii="Bookman Old Style" w:hAnsi="Bookman Old Style" w:cs="Calibri"/>
                <w:szCs w:val="24"/>
                <w:lang w:val="es-ES_tradnl"/>
              </w:rPr>
            </w:pPr>
          </w:p>
          <w:p w14:paraId="73BE2B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18F2FA9" w14:textId="77777777" w:rsidR="00F36280" w:rsidRPr="00485CC5" w:rsidRDefault="00F36280" w:rsidP="005B5FC0">
            <w:pPr>
              <w:ind w:left="29"/>
              <w:jc w:val="both"/>
              <w:rPr>
                <w:rFonts w:ascii="Bookman Old Style" w:hAnsi="Bookman Old Style" w:cs="Calibri"/>
                <w:szCs w:val="24"/>
                <w:lang w:val="es-ES_tradnl"/>
              </w:rPr>
            </w:pPr>
          </w:p>
          <w:p w14:paraId="4D2463C0"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0813922C" w14:textId="77777777" w:rsidR="00F36280" w:rsidRPr="00485CC5" w:rsidRDefault="00F36280" w:rsidP="005B5FC0">
            <w:pPr>
              <w:ind w:left="29"/>
              <w:jc w:val="both"/>
              <w:rPr>
                <w:rFonts w:ascii="Bookman Old Style" w:hAnsi="Bookman Old Style" w:cs="Calibri"/>
                <w:szCs w:val="24"/>
                <w:lang w:val="es-ES_tradnl"/>
              </w:rPr>
            </w:pPr>
          </w:p>
          <w:p w14:paraId="71DB5828"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06D1DCE3" w14:textId="77777777" w:rsidR="00F36280" w:rsidRPr="00485CC5" w:rsidRDefault="00F36280" w:rsidP="005B5FC0">
            <w:pPr>
              <w:ind w:left="29"/>
              <w:jc w:val="both"/>
              <w:rPr>
                <w:rFonts w:ascii="Bookman Old Style" w:hAnsi="Bookman Old Style" w:cs="Calibri"/>
                <w:szCs w:val="24"/>
                <w:lang w:val="es-ES_tradnl"/>
              </w:rPr>
            </w:pPr>
          </w:p>
          <w:p w14:paraId="3C13A8B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93D1DF2" w14:textId="77777777" w:rsidR="00F36280" w:rsidRPr="00485CC5" w:rsidRDefault="00F36280" w:rsidP="005B5FC0">
            <w:pPr>
              <w:ind w:left="29"/>
              <w:jc w:val="both"/>
              <w:rPr>
                <w:rFonts w:ascii="Bookman Old Style" w:hAnsi="Bookman Old Style" w:cs="Calibri"/>
                <w:szCs w:val="24"/>
                <w:lang w:val="es-ES_tradnl"/>
              </w:rPr>
            </w:pPr>
          </w:p>
          <w:p w14:paraId="18B2AB1A" w14:textId="77777777" w:rsidR="00F36280" w:rsidRPr="00485CC5" w:rsidRDefault="00F36280" w:rsidP="005B5FC0">
            <w:pPr>
              <w:ind w:left="29"/>
              <w:jc w:val="both"/>
              <w:rPr>
                <w:rFonts w:ascii="Bookman Old Style" w:hAnsi="Bookman Old Style" w:cs="Calibri"/>
                <w:szCs w:val="24"/>
                <w:lang w:val="es-ES_tradnl"/>
              </w:rPr>
            </w:pPr>
          </w:p>
          <w:p w14:paraId="195AC449" w14:textId="77777777" w:rsidR="00F36280" w:rsidRPr="00485CC5" w:rsidRDefault="00F36280" w:rsidP="005B5FC0">
            <w:pPr>
              <w:ind w:left="29"/>
              <w:jc w:val="both"/>
              <w:rPr>
                <w:rFonts w:ascii="Bookman Old Style" w:hAnsi="Bookman Old Style" w:cs="Calibri"/>
                <w:szCs w:val="24"/>
                <w:lang w:val="es-ES_tradnl"/>
              </w:rPr>
            </w:pPr>
          </w:p>
          <w:p w14:paraId="4A28F511" w14:textId="77777777" w:rsidR="00F36280" w:rsidRPr="00485CC5" w:rsidRDefault="00F36280" w:rsidP="005B5FC0">
            <w:pPr>
              <w:ind w:left="29"/>
              <w:jc w:val="both"/>
              <w:rPr>
                <w:rFonts w:ascii="Bookman Old Style" w:hAnsi="Bookman Old Style" w:cs="Calibri"/>
                <w:szCs w:val="24"/>
                <w:lang w:val="es-ES_tradnl"/>
              </w:rPr>
            </w:pPr>
          </w:p>
          <w:p w14:paraId="204E7122" w14:textId="77777777" w:rsidR="00F36280" w:rsidRPr="00485CC5" w:rsidRDefault="00F36280" w:rsidP="005B5FC0">
            <w:pPr>
              <w:ind w:left="29"/>
              <w:jc w:val="both"/>
              <w:rPr>
                <w:rFonts w:ascii="Bookman Old Style" w:hAnsi="Bookman Old Style" w:cs="Calibri"/>
                <w:szCs w:val="24"/>
                <w:lang w:val="es-ES_tradnl"/>
              </w:rPr>
            </w:pPr>
          </w:p>
          <w:p w14:paraId="7C56E4AA" w14:textId="77777777" w:rsidR="00F36280" w:rsidRPr="00485CC5" w:rsidRDefault="00F36280" w:rsidP="005B5FC0">
            <w:pPr>
              <w:ind w:left="29"/>
              <w:jc w:val="both"/>
              <w:rPr>
                <w:rFonts w:ascii="Bookman Old Style" w:hAnsi="Bookman Old Style" w:cs="Calibri"/>
                <w:szCs w:val="24"/>
                <w:lang w:val="es-ES_tradnl"/>
              </w:rPr>
            </w:pPr>
          </w:p>
          <w:p w14:paraId="2C8F3A41" w14:textId="77777777" w:rsidR="00F36280" w:rsidRPr="00485CC5" w:rsidRDefault="00F36280" w:rsidP="005B5FC0">
            <w:pPr>
              <w:ind w:left="29"/>
              <w:jc w:val="both"/>
              <w:rPr>
                <w:rFonts w:ascii="Bookman Old Style" w:hAnsi="Bookman Old Style" w:cs="Calibri"/>
                <w:szCs w:val="24"/>
                <w:lang w:val="es-ES_tradnl"/>
              </w:rPr>
            </w:pPr>
          </w:p>
          <w:p w14:paraId="0DBAAA0E" w14:textId="77777777" w:rsidR="00F36280" w:rsidRPr="00485CC5" w:rsidRDefault="00F36280" w:rsidP="005B5FC0">
            <w:pPr>
              <w:ind w:left="29"/>
              <w:jc w:val="both"/>
              <w:rPr>
                <w:rFonts w:ascii="Bookman Old Style" w:hAnsi="Bookman Old Style" w:cs="Calibri"/>
                <w:szCs w:val="24"/>
                <w:lang w:val="es-ES_tradnl"/>
              </w:rPr>
            </w:pPr>
          </w:p>
          <w:p w14:paraId="4D1A97C7" w14:textId="77777777" w:rsidR="00F36280" w:rsidRPr="00485CC5" w:rsidRDefault="00F36280" w:rsidP="005B5FC0">
            <w:pPr>
              <w:ind w:left="29"/>
              <w:jc w:val="both"/>
              <w:rPr>
                <w:rFonts w:ascii="Bookman Old Style" w:hAnsi="Bookman Old Style" w:cs="Calibri"/>
                <w:szCs w:val="24"/>
                <w:lang w:val="es-ES_tradnl"/>
              </w:rPr>
            </w:pPr>
          </w:p>
          <w:p w14:paraId="103D8C15" w14:textId="77777777" w:rsidR="00F36280" w:rsidRPr="00485CC5" w:rsidRDefault="00F36280" w:rsidP="005B5FC0">
            <w:pPr>
              <w:ind w:left="29"/>
              <w:jc w:val="both"/>
              <w:rPr>
                <w:rFonts w:ascii="Bookman Old Style" w:hAnsi="Bookman Old Style" w:cs="Calibri"/>
                <w:szCs w:val="24"/>
                <w:lang w:val="es-ES_tradnl"/>
              </w:rPr>
            </w:pPr>
          </w:p>
          <w:p w14:paraId="2433AC7D" w14:textId="77777777" w:rsidR="00F36280" w:rsidRPr="00485CC5" w:rsidRDefault="00F36280" w:rsidP="005B5FC0">
            <w:pPr>
              <w:ind w:left="29"/>
              <w:jc w:val="both"/>
              <w:rPr>
                <w:rFonts w:ascii="Bookman Old Style" w:hAnsi="Bookman Old Style" w:cs="Calibri"/>
                <w:szCs w:val="24"/>
                <w:lang w:val="es-ES_tradnl"/>
              </w:rPr>
            </w:pPr>
          </w:p>
          <w:p w14:paraId="6D6D0D5A" w14:textId="77777777" w:rsidR="00F36280" w:rsidRPr="00485CC5" w:rsidRDefault="00F36280" w:rsidP="005B5FC0">
            <w:pPr>
              <w:ind w:left="29"/>
              <w:jc w:val="both"/>
              <w:rPr>
                <w:rFonts w:ascii="Bookman Old Style" w:hAnsi="Bookman Old Style" w:cs="Calibri"/>
                <w:szCs w:val="24"/>
                <w:lang w:val="es-ES_tradnl"/>
              </w:rPr>
            </w:pPr>
          </w:p>
          <w:p w14:paraId="0BA61CA6" w14:textId="77777777" w:rsidR="00F36280" w:rsidRPr="00485CC5" w:rsidRDefault="00F36280" w:rsidP="005B5FC0">
            <w:pPr>
              <w:ind w:left="29"/>
              <w:jc w:val="both"/>
              <w:rPr>
                <w:rFonts w:ascii="Bookman Old Style" w:hAnsi="Bookman Old Style" w:cs="Calibri"/>
                <w:szCs w:val="24"/>
                <w:lang w:val="es-ES_tradnl"/>
              </w:rPr>
            </w:pPr>
          </w:p>
          <w:p w14:paraId="3B0E070C" w14:textId="77777777" w:rsidR="000046EF" w:rsidRDefault="000046EF" w:rsidP="001D5D7C">
            <w:pPr>
              <w:jc w:val="both"/>
              <w:rPr>
                <w:rFonts w:ascii="Bookman Old Style" w:hAnsi="Bookman Old Style" w:cs="Calibri"/>
                <w:szCs w:val="24"/>
                <w:lang w:val="es-ES_tradnl"/>
              </w:rPr>
            </w:pPr>
          </w:p>
          <w:p w14:paraId="0F58B645" w14:textId="77777777" w:rsidR="00F36280" w:rsidRPr="00706B77" w:rsidRDefault="00F36280" w:rsidP="00706B77">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595531FB" w14:textId="77777777" w:rsidR="00F36280" w:rsidRPr="00485CC5" w:rsidRDefault="00F36280" w:rsidP="005B5FC0">
            <w:pPr>
              <w:ind w:left="29"/>
              <w:jc w:val="center"/>
              <w:rPr>
                <w:rFonts w:ascii="Bookman Old Style" w:hAnsi="Bookman Old Style" w:cs="Calibri"/>
                <w:b/>
                <w:szCs w:val="24"/>
              </w:rPr>
            </w:pPr>
            <w:r w:rsidRPr="00485CC5">
              <w:rPr>
                <w:rFonts w:ascii="Bookman Old Style" w:hAnsi="Bookman Old Style" w:cs="Calibri"/>
                <w:b/>
                <w:szCs w:val="24"/>
              </w:rPr>
              <w:t>Constitución Política de Colombia</w:t>
            </w:r>
          </w:p>
          <w:p w14:paraId="346B5DE0" w14:textId="77777777" w:rsidR="00F36280" w:rsidRPr="00485CC5" w:rsidRDefault="00F36280" w:rsidP="005B5FC0">
            <w:pPr>
              <w:ind w:left="29"/>
              <w:jc w:val="center"/>
              <w:rPr>
                <w:rFonts w:ascii="Bookman Old Style" w:hAnsi="Bookman Old Style" w:cs="Calibri"/>
                <w:b/>
                <w:szCs w:val="24"/>
              </w:rPr>
            </w:pPr>
          </w:p>
          <w:p w14:paraId="15FD1F3D"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r w:rsidRPr="00485CC5">
              <w:rPr>
                <w:rFonts w:ascii="Bookman Old Style" w:eastAsia="Times New Roman" w:hAnsi="Bookman Old Style" w:cs="Calibri"/>
                <w:szCs w:val="24"/>
                <w:lang w:eastAsia="es-CO"/>
              </w:rPr>
              <w:br/>
            </w: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A417DD" w14:textId="77777777" w:rsidR="00F36280" w:rsidRPr="00485CC5" w:rsidRDefault="00F36280" w:rsidP="005B5FC0">
            <w:pPr>
              <w:ind w:left="29"/>
              <w:jc w:val="both"/>
              <w:rPr>
                <w:rFonts w:ascii="Bookman Old Style" w:hAnsi="Bookman Old Style" w:cs="Calibri"/>
                <w:szCs w:val="24"/>
                <w:lang w:val="es-ES_tradnl"/>
              </w:rPr>
            </w:pPr>
          </w:p>
          <w:p w14:paraId="743455AB"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C77FE7" w14:textId="77777777" w:rsidR="00F36280" w:rsidRPr="00485CC5" w:rsidRDefault="00F36280" w:rsidP="005B5FC0">
            <w:pPr>
              <w:ind w:left="29"/>
              <w:jc w:val="both"/>
              <w:rPr>
                <w:rFonts w:ascii="Bookman Old Style" w:hAnsi="Bookman Old Style" w:cs="Calibri"/>
                <w:szCs w:val="24"/>
                <w:lang w:val="es-ES_tradnl"/>
              </w:rPr>
            </w:pPr>
          </w:p>
          <w:p w14:paraId="7E828147"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La ley señalará los términos en los cuales la atención básica para todos los habitantes será gratuita y obligatoria.</w:t>
            </w:r>
          </w:p>
          <w:p w14:paraId="6FA6821E" w14:textId="77777777" w:rsidR="00F36280" w:rsidRPr="00485CC5" w:rsidRDefault="00F36280" w:rsidP="005B5FC0">
            <w:pPr>
              <w:ind w:left="29"/>
              <w:jc w:val="both"/>
              <w:rPr>
                <w:rFonts w:ascii="Bookman Old Style" w:hAnsi="Bookman Old Style" w:cs="Calibri"/>
                <w:szCs w:val="24"/>
                <w:lang w:val="es-ES_tradnl"/>
              </w:rPr>
            </w:pPr>
          </w:p>
          <w:p w14:paraId="61DAA68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C330C44"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D6A5F46" w14:textId="77777777" w:rsidR="00F36280" w:rsidRPr="00485CC5" w:rsidRDefault="00F36280" w:rsidP="005B5FC0">
            <w:pPr>
              <w:ind w:left="29"/>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24D5E0B7" w14:textId="77777777" w:rsidR="00F36280" w:rsidRPr="00485CC5" w:rsidRDefault="00F36280" w:rsidP="005B5FC0">
            <w:pPr>
              <w:ind w:left="29"/>
              <w:jc w:val="both"/>
              <w:rPr>
                <w:rFonts w:ascii="Bookman Old Style" w:hAnsi="Bookman Old Style" w:cs="Calibri"/>
                <w:szCs w:val="24"/>
                <w:lang w:val="es-ES_tradnl"/>
              </w:rPr>
            </w:pPr>
          </w:p>
          <w:p w14:paraId="54FA6AB2" w14:textId="045139BF" w:rsidR="00F041AE" w:rsidRPr="00E606C3" w:rsidRDefault="00F041AE" w:rsidP="00E606C3">
            <w:pPr>
              <w:ind w:left="29"/>
              <w:jc w:val="both"/>
              <w:rPr>
                <w:rFonts w:ascii="Bookman Old Style" w:hAnsi="Bookman Old Style" w:cs="Calibri"/>
                <w:b/>
                <w:szCs w:val="24"/>
                <w:u w:val="single"/>
              </w:rPr>
            </w:pPr>
            <w:r w:rsidRPr="00F041AE">
              <w:rPr>
                <w:rFonts w:ascii="Bookman Old Style" w:hAnsi="Bookman Old Style" w:cs="Calibri"/>
                <w:b/>
                <w:szCs w:val="24"/>
                <w:u w:val="single"/>
              </w:rPr>
              <w:t>La prohibición prevista en el inciso anterior no aplicará para el uso por parte de mayores de edad del cannabis y sus derivados. Tampoco aplicará para la destinación científica de estas sustancias, siempre y cuando se cuente con las licencias otorgadas por la autoridad competente. La Ley podrá restringir el porte y consumo del cannabis y sus derivados en espacios públicos, zonas comunes y entornos escolares, entre otros.</w:t>
            </w:r>
          </w:p>
          <w:p w14:paraId="23753759" w14:textId="77777777" w:rsidR="00E606C3" w:rsidRDefault="00E606C3" w:rsidP="00E606C3">
            <w:pPr>
              <w:ind w:left="29"/>
              <w:jc w:val="both"/>
              <w:rPr>
                <w:rFonts w:ascii="Bookman Old Style" w:hAnsi="Bookman Old Style" w:cs="Calibri"/>
                <w:b/>
                <w:szCs w:val="24"/>
                <w:u w:val="single"/>
              </w:rPr>
            </w:pPr>
          </w:p>
          <w:p w14:paraId="4A6EDE41" w14:textId="2CD9328E" w:rsidR="00E606C3" w:rsidRPr="00E606C3" w:rsidRDefault="00E606C3" w:rsidP="00E606C3">
            <w:pPr>
              <w:ind w:left="29"/>
              <w:jc w:val="both"/>
              <w:rPr>
                <w:rFonts w:ascii="Bookman Old Style" w:hAnsi="Bookman Old Style" w:cs="Calibri"/>
                <w:bCs/>
                <w:szCs w:val="24"/>
              </w:rPr>
            </w:pPr>
            <w:r w:rsidRPr="00E606C3">
              <w:rPr>
                <w:rFonts w:ascii="Bookman Old Style" w:hAnsi="Bookman Old Style" w:cs="Calibri"/>
                <w:bCs/>
                <w:szCs w:val="24"/>
              </w:rPr>
              <w:t xml:space="preserve">Así mismo el Estado dedicará especial atención al enfermo dependiente o adicto y a su familia para </w:t>
            </w:r>
            <w:r w:rsidRPr="00E606C3">
              <w:rPr>
                <w:rFonts w:ascii="Bookman Old Style" w:hAnsi="Bookman Old Style" w:cs="Calibri"/>
                <w:b/>
                <w:szCs w:val="24"/>
                <w:u w:val="single"/>
              </w:rPr>
              <w:t>garantizar su tratamiento; y así</w:t>
            </w:r>
            <w:r w:rsidRPr="00E606C3">
              <w:rPr>
                <w:rFonts w:ascii="Bookman Old Style" w:hAnsi="Bookman Old Style" w:cs="Calibri"/>
                <w:bCs/>
                <w:szCs w:val="24"/>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5D217A">
              <w:rPr>
                <w:rFonts w:ascii="Bookman Old Style" w:hAnsi="Bookman Old Style" w:cs="Calibri"/>
                <w:b/>
                <w:szCs w:val="24"/>
                <w:u w:val="single"/>
              </w:rPr>
              <w:t>sus efectos nocivos y</w:t>
            </w:r>
            <w:r w:rsidRPr="00E606C3">
              <w:rPr>
                <w:rFonts w:ascii="Bookman Old Style" w:hAnsi="Bookman Old Style" w:cs="Calibri"/>
                <w:bCs/>
                <w:szCs w:val="24"/>
              </w:rPr>
              <w:t xml:space="preserve"> en favor de la recuperación de los enfermos dependientes o adictos.</w:t>
            </w:r>
          </w:p>
          <w:p w14:paraId="67F13DB5" w14:textId="77777777" w:rsidR="00E606C3" w:rsidRDefault="00E606C3" w:rsidP="00E606C3">
            <w:pPr>
              <w:ind w:left="29"/>
              <w:jc w:val="both"/>
              <w:rPr>
                <w:rFonts w:ascii="Bookman Old Style" w:hAnsi="Bookman Old Style" w:cs="Calibri"/>
                <w:b/>
                <w:szCs w:val="24"/>
                <w:u w:val="single"/>
              </w:rPr>
            </w:pPr>
          </w:p>
          <w:p w14:paraId="4DA8C247" w14:textId="3BA9460D" w:rsidR="00F36280" w:rsidRPr="00706B77" w:rsidRDefault="00E606C3" w:rsidP="00E606C3">
            <w:pPr>
              <w:ind w:left="29"/>
              <w:jc w:val="both"/>
              <w:rPr>
                <w:rFonts w:ascii="Bookman Old Style" w:hAnsi="Bookman Old Style" w:cs="Calibri"/>
                <w:b/>
                <w:szCs w:val="24"/>
                <w:u w:val="single"/>
                <w:lang w:val="es-ES_tradnl"/>
              </w:rPr>
            </w:pPr>
            <w:r w:rsidRPr="00E606C3">
              <w:rPr>
                <w:rFonts w:ascii="Bookman Old Style" w:hAnsi="Bookman Old Style" w:cs="Calibri"/>
                <w:b/>
                <w:szCs w:val="24"/>
                <w:u w:val="single"/>
              </w:rPr>
              <w:t>Las entidades integrantes del Sistema Integral de Seguridad Social y sus prestadores garantizaran la aplicación de lo establecido en este artículo.</w:t>
            </w:r>
          </w:p>
        </w:tc>
      </w:tr>
      <w:bookmarkEnd w:id="5"/>
    </w:tbl>
    <w:p w14:paraId="3C83043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945392D" w14:textId="77777777" w:rsidR="00F36280" w:rsidRPr="00485CC5" w:rsidRDefault="00F36280" w:rsidP="00F36280">
      <w:pPr>
        <w:rPr>
          <w:rFonts w:ascii="Bookman Old Style" w:eastAsia="Calibri" w:hAnsi="Bookman Old Style" w:cs="Calibri"/>
          <w:szCs w:val="24"/>
        </w:rPr>
      </w:pPr>
    </w:p>
    <w:p w14:paraId="3FAF379C" w14:textId="77777777" w:rsidR="00F36280" w:rsidRPr="00485CC5" w:rsidRDefault="00F36280" w:rsidP="000B0FBF">
      <w:pPr>
        <w:pStyle w:val="Ttulo2"/>
        <w:numPr>
          <w:ilvl w:val="0"/>
          <w:numId w:val="35"/>
        </w:numPr>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p>
    <w:p w14:paraId="3FF5215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3A0D770D"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319D0324"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F8E58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2EA6563"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354065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0286883C"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E251D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0EE1C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79CC2791"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2816EDF9" w14:textId="77777777"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12B42C85"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70A8B97B" w14:textId="77777777" w:rsidR="005D217A" w:rsidRDefault="005D217A" w:rsidP="005D217A">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p>
    <w:p w14:paraId="13E09CD8" w14:textId="77777777" w:rsidR="005D217A" w:rsidRDefault="005D217A" w:rsidP="005D217A">
      <w:pPr>
        <w:jc w:val="both"/>
        <w:rPr>
          <w:rFonts w:ascii="Bookman Old Style" w:hAnsi="Bookman Old Style"/>
          <w:b/>
          <w:color w:val="000000" w:themeColor="text1"/>
        </w:rPr>
      </w:pPr>
    </w:p>
    <w:p w14:paraId="2AEDD95F" w14:textId="23304AF2" w:rsidR="005D217A" w:rsidRPr="00253221" w:rsidRDefault="005D217A" w:rsidP="005D217A">
      <w:pPr>
        <w:jc w:val="both"/>
        <w:rPr>
          <w:rFonts w:ascii="Bookman Old Style" w:hAnsi="Bookman Old Style"/>
          <w:b/>
          <w:color w:val="000000" w:themeColor="text1"/>
        </w:rPr>
      </w:pPr>
      <w:r>
        <w:rPr>
          <w:rFonts w:ascii="Bookman Old Style" w:hAnsi="Bookman Old Style"/>
          <w:b/>
          <w:color w:val="000000" w:themeColor="text1"/>
        </w:rPr>
        <w:t>10</w:t>
      </w:r>
      <w:r w:rsidRPr="00253221">
        <w:rPr>
          <w:rFonts w:ascii="Bookman Old Style" w:hAnsi="Bookman Old Style"/>
          <w:b/>
          <w:color w:val="000000" w:themeColor="text1"/>
        </w:rPr>
        <w:t>.1 CONSTITUCIONAL:</w:t>
      </w:r>
    </w:p>
    <w:p w14:paraId="01B8CF42" w14:textId="77777777" w:rsidR="005D217A" w:rsidRDefault="005D217A" w:rsidP="005D217A">
      <w:pPr>
        <w:contextualSpacing/>
        <w:jc w:val="both"/>
        <w:rPr>
          <w:rFonts w:ascii="Bookman Old Style" w:hAnsi="Bookman Old Style"/>
          <w:b/>
          <w:color w:val="000000" w:themeColor="text1"/>
        </w:rPr>
      </w:pPr>
    </w:p>
    <w:p w14:paraId="29F3BDDE"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06C7AB8C" w14:textId="77777777" w:rsidR="005D217A" w:rsidRDefault="005D217A" w:rsidP="005D217A">
      <w:pPr>
        <w:ind w:left="851"/>
        <w:contextualSpacing/>
        <w:jc w:val="both"/>
        <w:rPr>
          <w:rFonts w:ascii="Bookman Old Style" w:hAnsi="Bookman Old Style"/>
          <w:color w:val="000000" w:themeColor="text1"/>
        </w:rPr>
      </w:pPr>
    </w:p>
    <w:p w14:paraId="350CBF53"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4514A619" w14:textId="77777777" w:rsidR="005D217A" w:rsidRDefault="005D217A" w:rsidP="005D217A">
      <w:pPr>
        <w:ind w:left="851"/>
        <w:contextualSpacing/>
        <w:jc w:val="both"/>
        <w:rPr>
          <w:rFonts w:ascii="Bookman Old Style" w:hAnsi="Bookman Old Style"/>
          <w:color w:val="000000" w:themeColor="text1"/>
        </w:rPr>
      </w:pPr>
    </w:p>
    <w:p w14:paraId="4434E9D8" w14:textId="77777777" w:rsidR="005D217A" w:rsidRPr="00F46028" w:rsidRDefault="005D217A" w:rsidP="005D217A">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3CFBD85D" w14:textId="77777777" w:rsidR="005D217A" w:rsidRPr="00F46028" w:rsidRDefault="005D217A" w:rsidP="005D217A">
      <w:pPr>
        <w:ind w:left="851"/>
        <w:contextualSpacing/>
        <w:jc w:val="both"/>
        <w:rPr>
          <w:rFonts w:ascii="Bookman Old Style" w:hAnsi="Bookman Old Style"/>
          <w:color w:val="000000" w:themeColor="text1"/>
        </w:rPr>
      </w:pPr>
    </w:p>
    <w:p w14:paraId="24A839E9"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64C2561E" w14:textId="77777777" w:rsidR="005D217A" w:rsidRPr="00F46028" w:rsidRDefault="005D217A" w:rsidP="005D217A">
      <w:pPr>
        <w:pStyle w:val="Prrafodelista"/>
        <w:ind w:left="851"/>
        <w:jc w:val="both"/>
        <w:rPr>
          <w:rFonts w:ascii="Bookman Old Style" w:hAnsi="Bookman Old Style"/>
          <w:color w:val="000000" w:themeColor="text1"/>
        </w:rPr>
      </w:pPr>
    </w:p>
    <w:p w14:paraId="0E6E98C4"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Expedir códigos en todos los ramos de la legislación y reformar sus disposiciones.</w:t>
      </w:r>
    </w:p>
    <w:p w14:paraId="43E73ED7" w14:textId="77777777" w:rsidR="005D217A" w:rsidRPr="00F46028" w:rsidRDefault="005D217A" w:rsidP="005D217A">
      <w:pPr>
        <w:pStyle w:val="Prrafodelista"/>
        <w:ind w:left="851"/>
        <w:jc w:val="both"/>
        <w:rPr>
          <w:rFonts w:ascii="Bookman Old Style" w:hAnsi="Bookman Old Style"/>
          <w:color w:val="000000" w:themeColor="text1"/>
        </w:rPr>
      </w:pPr>
    </w:p>
    <w:p w14:paraId="19629B52" w14:textId="77777777" w:rsidR="005D217A" w:rsidRPr="00F46028"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Aprobar el plan nacional de desarrollo y de inversiones públicas que hayan de emprenderse o continuarse, con la determinación de los recursos y apropiaciones que se autoricen para su ejecución, y las medidas necesarias para impulsar el cumplimiento de los mismos.</w:t>
      </w:r>
    </w:p>
    <w:p w14:paraId="76ED4AC3" w14:textId="77777777" w:rsidR="005D217A" w:rsidRPr="00F46028" w:rsidRDefault="005D217A" w:rsidP="005D217A">
      <w:pPr>
        <w:pStyle w:val="Prrafodelista"/>
        <w:ind w:left="851"/>
        <w:jc w:val="both"/>
        <w:rPr>
          <w:rFonts w:ascii="Bookman Old Style" w:hAnsi="Bookman Old Style"/>
          <w:color w:val="000000" w:themeColor="text1"/>
        </w:rPr>
      </w:pPr>
    </w:p>
    <w:p w14:paraId="085A20F7" w14:textId="77777777" w:rsidR="005D217A" w:rsidRPr="007039DA" w:rsidRDefault="005D217A" w:rsidP="005D217A">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04AF5C9B" w14:textId="77777777" w:rsidR="005D217A" w:rsidRPr="00F46028" w:rsidRDefault="005D217A" w:rsidP="005D217A">
      <w:pPr>
        <w:jc w:val="both"/>
        <w:rPr>
          <w:rFonts w:ascii="Bookman Old Style" w:hAnsi="Bookman Old Style"/>
          <w:b/>
          <w:color w:val="000000" w:themeColor="text1"/>
        </w:rPr>
      </w:pPr>
    </w:p>
    <w:p w14:paraId="5680549D" w14:textId="4193DB0A" w:rsidR="005D217A" w:rsidRPr="00253221" w:rsidRDefault="005D217A" w:rsidP="005D217A">
      <w:pPr>
        <w:jc w:val="both"/>
        <w:rPr>
          <w:rFonts w:ascii="Bookman Old Style" w:hAnsi="Bookman Old Style"/>
          <w:b/>
          <w:color w:val="000000" w:themeColor="text1"/>
          <w:u w:val="single"/>
        </w:rPr>
      </w:pPr>
      <w:r>
        <w:rPr>
          <w:rFonts w:ascii="Bookman Old Style" w:hAnsi="Bookman Old Style"/>
          <w:b/>
          <w:color w:val="000000" w:themeColor="text1"/>
        </w:rPr>
        <w:t xml:space="preserve">10.2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143AEE9E" w14:textId="77777777" w:rsidR="005D217A" w:rsidRPr="00A22CFE" w:rsidRDefault="005D217A" w:rsidP="005D217A">
      <w:pPr>
        <w:jc w:val="both"/>
        <w:rPr>
          <w:rFonts w:ascii="Bookman Old Style" w:hAnsi="Bookman Old Style"/>
          <w:b/>
          <w:color w:val="000000" w:themeColor="text1"/>
          <w:u w:val="single"/>
        </w:rPr>
      </w:pPr>
    </w:p>
    <w:p w14:paraId="33E0E63C" w14:textId="77777777" w:rsidR="005D217A" w:rsidRPr="00F46028" w:rsidRDefault="005D217A" w:rsidP="005D217A">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5ED6689" w14:textId="77777777" w:rsidR="005D217A" w:rsidRPr="00F46028" w:rsidRDefault="005D217A" w:rsidP="005D217A">
      <w:pPr>
        <w:ind w:left="851"/>
        <w:jc w:val="both"/>
        <w:rPr>
          <w:rFonts w:ascii="Bookman Old Style" w:hAnsi="Bookman Old Style"/>
          <w:b/>
          <w:color w:val="000000" w:themeColor="text1"/>
        </w:rPr>
      </w:pPr>
    </w:p>
    <w:p w14:paraId="0F836E57"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402CA78B" w14:textId="77777777" w:rsidR="005D217A" w:rsidRPr="00F46028" w:rsidRDefault="005D217A" w:rsidP="005D217A">
      <w:pPr>
        <w:ind w:left="851"/>
        <w:jc w:val="both"/>
        <w:rPr>
          <w:rFonts w:ascii="Bookman Old Style" w:hAnsi="Bookman Old Style"/>
          <w:i/>
          <w:color w:val="000000" w:themeColor="text1"/>
        </w:rPr>
      </w:pPr>
    </w:p>
    <w:p w14:paraId="0C245238"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6872F633" w14:textId="77777777" w:rsidR="005D217A" w:rsidRPr="00F46028" w:rsidRDefault="005D217A" w:rsidP="005D217A">
      <w:pPr>
        <w:ind w:left="851"/>
        <w:jc w:val="both"/>
        <w:rPr>
          <w:rFonts w:ascii="Bookman Old Style" w:hAnsi="Bookman Old Style"/>
          <w:i/>
          <w:color w:val="000000" w:themeColor="text1"/>
        </w:rPr>
      </w:pPr>
    </w:p>
    <w:p w14:paraId="1D5BE3C9" w14:textId="77777777" w:rsidR="005D217A" w:rsidRPr="00F46028"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693E6704" w14:textId="77777777" w:rsidR="005D217A" w:rsidRPr="00F46028" w:rsidRDefault="005D217A" w:rsidP="005D217A">
      <w:pPr>
        <w:ind w:left="851"/>
        <w:jc w:val="both"/>
        <w:rPr>
          <w:rFonts w:ascii="Bookman Old Style" w:hAnsi="Bookman Old Style"/>
          <w:i/>
          <w:color w:val="000000" w:themeColor="text1"/>
        </w:rPr>
      </w:pPr>
    </w:p>
    <w:p w14:paraId="1A02EBDB" w14:textId="77777777" w:rsidR="005D217A" w:rsidRPr="007039DA" w:rsidRDefault="005D217A" w:rsidP="005D217A">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798EA6FA" w14:textId="77777777" w:rsidR="005D217A" w:rsidRDefault="005D217A" w:rsidP="005D217A">
      <w:pPr>
        <w:pStyle w:val="Ttulo2"/>
        <w:ind w:left="360"/>
        <w:rPr>
          <w:rFonts w:ascii="Bookman Old Style" w:eastAsia="Calibri" w:hAnsi="Bookman Old Style" w:cs="Calibri"/>
          <w:sz w:val="22"/>
          <w:szCs w:val="22"/>
        </w:rPr>
      </w:pPr>
    </w:p>
    <w:p w14:paraId="251CB399" w14:textId="4A960D72" w:rsidR="00726850" w:rsidRPr="001E18FE" w:rsidRDefault="00726850"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254AAE72" w14:textId="30DB56CC"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w:t>
      </w:r>
      <w:r w:rsidR="00C94B82" w:rsidRPr="001E18FE">
        <w:rPr>
          <w:rFonts w:ascii="Bookman Old Style" w:eastAsia="Calibri" w:hAnsi="Bookman Old Style" w:cs="Calibri"/>
          <w:b w:val="0"/>
          <w:sz w:val="22"/>
          <w:szCs w:val="22"/>
        </w:rPr>
        <w:t>cumplimiento a</w:t>
      </w:r>
      <w:r w:rsidRPr="001E18FE">
        <w:rPr>
          <w:rFonts w:ascii="Bookman Old Style" w:eastAsia="Calibri" w:hAnsi="Bookman Old Style" w:cs="Calibri"/>
          <w:b w:val="0"/>
          <w:sz w:val="22"/>
          <w:szCs w:val="22"/>
        </w:rPr>
        <w:t xml:space="preserve"> lo establecido en el artículo 3 de la Ley 2003 del 19 de noviembre de 2019, por la cual se modifica parcialmente la Ley 5 de 1992, se hacen las siguientes consideraciones: </w:t>
      </w:r>
    </w:p>
    <w:p w14:paraId="3D131392" w14:textId="77777777" w:rsidR="00726850" w:rsidRDefault="00726850" w:rsidP="001E18FE">
      <w:pPr>
        <w:pStyle w:val="Ttulo2"/>
        <w:ind w:left="0"/>
        <w:rPr>
          <w:rFonts w:ascii="Bookman Old Style" w:eastAsia="Calibri" w:hAnsi="Bookman Old Style" w:cs="Calibri"/>
          <w:b w:val="0"/>
          <w:sz w:val="22"/>
          <w:szCs w:val="22"/>
        </w:rPr>
      </w:pPr>
    </w:p>
    <w:p w14:paraId="1FE29ECF"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t>que puedan beneficiarse con el proyecto en mención.</w:t>
      </w:r>
    </w:p>
    <w:p w14:paraId="53F32BB6" w14:textId="77777777" w:rsidR="00726850" w:rsidRDefault="00726850" w:rsidP="001E18FE">
      <w:pPr>
        <w:pStyle w:val="Ttulo2"/>
        <w:ind w:left="0"/>
        <w:jc w:val="both"/>
        <w:rPr>
          <w:rFonts w:ascii="Bookman Old Style" w:eastAsia="Calibri" w:hAnsi="Bookman Old Style" w:cs="Calibri"/>
          <w:b w:val="0"/>
          <w:sz w:val="22"/>
          <w:szCs w:val="22"/>
        </w:rPr>
      </w:pPr>
    </w:p>
    <w:p w14:paraId="32E0CE05"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54C54AE" w14:textId="77777777" w:rsidR="00726850" w:rsidRDefault="00726850" w:rsidP="001E18FE">
      <w:pPr>
        <w:pStyle w:val="Ttulo2"/>
        <w:ind w:left="0"/>
        <w:rPr>
          <w:rFonts w:ascii="Bookman Old Style" w:eastAsia="Calibri" w:hAnsi="Bookman Old Style" w:cs="Calibri"/>
          <w:b w:val="0"/>
          <w:sz w:val="22"/>
          <w:szCs w:val="22"/>
        </w:rPr>
      </w:pPr>
    </w:p>
    <w:p w14:paraId="0C598044" w14:textId="77777777"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09A574A" w14:textId="77777777" w:rsidR="00726850" w:rsidRPr="001E18FE" w:rsidRDefault="00726850" w:rsidP="001E18FE">
      <w:pPr>
        <w:rPr>
          <w:rFonts w:eastAsia="Calibri"/>
        </w:rPr>
      </w:pPr>
    </w:p>
    <w:p w14:paraId="1C13A0A1"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380605CC" w14:textId="77777777" w:rsidR="00726850" w:rsidRDefault="00726850" w:rsidP="001E18FE">
      <w:pPr>
        <w:pStyle w:val="Ttulo2"/>
        <w:ind w:left="0"/>
        <w:rPr>
          <w:rFonts w:ascii="Bookman Old Style" w:eastAsia="Calibri" w:hAnsi="Bookman Old Style" w:cs="Calibri"/>
          <w:b w:val="0"/>
          <w:sz w:val="22"/>
          <w:szCs w:val="22"/>
        </w:rPr>
      </w:pPr>
    </w:p>
    <w:p w14:paraId="5A193D9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155DE6CA" w14:textId="77777777" w:rsidR="00726850" w:rsidRPr="001E18FE" w:rsidRDefault="00726850" w:rsidP="00A21D0F">
      <w:pPr>
        <w:ind w:left="851" w:right="900"/>
        <w:rPr>
          <w:rFonts w:eastAsia="Calibri"/>
          <w:i/>
        </w:rPr>
      </w:pPr>
    </w:p>
    <w:p w14:paraId="4E6B87A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E41162D"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71FC6867"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7B3E3020"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1BC92D72"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0FE11E99" w14:textId="77777777" w:rsidR="00726850" w:rsidRDefault="00726850" w:rsidP="00A21D0F">
      <w:pPr>
        <w:pStyle w:val="Ttulo2"/>
        <w:ind w:left="851" w:right="900"/>
        <w:jc w:val="both"/>
        <w:rPr>
          <w:rFonts w:ascii="Bookman Old Style" w:eastAsia="Calibri" w:hAnsi="Bookman Old Style" w:cs="Calibri"/>
          <w:b w:val="0"/>
          <w:sz w:val="22"/>
          <w:szCs w:val="22"/>
        </w:rPr>
      </w:pPr>
    </w:p>
    <w:p w14:paraId="4A5F7F31"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1104533" w14:textId="77777777" w:rsidR="00726850" w:rsidRPr="001E18FE" w:rsidRDefault="00726850" w:rsidP="001E18FE">
      <w:pPr>
        <w:rPr>
          <w:rFonts w:eastAsia="Calibri"/>
        </w:rPr>
      </w:pPr>
    </w:p>
    <w:p w14:paraId="483B90B7" w14:textId="777777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Cesar Augusto Giraldo Giraldo,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Dejusticia. 2017. Sobredosis Carcelaria y Política de Drogas en América Latina. Documentos Dejusticia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7"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C-221 de 1994. M.P.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T-516 de 1998 M.P.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Corte Constitucional, sentencia C-420 de 2002, M.P.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Corte Constitucional, Sentencia C-336 de 2008. M.P.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M.P.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C-144 de 2015. M.P.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C-104 de 2016, M.P.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sentencia C-220 de 2017. M.P. José Antonio Cepeda Amarís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T-171 de 2018. M.P.</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Corte Constitucional, Sentencia T-452 de 2018 M.P.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British Broadcasting Corporation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8"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Recuperado de: </w:t>
      </w:r>
      <w:hyperlink r:id="rId19"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20"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International Drug Policy Consortium,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David Nutt. The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33B23D6"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Ministerio de Salud, Dirección de Promoción y prevención</w:t>
      </w:r>
      <w:r w:rsidR="002548C6" w:rsidRPr="00B61122">
        <w:rPr>
          <w:rFonts w:ascii="Bookman Old Style" w:eastAsia="Calibri" w:hAnsi="Bookman Old Style"/>
          <w:i/>
          <w:sz w:val="16"/>
          <w:szCs w:val="16"/>
        </w:rPr>
        <w:t>,” El</w:t>
      </w:r>
      <w:r w:rsidRPr="00B61122">
        <w:rPr>
          <w:rFonts w:ascii="Bookman Old Style" w:eastAsia="Calibri" w:hAnsi="Bookman Old Style"/>
          <w:i/>
          <w:sz w:val="16"/>
          <w:szCs w:val="16"/>
        </w:rPr>
        <w:t xml:space="preserve"> consumo de SPA en colombia”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P. Westen. Speaking of equality. An Analisis of the Rhetorical forcé of Equality” in moral and legal discoruse, Princenton University Press, 1990, cap.v.</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Rodrigo Uprimny, “Una oportunidad perdida”, Dejusticia.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UNODC,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455EC4CA" w14:textId="77777777" w:rsidR="00B61122" w:rsidRPr="00B61122" w:rsidRDefault="00B61122" w:rsidP="00B61122">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1" w:history="1">
        <w:r w:rsidRPr="00B61122">
          <w:rPr>
            <w:rStyle w:val="Hipervnculo"/>
            <w:rFonts w:ascii="Bookman Old Style" w:hAnsi="Bookman Old Style" w:cs="Times New Roman"/>
            <w:i/>
            <w:color w:val="auto"/>
            <w:sz w:val="16"/>
            <w:szCs w:val="16"/>
            <w:u w:val="none"/>
          </w:rPr>
          <w:t>http://www.prisonstudies.org/country/colombia</w:t>
        </w:r>
      </w:hyperlink>
    </w:p>
    <w:p w14:paraId="5FB059D0" w14:textId="77777777" w:rsidR="00FB38D7" w:rsidRPr="00E819E1" w:rsidRDefault="00FB38D7" w:rsidP="00A21D0F">
      <w:pPr>
        <w:jc w:val="both"/>
        <w:rPr>
          <w:rFonts w:ascii="Bookman Old Style" w:eastAsia="Calibri" w:hAnsi="Bookman Old Style" w:cs="Calibri"/>
          <w:i/>
          <w:sz w:val="18"/>
        </w:rPr>
        <w:sectPr w:rsidR="00FB38D7" w:rsidRPr="00E819E1" w:rsidSect="00267BD5">
          <w:headerReference w:type="default" r:id="rId22"/>
          <w:footerReference w:type="default" r:id="rId23"/>
          <w:pgSz w:w="12240" w:h="15840" w:code="1"/>
          <w:pgMar w:top="1417" w:right="1701" w:bottom="1417" w:left="1701" w:header="680" w:footer="680" w:gutter="0"/>
          <w:pgNumType w:start="1"/>
          <w:cols w:space="720"/>
          <w:docGrid w:linePitch="299"/>
        </w:sectPr>
      </w:pPr>
    </w:p>
    <w:p w14:paraId="0B727800" w14:textId="77777777" w:rsidR="004151CA" w:rsidRPr="00E819E1" w:rsidRDefault="004151CA" w:rsidP="00E44C45">
      <w:pPr>
        <w:pBdr>
          <w:top w:val="nil"/>
          <w:left w:val="nil"/>
          <w:bottom w:val="nil"/>
          <w:right w:val="nil"/>
          <w:between w:val="nil"/>
        </w:pBdr>
        <w:rPr>
          <w:rFonts w:ascii="Bookman Old Style" w:eastAsia="Calibri" w:hAnsi="Bookman Old Style" w:cs="Calibri"/>
          <w:i/>
          <w:sz w:val="18"/>
        </w:rPr>
        <w:sectPr w:rsidR="004151CA" w:rsidRPr="00E819E1">
          <w:type w:val="continuous"/>
          <w:pgSz w:w="12240" w:h="15840"/>
          <w:pgMar w:top="1940" w:right="1580" w:bottom="2080" w:left="2905" w:header="708" w:footer="1893" w:gutter="0"/>
          <w:cols w:space="720"/>
        </w:sectPr>
      </w:pPr>
    </w:p>
    <w:p w14:paraId="53AE37B4" w14:textId="0280AFB2" w:rsidR="00366E17" w:rsidRDefault="00366E17" w:rsidP="00A21D0F">
      <w:pPr>
        <w:rPr>
          <w:rFonts w:ascii="Bookman Old Style" w:eastAsia="Calibri" w:hAnsi="Bookman Old Style" w:cs="Calibri"/>
          <w:color w:val="000000"/>
          <w:szCs w:val="24"/>
          <w:highlight w:val="white"/>
        </w:rPr>
      </w:pPr>
    </w:p>
    <w:p w14:paraId="2B5DD0A2" w14:textId="4919A0A8" w:rsidR="00EE71AD" w:rsidRDefault="00EE71AD" w:rsidP="00A21D0F">
      <w:pPr>
        <w:rPr>
          <w:rFonts w:ascii="Bookman Old Style" w:eastAsia="Calibri" w:hAnsi="Bookman Old Style" w:cs="Calibri"/>
          <w:color w:val="000000"/>
          <w:szCs w:val="24"/>
          <w:highlight w:val="white"/>
        </w:rPr>
      </w:pPr>
    </w:p>
    <w:p w14:paraId="773523A5" w14:textId="77777777" w:rsidR="00EE71AD" w:rsidRDefault="00EE71AD" w:rsidP="00A21D0F">
      <w:pPr>
        <w:rPr>
          <w:rFonts w:ascii="Bookman Old Style" w:eastAsia="Calibri" w:hAnsi="Bookman Old Style" w:cs="Calibri"/>
          <w:color w:val="000000"/>
          <w:szCs w:val="24"/>
          <w:highlight w:val="white"/>
        </w:rPr>
      </w:pPr>
    </w:p>
    <w:p w14:paraId="32ECAF87" w14:textId="45A0DAE7" w:rsidR="00011ACE" w:rsidRDefault="005A0028" w:rsidP="004D2009">
      <w:pPr>
        <w:ind w:hanging="567"/>
        <w:rPr>
          <w:rFonts w:ascii="Bookman Old Style" w:eastAsia="Calibri" w:hAnsi="Bookman Old Style" w:cs="Calibri"/>
          <w:color w:val="000000"/>
          <w:szCs w:val="24"/>
        </w:rPr>
      </w:pPr>
      <w:r w:rsidRPr="00F06C98">
        <w:rPr>
          <w:rFonts w:ascii="Bookman Old Style" w:eastAsia="Calibri" w:hAnsi="Bookman Old Style" w:cs="Calibri"/>
          <w:color w:val="000000"/>
          <w:szCs w:val="24"/>
          <w:highlight w:val="white"/>
        </w:rPr>
        <w:t xml:space="preserve">De los honorables congresistas, </w:t>
      </w:r>
    </w:p>
    <w:p w14:paraId="1FC80547" w14:textId="63B75B23" w:rsidR="004D2009" w:rsidRDefault="004D2009" w:rsidP="004D2009">
      <w:pPr>
        <w:ind w:hanging="567"/>
        <w:rPr>
          <w:rFonts w:ascii="Bookman Old Style" w:eastAsia="Calibri" w:hAnsi="Bookman Old Style" w:cs="Calibri"/>
          <w:color w:val="000000"/>
          <w:szCs w:val="24"/>
        </w:rPr>
      </w:pPr>
    </w:p>
    <w:p w14:paraId="35D74837" w14:textId="07C6D54E" w:rsidR="004D2009" w:rsidRDefault="004D2009" w:rsidP="004D2009">
      <w:pPr>
        <w:rPr>
          <w:rFonts w:ascii="Bookman Old Style" w:hAnsi="Bookman Old Style" w:cstheme="minorHAnsi"/>
          <w:b/>
        </w:rPr>
      </w:pPr>
    </w:p>
    <w:p w14:paraId="71F1D179" w14:textId="77777777" w:rsidR="004D2009" w:rsidRDefault="004D2009" w:rsidP="004D2009">
      <w:pPr>
        <w:rPr>
          <w:rFonts w:ascii="Bookman Old Style" w:hAnsi="Bookman Old Style" w:cstheme="minorHAnsi"/>
          <w:b/>
        </w:rPr>
      </w:pPr>
    </w:p>
    <w:p w14:paraId="1EFA3927" w14:textId="77777777" w:rsidR="004D2009" w:rsidRDefault="004D2009" w:rsidP="004D2009">
      <w:pPr>
        <w:rPr>
          <w:rFonts w:ascii="Bookman Old Style" w:hAnsi="Bookman Old Style" w:cstheme="minorHAnsi"/>
          <w:b/>
        </w:rPr>
      </w:pPr>
    </w:p>
    <w:p w14:paraId="006F587A" w14:textId="77777777" w:rsidR="004D2009" w:rsidRPr="00011ACE" w:rsidRDefault="004D2009" w:rsidP="004D2009">
      <w:pPr>
        <w:tabs>
          <w:tab w:val="right" w:pos="8838"/>
        </w:tabs>
        <w:jc w:val="center"/>
        <w:rPr>
          <w:rFonts w:ascii="Bookman Old Style" w:hAnsi="Bookman Old Style" w:cs="Arial"/>
          <w:b/>
          <w:bCs/>
          <w:sz w:val="20"/>
          <w:szCs w:val="20"/>
          <w:lang w:val="es-ES_tradnl"/>
        </w:rPr>
      </w:pPr>
      <w:r w:rsidRPr="00011ACE">
        <w:rPr>
          <w:rFonts w:ascii="Bookman Old Style" w:hAnsi="Bookman Old Style" w:cs="Arial"/>
          <w:b/>
          <w:bCs/>
          <w:sz w:val="20"/>
          <w:szCs w:val="20"/>
          <w:lang w:val="es-ES_tradnl"/>
        </w:rPr>
        <w:t>JUAN CARLOS LOZADA VARGAS</w:t>
      </w:r>
    </w:p>
    <w:p w14:paraId="4AA1E27D" w14:textId="77777777" w:rsidR="004D2009" w:rsidRPr="00011ACE" w:rsidRDefault="004D2009" w:rsidP="004D2009">
      <w:pPr>
        <w:tabs>
          <w:tab w:val="right" w:pos="8838"/>
        </w:tabs>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Representante a la Cámara por Bogotá</w:t>
      </w:r>
    </w:p>
    <w:p w14:paraId="3F7AA8A8" w14:textId="77777777" w:rsidR="004D2009" w:rsidRDefault="004D2009" w:rsidP="004D2009">
      <w:pPr>
        <w:jc w:val="center"/>
        <w:rPr>
          <w:rFonts w:ascii="Bookman Old Style" w:hAnsi="Bookman Old Style" w:cs="Arial"/>
          <w:sz w:val="20"/>
          <w:szCs w:val="20"/>
          <w:lang w:val="es-ES_tradnl"/>
        </w:rPr>
      </w:pPr>
      <w:r w:rsidRPr="00011ACE">
        <w:rPr>
          <w:rFonts w:ascii="Bookman Old Style" w:hAnsi="Bookman Old Style" w:cs="Arial"/>
          <w:sz w:val="20"/>
          <w:szCs w:val="20"/>
          <w:lang w:val="es-ES_tradnl"/>
        </w:rPr>
        <w:t>Partido Liberal Colombiano</w:t>
      </w:r>
    </w:p>
    <w:p w14:paraId="5FA512C4" w14:textId="77777777" w:rsidR="004D2009" w:rsidRPr="00485CC5" w:rsidRDefault="004D2009" w:rsidP="004D2009">
      <w:pPr>
        <w:jc w:val="center"/>
        <w:rPr>
          <w:rFonts w:ascii="Bookman Old Style" w:hAnsi="Bookman Old Style" w:cstheme="minorHAnsi"/>
          <w:b/>
        </w:rPr>
      </w:pPr>
    </w:p>
    <w:p w14:paraId="5ACDCBF5"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24165F48"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D18B40F"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07C056B4" w14:textId="77777777" w:rsidR="004D2009" w:rsidRDefault="004D2009" w:rsidP="004D2009">
      <w:pPr>
        <w:pBdr>
          <w:top w:val="nil"/>
          <w:left w:val="nil"/>
          <w:bottom w:val="nil"/>
          <w:right w:val="nil"/>
          <w:between w:val="nil"/>
        </w:pBdr>
        <w:ind w:right="115"/>
        <w:rPr>
          <w:rFonts w:ascii="Bookman Old Style" w:hAnsi="Bookman Old Style" w:cstheme="minorHAnsi"/>
          <w:b/>
          <w:sz w:val="24"/>
          <w:szCs w:val="24"/>
        </w:rPr>
      </w:pPr>
    </w:p>
    <w:p w14:paraId="78CAF428" w14:textId="77777777" w:rsidR="004D2009" w:rsidRPr="004D2009" w:rsidRDefault="004D2009" w:rsidP="004D2009">
      <w:pPr>
        <w:widowControl/>
        <w:spacing w:after="240"/>
        <w:rPr>
          <w:color w:val="000000"/>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638"/>
        <w:gridCol w:w="4100"/>
      </w:tblGrid>
      <w:tr w:rsidR="000270E3" w:rsidRPr="000270E3" w14:paraId="778419D8" w14:textId="77777777" w:rsidTr="00F067D5">
        <w:trPr>
          <w:trHeight w:val="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A4B2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VEGA PÉREZ</w:t>
            </w:r>
          </w:p>
          <w:p w14:paraId="1C92A53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0D8D45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80C7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DAVID LÓPEZ TENORIO</w:t>
            </w:r>
          </w:p>
          <w:p w14:paraId="21E3F84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Valle del Cauca</w:t>
            </w:r>
          </w:p>
          <w:p w14:paraId="41B929C4"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de la U</w:t>
            </w:r>
          </w:p>
        </w:tc>
      </w:tr>
      <w:tr w:rsidR="000270E3" w:rsidRPr="000270E3" w14:paraId="30946D4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064E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JAIME RODRIGUEZ CONTRERAS</w:t>
            </w:r>
          </w:p>
          <w:p w14:paraId="388C18C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719F9E3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Cambio Radical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84F9C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JORGE ELIÉCER TAMAYO MARULANDA</w:t>
            </w:r>
          </w:p>
          <w:p w14:paraId="6F6FD6E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tc>
      </w:tr>
      <w:tr w:rsidR="000270E3" w:rsidRPr="000270E3" w14:paraId="0D1A848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1255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ANDRÉS DAVID CALLE AGUAS</w:t>
            </w:r>
          </w:p>
          <w:p w14:paraId="7D717D2C"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Córdoba</w:t>
            </w:r>
          </w:p>
          <w:p w14:paraId="05DBFEA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 Colombiano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4A494" w14:textId="77777777" w:rsidR="000270E3" w:rsidRPr="000270E3" w:rsidRDefault="000270E3" w:rsidP="00F067D5">
            <w:pPr>
              <w:widowControl/>
              <w:spacing w:after="240"/>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JULIÁN PEINADO RAMÍREZ</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Representante a la Cámara</w:t>
            </w:r>
            <w:r w:rsidRPr="000270E3">
              <w:rPr>
                <w:rFonts w:ascii="Bookman Old Style" w:hAnsi="Bookman Old Style"/>
                <w:b/>
                <w:bCs/>
                <w:color w:val="000000"/>
                <w:sz w:val="20"/>
                <w:szCs w:val="20"/>
                <w:lang w:eastAsia="es-MX"/>
              </w:rPr>
              <w:br/>
            </w:r>
            <w:r w:rsidRPr="000270E3">
              <w:rPr>
                <w:rFonts w:ascii="Bookman Old Style" w:hAnsi="Bookman Old Style"/>
                <w:color w:val="000000"/>
                <w:sz w:val="20"/>
                <w:szCs w:val="20"/>
                <w:lang w:eastAsia="es-MX"/>
              </w:rPr>
              <w:t>Departamento de Antioquia</w:t>
            </w:r>
          </w:p>
          <w:p w14:paraId="09EABB27"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0C8A51CB"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B4C8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ALEJANDRO CARLOS CHACÓN C.</w:t>
            </w:r>
          </w:p>
          <w:p w14:paraId="429442F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4CDAE396" w14:textId="77777777" w:rsidR="000270E3" w:rsidRPr="000270E3" w:rsidRDefault="000270E3" w:rsidP="00F067D5">
            <w:pPr>
              <w:widowControl/>
              <w:spacing w:after="200"/>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Liberal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59DF1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DEL MAR PIZARRO GARCÍA</w:t>
            </w:r>
          </w:p>
          <w:p w14:paraId="06D12B6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217B26C0" w14:textId="77777777" w:rsidR="000270E3" w:rsidRPr="000270E3" w:rsidRDefault="000270E3" w:rsidP="00F067D5">
            <w:pPr>
              <w:widowControl/>
              <w:rPr>
                <w:rFonts w:ascii="Bookman Old Style" w:hAnsi="Bookman Old Style"/>
                <w:sz w:val="20"/>
                <w:szCs w:val="20"/>
                <w:lang w:eastAsia="es-MX"/>
              </w:rPr>
            </w:pPr>
          </w:p>
        </w:tc>
      </w:tr>
      <w:tr w:rsidR="000270E3" w:rsidRPr="000270E3" w14:paraId="4BE5295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709B82"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JOSÉ PIZARRO RODRÍGUEZ</w:t>
            </w:r>
          </w:p>
          <w:p w14:paraId="480A9DF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Senadora de la República</w:t>
            </w:r>
          </w:p>
          <w:p w14:paraId="5A5C1C52"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76A1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JENNIFER PEDRAZA SANDOVAL</w:t>
            </w:r>
          </w:p>
          <w:p w14:paraId="096D578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42C2F2B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Dignidad</w:t>
            </w:r>
          </w:p>
        </w:tc>
      </w:tr>
      <w:tr w:rsidR="000270E3" w:rsidRPr="000270E3" w14:paraId="3ECE820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6F116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INTI RAÚL ASPRILLA</w:t>
            </w:r>
          </w:p>
          <w:p w14:paraId="0CFB2B0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1AAE957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A9D678"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MARÍA FERNANDA CARRASCAL R.</w:t>
            </w:r>
          </w:p>
          <w:p w14:paraId="2C958F5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00A7C21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597ECC7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5F999F" w14:textId="77777777" w:rsidR="000270E3" w:rsidRPr="000270E3" w:rsidRDefault="000270E3" w:rsidP="00F067D5">
            <w:pPr>
              <w:widowControl/>
              <w:rPr>
                <w:rFonts w:ascii="Bookman Old Style" w:hAnsi="Bookman Old Style"/>
                <w:sz w:val="20"/>
                <w:szCs w:val="20"/>
                <w:lang w:eastAsia="es-MX"/>
              </w:rPr>
            </w:pPr>
          </w:p>
          <w:p w14:paraId="55951B7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ALEXANDER LÓPEZ MAYA</w:t>
            </w:r>
          </w:p>
          <w:p w14:paraId="544C632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11839EDD"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Polo Democrático Alternativo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24EC5" w14:textId="77777777" w:rsidR="000270E3" w:rsidRPr="000270E3" w:rsidRDefault="000270E3" w:rsidP="00F067D5">
            <w:pPr>
              <w:widowControl/>
              <w:rPr>
                <w:rFonts w:ascii="Bookman Old Style" w:hAnsi="Bookman Old Style"/>
                <w:sz w:val="20"/>
                <w:szCs w:val="20"/>
                <w:lang w:eastAsia="es-MX"/>
              </w:rPr>
            </w:pPr>
          </w:p>
          <w:p w14:paraId="19447DD0"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GABRIEL BECERRA </w:t>
            </w:r>
          </w:p>
          <w:p w14:paraId="739B486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2735E42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Unión Patriótica-Coalición Pacto Histórico</w:t>
            </w:r>
          </w:p>
        </w:tc>
      </w:tr>
      <w:tr w:rsidR="000270E3" w:rsidRPr="000270E3" w14:paraId="10867FCA"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5D2D4" w14:textId="77777777" w:rsidR="000270E3" w:rsidRPr="000270E3" w:rsidRDefault="000270E3" w:rsidP="00F067D5">
            <w:pPr>
              <w:widowControl/>
              <w:rPr>
                <w:rFonts w:ascii="Bookman Old Style" w:hAnsi="Bookman Old Style"/>
                <w:sz w:val="20"/>
                <w:szCs w:val="20"/>
                <w:lang w:eastAsia="es-MX"/>
              </w:rPr>
            </w:pPr>
          </w:p>
          <w:p w14:paraId="73260FAA"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OMAR DE JESUS RESTREPO CORREA</w:t>
            </w:r>
          </w:p>
          <w:p w14:paraId="1633E85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60643321"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A72A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LUIS ALBERTO ALBÁN URBANO</w:t>
            </w:r>
          </w:p>
          <w:p w14:paraId="4EDE09B9"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w:t>
            </w:r>
          </w:p>
          <w:p w14:paraId="3727E4EF"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Partido Comunes</w:t>
            </w:r>
          </w:p>
        </w:tc>
      </w:tr>
      <w:tr w:rsidR="000270E3" w:rsidRPr="000270E3" w14:paraId="7FAE18D0"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12F7E" w14:textId="77777777" w:rsidR="000270E3" w:rsidRPr="000270E3" w:rsidRDefault="000270E3" w:rsidP="00F067D5">
            <w:pPr>
              <w:widowControl/>
              <w:rPr>
                <w:rFonts w:ascii="Bookman Old Style" w:hAnsi="Bookman Old Style"/>
                <w:sz w:val="20"/>
                <w:szCs w:val="20"/>
                <w:lang w:eastAsia="es-MX"/>
              </w:rPr>
            </w:pPr>
          </w:p>
          <w:p w14:paraId="63E7B6B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WILSON ARIAS CASTILLO</w:t>
            </w:r>
          </w:p>
          <w:p w14:paraId="4B5937F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Senador de la República</w:t>
            </w:r>
          </w:p>
          <w:p w14:paraId="38C4BC06"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6DFBFB" w14:textId="77777777" w:rsidR="000270E3" w:rsidRPr="000270E3" w:rsidRDefault="000270E3" w:rsidP="00F067D5">
            <w:pPr>
              <w:widowControl/>
              <w:jc w:val="center"/>
              <w:rPr>
                <w:rFonts w:ascii="Bookman Old Style" w:hAnsi="Bookman Old Style"/>
                <w:sz w:val="20"/>
                <w:szCs w:val="20"/>
                <w:lang w:eastAsia="es-MX"/>
              </w:rPr>
            </w:pPr>
          </w:p>
          <w:p w14:paraId="0C68C92B"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DAVID RICARDO RACERO MAYORCA</w:t>
            </w:r>
          </w:p>
          <w:p w14:paraId="2AFA2933"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Bogotá</w:t>
            </w:r>
          </w:p>
          <w:p w14:paraId="5A0B544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Coalición Pacto Histórico</w:t>
            </w:r>
          </w:p>
        </w:tc>
      </w:tr>
      <w:tr w:rsidR="000270E3" w:rsidRPr="000270E3" w14:paraId="0F157426"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AD3A7"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3596A3AE"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b/>
                <w:bCs/>
                <w:color w:val="000000"/>
                <w:sz w:val="20"/>
                <w:szCs w:val="20"/>
                <w:lang w:eastAsia="es-MX"/>
              </w:rPr>
              <w:t>ALFREDO MONDRAGON GARZÓN</w:t>
            </w:r>
          </w:p>
          <w:p w14:paraId="6F122745" w14:textId="77777777" w:rsidR="000270E3" w:rsidRPr="000270E3" w:rsidRDefault="000270E3" w:rsidP="00F067D5">
            <w:pPr>
              <w:widowControl/>
              <w:jc w:val="center"/>
              <w:rPr>
                <w:rFonts w:ascii="Bookman Old Style" w:hAnsi="Bookman Old Style"/>
                <w:sz w:val="20"/>
                <w:szCs w:val="20"/>
                <w:lang w:eastAsia="es-MX"/>
              </w:rPr>
            </w:pPr>
            <w:r w:rsidRPr="000270E3">
              <w:rPr>
                <w:rFonts w:ascii="Bookman Old Style" w:hAnsi="Bookman Old Style"/>
                <w:color w:val="000000"/>
                <w:sz w:val="20"/>
                <w:szCs w:val="20"/>
                <w:lang w:eastAsia="es-MX"/>
              </w:rPr>
              <w:t>Representante a la Cámara por el Valle del Cauca</w:t>
            </w:r>
          </w:p>
          <w:p w14:paraId="267972D6" w14:textId="77777777" w:rsidR="000270E3" w:rsidRPr="000270E3" w:rsidRDefault="000270E3" w:rsidP="00F067D5">
            <w:pPr>
              <w:widowControl/>
              <w:jc w:val="center"/>
              <w:rPr>
                <w:rFonts w:ascii="Bookman Old Style" w:hAnsi="Bookman Old Style"/>
                <w:sz w:val="20"/>
                <w:szCs w:val="20"/>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373D7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0E3D7072"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ROY BARRERAS</w:t>
            </w:r>
          </w:p>
          <w:p w14:paraId="660F8F1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 </w:t>
            </w:r>
          </w:p>
          <w:p w14:paraId="7DF06E3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0BC13B87" w14:textId="77777777" w:rsidR="000270E3" w:rsidRPr="000270E3" w:rsidRDefault="000270E3" w:rsidP="00F067D5">
            <w:pPr>
              <w:widowControl/>
              <w:jc w:val="center"/>
              <w:rPr>
                <w:rFonts w:ascii="Bookman Old Style" w:hAnsi="Bookman Old Style"/>
                <w:sz w:val="20"/>
                <w:szCs w:val="20"/>
                <w:lang w:eastAsia="es-MX"/>
              </w:rPr>
            </w:pPr>
          </w:p>
        </w:tc>
      </w:tr>
      <w:tr w:rsidR="000270E3" w:rsidRPr="000270E3" w14:paraId="2CB6E53E"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5A1EF" w14:textId="77777777" w:rsidR="000270E3" w:rsidRPr="000270E3" w:rsidRDefault="000270E3" w:rsidP="00F067D5">
            <w:pPr>
              <w:pStyle w:val="NormalWeb"/>
              <w:spacing w:before="0" w:beforeAutospacing="0" w:after="0" w:afterAutospacing="0"/>
              <w:rPr>
                <w:rFonts w:ascii="Bookman Old Style" w:hAnsi="Bookman Old Style"/>
                <w:b/>
                <w:bCs/>
                <w:color w:val="000000"/>
                <w:sz w:val="20"/>
                <w:szCs w:val="20"/>
              </w:rPr>
            </w:pPr>
          </w:p>
          <w:p w14:paraId="69F2164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IVÁN CEPEDA CASTRO</w:t>
            </w:r>
          </w:p>
          <w:p w14:paraId="074D9470"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 de la República</w:t>
            </w:r>
          </w:p>
          <w:p w14:paraId="46443CB7"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Coalición Pacto Histórico</w:t>
            </w:r>
          </w:p>
          <w:p w14:paraId="62C86C4A" w14:textId="77777777" w:rsid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1F81999E" w14:textId="77777777" w:rsidR="000270E3" w:rsidRDefault="000270E3" w:rsidP="00F067D5">
            <w:pPr>
              <w:widowControl/>
              <w:jc w:val="center"/>
              <w:rPr>
                <w:rFonts w:ascii="Bookman Old Style" w:hAnsi="Bookman Old Style"/>
                <w:b/>
                <w:bCs/>
                <w:color w:val="000000"/>
                <w:sz w:val="20"/>
                <w:szCs w:val="20"/>
                <w:bdr w:val="none" w:sz="0" w:space="0" w:color="auto" w:frame="1"/>
                <w:lang w:eastAsia="es-MX"/>
              </w:rPr>
            </w:pPr>
          </w:p>
          <w:p w14:paraId="42DA22E1" w14:textId="3DEF46F2"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8E8E1"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"https://lh6.googleusercontent.com/e9yUpdqUkI1KasaQmS8k19ytv-5YrdyFiUMEFR62dsSXP7jcbgDCcdaYr50t03LSxcjrEB4S8C3iWExhX8MzpVUw15muT1JHKPczDiTgAxoIvQhgYqjBLNx8DIdBihC8L-f2l7G8HkYq"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4A8AE318"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CARLOS ALBERTO CARREÑO MARÍN</w:t>
            </w:r>
          </w:p>
          <w:p w14:paraId="4D36E40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4DD62E31"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Partido Comunes</w:t>
            </w:r>
          </w:p>
        </w:tc>
      </w:tr>
      <w:tr w:rsidR="000270E3" w:rsidRPr="000270E3" w14:paraId="4F9E00B2"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55463"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b/>
                <w:bCs/>
                <w:color w:val="000000"/>
                <w:sz w:val="20"/>
                <w:szCs w:val="20"/>
                <w:bdr w:val="none" w:sz="0" w:space="0" w:color="auto" w:frame="1"/>
              </w:rPr>
              <w:fldChar w:fldCharType="begin"/>
            </w:r>
            <w:r w:rsidRPr="000270E3">
              <w:rPr>
                <w:rFonts w:ascii="Bookman Old Style" w:hAnsi="Bookman Old Style"/>
                <w:b/>
                <w:bCs/>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Pr="000270E3">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begin"/>
            </w:r>
            <w:r w:rsidRPr="000270E3">
              <w:rPr>
                <w:rFonts w:ascii="Bookman Old Style" w:hAnsi="Bookman Old Style"/>
                <w:b/>
                <w:bCs/>
                <w:noProof/>
                <w:color w:val="000000"/>
                <w:sz w:val="20"/>
                <w:szCs w:val="20"/>
                <w:bdr w:val="none" w:sz="0" w:space="0" w:color="auto" w:frame="1"/>
              </w:rPr>
              <w:instrText xml:space="preserve"> INCLUDEPICTURE  "https://lh3.googleusercontent.com/MumQCk2EaJe4w6YEd6gAGi3OKIHUEfhrzkY-8Q0k_hJkUC11xCbTVNvmJWLj2tmVH4gfyoEc2Rxh9CUq1kLDn27xVjKfRsJoWaq8kwS6m468nb7N7fpemyU-qMxTlaYCqAhk3VE8XU5x" \* MERGEFORMATINET </w:instrText>
            </w:r>
            <w:r w:rsidR="00000000">
              <w:rPr>
                <w:rFonts w:ascii="Bookman Old Style" w:hAnsi="Bookman Old Style"/>
                <w:b/>
                <w:bCs/>
                <w:noProof/>
                <w:color w:val="000000"/>
                <w:sz w:val="20"/>
                <w:szCs w:val="20"/>
                <w:bdr w:val="none" w:sz="0" w:space="0" w:color="auto" w:frame="1"/>
              </w:rPr>
              <w:fldChar w:fldCharType="separate"/>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noProof/>
                <w:color w:val="000000"/>
                <w:sz w:val="20"/>
                <w:szCs w:val="20"/>
                <w:bdr w:val="none" w:sz="0" w:space="0" w:color="auto" w:frame="1"/>
              </w:rPr>
              <w:fldChar w:fldCharType="end"/>
            </w:r>
            <w:r w:rsidRPr="000270E3">
              <w:rPr>
                <w:rFonts w:ascii="Bookman Old Style" w:hAnsi="Bookman Old Style"/>
                <w:b/>
                <w:bCs/>
                <w:color w:val="000000"/>
                <w:sz w:val="20"/>
                <w:szCs w:val="20"/>
                <w:bdr w:val="none" w:sz="0" w:space="0" w:color="auto" w:frame="1"/>
              </w:rPr>
              <w:fldChar w:fldCharType="end"/>
            </w:r>
          </w:p>
          <w:p w14:paraId="3903442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SANTIAGO OSORIO MARIN</w:t>
            </w:r>
          </w:p>
          <w:p w14:paraId="4D59DB6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0B425BA8"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Alianza Verde - Pacto Histórico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2E4B9" w14:textId="77777777" w:rsidR="000270E3" w:rsidRPr="000270E3" w:rsidRDefault="000270E3" w:rsidP="00F067D5">
            <w:pPr>
              <w:pStyle w:val="NormalWeb"/>
              <w:spacing w:before="0" w:beforeAutospacing="0" w:after="0" w:afterAutospacing="0"/>
              <w:rPr>
                <w:rFonts w:ascii="Bookman Old Style" w:hAnsi="Bookman Old Style"/>
                <w:sz w:val="20"/>
                <w:szCs w:val="20"/>
              </w:rPr>
            </w:pPr>
            <w:r w:rsidRPr="000270E3">
              <w:rPr>
                <w:rFonts w:ascii="Bookman Old Style" w:hAnsi="Bookman Old Style"/>
                <w:color w:val="000000"/>
                <w:sz w:val="20"/>
                <w:szCs w:val="20"/>
                <w:bdr w:val="none" w:sz="0" w:space="0" w:color="auto" w:frame="1"/>
              </w:rPr>
              <w:fldChar w:fldCharType="begin"/>
            </w:r>
            <w:r w:rsidRPr="000270E3">
              <w:rPr>
                <w:rFonts w:ascii="Bookman Old Style" w:hAnsi="Bookman Old Style"/>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Pr="000270E3">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begin"/>
            </w:r>
            <w:r w:rsidRPr="000270E3">
              <w:rPr>
                <w:rFonts w:ascii="Bookman Old Style" w:hAnsi="Bookman Old Style"/>
                <w:noProof/>
                <w:color w:val="000000"/>
                <w:sz w:val="20"/>
                <w:szCs w:val="20"/>
                <w:bdr w:val="none" w:sz="0" w:space="0" w:color="auto" w:frame="1"/>
              </w:rPr>
              <w:instrText xml:space="preserve"> INCLUDEPICTURE  "https://lh5.googleusercontent.com/kWNYDAE3CFoyef9SbhSOeR70VWK-sRsyyP_kgBDTMqBciR_TBSj91yzOKbbvzkQ92yBaajHBGDirnQGCmPDwJVoLXPcOqKGwSi1UHRqQL5jbOObD-1xq-wSeIE1kXKIUfJQSCcLVwGLB" \* MERGEFORMATINET </w:instrText>
            </w:r>
            <w:r w:rsidR="00000000">
              <w:rPr>
                <w:rFonts w:ascii="Bookman Old Style" w:hAnsi="Bookman Old Style"/>
                <w:noProof/>
                <w:color w:val="000000"/>
                <w:sz w:val="20"/>
                <w:szCs w:val="20"/>
                <w:bdr w:val="none" w:sz="0" w:space="0" w:color="auto" w:frame="1"/>
              </w:rPr>
              <w:fldChar w:fldCharType="separate"/>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noProof/>
                <w:color w:val="000000"/>
                <w:sz w:val="20"/>
                <w:szCs w:val="20"/>
                <w:bdr w:val="none" w:sz="0" w:space="0" w:color="auto" w:frame="1"/>
              </w:rPr>
              <w:fldChar w:fldCharType="end"/>
            </w:r>
            <w:r w:rsidRPr="000270E3">
              <w:rPr>
                <w:rFonts w:ascii="Bookman Old Style" w:hAnsi="Bookman Old Style"/>
                <w:color w:val="000000"/>
                <w:sz w:val="20"/>
                <w:szCs w:val="20"/>
                <w:bdr w:val="none" w:sz="0" w:space="0" w:color="auto" w:frame="1"/>
              </w:rPr>
              <w:fldChar w:fldCharType="end"/>
            </w:r>
          </w:p>
          <w:p w14:paraId="4ECD328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ESMERALDA HERNÁNDEZ</w:t>
            </w:r>
          </w:p>
          <w:p w14:paraId="311803B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Senadora de la República </w:t>
            </w:r>
          </w:p>
          <w:p w14:paraId="01525BF2" w14:textId="77777777" w:rsidR="000270E3" w:rsidRPr="000270E3" w:rsidRDefault="000270E3" w:rsidP="00F067D5">
            <w:pPr>
              <w:widowControl/>
              <w:jc w:val="center"/>
              <w:rPr>
                <w:rFonts w:ascii="Bookman Old Style" w:hAnsi="Bookman Old Style"/>
                <w:b/>
                <w:bCs/>
                <w:color w:val="000000"/>
                <w:sz w:val="20"/>
                <w:szCs w:val="20"/>
                <w:bdr w:val="none" w:sz="0" w:space="0" w:color="auto" w:frame="1"/>
                <w:lang w:eastAsia="es-MX"/>
              </w:rPr>
            </w:pPr>
            <w:r w:rsidRPr="000270E3">
              <w:rPr>
                <w:rFonts w:ascii="Bookman Old Style" w:hAnsi="Bookman Old Style"/>
                <w:color w:val="000000"/>
                <w:sz w:val="20"/>
                <w:szCs w:val="20"/>
              </w:rPr>
              <w:t>Coalición Pacto Histórico</w:t>
            </w:r>
          </w:p>
        </w:tc>
      </w:tr>
      <w:tr w:rsidR="000270E3" w:rsidRPr="000270E3" w14:paraId="495FDA74"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D85D4"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7F54012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MARTHA LISBETH ALFONSO JURADO</w:t>
            </w:r>
          </w:p>
          <w:p w14:paraId="54BD788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w:t>
            </w:r>
          </w:p>
          <w:p w14:paraId="03C4DB6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Pacto Histórico-Alianza Verde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155F" w14:textId="77777777" w:rsidR="000270E3" w:rsidRPr="000270E3" w:rsidRDefault="000270E3" w:rsidP="00F067D5">
            <w:pPr>
              <w:pStyle w:val="NormalWeb"/>
              <w:spacing w:before="0" w:beforeAutospacing="0" w:after="0" w:afterAutospacing="0"/>
              <w:rPr>
                <w:rFonts w:ascii="Bookman Old Style" w:hAnsi="Bookman Old Style"/>
                <w:sz w:val="20"/>
                <w:szCs w:val="20"/>
              </w:rPr>
            </w:pPr>
          </w:p>
          <w:p w14:paraId="3A3D9E07"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p>
          <w:p w14:paraId="68E43514"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rPr>
            </w:pPr>
            <w:r w:rsidRPr="000270E3">
              <w:rPr>
                <w:rFonts w:ascii="Bookman Old Style" w:hAnsi="Bookman Old Style"/>
                <w:b/>
                <w:bCs/>
                <w:color w:val="000000"/>
                <w:sz w:val="20"/>
                <w:szCs w:val="20"/>
              </w:rPr>
              <w:t xml:space="preserve">KATHERINE MIRANDA </w:t>
            </w:r>
          </w:p>
          <w:p w14:paraId="15D5257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2D0C3BD3" w14:textId="77777777" w:rsidR="000270E3" w:rsidRPr="000270E3" w:rsidRDefault="000270E3" w:rsidP="00F067D5">
            <w:pPr>
              <w:spacing w:after="240"/>
              <w:rPr>
                <w:rFonts w:ascii="Bookman Old Style" w:hAnsi="Bookman Old Style"/>
                <w:sz w:val="20"/>
                <w:szCs w:val="20"/>
              </w:rPr>
            </w:pPr>
          </w:p>
        </w:tc>
      </w:tr>
      <w:tr w:rsidR="000270E3" w:rsidRPr="000270E3" w14:paraId="509CDA0F"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C74F2" w14:textId="77777777" w:rsidR="000270E3" w:rsidRPr="000270E3" w:rsidRDefault="000270E3" w:rsidP="00F067D5">
            <w:pPr>
              <w:pStyle w:val="NormalWeb"/>
              <w:spacing w:before="0" w:beforeAutospacing="0" w:after="0" w:afterAutospacing="0"/>
              <w:jc w:val="both"/>
              <w:rPr>
                <w:rFonts w:ascii="Bookman Old Style" w:hAnsi="Bookman Old Style"/>
                <w:sz w:val="20"/>
                <w:szCs w:val="20"/>
              </w:rPr>
            </w:pPr>
          </w:p>
          <w:p w14:paraId="792F5BD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CATHERINE JUVINAO CLAVIJO</w:t>
            </w:r>
          </w:p>
          <w:p w14:paraId="28E2ADDB"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Bogotá</w:t>
            </w:r>
          </w:p>
          <w:p w14:paraId="1B347C4F"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 xml:space="preserve">Partido Verde </w:t>
            </w:r>
          </w:p>
          <w:p w14:paraId="47919CB2"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522C5"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p>
          <w:p w14:paraId="6983ABB1"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DOLCEY OSCAR TORRES ROMERO</w:t>
            </w:r>
          </w:p>
          <w:p w14:paraId="7B5E941E"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w:t>
            </w:r>
          </w:p>
          <w:p w14:paraId="76653589"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Partido Liberal</w:t>
            </w:r>
          </w:p>
          <w:p w14:paraId="23C3C5AD" w14:textId="77777777" w:rsidR="000270E3" w:rsidRPr="000270E3" w:rsidRDefault="000270E3" w:rsidP="00F067D5">
            <w:pPr>
              <w:rPr>
                <w:rFonts w:ascii="Bookman Old Style" w:hAnsi="Bookman Old Style"/>
                <w:sz w:val="20"/>
                <w:szCs w:val="20"/>
              </w:rPr>
            </w:pPr>
          </w:p>
          <w:p w14:paraId="28834FE5" w14:textId="77777777" w:rsidR="000270E3" w:rsidRPr="000270E3" w:rsidRDefault="000270E3" w:rsidP="00F067D5">
            <w:pPr>
              <w:rPr>
                <w:rFonts w:ascii="Bookman Old Style" w:hAnsi="Bookman Old Style"/>
                <w:sz w:val="20"/>
                <w:szCs w:val="20"/>
              </w:rPr>
            </w:pPr>
          </w:p>
        </w:tc>
      </w:tr>
      <w:tr w:rsidR="000270E3" w:rsidRPr="000270E3" w14:paraId="24605F58" w14:textId="77777777" w:rsidTr="00F067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6516F" w14:textId="77777777" w:rsidR="000270E3" w:rsidRPr="000270E3" w:rsidRDefault="000270E3" w:rsidP="00F067D5">
            <w:pPr>
              <w:pStyle w:val="NormalWeb"/>
              <w:spacing w:before="0" w:beforeAutospacing="0" w:after="0" w:afterAutospacing="0"/>
              <w:jc w:val="center"/>
              <w:rPr>
                <w:rFonts w:ascii="Bookman Old Style" w:hAnsi="Bookman Old Style"/>
                <w:b/>
                <w:bCs/>
                <w:color w:val="000000"/>
                <w:sz w:val="20"/>
                <w:szCs w:val="20"/>
                <w:bdr w:val="none" w:sz="0" w:space="0" w:color="auto" w:frame="1"/>
              </w:rPr>
            </w:pPr>
          </w:p>
          <w:p w14:paraId="6C4EDCF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b/>
                <w:bCs/>
                <w:color w:val="000000"/>
                <w:sz w:val="20"/>
                <w:szCs w:val="20"/>
              </w:rPr>
              <w:t>DANIEL CARVALHO MEJÍA</w:t>
            </w:r>
          </w:p>
          <w:p w14:paraId="287F3703" w14:textId="77777777" w:rsidR="000270E3" w:rsidRPr="000270E3" w:rsidRDefault="000270E3" w:rsidP="00F067D5">
            <w:pPr>
              <w:pStyle w:val="NormalWeb"/>
              <w:spacing w:before="0" w:beforeAutospacing="0" w:after="0" w:afterAutospacing="0"/>
              <w:jc w:val="center"/>
              <w:rPr>
                <w:rFonts w:ascii="Bookman Old Style" w:hAnsi="Bookman Old Style"/>
                <w:sz w:val="20"/>
                <w:szCs w:val="20"/>
              </w:rPr>
            </w:pPr>
            <w:r w:rsidRPr="000270E3">
              <w:rPr>
                <w:rFonts w:ascii="Bookman Old Style" w:hAnsi="Bookman Old Style"/>
                <w:color w:val="000000"/>
                <w:sz w:val="20"/>
                <w:szCs w:val="20"/>
              </w:rPr>
              <w:t>Representante a la Cámara por Antioquia</w:t>
            </w:r>
          </w:p>
          <w:p w14:paraId="336E34C0" w14:textId="77777777" w:rsidR="000270E3" w:rsidRPr="000270E3" w:rsidRDefault="000270E3" w:rsidP="00F067D5">
            <w:pPr>
              <w:rPr>
                <w:rFonts w:ascii="Bookman Old Style" w:hAnsi="Bookman Old Style"/>
                <w:sz w:val="20"/>
                <w:szCs w:val="20"/>
              </w:rPr>
            </w:pPr>
          </w:p>
          <w:p w14:paraId="25EA683E" w14:textId="77777777" w:rsidR="000270E3" w:rsidRPr="000270E3" w:rsidRDefault="000270E3" w:rsidP="00F067D5">
            <w:pPr>
              <w:pStyle w:val="NormalWeb"/>
              <w:spacing w:before="0" w:beforeAutospacing="0" w:after="0" w:afterAutospacing="0"/>
              <w:jc w:val="both"/>
              <w:rPr>
                <w:rFonts w:ascii="Bookman Old Style" w:hAnsi="Bookman Old Style"/>
                <w:b/>
                <w:bCs/>
                <w:color w:val="000000"/>
                <w:sz w:val="20"/>
                <w:szCs w:val="20"/>
                <w:bdr w:val="none" w:sz="0" w:space="0" w:color="auto" w:frame="1"/>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DD8BC" w14:textId="77777777" w:rsidR="000270E3" w:rsidRPr="000270E3" w:rsidRDefault="000270E3" w:rsidP="00F067D5">
            <w:pPr>
              <w:rPr>
                <w:rFonts w:ascii="Bookman Old Style" w:hAnsi="Bookman Old Style"/>
                <w:sz w:val="20"/>
                <w:szCs w:val="20"/>
              </w:rPr>
            </w:pPr>
          </w:p>
        </w:tc>
      </w:tr>
    </w:tbl>
    <w:p w14:paraId="46AB548C" w14:textId="77777777" w:rsidR="004D2009" w:rsidRDefault="004D2009" w:rsidP="004D2009">
      <w:pPr>
        <w:ind w:hanging="567"/>
        <w:rPr>
          <w:rFonts w:ascii="Bookman Old Style" w:eastAsia="Calibri" w:hAnsi="Bookman Old Style" w:cs="Calibri"/>
          <w:color w:val="000000"/>
          <w:szCs w:val="24"/>
        </w:rPr>
      </w:pPr>
    </w:p>
    <w:sectPr w:rsidR="004D2009"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3B2A" w14:textId="77777777" w:rsidR="00856688" w:rsidRDefault="00856688">
      <w:r>
        <w:separator/>
      </w:r>
    </w:p>
  </w:endnote>
  <w:endnote w:type="continuationSeparator" w:id="0">
    <w:p w14:paraId="1D2194E7" w14:textId="77777777" w:rsidR="00856688" w:rsidRDefault="0085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71729"/>
      <w:docPartObj>
        <w:docPartGallery w:val="Page Numbers (Bottom of Page)"/>
        <w:docPartUnique/>
      </w:docPartObj>
    </w:sdtPr>
    <w:sdtContent>
      <w:sdt>
        <w:sdtPr>
          <w:id w:val="1728636285"/>
          <w:docPartObj>
            <w:docPartGallery w:val="Page Numbers (Top of Page)"/>
            <w:docPartUnique/>
          </w:docPartObj>
        </w:sdtPr>
        <w:sdtContent>
          <w:p w14:paraId="63BE7199" w14:textId="2CF4DD80" w:rsidR="00C04E96" w:rsidRDefault="00C04E96" w:rsidP="006C0501">
            <w:pPr>
              <w:pStyle w:val="Piedepgina"/>
              <w:ind w:left="-1701"/>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435FBF">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35FBF">
              <w:rPr>
                <w:b/>
                <w:bCs/>
                <w:noProof/>
              </w:rPr>
              <w:t>28</w:t>
            </w:r>
            <w:r>
              <w:rPr>
                <w:b/>
                <w:bCs/>
                <w:sz w:val="24"/>
                <w:szCs w:val="24"/>
              </w:rPr>
              <w:fldChar w:fldCharType="end"/>
            </w:r>
          </w:p>
        </w:sdtContent>
      </w:sdt>
    </w:sdtContent>
  </w:sdt>
  <w:p w14:paraId="1C18F578" w14:textId="77777777" w:rsidR="00C04E96" w:rsidRDefault="00C04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65F6" w14:textId="77777777" w:rsidR="00856688" w:rsidRDefault="00856688">
      <w:r>
        <w:separator/>
      </w:r>
    </w:p>
  </w:footnote>
  <w:footnote w:type="continuationSeparator" w:id="0">
    <w:p w14:paraId="423D2A7B" w14:textId="77777777" w:rsidR="00856688" w:rsidRDefault="00856688">
      <w:r>
        <w:continuationSeparator/>
      </w:r>
    </w:p>
  </w:footnote>
  <w:footnote w:id="1">
    <w:p w14:paraId="67A56B10"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500942EB"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012BB373" w14:textId="77777777" w:rsidR="00153AC4" w:rsidRPr="000A2331" w:rsidRDefault="00153AC4" w:rsidP="00153AC4">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48FE2C7" w14:textId="77777777" w:rsidR="00153AC4" w:rsidRPr="000A2331" w:rsidRDefault="00153AC4" w:rsidP="00153AC4">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International Drug Policy Consortium, 2019. La OMS cambia su posición con respecto a la marihuana, recuperado de: https://idpc.net/es/alerts/2019/02/la-OMS-cambia-su-posicion#.XTS1wX3xB0k.whatsapp.</w:t>
      </w:r>
    </w:p>
  </w:footnote>
  <w:footnote w:id="5">
    <w:p w14:paraId="016C0C91" w14:textId="607ED0D1" w:rsidR="000512D5" w:rsidRPr="000512D5" w:rsidRDefault="000512D5" w:rsidP="006127F0">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5A39EF00" w14:textId="3EDABED4" w:rsidR="00C04E96" w:rsidRPr="002C010E" w:rsidRDefault="00C04E96" w:rsidP="00F36280">
      <w:pPr>
        <w:jc w:val="both"/>
        <w:rPr>
          <w:rFonts w:ascii="Bookman Old Style" w:hAnsi="Bookman Old Style"/>
          <w:i/>
          <w:sz w:val="14"/>
          <w:szCs w:val="14"/>
        </w:rPr>
      </w:pPr>
      <w:r w:rsidRPr="002C010E">
        <w:rPr>
          <w:rStyle w:val="Refdenotaalpie"/>
          <w:rFonts w:ascii="Bookman Old Style" w:hAnsi="Bookman Old Style"/>
          <w:i/>
          <w:sz w:val="14"/>
          <w:szCs w:val="14"/>
        </w:rPr>
        <w:footnoteRef/>
      </w:r>
      <w:r w:rsidRPr="002C010E">
        <w:rPr>
          <w:rFonts w:ascii="Bookman Old Style" w:hAnsi="Bookman Old Style"/>
          <w:i/>
          <w:sz w:val="14"/>
          <w:szCs w:val="14"/>
        </w:rPr>
        <w:t xml:space="preserve"> </w:t>
      </w:r>
      <w:r w:rsidR="000C074B" w:rsidRPr="002C010E">
        <w:rPr>
          <w:rFonts w:ascii="Bookman Old Style" w:hAnsi="Bookman Old Style"/>
          <w:i/>
          <w:sz w:val="14"/>
          <w:szCs w:val="14"/>
        </w:rPr>
        <w:t xml:space="preserve">Sentencia C-253 de 2019, </w:t>
      </w:r>
      <w:r w:rsidRPr="002C010E">
        <w:rPr>
          <w:rFonts w:ascii="Bookman Old Style" w:hAnsi="Bookman Old Style"/>
          <w:i/>
          <w:sz w:val="14"/>
          <w:szCs w:val="14"/>
        </w:rPr>
        <w:t>Corte Constitucional</w:t>
      </w:r>
    </w:p>
  </w:footnote>
  <w:footnote w:id="7">
    <w:p w14:paraId="694DA8C3" w14:textId="1B9A82B3" w:rsidR="00D318E3" w:rsidRPr="00D318E3" w:rsidRDefault="00D318E3">
      <w:pPr>
        <w:pStyle w:val="Textonotapie"/>
      </w:pPr>
      <w:r w:rsidRPr="001D5D7C">
        <w:rPr>
          <w:rStyle w:val="Refdenotaalpie"/>
          <w:rFonts w:ascii="Bookman Old Style" w:hAnsi="Bookman Old Style"/>
          <w:i/>
          <w:sz w:val="14"/>
          <w:szCs w:val="14"/>
        </w:rPr>
        <w:footnoteRef/>
      </w:r>
      <w:r w:rsidRPr="001D5D7C">
        <w:rPr>
          <w:rFonts w:ascii="Bookman Old Style" w:hAnsi="Bookman Old Style"/>
          <w:i/>
          <w:sz w:val="14"/>
          <w:szCs w:val="14"/>
        </w:rPr>
        <w:t xml:space="preserve"> Ibidem.</w:t>
      </w:r>
    </w:p>
  </w:footnote>
  <w:footnote w:id="8">
    <w:p w14:paraId="4B078CD0" w14:textId="551D60F1" w:rsidR="002C010E" w:rsidRPr="001D5D7C" w:rsidRDefault="002C010E">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Ibidem.</w:t>
      </w:r>
    </w:p>
  </w:footnote>
  <w:footnote w:id="9">
    <w:p w14:paraId="243D2A5E" w14:textId="20BD06F4" w:rsidR="00A43FAE" w:rsidRPr="001D5D7C" w:rsidRDefault="00A43FAE">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Sentencia Rad 2018-00387-00 y 2018-00399-00 del 30 de abril de 2020, Consejo de Estado.</w:t>
      </w:r>
    </w:p>
  </w:footnote>
  <w:footnote w:id="10">
    <w:p w14:paraId="6B1F414D" w14:textId="77777777" w:rsidR="00780580" w:rsidRPr="000A2331" w:rsidRDefault="00780580"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Renovatio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11">
    <w:p w14:paraId="2919132C"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12">
    <w:p w14:paraId="42013D8D"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3">
    <w:p w14:paraId="44A31766" w14:textId="77777777" w:rsidR="00780580" w:rsidRPr="000A2331" w:rsidRDefault="00780580" w:rsidP="006127F0">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4">
    <w:p w14:paraId="3FC58157"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5">
    <w:p w14:paraId="16FFC5EB"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6">
    <w:p w14:paraId="6D587DA5"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7">
    <w:p w14:paraId="76D90266" w14:textId="77777777" w:rsidR="00780580" w:rsidRPr="000A2331" w:rsidRDefault="00780580" w:rsidP="0078058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Recuperado de: http://fileserver.idpc.net/library/dpa_marijuana_legalization_report_v8_0.pdf</w:t>
      </w:r>
    </w:p>
  </w:footnote>
  <w:footnote w:id="18">
    <w:p w14:paraId="7E3DECC6" w14:textId="77777777" w:rsidR="00780580" w:rsidRPr="00FE4E72" w:rsidRDefault="00780580" w:rsidP="00780580">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FE4E72">
        <w:rPr>
          <w:rFonts w:ascii="Bookman Old Style" w:hAnsi="Bookman Old Style"/>
          <w:i/>
          <w:sz w:val="14"/>
          <w:szCs w:val="14"/>
          <w:lang w:val="en-US"/>
        </w:rPr>
        <w:t xml:space="preserve"> https://theeconreview.com/2020/12/18/high-economy-impacts-of-marijuana-legalization-on-the-us-economy/</w:t>
      </w:r>
    </w:p>
  </w:footnote>
  <w:footnote w:id="19">
    <w:p w14:paraId="28B17386" w14:textId="77777777" w:rsidR="00780580" w:rsidRPr="00FE4E72" w:rsidRDefault="00780580" w:rsidP="00780580">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FE4E72">
        <w:rPr>
          <w:rFonts w:ascii="Bookman Old Style" w:hAnsi="Bookman Old Style" w:cs="Times New Roman"/>
          <w:i/>
          <w:sz w:val="14"/>
          <w:szCs w:val="14"/>
          <w:lang w:val="en-US"/>
        </w:rPr>
        <w:t xml:space="preserve"> Ibidem.</w:t>
      </w:r>
    </w:p>
  </w:footnote>
  <w:footnote w:id="20">
    <w:p w14:paraId="3AA99E71" w14:textId="77777777" w:rsidR="00780580" w:rsidRPr="000A2331" w:rsidRDefault="00780580" w:rsidP="0078058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21">
    <w:p w14:paraId="183028D3" w14:textId="77777777" w:rsidR="00780580" w:rsidRPr="00207603" w:rsidRDefault="00780580" w:rsidP="0078058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2">
    <w:p w14:paraId="0A9ADCFB"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3">
    <w:p w14:paraId="721C30BE" w14:textId="77777777" w:rsidR="00780580" w:rsidRPr="000A2331" w:rsidRDefault="00780580" w:rsidP="006127F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4">
    <w:p w14:paraId="3E86E5A1"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5">
    <w:p w14:paraId="58242E06"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6">
    <w:p w14:paraId="49F00C41" w14:textId="3A57F0D8" w:rsidR="00705BAC" w:rsidRPr="001D5D7C" w:rsidRDefault="00705BAC">
      <w:pPr>
        <w:pStyle w:val="Textonotapie"/>
        <w:rPr>
          <w:rFonts w:ascii="Bookman Old Style" w:hAnsi="Bookman Old Style"/>
          <w:i/>
          <w:iCs/>
          <w:sz w:val="14"/>
          <w:szCs w:val="14"/>
        </w:rPr>
      </w:pPr>
      <w:r w:rsidRPr="001D5D7C">
        <w:rPr>
          <w:rStyle w:val="Refdenotaalpie"/>
          <w:rFonts w:ascii="Bookman Old Style" w:hAnsi="Bookman Old Style"/>
          <w:i/>
          <w:iCs/>
          <w:sz w:val="14"/>
          <w:szCs w:val="14"/>
        </w:rPr>
        <w:footnoteRef/>
      </w:r>
      <w:r w:rsidRPr="001D5D7C">
        <w:rPr>
          <w:rFonts w:ascii="Bookman Old Style" w:hAnsi="Bookman Old Style"/>
          <w:i/>
          <w:iCs/>
          <w:sz w:val="14"/>
          <w:szCs w:val="14"/>
        </w:rPr>
        <w:t xml:space="preserve"> https://www.natlawreview.com/article/cannabis-banking-will-safe-banking-act-finally-pass</w:t>
      </w:r>
    </w:p>
  </w:footnote>
  <w:footnote w:id="27">
    <w:p w14:paraId="7F068287"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8">
    <w:p w14:paraId="37CA79E4"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9">
    <w:p w14:paraId="6DB2FB9D"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30">
    <w:p w14:paraId="066BA36F" w14:textId="77777777" w:rsidR="00780580" w:rsidRPr="00207603" w:rsidRDefault="00780580" w:rsidP="006127F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Recuperado de: http://fileserver.idpc.net/library/dpa_marijuana_legalization_report_v8_0.pdf</w:t>
      </w:r>
    </w:p>
  </w:footnote>
  <w:footnote w:id="31">
    <w:p w14:paraId="6A69944A"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32">
    <w:p w14:paraId="6F6AD936"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33">
    <w:p w14:paraId="711BCFE5"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Arbour (Ex-Alta Comisionada para los Derechos Humanos de las Naciones Unidas), Sir Richard Branson (Fundador Virgin Group), Fernando Henrique Cardoso (Expresidente de Brazil), Helen Clark (Ex Primer Ministra de Nueva Zelanda), Ruth Dreifuss (Expresidenta de Suiza), Mohamed ElBaradei (Director General Emerito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4">
    <w:p w14:paraId="530377F4" w14:textId="77777777" w:rsidR="00780580" w:rsidRPr="00207603" w:rsidRDefault="00780580" w:rsidP="006127F0">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5">
    <w:p w14:paraId="471DBDE8"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6">
    <w:p w14:paraId="5B0B4732" w14:textId="77777777" w:rsidR="00780580" w:rsidRPr="00EE71AD" w:rsidRDefault="00780580" w:rsidP="006127F0">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7">
    <w:p w14:paraId="5AB721CE" w14:textId="77777777" w:rsidR="00780580" w:rsidRPr="00207603" w:rsidRDefault="00780580" w:rsidP="006127F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8">
    <w:p w14:paraId="3E98B11B"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9">
    <w:p w14:paraId="02CF276A"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40">
    <w:p w14:paraId="6027AF60" w14:textId="77777777" w:rsidR="00780580" w:rsidRPr="00207603" w:rsidRDefault="00780580" w:rsidP="0078058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41">
    <w:p w14:paraId="6D7FD39C" w14:textId="77777777" w:rsidR="00780580" w:rsidRPr="00EE71AD" w:rsidRDefault="00780580" w:rsidP="007805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Dejusticia de 2017 titulado “Sobredosis Carcelaria y Política de Drogas en América Latina”.</w:t>
      </w:r>
    </w:p>
  </w:footnote>
  <w:footnote w:id="42">
    <w:p w14:paraId="5BE6016E" w14:textId="77777777" w:rsidR="00780580" w:rsidRPr="00EE71AD" w:rsidRDefault="00780580" w:rsidP="008D6C03">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 1) Recuperado de: http://fileserver.idpc.net/library/dpa_marijuana_legalization_report_v8_0.pdf.</w:t>
      </w:r>
    </w:p>
  </w:footnote>
  <w:footnote w:id="43">
    <w:p w14:paraId="21D1B93F"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4">
    <w:p w14:paraId="05BC6907"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5">
    <w:p w14:paraId="2F98795C" w14:textId="77777777" w:rsidR="00291DEF" w:rsidRPr="00207603"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6">
    <w:p w14:paraId="07747F04" w14:textId="77777777" w:rsidR="00291DEF" w:rsidRPr="00EE71AD"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Ibídem.</w:t>
      </w:r>
    </w:p>
  </w:footnote>
  <w:footnote w:id="47">
    <w:p w14:paraId="1B395F99" w14:textId="77777777" w:rsidR="00291DEF" w:rsidRPr="00EE71AD" w:rsidRDefault="00291DEF" w:rsidP="00291DEF">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Ibídem.</w:t>
      </w:r>
    </w:p>
  </w:footnote>
  <w:footnote w:id="48">
    <w:p w14:paraId="03152B54"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9">
    <w:p w14:paraId="5E2BF893"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Asocolcanna. ¿Cannabis medicinal, el salvavidas que necesita la economía? Obtenida de: http://asocolcanna.org/noticias/cannabis-medicinal-el-salvavidas-que-necesita-la-economia/</w:t>
      </w:r>
    </w:p>
  </w:footnote>
  <w:footnote w:id="50">
    <w:p w14:paraId="57EC0F0C" w14:textId="77777777" w:rsidR="00291DEF" w:rsidRPr="00207603" w:rsidRDefault="00291DEF" w:rsidP="00291DEF">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51">
    <w:p w14:paraId="33FD694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Dejusticia. 2019.</w:t>
      </w:r>
    </w:p>
  </w:footnote>
  <w:footnote w:id="52">
    <w:p w14:paraId="1BBC69CD"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53">
    <w:p w14:paraId="2633A49E"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M.P. Clara Inés Vargas Hernández.</w:t>
      </w:r>
    </w:p>
  </w:footnote>
  <w:footnote w:id="54">
    <w:p w14:paraId="263F1A01"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5">
    <w:p w14:paraId="5DD556F7" w14:textId="68D7AF0B" w:rsidR="00C04E96" w:rsidRPr="00EE71AD" w:rsidRDefault="00C04E96"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w:t>
      </w:r>
      <w:r w:rsidR="002548C6" w:rsidRPr="00EE71AD">
        <w:rPr>
          <w:rFonts w:ascii="Bookman Old Style" w:hAnsi="Bookman Old Style" w:cs="Times New Roman"/>
          <w:i/>
          <w:sz w:val="14"/>
          <w:szCs w:val="14"/>
        </w:rPr>
        <w:t>cómo</w:t>
      </w:r>
      <w:r w:rsidRPr="00EE71AD">
        <w:rPr>
          <w:rFonts w:ascii="Bookman Old Style" w:hAnsi="Bookman Old Style" w:cs="Times New Roman"/>
          <w:i/>
          <w:sz w:val="14"/>
          <w:szCs w:val="14"/>
        </w:rPr>
        <w:t xml:space="preserve"> desarrollan sus derechos y construyen sus proyectos y modelos de realización personal”. Corte Constitucional Sentencia T-516 de 1998 M.P.: Antonio Barrera.</w:t>
      </w:r>
    </w:p>
  </w:footnote>
  <w:footnote w:id="56">
    <w:p w14:paraId="5C762592" w14:textId="77777777" w:rsidR="00C04E96" w:rsidRPr="001E18FE" w:rsidRDefault="00C04E96" w:rsidP="006127F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57">
    <w:p w14:paraId="3B8C407C"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0E92A4D9" w14:textId="77777777" w:rsidR="00C04E96" w:rsidRPr="00EE71AD" w:rsidRDefault="00C04E96" w:rsidP="00F36280">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8">
    <w:p w14:paraId="2ACADD78"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M.P. José Antonio Cepeda Amarís (E).</w:t>
      </w:r>
    </w:p>
  </w:footnote>
  <w:footnote w:id="59">
    <w:p w14:paraId="439F06C1" w14:textId="77777777" w:rsidR="00C04E96" w:rsidRPr="001E18FE" w:rsidRDefault="00C04E96" w:rsidP="00F3628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C-104 de 2016. M.P. Luis Guillermo Guerrero Pérez.</w:t>
      </w:r>
    </w:p>
  </w:footnote>
  <w:footnote w:id="60">
    <w:p w14:paraId="46D302DD" w14:textId="77777777" w:rsidR="00C04E96" w:rsidRPr="00EE71AD" w:rsidRDefault="00C04E96" w:rsidP="00F36280">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P. Westen. Speaking of equality. An Analisis of the Rhetorical forcé of Equality” in moral and legal discoruse, Princenton University Press, 1990, cap.v.</w:t>
      </w:r>
    </w:p>
  </w:footnote>
  <w:footnote w:id="61">
    <w:p w14:paraId="3FEF961F" w14:textId="77777777" w:rsidR="00517032" w:rsidRPr="00EE71AD" w:rsidRDefault="00517032"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62">
    <w:p w14:paraId="655F068A" w14:textId="77777777" w:rsidR="00517032" w:rsidRPr="00207603" w:rsidRDefault="00517032" w:rsidP="00EE71A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T-452 de 2018 M.P. José Fernando Reyes Cuartas.</w:t>
      </w:r>
    </w:p>
  </w:footnote>
  <w:footnote w:id="63">
    <w:p w14:paraId="1950F7B8"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C-420 de 2002, M.P. Jaime Córdoba Triviño.</w:t>
      </w:r>
    </w:p>
  </w:footnote>
  <w:footnote w:id="64">
    <w:p w14:paraId="523C0F55" w14:textId="77777777" w:rsidR="00C04E96" w:rsidRPr="001E18FE" w:rsidRDefault="00C04E96" w:rsidP="00F36280">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5">
    <w:p w14:paraId="65250046"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66">
    <w:p w14:paraId="629A2B2B" w14:textId="77777777" w:rsidR="00ED3ACD" w:rsidRPr="00EE71AD" w:rsidRDefault="00ED3ACD" w:rsidP="00EE71A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7">
    <w:p w14:paraId="4F76EE22" w14:textId="77777777" w:rsidR="00ED3ACD" w:rsidRPr="003F1DF3" w:rsidRDefault="00ED3ACD" w:rsidP="00EE71A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8">
    <w:p w14:paraId="682EE2EF" w14:textId="77777777" w:rsidR="00AF4882" w:rsidRPr="00EE71AD" w:rsidRDefault="00AF4882" w:rsidP="00EE71A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Hasin DS,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(NESARC). Drug Alcohol Depend. 2011;115(1-2):120-130. doi:10.1016/j.drugalcdep.2010.11.004</w:t>
      </w:r>
    </w:p>
  </w:footnote>
  <w:footnote w:id="69">
    <w:p w14:paraId="69C4E614" w14:textId="77777777" w:rsidR="00AF4882" w:rsidRPr="00EE71AD" w:rsidRDefault="00AF4882" w:rsidP="00EE71A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Marel, C., Sunderland, M., Mills, K. L., Slade, T., Teesson, M., &amp; Chapman, C. (2019). Conditional probabilities of substance use disorders and associated risk factors: Progression from first use to use disorder on alcohol, cannabis, stimulants, sedatives and opioids. </w:t>
      </w:r>
      <w:r w:rsidRPr="00EE71AD">
        <w:rPr>
          <w:rFonts w:ascii="Bookman Old Style" w:eastAsiaTheme="minorHAnsi" w:hAnsi="Bookman Old Style"/>
          <w:i/>
          <w:sz w:val="14"/>
          <w:szCs w:val="14"/>
          <w:lang w:eastAsia="en-US"/>
        </w:rPr>
        <w:t>Drug and alcohol dependence, 194, 136–142. https://doi.org/10.1016/j.drugalcdep.2018.10.010</w:t>
      </w:r>
    </w:p>
  </w:footnote>
  <w:footnote w:id="70">
    <w:p w14:paraId="41BB85C0"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NIH. La mariguana- DrugFacts. Obtenido de: https://www.drugabuse.gov/es/publicaciones/drugfacts/la-marihuana</w:t>
      </w:r>
    </w:p>
  </w:footnote>
  <w:footnote w:id="71">
    <w:p w14:paraId="5206F396"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también: German Lopez. </w:t>
      </w:r>
      <w:hyperlink r:id="rId2" w:tgtFrame="_blank" w:history="1">
        <w:r w:rsidRPr="004D2009">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72">
    <w:p w14:paraId="09DA28CF" w14:textId="77777777" w:rsidR="00AF4882" w:rsidRPr="00AF4882" w:rsidRDefault="00AF4882" w:rsidP="00EE71A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73">
    <w:p w14:paraId="115C4D44"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Pediatrics, 2019.</w:t>
      </w:r>
    </w:p>
  </w:footnote>
  <w:footnote w:id="74">
    <w:p w14:paraId="1D0CE8CC"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Laqueur, Ariadne Rivera-Aguirre, Aaron Shev, Alvaro Castillo-Carniglia, Kara E. Rudolph, Jessica Ramirez, Silvia S. Martins, Magdalena Cerdá, The impact of cannabis legalization in Uruguay on adolescent cannabis use, International Jou</w:t>
      </w:r>
    </w:p>
  </w:footnote>
  <w:footnote w:id="75">
    <w:p w14:paraId="134B8B57"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6">
    <w:p w14:paraId="542D490B"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Greto L, Bolt K. Trends and Characteristics in Marijuana Use Among Public School Students — King County, Washington, 2004–2016. </w:t>
      </w:r>
      <w:r w:rsidRPr="00EE71AD">
        <w:rPr>
          <w:rFonts w:ascii="Bookman Old Style" w:eastAsiaTheme="minorHAnsi" w:hAnsi="Bookman Old Style"/>
          <w:i/>
          <w:sz w:val="14"/>
          <w:szCs w:val="14"/>
          <w:lang w:eastAsia="en-US"/>
        </w:rPr>
        <w:t xml:space="preserve">MMWR Morb Mortal Wkly Rep 2019;68:845–850.Obtenido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7">
    <w:p w14:paraId="58D8A290" w14:textId="77777777" w:rsidR="00987C6B" w:rsidRPr="00EE71AD" w:rsidRDefault="00987C6B" w:rsidP="00987C6B">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FIP. Nueve preguntas sobre marihuana medicinal. Obtenido de: https://www.ideaspaz.org/especiales/marihuana-medicinal/</w:t>
      </w:r>
    </w:p>
  </w:footnote>
  <w:footnote w:id="78">
    <w:p w14:paraId="09E14562" w14:textId="77777777" w:rsidR="00987C6B" w:rsidRPr="003702B6" w:rsidRDefault="00987C6B" w:rsidP="00987C6B">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Colombian Check (2020). Obtenido de: https://colombiacheck.com/chequeos/miranda-compartio-viejo-meme-chileno-con-cifras-sin-fuente-favor-del-cannabis</w:t>
      </w:r>
    </w:p>
  </w:footnote>
  <w:footnote w:id="79">
    <w:p w14:paraId="222F76A1" w14:textId="77777777" w:rsidR="00987C6B" w:rsidRPr="00EE71AD" w:rsidRDefault="00987C6B" w:rsidP="00987C6B">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Cogn Affect Behav Neurosci 18, 203–215 (2018).https://doi.org/10.3758/s13415-017-0558-0</w:t>
      </w:r>
    </w:p>
  </w:footnote>
  <w:footnote w:id="80">
    <w:p w14:paraId="11E6B08B" w14:textId="77777777" w:rsidR="00987C6B" w:rsidRPr="00EE71AD" w:rsidRDefault="00987C6B" w:rsidP="00987C6B">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81">
    <w:p w14:paraId="29B5E81F" w14:textId="77777777" w:rsidR="00C04E96" w:rsidRPr="00EE71AD" w:rsidRDefault="00C04E96" w:rsidP="00987C6B">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82">
    <w:p w14:paraId="4296B2A5" w14:textId="77777777" w:rsidR="00C04E96" w:rsidRPr="00987C6B" w:rsidRDefault="00C04E96" w:rsidP="00987C6B">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Dejusticia,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83">
    <w:p w14:paraId="2A50456D" w14:textId="77777777" w:rsidR="00C04E96" w:rsidRPr="00EE71AD" w:rsidRDefault="00C04E96" w:rsidP="00987C6B">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4">
    <w:p w14:paraId="64842623" w14:textId="356325A5"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Ministerio de Salud, Dirección de Promoción y prevención</w:t>
      </w:r>
      <w:r w:rsidR="002548C6" w:rsidRPr="00EE71AD">
        <w:rPr>
          <w:rFonts w:ascii="Bookman Old Style" w:eastAsia="Calibri" w:hAnsi="Bookman Old Style" w:cs="Times New Roman"/>
          <w:i/>
          <w:sz w:val="14"/>
          <w:szCs w:val="14"/>
        </w:rPr>
        <w:t>,” El</w:t>
      </w:r>
      <w:r w:rsidRPr="00EE71AD">
        <w:rPr>
          <w:rFonts w:ascii="Bookman Old Style" w:eastAsia="Calibri" w:hAnsi="Bookman Old Style" w:cs="Times New Roman"/>
          <w:i/>
          <w:sz w:val="14"/>
          <w:szCs w:val="14"/>
        </w:rPr>
        <w:t xml:space="preserve"> consumo de SPA en Colombia” 2015.</w:t>
      </w:r>
    </w:p>
  </w:footnote>
  <w:footnote w:id="85">
    <w:p w14:paraId="3CB7E7C1" w14:textId="77777777" w:rsidR="00C04E96" w:rsidRPr="00EC7C59" w:rsidRDefault="00C04E96" w:rsidP="00F36280">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Dejusticia. 2019</w:t>
      </w:r>
    </w:p>
  </w:footnote>
  <w:footnote w:id="86">
    <w:p w14:paraId="1B5A963D"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British Broadcasting Corporation BBC Cuáles son las sustancias más adictivas del mundo y qué le hacen a nuestro cerebro, recuperado de https://www.bbc.com/mundo/noticias-46877409</w:t>
      </w:r>
    </w:p>
  </w:footnote>
  <w:footnote w:id="87">
    <w:p w14:paraId="7D4258DB"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88">
    <w:p w14:paraId="7557BA53"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David Nutt. The Lancet, 2010.</w:t>
      </w:r>
    </w:p>
  </w:footnote>
  <w:footnote w:id="89">
    <w:p w14:paraId="4193EA3A"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0">
    <w:p w14:paraId="628D9872"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Cesar Augusto Giraldo Giraldo, Medicina Forense, 2009.</w:t>
      </w:r>
    </w:p>
  </w:footnote>
  <w:footnote w:id="91">
    <w:p w14:paraId="6D1E4466" w14:textId="77777777" w:rsidR="008F2EDE" w:rsidRPr="00EE71AD" w:rsidRDefault="008F2EDE" w:rsidP="00EE71A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r w:rsidRPr="00EE71AD">
        <w:rPr>
          <w:rFonts w:ascii="Bookman Old Style" w:hAnsi="Bookman Old Style" w:cs="Times New Roman"/>
          <w:i/>
          <w:sz w:val="14"/>
          <w:szCs w:val="14"/>
          <w:lang w:val="en-US"/>
        </w:rPr>
        <w:t>Marel, C., Sunderland, M., Mills, K. L., Slade, T., Teesson, M., &amp; Chapman, C. (2019). Conditional probabilities of substance use disorders and associated risk factors: Progression from first use to use disorder on alcohol, cannabis, stimulants, sedatives and opioids. Drug and alcohol dependence, 194, 136–142. https://doi.org/10.1016/j.drugalcdep.2018.10.010</w:t>
      </w:r>
    </w:p>
  </w:footnote>
  <w:footnote w:id="92">
    <w:p w14:paraId="3D32E7FA" w14:textId="77777777" w:rsidR="008F2EDE" w:rsidRPr="003702B6" w:rsidRDefault="008F2EDE" w:rsidP="00EE71A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Cesar Augusto Giraldo Giraldo, Medicina Forense, 2009.</w:t>
      </w:r>
    </w:p>
  </w:footnote>
  <w:footnote w:id="93">
    <w:p w14:paraId="3510FF1D" w14:textId="77777777" w:rsidR="00C04E96" w:rsidRPr="00EE71AD" w:rsidRDefault="00C04E96" w:rsidP="001B4F3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4D2009">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4">
    <w:p w14:paraId="6817D0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sub-principios del test se pudiese aplicar de manera gradual, de acuerdo con la extensión del margen de apreciación del legislador o la administración.</w:t>
      </w:r>
    </w:p>
  </w:footnote>
  <w:footnote w:id="95">
    <w:p w14:paraId="74A99DD2" w14:textId="77777777" w:rsidR="00C04E96" w:rsidRPr="00EE71AD" w:rsidRDefault="00C04E96" w:rsidP="00F36280">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M.P. Luis Guillermo Guerrero Pérez.</w:t>
      </w:r>
    </w:p>
  </w:footnote>
  <w:footnote w:id="96">
    <w:p w14:paraId="2A187C4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Corte Constitucional, Sentencia C-144 de 2015. M.P. Martha Victoria Sáchica Méndez.</w:t>
      </w:r>
    </w:p>
  </w:footnote>
  <w:footnote w:id="97">
    <w:p w14:paraId="086359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8">
    <w:p w14:paraId="66702A53"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M.P. Luis Guillermo Guerrero Pérez.</w:t>
      </w:r>
    </w:p>
  </w:footnote>
  <w:footnote w:id="99">
    <w:p w14:paraId="7814AEC1"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100">
    <w:p w14:paraId="4C8124F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M.P. Carlos Gaviria Díaz.</w:t>
      </w:r>
    </w:p>
  </w:footnote>
  <w:footnote w:id="101">
    <w:p w14:paraId="1172EAB9"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2">
    <w:p w14:paraId="00A3856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(PP.20) Recuperado de: https://www.dejusticia.org/wp-content/uploads/2017/07/Delitos-de-drogas-y-sobredosis-carcelaria-en-Colombia-Version-final-PDF-para-WEB.pdf</w:t>
      </w:r>
    </w:p>
  </w:footnote>
  <w:footnote w:id="103">
    <w:p w14:paraId="1C40FA1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(PP.10) Recuperado de: https://www.dejusticia.org/wp-content/uploads/2017/07/Delitos-de-drogas-y-sobredosis-carcelaria-en-Colombia-Version-final-PDF-para-WEB.pdf</w:t>
      </w:r>
    </w:p>
  </w:footnote>
  <w:footnote w:id="104">
    <w:p w14:paraId="03C5FC27"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5">
    <w:p w14:paraId="5D6715F5"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6">
    <w:p w14:paraId="56C23986"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7">
    <w:p w14:paraId="74259FD8"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Recuperado de: https://www.dejusticia.org/wp-content/uploads/2017/07/Delitos-de-drogas-y-sobredosis-carcelaria-en-Colombia-Version-final-PDF-para-WEB.pdf</w:t>
      </w:r>
    </w:p>
  </w:footnote>
  <w:footnote w:id="108">
    <w:p w14:paraId="62721D53"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Centro de Estudios de Derecho, Justicia y Sociedad, Dejusticia. 2017. Sobredosis Carcelaria y Política de Drogas en América Latina. Documentos Dejusticia 37. (Pp. 46) Recuperado de: https://www.dejusticia.org/wp-content/uploads/2017/07/Delitos-de-drogas-y-sobredosis-carcelaria-en-Colombia-Version-final-PDF-para-WEB.pdf</w:t>
      </w:r>
    </w:p>
  </w:footnote>
  <w:footnote w:id="109">
    <w:p w14:paraId="4EDBDCBB"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32) Recuperado de: https://www.dejusticia.org/wp-content/uploads/2017/07/Delitos-de-drogas-y-sobredosis-carcelaria-en-Colombia-Version-final-PDF-para-WEB.pdf</w:t>
      </w:r>
    </w:p>
  </w:footnote>
  <w:footnote w:id="110">
    <w:p w14:paraId="63AFDB22"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58) Recuperado de: https://www.dejusticia.org/wp-content/uploads/2017/07/Delitos-de-drogas-y-sobredosis-carcelaria-en-Colombia-Version-final-PDF-para-WEB.pdf</w:t>
      </w:r>
    </w:p>
  </w:footnote>
  <w:footnote w:id="111">
    <w:p w14:paraId="6C76821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50) Recuperado de: https://www.dejusticia.org/wp-content/uploads/2017/07/Delitos-de-drogas-y-sobredosis-carcelaria-en-Colombia-Version-final-PDF-para-WEB.pdf</w:t>
      </w:r>
    </w:p>
  </w:footnote>
  <w:footnote w:id="112">
    <w:p w14:paraId="196984EC"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Dejusticia. 2017. Sobredosis Carcelaria y Política de Drogas en América Latina. Documentos Dejusticia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13">
    <w:p w14:paraId="001D2030"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78688BBB"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5">
    <w:p w14:paraId="5DC56AE9"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79A35D1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0B37EDAA"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8">
    <w:p w14:paraId="7BA55B3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9">
    <w:p w14:paraId="11A91943"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20">
    <w:p w14:paraId="1F3ACF85"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21">
    <w:p w14:paraId="2E37F34A"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22">
    <w:p w14:paraId="337D2CC9"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642BD8C2"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4">
    <w:p w14:paraId="01277E18"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5">
    <w:p w14:paraId="631D1C9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6">
    <w:p w14:paraId="6EDF67DC"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7">
    <w:p w14:paraId="0BA04A67"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8">
    <w:p w14:paraId="1F52FF0D" w14:textId="77777777" w:rsidR="00C04E96" w:rsidRPr="00422FC6" w:rsidRDefault="00C04E96" w:rsidP="00EE71A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DE3C6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29E728C"/>
    <w:multiLevelType w:val="multilevel"/>
    <w:tmpl w:val="66A2E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647ABE"/>
    <w:multiLevelType w:val="hybridMultilevel"/>
    <w:tmpl w:val="2CCE41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7F96D54"/>
    <w:multiLevelType w:val="multilevel"/>
    <w:tmpl w:val="0E4A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9034F47"/>
    <w:multiLevelType w:val="hybridMultilevel"/>
    <w:tmpl w:val="68420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9"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C231D96"/>
    <w:multiLevelType w:val="multilevel"/>
    <w:tmpl w:val="610C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332291339">
    <w:abstractNumId w:val="18"/>
  </w:num>
  <w:num w:numId="2" w16cid:durableId="986134143">
    <w:abstractNumId w:val="38"/>
  </w:num>
  <w:num w:numId="3" w16cid:durableId="167869764">
    <w:abstractNumId w:val="35"/>
  </w:num>
  <w:num w:numId="4" w16cid:durableId="2068067841">
    <w:abstractNumId w:val="29"/>
  </w:num>
  <w:num w:numId="5" w16cid:durableId="468935652">
    <w:abstractNumId w:val="11"/>
  </w:num>
  <w:num w:numId="6" w16cid:durableId="1249386830">
    <w:abstractNumId w:val="16"/>
  </w:num>
  <w:num w:numId="7" w16cid:durableId="780339458">
    <w:abstractNumId w:val="7"/>
  </w:num>
  <w:num w:numId="8" w16cid:durableId="1663662042">
    <w:abstractNumId w:val="37"/>
  </w:num>
  <w:num w:numId="9" w16cid:durableId="920214832">
    <w:abstractNumId w:val="0"/>
  </w:num>
  <w:num w:numId="10" w16cid:durableId="1720935592">
    <w:abstractNumId w:val="4"/>
  </w:num>
  <w:num w:numId="11" w16cid:durableId="701781560">
    <w:abstractNumId w:val="34"/>
  </w:num>
  <w:num w:numId="12" w16cid:durableId="735055502">
    <w:abstractNumId w:val="42"/>
  </w:num>
  <w:num w:numId="13" w16cid:durableId="395935198">
    <w:abstractNumId w:val="22"/>
  </w:num>
  <w:num w:numId="14" w16cid:durableId="1133593104">
    <w:abstractNumId w:val="21"/>
  </w:num>
  <w:num w:numId="15" w16cid:durableId="430006480">
    <w:abstractNumId w:val="5"/>
  </w:num>
  <w:num w:numId="16" w16cid:durableId="299072257">
    <w:abstractNumId w:val="13"/>
  </w:num>
  <w:num w:numId="17" w16cid:durableId="1620379408">
    <w:abstractNumId w:val="41"/>
  </w:num>
  <w:num w:numId="18" w16cid:durableId="649403248">
    <w:abstractNumId w:val="45"/>
  </w:num>
  <w:num w:numId="19" w16cid:durableId="129128838">
    <w:abstractNumId w:val="30"/>
  </w:num>
  <w:num w:numId="20" w16cid:durableId="959268276">
    <w:abstractNumId w:val="23"/>
  </w:num>
  <w:num w:numId="21" w16cid:durableId="1548058258">
    <w:abstractNumId w:val="15"/>
  </w:num>
  <w:num w:numId="22" w16cid:durableId="658772866">
    <w:abstractNumId w:val="17"/>
  </w:num>
  <w:num w:numId="23" w16cid:durableId="513156411">
    <w:abstractNumId w:val="3"/>
  </w:num>
  <w:num w:numId="24" w16cid:durableId="2113431226">
    <w:abstractNumId w:val="36"/>
  </w:num>
  <w:num w:numId="25" w16cid:durableId="321130496">
    <w:abstractNumId w:val="47"/>
  </w:num>
  <w:num w:numId="26" w16cid:durableId="1312296938">
    <w:abstractNumId w:val="1"/>
  </w:num>
  <w:num w:numId="27" w16cid:durableId="601687801">
    <w:abstractNumId w:val="40"/>
  </w:num>
  <w:num w:numId="28" w16cid:durableId="1380517871">
    <w:abstractNumId w:val="9"/>
  </w:num>
  <w:num w:numId="29" w16cid:durableId="1214654358">
    <w:abstractNumId w:val="19"/>
  </w:num>
  <w:num w:numId="30" w16cid:durableId="173306855">
    <w:abstractNumId w:val="14"/>
  </w:num>
  <w:num w:numId="31" w16cid:durableId="494881187">
    <w:abstractNumId w:val="12"/>
  </w:num>
  <w:num w:numId="32" w16cid:durableId="372120285">
    <w:abstractNumId w:val="10"/>
  </w:num>
  <w:num w:numId="33" w16cid:durableId="1142968276">
    <w:abstractNumId w:val="43"/>
  </w:num>
  <w:num w:numId="34" w16cid:durableId="1618489881">
    <w:abstractNumId w:val="39"/>
  </w:num>
  <w:num w:numId="35" w16cid:durableId="2027057314">
    <w:abstractNumId w:val="25"/>
  </w:num>
  <w:num w:numId="36" w16cid:durableId="280113540">
    <w:abstractNumId w:val="33"/>
  </w:num>
  <w:num w:numId="37" w16cid:durableId="1625503614">
    <w:abstractNumId w:val="2"/>
  </w:num>
  <w:num w:numId="38" w16cid:durableId="235866966">
    <w:abstractNumId w:val="24"/>
  </w:num>
  <w:num w:numId="39" w16cid:durableId="266545337">
    <w:abstractNumId w:val="44"/>
  </w:num>
  <w:num w:numId="40" w16cid:durableId="1380547370">
    <w:abstractNumId w:val="20"/>
  </w:num>
  <w:num w:numId="41" w16cid:durableId="535703820">
    <w:abstractNumId w:val="32"/>
  </w:num>
  <w:num w:numId="42" w16cid:durableId="419372378">
    <w:abstractNumId w:val="8"/>
  </w:num>
  <w:num w:numId="43" w16cid:durableId="281038740">
    <w:abstractNumId w:val="6"/>
  </w:num>
  <w:num w:numId="44" w16cid:durableId="1578595530">
    <w:abstractNumId w:val="31"/>
  </w:num>
  <w:num w:numId="45" w16cid:durableId="337200580">
    <w:abstractNumId w:val="26"/>
  </w:num>
  <w:num w:numId="46" w16cid:durableId="2048793334">
    <w:abstractNumId w:val="28"/>
    <w:lvlOverride w:ilvl="0">
      <w:startOverride w:val="2"/>
    </w:lvlOverride>
  </w:num>
  <w:num w:numId="47" w16cid:durableId="1305426947">
    <w:abstractNumId w:val="46"/>
    <w:lvlOverride w:ilvl="0">
      <w:startOverride w:val="3"/>
    </w:lvlOverride>
  </w:num>
  <w:num w:numId="48" w16cid:durableId="3337981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CA"/>
    <w:rsid w:val="00003F56"/>
    <w:rsid w:val="000046EF"/>
    <w:rsid w:val="0000563C"/>
    <w:rsid w:val="00005C61"/>
    <w:rsid w:val="00011ACE"/>
    <w:rsid w:val="00014056"/>
    <w:rsid w:val="000162F9"/>
    <w:rsid w:val="000270BE"/>
    <w:rsid w:val="000270E3"/>
    <w:rsid w:val="00042193"/>
    <w:rsid w:val="00046119"/>
    <w:rsid w:val="000512D5"/>
    <w:rsid w:val="00052783"/>
    <w:rsid w:val="00052A0B"/>
    <w:rsid w:val="0005414D"/>
    <w:rsid w:val="000606C7"/>
    <w:rsid w:val="000630CE"/>
    <w:rsid w:val="00065154"/>
    <w:rsid w:val="00070BD9"/>
    <w:rsid w:val="000722E4"/>
    <w:rsid w:val="000735F7"/>
    <w:rsid w:val="00076CAE"/>
    <w:rsid w:val="00077ACA"/>
    <w:rsid w:val="00077D8E"/>
    <w:rsid w:val="000803C9"/>
    <w:rsid w:val="00084112"/>
    <w:rsid w:val="0008764E"/>
    <w:rsid w:val="00094288"/>
    <w:rsid w:val="000A0C3F"/>
    <w:rsid w:val="000A1BE0"/>
    <w:rsid w:val="000A2331"/>
    <w:rsid w:val="000B09F5"/>
    <w:rsid w:val="000B0FBF"/>
    <w:rsid w:val="000B2201"/>
    <w:rsid w:val="000B60A8"/>
    <w:rsid w:val="000C074B"/>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34C17"/>
    <w:rsid w:val="00134CC2"/>
    <w:rsid w:val="00140323"/>
    <w:rsid w:val="00141696"/>
    <w:rsid w:val="00145FCB"/>
    <w:rsid w:val="00150D77"/>
    <w:rsid w:val="00153ABB"/>
    <w:rsid w:val="00153AC4"/>
    <w:rsid w:val="00157A02"/>
    <w:rsid w:val="00157FAD"/>
    <w:rsid w:val="001600E5"/>
    <w:rsid w:val="001610AF"/>
    <w:rsid w:val="00165E31"/>
    <w:rsid w:val="001669E7"/>
    <w:rsid w:val="00167B87"/>
    <w:rsid w:val="00170353"/>
    <w:rsid w:val="00172842"/>
    <w:rsid w:val="00176820"/>
    <w:rsid w:val="00177B55"/>
    <w:rsid w:val="00181D6F"/>
    <w:rsid w:val="0019651E"/>
    <w:rsid w:val="001A4AA6"/>
    <w:rsid w:val="001A51DC"/>
    <w:rsid w:val="001B1C71"/>
    <w:rsid w:val="001B3A9B"/>
    <w:rsid w:val="001B4F33"/>
    <w:rsid w:val="001C6197"/>
    <w:rsid w:val="001C7182"/>
    <w:rsid w:val="001C7E8C"/>
    <w:rsid w:val="001D0620"/>
    <w:rsid w:val="001D3C09"/>
    <w:rsid w:val="001D40DA"/>
    <w:rsid w:val="001D5D7C"/>
    <w:rsid w:val="001D665B"/>
    <w:rsid w:val="001E18FE"/>
    <w:rsid w:val="001E3462"/>
    <w:rsid w:val="001E3746"/>
    <w:rsid w:val="001E4F39"/>
    <w:rsid w:val="001E7A73"/>
    <w:rsid w:val="001F1D61"/>
    <w:rsid w:val="00201497"/>
    <w:rsid w:val="00201AD2"/>
    <w:rsid w:val="0020374C"/>
    <w:rsid w:val="0020530C"/>
    <w:rsid w:val="00205F20"/>
    <w:rsid w:val="0020675D"/>
    <w:rsid w:val="00211111"/>
    <w:rsid w:val="002129C0"/>
    <w:rsid w:val="00216F89"/>
    <w:rsid w:val="00217CCE"/>
    <w:rsid w:val="00221308"/>
    <w:rsid w:val="00226CBA"/>
    <w:rsid w:val="00227788"/>
    <w:rsid w:val="00233318"/>
    <w:rsid w:val="0023556E"/>
    <w:rsid w:val="00241DE6"/>
    <w:rsid w:val="00243376"/>
    <w:rsid w:val="00246DEE"/>
    <w:rsid w:val="00251DA4"/>
    <w:rsid w:val="002548C6"/>
    <w:rsid w:val="00254DDC"/>
    <w:rsid w:val="002566D0"/>
    <w:rsid w:val="002604DB"/>
    <w:rsid w:val="00265ECD"/>
    <w:rsid w:val="00267BD5"/>
    <w:rsid w:val="002722F9"/>
    <w:rsid w:val="00273E46"/>
    <w:rsid w:val="0027789D"/>
    <w:rsid w:val="002801C2"/>
    <w:rsid w:val="00282F87"/>
    <w:rsid w:val="00283E13"/>
    <w:rsid w:val="00283F81"/>
    <w:rsid w:val="00285E76"/>
    <w:rsid w:val="00286901"/>
    <w:rsid w:val="00286FA3"/>
    <w:rsid w:val="00291DEF"/>
    <w:rsid w:val="002921B3"/>
    <w:rsid w:val="0029353A"/>
    <w:rsid w:val="002B0DF0"/>
    <w:rsid w:val="002B11D9"/>
    <w:rsid w:val="002B1845"/>
    <w:rsid w:val="002B237E"/>
    <w:rsid w:val="002B31F4"/>
    <w:rsid w:val="002B66B2"/>
    <w:rsid w:val="002B69BC"/>
    <w:rsid w:val="002B6B8C"/>
    <w:rsid w:val="002C010E"/>
    <w:rsid w:val="002C24BA"/>
    <w:rsid w:val="002C4673"/>
    <w:rsid w:val="002E0C5F"/>
    <w:rsid w:val="002E130A"/>
    <w:rsid w:val="002E290A"/>
    <w:rsid w:val="002E341B"/>
    <w:rsid w:val="002E6292"/>
    <w:rsid w:val="002F0580"/>
    <w:rsid w:val="002F4AFF"/>
    <w:rsid w:val="002F5A1E"/>
    <w:rsid w:val="002F6C67"/>
    <w:rsid w:val="002F7282"/>
    <w:rsid w:val="0030440D"/>
    <w:rsid w:val="0030792C"/>
    <w:rsid w:val="0031300C"/>
    <w:rsid w:val="00316FEF"/>
    <w:rsid w:val="00331601"/>
    <w:rsid w:val="003329AA"/>
    <w:rsid w:val="00334B2E"/>
    <w:rsid w:val="00347F08"/>
    <w:rsid w:val="0035640A"/>
    <w:rsid w:val="00360CAA"/>
    <w:rsid w:val="0036234C"/>
    <w:rsid w:val="0036381C"/>
    <w:rsid w:val="00364A84"/>
    <w:rsid w:val="00366E17"/>
    <w:rsid w:val="00374D1A"/>
    <w:rsid w:val="003860F8"/>
    <w:rsid w:val="003A0C32"/>
    <w:rsid w:val="003B34DE"/>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13FBA"/>
    <w:rsid w:val="0041471B"/>
    <w:rsid w:val="004151CA"/>
    <w:rsid w:val="00422FC6"/>
    <w:rsid w:val="00435FBF"/>
    <w:rsid w:val="00440DC4"/>
    <w:rsid w:val="00442047"/>
    <w:rsid w:val="00444E3F"/>
    <w:rsid w:val="00451771"/>
    <w:rsid w:val="00452196"/>
    <w:rsid w:val="004561C0"/>
    <w:rsid w:val="00461422"/>
    <w:rsid w:val="00464CCE"/>
    <w:rsid w:val="00466547"/>
    <w:rsid w:val="00467F87"/>
    <w:rsid w:val="00470A0B"/>
    <w:rsid w:val="00470AE7"/>
    <w:rsid w:val="00474C2B"/>
    <w:rsid w:val="004750AD"/>
    <w:rsid w:val="00475543"/>
    <w:rsid w:val="004762E0"/>
    <w:rsid w:val="0048234F"/>
    <w:rsid w:val="00484D81"/>
    <w:rsid w:val="00485B08"/>
    <w:rsid w:val="004869B9"/>
    <w:rsid w:val="0048735C"/>
    <w:rsid w:val="004920BC"/>
    <w:rsid w:val="00497756"/>
    <w:rsid w:val="00497D15"/>
    <w:rsid w:val="004A0B24"/>
    <w:rsid w:val="004A7291"/>
    <w:rsid w:val="004B07EF"/>
    <w:rsid w:val="004C1887"/>
    <w:rsid w:val="004C6694"/>
    <w:rsid w:val="004D0A44"/>
    <w:rsid w:val="004D2009"/>
    <w:rsid w:val="004D515A"/>
    <w:rsid w:val="004E207C"/>
    <w:rsid w:val="004E2D40"/>
    <w:rsid w:val="004E6155"/>
    <w:rsid w:val="004F34EA"/>
    <w:rsid w:val="004F37BA"/>
    <w:rsid w:val="004F4302"/>
    <w:rsid w:val="004F57D0"/>
    <w:rsid w:val="004F666C"/>
    <w:rsid w:val="00500B87"/>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614AC"/>
    <w:rsid w:val="005647AE"/>
    <w:rsid w:val="00565530"/>
    <w:rsid w:val="00566088"/>
    <w:rsid w:val="0058171F"/>
    <w:rsid w:val="00582C8C"/>
    <w:rsid w:val="00585043"/>
    <w:rsid w:val="00590D4F"/>
    <w:rsid w:val="0059124F"/>
    <w:rsid w:val="00591595"/>
    <w:rsid w:val="00591A30"/>
    <w:rsid w:val="0059231F"/>
    <w:rsid w:val="005947A7"/>
    <w:rsid w:val="00596B89"/>
    <w:rsid w:val="00597B4D"/>
    <w:rsid w:val="005A0028"/>
    <w:rsid w:val="005A1EE1"/>
    <w:rsid w:val="005A2DD7"/>
    <w:rsid w:val="005A42C0"/>
    <w:rsid w:val="005A581B"/>
    <w:rsid w:val="005A693D"/>
    <w:rsid w:val="005B214D"/>
    <w:rsid w:val="005B302D"/>
    <w:rsid w:val="005B5606"/>
    <w:rsid w:val="005B598C"/>
    <w:rsid w:val="005B5FC0"/>
    <w:rsid w:val="005B76C1"/>
    <w:rsid w:val="005C5218"/>
    <w:rsid w:val="005D0EC2"/>
    <w:rsid w:val="005D217A"/>
    <w:rsid w:val="005D2978"/>
    <w:rsid w:val="005D4361"/>
    <w:rsid w:val="005D43AE"/>
    <w:rsid w:val="005E1CCC"/>
    <w:rsid w:val="005E2983"/>
    <w:rsid w:val="005F3882"/>
    <w:rsid w:val="005F39A4"/>
    <w:rsid w:val="005F6149"/>
    <w:rsid w:val="00604B59"/>
    <w:rsid w:val="00604EFF"/>
    <w:rsid w:val="0060522E"/>
    <w:rsid w:val="0061072A"/>
    <w:rsid w:val="006127F0"/>
    <w:rsid w:val="0061336F"/>
    <w:rsid w:val="006136C0"/>
    <w:rsid w:val="0061619A"/>
    <w:rsid w:val="006163DA"/>
    <w:rsid w:val="0061646A"/>
    <w:rsid w:val="00616FE2"/>
    <w:rsid w:val="00617787"/>
    <w:rsid w:val="00621929"/>
    <w:rsid w:val="00623A7D"/>
    <w:rsid w:val="00631E18"/>
    <w:rsid w:val="00635E45"/>
    <w:rsid w:val="00641104"/>
    <w:rsid w:val="00642B4D"/>
    <w:rsid w:val="006430E7"/>
    <w:rsid w:val="00644E30"/>
    <w:rsid w:val="00647748"/>
    <w:rsid w:val="00650B75"/>
    <w:rsid w:val="00651345"/>
    <w:rsid w:val="006533F9"/>
    <w:rsid w:val="0065417F"/>
    <w:rsid w:val="00666F3D"/>
    <w:rsid w:val="00670E79"/>
    <w:rsid w:val="00670F1C"/>
    <w:rsid w:val="00671451"/>
    <w:rsid w:val="00673F79"/>
    <w:rsid w:val="006816C1"/>
    <w:rsid w:val="006905C7"/>
    <w:rsid w:val="006A0E61"/>
    <w:rsid w:val="006A4844"/>
    <w:rsid w:val="006A4C6D"/>
    <w:rsid w:val="006B01C7"/>
    <w:rsid w:val="006B5396"/>
    <w:rsid w:val="006B558E"/>
    <w:rsid w:val="006B572D"/>
    <w:rsid w:val="006C0501"/>
    <w:rsid w:val="006C75A9"/>
    <w:rsid w:val="006D04A0"/>
    <w:rsid w:val="006D3ED5"/>
    <w:rsid w:val="006E0162"/>
    <w:rsid w:val="006E2F1E"/>
    <w:rsid w:val="006E36F8"/>
    <w:rsid w:val="006F1A50"/>
    <w:rsid w:val="00700900"/>
    <w:rsid w:val="00701F81"/>
    <w:rsid w:val="00705BAC"/>
    <w:rsid w:val="00706B77"/>
    <w:rsid w:val="00710A07"/>
    <w:rsid w:val="00723215"/>
    <w:rsid w:val="00726850"/>
    <w:rsid w:val="00731C8C"/>
    <w:rsid w:val="007450AC"/>
    <w:rsid w:val="007457F0"/>
    <w:rsid w:val="00750120"/>
    <w:rsid w:val="00753C73"/>
    <w:rsid w:val="00753CAF"/>
    <w:rsid w:val="007570F5"/>
    <w:rsid w:val="00762188"/>
    <w:rsid w:val="00762334"/>
    <w:rsid w:val="007625A8"/>
    <w:rsid w:val="00767B0B"/>
    <w:rsid w:val="00770D70"/>
    <w:rsid w:val="00773D52"/>
    <w:rsid w:val="00774D1B"/>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5F3D"/>
    <w:rsid w:val="007E657A"/>
    <w:rsid w:val="007E733E"/>
    <w:rsid w:val="007F5631"/>
    <w:rsid w:val="007F6FA2"/>
    <w:rsid w:val="008029BE"/>
    <w:rsid w:val="00804A2C"/>
    <w:rsid w:val="00804E6C"/>
    <w:rsid w:val="00805F5F"/>
    <w:rsid w:val="00807589"/>
    <w:rsid w:val="008364B1"/>
    <w:rsid w:val="00840C22"/>
    <w:rsid w:val="0084110A"/>
    <w:rsid w:val="008450BB"/>
    <w:rsid w:val="00847EF6"/>
    <w:rsid w:val="00856688"/>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B5AD9"/>
    <w:rsid w:val="008D6C03"/>
    <w:rsid w:val="008E0EB9"/>
    <w:rsid w:val="008E22B6"/>
    <w:rsid w:val="008E35A3"/>
    <w:rsid w:val="008E6A66"/>
    <w:rsid w:val="008F056B"/>
    <w:rsid w:val="008F0CBB"/>
    <w:rsid w:val="008F2EDE"/>
    <w:rsid w:val="008F6E74"/>
    <w:rsid w:val="00900BD5"/>
    <w:rsid w:val="0090168D"/>
    <w:rsid w:val="009039AD"/>
    <w:rsid w:val="0090453E"/>
    <w:rsid w:val="00905273"/>
    <w:rsid w:val="00905CE1"/>
    <w:rsid w:val="00923A94"/>
    <w:rsid w:val="009264F9"/>
    <w:rsid w:val="00927776"/>
    <w:rsid w:val="0093147F"/>
    <w:rsid w:val="00944F2F"/>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294A"/>
    <w:rsid w:val="009A3BA5"/>
    <w:rsid w:val="009A70F4"/>
    <w:rsid w:val="009B3D66"/>
    <w:rsid w:val="009B3FAF"/>
    <w:rsid w:val="009B6C3A"/>
    <w:rsid w:val="009C4756"/>
    <w:rsid w:val="009C479B"/>
    <w:rsid w:val="009C61AC"/>
    <w:rsid w:val="009D312C"/>
    <w:rsid w:val="009D7859"/>
    <w:rsid w:val="009D7CC7"/>
    <w:rsid w:val="009E16C0"/>
    <w:rsid w:val="009E179B"/>
    <w:rsid w:val="009F60DE"/>
    <w:rsid w:val="00A04304"/>
    <w:rsid w:val="00A10791"/>
    <w:rsid w:val="00A11C45"/>
    <w:rsid w:val="00A14815"/>
    <w:rsid w:val="00A201BB"/>
    <w:rsid w:val="00A20BDA"/>
    <w:rsid w:val="00A21D0F"/>
    <w:rsid w:val="00A2457B"/>
    <w:rsid w:val="00A32C8F"/>
    <w:rsid w:val="00A35E2B"/>
    <w:rsid w:val="00A43FAE"/>
    <w:rsid w:val="00A47C6C"/>
    <w:rsid w:val="00A52F19"/>
    <w:rsid w:val="00A559E0"/>
    <w:rsid w:val="00A56F31"/>
    <w:rsid w:val="00A570BF"/>
    <w:rsid w:val="00A62DEC"/>
    <w:rsid w:val="00A66627"/>
    <w:rsid w:val="00A671A8"/>
    <w:rsid w:val="00A74E9F"/>
    <w:rsid w:val="00A75F14"/>
    <w:rsid w:val="00A76026"/>
    <w:rsid w:val="00A77431"/>
    <w:rsid w:val="00A82A58"/>
    <w:rsid w:val="00A8335E"/>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3671B"/>
    <w:rsid w:val="00B4025D"/>
    <w:rsid w:val="00B53136"/>
    <w:rsid w:val="00B54281"/>
    <w:rsid w:val="00B5664B"/>
    <w:rsid w:val="00B605AC"/>
    <w:rsid w:val="00B6105E"/>
    <w:rsid w:val="00B61122"/>
    <w:rsid w:val="00B61766"/>
    <w:rsid w:val="00B61B80"/>
    <w:rsid w:val="00B700C8"/>
    <w:rsid w:val="00B735CE"/>
    <w:rsid w:val="00B80FC0"/>
    <w:rsid w:val="00B81B8D"/>
    <w:rsid w:val="00B84B23"/>
    <w:rsid w:val="00B91948"/>
    <w:rsid w:val="00B91B6E"/>
    <w:rsid w:val="00B92CCE"/>
    <w:rsid w:val="00B94F08"/>
    <w:rsid w:val="00BA1722"/>
    <w:rsid w:val="00BA5C86"/>
    <w:rsid w:val="00BA6309"/>
    <w:rsid w:val="00BB26C0"/>
    <w:rsid w:val="00BB2D93"/>
    <w:rsid w:val="00BB5B9A"/>
    <w:rsid w:val="00BB5BB4"/>
    <w:rsid w:val="00BC6E1D"/>
    <w:rsid w:val="00BD0133"/>
    <w:rsid w:val="00BD3008"/>
    <w:rsid w:val="00BD32FE"/>
    <w:rsid w:val="00BD3F1E"/>
    <w:rsid w:val="00BD5121"/>
    <w:rsid w:val="00BE056A"/>
    <w:rsid w:val="00BE7408"/>
    <w:rsid w:val="00BF3C27"/>
    <w:rsid w:val="00BF54C2"/>
    <w:rsid w:val="00C016AF"/>
    <w:rsid w:val="00C020B8"/>
    <w:rsid w:val="00C02AAD"/>
    <w:rsid w:val="00C04E96"/>
    <w:rsid w:val="00C05C64"/>
    <w:rsid w:val="00C10A78"/>
    <w:rsid w:val="00C1238B"/>
    <w:rsid w:val="00C13DE8"/>
    <w:rsid w:val="00C173FD"/>
    <w:rsid w:val="00C20600"/>
    <w:rsid w:val="00C23346"/>
    <w:rsid w:val="00C2727C"/>
    <w:rsid w:val="00C33C66"/>
    <w:rsid w:val="00C33DA6"/>
    <w:rsid w:val="00C352F6"/>
    <w:rsid w:val="00C37B21"/>
    <w:rsid w:val="00C45082"/>
    <w:rsid w:val="00C45625"/>
    <w:rsid w:val="00C467D1"/>
    <w:rsid w:val="00C53D01"/>
    <w:rsid w:val="00C61547"/>
    <w:rsid w:val="00C624D6"/>
    <w:rsid w:val="00C63160"/>
    <w:rsid w:val="00C65360"/>
    <w:rsid w:val="00C66E26"/>
    <w:rsid w:val="00C67227"/>
    <w:rsid w:val="00C7479B"/>
    <w:rsid w:val="00C817BF"/>
    <w:rsid w:val="00C84051"/>
    <w:rsid w:val="00C8439A"/>
    <w:rsid w:val="00C90F5C"/>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E71F2"/>
    <w:rsid w:val="00CF0C66"/>
    <w:rsid w:val="00CF48D8"/>
    <w:rsid w:val="00D03B38"/>
    <w:rsid w:val="00D05A5D"/>
    <w:rsid w:val="00D06788"/>
    <w:rsid w:val="00D101BB"/>
    <w:rsid w:val="00D1322B"/>
    <w:rsid w:val="00D13D58"/>
    <w:rsid w:val="00D22848"/>
    <w:rsid w:val="00D27C48"/>
    <w:rsid w:val="00D318E3"/>
    <w:rsid w:val="00D333F2"/>
    <w:rsid w:val="00D3676C"/>
    <w:rsid w:val="00D42C20"/>
    <w:rsid w:val="00D44225"/>
    <w:rsid w:val="00D56D03"/>
    <w:rsid w:val="00D6651D"/>
    <w:rsid w:val="00D67A46"/>
    <w:rsid w:val="00D71D62"/>
    <w:rsid w:val="00D728A4"/>
    <w:rsid w:val="00D7305A"/>
    <w:rsid w:val="00D740BA"/>
    <w:rsid w:val="00D76136"/>
    <w:rsid w:val="00D854B0"/>
    <w:rsid w:val="00DA10E6"/>
    <w:rsid w:val="00DA1347"/>
    <w:rsid w:val="00DA389D"/>
    <w:rsid w:val="00DA6F85"/>
    <w:rsid w:val="00DA77BE"/>
    <w:rsid w:val="00DB2005"/>
    <w:rsid w:val="00DB51C1"/>
    <w:rsid w:val="00DB66BE"/>
    <w:rsid w:val="00DC06BB"/>
    <w:rsid w:val="00DC48E0"/>
    <w:rsid w:val="00DC49AD"/>
    <w:rsid w:val="00DD1BF4"/>
    <w:rsid w:val="00DD272D"/>
    <w:rsid w:val="00DD418E"/>
    <w:rsid w:val="00DD5051"/>
    <w:rsid w:val="00DE2721"/>
    <w:rsid w:val="00DE3C8F"/>
    <w:rsid w:val="00DF1363"/>
    <w:rsid w:val="00DF146E"/>
    <w:rsid w:val="00DF4052"/>
    <w:rsid w:val="00DF40EE"/>
    <w:rsid w:val="00DF426A"/>
    <w:rsid w:val="00DF4698"/>
    <w:rsid w:val="00DF6048"/>
    <w:rsid w:val="00E02A58"/>
    <w:rsid w:val="00E02F41"/>
    <w:rsid w:val="00E044E7"/>
    <w:rsid w:val="00E06635"/>
    <w:rsid w:val="00E07E5E"/>
    <w:rsid w:val="00E110A9"/>
    <w:rsid w:val="00E11144"/>
    <w:rsid w:val="00E111BB"/>
    <w:rsid w:val="00E1154E"/>
    <w:rsid w:val="00E12D89"/>
    <w:rsid w:val="00E13EFE"/>
    <w:rsid w:val="00E2053B"/>
    <w:rsid w:val="00E21E2B"/>
    <w:rsid w:val="00E244CF"/>
    <w:rsid w:val="00E26778"/>
    <w:rsid w:val="00E3517E"/>
    <w:rsid w:val="00E35558"/>
    <w:rsid w:val="00E37B3B"/>
    <w:rsid w:val="00E44C45"/>
    <w:rsid w:val="00E45D35"/>
    <w:rsid w:val="00E51EBE"/>
    <w:rsid w:val="00E52C4F"/>
    <w:rsid w:val="00E5373A"/>
    <w:rsid w:val="00E55B3E"/>
    <w:rsid w:val="00E60301"/>
    <w:rsid w:val="00E606C3"/>
    <w:rsid w:val="00E63CEF"/>
    <w:rsid w:val="00E71FBE"/>
    <w:rsid w:val="00E762A1"/>
    <w:rsid w:val="00E819E1"/>
    <w:rsid w:val="00E83A56"/>
    <w:rsid w:val="00E921B4"/>
    <w:rsid w:val="00E972B3"/>
    <w:rsid w:val="00EB478E"/>
    <w:rsid w:val="00EC206B"/>
    <w:rsid w:val="00EC741C"/>
    <w:rsid w:val="00EC7C59"/>
    <w:rsid w:val="00ED3ACD"/>
    <w:rsid w:val="00ED4C76"/>
    <w:rsid w:val="00ED7616"/>
    <w:rsid w:val="00EE71AD"/>
    <w:rsid w:val="00EE7F6C"/>
    <w:rsid w:val="00EF0058"/>
    <w:rsid w:val="00EF1152"/>
    <w:rsid w:val="00EF13D8"/>
    <w:rsid w:val="00EF33D7"/>
    <w:rsid w:val="00F041AE"/>
    <w:rsid w:val="00F06C98"/>
    <w:rsid w:val="00F15185"/>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6AB5"/>
    <w:rsid w:val="00FB72B5"/>
    <w:rsid w:val="00FC09FB"/>
    <w:rsid w:val="00FC0BF1"/>
    <w:rsid w:val="00FC7B1B"/>
    <w:rsid w:val="00FD77AB"/>
    <w:rsid w:val="00FD7AFD"/>
    <w:rsid w:val="00FE120A"/>
    <w:rsid w:val="00FE1D30"/>
    <w:rsid w:val="00FE2E01"/>
    <w:rsid w:val="00FE4DF6"/>
    <w:rsid w:val="00FE4E72"/>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sid w:val="00D728A4"/>
    <w:rPr>
      <w:sz w:val="20"/>
      <w:szCs w:val="20"/>
    </w:rPr>
  </w:style>
  <w:style w:type="character" w:customStyle="1" w:styleId="TextocomentarioCar">
    <w:name w:val="Texto comentario Car"/>
    <w:basedOn w:val="Fuentedeprrafopredeter"/>
    <w:link w:val="Textocomentario"/>
    <w:uiPriority w:val="99"/>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 w:type="character" w:customStyle="1" w:styleId="baj">
    <w:name w:val="b_aj"/>
    <w:basedOn w:val="Fuentedeprrafopredeter"/>
    <w:rsid w:val="00D318E3"/>
  </w:style>
  <w:style w:type="character" w:styleId="nfasis">
    <w:name w:val="Emphasis"/>
    <w:basedOn w:val="Fuentedeprrafopredeter"/>
    <w:uiPriority w:val="20"/>
    <w:qFormat/>
    <w:rsid w:val="00A43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425225139">
      <w:bodyDiv w:val="1"/>
      <w:marLeft w:val="0"/>
      <w:marRight w:val="0"/>
      <w:marTop w:val="0"/>
      <w:marBottom w:val="0"/>
      <w:divBdr>
        <w:top w:val="none" w:sz="0" w:space="0" w:color="auto"/>
        <w:left w:val="none" w:sz="0" w:space="0" w:color="auto"/>
        <w:bottom w:val="none" w:sz="0" w:space="0" w:color="auto"/>
        <w:right w:val="none" w:sz="0" w:space="0" w:color="auto"/>
      </w:divBdr>
    </w:div>
    <w:div w:id="503937246">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666907530">
      <w:bodyDiv w:val="1"/>
      <w:marLeft w:val="0"/>
      <w:marRight w:val="0"/>
      <w:marTop w:val="0"/>
      <w:marBottom w:val="0"/>
      <w:divBdr>
        <w:top w:val="none" w:sz="0" w:space="0" w:color="auto"/>
        <w:left w:val="none" w:sz="0" w:space="0" w:color="auto"/>
        <w:bottom w:val="none" w:sz="0" w:space="0" w:color="auto"/>
        <w:right w:val="none" w:sz="0" w:space="0" w:color="auto"/>
      </w:divBdr>
    </w:div>
    <w:div w:id="723218987">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231622814">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39304446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5818137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535540853">
      <w:bodyDiv w:val="1"/>
      <w:marLeft w:val="0"/>
      <w:marRight w:val="0"/>
      <w:marTop w:val="0"/>
      <w:marBottom w:val="0"/>
      <w:divBdr>
        <w:top w:val="none" w:sz="0" w:space="0" w:color="auto"/>
        <w:left w:val="none" w:sz="0" w:space="0" w:color="auto"/>
        <w:bottom w:val="none" w:sz="0" w:space="0" w:color="auto"/>
        <w:right w:val="none" w:sz="0" w:space="0" w:color="auto"/>
      </w:divBdr>
    </w:div>
    <w:div w:id="1538816434">
      <w:bodyDiv w:val="1"/>
      <w:marLeft w:val="0"/>
      <w:marRight w:val="0"/>
      <w:marTop w:val="0"/>
      <w:marBottom w:val="0"/>
      <w:divBdr>
        <w:top w:val="none" w:sz="0" w:space="0" w:color="auto"/>
        <w:left w:val="none" w:sz="0" w:space="0" w:color="auto"/>
        <w:bottom w:val="none" w:sz="0" w:space="0" w:color="auto"/>
        <w:right w:val="none" w:sz="0" w:space="0" w:color="auto"/>
      </w:divBdr>
    </w:div>
    <w:div w:id="1682660459">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86351688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42570098">
      <w:bodyDiv w:val="1"/>
      <w:marLeft w:val="0"/>
      <w:marRight w:val="0"/>
      <w:marTop w:val="0"/>
      <w:marBottom w:val="0"/>
      <w:divBdr>
        <w:top w:val="none" w:sz="0" w:space="0" w:color="auto"/>
        <w:left w:val="none" w:sz="0" w:space="0" w:color="auto"/>
        <w:bottom w:val="none" w:sz="0" w:space="0" w:color="auto"/>
        <w:right w:val="none" w:sz="0" w:space="0" w:color="auto"/>
      </w:divBdr>
    </w:div>
    <w:div w:id="1991326448">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sitios.dane.gov.co/cnpv-presentacion/src/" TargetMode="External"/><Relationship Id="rId3" Type="http://schemas.openxmlformats.org/officeDocument/2006/relationships/styles" Target="styles.xml"/><Relationship Id="rId21" Type="http://schemas.openxmlformats.org/officeDocument/2006/relationships/hyperlink" Target="http://www.prisonstudies.org/country/colombia"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globalcommissionondrugs.org/wp-content/uploads/2018/11/SPA-2018_SDGPaper_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vox.com/2014/5/19/5727712/drug-alcohol-deat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fileserver.idpc.net/library/dpa_marijuana_legalization_report_v8_0.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as.org.uk/uploads/pdf/News%20stories/dnutt-lancet-011110.pdf"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C3ED-6E5C-460C-8131-71C22F4D0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22463</Words>
  <Characters>123549</Characters>
  <Application>Microsoft Office Word</Application>
  <DocSecurity>0</DocSecurity>
  <Lines>1029</Lines>
  <Paragraphs>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Ana Maria Hinestrosa Villa</cp:lastModifiedBy>
  <cp:revision>5</cp:revision>
  <cp:lastPrinted>2020-07-20T04:47:00Z</cp:lastPrinted>
  <dcterms:created xsi:type="dcterms:W3CDTF">2022-07-20T23:09:00Z</dcterms:created>
  <dcterms:modified xsi:type="dcterms:W3CDTF">2022-07-21T21:10:00Z</dcterms:modified>
</cp:coreProperties>
</file>