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5DACD" w14:textId="42A140A3" w:rsidR="00F210CD" w:rsidRDefault="00F210CD" w:rsidP="001B0240">
      <w:pPr>
        <w:pStyle w:val="xxmsonormal"/>
        <w:shd w:val="clear" w:color="auto" w:fill="FFFFFF"/>
        <w:spacing w:before="0" w:beforeAutospacing="0" w:after="0" w:afterAutospacing="0"/>
        <w:jc w:val="both"/>
        <w:rPr>
          <w:rFonts w:ascii="Arial" w:hAnsi="Arial" w:cs="Arial"/>
          <w:color w:val="201F1E"/>
          <w:sz w:val="22"/>
          <w:szCs w:val="22"/>
          <w:shd w:val="clear" w:color="auto" w:fill="FFFFFF"/>
        </w:rPr>
      </w:pPr>
    </w:p>
    <w:p w14:paraId="27B2274C" w14:textId="77777777" w:rsidR="0015276F" w:rsidRDefault="0015276F" w:rsidP="001B0240">
      <w:pPr>
        <w:pStyle w:val="xxmsonormal"/>
        <w:shd w:val="clear" w:color="auto" w:fill="FFFFFF"/>
        <w:spacing w:before="0" w:beforeAutospacing="0" w:after="0" w:afterAutospacing="0"/>
        <w:jc w:val="both"/>
        <w:rPr>
          <w:rFonts w:ascii="Arial" w:hAnsi="Arial" w:cs="Arial"/>
          <w:color w:val="201F1E"/>
          <w:sz w:val="22"/>
          <w:szCs w:val="22"/>
          <w:shd w:val="clear" w:color="auto" w:fill="FFFFFF"/>
        </w:rPr>
      </w:pPr>
    </w:p>
    <w:p w14:paraId="4867915C" w14:textId="41D9AE5D" w:rsidR="00AA76B3" w:rsidRDefault="00AA76B3" w:rsidP="001B0240">
      <w:pPr>
        <w:pStyle w:val="xxmsonormal"/>
        <w:shd w:val="clear" w:color="auto" w:fill="FFFFFF"/>
        <w:spacing w:before="0" w:beforeAutospacing="0" w:after="0" w:afterAutospacing="0"/>
        <w:jc w:val="both"/>
        <w:rPr>
          <w:rFonts w:ascii="Arial" w:hAnsi="Arial" w:cs="Arial"/>
          <w:color w:val="201F1E"/>
          <w:sz w:val="22"/>
          <w:szCs w:val="22"/>
          <w:shd w:val="clear" w:color="auto" w:fill="FFFFFF"/>
        </w:rPr>
      </w:pPr>
      <w:r>
        <w:rPr>
          <w:rFonts w:ascii="Arial" w:hAnsi="Arial" w:cs="Arial"/>
          <w:color w:val="201F1E"/>
          <w:sz w:val="22"/>
          <w:szCs w:val="22"/>
          <w:shd w:val="clear" w:color="auto" w:fill="FFFFFF"/>
        </w:rPr>
        <w:t>Doctor</w:t>
      </w:r>
    </w:p>
    <w:p w14:paraId="693C6A84" w14:textId="6B3B6A42" w:rsidR="00AA76B3" w:rsidRPr="00AA76B3" w:rsidRDefault="00AA76B3" w:rsidP="001B0240">
      <w:pPr>
        <w:pStyle w:val="xxmsonormal"/>
        <w:shd w:val="clear" w:color="auto" w:fill="FFFFFF"/>
        <w:spacing w:before="0" w:beforeAutospacing="0" w:after="0" w:afterAutospacing="0"/>
        <w:jc w:val="both"/>
        <w:rPr>
          <w:rFonts w:ascii="Arial" w:hAnsi="Arial" w:cs="Arial"/>
          <w:b/>
          <w:bCs/>
          <w:color w:val="201F1E"/>
          <w:sz w:val="22"/>
          <w:szCs w:val="22"/>
          <w:shd w:val="clear" w:color="auto" w:fill="FFFFFF"/>
        </w:rPr>
      </w:pPr>
      <w:r w:rsidRPr="00AA76B3">
        <w:rPr>
          <w:rFonts w:ascii="Arial" w:hAnsi="Arial" w:cs="Arial"/>
          <w:b/>
          <w:bCs/>
          <w:color w:val="201F1E"/>
          <w:sz w:val="22"/>
          <w:szCs w:val="22"/>
          <w:shd w:val="clear" w:color="auto" w:fill="FFFFFF"/>
        </w:rPr>
        <w:t xml:space="preserve">Henry Fernando Correal </w:t>
      </w:r>
    </w:p>
    <w:p w14:paraId="5433CEDF" w14:textId="668C72BE" w:rsidR="00AA76B3" w:rsidRDefault="00CB088A" w:rsidP="001B0240">
      <w:pPr>
        <w:pStyle w:val="xxmsonormal"/>
        <w:shd w:val="clear" w:color="auto" w:fill="FFFFFF"/>
        <w:spacing w:before="0" w:beforeAutospacing="0" w:after="0" w:afterAutospacing="0"/>
        <w:jc w:val="both"/>
        <w:rPr>
          <w:rFonts w:ascii="Arial" w:hAnsi="Arial" w:cs="Arial"/>
          <w:color w:val="201F1E"/>
          <w:sz w:val="22"/>
          <w:szCs w:val="22"/>
          <w:shd w:val="clear" w:color="auto" w:fill="FFFFFF"/>
        </w:rPr>
      </w:pPr>
      <w:r>
        <w:rPr>
          <w:rFonts w:ascii="Arial" w:hAnsi="Arial" w:cs="Arial"/>
          <w:color w:val="201F1E"/>
          <w:sz w:val="22"/>
          <w:szCs w:val="22"/>
          <w:shd w:val="clear" w:color="auto" w:fill="FFFFFF"/>
        </w:rPr>
        <w:t xml:space="preserve">Honorable </w:t>
      </w:r>
      <w:r w:rsidR="00AA76B3">
        <w:rPr>
          <w:rFonts w:ascii="Arial" w:hAnsi="Arial" w:cs="Arial"/>
          <w:color w:val="201F1E"/>
          <w:sz w:val="22"/>
          <w:szCs w:val="22"/>
          <w:shd w:val="clear" w:color="auto" w:fill="FFFFFF"/>
        </w:rPr>
        <w:t>Representante a la Cámara</w:t>
      </w:r>
    </w:p>
    <w:p w14:paraId="797BAE9D" w14:textId="2A42CBAD" w:rsidR="00AA76B3" w:rsidRDefault="00AA76B3" w:rsidP="001B0240">
      <w:pPr>
        <w:pStyle w:val="xxmsonormal"/>
        <w:shd w:val="clear" w:color="auto" w:fill="FFFFFF"/>
        <w:spacing w:before="0" w:beforeAutospacing="0" w:after="0" w:afterAutospacing="0"/>
        <w:jc w:val="both"/>
        <w:rPr>
          <w:rFonts w:ascii="Arial" w:hAnsi="Arial" w:cs="Arial"/>
          <w:color w:val="201F1E"/>
          <w:sz w:val="22"/>
          <w:szCs w:val="22"/>
          <w:shd w:val="clear" w:color="auto" w:fill="FFFFFF"/>
        </w:rPr>
      </w:pPr>
      <w:r>
        <w:rPr>
          <w:rFonts w:ascii="Arial" w:hAnsi="Arial" w:cs="Arial"/>
          <w:color w:val="201F1E"/>
          <w:sz w:val="22"/>
          <w:szCs w:val="22"/>
          <w:shd w:val="clear" w:color="auto" w:fill="FFFFFF"/>
        </w:rPr>
        <w:t>Cámara de Representantes</w:t>
      </w:r>
    </w:p>
    <w:p w14:paraId="5F8C7E6B" w14:textId="2D04B158" w:rsidR="00AA76B3" w:rsidRDefault="00AA76B3" w:rsidP="001B0240">
      <w:pPr>
        <w:pStyle w:val="xxmsonormal"/>
        <w:shd w:val="clear" w:color="auto" w:fill="FFFFFF"/>
        <w:spacing w:before="0" w:beforeAutospacing="0" w:after="0" w:afterAutospacing="0"/>
        <w:jc w:val="both"/>
        <w:rPr>
          <w:rFonts w:ascii="Arial" w:hAnsi="Arial" w:cs="Arial"/>
          <w:color w:val="201F1E"/>
          <w:sz w:val="22"/>
          <w:szCs w:val="22"/>
          <w:shd w:val="clear" w:color="auto" w:fill="FFFFFF"/>
        </w:rPr>
      </w:pPr>
      <w:r>
        <w:rPr>
          <w:rFonts w:ascii="Arial" w:hAnsi="Arial" w:cs="Arial"/>
          <w:color w:val="201F1E"/>
          <w:sz w:val="22"/>
          <w:szCs w:val="22"/>
          <w:shd w:val="clear" w:color="auto" w:fill="FFFFFF"/>
        </w:rPr>
        <w:t>Ciudad</w:t>
      </w:r>
    </w:p>
    <w:p w14:paraId="793633D1" w14:textId="77777777" w:rsidR="00AA76B3" w:rsidRDefault="00AA76B3" w:rsidP="001B0240">
      <w:pPr>
        <w:pStyle w:val="xxmsonormal"/>
        <w:shd w:val="clear" w:color="auto" w:fill="FFFFFF"/>
        <w:spacing w:before="0" w:beforeAutospacing="0" w:after="0" w:afterAutospacing="0"/>
        <w:jc w:val="both"/>
        <w:rPr>
          <w:rFonts w:ascii="Arial" w:hAnsi="Arial" w:cs="Arial"/>
          <w:color w:val="201F1E"/>
          <w:sz w:val="22"/>
          <w:szCs w:val="22"/>
          <w:shd w:val="clear" w:color="auto" w:fill="FFFFFF"/>
        </w:rPr>
      </w:pPr>
    </w:p>
    <w:p w14:paraId="0AF6B435" w14:textId="36852247" w:rsidR="001B0240" w:rsidRDefault="00AA76B3" w:rsidP="001B0240">
      <w:pPr>
        <w:pStyle w:val="xxmsonormal"/>
        <w:shd w:val="clear" w:color="auto" w:fill="FFFFFF"/>
        <w:spacing w:before="0" w:beforeAutospacing="0" w:after="0" w:afterAutospacing="0"/>
        <w:jc w:val="both"/>
        <w:rPr>
          <w:rFonts w:ascii="Arial" w:hAnsi="Arial" w:cs="Arial"/>
          <w:color w:val="201F1E"/>
          <w:sz w:val="22"/>
          <w:szCs w:val="22"/>
          <w:shd w:val="clear" w:color="auto" w:fill="FFFFFF"/>
        </w:rPr>
      </w:pPr>
      <w:r w:rsidRPr="00AA76B3">
        <w:rPr>
          <w:rFonts w:ascii="Arial" w:hAnsi="Arial" w:cs="Arial"/>
          <w:b/>
          <w:bCs/>
          <w:color w:val="201F1E"/>
          <w:sz w:val="22"/>
          <w:szCs w:val="22"/>
          <w:shd w:val="clear" w:color="auto" w:fill="FFFFFF"/>
        </w:rPr>
        <w:t>Ref</w:t>
      </w:r>
      <w:r>
        <w:rPr>
          <w:rFonts w:ascii="Arial" w:hAnsi="Arial" w:cs="Arial"/>
          <w:color w:val="201F1E"/>
          <w:sz w:val="22"/>
          <w:szCs w:val="22"/>
          <w:shd w:val="clear" w:color="auto" w:fill="FFFFFF"/>
        </w:rPr>
        <w:t xml:space="preserve">. Respuestas a </w:t>
      </w:r>
      <w:r w:rsidRPr="001B0240">
        <w:rPr>
          <w:rFonts w:ascii="Arial" w:hAnsi="Arial" w:cs="Arial"/>
          <w:color w:val="201F1E"/>
          <w:sz w:val="22"/>
          <w:szCs w:val="22"/>
          <w:shd w:val="clear" w:color="auto" w:fill="FFFFFF"/>
        </w:rPr>
        <w:t xml:space="preserve">Proposición </w:t>
      </w:r>
      <w:r>
        <w:rPr>
          <w:rFonts w:ascii="Arial" w:hAnsi="Arial" w:cs="Arial"/>
          <w:color w:val="201F1E"/>
          <w:sz w:val="22"/>
          <w:szCs w:val="22"/>
          <w:shd w:val="clear" w:color="auto" w:fill="FFFFFF"/>
        </w:rPr>
        <w:t xml:space="preserve">No. </w:t>
      </w:r>
      <w:r w:rsidRPr="001B0240">
        <w:rPr>
          <w:rFonts w:ascii="Arial" w:hAnsi="Arial" w:cs="Arial"/>
          <w:color w:val="201F1E"/>
          <w:sz w:val="22"/>
          <w:szCs w:val="22"/>
          <w:shd w:val="clear" w:color="auto" w:fill="FFFFFF"/>
        </w:rPr>
        <w:t>20</w:t>
      </w:r>
      <w:r>
        <w:rPr>
          <w:rFonts w:ascii="Arial" w:hAnsi="Arial" w:cs="Arial"/>
          <w:color w:val="201F1E"/>
          <w:sz w:val="22"/>
          <w:szCs w:val="22"/>
          <w:shd w:val="clear" w:color="auto" w:fill="FFFFFF"/>
        </w:rPr>
        <w:t xml:space="preserve"> – Citación d</w:t>
      </w:r>
      <w:r w:rsidR="001B0240" w:rsidRPr="001B0240">
        <w:rPr>
          <w:rFonts w:ascii="Arial" w:hAnsi="Arial" w:cs="Arial"/>
          <w:color w:val="201F1E"/>
          <w:sz w:val="22"/>
          <w:szCs w:val="22"/>
          <w:shd w:val="clear" w:color="auto" w:fill="FFFFFF"/>
        </w:rPr>
        <w:t xml:space="preserve">ebate de control político   </w:t>
      </w:r>
    </w:p>
    <w:p w14:paraId="78DD3CD1" w14:textId="4323032C" w:rsidR="001B0240" w:rsidRDefault="001B0240" w:rsidP="001B0240">
      <w:pPr>
        <w:pStyle w:val="xxmsonormal"/>
        <w:shd w:val="clear" w:color="auto" w:fill="FFFFFF"/>
        <w:spacing w:before="0" w:beforeAutospacing="0" w:after="0" w:afterAutospacing="0"/>
        <w:jc w:val="both"/>
        <w:rPr>
          <w:rFonts w:ascii="Arial" w:hAnsi="Arial" w:cs="Arial"/>
          <w:color w:val="201F1E"/>
          <w:sz w:val="22"/>
          <w:szCs w:val="22"/>
          <w:bdr w:val="none" w:sz="0" w:space="0" w:color="auto" w:frame="1"/>
          <w:lang w:val="es-ES"/>
        </w:rPr>
      </w:pPr>
    </w:p>
    <w:p w14:paraId="057B0083" w14:textId="2C9EF279" w:rsidR="001B0240" w:rsidRDefault="00AA76B3" w:rsidP="001B0240">
      <w:pPr>
        <w:pStyle w:val="xxmsonormal"/>
        <w:shd w:val="clear" w:color="auto" w:fill="FFFFFF"/>
        <w:spacing w:before="0" w:beforeAutospacing="0" w:after="0" w:afterAutospacing="0"/>
        <w:jc w:val="both"/>
        <w:rPr>
          <w:rFonts w:ascii="Arial" w:hAnsi="Arial" w:cs="Arial"/>
          <w:color w:val="201F1E"/>
          <w:sz w:val="22"/>
          <w:szCs w:val="22"/>
        </w:rPr>
      </w:pPr>
      <w:r>
        <w:rPr>
          <w:rFonts w:ascii="Arial" w:hAnsi="Arial" w:cs="Arial"/>
          <w:color w:val="201F1E"/>
          <w:sz w:val="22"/>
          <w:szCs w:val="22"/>
        </w:rPr>
        <w:t>Respetado Representante,</w:t>
      </w:r>
    </w:p>
    <w:p w14:paraId="68C8DDB4" w14:textId="77777777" w:rsidR="00F210CD" w:rsidRDefault="00F210CD" w:rsidP="001B0240">
      <w:pPr>
        <w:pStyle w:val="xxmsonormal"/>
        <w:shd w:val="clear" w:color="auto" w:fill="FFFFFF"/>
        <w:spacing w:before="0" w:beforeAutospacing="0" w:after="0" w:afterAutospacing="0"/>
        <w:jc w:val="both"/>
        <w:rPr>
          <w:rFonts w:ascii="Arial" w:hAnsi="Arial" w:cs="Arial"/>
          <w:color w:val="201F1E"/>
          <w:sz w:val="22"/>
          <w:szCs w:val="22"/>
        </w:rPr>
      </w:pPr>
    </w:p>
    <w:p w14:paraId="675F8EEF" w14:textId="11C04236" w:rsidR="00AA76B3" w:rsidRPr="001B0240" w:rsidRDefault="00AA76B3" w:rsidP="001B0240">
      <w:pPr>
        <w:pStyle w:val="xxmsonormal"/>
        <w:shd w:val="clear" w:color="auto" w:fill="FFFFFF"/>
        <w:spacing w:before="0" w:beforeAutospacing="0" w:after="0" w:afterAutospacing="0"/>
        <w:jc w:val="both"/>
        <w:rPr>
          <w:rFonts w:ascii="Arial" w:hAnsi="Arial" w:cs="Arial"/>
          <w:color w:val="201F1E"/>
          <w:sz w:val="22"/>
          <w:szCs w:val="22"/>
        </w:rPr>
      </w:pPr>
      <w:r>
        <w:rPr>
          <w:rFonts w:ascii="Arial" w:hAnsi="Arial" w:cs="Arial"/>
          <w:color w:val="201F1E"/>
          <w:sz w:val="22"/>
          <w:szCs w:val="22"/>
        </w:rPr>
        <w:t>En atención a la comunicación del 1 de septiembre de 2021, mediante la cual cita</w:t>
      </w:r>
      <w:r w:rsidR="000140C3">
        <w:rPr>
          <w:rFonts w:ascii="Arial" w:hAnsi="Arial" w:cs="Arial"/>
          <w:color w:val="201F1E"/>
          <w:sz w:val="22"/>
          <w:szCs w:val="22"/>
        </w:rPr>
        <w:t xml:space="preserve"> a debate</w:t>
      </w:r>
      <w:r w:rsidR="000140C3" w:rsidRPr="000140C3">
        <w:rPr>
          <w:rFonts w:ascii="Arial" w:hAnsi="Arial" w:cs="Arial"/>
          <w:color w:val="201F1E"/>
          <w:sz w:val="22"/>
          <w:szCs w:val="22"/>
        </w:rPr>
        <w:t xml:space="preserve"> </w:t>
      </w:r>
      <w:r w:rsidR="000140C3">
        <w:rPr>
          <w:rFonts w:ascii="Arial" w:hAnsi="Arial" w:cs="Arial"/>
          <w:color w:val="201F1E"/>
          <w:sz w:val="22"/>
          <w:szCs w:val="22"/>
        </w:rPr>
        <w:t>de control político, a continuación</w:t>
      </w:r>
      <w:r w:rsidR="009458F5">
        <w:rPr>
          <w:rFonts w:ascii="Arial" w:hAnsi="Arial" w:cs="Arial"/>
          <w:color w:val="201F1E"/>
          <w:sz w:val="22"/>
          <w:szCs w:val="22"/>
        </w:rPr>
        <w:t>,</w:t>
      </w:r>
      <w:r w:rsidR="000140C3">
        <w:rPr>
          <w:rFonts w:ascii="Arial" w:hAnsi="Arial" w:cs="Arial"/>
          <w:color w:val="201F1E"/>
          <w:sz w:val="22"/>
          <w:szCs w:val="22"/>
        </w:rPr>
        <w:t xml:space="preserve"> se resuelve el cuestionario allegado:</w:t>
      </w:r>
    </w:p>
    <w:p w14:paraId="0D51E9FF" w14:textId="622DE1B4" w:rsidR="001B0240" w:rsidRPr="001B0240" w:rsidRDefault="001B0240" w:rsidP="001B0240">
      <w:pPr>
        <w:pStyle w:val="xxmsonormal"/>
        <w:shd w:val="clear" w:color="auto" w:fill="FFFFFF"/>
        <w:spacing w:before="0" w:beforeAutospacing="0" w:after="0" w:afterAutospacing="0"/>
        <w:jc w:val="both"/>
        <w:rPr>
          <w:rFonts w:ascii="Arial" w:hAnsi="Arial" w:cs="Arial"/>
          <w:color w:val="201F1E"/>
          <w:sz w:val="22"/>
          <w:szCs w:val="22"/>
        </w:rPr>
      </w:pPr>
      <w:r w:rsidRPr="001B0240">
        <w:rPr>
          <w:rFonts w:ascii="Arial" w:hAnsi="Arial" w:cs="Arial"/>
          <w:color w:val="201F1E"/>
          <w:sz w:val="22"/>
          <w:szCs w:val="22"/>
          <w:bdr w:val="none" w:sz="0" w:space="0" w:color="auto" w:frame="1"/>
          <w:lang w:val="es-ES"/>
        </w:rPr>
        <w:t>       </w:t>
      </w:r>
    </w:p>
    <w:p w14:paraId="1A8A9DE0" w14:textId="2C409CF0" w:rsidR="001B0240" w:rsidRPr="001B0240" w:rsidRDefault="001B0240" w:rsidP="003D53F5">
      <w:pPr>
        <w:pStyle w:val="xxmsonormal"/>
        <w:shd w:val="clear" w:color="auto" w:fill="FFFFFF"/>
        <w:spacing w:before="0" w:beforeAutospacing="0" w:after="0" w:afterAutospacing="0"/>
        <w:rPr>
          <w:rFonts w:ascii="Arial" w:hAnsi="Arial" w:cs="Arial"/>
          <w:color w:val="201F1E"/>
          <w:sz w:val="22"/>
          <w:szCs w:val="22"/>
        </w:rPr>
      </w:pPr>
      <w:r w:rsidRPr="001B0240">
        <w:rPr>
          <w:rFonts w:ascii="Arial" w:hAnsi="Arial" w:cs="Arial"/>
          <w:b/>
          <w:bCs/>
          <w:color w:val="201F1E"/>
          <w:sz w:val="22"/>
          <w:szCs w:val="22"/>
          <w:bdr w:val="none" w:sz="0" w:space="0" w:color="auto" w:frame="1"/>
          <w:lang w:val="es-ES"/>
        </w:rPr>
        <w:t>CUESTIONARIO</w:t>
      </w:r>
    </w:p>
    <w:p w14:paraId="52D763BB" w14:textId="77777777" w:rsidR="001B0240" w:rsidRPr="001B0240" w:rsidRDefault="001B0240" w:rsidP="001B0240">
      <w:pPr>
        <w:pStyle w:val="xxmsonormal"/>
        <w:shd w:val="clear" w:color="auto" w:fill="FFFFFF"/>
        <w:spacing w:before="0" w:beforeAutospacing="0" w:after="0" w:afterAutospacing="0"/>
        <w:jc w:val="both"/>
        <w:rPr>
          <w:rFonts w:ascii="Arial" w:hAnsi="Arial" w:cs="Arial"/>
          <w:color w:val="201F1E"/>
          <w:sz w:val="22"/>
          <w:szCs w:val="22"/>
        </w:rPr>
      </w:pPr>
      <w:r w:rsidRPr="001B0240">
        <w:rPr>
          <w:rFonts w:ascii="Arial" w:hAnsi="Arial" w:cs="Arial"/>
          <w:color w:val="201F1E"/>
          <w:sz w:val="22"/>
          <w:szCs w:val="22"/>
          <w:bdr w:val="none" w:sz="0" w:space="0" w:color="auto" w:frame="1"/>
          <w:lang w:val="es-ES"/>
        </w:rPr>
        <w:t> </w:t>
      </w:r>
    </w:p>
    <w:p w14:paraId="2C19D01B" w14:textId="3151D2C0" w:rsidR="001B0240" w:rsidRPr="00C31D64"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t>1. De los procesos de liquidación que ha adelantado la Superintendencia Nacional de Salud frente las Empresas Promotoras de Salud</w:t>
      </w:r>
      <w:r w:rsidR="003B7799">
        <w:rPr>
          <w:rFonts w:ascii="Arial" w:hAnsi="Arial" w:cs="Arial"/>
          <w:b/>
          <w:bCs/>
          <w:color w:val="201F1E"/>
          <w:sz w:val="22"/>
          <w:szCs w:val="22"/>
          <w:bdr w:val="none" w:sz="0" w:space="0" w:color="auto" w:frame="1"/>
          <w:lang w:val="es-ES"/>
        </w:rPr>
        <w:t xml:space="preserve"> </w:t>
      </w:r>
      <w:r w:rsidRPr="00C31D64">
        <w:rPr>
          <w:rFonts w:ascii="Arial" w:hAnsi="Arial" w:cs="Arial"/>
          <w:b/>
          <w:bCs/>
          <w:color w:val="201F1E"/>
          <w:sz w:val="22"/>
          <w:szCs w:val="22"/>
          <w:bdr w:val="none" w:sz="0" w:space="0" w:color="auto" w:frame="1"/>
          <w:lang w:val="es-ES"/>
        </w:rPr>
        <w:t>-</w:t>
      </w:r>
      <w:r w:rsidR="003B7799">
        <w:rPr>
          <w:rFonts w:ascii="Arial" w:hAnsi="Arial" w:cs="Arial"/>
          <w:b/>
          <w:bCs/>
          <w:color w:val="201F1E"/>
          <w:sz w:val="22"/>
          <w:szCs w:val="22"/>
          <w:bdr w:val="none" w:sz="0" w:space="0" w:color="auto" w:frame="1"/>
          <w:lang w:val="es-ES"/>
        </w:rPr>
        <w:t xml:space="preserve"> </w:t>
      </w:r>
      <w:r w:rsidRPr="00C31D64">
        <w:rPr>
          <w:rFonts w:ascii="Arial" w:hAnsi="Arial" w:cs="Arial"/>
          <w:b/>
          <w:bCs/>
          <w:color w:val="201F1E"/>
          <w:sz w:val="22"/>
          <w:szCs w:val="22"/>
          <w:bdr w:val="none" w:sz="0" w:space="0" w:color="auto" w:frame="1"/>
          <w:lang w:val="es-ES"/>
        </w:rPr>
        <w:t>EPS, ¿Cuál ha logrado un porcentaje importante de pago de acreencias que pueda considerarse exitoso?</w:t>
      </w:r>
    </w:p>
    <w:p w14:paraId="5B51A3B2" w14:textId="6601D447" w:rsidR="00AD556E" w:rsidRDefault="00AD556E" w:rsidP="001B0240">
      <w:pPr>
        <w:pStyle w:val="xxmsonormal"/>
        <w:shd w:val="clear" w:color="auto" w:fill="FFFFFF"/>
        <w:spacing w:before="0" w:beforeAutospacing="0" w:after="0" w:afterAutospacing="0"/>
        <w:jc w:val="both"/>
        <w:rPr>
          <w:rFonts w:ascii="Arial" w:hAnsi="Arial" w:cs="Arial"/>
          <w:b/>
          <w:bCs/>
          <w:color w:val="201F1E"/>
          <w:sz w:val="22"/>
          <w:szCs w:val="22"/>
          <w:bdr w:val="none" w:sz="0" w:space="0" w:color="auto" w:frame="1"/>
          <w:shd w:val="clear" w:color="auto" w:fill="FFFF00"/>
          <w:lang w:val="es-ES"/>
        </w:rPr>
      </w:pPr>
    </w:p>
    <w:p w14:paraId="267C5EF4" w14:textId="7D2E76B3" w:rsidR="00AD556E" w:rsidRPr="00AD556E" w:rsidRDefault="00AD556E" w:rsidP="00AD556E">
      <w:pPr>
        <w:spacing w:after="0" w:line="240" w:lineRule="auto"/>
        <w:jc w:val="both"/>
        <w:rPr>
          <w:rFonts w:ascii="Arial" w:hAnsi="Arial" w:cs="Arial"/>
          <w:lang w:eastAsia="es-CO"/>
        </w:rPr>
      </w:pPr>
      <w:r w:rsidRPr="00AD556E">
        <w:rPr>
          <w:rFonts w:ascii="Arial" w:hAnsi="Arial" w:cs="Arial"/>
          <w:lang w:eastAsia="es-CO"/>
        </w:rPr>
        <w:t xml:space="preserve">Durante los últimos diez </w:t>
      </w:r>
      <w:r w:rsidR="00BC2205">
        <w:rPr>
          <w:rFonts w:ascii="Arial" w:hAnsi="Arial" w:cs="Arial"/>
          <w:lang w:eastAsia="es-CO"/>
        </w:rPr>
        <w:t xml:space="preserve">años dentro de los procesos liquidatorios decretados por la Superintendencia se destaca el caso de las </w:t>
      </w:r>
      <w:r w:rsidRPr="00AD556E">
        <w:rPr>
          <w:rFonts w:ascii="Arial" w:hAnsi="Arial" w:cs="Arial"/>
          <w:lang w:eastAsia="es-CO"/>
        </w:rPr>
        <w:t xml:space="preserve">once (11) EPS </w:t>
      </w:r>
      <w:r w:rsidR="00BC2205">
        <w:rPr>
          <w:rFonts w:ascii="Arial" w:hAnsi="Arial" w:cs="Arial"/>
          <w:lang w:eastAsia="es-CO"/>
        </w:rPr>
        <w:t>que presentan un cumplimiento en los pagos</w:t>
      </w:r>
      <w:r w:rsidRPr="00AD556E">
        <w:rPr>
          <w:rFonts w:ascii="Arial" w:hAnsi="Arial" w:cs="Arial"/>
          <w:lang w:eastAsia="es-CO"/>
        </w:rPr>
        <w:t xml:space="preserve"> superior al 97% de las acreencias reconocidas a terceros, dentro de las cuales se encuentran: Caprecom EICE liquidada (97%), Programa de EPS de la Caja de Compensación Familiar de Boyacá – Comfaboy (100%), Programa de EPS de Comfama (100%), Programa de EPS de la Caja de Compensación  Familiar Comfenalco Antioquia (100%), Programa de EPS de la Caja de Compensación Familiar Famisalud – Comfanorte (100%), Programa de EPS de Comfenalco Santander (100%), Programa de EPS de Comfaca (100%), Programa de EPS de Cafam (100%), Programa de EPS Colsubsidio (100%), Programa de EPS de Cajasan (99%), Programa de EPS de Comfaoriente (99%) y Redsalud (100%).</w:t>
      </w:r>
    </w:p>
    <w:p w14:paraId="0C537E33" w14:textId="77777777" w:rsidR="00AD556E" w:rsidRPr="00AD556E" w:rsidRDefault="00AD556E" w:rsidP="00AD556E">
      <w:pPr>
        <w:spacing w:after="0" w:line="240" w:lineRule="auto"/>
        <w:jc w:val="both"/>
        <w:rPr>
          <w:rFonts w:ascii="Arial" w:hAnsi="Arial" w:cs="Arial"/>
          <w:lang w:eastAsia="es-CO"/>
        </w:rPr>
      </w:pPr>
    </w:p>
    <w:p w14:paraId="7A1D2FE8" w14:textId="3D26087E" w:rsidR="00AD556E" w:rsidRPr="00AD556E" w:rsidRDefault="00AD556E" w:rsidP="00AD556E">
      <w:pPr>
        <w:spacing w:after="0" w:line="240" w:lineRule="auto"/>
        <w:jc w:val="both"/>
        <w:rPr>
          <w:rFonts w:ascii="Arial" w:hAnsi="Arial" w:cs="Arial"/>
          <w:lang w:eastAsia="es-CO"/>
        </w:rPr>
      </w:pPr>
      <w:r w:rsidRPr="00AD556E">
        <w:rPr>
          <w:rFonts w:ascii="Arial" w:hAnsi="Arial" w:cs="Arial"/>
          <w:lang w:eastAsia="es-CO"/>
        </w:rPr>
        <w:t xml:space="preserve">A continuación, se relaciona el detalle de lo </w:t>
      </w:r>
      <w:r>
        <w:rPr>
          <w:rFonts w:ascii="Arial" w:hAnsi="Arial" w:cs="Arial"/>
          <w:lang w:eastAsia="es-CO"/>
        </w:rPr>
        <w:t>enunciado</w:t>
      </w:r>
      <w:r w:rsidRPr="00AD556E">
        <w:rPr>
          <w:rFonts w:ascii="Arial" w:hAnsi="Arial" w:cs="Arial"/>
          <w:lang w:eastAsia="es-CO"/>
        </w:rPr>
        <w:t>:</w:t>
      </w:r>
    </w:p>
    <w:p w14:paraId="4CC3DF20" w14:textId="77777777" w:rsidR="00AD556E" w:rsidRPr="00AD556E" w:rsidRDefault="00AD556E" w:rsidP="00AD556E">
      <w:pPr>
        <w:spacing w:after="0" w:line="240" w:lineRule="auto"/>
        <w:jc w:val="both"/>
        <w:rPr>
          <w:rFonts w:ascii="Calibri" w:hAnsi="Calibri" w:cs="Calibri"/>
          <w:lang w:eastAsia="es-CO"/>
        </w:rPr>
      </w:pPr>
    </w:p>
    <w:p w14:paraId="534459F3" w14:textId="7A8CA863" w:rsidR="00AD556E" w:rsidRPr="00AD556E" w:rsidRDefault="00AD556E" w:rsidP="00AD556E">
      <w:pPr>
        <w:spacing w:after="0" w:line="240" w:lineRule="auto"/>
        <w:jc w:val="center"/>
        <w:rPr>
          <w:rFonts w:ascii="Arial" w:hAnsi="Arial" w:cs="Arial"/>
          <w:b/>
          <w:bCs/>
          <w:lang w:eastAsia="es-CO"/>
        </w:rPr>
      </w:pPr>
      <w:r w:rsidRPr="00AD556E">
        <w:rPr>
          <w:rFonts w:ascii="Arial" w:hAnsi="Arial" w:cs="Arial"/>
          <w:b/>
          <w:bCs/>
          <w:lang w:eastAsia="es-CO"/>
        </w:rPr>
        <w:t>Acreencias con pagos superiores al 97</w:t>
      </w:r>
      <w:r w:rsidR="00BB6EF9">
        <w:rPr>
          <w:rFonts w:ascii="Arial" w:hAnsi="Arial" w:cs="Arial"/>
          <w:b/>
          <w:bCs/>
          <w:lang w:eastAsia="es-CO"/>
        </w:rPr>
        <w:t>%</w:t>
      </w:r>
      <w:r w:rsidRPr="00AD556E">
        <w:rPr>
          <w:rFonts w:ascii="Arial" w:hAnsi="Arial" w:cs="Arial"/>
          <w:b/>
          <w:bCs/>
          <w:lang w:eastAsia="es-CO"/>
        </w:rPr>
        <w:t xml:space="preserve"> corte junio de 2021</w:t>
      </w:r>
    </w:p>
    <w:p w14:paraId="0CCC3EC7" w14:textId="29C63D6C" w:rsidR="00AD556E" w:rsidRPr="003B7799" w:rsidRDefault="00AD556E" w:rsidP="00AD556E">
      <w:pPr>
        <w:spacing w:after="0" w:line="240" w:lineRule="auto"/>
        <w:jc w:val="center"/>
        <w:rPr>
          <w:rFonts w:ascii="Calibri" w:hAnsi="Calibri" w:cs="Calibri"/>
          <w:b/>
          <w:bCs/>
          <w:sz w:val="18"/>
          <w:szCs w:val="18"/>
          <w:lang w:eastAsia="es-CO"/>
        </w:rPr>
      </w:pPr>
      <w:r w:rsidRPr="002D5BA3">
        <w:rPr>
          <w:rFonts w:ascii="Calibri" w:hAnsi="Calibri" w:cs="Calibri"/>
          <w:lang w:eastAsia="es-CO"/>
        </w:rPr>
        <w:t xml:space="preserve">                                                                                                                            </w:t>
      </w:r>
      <w:r w:rsidRPr="003B7799">
        <w:rPr>
          <w:rFonts w:ascii="Calibri" w:hAnsi="Calibri" w:cs="Calibri"/>
          <w:b/>
          <w:bCs/>
          <w:sz w:val="18"/>
          <w:szCs w:val="18"/>
          <w:lang w:eastAsia="es-CO"/>
        </w:rPr>
        <w:t>(</w:t>
      </w:r>
      <w:r w:rsidR="00263C0B" w:rsidRPr="003B7799">
        <w:rPr>
          <w:rFonts w:ascii="Calibri" w:hAnsi="Calibri" w:cs="Calibri"/>
          <w:b/>
          <w:bCs/>
          <w:sz w:val="18"/>
          <w:szCs w:val="18"/>
          <w:lang w:eastAsia="es-CO"/>
        </w:rPr>
        <w:t>M</w:t>
      </w:r>
      <w:r w:rsidRPr="003B7799">
        <w:rPr>
          <w:rFonts w:ascii="Calibri" w:hAnsi="Calibri" w:cs="Calibri"/>
          <w:b/>
          <w:bCs/>
          <w:sz w:val="18"/>
          <w:szCs w:val="18"/>
          <w:lang w:eastAsia="es-CO"/>
        </w:rPr>
        <w:t>illones de pesos)</w:t>
      </w:r>
    </w:p>
    <w:tbl>
      <w:tblPr>
        <w:tblW w:w="8011" w:type="dxa"/>
        <w:jc w:val="center"/>
        <w:tblCellMar>
          <w:left w:w="70" w:type="dxa"/>
          <w:right w:w="70" w:type="dxa"/>
        </w:tblCellMar>
        <w:tblLook w:val="04A0" w:firstRow="1" w:lastRow="0" w:firstColumn="1" w:lastColumn="0" w:noHBand="0" w:noVBand="1"/>
      </w:tblPr>
      <w:tblGrid>
        <w:gridCol w:w="2831"/>
        <w:gridCol w:w="1603"/>
        <w:gridCol w:w="1415"/>
        <w:gridCol w:w="1308"/>
        <w:gridCol w:w="854"/>
      </w:tblGrid>
      <w:tr w:rsidR="00AD556E" w:rsidRPr="00AD556E" w14:paraId="478664CE" w14:textId="77777777" w:rsidTr="00AD556E">
        <w:trPr>
          <w:trHeight w:val="412"/>
          <w:jc w:val="center"/>
        </w:trPr>
        <w:tc>
          <w:tcPr>
            <w:tcW w:w="2831" w:type="dxa"/>
            <w:tcBorders>
              <w:top w:val="single" w:sz="12" w:space="0" w:color="auto"/>
              <w:left w:val="single" w:sz="12" w:space="0" w:color="auto"/>
              <w:bottom w:val="nil"/>
              <w:right w:val="nil"/>
            </w:tcBorders>
            <w:shd w:val="clear" w:color="70AD47" w:fill="70AD47"/>
            <w:vAlign w:val="center"/>
            <w:hideMark/>
          </w:tcPr>
          <w:p w14:paraId="129102A2" w14:textId="77777777" w:rsidR="00AD556E" w:rsidRPr="00AD556E" w:rsidRDefault="00AD556E" w:rsidP="00AD556E">
            <w:pPr>
              <w:spacing w:after="0" w:line="240" w:lineRule="auto"/>
              <w:jc w:val="center"/>
              <w:rPr>
                <w:rFonts w:ascii="Calibri" w:eastAsia="Times New Roman" w:hAnsi="Calibri" w:cs="Calibri"/>
                <w:b/>
                <w:bCs/>
                <w:color w:val="FFFFFF"/>
                <w:sz w:val="16"/>
                <w:szCs w:val="16"/>
                <w:lang w:eastAsia="es-CO"/>
              </w:rPr>
            </w:pPr>
            <w:r w:rsidRPr="00AD556E">
              <w:rPr>
                <w:rFonts w:ascii="Calibri" w:eastAsia="Times New Roman" w:hAnsi="Calibri" w:cs="Calibri"/>
                <w:b/>
                <w:bCs/>
                <w:color w:val="FFFFFF"/>
                <w:sz w:val="16"/>
                <w:szCs w:val="16"/>
                <w:lang w:eastAsia="es-CO"/>
              </w:rPr>
              <w:t>EPS</w:t>
            </w:r>
          </w:p>
        </w:tc>
        <w:tc>
          <w:tcPr>
            <w:tcW w:w="1602" w:type="dxa"/>
            <w:tcBorders>
              <w:top w:val="single" w:sz="12" w:space="0" w:color="auto"/>
              <w:left w:val="nil"/>
              <w:bottom w:val="nil"/>
              <w:right w:val="nil"/>
            </w:tcBorders>
            <w:shd w:val="clear" w:color="70AD47" w:fill="70AD47"/>
            <w:vAlign w:val="center"/>
            <w:hideMark/>
          </w:tcPr>
          <w:p w14:paraId="601EB464" w14:textId="77777777" w:rsidR="00AD556E" w:rsidRPr="00AD556E" w:rsidRDefault="00AD556E" w:rsidP="00AD556E">
            <w:pPr>
              <w:spacing w:after="0" w:line="240" w:lineRule="auto"/>
              <w:jc w:val="center"/>
              <w:rPr>
                <w:rFonts w:ascii="Calibri" w:eastAsia="Times New Roman" w:hAnsi="Calibri" w:cs="Calibri"/>
                <w:b/>
                <w:bCs/>
                <w:color w:val="FFFFFF"/>
                <w:sz w:val="16"/>
                <w:szCs w:val="16"/>
                <w:lang w:eastAsia="es-CO"/>
              </w:rPr>
            </w:pPr>
            <w:r w:rsidRPr="00AD556E">
              <w:rPr>
                <w:rFonts w:ascii="Calibri" w:eastAsia="Times New Roman" w:hAnsi="Calibri" w:cs="Calibri"/>
                <w:b/>
                <w:bCs/>
                <w:color w:val="FFFFFF"/>
                <w:sz w:val="16"/>
                <w:szCs w:val="16"/>
                <w:lang w:eastAsia="es-CO"/>
              </w:rPr>
              <w:t>Tipo de liquidación</w:t>
            </w:r>
          </w:p>
        </w:tc>
        <w:tc>
          <w:tcPr>
            <w:tcW w:w="1415" w:type="dxa"/>
            <w:tcBorders>
              <w:top w:val="single" w:sz="12" w:space="0" w:color="auto"/>
              <w:left w:val="nil"/>
              <w:bottom w:val="nil"/>
              <w:right w:val="nil"/>
            </w:tcBorders>
            <w:shd w:val="clear" w:color="70AD47" w:fill="70AD47"/>
            <w:vAlign w:val="center"/>
            <w:hideMark/>
          </w:tcPr>
          <w:p w14:paraId="14FB5016" w14:textId="6C732DA9" w:rsidR="00AD556E" w:rsidRPr="00AD556E" w:rsidRDefault="00AD556E" w:rsidP="00AD556E">
            <w:pPr>
              <w:spacing w:after="0" w:line="240" w:lineRule="auto"/>
              <w:jc w:val="center"/>
              <w:rPr>
                <w:rFonts w:ascii="Calibri" w:eastAsia="Times New Roman" w:hAnsi="Calibri" w:cs="Calibri"/>
                <w:b/>
                <w:bCs/>
                <w:color w:val="FFFFFF"/>
                <w:sz w:val="16"/>
                <w:szCs w:val="16"/>
                <w:lang w:eastAsia="es-CO"/>
              </w:rPr>
            </w:pPr>
            <w:r w:rsidRPr="00AD556E">
              <w:rPr>
                <w:rFonts w:ascii="Calibri" w:eastAsia="Times New Roman" w:hAnsi="Calibri" w:cs="Calibri"/>
                <w:b/>
                <w:bCs/>
                <w:color w:val="FFFFFF"/>
                <w:sz w:val="16"/>
                <w:szCs w:val="16"/>
                <w:lang w:eastAsia="es-CO"/>
              </w:rPr>
              <w:t>V</w:t>
            </w:r>
            <w:r w:rsidR="00263C0B">
              <w:rPr>
                <w:rFonts w:ascii="Calibri" w:eastAsia="Times New Roman" w:hAnsi="Calibri" w:cs="Calibri"/>
                <w:b/>
                <w:bCs/>
                <w:color w:val="FFFFFF"/>
                <w:sz w:val="16"/>
                <w:szCs w:val="16"/>
                <w:lang w:eastAsia="es-CO"/>
              </w:rPr>
              <w:t>alor r</w:t>
            </w:r>
            <w:r w:rsidRPr="00AD556E">
              <w:rPr>
                <w:rFonts w:ascii="Calibri" w:eastAsia="Times New Roman" w:hAnsi="Calibri" w:cs="Calibri"/>
                <w:b/>
                <w:bCs/>
                <w:color w:val="FFFFFF"/>
                <w:sz w:val="16"/>
                <w:szCs w:val="16"/>
                <w:lang w:eastAsia="es-CO"/>
              </w:rPr>
              <w:t>econocido</w:t>
            </w:r>
          </w:p>
        </w:tc>
        <w:tc>
          <w:tcPr>
            <w:tcW w:w="1308" w:type="dxa"/>
            <w:tcBorders>
              <w:top w:val="single" w:sz="12" w:space="0" w:color="auto"/>
              <w:left w:val="nil"/>
              <w:bottom w:val="nil"/>
              <w:right w:val="nil"/>
            </w:tcBorders>
            <w:shd w:val="clear" w:color="70AD47" w:fill="70AD47"/>
            <w:vAlign w:val="center"/>
            <w:hideMark/>
          </w:tcPr>
          <w:p w14:paraId="083C1F6E" w14:textId="19ABA601" w:rsidR="00AD556E" w:rsidRPr="00AD556E" w:rsidRDefault="00263C0B" w:rsidP="00AD556E">
            <w:pPr>
              <w:spacing w:after="0" w:line="240" w:lineRule="auto"/>
              <w:jc w:val="center"/>
              <w:rPr>
                <w:rFonts w:ascii="Calibri" w:eastAsia="Times New Roman" w:hAnsi="Calibri" w:cs="Calibri"/>
                <w:b/>
                <w:bCs/>
                <w:color w:val="FFFFFF"/>
                <w:sz w:val="16"/>
                <w:szCs w:val="16"/>
                <w:lang w:eastAsia="es-CO"/>
              </w:rPr>
            </w:pPr>
            <w:r>
              <w:rPr>
                <w:rFonts w:ascii="Calibri" w:eastAsia="Times New Roman" w:hAnsi="Calibri" w:cs="Calibri"/>
                <w:b/>
                <w:bCs/>
                <w:color w:val="FFFFFF"/>
                <w:sz w:val="16"/>
                <w:szCs w:val="16"/>
                <w:lang w:eastAsia="es-CO"/>
              </w:rPr>
              <w:t>Valor total</w:t>
            </w:r>
            <w:r w:rsidRPr="00AD556E">
              <w:rPr>
                <w:rFonts w:ascii="Calibri" w:eastAsia="Times New Roman" w:hAnsi="Calibri" w:cs="Calibri"/>
                <w:b/>
                <w:bCs/>
                <w:color w:val="FFFFFF"/>
                <w:sz w:val="16"/>
                <w:szCs w:val="16"/>
                <w:lang w:eastAsia="es-CO"/>
              </w:rPr>
              <w:t xml:space="preserve"> </w:t>
            </w:r>
            <w:r w:rsidR="00AD556E" w:rsidRPr="00AD556E">
              <w:rPr>
                <w:rFonts w:ascii="Calibri" w:eastAsia="Times New Roman" w:hAnsi="Calibri" w:cs="Calibri"/>
                <w:b/>
                <w:bCs/>
                <w:color w:val="FFFFFF"/>
                <w:sz w:val="16"/>
                <w:szCs w:val="16"/>
                <w:lang w:eastAsia="es-CO"/>
              </w:rPr>
              <w:t>pagado</w:t>
            </w:r>
          </w:p>
        </w:tc>
        <w:tc>
          <w:tcPr>
            <w:tcW w:w="854" w:type="dxa"/>
            <w:tcBorders>
              <w:top w:val="single" w:sz="12" w:space="0" w:color="auto"/>
              <w:left w:val="nil"/>
              <w:bottom w:val="nil"/>
              <w:right w:val="single" w:sz="12" w:space="0" w:color="auto"/>
            </w:tcBorders>
            <w:shd w:val="clear" w:color="70AD47" w:fill="70AD47"/>
            <w:vAlign w:val="center"/>
            <w:hideMark/>
          </w:tcPr>
          <w:p w14:paraId="058E84B9" w14:textId="77777777" w:rsidR="00AD556E" w:rsidRPr="00AD556E" w:rsidRDefault="00AD556E" w:rsidP="00AD556E">
            <w:pPr>
              <w:spacing w:after="0" w:line="240" w:lineRule="auto"/>
              <w:jc w:val="center"/>
              <w:rPr>
                <w:rFonts w:ascii="Calibri" w:eastAsia="Times New Roman" w:hAnsi="Calibri" w:cs="Calibri"/>
                <w:b/>
                <w:bCs/>
                <w:color w:val="FFFFFF"/>
                <w:sz w:val="16"/>
                <w:szCs w:val="16"/>
                <w:lang w:eastAsia="es-CO"/>
              </w:rPr>
            </w:pPr>
            <w:r w:rsidRPr="00AD556E">
              <w:rPr>
                <w:rFonts w:ascii="Calibri" w:eastAsia="Times New Roman" w:hAnsi="Calibri" w:cs="Calibri"/>
                <w:b/>
                <w:bCs/>
                <w:color w:val="FFFFFF"/>
                <w:sz w:val="16"/>
                <w:szCs w:val="16"/>
                <w:lang w:eastAsia="es-CO"/>
              </w:rPr>
              <w:t>% Pagos</w:t>
            </w:r>
          </w:p>
        </w:tc>
      </w:tr>
      <w:tr w:rsidR="00AD556E" w:rsidRPr="00AD556E" w14:paraId="65275BB8" w14:textId="77777777" w:rsidTr="00AD556E">
        <w:trPr>
          <w:trHeight w:val="604"/>
          <w:jc w:val="center"/>
        </w:trPr>
        <w:tc>
          <w:tcPr>
            <w:tcW w:w="2831" w:type="dxa"/>
            <w:tcBorders>
              <w:top w:val="nil"/>
              <w:left w:val="single" w:sz="12" w:space="0" w:color="auto"/>
              <w:bottom w:val="nil"/>
              <w:right w:val="nil"/>
            </w:tcBorders>
            <w:shd w:val="clear" w:color="E2EFDA" w:fill="E2EFDA"/>
            <w:vAlign w:val="center"/>
            <w:hideMark/>
          </w:tcPr>
          <w:p w14:paraId="09D60423" w14:textId="77777777" w:rsidR="00AD556E" w:rsidRPr="00AD556E" w:rsidRDefault="00AD556E" w:rsidP="00AD556E">
            <w:pPr>
              <w:spacing w:after="0" w:line="240" w:lineRule="auto"/>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CAPRECOM</w:t>
            </w:r>
            <w:r w:rsidRPr="00AD556E">
              <w:rPr>
                <w:rFonts w:ascii="Calibri" w:eastAsia="Times New Roman" w:hAnsi="Calibri" w:cs="Calibri"/>
                <w:sz w:val="16"/>
                <w:szCs w:val="16"/>
                <w:lang w:eastAsia="es-CO"/>
              </w:rPr>
              <w:t> </w:t>
            </w:r>
            <w:r w:rsidRPr="00AD556E">
              <w:rPr>
                <w:rFonts w:ascii="Calibri" w:eastAsia="Times New Roman" w:hAnsi="Calibri" w:cs="Calibri"/>
                <w:color w:val="000000"/>
                <w:sz w:val="16"/>
                <w:szCs w:val="16"/>
                <w:lang w:eastAsia="es-CO"/>
              </w:rPr>
              <w:t>EICE</w:t>
            </w:r>
          </w:p>
        </w:tc>
        <w:tc>
          <w:tcPr>
            <w:tcW w:w="1602" w:type="dxa"/>
            <w:tcBorders>
              <w:top w:val="nil"/>
              <w:left w:val="nil"/>
              <w:bottom w:val="nil"/>
              <w:right w:val="nil"/>
            </w:tcBorders>
            <w:shd w:val="clear" w:color="E2EFDA" w:fill="E2EFDA"/>
            <w:vAlign w:val="center"/>
            <w:hideMark/>
          </w:tcPr>
          <w:p w14:paraId="72696943" w14:textId="4C1F5763" w:rsidR="00AD556E" w:rsidRPr="00AD556E" w:rsidRDefault="00AD556E" w:rsidP="00AD556E">
            <w:pPr>
              <w:spacing w:after="0" w:line="240" w:lineRule="auto"/>
              <w:jc w:val="center"/>
              <w:rPr>
                <w:rFonts w:ascii="Calibri" w:eastAsia="Times New Roman" w:hAnsi="Calibri" w:cs="Calibri"/>
                <w:sz w:val="16"/>
                <w:szCs w:val="16"/>
                <w:lang w:eastAsia="es-CO"/>
              </w:rPr>
            </w:pPr>
            <w:r w:rsidRPr="00AD556E">
              <w:rPr>
                <w:rFonts w:ascii="Calibri" w:eastAsia="Times New Roman" w:hAnsi="Calibri" w:cs="Calibri"/>
                <w:sz w:val="16"/>
                <w:szCs w:val="16"/>
                <w:lang w:eastAsia="es-CO"/>
              </w:rPr>
              <w:t>Suprimida y liquidada G</w:t>
            </w:r>
            <w:r w:rsidR="00002FF1">
              <w:rPr>
                <w:rFonts w:ascii="Calibri" w:eastAsia="Times New Roman" w:hAnsi="Calibri" w:cs="Calibri"/>
                <w:sz w:val="16"/>
                <w:szCs w:val="16"/>
                <w:lang w:eastAsia="es-CO"/>
              </w:rPr>
              <w:t>b</w:t>
            </w:r>
            <w:r w:rsidRPr="00AD556E">
              <w:rPr>
                <w:rFonts w:ascii="Calibri" w:eastAsia="Times New Roman" w:hAnsi="Calibri" w:cs="Calibri"/>
                <w:sz w:val="16"/>
                <w:szCs w:val="16"/>
                <w:lang w:eastAsia="es-CO"/>
              </w:rPr>
              <w:t>no</w:t>
            </w:r>
            <w:r w:rsidR="00AD3F73">
              <w:rPr>
                <w:rFonts w:ascii="Calibri" w:eastAsia="Times New Roman" w:hAnsi="Calibri" w:cs="Calibri"/>
                <w:sz w:val="16"/>
                <w:szCs w:val="16"/>
                <w:lang w:eastAsia="es-CO"/>
              </w:rPr>
              <w:t>.</w:t>
            </w:r>
            <w:r w:rsidRPr="00AD556E">
              <w:rPr>
                <w:rFonts w:ascii="Calibri" w:eastAsia="Times New Roman" w:hAnsi="Calibri" w:cs="Calibri"/>
                <w:sz w:val="16"/>
                <w:szCs w:val="16"/>
                <w:lang w:eastAsia="es-CO"/>
              </w:rPr>
              <w:t xml:space="preserve"> Nal</w:t>
            </w:r>
            <w:r w:rsidR="00AD3F73">
              <w:rPr>
                <w:rFonts w:ascii="Calibri" w:eastAsia="Times New Roman" w:hAnsi="Calibri" w:cs="Calibri"/>
                <w:sz w:val="16"/>
                <w:szCs w:val="16"/>
                <w:lang w:eastAsia="es-CO"/>
              </w:rPr>
              <w:t>.</w:t>
            </w:r>
          </w:p>
        </w:tc>
        <w:tc>
          <w:tcPr>
            <w:tcW w:w="1415" w:type="dxa"/>
            <w:tcBorders>
              <w:top w:val="nil"/>
              <w:left w:val="nil"/>
              <w:bottom w:val="nil"/>
              <w:right w:val="nil"/>
            </w:tcBorders>
            <w:shd w:val="clear" w:color="E2EFDA" w:fill="E2EFDA"/>
            <w:vAlign w:val="center"/>
            <w:hideMark/>
          </w:tcPr>
          <w:p w14:paraId="50F8122B"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1.743.541</w:t>
            </w:r>
          </w:p>
        </w:tc>
        <w:tc>
          <w:tcPr>
            <w:tcW w:w="1308" w:type="dxa"/>
            <w:tcBorders>
              <w:top w:val="nil"/>
              <w:left w:val="nil"/>
              <w:bottom w:val="nil"/>
              <w:right w:val="nil"/>
            </w:tcBorders>
            <w:shd w:val="clear" w:color="E2EFDA" w:fill="E2EFDA"/>
            <w:vAlign w:val="center"/>
            <w:hideMark/>
          </w:tcPr>
          <w:p w14:paraId="57DDEBF0"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1.683.358</w:t>
            </w:r>
          </w:p>
        </w:tc>
        <w:tc>
          <w:tcPr>
            <w:tcW w:w="854" w:type="dxa"/>
            <w:tcBorders>
              <w:top w:val="nil"/>
              <w:left w:val="nil"/>
              <w:bottom w:val="nil"/>
              <w:right w:val="single" w:sz="12" w:space="0" w:color="auto"/>
            </w:tcBorders>
            <w:shd w:val="clear" w:color="000000" w:fill="E2EFDA"/>
            <w:noWrap/>
            <w:vAlign w:val="bottom"/>
            <w:hideMark/>
          </w:tcPr>
          <w:p w14:paraId="77B13ABD"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97%</w:t>
            </w:r>
          </w:p>
        </w:tc>
      </w:tr>
      <w:tr w:rsidR="00AD556E" w:rsidRPr="00AD556E" w14:paraId="31F8E1A2" w14:textId="77777777" w:rsidTr="00AD556E">
        <w:trPr>
          <w:trHeight w:val="278"/>
          <w:jc w:val="center"/>
        </w:trPr>
        <w:tc>
          <w:tcPr>
            <w:tcW w:w="2831" w:type="dxa"/>
            <w:tcBorders>
              <w:top w:val="nil"/>
              <w:left w:val="single" w:sz="12" w:space="0" w:color="auto"/>
              <w:bottom w:val="nil"/>
              <w:right w:val="nil"/>
            </w:tcBorders>
            <w:shd w:val="clear" w:color="auto" w:fill="auto"/>
            <w:vAlign w:val="bottom"/>
            <w:hideMark/>
          </w:tcPr>
          <w:p w14:paraId="31F693D0" w14:textId="77777777" w:rsidR="00AD556E" w:rsidRPr="00AD556E" w:rsidRDefault="00AD556E" w:rsidP="00AD556E">
            <w:pPr>
              <w:spacing w:after="0" w:line="240" w:lineRule="auto"/>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Programa de EPS COMFABOY</w:t>
            </w:r>
          </w:p>
        </w:tc>
        <w:tc>
          <w:tcPr>
            <w:tcW w:w="1602" w:type="dxa"/>
            <w:tcBorders>
              <w:top w:val="nil"/>
              <w:left w:val="nil"/>
              <w:bottom w:val="nil"/>
              <w:right w:val="nil"/>
            </w:tcBorders>
            <w:shd w:val="clear" w:color="auto" w:fill="auto"/>
            <w:vAlign w:val="center"/>
            <w:hideMark/>
          </w:tcPr>
          <w:p w14:paraId="5B91509A" w14:textId="77777777" w:rsidR="00AD556E" w:rsidRPr="00AD556E" w:rsidRDefault="00AD556E" w:rsidP="00AD556E">
            <w:pPr>
              <w:spacing w:after="0" w:line="240" w:lineRule="auto"/>
              <w:jc w:val="center"/>
              <w:rPr>
                <w:rFonts w:ascii="Calibri" w:eastAsia="Times New Roman" w:hAnsi="Calibri" w:cs="Calibri"/>
                <w:sz w:val="16"/>
                <w:szCs w:val="16"/>
                <w:lang w:eastAsia="es-CO"/>
              </w:rPr>
            </w:pPr>
            <w:r w:rsidRPr="00AD556E">
              <w:rPr>
                <w:rFonts w:ascii="Calibri" w:eastAsia="Times New Roman" w:hAnsi="Calibri" w:cs="Calibri"/>
                <w:sz w:val="16"/>
                <w:szCs w:val="16"/>
                <w:lang w:eastAsia="es-CO"/>
              </w:rPr>
              <w:t>Voluntaria</w:t>
            </w:r>
          </w:p>
        </w:tc>
        <w:tc>
          <w:tcPr>
            <w:tcW w:w="1415" w:type="dxa"/>
            <w:tcBorders>
              <w:top w:val="nil"/>
              <w:left w:val="nil"/>
              <w:bottom w:val="nil"/>
              <w:right w:val="nil"/>
            </w:tcBorders>
            <w:shd w:val="clear" w:color="auto" w:fill="auto"/>
            <w:vAlign w:val="center"/>
            <w:hideMark/>
          </w:tcPr>
          <w:p w14:paraId="70CE0D11"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36.417</w:t>
            </w:r>
          </w:p>
        </w:tc>
        <w:tc>
          <w:tcPr>
            <w:tcW w:w="1308" w:type="dxa"/>
            <w:tcBorders>
              <w:top w:val="nil"/>
              <w:left w:val="nil"/>
              <w:bottom w:val="nil"/>
              <w:right w:val="nil"/>
            </w:tcBorders>
            <w:shd w:val="clear" w:color="auto" w:fill="auto"/>
            <w:vAlign w:val="center"/>
            <w:hideMark/>
          </w:tcPr>
          <w:p w14:paraId="2BD83F4F"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36.417</w:t>
            </w:r>
          </w:p>
        </w:tc>
        <w:tc>
          <w:tcPr>
            <w:tcW w:w="854" w:type="dxa"/>
            <w:tcBorders>
              <w:top w:val="nil"/>
              <w:left w:val="nil"/>
              <w:bottom w:val="nil"/>
              <w:right w:val="single" w:sz="12" w:space="0" w:color="auto"/>
            </w:tcBorders>
            <w:shd w:val="clear" w:color="auto" w:fill="auto"/>
            <w:noWrap/>
            <w:vAlign w:val="bottom"/>
            <w:hideMark/>
          </w:tcPr>
          <w:p w14:paraId="2201968A"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100%</w:t>
            </w:r>
          </w:p>
        </w:tc>
      </w:tr>
      <w:tr w:rsidR="00AD556E" w:rsidRPr="00AD556E" w14:paraId="3A0BE2A7" w14:textId="77777777" w:rsidTr="00AD556E">
        <w:trPr>
          <w:trHeight w:val="278"/>
          <w:jc w:val="center"/>
        </w:trPr>
        <w:tc>
          <w:tcPr>
            <w:tcW w:w="2831" w:type="dxa"/>
            <w:tcBorders>
              <w:top w:val="nil"/>
              <w:left w:val="single" w:sz="12" w:space="0" w:color="auto"/>
              <w:bottom w:val="nil"/>
              <w:right w:val="nil"/>
            </w:tcBorders>
            <w:shd w:val="clear" w:color="E2EFDA" w:fill="E2EFDA"/>
            <w:vAlign w:val="bottom"/>
            <w:hideMark/>
          </w:tcPr>
          <w:p w14:paraId="33F4D1DA" w14:textId="77777777" w:rsidR="00AD556E" w:rsidRPr="00AD556E" w:rsidRDefault="00AD556E" w:rsidP="00AD556E">
            <w:pPr>
              <w:spacing w:after="0" w:line="240" w:lineRule="auto"/>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Programa de EPS COMFAMA</w:t>
            </w:r>
          </w:p>
        </w:tc>
        <w:tc>
          <w:tcPr>
            <w:tcW w:w="1602" w:type="dxa"/>
            <w:tcBorders>
              <w:top w:val="nil"/>
              <w:left w:val="nil"/>
              <w:bottom w:val="nil"/>
              <w:right w:val="nil"/>
            </w:tcBorders>
            <w:shd w:val="clear" w:color="E2EFDA" w:fill="E2EFDA"/>
            <w:vAlign w:val="center"/>
            <w:hideMark/>
          </w:tcPr>
          <w:p w14:paraId="52237568" w14:textId="77777777" w:rsidR="00AD556E" w:rsidRPr="00AD556E" w:rsidRDefault="00AD556E" w:rsidP="00AD556E">
            <w:pPr>
              <w:spacing w:after="0" w:line="240" w:lineRule="auto"/>
              <w:jc w:val="center"/>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Voluntaria</w:t>
            </w:r>
          </w:p>
        </w:tc>
        <w:tc>
          <w:tcPr>
            <w:tcW w:w="1415" w:type="dxa"/>
            <w:tcBorders>
              <w:top w:val="nil"/>
              <w:left w:val="nil"/>
              <w:bottom w:val="nil"/>
              <w:right w:val="nil"/>
            </w:tcBorders>
            <w:shd w:val="clear" w:color="E2EFDA" w:fill="E2EFDA"/>
            <w:vAlign w:val="center"/>
            <w:hideMark/>
          </w:tcPr>
          <w:p w14:paraId="355BEF1F"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283</w:t>
            </w:r>
          </w:p>
        </w:tc>
        <w:tc>
          <w:tcPr>
            <w:tcW w:w="1308" w:type="dxa"/>
            <w:tcBorders>
              <w:top w:val="nil"/>
              <w:left w:val="nil"/>
              <w:bottom w:val="nil"/>
              <w:right w:val="nil"/>
            </w:tcBorders>
            <w:shd w:val="clear" w:color="E2EFDA" w:fill="E2EFDA"/>
            <w:vAlign w:val="center"/>
            <w:hideMark/>
          </w:tcPr>
          <w:p w14:paraId="22F15806"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283</w:t>
            </w:r>
          </w:p>
        </w:tc>
        <w:tc>
          <w:tcPr>
            <w:tcW w:w="854" w:type="dxa"/>
            <w:tcBorders>
              <w:top w:val="nil"/>
              <w:left w:val="nil"/>
              <w:bottom w:val="nil"/>
              <w:right w:val="single" w:sz="12" w:space="0" w:color="auto"/>
            </w:tcBorders>
            <w:shd w:val="clear" w:color="000000" w:fill="E2EFDA"/>
            <w:noWrap/>
            <w:vAlign w:val="bottom"/>
            <w:hideMark/>
          </w:tcPr>
          <w:p w14:paraId="1FCA96E7"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100%</w:t>
            </w:r>
          </w:p>
        </w:tc>
      </w:tr>
      <w:tr w:rsidR="00AD556E" w:rsidRPr="00AD556E" w14:paraId="4162E136" w14:textId="77777777" w:rsidTr="00AD556E">
        <w:trPr>
          <w:trHeight w:val="422"/>
          <w:jc w:val="center"/>
        </w:trPr>
        <w:tc>
          <w:tcPr>
            <w:tcW w:w="2831" w:type="dxa"/>
            <w:tcBorders>
              <w:top w:val="nil"/>
              <w:left w:val="single" w:sz="12" w:space="0" w:color="auto"/>
              <w:bottom w:val="nil"/>
              <w:right w:val="nil"/>
            </w:tcBorders>
            <w:shd w:val="clear" w:color="auto" w:fill="auto"/>
            <w:vAlign w:val="bottom"/>
            <w:hideMark/>
          </w:tcPr>
          <w:p w14:paraId="7502E620" w14:textId="77777777" w:rsidR="00AD556E" w:rsidRPr="00AD556E" w:rsidRDefault="00AD556E" w:rsidP="00AD556E">
            <w:pPr>
              <w:spacing w:after="0" w:line="240" w:lineRule="auto"/>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 xml:space="preserve">Programa de EPS COMFENALCO SANTANDER </w:t>
            </w:r>
          </w:p>
        </w:tc>
        <w:tc>
          <w:tcPr>
            <w:tcW w:w="1602" w:type="dxa"/>
            <w:tcBorders>
              <w:top w:val="nil"/>
              <w:left w:val="nil"/>
              <w:bottom w:val="nil"/>
              <w:right w:val="nil"/>
            </w:tcBorders>
            <w:shd w:val="clear" w:color="auto" w:fill="auto"/>
            <w:vAlign w:val="center"/>
            <w:hideMark/>
          </w:tcPr>
          <w:p w14:paraId="0B434214" w14:textId="77777777" w:rsidR="00AD556E" w:rsidRPr="00AD556E" w:rsidRDefault="00AD556E" w:rsidP="00AD556E">
            <w:pPr>
              <w:spacing w:after="0" w:line="240" w:lineRule="auto"/>
              <w:jc w:val="center"/>
              <w:rPr>
                <w:rFonts w:ascii="Calibri" w:eastAsia="Times New Roman" w:hAnsi="Calibri" w:cs="Calibri"/>
                <w:sz w:val="16"/>
                <w:szCs w:val="16"/>
                <w:lang w:eastAsia="es-CO"/>
              </w:rPr>
            </w:pPr>
            <w:r w:rsidRPr="00AD556E">
              <w:rPr>
                <w:rFonts w:ascii="Calibri" w:eastAsia="Times New Roman" w:hAnsi="Calibri" w:cs="Calibri"/>
                <w:sz w:val="16"/>
                <w:szCs w:val="16"/>
                <w:lang w:eastAsia="es-CO"/>
              </w:rPr>
              <w:t>Liquidación Forzosa SNS</w:t>
            </w:r>
          </w:p>
        </w:tc>
        <w:tc>
          <w:tcPr>
            <w:tcW w:w="1415" w:type="dxa"/>
            <w:tcBorders>
              <w:top w:val="nil"/>
              <w:left w:val="nil"/>
              <w:bottom w:val="nil"/>
              <w:right w:val="nil"/>
            </w:tcBorders>
            <w:shd w:val="clear" w:color="auto" w:fill="auto"/>
            <w:vAlign w:val="center"/>
            <w:hideMark/>
          </w:tcPr>
          <w:p w14:paraId="2E4AB4D6"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2.363</w:t>
            </w:r>
          </w:p>
        </w:tc>
        <w:tc>
          <w:tcPr>
            <w:tcW w:w="1308" w:type="dxa"/>
            <w:tcBorders>
              <w:top w:val="nil"/>
              <w:left w:val="nil"/>
              <w:bottom w:val="nil"/>
              <w:right w:val="nil"/>
            </w:tcBorders>
            <w:shd w:val="clear" w:color="auto" w:fill="auto"/>
            <w:vAlign w:val="center"/>
            <w:hideMark/>
          </w:tcPr>
          <w:p w14:paraId="030838BB"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2.363</w:t>
            </w:r>
          </w:p>
        </w:tc>
        <w:tc>
          <w:tcPr>
            <w:tcW w:w="854" w:type="dxa"/>
            <w:tcBorders>
              <w:top w:val="nil"/>
              <w:left w:val="nil"/>
              <w:bottom w:val="nil"/>
              <w:right w:val="single" w:sz="12" w:space="0" w:color="auto"/>
            </w:tcBorders>
            <w:shd w:val="clear" w:color="auto" w:fill="auto"/>
            <w:noWrap/>
            <w:vAlign w:val="bottom"/>
            <w:hideMark/>
          </w:tcPr>
          <w:p w14:paraId="6D75203E"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100%</w:t>
            </w:r>
          </w:p>
        </w:tc>
      </w:tr>
      <w:tr w:rsidR="00AD556E" w:rsidRPr="00AD556E" w14:paraId="23923FFB" w14:textId="77777777" w:rsidTr="00AD556E">
        <w:trPr>
          <w:trHeight w:val="403"/>
          <w:jc w:val="center"/>
        </w:trPr>
        <w:tc>
          <w:tcPr>
            <w:tcW w:w="2831" w:type="dxa"/>
            <w:tcBorders>
              <w:top w:val="nil"/>
              <w:left w:val="single" w:sz="12" w:space="0" w:color="auto"/>
              <w:bottom w:val="nil"/>
              <w:right w:val="nil"/>
            </w:tcBorders>
            <w:shd w:val="clear" w:color="E2EFDA" w:fill="E2EFDA"/>
            <w:vAlign w:val="bottom"/>
            <w:hideMark/>
          </w:tcPr>
          <w:p w14:paraId="0966BAC0" w14:textId="77777777" w:rsidR="00AD556E" w:rsidRPr="00AD556E" w:rsidRDefault="00AD556E" w:rsidP="00AD556E">
            <w:pPr>
              <w:spacing w:after="0" w:line="240" w:lineRule="auto"/>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Programa de EPS COMFACA</w:t>
            </w:r>
          </w:p>
        </w:tc>
        <w:tc>
          <w:tcPr>
            <w:tcW w:w="1602" w:type="dxa"/>
            <w:tcBorders>
              <w:top w:val="nil"/>
              <w:left w:val="nil"/>
              <w:bottom w:val="nil"/>
              <w:right w:val="nil"/>
            </w:tcBorders>
            <w:shd w:val="clear" w:color="E2EFDA" w:fill="E2EFDA"/>
            <w:vAlign w:val="center"/>
            <w:hideMark/>
          </w:tcPr>
          <w:p w14:paraId="4516FAF7" w14:textId="77777777" w:rsidR="00AD556E" w:rsidRPr="00AD556E" w:rsidRDefault="00AD556E" w:rsidP="00AD556E">
            <w:pPr>
              <w:spacing w:after="0" w:line="240" w:lineRule="auto"/>
              <w:jc w:val="center"/>
              <w:rPr>
                <w:rFonts w:ascii="Calibri" w:eastAsia="Times New Roman" w:hAnsi="Calibri" w:cs="Calibri"/>
                <w:sz w:val="16"/>
                <w:szCs w:val="16"/>
                <w:lang w:eastAsia="es-CO"/>
              </w:rPr>
            </w:pPr>
            <w:r w:rsidRPr="00AD556E">
              <w:rPr>
                <w:rFonts w:ascii="Calibri" w:eastAsia="Times New Roman" w:hAnsi="Calibri" w:cs="Calibri"/>
                <w:sz w:val="16"/>
                <w:szCs w:val="16"/>
                <w:lang w:eastAsia="es-CO"/>
              </w:rPr>
              <w:t>Liquidación Forzosa SNS</w:t>
            </w:r>
          </w:p>
        </w:tc>
        <w:tc>
          <w:tcPr>
            <w:tcW w:w="1415" w:type="dxa"/>
            <w:tcBorders>
              <w:top w:val="nil"/>
              <w:left w:val="nil"/>
              <w:bottom w:val="nil"/>
              <w:right w:val="nil"/>
            </w:tcBorders>
            <w:shd w:val="clear" w:color="E2EFDA" w:fill="E2EFDA"/>
            <w:vAlign w:val="center"/>
            <w:hideMark/>
          </w:tcPr>
          <w:p w14:paraId="1DA6BDCF"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9.182</w:t>
            </w:r>
          </w:p>
        </w:tc>
        <w:tc>
          <w:tcPr>
            <w:tcW w:w="1308" w:type="dxa"/>
            <w:tcBorders>
              <w:top w:val="nil"/>
              <w:left w:val="nil"/>
              <w:bottom w:val="nil"/>
              <w:right w:val="nil"/>
            </w:tcBorders>
            <w:shd w:val="clear" w:color="E2EFDA" w:fill="E2EFDA"/>
            <w:vAlign w:val="center"/>
            <w:hideMark/>
          </w:tcPr>
          <w:p w14:paraId="20CC6D24"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8.863</w:t>
            </w:r>
          </w:p>
        </w:tc>
        <w:tc>
          <w:tcPr>
            <w:tcW w:w="854" w:type="dxa"/>
            <w:tcBorders>
              <w:top w:val="nil"/>
              <w:left w:val="nil"/>
              <w:bottom w:val="nil"/>
              <w:right w:val="single" w:sz="12" w:space="0" w:color="auto"/>
            </w:tcBorders>
            <w:shd w:val="clear" w:color="000000" w:fill="E2EFDA"/>
            <w:noWrap/>
            <w:vAlign w:val="bottom"/>
            <w:hideMark/>
          </w:tcPr>
          <w:p w14:paraId="5D83C7BB"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97%</w:t>
            </w:r>
          </w:p>
        </w:tc>
      </w:tr>
      <w:tr w:rsidR="00AD556E" w:rsidRPr="00AD556E" w14:paraId="78A8814A" w14:textId="77777777" w:rsidTr="00AD556E">
        <w:trPr>
          <w:trHeight w:val="422"/>
          <w:jc w:val="center"/>
        </w:trPr>
        <w:tc>
          <w:tcPr>
            <w:tcW w:w="2831" w:type="dxa"/>
            <w:tcBorders>
              <w:top w:val="nil"/>
              <w:left w:val="single" w:sz="12" w:space="0" w:color="auto"/>
              <w:bottom w:val="nil"/>
              <w:right w:val="nil"/>
            </w:tcBorders>
            <w:shd w:val="clear" w:color="auto" w:fill="auto"/>
            <w:vAlign w:val="bottom"/>
            <w:hideMark/>
          </w:tcPr>
          <w:p w14:paraId="3CAD3B01" w14:textId="77777777" w:rsidR="00AD556E" w:rsidRPr="00AD556E" w:rsidRDefault="00AD556E" w:rsidP="00AD556E">
            <w:pPr>
              <w:spacing w:after="0" w:line="240" w:lineRule="auto"/>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Programa de EPS COMFENALCO ANTIOQUIA</w:t>
            </w:r>
          </w:p>
        </w:tc>
        <w:tc>
          <w:tcPr>
            <w:tcW w:w="1602" w:type="dxa"/>
            <w:tcBorders>
              <w:top w:val="nil"/>
              <w:left w:val="nil"/>
              <w:bottom w:val="nil"/>
              <w:right w:val="nil"/>
            </w:tcBorders>
            <w:shd w:val="clear" w:color="auto" w:fill="auto"/>
            <w:vAlign w:val="center"/>
            <w:hideMark/>
          </w:tcPr>
          <w:p w14:paraId="5CBD5F64" w14:textId="77777777" w:rsidR="00AD556E" w:rsidRPr="00AD556E" w:rsidRDefault="00AD556E" w:rsidP="00AD556E">
            <w:pPr>
              <w:spacing w:after="0" w:line="240" w:lineRule="auto"/>
              <w:jc w:val="center"/>
              <w:rPr>
                <w:rFonts w:ascii="Calibri" w:eastAsia="Times New Roman" w:hAnsi="Calibri" w:cs="Calibri"/>
                <w:sz w:val="16"/>
                <w:szCs w:val="16"/>
                <w:lang w:eastAsia="es-CO"/>
              </w:rPr>
            </w:pPr>
            <w:r w:rsidRPr="00AD556E">
              <w:rPr>
                <w:rFonts w:ascii="Calibri" w:eastAsia="Times New Roman" w:hAnsi="Calibri" w:cs="Calibri"/>
                <w:sz w:val="16"/>
                <w:szCs w:val="16"/>
                <w:lang w:eastAsia="es-CO"/>
              </w:rPr>
              <w:t>Liquidación Forzosa SNS</w:t>
            </w:r>
          </w:p>
        </w:tc>
        <w:tc>
          <w:tcPr>
            <w:tcW w:w="1415" w:type="dxa"/>
            <w:tcBorders>
              <w:top w:val="nil"/>
              <w:left w:val="nil"/>
              <w:bottom w:val="nil"/>
              <w:right w:val="nil"/>
            </w:tcBorders>
            <w:shd w:val="clear" w:color="auto" w:fill="auto"/>
            <w:vAlign w:val="center"/>
            <w:hideMark/>
          </w:tcPr>
          <w:p w14:paraId="68016AD9"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48.567</w:t>
            </w:r>
          </w:p>
        </w:tc>
        <w:tc>
          <w:tcPr>
            <w:tcW w:w="1308" w:type="dxa"/>
            <w:tcBorders>
              <w:top w:val="nil"/>
              <w:left w:val="nil"/>
              <w:bottom w:val="nil"/>
              <w:right w:val="nil"/>
            </w:tcBorders>
            <w:shd w:val="clear" w:color="auto" w:fill="auto"/>
            <w:vAlign w:val="center"/>
            <w:hideMark/>
          </w:tcPr>
          <w:p w14:paraId="196CF9C6"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48.567</w:t>
            </w:r>
          </w:p>
        </w:tc>
        <w:tc>
          <w:tcPr>
            <w:tcW w:w="854" w:type="dxa"/>
            <w:tcBorders>
              <w:top w:val="nil"/>
              <w:left w:val="nil"/>
              <w:bottom w:val="nil"/>
              <w:right w:val="single" w:sz="12" w:space="0" w:color="auto"/>
            </w:tcBorders>
            <w:shd w:val="clear" w:color="auto" w:fill="auto"/>
            <w:noWrap/>
            <w:vAlign w:val="bottom"/>
            <w:hideMark/>
          </w:tcPr>
          <w:p w14:paraId="04B6ECD6"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100%</w:t>
            </w:r>
          </w:p>
        </w:tc>
      </w:tr>
      <w:tr w:rsidR="00AD556E" w:rsidRPr="00AD556E" w14:paraId="2464CE2F" w14:textId="77777777" w:rsidTr="00AD3F73">
        <w:trPr>
          <w:trHeight w:val="421"/>
          <w:jc w:val="center"/>
        </w:trPr>
        <w:tc>
          <w:tcPr>
            <w:tcW w:w="2831" w:type="dxa"/>
            <w:tcBorders>
              <w:top w:val="nil"/>
              <w:left w:val="single" w:sz="12" w:space="0" w:color="auto"/>
              <w:bottom w:val="single" w:sz="4" w:space="0" w:color="auto"/>
              <w:right w:val="nil"/>
            </w:tcBorders>
            <w:shd w:val="clear" w:color="E2EFDA" w:fill="E2EFDA"/>
            <w:vAlign w:val="bottom"/>
            <w:hideMark/>
          </w:tcPr>
          <w:p w14:paraId="7374F2E2" w14:textId="77777777" w:rsidR="00AD556E" w:rsidRPr="00AD556E" w:rsidRDefault="00AD556E" w:rsidP="006E2526">
            <w:pPr>
              <w:spacing w:after="0" w:line="240" w:lineRule="auto"/>
              <w:jc w:val="both"/>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Programa de EPS FAMISALUD COMFANORTE caja</w:t>
            </w:r>
          </w:p>
        </w:tc>
        <w:tc>
          <w:tcPr>
            <w:tcW w:w="1602" w:type="dxa"/>
            <w:tcBorders>
              <w:top w:val="nil"/>
              <w:left w:val="nil"/>
              <w:bottom w:val="single" w:sz="4" w:space="0" w:color="auto"/>
              <w:right w:val="nil"/>
            </w:tcBorders>
            <w:shd w:val="clear" w:color="E2EFDA" w:fill="E2EFDA"/>
            <w:vAlign w:val="center"/>
            <w:hideMark/>
          </w:tcPr>
          <w:p w14:paraId="6896C3CE" w14:textId="77777777" w:rsidR="00AD556E" w:rsidRPr="00AD556E" w:rsidRDefault="00AD556E" w:rsidP="00AD556E">
            <w:pPr>
              <w:spacing w:after="0" w:line="240" w:lineRule="auto"/>
              <w:jc w:val="center"/>
              <w:rPr>
                <w:rFonts w:ascii="Calibri" w:eastAsia="Times New Roman" w:hAnsi="Calibri" w:cs="Calibri"/>
                <w:sz w:val="16"/>
                <w:szCs w:val="16"/>
                <w:lang w:eastAsia="es-CO"/>
              </w:rPr>
            </w:pPr>
            <w:r w:rsidRPr="00AD556E">
              <w:rPr>
                <w:rFonts w:ascii="Calibri" w:eastAsia="Times New Roman" w:hAnsi="Calibri" w:cs="Calibri"/>
                <w:sz w:val="16"/>
                <w:szCs w:val="16"/>
                <w:lang w:eastAsia="es-CO"/>
              </w:rPr>
              <w:t>Liquidación Forzosa SNS</w:t>
            </w:r>
          </w:p>
        </w:tc>
        <w:tc>
          <w:tcPr>
            <w:tcW w:w="1415" w:type="dxa"/>
            <w:tcBorders>
              <w:top w:val="nil"/>
              <w:left w:val="nil"/>
              <w:bottom w:val="single" w:sz="4" w:space="0" w:color="auto"/>
              <w:right w:val="nil"/>
            </w:tcBorders>
            <w:shd w:val="clear" w:color="E2EFDA" w:fill="E2EFDA"/>
            <w:vAlign w:val="center"/>
            <w:hideMark/>
          </w:tcPr>
          <w:p w14:paraId="7AE2B1D7"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14.356</w:t>
            </w:r>
          </w:p>
        </w:tc>
        <w:tc>
          <w:tcPr>
            <w:tcW w:w="1308" w:type="dxa"/>
            <w:tcBorders>
              <w:top w:val="nil"/>
              <w:left w:val="nil"/>
              <w:bottom w:val="single" w:sz="4" w:space="0" w:color="auto"/>
              <w:right w:val="nil"/>
            </w:tcBorders>
            <w:shd w:val="clear" w:color="E2EFDA" w:fill="E2EFDA"/>
            <w:vAlign w:val="center"/>
            <w:hideMark/>
          </w:tcPr>
          <w:p w14:paraId="65CD768C"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14.356</w:t>
            </w:r>
          </w:p>
        </w:tc>
        <w:tc>
          <w:tcPr>
            <w:tcW w:w="854" w:type="dxa"/>
            <w:tcBorders>
              <w:top w:val="nil"/>
              <w:left w:val="nil"/>
              <w:bottom w:val="single" w:sz="4" w:space="0" w:color="auto"/>
              <w:right w:val="single" w:sz="12" w:space="0" w:color="auto"/>
            </w:tcBorders>
            <w:shd w:val="clear" w:color="000000" w:fill="E2EFDA"/>
            <w:noWrap/>
            <w:vAlign w:val="bottom"/>
            <w:hideMark/>
          </w:tcPr>
          <w:p w14:paraId="1649B300"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100%</w:t>
            </w:r>
          </w:p>
        </w:tc>
      </w:tr>
      <w:tr w:rsidR="00AD3F73" w:rsidRPr="00AD556E" w14:paraId="3F9073AF" w14:textId="77777777" w:rsidTr="00AD3F73">
        <w:trPr>
          <w:jc w:val="center"/>
        </w:trPr>
        <w:tc>
          <w:tcPr>
            <w:tcW w:w="2831" w:type="dxa"/>
            <w:tcBorders>
              <w:top w:val="single" w:sz="4" w:space="0" w:color="auto"/>
              <w:left w:val="single" w:sz="12" w:space="0" w:color="auto"/>
              <w:bottom w:val="nil"/>
              <w:right w:val="nil"/>
            </w:tcBorders>
            <w:shd w:val="clear" w:color="E2EFDA" w:fill="E2EFDA"/>
            <w:vAlign w:val="bottom"/>
          </w:tcPr>
          <w:p w14:paraId="1FF0753A" w14:textId="77777777" w:rsidR="00AD3F73" w:rsidRPr="00AD556E" w:rsidRDefault="00AD3F73" w:rsidP="00AD556E">
            <w:pPr>
              <w:spacing w:after="0" w:line="240" w:lineRule="auto"/>
              <w:rPr>
                <w:rFonts w:ascii="Calibri" w:eastAsia="Times New Roman" w:hAnsi="Calibri" w:cs="Calibri"/>
                <w:color w:val="000000"/>
                <w:sz w:val="16"/>
                <w:szCs w:val="16"/>
                <w:lang w:eastAsia="es-CO"/>
              </w:rPr>
            </w:pPr>
          </w:p>
        </w:tc>
        <w:tc>
          <w:tcPr>
            <w:tcW w:w="1602" w:type="dxa"/>
            <w:tcBorders>
              <w:top w:val="single" w:sz="4" w:space="0" w:color="auto"/>
              <w:left w:val="nil"/>
              <w:bottom w:val="nil"/>
              <w:right w:val="nil"/>
            </w:tcBorders>
            <w:shd w:val="clear" w:color="E2EFDA" w:fill="E2EFDA"/>
            <w:vAlign w:val="center"/>
          </w:tcPr>
          <w:p w14:paraId="66CDE64B" w14:textId="77777777" w:rsidR="00AD3F73" w:rsidRPr="00AD556E" w:rsidRDefault="00AD3F73" w:rsidP="00AD556E">
            <w:pPr>
              <w:spacing w:after="0" w:line="240" w:lineRule="auto"/>
              <w:jc w:val="center"/>
              <w:rPr>
                <w:rFonts w:ascii="Calibri" w:eastAsia="Times New Roman" w:hAnsi="Calibri" w:cs="Calibri"/>
                <w:sz w:val="16"/>
                <w:szCs w:val="16"/>
                <w:lang w:eastAsia="es-CO"/>
              </w:rPr>
            </w:pPr>
          </w:p>
        </w:tc>
        <w:tc>
          <w:tcPr>
            <w:tcW w:w="1415" w:type="dxa"/>
            <w:tcBorders>
              <w:top w:val="single" w:sz="4" w:space="0" w:color="auto"/>
              <w:left w:val="nil"/>
              <w:bottom w:val="nil"/>
              <w:right w:val="nil"/>
            </w:tcBorders>
            <w:shd w:val="clear" w:color="E2EFDA" w:fill="E2EFDA"/>
            <w:vAlign w:val="center"/>
          </w:tcPr>
          <w:p w14:paraId="0408BC3E" w14:textId="77777777" w:rsidR="00AD3F73" w:rsidRPr="00AD556E" w:rsidRDefault="00AD3F73" w:rsidP="00AD556E">
            <w:pPr>
              <w:spacing w:after="0" w:line="240" w:lineRule="auto"/>
              <w:jc w:val="right"/>
              <w:rPr>
                <w:rFonts w:ascii="Calibri" w:eastAsia="Times New Roman" w:hAnsi="Calibri" w:cs="Calibri"/>
                <w:color w:val="000000"/>
                <w:sz w:val="16"/>
                <w:szCs w:val="16"/>
                <w:lang w:eastAsia="es-CO"/>
              </w:rPr>
            </w:pPr>
          </w:p>
        </w:tc>
        <w:tc>
          <w:tcPr>
            <w:tcW w:w="1308" w:type="dxa"/>
            <w:tcBorders>
              <w:top w:val="single" w:sz="4" w:space="0" w:color="auto"/>
              <w:left w:val="nil"/>
              <w:bottom w:val="nil"/>
              <w:right w:val="nil"/>
            </w:tcBorders>
            <w:shd w:val="clear" w:color="E2EFDA" w:fill="E2EFDA"/>
            <w:vAlign w:val="center"/>
          </w:tcPr>
          <w:p w14:paraId="5E2A46B3" w14:textId="77777777" w:rsidR="00AD3F73" w:rsidRPr="00AD556E" w:rsidRDefault="00AD3F73" w:rsidP="00AD556E">
            <w:pPr>
              <w:spacing w:after="0" w:line="240" w:lineRule="auto"/>
              <w:jc w:val="right"/>
              <w:rPr>
                <w:rFonts w:ascii="Calibri" w:eastAsia="Times New Roman" w:hAnsi="Calibri" w:cs="Calibri"/>
                <w:color w:val="000000"/>
                <w:sz w:val="16"/>
                <w:szCs w:val="16"/>
                <w:lang w:eastAsia="es-CO"/>
              </w:rPr>
            </w:pPr>
          </w:p>
        </w:tc>
        <w:tc>
          <w:tcPr>
            <w:tcW w:w="854" w:type="dxa"/>
            <w:tcBorders>
              <w:top w:val="single" w:sz="4" w:space="0" w:color="auto"/>
              <w:left w:val="nil"/>
              <w:bottom w:val="nil"/>
              <w:right w:val="single" w:sz="12" w:space="0" w:color="auto"/>
            </w:tcBorders>
            <w:shd w:val="clear" w:color="000000" w:fill="E2EFDA"/>
            <w:noWrap/>
            <w:vAlign w:val="bottom"/>
          </w:tcPr>
          <w:p w14:paraId="16E7395D" w14:textId="77777777" w:rsidR="00AD3F73" w:rsidRPr="00AD556E" w:rsidRDefault="00AD3F73" w:rsidP="00AD556E">
            <w:pPr>
              <w:spacing w:after="0" w:line="240" w:lineRule="auto"/>
              <w:jc w:val="right"/>
              <w:rPr>
                <w:rFonts w:ascii="Calibri" w:eastAsia="Times New Roman" w:hAnsi="Calibri" w:cs="Calibri"/>
                <w:color w:val="000000"/>
                <w:sz w:val="16"/>
                <w:szCs w:val="16"/>
                <w:lang w:eastAsia="es-CO"/>
              </w:rPr>
            </w:pPr>
          </w:p>
        </w:tc>
      </w:tr>
      <w:tr w:rsidR="00AD556E" w:rsidRPr="00AD556E" w14:paraId="1CDFC6C9" w14:textId="77777777" w:rsidTr="00AD3F73">
        <w:trPr>
          <w:trHeight w:val="403"/>
          <w:jc w:val="center"/>
        </w:trPr>
        <w:tc>
          <w:tcPr>
            <w:tcW w:w="2831" w:type="dxa"/>
            <w:tcBorders>
              <w:top w:val="single" w:sz="4" w:space="0" w:color="auto"/>
              <w:left w:val="single" w:sz="12" w:space="0" w:color="auto"/>
              <w:bottom w:val="nil"/>
              <w:right w:val="nil"/>
            </w:tcBorders>
            <w:shd w:val="clear" w:color="auto" w:fill="auto"/>
            <w:vAlign w:val="bottom"/>
            <w:hideMark/>
          </w:tcPr>
          <w:p w14:paraId="4A46A9FB" w14:textId="77777777" w:rsidR="00AD556E" w:rsidRPr="00AD556E" w:rsidRDefault="00AD556E" w:rsidP="00AD556E">
            <w:pPr>
              <w:spacing w:after="0" w:line="240" w:lineRule="auto"/>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lastRenderedPageBreak/>
              <w:t xml:space="preserve">Programa de EPS CAJASAN </w:t>
            </w:r>
          </w:p>
        </w:tc>
        <w:tc>
          <w:tcPr>
            <w:tcW w:w="1602" w:type="dxa"/>
            <w:tcBorders>
              <w:top w:val="single" w:sz="4" w:space="0" w:color="auto"/>
              <w:left w:val="nil"/>
              <w:bottom w:val="nil"/>
              <w:right w:val="nil"/>
            </w:tcBorders>
            <w:shd w:val="clear" w:color="auto" w:fill="auto"/>
            <w:vAlign w:val="center"/>
            <w:hideMark/>
          </w:tcPr>
          <w:p w14:paraId="13F3D1E9" w14:textId="77777777" w:rsidR="00AD556E" w:rsidRPr="00AD556E" w:rsidRDefault="00AD556E" w:rsidP="00AD556E">
            <w:pPr>
              <w:spacing w:after="0" w:line="240" w:lineRule="auto"/>
              <w:jc w:val="center"/>
              <w:rPr>
                <w:rFonts w:ascii="Calibri" w:eastAsia="Times New Roman" w:hAnsi="Calibri" w:cs="Calibri"/>
                <w:sz w:val="16"/>
                <w:szCs w:val="16"/>
                <w:lang w:eastAsia="es-CO"/>
              </w:rPr>
            </w:pPr>
            <w:r w:rsidRPr="00AD556E">
              <w:rPr>
                <w:rFonts w:ascii="Calibri" w:eastAsia="Times New Roman" w:hAnsi="Calibri" w:cs="Calibri"/>
                <w:sz w:val="16"/>
                <w:szCs w:val="16"/>
                <w:lang w:eastAsia="es-CO"/>
              </w:rPr>
              <w:t>Liquidación Forzosa SNS</w:t>
            </w:r>
          </w:p>
        </w:tc>
        <w:tc>
          <w:tcPr>
            <w:tcW w:w="1415" w:type="dxa"/>
            <w:tcBorders>
              <w:top w:val="single" w:sz="4" w:space="0" w:color="auto"/>
              <w:left w:val="nil"/>
              <w:bottom w:val="nil"/>
              <w:right w:val="nil"/>
            </w:tcBorders>
            <w:shd w:val="clear" w:color="auto" w:fill="auto"/>
            <w:vAlign w:val="center"/>
            <w:hideMark/>
          </w:tcPr>
          <w:p w14:paraId="0BC89550"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1.339</w:t>
            </w:r>
          </w:p>
        </w:tc>
        <w:tc>
          <w:tcPr>
            <w:tcW w:w="1308" w:type="dxa"/>
            <w:tcBorders>
              <w:top w:val="single" w:sz="4" w:space="0" w:color="auto"/>
              <w:left w:val="nil"/>
              <w:bottom w:val="nil"/>
              <w:right w:val="nil"/>
            </w:tcBorders>
            <w:shd w:val="clear" w:color="auto" w:fill="auto"/>
            <w:vAlign w:val="center"/>
            <w:hideMark/>
          </w:tcPr>
          <w:p w14:paraId="2914E459"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1.329</w:t>
            </w:r>
          </w:p>
        </w:tc>
        <w:tc>
          <w:tcPr>
            <w:tcW w:w="854" w:type="dxa"/>
            <w:tcBorders>
              <w:top w:val="single" w:sz="4" w:space="0" w:color="auto"/>
              <w:left w:val="nil"/>
              <w:bottom w:val="nil"/>
              <w:right w:val="single" w:sz="12" w:space="0" w:color="auto"/>
            </w:tcBorders>
            <w:shd w:val="clear" w:color="auto" w:fill="auto"/>
            <w:noWrap/>
            <w:vAlign w:val="bottom"/>
            <w:hideMark/>
          </w:tcPr>
          <w:p w14:paraId="2188EC59"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99%</w:t>
            </w:r>
          </w:p>
        </w:tc>
      </w:tr>
      <w:tr w:rsidR="00AD556E" w:rsidRPr="00AD556E" w14:paraId="3544B55C" w14:textId="77777777" w:rsidTr="00AD556E">
        <w:trPr>
          <w:trHeight w:val="422"/>
          <w:jc w:val="center"/>
        </w:trPr>
        <w:tc>
          <w:tcPr>
            <w:tcW w:w="2831" w:type="dxa"/>
            <w:tcBorders>
              <w:top w:val="nil"/>
              <w:left w:val="single" w:sz="12" w:space="0" w:color="auto"/>
              <w:bottom w:val="nil"/>
              <w:right w:val="nil"/>
            </w:tcBorders>
            <w:shd w:val="clear" w:color="E2EFDA" w:fill="E2EFDA"/>
            <w:vAlign w:val="bottom"/>
            <w:hideMark/>
          </w:tcPr>
          <w:p w14:paraId="4FD9C630" w14:textId="77777777" w:rsidR="00AD556E" w:rsidRPr="00AD556E" w:rsidRDefault="00AD556E" w:rsidP="00AD556E">
            <w:pPr>
              <w:spacing w:after="0" w:line="240" w:lineRule="auto"/>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Programa de EPS COMFAORIENTE caja</w:t>
            </w:r>
          </w:p>
        </w:tc>
        <w:tc>
          <w:tcPr>
            <w:tcW w:w="1602" w:type="dxa"/>
            <w:tcBorders>
              <w:top w:val="nil"/>
              <w:left w:val="nil"/>
              <w:bottom w:val="nil"/>
              <w:right w:val="nil"/>
            </w:tcBorders>
            <w:shd w:val="clear" w:color="E2EFDA" w:fill="E2EFDA"/>
            <w:vAlign w:val="center"/>
            <w:hideMark/>
          </w:tcPr>
          <w:p w14:paraId="70950FFA" w14:textId="77777777" w:rsidR="00AD556E" w:rsidRPr="00AD556E" w:rsidRDefault="00AD556E" w:rsidP="00AD556E">
            <w:pPr>
              <w:spacing w:after="0" w:line="240" w:lineRule="auto"/>
              <w:jc w:val="center"/>
              <w:rPr>
                <w:rFonts w:ascii="Calibri" w:eastAsia="Times New Roman" w:hAnsi="Calibri" w:cs="Calibri"/>
                <w:sz w:val="16"/>
                <w:szCs w:val="16"/>
                <w:lang w:eastAsia="es-CO"/>
              </w:rPr>
            </w:pPr>
            <w:r w:rsidRPr="00AD556E">
              <w:rPr>
                <w:rFonts w:ascii="Calibri" w:eastAsia="Times New Roman" w:hAnsi="Calibri" w:cs="Calibri"/>
                <w:sz w:val="16"/>
                <w:szCs w:val="16"/>
                <w:lang w:eastAsia="es-CO"/>
              </w:rPr>
              <w:t>Liquidación Forzosa SNS</w:t>
            </w:r>
          </w:p>
        </w:tc>
        <w:tc>
          <w:tcPr>
            <w:tcW w:w="1415" w:type="dxa"/>
            <w:tcBorders>
              <w:top w:val="nil"/>
              <w:left w:val="nil"/>
              <w:bottom w:val="nil"/>
              <w:right w:val="nil"/>
            </w:tcBorders>
            <w:shd w:val="clear" w:color="E2EFDA" w:fill="E2EFDA"/>
            <w:vAlign w:val="center"/>
            <w:hideMark/>
          </w:tcPr>
          <w:p w14:paraId="2192E348"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22.616</w:t>
            </w:r>
          </w:p>
        </w:tc>
        <w:tc>
          <w:tcPr>
            <w:tcW w:w="1308" w:type="dxa"/>
            <w:tcBorders>
              <w:top w:val="nil"/>
              <w:left w:val="nil"/>
              <w:bottom w:val="nil"/>
              <w:right w:val="nil"/>
            </w:tcBorders>
            <w:shd w:val="clear" w:color="E2EFDA" w:fill="E2EFDA"/>
            <w:vAlign w:val="center"/>
            <w:hideMark/>
          </w:tcPr>
          <w:p w14:paraId="1B260591"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22.477</w:t>
            </w:r>
          </w:p>
        </w:tc>
        <w:tc>
          <w:tcPr>
            <w:tcW w:w="854" w:type="dxa"/>
            <w:tcBorders>
              <w:top w:val="nil"/>
              <w:left w:val="nil"/>
              <w:bottom w:val="nil"/>
              <w:right w:val="single" w:sz="12" w:space="0" w:color="auto"/>
            </w:tcBorders>
            <w:shd w:val="clear" w:color="000000" w:fill="E2EFDA"/>
            <w:noWrap/>
            <w:vAlign w:val="bottom"/>
            <w:hideMark/>
          </w:tcPr>
          <w:p w14:paraId="1CB05F4C"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99%</w:t>
            </w:r>
          </w:p>
        </w:tc>
      </w:tr>
      <w:tr w:rsidR="00AD556E" w:rsidRPr="00AD556E" w14:paraId="33A72C9F" w14:textId="77777777" w:rsidTr="00AD556E">
        <w:trPr>
          <w:trHeight w:val="278"/>
          <w:jc w:val="center"/>
        </w:trPr>
        <w:tc>
          <w:tcPr>
            <w:tcW w:w="2831" w:type="dxa"/>
            <w:tcBorders>
              <w:top w:val="nil"/>
              <w:left w:val="single" w:sz="12" w:space="0" w:color="auto"/>
              <w:bottom w:val="nil"/>
              <w:right w:val="nil"/>
            </w:tcBorders>
            <w:shd w:val="clear" w:color="auto" w:fill="auto"/>
            <w:vAlign w:val="bottom"/>
            <w:hideMark/>
          </w:tcPr>
          <w:p w14:paraId="27EE6097" w14:textId="77777777" w:rsidR="00AD556E" w:rsidRPr="00AD556E" w:rsidRDefault="00AD556E" w:rsidP="00AD556E">
            <w:pPr>
              <w:spacing w:after="0" w:line="240" w:lineRule="auto"/>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Programa de EPS CAFAM</w:t>
            </w:r>
          </w:p>
        </w:tc>
        <w:tc>
          <w:tcPr>
            <w:tcW w:w="1602" w:type="dxa"/>
            <w:tcBorders>
              <w:top w:val="nil"/>
              <w:left w:val="nil"/>
              <w:bottom w:val="nil"/>
              <w:right w:val="nil"/>
            </w:tcBorders>
            <w:shd w:val="clear" w:color="auto" w:fill="auto"/>
            <w:vAlign w:val="center"/>
            <w:hideMark/>
          </w:tcPr>
          <w:p w14:paraId="7EFC5658" w14:textId="77777777" w:rsidR="00AD556E" w:rsidRPr="00AD556E" w:rsidRDefault="00AD556E" w:rsidP="00AD556E">
            <w:pPr>
              <w:spacing w:after="0" w:line="240" w:lineRule="auto"/>
              <w:jc w:val="center"/>
              <w:rPr>
                <w:rFonts w:ascii="Calibri" w:eastAsia="Times New Roman" w:hAnsi="Calibri" w:cs="Calibri"/>
                <w:sz w:val="16"/>
                <w:szCs w:val="16"/>
                <w:lang w:eastAsia="es-CO"/>
              </w:rPr>
            </w:pPr>
            <w:r w:rsidRPr="00AD556E">
              <w:rPr>
                <w:rFonts w:ascii="Calibri" w:eastAsia="Times New Roman" w:hAnsi="Calibri" w:cs="Calibri"/>
                <w:sz w:val="16"/>
                <w:szCs w:val="16"/>
                <w:lang w:eastAsia="es-CO"/>
              </w:rPr>
              <w:t>Voluntaria</w:t>
            </w:r>
          </w:p>
        </w:tc>
        <w:tc>
          <w:tcPr>
            <w:tcW w:w="1415" w:type="dxa"/>
            <w:tcBorders>
              <w:top w:val="nil"/>
              <w:left w:val="nil"/>
              <w:bottom w:val="nil"/>
              <w:right w:val="nil"/>
            </w:tcBorders>
            <w:shd w:val="clear" w:color="auto" w:fill="auto"/>
            <w:vAlign w:val="center"/>
            <w:hideMark/>
          </w:tcPr>
          <w:p w14:paraId="318977D7"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39.031</w:t>
            </w:r>
          </w:p>
        </w:tc>
        <w:tc>
          <w:tcPr>
            <w:tcW w:w="1308" w:type="dxa"/>
            <w:tcBorders>
              <w:top w:val="nil"/>
              <w:left w:val="nil"/>
              <w:bottom w:val="nil"/>
              <w:right w:val="nil"/>
            </w:tcBorders>
            <w:shd w:val="clear" w:color="auto" w:fill="auto"/>
            <w:vAlign w:val="center"/>
            <w:hideMark/>
          </w:tcPr>
          <w:p w14:paraId="01C72EFA"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39.031</w:t>
            </w:r>
          </w:p>
        </w:tc>
        <w:tc>
          <w:tcPr>
            <w:tcW w:w="854" w:type="dxa"/>
            <w:tcBorders>
              <w:top w:val="nil"/>
              <w:left w:val="nil"/>
              <w:bottom w:val="nil"/>
              <w:right w:val="single" w:sz="12" w:space="0" w:color="auto"/>
            </w:tcBorders>
            <w:shd w:val="clear" w:color="auto" w:fill="auto"/>
            <w:noWrap/>
            <w:vAlign w:val="bottom"/>
            <w:hideMark/>
          </w:tcPr>
          <w:p w14:paraId="5161E551"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100%</w:t>
            </w:r>
          </w:p>
        </w:tc>
      </w:tr>
      <w:tr w:rsidR="00AD556E" w:rsidRPr="00AD556E" w14:paraId="04EB85C5" w14:textId="77777777" w:rsidTr="00AD556E">
        <w:trPr>
          <w:trHeight w:val="278"/>
          <w:jc w:val="center"/>
        </w:trPr>
        <w:tc>
          <w:tcPr>
            <w:tcW w:w="2831" w:type="dxa"/>
            <w:tcBorders>
              <w:top w:val="nil"/>
              <w:left w:val="single" w:sz="12" w:space="0" w:color="auto"/>
              <w:bottom w:val="nil"/>
              <w:right w:val="nil"/>
            </w:tcBorders>
            <w:shd w:val="clear" w:color="E2EFDA" w:fill="E2EFDA"/>
            <w:vAlign w:val="bottom"/>
            <w:hideMark/>
          </w:tcPr>
          <w:p w14:paraId="2F679239" w14:textId="77777777" w:rsidR="00AD556E" w:rsidRPr="00AD556E" w:rsidRDefault="00AD556E" w:rsidP="00AD556E">
            <w:pPr>
              <w:spacing w:after="0" w:line="240" w:lineRule="auto"/>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Programa de EPS COLSUBSDIO</w:t>
            </w:r>
          </w:p>
        </w:tc>
        <w:tc>
          <w:tcPr>
            <w:tcW w:w="1602" w:type="dxa"/>
            <w:tcBorders>
              <w:top w:val="nil"/>
              <w:left w:val="nil"/>
              <w:bottom w:val="nil"/>
              <w:right w:val="nil"/>
            </w:tcBorders>
            <w:shd w:val="clear" w:color="E2EFDA" w:fill="E2EFDA"/>
            <w:vAlign w:val="center"/>
            <w:hideMark/>
          </w:tcPr>
          <w:p w14:paraId="336172F8" w14:textId="77777777" w:rsidR="00AD556E" w:rsidRPr="00AD556E" w:rsidRDefault="00AD556E" w:rsidP="00AD556E">
            <w:pPr>
              <w:spacing w:after="0" w:line="240" w:lineRule="auto"/>
              <w:jc w:val="center"/>
              <w:rPr>
                <w:rFonts w:ascii="Calibri" w:eastAsia="Times New Roman" w:hAnsi="Calibri" w:cs="Calibri"/>
                <w:sz w:val="16"/>
                <w:szCs w:val="16"/>
                <w:lang w:eastAsia="es-CO"/>
              </w:rPr>
            </w:pPr>
            <w:r w:rsidRPr="00AD556E">
              <w:rPr>
                <w:rFonts w:ascii="Calibri" w:eastAsia="Times New Roman" w:hAnsi="Calibri" w:cs="Calibri"/>
                <w:sz w:val="16"/>
                <w:szCs w:val="16"/>
                <w:lang w:eastAsia="es-CO"/>
              </w:rPr>
              <w:t>Voluntaria</w:t>
            </w:r>
          </w:p>
        </w:tc>
        <w:tc>
          <w:tcPr>
            <w:tcW w:w="1415" w:type="dxa"/>
            <w:tcBorders>
              <w:top w:val="nil"/>
              <w:left w:val="nil"/>
              <w:bottom w:val="nil"/>
              <w:right w:val="nil"/>
            </w:tcBorders>
            <w:shd w:val="clear" w:color="E2EFDA" w:fill="E2EFDA"/>
            <w:vAlign w:val="center"/>
            <w:hideMark/>
          </w:tcPr>
          <w:p w14:paraId="3C845AE7"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29.096</w:t>
            </w:r>
          </w:p>
        </w:tc>
        <w:tc>
          <w:tcPr>
            <w:tcW w:w="1308" w:type="dxa"/>
            <w:tcBorders>
              <w:top w:val="nil"/>
              <w:left w:val="nil"/>
              <w:bottom w:val="nil"/>
              <w:right w:val="nil"/>
            </w:tcBorders>
            <w:shd w:val="clear" w:color="E2EFDA" w:fill="E2EFDA"/>
            <w:vAlign w:val="center"/>
            <w:hideMark/>
          </w:tcPr>
          <w:p w14:paraId="3CA01C58"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29.096</w:t>
            </w:r>
          </w:p>
        </w:tc>
        <w:tc>
          <w:tcPr>
            <w:tcW w:w="854" w:type="dxa"/>
            <w:tcBorders>
              <w:top w:val="nil"/>
              <w:left w:val="nil"/>
              <w:bottom w:val="nil"/>
              <w:right w:val="single" w:sz="12" w:space="0" w:color="auto"/>
            </w:tcBorders>
            <w:shd w:val="clear" w:color="000000" w:fill="E2EFDA"/>
            <w:noWrap/>
            <w:vAlign w:val="bottom"/>
            <w:hideMark/>
          </w:tcPr>
          <w:p w14:paraId="656C404C"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100%</w:t>
            </w:r>
          </w:p>
        </w:tc>
      </w:tr>
      <w:tr w:rsidR="00AD556E" w:rsidRPr="00AD556E" w14:paraId="2B7E09B3" w14:textId="77777777" w:rsidTr="00AD556E">
        <w:trPr>
          <w:trHeight w:val="278"/>
          <w:jc w:val="center"/>
        </w:trPr>
        <w:tc>
          <w:tcPr>
            <w:tcW w:w="2831" w:type="dxa"/>
            <w:tcBorders>
              <w:top w:val="nil"/>
              <w:left w:val="single" w:sz="12" w:space="0" w:color="auto"/>
              <w:bottom w:val="nil"/>
              <w:right w:val="nil"/>
            </w:tcBorders>
            <w:shd w:val="clear" w:color="auto" w:fill="auto"/>
            <w:vAlign w:val="bottom"/>
            <w:hideMark/>
          </w:tcPr>
          <w:p w14:paraId="5A778818" w14:textId="77777777" w:rsidR="00AD556E" w:rsidRPr="00AD556E" w:rsidRDefault="00AD556E" w:rsidP="00AD556E">
            <w:pPr>
              <w:spacing w:after="0" w:line="240" w:lineRule="auto"/>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REDSALUD</w:t>
            </w:r>
          </w:p>
        </w:tc>
        <w:tc>
          <w:tcPr>
            <w:tcW w:w="1602" w:type="dxa"/>
            <w:tcBorders>
              <w:top w:val="nil"/>
              <w:left w:val="nil"/>
              <w:bottom w:val="nil"/>
              <w:right w:val="nil"/>
            </w:tcBorders>
            <w:shd w:val="clear" w:color="auto" w:fill="auto"/>
            <w:vAlign w:val="center"/>
            <w:hideMark/>
          </w:tcPr>
          <w:p w14:paraId="36ACDD08" w14:textId="77777777" w:rsidR="00AD556E" w:rsidRPr="00AD556E" w:rsidRDefault="00AD556E" w:rsidP="00AD556E">
            <w:pPr>
              <w:spacing w:after="0" w:line="240" w:lineRule="auto"/>
              <w:jc w:val="center"/>
              <w:rPr>
                <w:rFonts w:ascii="Calibri" w:eastAsia="Times New Roman" w:hAnsi="Calibri" w:cs="Calibri"/>
                <w:sz w:val="16"/>
                <w:szCs w:val="16"/>
                <w:lang w:eastAsia="es-CO"/>
              </w:rPr>
            </w:pPr>
            <w:r w:rsidRPr="00AD556E">
              <w:rPr>
                <w:rFonts w:ascii="Calibri" w:eastAsia="Times New Roman" w:hAnsi="Calibri" w:cs="Calibri"/>
                <w:sz w:val="16"/>
                <w:szCs w:val="16"/>
                <w:lang w:eastAsia="es-CO"/>
              </w:rPr>
              <w:t>Voluntaria</w:t>
            </w:r>
          </w:p>
        </w:tc>
        <w:tc>
          <w:tcPr>
            <w:tcW w:w="1415" w:type="dxa"/>
            <w:tcBorders>
              <w:top w:val="nil"/>
              <w:left w:val="nil"/>
              <w:bottom w:val="nil"/>
              <w:right w:val="nil"/>
            </w:tcBorders>
            <w:shd w:val="clear" w:color="auto" w:fill="auto"/>
            <w:vAlign w:val="center"/>
            <w:hideMark/>
          </w:tcPr>
          <w:p w14:paraId="20A84D5B"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6.650</w:t>
            </w:r>
          </w:p>
        </w:tc>
        <w:tc>
          <w:tcPr>
            <w:tcW w:w="1308" w:type="dxa"/>
            <w:tcBorders>
              <w:top w:val="nil"/>
              <w:left w:val="nil"/>
              <w:bottom w:val="nil"/>
              <w:right w:val="nil"/>
            </w:tcBorders>
            <w:shd w:val="clear" w:color="auto" w:fill="auto"/>
            <w:vAlign w:val="center"/>
            <w:hideMark/>
          </w:tcPr>
          <w:p w14:paraId="73AC608A"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6.650</w:t>
            </w:r>
          </w:p>
        </w:tc>
        <w:tc>
          <w:tcPr>
            <w:tcW w:w="854" w:type="dxa"/>
            <w:tcBorders>
              <w:top w:val="nil"/>
              <w:left w:val="nil"/>
              <w:bottom w:val="nil"/>
              <w:right w:val="single" w:sz="12" w:space="0" w:color="auto"/>
            </w:tcBorders>
            <w:shd w:val="clear" w:color="auto" w:fill="auto"/>
            <w:noWrap/>
            <w:vAlign w:val="bottom"/>
            <w:hideMark/>
          </w:tcPr>
          <w:p w14:paraId="37008F16" w14:textId="77777777" w:rsidR="00AD556E" w:rsidRPr="00AD556E" w:rsidRDefault="00AD556E" w:rsidP="00AD556E">
            <w:pPr>
              <w:spacing w:after="0" w:line="240" w:lineRule="auto"/>
              <w:jc w:val="right"/>
              <w:rPr>
                <w:rFonts w:ascii="Calibri" w:eastAsia="Times New Roman" w:hAnsi="Calibri" w:cs="Calibri"/>
                <w:color w:val="000000"/>
                <w:sz w:val="16"/>
                <w:szCs w:val="16"/>
                <w:lang w:eastAsia="es-CO"/>
              </w:rPr>
            </w:pPr>
            <w:r w:rsidRPr="00AD556E">
              <w:rPr>
                <w:rFonts w:ascii="Calibri" w:eastAsia="Times New Roman" w:hAnsi="Calibri" w:cs="Calibri"/>
                <w:color w:val="000000"/>
                <w:sz w:val="16"/>
                <w:szCs w:val="16"/>
                <w:lang w:eastAsia="es-CO"/>
              </w:rPr>
              <w:t>100%</w:t>
            </w:r>
          </w:p>
        </w:tc>
      </w:tr>
      <w:tr w:rsidR="00AD556E" w:rsidRPr="00AD556E" w14:paraId="106A9319" w14:textId="77777777" w:rsidTr="00AD556E">
        <w:trPr>
          <w:trHeight w:val="288"/>
          <w:jc w:val="center"/>
        </w:trPr>
        <w:tc>
          <w:tcPr>
            <w:tcW w:w="4434" w:type="dxa"/>
            <w:gridSpan w:val="2"/>
            <w:tcBorders>
              <w:top w:val="nil"/>
              <w:left w:val="single" w:sz="12" w:space="0" w:color="auto"/>
              <w:bottom w:val="single" w:sz="12" w:space="0" w:color="auto"/>
              <w:right w:val="nil"/>
            </w:tcBorders>
            <w:shd w:val="clear" w:color="E2EFDA" w:fill="E2EFDA"/>
            <w:vAlign w:val="bottom"/>
            <w:hideMark/>
          </w:tcPr>
          <w:p w14:paraId="1D46CF2D" w14:textId="77777777" w:rsidR="00AD556E" w:rsidRPr="00AD556E" w:rsidRDefault="00AD556E" w:rsidP="00AD556E">
            <w:pPr>
              <w:spacing w:after="0" w:line="240" w:lineRule="auto"/>
              <w:jc w:val="center"/>
              <w:rPr>
                <w:rFonts w:ascii="Calibri" w:eastAsia="Times New Roman" w:hAnsi="Calibri" w:cs="Calibri"/>
                <w:b/>
                <w:bCs/>
                <w:color w:val="000000"/>
                <w:sz w:val="16"/>
                <w:szCs w:val="16"/>
                <w:lang w:eastAsia="es-CO"/>
              </w:rPr>
            </w:pPr>
            <w:r w:rsidRPr="00AD556E">
              <w:rPr>
                <w:rFonts w:ascii="Calibri" w:eastAsia="Times New Roman" w:hAnsi="Calibri" w:cs="Calibri"/>
                <w:b/>
                <w:bCs/>
                <w:color w:val="000000"/>
                <w:sz w:val="16"/>
                <w:szCs w:val="16"/>
                <w:lang w:eastAsia="es-CO"/>
              </w:rPr>
              <w:t>Total</w:t>
            </w:r>
          </w:p>
        </w:tc>
        <w:tc>
          <w:tcPr>
            <w:tcW w:w="1415" w:type="dxa"/>
            <w:tcBorders>
              <w:top w:val="nil"/>
              <w:left w:val="nil"/>
              <w:bottom w:val="single" w:sz="12" w:space="0" w:color="auto"/>
              <w:right w:val="nil"/>
            </w:tcBorders>
            <w:shd w:val="clear" w:color="E2EFDA" w:fill="E2EFDA"/>
            <w:vAlign w:val="center"/>
            <w:hideMark/>
          </w:tcPr>
          <w:p w14:paraId="4086BF33" w14:textId="77777777" w:rsidR="00AD556E" w:rsidRPr="00AD556E" w:rsidRDefault="00AD556E" w:rsidP="00AD556E">
            <w:pPr>
              <w:spacing w:after="0" w:line="240" w:lineRule="auto"/>
              <w:jc w:val="right"/>
              <w:rPr>
                <w:rFonts w:ascii="Calibri" w:eastAsia="Times New Roman" w:hAnsi="Calibri" w:cs="Calibri"/>
                <w:b/>
                <w:bCs/>
                <w:color w:val="000000"/>
                <w:sz w:val="16"/>
                <w:szCs w:val="16"/>
                <w:lang w:eastAsia="es-CO"/>
              </w:rPr>
            </w:pPr>
            <w:r w:rsidRPr="00AD556E">
              <w:rPr>
                <w:rFonts w:ascii="Calibri" w:eastAsia="Times New Roman" w:hAnsi="Calibri" w:cs="Calibri"/>
                <w:b/>
                <w:bCs/>
                <w:color w:val="000000"/>
                <w:sz w:val="16"/>
                <w:szCs w:val="16"/>
                <w:lang w:eastAsia="es-CO"/>
              </w:rPr>
              <w:t>1.953.440</w:t>
            </w:r>
          </w:p>
        </w:tc>
        <w:tc>
          <w:tcPr>
            <w:tcW w:w="1308" w:type="dxa"/>
            <w:tcBorders>
              <w:top w:val="nil"/>
              <w:left w:val="nil"/>
              <w:bottom w:val="single" w:sz="12" w:space="0" w:color="auto"/>
              <w:right w:val="nil"/>
            </w:tcBorders>
            <w:shd w:val="clear" w:color="E2EFDA" w:fill="E2EFDA"/>
            <w:vAlign w:val="center"/>
            <w:hideMark/>
          </w:tcPr>
          <w:p w14:paraId="0C61D6CE" w14:textId="77777777" w:rsidR="00AD556E" w:rsidRPr="00AD556E" w:rsidRDefault="00AD556E" w:rsidP="00AD556E">
            <w:pPr>
              <w:spacing w:after="0" w:line="240" w:lineRule="auto"/>
              <w:jc w:val="right"/>
              <w:rPr>
                <w:rFonts w:ascii="Calibri" w:eastAsia="Times New Roman" w:hAnsi="Calibri" w:cs="Calibri"/>
                <w:b/>
                <w:bCs/>
                <w:color w:val="000000"/>
                <w:sz w:val="16"/>
                <w:szCs w:val="16"/>
                <w:lang w:eastAsia="es-CO"/>
              </w:rPr>
            </w:pPr>
            <w:r w:rsidRPr="00AD556E">
              <w:rPr>
                <w:rFonts w:ascii="Calibri" w:eastAsia="Times New Roman" w:hAnsi="Calibri" w:cs="Calibri"/>
                <w:b/>
                <w:bCs/>
                <w:color w:val="000000"/>
                <w:sz w:val="16"/>
                <w:szCs w:val="16"/>
                <w:lang w:eastAsia="es-CO"/>
              </w:rPr>
              <w:t>1.892.790</w:t>
            </w:r>
          </w:p>
        </w:tc>
        <w:tc>
          <w:tcPr>
            <w:tcW w:w="854" w:type="dxa"/>
            <w:tcBorders>
              <w:top w:val="nil"/>
              <w:left w:val="nil"/>
              <w:bottom w:val="single" w:sz="12" w:space="0" w:color="auto"/>
              <w:right w:val="single" w:sz="12" w:space="0" w:color="auto"/>
            </w:tcBorders>
            <w:shd w:val="clear" w:color="000000" w:fill="E2EFDA"/>
            <w:noWrap/>
            <w:vAlign w:val="bottom"/>
            <w:hideMark/>
          </w:tcPr>
          <w:p w14:paraId="207A570F" w14:textId="77777777" w:rsidR="00AD556E" w:rsidRPr="00AD556E" w:rsidRDefault="00AD556E" w:rsidP="00AD556E">
            <w:pPr>
              <w:spacing w:after="0" w:line="240" w:lineRule="auto"/>
              <w:jc w:val="right"/>
              <w:rPr>
                <w:rFonts w:ascii="Calibri" w:eastAsia="Times New Roman" w:hAnsi="Calibri" w:cs="Calibri"/>
                <w:b/>
                <w:bCs/>
                <w:color w:val="000000"/>
                <w:sz w:val="16"/>
                <w:szCs w:val="16"/>
                <w:lang w:eastAsia="es-CO"/>
              </w:rPr>
            </w:pPr>
            <w:r w:rsidRPr="00AD556E">
              <w:rPr>
                <w:rFonts w:ascii="Calibri" w:eastAsia="Times New Roman" w:hAnsi="Calibri" w:cs="Calibri"/>
                <w:b/>
                <w:bCs/>
                <w:color w:val="000000"/>
                <w:sz w:val="16"/>
                <w:szCs w:val="16"/>
                <w:lang w:eastAsia="es-CO"/>
              </w:rPr>
              <w:t>97%</w:t>
            </w:r>
          </w:p>
        </w:tc>
      </w:tr>
    </w:tbl>
    <w:p w14:paraId="6399E5D8" w14:textId="4DA96C53" w:rsidR="00AD556E" w:rsidRPr="00AD556E" w:rsidRDefault="00AD556E" w:rsidP="00AD556E">
      <w:pPr>
        <w:spacing w:after="0" w:line="240" w:lineRule="auto"/>
        <w:jc w:val="center"/>
        <w:rPr>
          <w:rFonts w:ascii="Arial" w:hAnsi="Arial" w:cs="Arial"/>
          <w:sz w:val="16"/>
          <w:szCs w:val="16"/>
          <w:lang w:eastAsia="es-CO"/>
        </w:rPr>
      </w:pPr>
      <w:r w:rsidRPr="00AD556E">
        <w:rPr>
          <w:rFonts w:ascii="Arial" w:hAnsi="Arial" w:cs="Arial"/>
          <w:sz w:val="16"/>
          <w:szCs w:val="16"/>
          <w:lang w:eastAsia="es-CO"/>
        </w:rPr>
        <w:t>Fuente: Delegada de Medidas Especiales SNS</w:t>
      </w:r>
      <w:r w:rsidR="009566D6">
        <w:rPr>
          <w:rFonts w:ascii="Arial" w:hAnsi="Arial" w:cs="Arial"/>
          <w:sz w:val="16"/>
          <w:szCs w:val="16"/>
          <w:lang w:eastAsia="es-CO"/>
        </w:rPr>
        <w:t>.</w:t>
      </w:r>
    </w:p>
    <w:p w14:paraId="22137F6A" w14:textId="77777777" w:rsidR="00AD556E" w:rsidRPr="00AD556E" w:rsidRDefault="00AD556E" w:rsidP="00AD556E">
      <w:pPr>
        <w:spacing w:after="0" w:line="240" w:lineRule="auto"/>
        <w:jc w:val="center"/>
        <w:rPr>
          <w:rFonts w:ascii="Calibri" w:hAnsi="Calibri" w:cs="Calibri"/>
          <w:b/>
          <w:bCs/>
          <w:lang w:eastAsia="es-CO"/>
        </w:rPr>
      </w:pPr>
    </w:p>
    <w:p w14:paraId="04AB7082" w14:textId="039480E5" w:rsidR="001B0240" w:rsidRPr="00C31D64"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t>2. ¿Cuáles son los criterios utilizados por la Superintendencia Nacional de Salud para calificar a las EPS en el país?</w:t>
      </w:r>
    </w:p>
    <w:p w14:paraId="4007EFA3" w14:textId="77777777" w:rsidR="001B0240" w:rsidRPr="001B0240" w:rsidRDefault="001B0240" w:rsidP="001B0240">
      <w:pPr>
        <w:pStyle w:val="xxmsonormal"/>
        <w:shd w:val="clear" w:color="auto" w:fill="FFFFFF"/>
        <w:spacing w:before="0" w:beforeAutospacing="0" w:after="0" w:afterAutospacing="0"/>
        <w:jc w:val="both"/>
        <w:rPr>
          <w:rFonts w:ascii="Arial" w:hAnsi="Arial" w:cs="Arial"/>
          <w:color w:val="201F1E"/>
          <w:sz w:val="22"/>
          <w:szCs w:val="22"/>
        </w:rPr>
      </w:pPr>
      <w:r w:rsidRPr="001B0240">
        <w:rPr>
          <w:rFonts w:ascii="Arial" w:hAnsi="Arial" w:cs="Arial"/>
          <w:color w:val="201F1E"/>
          <w:sz w:val="22"/>
          <w:szCs w:val="22"/>
          <w:bdr w:val="none" w:sz="0" w:space="0" w:color="auto" w:frame="1"/>
          <w:lang w:val="es-ES"/>
        </w:rPr>
        <w:t> </w:t>
      </w:r>
    </w:p>
    <w:p w14:paraId="3D161504" w14:textId="26844F8A" w:rsidR="00AD556E" w:rsidRPr="00AD556E" w:rsidRDefault="00AD556E" w:rsidP="00AD556E">
      <w:pPr>
        <w:spacing w:after="0" w:line="240" w:lineRule="auto"/>
        <w:jc w:val="both"/>
        <w:rPr>
          <w:rFonts w:ascii="Arial" w:hAnsi="Arial" w:cs="Arial"/>
          <w:bCs/>
          <w:iCs/>
          <w:lang w:val="es-ES" w:eastAsia="es-CO"/>
        </w:rPr>
      </w:pPr>
      <w:r w:rsidRPr="00AD556E">
        <w:rPr>
          <w:rFonts w:ascii="Arial" w:hAnsi="Arial" w:cs="Arial"/>
          <w:bCs/>
          <w:iCs/>
          <w:lang w:val="es-ES" w:eastAsia="es-CO"/>
        </w:rPr>
        <w:t xml:space="preserve">La </w:t>
      </w:r>
      <w:r>
        <w:rPr>
          <w:rFonts w:ascii="Arial" w:hAnsi="Arial" w:cs="Arial"/>
          <w:bCs/>
          <w:iCs/>
          <w:lang w:val="es-ES" w:eastAsia="es-CO"/>
        </w:rPr>
        <w:t>S</w:t>
      </w:r>
      <w:r w:rsidRPr="00AD556E">
        <w:rPr>
          <w:rFonts w:ascii="Arial" w:hAnsi="Arial" w:cs="Arial"/>
          <w:bCs/>
          <w:iCs/>
          <w:lang w:val="es-ES" w:eastAsia="es-CO"/>
        </w:rPr>
        <w:t>uperintendencia Nacional de Salud no califica las entidades, ya que su objet</w:t>
      </w:r>
      <w:r w:rsidR="00AD3F73">
        <w:rPr>
          <w:rFonts w:ascii="Arial" w:hAnsi="Arial" w:cs="Arial"/>
          <w:bCs/>
          <w:iCs/>
          <w:lang w:val="es-ES" w:eastAsia="es-CO"/>
        </w:rPr>
        <w:t>ivo misional</w:t>
      </w:r>
      <w:r w:rsidRPr="00AD556E">
        <w:rPr>
          <w:rFonts w:ascii="Arial" w:hAnsi="Arial" w:cs="Arial"/>
          <w:bCs/>
          <w:iCs/>
          <w:lang w:val="es-ES" w:eastAsia="es-CO"/>
        </w:rPr>
        <w:t xml:space="preserve"> no es ese. </w:t>
      </w:r>
      <w:r w:rsidR="00AD3F73">
        <w:rPr>
          <w:rFonts w:ascii="Arial" w:hAnsi="Arial" w:cs="Arial"/>
          <w:bCs/>
          <w:iCs/>
          <w:lang w:val="es-ES" w:eastAsia="es-CO"/>
        </w:rPr>
        <w:t>En lugar de una calificación, p</w:t>
      </w:r>
      <w:r w:rsidRPr="00AD556E">
        <w:rPr>
          <w:rFonts w:ascii="Arial" w:hAnsi="Arial" w:cs="Arial"/>
          <w:bCs/>
          <w:iCs/>
          <w:lang w:val="es-ES" w:eastAsia="es-CO"/>
        </w:rPr>
        <w:t>ara poder realizar sus funciones con el fin de proteger los derechos de los usuarios, realiza</w:t>
      </w:r>
      <w:r>
        <w:rPr>
          <w:rFonts w:ascii="Arial" w:hAnsi="Arial" w:cs="Arial"/>
          <w:bCs/>
          <w:iCs/>
          <w:lang w:val="es-ES" w:eastAsia="es-CO"/>
        </w:rPr>
        <w:t>,</w:t>
      </w:r>
      <w:r w:rsidRPr="00AD556E">
        <w:rPr>
          <w:rFonts w:ascii="Arial" w:hAnsi="Arial" w:cs="Arial"/>
          <w:bCs/>
          <w:iCs/>
          <w:lang w:val="es-ES" w:eastAsia="es-CO"/>
        </w:rPr>
        <w:t xml:space="preserve"> entre otras: evaluaciones integrales de las EPS, análisis sectoriales y análisis de indicadores trazadores que permiten la priorización de acciones de supervisión.</w:t>
      </w:r>
    </w:p>
    <w:p w14:paraId="13311C9D" w14:textId="77777777" w:rsidR="00AD556E" w:rsidRPr="00AD556E" w:rsidRDefault="00AD556E" w:rsidP="00AD556E">
      <w:pPr>
        <w:spacing w:after="0" w:line="240" w:lineRule="auto"/>
        <w:jc w:val="both"/>
        <w:rPr>
          <w:rFonts w:ascii="Arial" w:hAnsi="Arial" w:cs="Arial"/>
          <w:bCs/>
          <w:iCs/>
          <w:lang w:val="es-ES" w:eastAsia="es-CO"/>
        </w:rPr>
      </w:pPr>
    </w:p>
    <w:p w14:paraId="5E236490" w14:textId="781B359B" w:rsidR="00AD556E" w:rsidRPr="00AD556E" w:rsidRDefault="00AD556E" w:rsidP="00AD556E">
      <w:pPr>
        <w:spacing w:after="0" w:line="240" w:lineRule="auto"/>
        <w:jc w:val="both"/>
        <w:rPr>
          <w:rFonts w:ascii="Arial" w:hAnsi="Arial" w:cs="Arial"/>
          <w:bCs/>
          <w:iCs/>
          <w:lang w:val="es-ES" w:eastAsia="es-CO"/>
        </w:rPr>
      </w:pPr>
      <w:r w:rsidRPr="00AD556E">
        <w:rPr>
          <w:rFonts w:ascii="Arial" w:hAnsi="Arial" w:cs="Arial"/>
          <w:bCs/>
          <w:iCs/>
          <w:lang w:val="es-ES" w:eastAsia="es-CO"/>
        </w:rPr>
        <w:t xml:space="preserve">El proceso de evaluación integral y seguimiento de las EPS se desarrolla mediante la articulación de análisis de riesgo y cumplimiento, a partir de las fuentes de información oficiales, con las cuales se caracteriza las EPS, teniendo en cuenta dimensiones financieras y técnico científicas. Respecto al riesgo en salud, se evalúa el modelo de atención y gestión del riesgo, y se tiene en cuenta la relación de la estructura poblacional de sus afiliados, sus condiciones de </w:t>
      </w:r>
      <w:proofErr w:type="spellStart"/>
      <w:r w:rsidRPr="00AD556E">
        <w:rPr>
          <w:rFonts w:ascii="Arial" w:hAnsi="Arial" w:cs="Arial"/>
          <w:bCs/>
          <w:iCs/>
          <w:lang w:val="es-ES" w:eastAsia="es-CO"/>
        </w:rPr>
        <w:t>morbi</w:t>
      </w:r>
      <w:proofErr w:type="spellEnd"/>
      <w:r w:rsidRPr="00AD556E">
        <w:rPr>
          <w:rFonts w:ascii="Arial" w:hAnsi="Arial" w:cs="Arial"/>
          <w:bCs/>
          <w:iCs/>
          <w:lang w:val="es-ES" w:eastAsia="es-CO"/>
        </w:rPr>
        <w:t>-mortalidad, la gestión del riesgo individual</w:t>
      </w:r>
      <w:r w:rsidR="00535598">
        <w:rPr>
          <w:rFonts w:ascii="Arial" w:hAnsi="Arial" w:cs="Arial"/>
          <w:bCs/>
          <w:iCs/>
          <w:lang w:val="es-ES" w:eastAsia="es-CO"/>
        </w:rPr>
        <w:t>,</w:t>
      </w:r>
      <w:r w:rsidRPr="00AD556E">
        <w:rPr>
          <w:rFonts w:ascii="Arial" w:hAnsi="Arial" w:cs="Arial"/>
          <w:bCs/>
          <w:iCs/>
          <w:lang w:val="es-ES" w:eastAsia="es-CO"/>
        </w:rPr>
        <w:t xml:space="preserve"> mediante el cumplimiento de acciones de protección específica y detección temprana; la gestión en lo relacionado con prevención secundaria y terciaria en cohortes de alto costo, y la gestión de la atención en salud por medio de la evaluación de indicadores de monitoreo de la calidad de la atención en salud, junto con el análisis de peticiones, quejas y reclamos interpuestos ante la SNS.</w:t>
      </w:r>
    </w:p>
    <w:p w14:paraId="0ED5C4A1" w14:textId="77777777" w:rsidR="00AD556E" w:rsidRPr="00AD556E" w:rsidRDefault="00AD556E" w:rsidP="00AD556E">
      <w:pPr>
        <w:spacing w:after="0" w:line="240" w:lineRule="auto"/>
        <w:jc w:val="both"/>
        <w:rPr>
          <w:rFonts w:ascii="Arial" w:hAnsi="Arial" w:cs="Arial"/>
          <w:bCs/>
          <w:iCs/>
          <w:lang w:val="es-ES" w:eastAsia="es-CO"/>
        </w:rPr>
      </w:pPr>
    </w:p>
    <w:p w14:paraId="39E4FF93" w14:textId="66201B96" w:rsidR="00AD556E" w:rsidRPr="00AD556E" w:rsidRDefault="00AD556E" w:rsidP="00AD556E">
      <w:pPr>
        <w:spacing w:after="0" w:line="240" w:lineRule="auto"/>
        <w:jc w:val="both"/>
        <w:rPr>
          <w:rFonts w:ascii="Arial" w:hAnsi="Arial" w:cs="Arial"/>
          <w:bCs/>
          <w:iCs/>
          <w:lang w:val="es-ES" w:eastAsia="es-CO"/>
        </w:rPr>
      </w:pPr>
      <w:r w:rsidRPr="00AD556E">
        <w:rPr>
          <w:rFonts w:ascii="Arial" w:hAnsi="Arial" w:cs="Arial"/>
          <w:bCs/>
          <w:iCs/>
          <w:lang w:val="es-ES" w:eastAsia="es-CO"/>
        </w:rPr>
        <w:t>Específicamente</w:t>
      </w:r>
      <w:r w:rsidR="003B7799">
        <w:rPr>
          <w:rFonts w:ascii="Arial" w:hAnsi="Arial" w:cs="Arial"/>
          <w:bCs/>
          <w:iCs/>
          <w:lang w:val="es-ES" w:eastAsia="es-CO"/>
        </w:rPr>
        <w:t>,</w:t>
      </w:r>
      <w:r w:rsidRPr="00AD556E">
        <w:rPr>
          <w:rFonts w:ascii="Arial" w:hAnsi="Arial" w:cs="Arial"/>
          <w:bCs/>
          <w:iCs/>
          <w:lang w:val="es-ES" w:eastAsia="es-CO"/>
        </w:rPr>
        <w:t xml:space="preserve"> respecto a las acciones de control, se precisa que el Comité de Medidas Especiales antes de sugerir </w:t>
      </w:r>
      <w:r w:rsidR="00535598">
        <w:rPr>
          <w:rFonts w:ascii="Arial" w:hAnsi="Arial" w:cs="Arial"/>
          <w:bCs/>
          <w:iCs/>
          <w:lang w:val="es-ES" w:eastAsia="es-CO"/>
        </w:rPr>
        <w:t xml:space="preserve">la adopción de </w:t>
      </w:r>
      <w:r w:rsidRPr="00AD556E">
        <w:rPr>
          <w:rFonts w:ascii="Arial" w:hAnsi="Arial" w:cs="Arial"/>
          <w:bCs/>
          <w:iCs/>
          <w:lang w:val="es-ES" w:eastAsia="es-CO"/>
        </w:rPr>
        <w:t xml:space="preserve">una medida </w:t>
      </w:r>
      <w:r w:rsidR="006900DB">
        <w:rPr>
          <w:rFonts w:ascii="Arial" w:hAnsi="Arial" w:cs="Arial"/>
          <w:bCs/>
          <w:iCs/>
          <w:lang w:val="es-ES" w:eastAsia="es-CO"/>
        </w:rPr>
        <w:t xml:space="preserve">especial </w:t>
      </w:r>
      <w:r w:rsidRPr="00AD556E">
        <w:rPr>
          <w:rFonts w:ascii="Arial" w:hAnsi="Arial" w:cs="Arial"/>
          <w:bCs/>
          <w:iCs/>
          <w:lang w:val="es-ES" w:eastAsia="es-CO"/>
        </w:rPr>
        <w:t xml:space="preserve">al Superintendente Nacional de Salud, cuenta con diferentes insumos, herramientas e información para la toma de decisiones de </w:t>
      </w:r>
      <w:r w:rsidR="006900DB">
        <w:rPr>
          <w:rFonts w:ascii="Arial" w:hAnsi="Arial" w:cs="Arial"/>
          <w:bCs/>
          <w:iCs/>
          <w:lang w:val="es-ES" w:eastAsia="es-CO"/>
        </w:rPr>
        <w:t>estas medidas</w:t>
      </w:r>
      <w:r w:rsidRPr="00AD556E">
        <w:rPr>
          <w:rFonts w:ascii="Arial" w:hAnsi="Arial" w:cs="Arial"/>
          <w:bCs/>
          <w:iCs/>
          <w:lang w:val="es-ES" w:eastAsia="es-CO"/>
        </w:rPr>
        <w:t>: resultados y hallazgos auditor</w:t>
      </w:r>
      <w:r w:rsidR="0037029D">
        <w:rPr>
          <w:rFonts w:ascii="Arial" w:hAnsi="Arial" w:cs="Arial"/>
          <w:bCs/>
          <w:iCs/>
          <w:lang w:val="es-ES" w:eastAsia="es-CO"/>
        </w:rPr>
        <w:t>í</w:t>
      </w:r>
      <w:r w:rsidRPr="00AD556E">
        <w:rPr>
          <w:rFonts w:ascii="Arial" w:hAnsi="Arial" w:cs="Arial"/>
          <w:bCs/>
          <w:iCs/>
          <w:lang w:val="es-ES" w:eastAsia="es-CO"/>
        </w:rPr>
        <w:t xml:space="preserve">as, </w:t>
      </w:r>
      <w:r w:rsidR="0037029D">
        <w:rPr>
          <w:rFonts w:ascii="Arial" w:hAnsi="Arial" w:cs="Arial"/>
          <w:bCs/>
          <w:iCs/>
          <w:lang w:val="es-ES" w:eastAsia="es-CO"/>
        </w:rPr>
        <w:t xml:space="preserve">metodologías adoptadas para el seguimiento, </w:t>
      </w:r>
      <w:r w:rsidRPr="00AD556E">
        <w:rPr>
          <w:rFonts w:ascii="Arial" w:hAnsi="Arial" w:cs="Arial"/>
          <w:bCs/>
          <w:iCs/>
          <w:lang w:val="es-ES" w:eastAsia="es-CO"/>
        </w:rPr>
        <w:t>análisis de información y otras acciones de verificación del cumplimiento de la normatividad vigente y de la gestión del riesgo.</w:t>
      </w:r>
    </w:p>
    <w:p w14:paraId="212D6EE4" w14:textId="77777777" w:rsidR="00AD556E" w:rsidRPr="00AD556E" w:rsidRDefault="00AD556E" w:rsidP="00AD556E">
      <w:pPr>
        <w:spacing w:after="0" w:line="240" w:lineRule="auto"/>
        <w:jc w:val="both"/>
        <w:rPr>
          <w:rFonts w:ascii="Arial" w:hAnsi="Arial" w:cs="Arial"/>
          <w:bCs/>
          <w:iCs/>
          <w:lang w:val="es-ES" w:eastAsia="es-CO"/>
        </w:rPr>
      </w:pPr>
    </w:p>
    <w:p w14:paraId="6703D50D" w14:textId="1DE58EA6" w:rsidR="00AD556E" w:rsidRPr="00AD556E" w:rsidRDefault="00AD556E" w:rsidP="00AD556E">
      <w:pPr>
        <w:spacing w:after="0" w:line="240" w:lineRule="auto"/>
        <w:jc w:val="both"/>
        <w:rPr>
          <w:rFonts w:ascii="Arial" w:hAnsi="Arial" w:cs="Arial"/>
          <w:bCs/>
          <w:iCs/>
          <w:lang w:val="es-ES" w:eastAsia="es-CO"/>
        </w:rPr>
      </w:pPr>
      <w:r w:rsidRPr="00AD556E">
        <w:rPr>
          <w:rFonts w:ascii="Arial" w:hAnsi="Arial" w:cs="Arial"/>
          <w:bCs/>
          <w:iCs/>
          <w:lang w:val="es-ES" w:eastAsia="es-CO"/>
        </w:rPr>
        <w:t>Por otra parte, cabe mencionar que dentro de las herramientas e insumos con los que se cuenta para la toma decisiones, se encuentra un indicador integral de desempeño, indicador compuesto que permite examinar el desempeño de las EPS y determinar la capacidad de gestión en salud y financiera de la misma, analizando cuatro componentes: resultados de calidad en salud, resultados sobre atención al usuario (PQR), desempeño financiero</w:t>
      </w:r>
      <w:r w:rsidR="00535598">
        <w:rPr>
          <w:rFonts w:ascii="Arial" w:hAnsi="Arial" w:cs="Arial"/>
          <w:bCs/>
          <w:iCs/>
          <w:lang w:val="es-ES" w:eastAsia="es-CO"/>
        </w:rPr>
        <w:t xml:space="preserve"> y</w:t>
      </w:r>
      <w:r w:rsidRPr="00AD556E">
        <w:rPr>
          <w:rFonts w:ascii="Arial" w:hAnsi="Arial" w:cs="Arial"/>
          <w:bCs/>
          <w:iCs/>
          <w:lang w:val="es-ES" w:eastAsia="es-CO"/>
        </w:rPr>
        <w:t xml:space="preserve"> cumplimiento de las condiciones financieras</w:t>
      </w:r>
      <w:r w:rsidR="0049786F">
        <w:rPr>
          <w:rFonts w:ascii="Arial" w:hAnsi="Arial" w:cs="Arial"/>
          <w:bCs/>
          <w:iCs/>
          <w:lang w:val="es-ES" w:eastAsia="es-CO"/>
        </w:rPr>
        <w:t xml:space="preserve"> y de solvencia</w:t>
      </w:r>
      <w:r w:rsidRPr="00AD556E">
        <w:rPr>
          <w:rFonts w:ascii="Arial" w:hAnsi="Arial" w:cs="Arial"/>
          <w:bCs/>
          <w:iCs/>
          <w:lang w:val="es-ES" w:eastAsia="es-CO"/>
        </w:rPr>
        <w:t>.</w:t>
      </w:r>
    </w:p>
    <w:p w14:paraId="191144B8" w14:textId="77777777" w:rsidR="00AD556E" w:rsidRPr="00AD556E" w:rsidRDefault="00AD556E" w:rsidP="00AD556E">
      <w:pPr>
        <w:spacing w:after="0" w:line="240" w:lineRule="auto"/>
        <w:rPr>
          <w:rFonts w:ascii="Arial" w:hAnsi="Arial" w:cs="Arial"/>
          <w:b/>
          <w:bCs/>
          <w:i/>
          <w:iCs/>
          <w:lang w:val="es-ES" w:eastAsia="es-CO"/>
        </w:rPr>
      </w:pPr>
    </w:p>
    <w:p w14:paraId="4685F706" w14:textId="4E13582D" w:rsidR="00AD556E" w:rsidRPr="00AD556E" w:rsidRDefault="00AD556E" w:rsidP="00AD556E">
      <w:pPr>
        <w:spacing w:after="0" w:line="240" w:lineRule="auto"/>
        <w:jc w:val="both"/>
        <w:rPr>
          <w:rFonts w:ascii="Arial" w:hAnsi="Arial" w:cs="Arial"/>
          <w:bCs/>
          <w:iCs/>
          <w:lang w:val="es-ES" w:eastAsia="es-CO"/>
        </w:rPr>
      </w:pPr>
      <w:r w:rsidRPr="00AD556E">
        <w:rPr>
          <w:rFonts w:ascii="Arial" w:hAnsi="Arial" w:cs="Arial"/>
          <w:bCs/>
          <w:iCs/>
          <w:lang w:val="es-ES" w:eastAsia="es-CO"/>
        </w:rPr>
        <w:t xml:space="preserve">Finalmente, cabe notar que de forma periódica se evalúa y analiza la operación de las entidades vigiladas en medida especial, desde las Superintendencias Delegadas para la Supervisión Institucional, Supervisión de Riesgos, para la Protección al Usuario y Medidas Especiales, </w:t>
      </w:r>
      <w:r w:rsidR="003B7799">
        <w:rPr>
          <w:rFonts w:ascii="Arial" w:hAnsi="Arial" w:cs="Arial"/>
          <w:bCs/>
          <w:iCs/>
          <w:lang w:val="es-ES" w:eastAsia="es-CO"/>
        </w:rPr>
        <w:t xml:space="preserve">denominada así en su momento, </w:t>
      </w:r>
      <w:r w:rsidRPr="00AD556E">
        <w:rPr>
          <w:rFonts w:ascii="Arial" w:hAnsi="Arial" w:cs="Arial"/>
          <w:bCs/>
          <w:iCs/>
          <w:lang w:val="es-ES" w:eastAsia="es-CO"/>
        </w:rPr>
        <w:t xml:space="preserve">y cada una desde su competencia conceptúa la situación de cada entidad </w:t>
      </w:r>
      <w:r w:rsidR="00535598">
        <w:rPr>
          <w:rFonts w:ascii="Arial" w:hAnsi="Arial" w:cs="Arial"/>
          <w:bCs/>
          <w:iCs/>
          <w:lang w:val="es-ES" w:eastAsia="es-CO"/>
        </w:rPr>
        <w:t xml:space="preserve">vigilada </w:t>
      </w:r>
      <w:r w:rsidRPr="00AD556E">
        <w:rPr>
          <w:rFonts w:ascii="Arial" w:hAnsi="Arial" w:cs="Arial"/>
          <w:bCs/>
          <w:iCs/>
          <w:lang w:val="es-ES" w:eastAsia="es-CO"/>
        </w:rPr>
        <w:t>en el Sistema General de Seguridad Social en Salud. Como consecuencia de dicho seguimiento</w:t>
      </w:r>
      <w:r w:rsidR="00D34D6C">
        <w:rPr>
          <w:rFonts w:ascii="Arial" w:hAnsi="Arial" w:cs="Arial"/>
          <w:bCs/>
          <w:iCs/>
          <w:lang w:val="es-ES" w:eastAsia="es-CO"/>
        </w:rPr>
        <w:t>,</w:t>
      </w:r>
      <w:r w:rsidRPr="00AD556E">
        <w:rPr>
          <w:rFonts w:ascii="Arial" w:hAnsi="Arial" w:cs="Arial"/>
          <w:bCs/>
          <w:iCs/>
          <w:lang w:val="es-ES" w:eastAsia="es-CO"/>
        </w:rPr>
        <w:t xml:space="preserve"> se obtienen insumos técnicos, financieros, </w:t>
      </w:r>
      <w:r w:rsidRPr="00AD556E">
        <w:rPr>
          <w:rFonts w:ascii="Arial" w:hAnsi="Arial" w:cs="Arial"/>
          <w:bCs/>
          <w:iCs/>
          <w:lang w:val="es-ES" w:eastAsia="es-CO"/>
        </w:rPr>
        <w:lastRenderedPageBreak/>
        <w:t>jurídicos y administrativos que son presentados ante el Comité de Medidas Especiales, instancia técnica que analiza y recomienda al Superintendente Nacional de Salud la adopción de decisiones razonables encaminadas a la protección del derecho a la salud de sus usuarios, la debida destinación de los recursos del Sistema General de Seguridad Social en Salud y la minimización de los riesgos para el sistema</w:t>
      </w:r>
      <w:r w:rsidR="00535598">
        <w:rPr>
          <w:rFonts w:ascii="Arial" w:hAnsi="Arial" w:cs="Arial"/>
          <w:bCs/>
          <w:iCs/>
          <w:lang w:val="es-ES" w:eastAsia="es-CO"/>
        </w:rPr>
        <w:t>,</w:t>
      </w:r>
      <w:r w:rsidRPr="00AD556E">
        <w:rPr>
          <w:rFonts w:ascii="Arial" w:hAnsi="Arial" w:cs="Arial"/>
          <w:bCs/>
          <w:iCs/>
          <w:lang w:val="es-ES" w:eastAsia="es-CO"/>
        </w:rPr>
        <w:t xml:space="preserve"> de manera que se preserve la confianza pública, se pretenda que no incurra en causal de toma de posesión o para subsanarla, conforme lo señala la</w:t>
      </w:r>
      <w:r w:rsidR="00D34D6C">
        <w:rPr>
          <w:rFonts w:ascii="Arial" w:hAnsi="Arial" w:cs="Arial"/>
          <w:bCs/>
          <w:iCs/>
          <w:lang w:val="es-ES" w:eastAsia="es-CO"/>
        </w:rPr>
        <w:t>s</w:t>
      </w:r>
      <w:r w:rsidRPr="00AD556E">
        <w:rPr>
          <w:rFonts w:ascii="Arial" w:hAnsi="Arial" w:cs="Arial"/>
          <w:bCs/>
          <w:iCs/>
          <w:lang w:val="es-ES" w:eastAsia="es-CO"/>
        </w:rPr>
        <w:t xml:space="preserve"> </w:t>
      </w:r>
      <w:r w:rsidR="00535598">
        <w:rPr>
          <w:rFonts w:ascii="Arial" w:hAnsi="Arial" w:cs="Arial"/>
          <w:bCs/>
          <w:iCs/>
          <w:lang w:val="es-ES" w:eastAsia="es-CO"/>
        </w:rPr>
        <w:t>L</w:t>
      </w:r>
      <w:r w:rsidRPr="00AD556E">
        <w:rPr>
          <w:rFonts w:ascii="Arial" w:hAnsi="Arial" w:cs="Arial"/>
          <w:bCs/>
          <w:iCs/>
          <w:lang w:val="es-ES" w:eastAsia="es-CO"/>
        </w:rPr>
        <w:t>ey</w:t>
      </w:r>
      <w:r w:rsidR="00D34D6C">
        <w:rPr>
          <w:rFonts w:ascii="Arial" w:hAnsi="Arial" w:cs="Arial"/>
          <w:bCs/>
          <w:iCs/>
          <w:lang w:val="es-ES" w:eastAsia="es-CO"/>
        </w:rPr>
        <w:t>es</w:t>
      </w:r>
      <w:r w:rsidRPr="00AD556E">
        <w:rPr>
          <w:rFonts w:ascii="Arial" w:hAnsi="Arial" w:cs="Arial"/>
          <w:bCs/>
          <w:iCs/>
          <w:lang w:val="es-ES" w:eastAsia="es-CO"/>
        </w:rPr>
        <w:t xml:space="preserve"> 1122 de 2007</w:t>
      </w:r>
      <w:r w:rsidR="00D34D6C">
        <w:rPr>
          <w:rFonts w:ascii="Arial" w:hAnsi="Arial" w:cs="Arial"/>
          <w:bCs/>
          <w:iCs/>
          <w:lang w:val="es-ES" w:eastAsia="es-CO"/>
        </w:rPr>
        <w:t xml:space="preserve"> y 1438 de 2011 y el Decreto Ley 663 de 1993 Estatuto Orgánico del Sistema Financiero</w:t>
      </w:r>
      <w:r w:rsidR="00535598">
        <w:rPr>
          <w:rFonts w:ascii="Arial" w:hAnsi="Arial" w:cs="Arial"/>
          <w:bCs/>
          <w:iCs/>
          <w:lang w:val="es-ES" w:eastAsia="es-CO"/>
        </w:rPr>
        <w:t>,</w:t>
      </w:r>
      <w:r w:rsidRPr="00AD556E">
        <w:rPr>
          <w:rFonts w:ascii="Arial" w:hAnsi="Arial" w:cs="Arial"/>
          <w:bCs/>
          <w:iCs/>
          <w:lang w:val="es-ES" w:eastAsia="es-CO"/>
        </w:rPr>
        <w:t xml:space="preserve"> en el marco del eje de acciones y medidas especiales</w:t>
      </w:r>
      <w:r w:rsidR="0049786F">
        <w:rPr>
          <w:rFonts w:ascii="Arial" w:hAnsi="Arial" w:cs="Arial"/>
          <w:bCs/>
          <w:iCs/>
          <w:lang w:val="es-ES" w:eastAsia="es-CO"/>
        </w:rPr>
        <w:t>,</w:t>
      </w:r>
      <w:r w:rsidRPr="00AD556E">
        <w:rPr>
          <w:rFonts w:ascii="Arial" w:hAnsi="Arial" w:cs="Arial"/>
          <w:bCs/>
          <w:iCs/>
          <w:lang w:val="es-ES" w:eastAsia="es-CO"/>
        </w:rPr>
        <w:t xml:space="preserve"> y la función de control.</w:t>
      </w:r>
    </w:p>
    <w:p w14:paraId="1C627327" w14:textId="77777777" w:rsidR="00AD556E" w:rsidRPr="00AD556E" w:rsidRDefault="00AD556E" w:rsidP="00AD556E">
      <w:pPr>
        <w:spacing w:after="0" w:line="240" w:lineRule="auto"/>
        <w:rPr>
          <w:rFonts w:ascii="Arial" w:hAnsi="Arial" w:cs="Arial"/>
          <w:b/>
          <w:bCs/>
          <w:i/>
          <w:iCs/>
          <w:lang w:val="es-ES" w:eastAsia="es-CO"/>
        </w:rPr>
      </w:pPr>
    </w:p>
    <w:p w14:paraId="240C02F1" w14:textId="188DBFE1" w:rsidR="001B0240" w:rsidRPr="00C31D64"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t>3. Informe en qué situación se encuentran los reaseguros de las EPS, frente a los procesos liquidatarios de las mismas, toda vez que la inspección, vigilancia y control le corresponde a la Superintendencia Nacional de Salud.</w:t>
      </w:r>
    </w:p>
    <w:p w14:paraId="0A7A7C08" w14:textId="17017F7F" w:rsidR="00482413"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bdr w:val="none" w:sz="0" w:space="0" w:color="auto" w:frame="1"/>
          <w:shd w:val="clear" w:color="auto" w:fill="FFFF00"/>
          <w:lang w:val="es-ES"/>
        </w:rPr>
      </w:pPr>
      <w:r w:rsidRPr="001B0240">
        <w:rPr>
          <w:rFonts w:ascii="Arial" w:hAnsi="Arial" w:cs="Arial"/>
          <w:color w:val="201F1E"/>
          <w:sz w:val="22"/>
          <w:szCs w:val="22"/>
          <w:bdr w:val="none" w:sz="0" w:space="0" w:color="auto" w:frame="1"/>
          <w:lang w:val="es-ES"/>
        </w:rPr>
        <w:t> </w:t>
      </w:r>
    </w:p>
    <w:p w14:paraId="57E230AE" w14:textId="1B900E57" w:rsidR="00F626C7" w:rsidRDefault="00CD1E5A" w:rsidP="001B0240">
      <w:pPr>
        <w:pStyle w:val="xxmsonormal"/>
        <w:shd w:val="clear" w:color="auto" w:fill="FFFFFF"/>
        <w:spacing w:before="0" w:beforeAutospacing="0" w:after="0" w:afterAutospacing="0"/>
        <w:jc w:val="both"/>
        <w:rPr>
          <w:rFonts w:ascii="Arial" w:hAnsi="Arial" w:cs="Arial"/>
          <w:color w:val="201F1E"/>
          <w:sz w:val="22"/>
          <w:szCs w:val="22"/>
        </w:rPr>
      </w:pPr>
      <w:r>
        <w:rPr>
          <w:rFonts w:ascii="Arial" w:hAnsi="Arial" w:cs="Arial"/>
          <w:color w:val="201F1E"/>
          <w:sz w:val="22"/>
          <w:szCs w:val="22"/>
        </w:rPr>
        <w:t>De forma preliminar,</w:t>
      </w:r>
      <w:r w:rsidR="00482413">
        <w:rPr>
          <w:rFonts w:ascii="Arial" w:hAnsi="Arial" w:cs="Arial"/>
          <w:color w:val="201F1E"/>
          <w:sz w:val="22"/>
          <w:szCs w:val="22"/>
        </w:rPr>
        <w:t xml:space="preserve"> es preciso señalar que </w:t>
      </w:r>
      <w:r>
        <w:rPr>
          <w:rFonts w:ascii="Arial" w:hAnsi="Arial" w:cs="Arial"/>
          <w:color w:val="201F1E"/>
          <w:sz w:val="22"/>
          <w:szCs w:val="22"/>
        </w:rPr>
        <w:t xml:space="preserve">el seguimiento de los procesos liquidatorios </w:t>
      </w:r>
      <w:r w:rsidR="000B4459">
        <w:rPr>
          <w:rFonts w:ascii="Arial" w:hAnsi="Arial" w:cs="Arial"/>
          <w:color w:val="201F1E"/>
          <w:sz w:val="22"/>
          <w:szCs w:val="22"/>
        </w:rPr>
        <w:t xml:space="preserve">de EPS </w:t>
      </w:r>
      <w:r>
        <w:rPr>
          <w:rFonts w:ascii="Arial" w:hAnsi="Arial" w:cs="Arial"/>
          <w:color w:val="201F1E"/>
          <w:sz w:val="22"/>
          <w:szCs w:val="22"/>
        </w:rPr>
        <w:t>ordenados por la Superintendencia Nacional de Salud</w:t>
      </w:r>
      <w:r w:rsidR="000B4459">
        <w:rPr>
          <w:rFonts w:ascii="Arial" w:hAnsi="Arial" w:cs="Arial"/>
          <w:color w:val="201F1E"/>
          <w:sz w:val="22"/>
          <w:szCs w:val="22"/>
        </w:rPr>
        <w:t xml:space="preserve"> es distinto de la actividad de inspección,</w:t>
      </w:r>
      <w:r w:rsidR="00443D53">
        <w:rPr>
          <w:rFonts w:ascii="Arial" w:hAnsi="Arial" w:cs="Arial"/>
          <w:color w:val="201F1E"/>
          <w:sz w:val="22"/>
          <w:szCs w:val="22"/>
        </w:rPr>
        <w:t xml:space="preserve"> </w:t>
      </w:r>
      <w:r w:rsidR="000B4459">
        <w:rPr>
          <w:rFonts w:ascii="Arial" w:hAnsi="Arial" w:cs="Arial"/>
          <w:color w:val="201F1E"/>
          <w:sz w:val="22"/>
          <w:szCs w:val="22"/>
        </w:rPr>
        <w:t xml:space="preserve">vigilancia y control que se cumple </w:t>
      </w:r>
      <w:r w:rsidR="00307446">
        <w:rPr>
          <w:rFonts w:ascii="Arial" w:hAnsi="Arial" w:cs="Arial"/>
          <w:color w:val="201F1E"/>
          <w:sz w:val="22"/>
          <w:szCs w:val="22"/>
        </w:rPr>
        <w:t xml:space="preserve">frente a actores que </w:t>
      </w:r>
      <w:r w:rsidR="0049786F">
        <w:rPr>
          <w:rFonts w:ascii="Arial" w:hAnsi="Arial" w:cs="Arial"/>
          <w:color w:val="201F1E"/>
          <w:sz w:val="22"/>
          <w:szCs w:val="22"/>
        </w:rPr>
        <w:t>efectúan</w:t>
      </w:r>
      <w:r w:rsidR="00307446">
        <w:rPr>
          <w:rFonts w:ascii="Arial" w:hAnsi="Arial" w:cs="Arial"/>
          <w:color w:val="201F1E"/>
          <w:sz w:val="22"/>
          <w:szCs w:val="22"/>
        </w:rPr>
        <w:t xml:space="preserve"> funciones de aseguramiento dentro del Sistema General de Seguridad Social en Salud. Debe quedar claro que, en el primer caso, lo que se realiza es un seguimiento sobre la actividad de los liquidadores (actos y contratos) preservando, en todo caso, su autonomía</w:t>
      </w:r>
      <w:r w:rsidR="00C56B16">
        <w:rPr>
          <w:rFonts w:ascii="Arial" w:hAnsi="Arial" w:cs="Arial"/>
          <w:color w:val="201F1E"/>
          <w:sz w:val="22"/>
          <w:szCs w:val="22"/>
        </w:rPr>
        <w:t xml:space="preserve">. </w:t>
      </w:r>
    </w:p>
    <w:p w14:paraId="0C8B375B" w14:textId="77777777" w:rsidR="00F626C7" w:rsidRDefault="00F626C7" w:rsidP="001B0240">
      <w:pPr>
        <w:pStyle w:val="xxmsonormal"/>
        <w:shd w:val="clear" w:color="auto" w:fill="FFFFFF"/>
        <w:spacing w:before="0" w:beforeAutospacing="0" w:after="0" w:afterAutospacing="0"/>
        <w:jc w:val="both"/>
        <w:rPr>
          <w:rFonts w:ascii="Arial" w:hAnsi="Arial" w:cs="Arial"/>
          <w:color w:val="201F1E"/>
          <w:sz w:val="22"/>
          <w:szCs w:val="22"/>
        </w:rPr>
      </w:pPr>
    </w:p>
    <w:p w14:paraId="07DE153F" w14:textId="0F65270B" w:rsidR="00F626C7" w:rsidRDefault="00F626C7" w:rsidP="00F626C7">
      <w:pPr>
        <w:pStyle w:val="xxmsonormal"/>
        <w:shd w:val="clear" w:color="auto" w:fill="FFFFFF"/>
        <w:spacing w:before="0" w:beforeAutospacing="0" w:after="0" w:afterAutospacing="0"/>
        <w:jc w:val="both"/>
        <w:rPr>
          <w:rFonts w:ascii="Arial" w:hAnsi="Arial" w:cs="Arial"/>
          <w:color w:val="201F1E"/>
          <w:sz w:val="22"/>
          <w:szCs w:val="22"/>
        </w:rPr>
      </w:pPr>
      <w:r>
        <w:rPr>
          <w:rFonts w:ascii="Arial" w:hAnsi="Arial" w:cs="Arial"/>
          <w:color w:val="201F1E"/>
          <w:sz w:val="22"/>
          <w:szCs w:val="22"/>
        </w:rPr>
        <w:t xml:space="preserve">En el segundo caso, cuando la entidad no está intervenida para liquidar, la actividad de inspección, vigilancia y control se cumple de forma plena e implica, incluso, la posibilidad de adoptar medidas de salvamento y procesos de reorganización institucional. De manera que, cuando una entidad está intervenida para liquidar, la intervención solo permite finalizar la existencia de la persona jurídica y </w:t>
      </w:r>
      <w:r w:rsidR="003B22FC">
        <w:rPr>
          <w:rFonts w:ascii="Arial" w:hAnsi="Arial" w:cs="Arial"/>
          <w:color w:val="201F1E"/>
          <w:sz w:val="22"/>
          <w:szCs w:val="22"/>
        </w:rPr>
        <w:t>verificar el pago de obligaciones con el cumplimiento de las etapas del proceso liquidatorio.</w:t>
      </w:r>
      <w:r w:rsidR="004229AE">
        <w:rPr>
          <w:rFonts w:ascii="Arial" w:hAnsi="Arial" w:cs="Arial"/>
          <w:color w:val="201F1E"/>
          <w:sz w:val="22"/>
          <w:szCs w:val="22"/>
        </w:rPr>
        <w:t xml:space="preserve"> A estos fines se dirige el seguimiento por la Superintendencia.</w:t>
      </w:r>
    </w:p>
    <w:p w14:paraId="79EC7EA9" w14:textId="77777777" w:rsidR="001B0240" w:rsidRPr="001B0240" w:rsidRDefault="001B0240" w:rsidP="001B0240">
      <w:pPr>
        <w:pStyle w:val="xxmsonormal"/>
        <w:shd w:val="clear" w:color="auto" w:fill="FFFFFF"/>
        <w:spacing w:before="0" w:beforeAutospacing="0" w:after="0" w:afterAutospacing="0"/>
        <w:jc w:val="both"/>
        <w:rPr>
          <w:rFonts w:ascii="Arial" w:hAnsi="Arial" w:cs="Arial"/>
          <w:color w:val="201F1E"/>
          <w:sz w:val="22"/>
          <w:szCs w:val="22"/>
        </w:rPr>
      </w:pPr>
      <w:r w:rsidRPr="001B0240">
        <w:rPr>
          <w:rFonts w:ascii="Arial" w:hAnsi="Arial" w:cs="Arial"/>
          <w:color w:val="201F1E"/>
          <w:sz w:val="22"/>
          <w:szCs w:val="22"/>
          <w:bdr w:val="none" w:sz="0" w:space="0" w:color="auto" w:frame="1"/>
          <w:lang w:val="es-ES"/>
        </w:rPr>
        <w:t> </w:t>
      </w:r>
    </w:p>
    <w:p w14:paraId="00C406F2" w14:textId="28B24BA0" w:rsidR="001B0240" w:rsidRPr="00C31D64"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t>4. ¿Cómo están reglamentados los procesos de reorganización empresarial de los entes vigilados por la Superintendencia Nacional de Salud, públicos y privados, e IPS que se han visto afectados por los procesos liquidatarios?</w:t>
      </w:r>
    </w:p>
    <w:p w14:paraId="25C55D95" w14:textId="77777777" w:rsidR="003B7799" w:rsidRDefault="003B7799" w:rsidP="00482413">
      <w:pPr>
        <w:widowControl w:val="0"/>
        <w:shd w:val="clear" w:color="auto" w:fill="FFFFFF"/>
        <w:tabs>
          <w:tab w:val="left" w:pos="0"/>
        </w:tabs>
        <w:autoSpaceDE w:val="0"/>
        <w:autoSpaceDN w:val="0"/>
        <w:adjustRightInd w:val="0"/>
        <w:spacing w:before="60" w:after="40" w:line="240" w:lineRule="auto"/>
        <w:ind w:right="49"/>
        <w:contextualSpacing/>
        <w:jc w:val="both"/>
        <w:rPr>
          <w:rFonts w:ascii="Arial" w:eastAsia="Calibri" w:hAnsi="Arial" w:cs="Arial"/>
          <w:lang w:val="es-ES"/>
        </w:rPr>
      </w:pPr>
    </w:p>
    <w:p w14:paraId="00F48A7C" w14:textId="1FA3E3B7" w:rsidR="00E77A75" w:rsidRDefault="001F0BD0" w:rsidP="00482413">
      <w:pPr>
        <w:widowControl w:val="0"/>
        <w:shd w:val="clear" w:color="auto" w:fill="FFFFFF"/>
        <w:tabs>
          <w:tab w:val="left" w:pos="0"/>
        </w:tabs>
        <w:autoSpaceDE w:val="0"/>
        <w:autoSpaceDN w:val="0"/>
        <w:adjustRightInd w:val="0"/>
        <w:spacing w:before="60" w:after="40" w:line="240" w:lineRule="auto"/>
        <w:ind w:right="49"/>
        <w:contextualSpacing/>
        <w:jc w:val="both"/>
        <w:rPr>
          <w:rFonts w:ascii="Arial" w:eastAsia="Calibri" w:hAnsi="Arial" w:cs="Arial"/>
          <w:lang w:val="es-ES"/>
        </w:rPr>
      </w:pPr>
      <w:r>
        <w:rPr>
          <w:rFonts w:ascii="Arial" w:eastAsia="Calibri" w:hAnsi="Arial" w:cs="Arial"/>
          <w:lang w:val="es-ES"/>
        </w:rPr>
        <w:t>Se</w:t>
      </w:r>
      <w:r w:rsidR="00482413">
        <w:rPr>
          <w:rFonts w:ascii="Arial" w:eastAsia="Calibri" w:hAnsi="Arial" w:cs="Arial"/>
          <w:lang w:val="es-ES"/>
        </w:rPr>
        <w:t xml:space="preserve"> precisa que e</w:t>
      </w:r>
      <w:r w:rsidR="00482413" w:rsidRPr="00482413">
        <w:rPr>
          <w:rFonts w:ascii="Arial" w:eastAsia="Calibri" w:hAnsi="Arial" w:cs="Arial"/>
          <w:lang w:val="es-ES"/>
        </w:rPr>
        <w:t>l</w:t>
      </w:r>
      <w:r w:rsidR="00512E3C">
        <w:rPr>
          <w:rFonts w:ascii="Arial" w:eastAsia="Calibri" w:hAnsi="Arial" w:cs="Arial"/>
          <w:lang w:val="es-ES"/>
        </w:rPr>
        <w:t xml:space="preserve"> Ministerio de Salud y Protección </w:t>
      </w:r>
      <w:r w:rsidR="003808DB">
        <w:rPr>
          <w:rFonts w:ascii="Arial" w:eastAsia="Calibri" w:hAnsi="Arial" w:cs="Arial"/>
          <w:lang w:val="es-ES"/>
        </w:rPr>
        <w:t xml:space="preserve">reglamentó </w:t>
      </w:r>
      <w:r>
        <w:rPr>
          <w:rFonts w:ascii="Arial" w:eastAsia="Calibri" w:hAnsi="Arial" w:cs="Arial"/>
          <w:lang w:val="es-ES"/>
        </w:rPr>
        <w:t xml:space="preserve">los Planes de Reorganización Institucional para las EPS </w:t>
      </w:r>
      <w:r w:rsidR="003808DB">
        <w:rPr>
          <w:rFonts w:ascii="Arial" w:eastAsia="Calibri" w:hAnsi="Arial" w:cs="Arial"/>
          <w:lang w:val="es-ES"/>
        </w:rPr>
        <w:t xml:space="preserve">a través del Decreto Único Sectorial. En efecto, en su </w:t>
      </w:r>
      <w:r w:rsidR="00482413" w:rsidRPr="00482413">
        <w:rPr>
          <w:rFonts w:ascii="Arial" w:eastAsia="Calibri" w:hAnsi="Arial" w:cs="Arial"/>
          <w:lang w:val="es-ES"/>
        </w:rPr>
        <w:t xml:space="preserve">artículo </w:t>
      </w:r>
      <w:hyperlink r:id="rId11" w:history="1">
        <w:r w:rsidR="00482413" w:rsidRPr="00482413">
          <w:rPr>
            <w:rFonts w:ascii="Arial" w:eastAsia="Calibri" w:hAnsi="Arial" w:cs="Arial"/>
            <w:lang w:val="es-ES"/>
          </w:rPr>
          <w:t>2.1.13.9</w:t>
        </w:r>
      </w:hyperlink>
      <w:r w:rsidR="003808DB">
        <w:rPr>
          <w:rStyle w:val="Refdenotaalpie"/>
          <w:rFonts w:ascii="Arial" w:eastAsia="Calibri" w:hAnsi="Arial" w:cs="Arial"/>
          <w:lang w:val="es-ES"/>
        </w:rPr>
        <w:footnoteReference w:id="2"/>
      </w:r>
      <w:r w:rsidR="00482413" w:rsidRPr="00482413">
        <w:rPr>
          <w:rFonts w:ascii="Arial" w:eastAsia="Calibri" w:hAnsi="Arial" w:cs="Arial"/>
          <w:lang w:val="es-ES"/>
        </w:rPr>
        <w:t xml:space="preserve">, </w:t>
      </w:r>
      <w:r w:rsidR="009F2EAC">
        <w:rPr>
          <w:rFonts w:ascii="Arial" w:eastAsia="Calibri" w:hAnsi="Arial" w:cs="Arial"/>
          <w:lang w:val="es-ES"/>
        </w:rPr>
        <w:t>fij</w:t>
      </w:r>
      <w:r w:rsidR="00585297">
        <w:rPr>
          <w:rFonts w:ascii="Arial" w:eastAsia="Calibri" w:hAnsi="Arial" w:cs="Arial"/>
          <w:lang w:val="es-ES"/>
        </w:rPr>
        <w:t>a</w:t>
      </w:r>
      <w:r w:rsidR="009F2EAC">
        <w:rPr>
          <w:rFonts w:ascii="Arial" w:eastAsia="Calibri" w:hAnsi="Arial" w:cs="Arial"/>
          <w:lang w:val="es-ES"/>
        </w:rPr>
        <w:t xml:space="preserve"> el procedimiento necesario para su aprobación</w:t>
      </w:r>
      <w:r w:rsidR="00E77A75">
        <w:rPr>
          <w:rFonts w:ascii="Arial" w:eastAsia="Calibri" w:hAnsi="Arial" w:cs="Arial"/>
          <w:lang w:val="es-ES"/>
        </w:rPr>
        <w:t xml:space="preserve">, </w:t>
      </w:r>
      <w:r w:rsidR="00030168">
        <w:rPr>
          <w:rFonts w:ascii="Arial" w:eastAsia="Calibri" w:hAnsi="Arial" w:cs="Arial"/>
          <w:lang w:val="es-ES"/>
        </w:rPr>
        <w:t>para este fin</w:t>
      </w:r>
      <w:r w:rsidR="00281A64">
        <w:rPr>
          <w:rFonts w:ascii="Arial" w:eastAsia="Calibri" w:hAnsi="Arial" w:cs="Arial"/>
          <w:lang w:val="es-ES"/>
        </w:rPr>
        <w:t>,</w:t>
      </w:r>
      <w:r w:rsidR="00030168">
        <w:rPr>
          <w:rFonts w:ascii="Arial" w:eastAsia="Calibri" w:hAnsi="Arial" w:cs="Arial"/>
          <w:lang w:val="es-ES"/>
        </w:rPr>
        <w:t xml:space="preserve"> </w:t>
      </w:r>
      <w:r w:rsidR="00E77A75" w:rsidRPr="00E77A75">
        <w:rPr>
          <w:rFonts w:ascii="Arial" w:eastAsia="Calibri" w:hAnsi="Arial" w:cs="Arial"/>
          <w:lang w:val="es-ES"/>
        </w:rPr>
        <w:t>la Superintendencia Nacional de Salud verificará el cumplimiento de las condiciones técnicas, administrativas y financieras por parte de la EPS resultante para que pueda mantener la habilitación cedida</w:t>
      </w:r>
      <w:r w:rsidR="00E77A75">
        <w:rPr>
          <w:rFonts w:ascii="Arial" w:eastAsia="Calibri" w:hAnsi="Arial" w:cs="Arial"/>
          <w:lang w:val="es-ES"/>
        </w:rPr>
        <w:t xml:space="preserve">. De igual forma que, esta </w:t>
      </w:r>
      <w:r w:rsidR="00BC73CE">
        <w:rPr>
          <w:rFonts w:ascii="Arial" w:eastAsia="Calibri" w:hAnsi="Arial" w:cs="Arial"/>
          <w:lang w:val="es-ES"/>
        </w:rPr>
        <w:t xml:space="preserve">Superintendencia </w:t>
      </w:r>
      <w:r w:rsidR="00E77A75" w:rsidRPr="00E77A75">
        <w:rPr>
          <w:rFonts w:ascii="Arial" w:eastAsia="Calibri" w:hAnsi="Arial" w:cs="Arial"/>
          <w:lang w:val="es-ES"/>
        </w:rPr>
        <w:t>establecerá las condiciones y requisitos para la presentación del plan de reorganización y la aplicación de las demás disposiciones</w:t>
      </w:r>
      <w:r w:rsidR="00E77A75">
        <w:rPr>
          <w:rFonts w:ascii="Arial" w:eastAsia="Calibri" w:hAnsi="Arial" w:cs="Arial"/>
          <w:lang w:val="es-ES"/>
        </w:rPr>
        <w:t xml:space="preserve"> sobre la materia y deberá </w:t>
      </w:r>
      <w:r w:rsidR="00E77A75" w:rsidRPr="00E77A75">
        <w:rPr>
          <w:rFonts w:ascii="Arial" w:eastAsia="Calibri" w:hAnsi="Arial" w:cs="Arial"/>
          <w:lang w:val="es-ES"/>
        </w:rPr>
        <w:t>evaluar el cumplimiento de las condiciones financieras de permanencia y solvencia, al cierre de cada vigencia fiscal</w:t>
      </w:r>
      <w:r w:rsidR="00E77A75">
        <w:rPr>
          <w:rFonts w:ascii="Arial" w:eastAsia="Calibri" w:hAnsi="Arial" w:cs="Arial"/>
          <w:lang w:val="es-ES"/>
        </w:rPr>
        <w:t xml:space="preserve">. </w:t>
      </w:r>
    </w:p>
    <w:p w14:paraId="6D639B00" w14:textId="77777777" w:rsidR="003B7799" w:rsidRPr="00482413" w:rsidRDefault="003B7799" w:rsidP="00482413">
      <w:pPr>
        <w:widowControl w:val="0"/>
        <w:shd w:val="clear" w:color="auto" w:fill="FFFFFF"/>
        <w:tabs>
          <w:tab w:val="left" w:pos="0"/>
        </w:tabs>
        <w:autoSpaceDE w:val="0"/>
        <w:autoSpaceDN w:val="0"/>
        <w:adjustRightInd w:val="0"/>
        <w:spacing w:before="60" w:after="40" w:line="240" w:lineRule="auto"/>
        <w:ind w:right="49"/>
        <w:contextualSpacing/>
        <w:jc w:val="both"/>
        <w:rPr>
          <w:rFonts w:ascii="Arial" w:eastAsia="Calibri" w:hAnsi="Arial" w:cs="Arial"/>
          <w:lang w:val="es-ES"/>
        </w:rPr>
      </w:pPr>
    </w:p>
    <w:p w14:paraId="7CB06D03" w14:textId="0B39B8CB" w:rsidR="00482413" w:rsidRPr="00482413" w:rsidRDefault="00E77A75" w:rsidP="00E77A75">
      <w:pPr>
        <w:widowControl w:val="0"/>
        <w:shd w:val="clear" w:color="auto" w:fill="FFFFFF"/>
        <w:autoSpaceDE w:val="0"/>
        <w:autoSpaceDN w:val="0"/>
        <w:adjustRightInd w:val="0"/>
        <w:spacing w:before="60" w:after="40" w:line="240" w:lineRule="auto"/>
        <w:ind w:right="28"/>
        <w:contextualSpacing/>
        <w:jc w:val="both"/>
        <w:rPr>
          <w:rFonts w:ascii="Arial" w:eastAsia="Calibri" w:hAnsi="Arial" w:cs="Arial"/>
          <w:lang w:val="es-ES"/>
        </w:rPr>
      </w:pPr>
      <w:r w:rsidRPr="00E77A75">
        <w:rPr>
          <w:rFonts w:ascii="Arial" w:eastAsia="Times New Roman" w:hAnsi="Arial" w:cs="Arial"/>
          <w:color w:val="000000"/>
          <w:lang w:val="es-ES" w:eastAsia="es-ES"/>
        </w:rPr>
        <w:t xml:space="preserve">Por su parte, </w:t>
      </w:r>
      <w:r>
        <w:rPr>
          <w:rFonts w:ascii="Arial" w:eastAsia="Calibri" w:hAnsi="Arial" w:cs="Arial"/>
          <w:lang w:val="es-ES"/>
        </w:rPr>
        <w:t>e</w:t>
      </w:r>
      <w:r w:rsidR="00482413" w:rsidRPr="00482413">
        <w:rPr>
          <w:rFonts w:ascii="Arial" w:eastAsia="Calibri" w:hAnsi="Arial" w:cs="Arial"/>
          <w:lang w:val="es-ES"/>
        </w:rPr>
        <w:t>l Libro 2, Parte 5, Título 2, Capítulo 2, Sección 1 del</w:t>
      </w:r>
      <w:r w:rsidR="00281A64">
        <w:rPr>
          <w:rFonts w:ascii="Arial" w:eastAsia="Calibri" w:hAnsi="Arial" w:cs="Arial"/>
          <w:lang w:val="es-ES"/>
        </w:rPr>
        <w:t xml:space="preserve"> ya mencionado</w:t>
      </w:r>
      <w:r w:rsidR="00482413" w:rsidRPr="00482413">
        <w:rPr>
          <w:rFonts w:ascii="Arial" w:eastAsia="Calibri" w:hAnsi="Arial" w:cs="Arial"/>
          <w:lang w:val="es-ES"/>
        </w:rPr>
        <w:t xml:space="preserve"> Decreto 780</w:t>
      </w:r>
      <w:r w:rsidR="00281A64">
        <w:rPr>
          <w:rStyle w:val="Refdenotaalpie"/>
          <w:rFonts w:ascii="Arial" w:eastAsia="Calibri" w:hAnsi="Arial" w:cs="Arial"/>
          <w:lang w:val="es-ES"/>
        </w:rPr>
        <w:footnoteReference w:id="3"/>
      </w:r>
      <w:r w:rsidR="00482413" w:rsidRPr="00482413">
        <w:rPr>
          <w:rFonts w:ascii="Arial" w:eastAsia="Calibri" w:hAnsi="Arial" w:cs="Arial"/>
          <w:lang w:val="es-ES"/>
        </w:rPr>
        <w:t>, establece las condiciones financieras y de solvencia que deben cumplir las Entidades Promotoras de Salud.</w:t>
      </w:r>
    </w:p>
    <w:p w14:paraId="1752F837" w14:textId="77777777" w:rsidR="00482413" w:rsidRPr="00482413" w:rsidRDefault="00482413" w:rsidP="00482413">
      <w:pPr>
        <w:widowControl w:val="0"/>
        <w:shd w:val="clear" w:color="auto" w:fill="FFFFFF"/>
        <w:autoSpaceDE w:val="0"/>
        <w:autoSpaceDN w:val="0"/>
        <w:adjustRightInd w:val="0"/>
        <w:spacing w:before="60" w:after="40" w:line="240" w:lineRule="auto"/>
        <w:ind w:left="720" w:right="28"/>
        <w:contextualSpacing/>
        <w:jc w:val="both"/>
        <w:rPr>
          <w:rFonts w:ascii="Arial" w:eastAsia="Calibri" w:hAnsi="Arial" w:cs="Arial"/>
          <w:lang w:val="es-ES"/>
        </w:rPr>
      </w:pPr>
    </w:p>
    <w:p w14:paraId="73B70D51" w14:textId="4F1D13F7" w:rsidR="00482413" w:rsidRPr="00482413" w:rsidRDefault="00482413" w:rsidP="00E77A75">
      <w:pPr>
        <w:widowControl w:val="0"/>
        <w:shd w:val="clear" w:color="auto" w:fill="FFFFFF"/>
        <w:autoSpaceDE w:val="0"/>
        <w:autoSpaceDN w:val="0"/>
        <w:adjustRightInd w:val="0"/>
        <w:spacing w:before="60" w:after="40" w:line="240" w:lineRule="auto"/>
        <w:ind w:right="28"/>
        <w:contextualSpacing/>
        <w:jc w:val="both"/>
        <w:rPr>
          <w:rFonts w:ascii="Arial" w:eastAsia="Calibri" w:hAnsi="Arial" w:cs="Arial"/>
          <w:lang w:val="es-ES"/>
        </w:rPr>
      </w:pPr>
      <w:r w:rsidRPr="00482413">
        <w:rPr>
          <w:rFonts w:ascii="Arial" w:eastAsia="Calibri" w:hAnsi="Arial" w:cs="Arial"/>
          <w:lang w:val="es-ES"/>
        </w:rPr>
        <w:lastRenderedPageBreak/>
        <w:t xml:space="preserve">Conforme </w:t>
      </w:r>
      <w:r w:rsidR="00E77A75">
        <w:rPr>
          <w:rFonts w:ascii="Arial" w:eastAsia="Calibri" w:hAnsi="Arial" w:cs="Arial"/>
          <w:lang w:val="es-ES"/>
        </w:rPr>
        <w:t xml:space="preserve">a </w:t>
      </w:r>
      <w:r w:rsidRPr="00482413">
        <w:rPr>
          <w:rFonts w:ascii="Arial" w:eastAsia="Calibri" w:hAnsi="Arial" w:cs="Arial"/>
          <w:lang w:val="es-ES"/>
        </w:rPr>
        <w:t>las</w:t>
      </w:r>
      <w:r w:rsidR="00E77A75">
        <w:rPr>
          <w:rFonts w:ascii="Arial" w:eastAsia="Calibri" w:hAnsi="Arial" w:cs="Arial"/>
          <w:lang w:val="es-ES"/>
        </w:rPr>
        <w:t xml:space="preserve"> citadas </w:t>
      </w:r>
      <w:r w:rsidRPr="00482413">
        <w:rPr>
          <w:rFonts w:ascii="Arial" w:eastAsia="Calibri" w:hAnsi="Arial" w:cs="Arial"/>
          <w:lang w:val="es-ES"/>
        </w:rPr>
        <w:t xml:space="preserve">disposiciones, </w:t>
      </w:r>
      <w:r w:rsidR="00E77A75">
        <w:rPr>
          <w:rFonts w:ascii="Arial" w:eastAsia="Calibri" w:hAnsi="Arial" w:cs="Arial"/>
          <w:lang w:val="es-ES"/>
        </w:rPr>
        <w:t xml:space="preserve">esta </w:t>
      </w:r>
      <w:r w:rsidR="00230B35">
        <w:rPr>
          <w:rFonts w:ascii="Arial" w:eastAsia="Calibri" w:hAnsi="Arial" w:cs="Arial"/>
          <w:lang w:val="es-ES"/>
        </w:rPr>
        <w:t xml:space="preserve">Superintendencia </w:t>
      </w:r>
      <w:r w:rsidRPr="00482413">
        <w:rPr>
          <w:rFonts w:ascii="Arial" w:eastAsia="Calibri" w:hAnsi="Arial" w:cs="Arial"/>
          <w:lang w:val="es-ES"/>
        </w:rPr>
        <w:t>por medio de la Circular Externa 005 de 201</w:t>
      </w:r>
      <w:r w:rsidR="00D235DF">
        <w:rPr>
          <w:rFonts w:ascii="Arial" w:eastAsia="Calibri" w:hAnsi="Arial" w:cs="Arial"/>
          <w:lang w:val="es-ES"/>
        </w:rPr>
        <w:t>7</w:t>
      </w:r>
      <w:r w:rsidR="00D235DF">
        <w:rPr>
          <w:rStyle w:val="Refdenotaalpie"/>
          <w:rFonts w:ascii="Arial" w:eastAsia="Calibri" w:hAnsi="Arial" w:cs="Arial"/>
          <w:lang w:val="es-ES"/>
        </w:rPr>
        <w:footnoteReference w:id="4"/>
      </w:r>
      <w:r w:rsidRPr="00482413">
        <w:rPr>
          <w:rFonts w:ascii="Arial" w:eastAsia="Calibri" w:hAnsi="Arial" w:cs="Arial"/>
          <w:lang w:val="es-ES"/>
        </w:rPr>
        <w:t xml:space="preserve"> </w:t>
      </w:r>
      <w:r w:rsidR="00230B35">
        <w:rPr>
          <w:rFonts w:ascii="Arial" w:eastAsia="Calibri" w:hAnsi="Arial" w:cs="Arial"/>
          <w:lang w:val="es-ES"/>
        </w:rPr>
        <w:t>impartió instrucciones con relación a la</w:t>
      </w:r>
      <w:r w:rsidRPr="00482413">
        <w:rPr>
          <w:rFonts w:ascii="Arial" w:eastAsia="Calibri" w:hAnsi="Arial" w:cs="Arial"/>
          <w:lang w:val="es-ES"/>
        </w:rPr>
        <w:t xml:space="preserve"> escisión, fusión y creación de nuevas entidades en las que se pretenda ceder la habilitación o autorización para operar, los afiliados y los contratos de prestación de servicios del Plan de Beneficios, precisando </w:t>
      </w:r>
      <w:r w:rsidR="00E77A75" w:rsidRPr="00E77A75">
        <w:rPr>
          <w:rFonts w:ascii="Arial" w:eastAsia="Calibri" w:hAnsi="Arial" w:cs="Arial"/>
          <w:lang w:val="es-ES"/>
        </w:rPr>
        <w:t xml:space="preserve">que se </w:t>
      </w:r>
      <w:r w:rsidRPr="00482413">
        <w:rPr>
          <w:rFonts w:ascii="Arial" w:eastAsia="Times New Roman" w:hAnsi="Arial" w:cs="Arial"/>
          <w:color w:val="000000"/>
          <w:lang w:val="es-ES" w:eastAsia="es-ES"/>
        </w:rPr>
        <w:t xml:space="preserve">verificará el cumplimiento de </w:t>
      </w:r>
      <w:r w:rsidR="00E77A75">
        <w:rPr>
          <w:rFonts w:ascii="Arial" w:eastAsia="Times New Roman" w:hAnsi="Arial" w:cs="Arial"/>
          <w:color w:val="000000"/>
          <w:lang w:val="es-ES" w:eastAsia="es-ES"/>
        </w:rPr>
        <w:t xml:space="preserve">los siguientes </w:t>
      </w:r>
      <w:r w:rsidRPr="00482413">
        <w:rPr>
          <w:rFonts w:ascii="Arial" w:eastAsia="Times New Roman" w:hAnsi="Arial" w:cs="Arial"/>
          <w:color w:val="000000"/>
          <w:lang w:val="es-ES" w:eastAsia="es-ES"/>
        </w:rPr>
        <w:t>requisitos mínimos:</w:t>
      </w:r>
    </w:p>
    <w:p w14:paraId="5086E2B3" w14:textId="77777777" w:rsidR="00482413" w:rsidRPr="00482413" w:rsidRDefault="00482413" w:rsidP="00482413">
      <w:pPr>
        <w:widowControl w:val="0"/>
        <w:shd w:val="clear" w:color="auto" w:fill="FFFFFF" w:themeFill="background1"/>
        <w:autoSpaceDE w:val="0"/>
        <w:autoSpaceDN w:val="0"/>
        <w:adjustRightInd w:val="0"/>
        <w:spacing w:after="0" w:line="240" w:lineRule="auto"/>
        <w:ind w:left="999" w:right="190"/>
        <w:contextualSpacing/>
        <w:jc w:val="both"/>
        <w:rPr>
          <w:rFonts w:ascii="Arial" w:eastAsia="Times New Roman" w:hAnsi="Arial" w:cs="Arial"/>
          <w:i/>
          <w:iCs/>
          <w:color w:val="000000"/>
          <w:sz w:val="20"/>
          <w:szCs w:val="20"/>
          <w:lang w:val="es-ES" w:eastAsia="es-ES"/>
        </w:rPr>
      </w:pPr>
    </w:p>
    <w:p w14:paraId="15BD1FF2" w14:textId="38DD4FAB" w:rsidR="00971E28" w:rsidRDefault="00971E28" w:rsidP="006E2526">
      <w:pPr>
        <w:widowControl w:val="0"/>
        <w:shd w:val="clear" w:color="auto" w:fill="FFFFFF" w:themeFill="background1"/>
        <w:autoSpaceDE w:val="0"/>
        <w:autoSpaceDN w:val="0"/>
        <w:adjustRightInd w:val="0"/>
        <w:spacing w:after="0" w:line="240" w:lineRule="auto"/>
        <w:ind w:left="284" w:right="190"/>
        <w:contextualSpacing/>
        <w:jc w:val="both"/>
        <w:rPr>
          <w:rFonts w:ascii="Arial" w:eastAsia="Times New Roman" w:hAnsi="Arial" w:cs="Arial"/>
          <w:i/>
          <w:iCs/>
          <w:color w:val="000000"/>
          <w:sz w:val="20"/>
          <w:szCs w:val="20"/>
          <w:lang w:val="es-ES" w:eastAsia="es-ES"/>
        </w:rPr>
      </w:pPr>
      <w:r>
        <w:rPr>
          <w:rFonts w:ascii="Arial" w:eastAsia="Times New Roman" w:hAnsi="Arial" w:cs="Arial"/>
          <w:i/>
          <w:iCs/>
          <w:color w:val="000000"/>
          <w:sz w:val="20"/>
          <w:szCs w:val="20"/>
          <w:lang w:val="es-ES" w:eastAsia="es-ES"/>
        </w:rPr>
        <w:t>“</w:t>
      </w:r>
      <w:r w:rsidR="00230B35">
        <w:rPr>
          <w:rFonts w:ascii="Arial" w:eastAsia="Times New Roman" w:hAnsi="Arial" w:cs="Arial"/>
          <w:i/>
          <w:iCs/>
          <w:color w:val="000000"/>
          <w:sz w:val="20"/>
          <w:szCs w:val="20"/>
          <w:lang w:val="es-ES" w:eastAsia="es-ES"/>
        </w:rPr>
        <w:t xml:space="preserve"> (…)</w:t>
      </w:r>
    </w:p>
    <w:p w14:paraId="61B3CAC3" w14:textId="1B0479B0" w:rsidR="00482413" w:rsidRPr="00482413" w:rsidRDefault="00482413" w:rsidP="006E2526">
      <w:pPr>
        <w:widowControl w:val="0"/>
        <w:numPr>
          <w:ilvl w:val="0"/>
          <w:numId w:val="7"/>
        </w:numPr>
        <w:shd w:val="clear" w:color="auto" w:fill="FFFFFF" w:themeFill="background1"/>
        <w:autoSpaceDE w:val="0"/>
        <w:autoSpaceDN w:val="0"/>
        <w:adjustRightInd w:val="0"/>
        <w:spacing w:after="0" w:line="240" w:lineRule="auto"/>
        <w:ind w:left="284" w:right="190" w:firstLine="0"/>
        <w:contextualSpacing/>
        <w:jc w:val="both"/>
        <w:rPr>
          <w:rFonts w:ascii="Arial" w:eastAsia="Times New Roman" w:hAnsi="Arial" w:cs="Arial"/>
          <w:i/>
          <w:iCs/>
          <w:color w:val="000000"/>
          <w:sz w:val="20"/>
          <w:szCs w:val="20"/>
          <w:lang w:val="es-ES" w:eastAsia="es-ES"/>
        </w:rPr>
      </w:pPr>
      <w:r w:rsidRPr="00482413">
        <w:rPr>
          <w:rFonts w:ascii="Arial" w:eastAsia="Times New Roman" w:hAnsi="Arial" w:cs="Arial"/>
          <w:i/>
          <w:iCs/>
          <w:color w:val="000000"/>
          <w:sz w:val="20"/>
          <w:szCs w:val="20"/>
          <w:lang w:val="es-ES" w:eastAsia="es-ES"/>
        </w:rPr>
        <w:t xml:space="preserve">Que la entidad o las entidades que ceden sus afiliados tengan, cuando aplique, en los términos señalados en el artículo 2.1.13.9 del Decreto 780 de 2016 y sus modificaciones, una participación en la entidad resultante de la reorganización. </w:t>
      </w:r>
    </w:p>
    <w:p w14:paraId="49767D98" w14:textId="77777777" w:rsidR="00482413" w:rsidRPr="00482413" w:rsidRDefault="00482413" w:rsidP="004D61DE">
      <w:pPr>
        <w:widowControl w:val="0"/>
        <w:shd w:val="clear" w:color="auto" w:fill="FFFFFF" w:themeFill="background1"/>
        <w:autoSpaceDE w:val="0"/>
        <w:autoSpaceDN w:val="0"/>
        <w:adjustRightInd w:val="0"/>
        <w:spacing w:after="0" w:line="240" w:lineRule="auto"/>
        <w:ind w:left="284" w:right="190"/>
        <w:contextualSpacing/>
        <w:jc w:val="both"/>
        <w:rPr>
          <w:rFonts w:ascii="Arial" w:eastAsia="Times New Roman" w:hAnsi="Arial" w:cs="Arial"/>
          <w:i/>
          <w:iCs/>
          <w:color w:val="000000"/>
          <w:sz w:val="20"/>
          <w:szCs w:val="20"/>
          <w:lang w:val="es-ES" w:eastAsia="es-ES"/>
        </w:rPr>
      </w:pPr>
    </w:p>
    <w:p w14:paraId="61BD197E" w14:textId="77777777" w:rsidR="00482413" w:rsidRPr="00482413" w:rsidRDefault="00482413" w:rsidP="006E2526">
      <w:pPr>
        <w:widowControl w:val="0"/>
        <w:numPr>
          <w:ilvl w:val="0"/>
          <w:numId w:val="7"/>
        </w:numPr>
        <w:shd w:val="clear" w:color="auto" w:fill="FFFFFF" w:themeFill="background1"/>
        <w:autoSpaceDE w:val="0"/>
        <w:autoSpaceDN w:val="0"/>
        <w:adjustRightInd w:val="0"/>
        <w:spacing w:after="0" w:line="240" w:lineRule="auto"/>
        <w:ind w:left="284" w:right="190" w:firstLine="0"/>
        <w:contextualSpacing/>
        <w:jc w:val="both"/>
        <w:rPr>
          <w:rFonts w:ascii="Arial" w:eastAsia="Times New Roman" w:hAnsi="Arial" w:cs="Arial"/>
          <w:i/>
          <w:iCs/>
          <w:color w:val="000000"/>
          <w:sz w:val="20"/>
          <w:szCs w:val="20"/>
          <w:lang w:val="es-ES" w:eastAsia="es-ES"/>
        </w:rPr>
      </w:pPr>
      <w:r w:rsidRPr="00482413">
        <w:rPr>
          <w:rFonts w:ascii="Arial" w:eastAsia="Times New Roman" w:hAnsi="Arial" w:cs="Arial"/>
          <w:i/>
          <w:iCs/>
          <w:color w:val="000000"/>
          <w:sz w:val="20"/>
          <w:szCs w:val="20"/>
          <w:lang w:val="es-ES" w:eastAsia="es-ES"/>
        </w:rPr>
        <w:t xml:space="preserve">Que la entidad o entidades que ceden sus afiliados, realicen simultáneamente la cesión de activos, pasivos, habilitación o autorización para operar y contratos asociados a la prestación de servicios de salud del plan de beneficios, a la Entidad Promotora de Salud resultante de la reorganización. </w:t>
      </w:r>
    </w:p>
    <w:p w14:paraId="2E87D87B" w14:textId="77777777" w:rsidR="00482413" w:rsidRPr="00482413" w:rsidRDefault="00482413" w:rsidP="004D61DE">
      <w:pPr>
        <w:widowControl w:val="0"/>
        <w:shd w:val="clear" w:color="auto" w:fill="FFFFFF" w:themeFill="background1"/>
        <w:autoSpaceDE w:val="0"/>
        <w:autoSpaceDN w:val="0"/>
        <w:adjustRightInd w:val="0"/>
        <w:spacing w:after="0" w:line="240" w:lineRule="auto"/>
        <w:ind w:left="284" w:right="190"/>
        <w:contextualSpacing/>
        <w:jc w:val="both"/>
        <w:rPr>
          <w:rFonts w:ascii="Arial" w:eastAsia="Calibri" w:hAnsi="Arial" w:cs="Arial"/>
          <w:i/>
          <w:iCs/>
          <w:color w:val="000000"/>
          <w:lang w:val="es-ES"/>
        </w:rPr>
      </w:pPr>
    </w:p>
    <w:p w14:paraId="2C88BB21" w14:textId="77777777" w:rsidR="00482413" w:rsidRPr="00482413" w:rsidRDefault="00482413" w:rsidP="006E2526">
      <w:pPr>
        <w:widowControl w:val="0"/>
        <w:numPr>
          <w:ilvl w:val="0"/>
          <w:numId w:val="7"/>
        </w:numPr>
        <w:shd w:val="clear" w:color="auto" w:fill="FFFFFF" w:themeFill="background1"/>
        <w:autoSpaceDE w:val="0"/>
        <w:autoSpaceDN w:val="0"/>
        <w:adjustRightInd w:val="0"/>
        <w:spacing w:after="0" w:line="240" w:lineRule="auto"/>
        <w:ind w:left="284" w:right="190" w:firstLine="0"/>
        <w:contextualSpacing/>
        <w:jc w:val="both"/>
        <w:rPr>
          <w:rFonts w:ascii="Arial" w:eastAsia="Times New Roman" w:hAnsi="Arial" w:cs="Arial"/>
          <w:i/>
          <w:iCs/>
          <w:color w:val="000000"/>
          <w:sz w:val="20"/>
          <w:szCs w:val="20"/>
          <w:lang w:val="es-ES" w:eastAsia="es-ES"/>
        </w:rPr>
      </w:pPr>
      <w:r w:rsidRPr="00482413">
        <w:rPr>
          <w:rFonts w:ascii="Arial" w:eastAsia="Times New Roman" w:hAnsi="Arial" w:cs="Arial"/>
          <w:i/>
          <w:iCs/>
          <w:color w:val="000000"/>
          <w:sz w:val="20"/>
          <w:szCs w:val="20"/>
          <w:lang w:val="es-ES" w:eastAsia="es-ES"/>
        </w:rPr>
        <w:t xml:space="preserve">En el caso de los programas de salud de las Cajas de Compensación Familiar y las organizaciones solidarias habilitadas o autorizadas para operar como EPS, la habilitación se entenderá cedida de manera automática con la presentación del plan de reorganización institucional ante la Superintendencia Nacional de Salud. No obstante, la EPS resultante no podrá operar hasta tanto el respectivo plan sea aprobado en su totalidad. </w:t>
      </w:r>
    </w:p>
    <w:p w14:paraId="147FAFAA" w14:textId="77777777" w:rsidR="00482413" w:rsidRPr="00482413" w:rsidRDefault="00482413" w:rsidP="004D61DE">
      <w:pPr>
        <w:widowControl w:val="0"/>
        <w:shd w:val="clear" w:color="auto" w:fill="FFFFFF" w:themeFill="background1"/>
        <w:autoSpaceDE w:val="0"/>
        <w:autoSpaceDN w:val="0"/>
        <w:adjustRightInd w:val="0"/>
        <w:spacing w:after="0" w:line="240" w:lineRule="auto"/>
        <w:ind w:left="284" w:right="190"/>
        <w:contextualSpacing/>
        <w:jc w:val="both"/>
        <w:rPr>
          <w:rFonts w:ascii="Arial" w:eastAsia="Calibri" w:hAnsi="Arial" w:cs="Arial"/>
          <w:i/>
          <w:iCs/>
          <w:color w:val="000000"/>
          <w:lang w:val="es-ES"/>
        </w:rPr>
      </w:pPr>
    </w:p>
    <w:p w14:paraId="0182DBF6" w14:textId="77777777" w:rsidR="00482413" w:rsidRPr="00482413" w:rsidRDefault="00482413" w:rsidP="006E2526">
      <w:pPr>
        <w:widowControl w:val="0"/>
        <w:numPr>
          <w:ilvl w:val="0"/>
          <w:numId w:val="7"/>
        </w:numPr>
        <w:shd w:val="clear" w:color="auto" w:fill="FFFFFF" w:themeFill="background1"/>
        <w:autoSpaceDE w:val="0"/>
        <w:autoSpaceDN w:val="0"/>
        <w:adjustRightInd w:val="0"/>
        <w:spacing w:after="0" w:line="240" w:lineRule="auto"/>
        <w:ind w:left="284" w:right="190" w:firstLine="0"/>
        <w:contextualSpacing/>
        <w:jc w:val="both"/>
        <w:rPr>
          <w:rFonts w:ascii="Arial" w:eastAsia="Times New Roman" w:hAnsi="Arial" w:cs="Arial"/>
          <w:i/>
          <w:iCs/>
          <w:color w:val="000000"/>
          <w:sz w:val="20"/>
          <w:szCs w:val="20"/>
          <w:lang w:val="es-ES" w:eastAsia="es-ES"/>
        </w:rPr>
      </w:pPr>
      <w:r w:rsidRPr="00482413">
        <w:rPr>
          <w:rFonts w:ascii="Arial" w:eastAsia="Times New Roman" w:hAnsi="Arial" w:cs="Arial"/>
          <w:i/>
          <w:iCs/>
          <w:color w:val="000000"/>
          <w:sz w:val="20"/>
          <w:szCs w:val="20"/>
          <w:lang w:val="es-ES" w:eastAsia="es-ES"/>
        </w:rPr>
        <w:t xml:space="preserve">En el evento que la aprobación del plan de reorganización implique la transformación de la entidad beneficiaria de la habilitación, la Caja de Compensación Familiar o la organización solidaria deberá solicitarlo, justificarlo y documentarlo de manera expresa en el citado plan, ya sea a título de reforma estatutaria, aprobación de una medida especial o cualquiera otra figura que estime pertinente. </w:t>
      </w:r>
    </w:p>
    <w:p w14:paraId="143D1F9F" w14:textId="77777777" w:rsidR="00482413" w:rsidRPr="00482413" w:rsidRDefault="00482413" w:rsidP="004D61DE">
      <w:pPr>
        <w:widowControl w:val="0"/>
        <w:shd w:val="clear" w:color="auto" w:fill="FFFFFF" w:themeFill="background1"/>
        <w:autoSpaceDE w:val="0"/>
        <w:autoSpaceDN w:val="0"/>
        <w:adjustRightInd w:val="0"/>
        <w:spacing w:after="0" w:line="240" w:lineRule="auto"/>
        <w:ind w:left="284" w:right="190"/>
        <w:contextualSpacing/>
        <w:jc w:val="both"/>
        <w:rPr>
          <w:rFonts w:ascii="Arial" w:eastAsia="Calibri" w:hAnsi="Arial" w:cs="Arial"/>
          <w:i/>
          <w:iCs/>
          <w:color w:val="000000"/>
          <w:lang w:val="es-ES"/>
        </w:rPr>
      </w:pPr>
    </w:p>
    <w:p w14:paraId="07F2D389" w14:textId="77777777" w:rsidR="00482413" w:rsidRPr="00482413" w:rsidRDefault="00482413" w:rsidP="006E2526">
      <w:pPr>
        <w:widowControl w:val="0"/>
        <w:numPr>
          <w:ilvl w:val="0"/>
          <w:numId w:val="7"/>
        </w:numPr>
        <w:shd w:val="clear" w:color="auto" w:fill="FFFFFF" w:themeFill="background1"/>
        <w:autoSpaceDE w:val="0"/>
        <w:autoSpaceDN w:val="0"/>
        <w:adjustRightInd w:val="0"/>
        <w:spacing w:after="0" w:line="240" w:lineRule="auto"/>
        <w:ind w:left="284" w:right="190" w:firstLine="0"/>
        <w:contextualSpacing/>
        <w:jc w:val="both"/>
        <w:rPr>
          <w:rFonts w:ascii="Arial" w:eastAsia="Times New Roman" w:hAnsi="Arial" w:cs="Arial"/>
          <w:i/>
          <w:iCs/>
          <w:color w:val="000000"/>
          <w:sz w:val="20"/>
          <w:szCs w:val="20"/>
          <w:lang w:val="es-ES" w:eastAsia="es-ES"/>
        </w:rPr>
      </w:pPr>
      <w:r w:rsidRPr="00482413">
        <w:rPr>
          <w:rFonts w:ascii="Arial" w:eastAsia="Times New Roman" w:hAnsi="Arial" w:cs="Arial"/>
          <w:i/>
          <w:iCs/>
          <w:color w:val="000000"/>
          <w:sz w:val="20"/>
          <w:szCs w:val="20"/>
          <w:lang w:val="es-ES" w:eastAsia="es-ES"/>
        </w:rPr>
        <w:t xml:space="preserve">También podrán ser presentados para aprobación de la Superintendencia Nacional de Salud procesos de reorganización institucional, a través de los cuales se proponga la creación de nuevas entidades en las cuales no se requerirá que la solicitante tenga participación en el capital de la o las cesionarias de la habilitación o autorización de funcionamiento, siempre y cuando se garantice que los recursos obtenidos como producto de la reorganización, o de la enajenación de la nueva entidad, se destinen a la gestión y pago de las obligaciones a cargo de la solicitante. En estos casos las cesiones, salvo las de habilitación o autorización y traslado de usuarios, podrán ser parciales. </w:t>
      </w:r>
    </w:p>
    <w:p w14:paraId="09A9D34D" w14:textId="77777777" w:rsidR="00482413" w:rsidRPr="00482413" w:rsidRDefault="00482413" w:rsidP="004D61DE">
      <w:pPr>
        <w:widowControl w:val="0"/>
        <w:shd w:val="clear" w:color="auto" w:fill="FFFFFF" w:themeFill="background1"/>
        <w:autoSpaceDE w:val="0"/>
        <w:autoSpaceDN w:val="0"/>
        <w:adjustRightInd w:val="0"/>
        <w:spacing w:after="0" w:line="240" w:lineRule="auto"/>
        <w:ind w:left="284" w:right="190"/>
        <w:contextualSpacing/>
        <w:jc w:val="both"/>
        <w:rPr>
          <w:rFonts w:ascii="Arial" w:eastAsia="Calibri" w:hAnsi="Arial" w:cs="Arial"/>
          <w:i/>
          <w:iCs/>
          <w:color w:val="000000"/>
          <w:lang w:val="es-ES"/>
        </w:rPr>
      </w:pPr>
    </w:p>
    <w:p w14:paraId="531BE65C" w14:textId="77777777" w:rsidR="00482413" w:rsidRPr="00482413" w:rsidRDefault="00482413" w:rsidP="006E2526">
      <w:pPr>
        <w:widowControl w:val="0"/>
        <w:numPr>
          <w:ilvl w:val="0"/>
          <w:numId w:val="7"/>
        </w:numPr>
        <w:shd w:val="clear" w:color="auto" w:fill="FFFFFF" w:themeFill="background1"/>
        <w:autoSpaceDE w:val="0"/>
        <w:autoSpaceDN w:val="0"/>
        <w:adjustRightInd w:val="0"/>
        <w:spacing w:after="0" w:line="240" w:lineRule="auto"/>
        <w:ind w:left="284" w:right="190" w:firstLine="0"/>
        <w:contextualSpacing/>
        <w:jc w:val="both"/>
        <w:rPr>
          <w:rFonts w:ascii="Arial" w:eastAsia="Times New Roman" w:hAnsi="Arial" w:cs="Arial"/>
          <w:i/>
          <w:iCs/>
          <w:color w:val="000000"/>
          <w:sz w:val="20"/>
          <w:szCs w:val="20"/>
          <w:lang w:val="es-ES" w:eastAsia="es-ES"/>
        </w:rPr>
      </w:pPr>
      <w:r w:rsidRPr="00482413">
        <w:rPr>
          <w:rFonts w:ascii="Arial" w:eastAsia="Times New Roman" w:hAnsi="Arial" w:cs="Arial"/>
          <w:i/>
          <w:iCs/>
          <w:color w:val="000000"/>
          <w:sz w:val="20"/>
          <w:szCs w:val="20"/>
          <w:lang w:val="es-ES" w:eastAsia="es-ES"/>
        </w:rPr>
        <w:t xml:space="preserve">En los procesos de reorganización institucional previstos en el presente artículo, las entidades podrán presentar una propuesta para el cumplimiento de las condiciones financieras y de solvencia durante un plazo de cumplimiento de hasta diez (10) años, contados a partir de la aprobación del plan de ajuste que haga la Superintendencia Nacional de Salud. </w:t>
      </w:r>
    </w:p>
    <w:p w14:paraId="70612E26" w14:textId="77777777" w:rsidR="00482413" w:rsidRPr="00482413" w:rsidRDefault="00482413" w:rsidP="004D61DE">
      <w:pPr>
        <w:widowControl w:val="0"/>
        <w:shd w:val="clear" w:color="auto" w:fill="FFFFFF" w:themeFill="background1"/>
        <w:autoSpaceDE w:val="0"/>
        <w:autoSpaceDN w:val="0"/>
        <w:adjustRightInd w:val="0"/>
        <w:spacing w:after="0" w:line="240" w:lineRule="auto"/>
        <w:ind w:left="284" w:right="190"/>
        <w:contextualSpacing/>
        <w:jc w:val="both"/>
        <w:rPr>
          <w:rFonts w:ascii="Arial" w:eastAsia="Calibri" w:hAnsi="Arial" w:cs="Arial"/>
          <w:i/>
          <w:iCs/>
          <w:color w:val="000000"/>
          <w:lang w:val="es-ES"/>
        </w:rPr>
      </w:pPr>
    </w:p>
    <w:p w14:paraId="5B345E57" w14:textId="77777777" w:rsidR="00482413" w:rsidRPr="00482413" w:rsidRDefault="00482413">
      <w:pPr>
        <w:widowControl w:val="0"/>
        <w:shd w:val="clear" w:color="auto" w:fill="FFFFFF" w:themeFill="background1"/>
        <w:autoSpaceDE w:val="0"/>
        <w:autoSpaceDN w:val="0"/>
        <w:adjustRightInd w:val="0"/>
        <w:spacing w:after="0" w:line="240" w:lineRule="auto"/>
        <w:ind w:left="284" w:right="190"/>
        <w:contextualSpacing/>
        <w:jc w:val="both"/>
        <w:rPr>
          <w:rFonts w:ascii="Arial" w:eastAsia="Times New Roman" w:hAnsi="Arial" w:cs="Arial"/>
          <w:i/>
          <w:iCs/>
          <w:color w:val="000000"/>
          <w:sz w:val="20"/>
          <w:szCs w:val="20"/>
          <w:lang w:val="es-ES" w:eastAsia="es-ES"/>
        </w:rPr>
      </w:pPr>
      <w:r w:rsidRPr="00482413">
        <w:rPr>
          <w:rFonts w:ascii="Arial" w:eastAsia="Times New Roman" w:hAnsi="Arial" w:cs="Arial"/>
          <w:i/>
          <w:iCs/>
          <w:color w:val="000000"/>
          <w:sz w:val="20"/>
          <w:szCs w:val="20"/>
          <w:lang w:val="es-ES" w:eastAsia="es-ES"/>
        </w:rPr>
        <w:t xml:space="preserve">En todo caso, al final del quinto año deberán tener cubierto como mínima el 50% del defecto proyectado al cierre de la primera vigencia fiscal de la operación. Para efectos del cálculo del capital mínimo y el patrimonio adecuado podrán descontar las pérdidas que se presenten al cierre de cada vigencia y ser cubiertas en el periodo de transición restante. </w:t>
      </w:r>
    </w:p>
    <w:p w14:paraId="0314173C" w14:textId="77777777" w:rsidR="00482413" w:rsidRPr="00482413" w:rsidRDefault="00482413">
      <w:pPr>
        <w:widowControl w:val="0"/>
        <w:shd w:val="clear" w:color="auto" w:fill="FFFFFF" w:themeFill="background1"/>
        <w:autoSpaceDE w:val="0"/>
        <w:autoSpaceDN w:val="0"/>
        <w:adjustRightInd w:val="0"/>
        <w:spacing w:after="0" w:line="240" w:lineRule="auto"/>
        <w:ind w:left="284" w:right="190"/>
        <w:contextualSpacing/>
        <w:jc w:val="both"/>
        <w:rPr>
          <w:rFonts w:ascii="Arial" w:eastAsia="Calibri" w:hAnsi="Arial" w:cs="Arial"/>
          <w:i/>
          <w:iCs/>
          <w:color w:val="000000"/>
          <w:lang w:val="es-ES"/>
        </w:rPr>
      </w:pPr>
    </w:p>
    <w:p w14:paraId="34CC144A" w14:textId="3C2872DA" w:rsidR="00482413" w:rsidRPr="00482413" w:rsidRDefault="00482413" w:rsidP="006E2526">
      <w:pPr>
        <w:widowControl w:val="0"/>
        <w:numPr>
          <w:ilvl w:val="0"/>
          <w:numId w:val="7"/>
        </w:numPr>
        <w:shd w:val="clear" w:color="auto" w:fill="FFFFFF" w:themeFill="background1"/>
        <w:autoSpaceDE w:val="0"/>
        <w:autoSpaceDN w:val="0"/>
        <w:adjustRightInd w:val="0"/>
        <w:spacing w:after="0" w:line="240" w:lineRule="auto"/>
        <w:ind w:left="284" w:right="190" w:firstLine="0"/>
        <w:contextualSpacing/>
        <w:jc w:val="both"/>
        <w:rPr>
          <w:rFonts w:ascii="Arial" w:eastAsia="Times New Roman" w:hAnsi="Arial" w:cs="Arial"/>
          <w:i/>
          <w:iCs/>
          <w:color w:val="000000"/>
          <w:sz w:val="20"/>
          <w:szCs w:val="20"/>
          <w:lang w:val="es-ES" w:eastAsia="es-ES"/>
        </w:rPr>
      </w:pPr>
      <w:r w:rsidRPr="00482413">
        <w:rPr>
          <w:rFonts w:ascii="Arial" w:eastAsia="Times New Roman" w:hAnsi="Arial" w:cs="Arial"/>
          <w:i/>
          <w:iCs/>
          <w:color w:val="000000"/>
          <w:sz w:val="20"/>
          <w:szCs w:val="20"/>
          <w:lang w:val="es-ES" w:eastAsia="es-ES"/>
        </w:rPr>
        <w:t xml:space="preserve">La entidad o entidades resultantes del proceso de reorganización institucional deberán garantizar la continuidad del servicio y el cumplimiento de las condiciones necesarias para la gestión del aseguramiento, estando en todo caso sujetas a la inspección, vigilancia y control de la Superintendencia Nacional de Salud respecto de sus obligaciones como Entidad Promotora </w:t>
      </w:r>
      <w:r w:rsidRPr="00482413">
        <w:rPr>
          <w:rFonts w:ascii="Arial" w:eastAsia="Times New Roman" w:hAnsi="Arial" w:cs="Arial"/>
          <w:i/>
          <w:iCs/>
          <w:color w:val="000000"/>
          <w:sz w:val="20"/>
          <w:szCs w:val="20"/>
          <w:lang w:val="es-ES" w:eastAsia="es-ES"/>
        </w:rPr>
        <w:lastRenderedPageBreak/>
        <w:t>de Salud.</w:t>
      </w:r>
      <w:r w:rsidR="00971E28">
        <w:rPr>
          <w:rFonts w:ascii="Arial" w:eastAsia="Times New Roman" w:hAnsi="Arial" w:cs="Arial"/>
          <w:i/>
          <w:iCs/>
          <w:color w:val="000000"/>
          <w:sz w:val="20"/>
          <w:szCs w:val="20"/>
          <w:lang w:val="es-ES" w:eastAsia="es-ES"/>
        </w:rPr>
        <w:t>”</w:t>
      </w:r>
    </w:p>
    <w:p w14:paraId="14333D45" w14:textId="77777777" w:rsidR="00482413" w:rsidRPr="00482413" w:rsidRDefault="00482413" w:rsidP="00E77A75">
      <w:pPr>
        <w:widowControl w:val="0"/>
        <w:shd w:val="clear" w:color="auto" w:fill="FFFFFF" w:themeFill="background1"/>
        <w:autoSpaceDE w:val="0"/>
        <w:autoSpaceDN w:val="0"/>
        <w:adjustRightInd w:val="0"/>
        <w:spacing w:after="0" w:line="240" w:lineRule="auto"/>
        <w:ind w:left="284" w:right="190"/>
        <w:contextualSpacing/>
        <w:jc w:val="both"/>
        <w:rPr>
          <w:rFonts w:ascii="Arial" w:eastAsia="Times New Roman" w:hAnsi="Arial" w:cs="Arial"/>
          <w:i/>
          <w:iCs/>
          <w:color w:val="000000"/>
          <w:sz w:val="20"/>
          <w:szCs w:val="20"/>
          <w:lang w:val="es-ES" w:eastAsia="es-ES"/>
        </w:rPr>
      </w:pPr>
    </w:p>
    <w:p w14:paraId="0CC23724" w14:textId="213E3FB2" w:rsidR="00482413" w:rsidRPr="00482413" w:rsidRDefault="00482413" w:rsidP="00E77A75">
      <w:pPr>
        <w:widowControl w:val="0"/>
        <w:shd w:val="clear" w:color="auto" w:fill="FFFFFF" w:themeFill="background1"/>
        <w:autoSpaceDE w:val="0"/>
        <w:autoSpaceDN w:val="0"/>
        <w:adjustRightInd w:val="0"/>
        <w:spacing w:after="0" w:line="240" w:lineRule="auto"/>
        <w:ind w:right="190"/>
        <w:contextualSpacing/>
        <w:jc w:val="both"/>
        <w:rPr>
          <w:rFonts w:ascii="Arial" w:eastAsia="Times New Roman" w:hAnsi="Arial" w:cs="Arial"/>
          <w:color w:val="000000"/>
          <w:lang w:val="es-ES" w:eastAsia="es-ES"/>
        </w:rPr>
      </w:pPr>
      <w:r w:rsidRPr="00482413">
        <w:rPr>
          <w:rFonts w:ascii="Arial" w:eastAsia="Times New Roman" w:hAnsi="Arial" w:cs="Arial"/>
          <w:color w:val="000000"/>
          <w:lang w:val="es-ES" w:eastAsia="es-ES"/>
        </w:rPr>
        <w:t>Lo anterior</w:t>
      </w:r>
      <w:r w:rsidR="003B7799">
        <w:rPr>
          <w:rFonts w:ascii="Arial" w:eastAsia="Times New Roman" w:hAnsi="Arial" w:cs="Arial"/>
          <w:color w:val="000000"/>
          <w:lang w:val="es-ES" w:eastAsia="es-ES"/>
        </w:rPr>
        <w:t>,</w:t>
      </w:r>
      <w:r w:rsidRPr="00482413">
        <w:rPr>
          <w:rFonts w:ascii="Arial" w:eastAsia="Times New Roman" w:hAnsi="Arial" w:cs="Arial"/>
          <w:color w:val="000000"/>
          <w:lang w:val="es-ES" w:eastAsia="es-ES"/>
        </w:rPr>
        <w:t xml:space="preserve"> sin perjuicio de la evaluación que </w:t>
      </w:r>
      <w:r w:rsidR="001A3FB7">
        <w:rPr>
          <w:rFonts w:ascii="Arial" w:eastAsia="Times New Roman" w:hAnsi="Arial" w:cs="Arial"/>
          <w:color w:val="000000"/>
          <w:lang w:val="es-ES" w:eastAsia="es-ES"/>
        </w:rPr>
        <w:t xml:space="preserve">se </w:t>
      </w:r>
      <w:r w:rsidRPr="00482413">
        <w:rPr>
          <w:rFonts w:ascii="Arial" w:eastAsia="Times New Roman" w:hAnsi="Arial" w:cs="Arial"/>
          <w:color w:val="000000"/>
          <w:lang w:val="es-ES" w:eastAsia="es-ES"/>
        </w:rPr>
        <w:t xml:space="preserve">realizará frente al cumplimiento de las condiciones financieras de permanencia y solvencia, al cierre de cada vigencia fiscal. </w:t>
      </w:r>
    </w:p>
    <w:p w14:paraId="11CA26F7" w14:textId="77777777" w:rsidR="00482413" w:rsidRPr="00482413" w:rsidRDefault="00482413" w:rsidP="00E77A75">
      <w:pPr>
        <w:widowControl w:val="0"/>
        <w:shd w:val="clear" w:color="auto" w:fill="FFFFFF" w:themeFill="background1"/>
        <w:autoSpaceDE w:val="0"/>
        <w:autoSpaceDN w:val="0"/>
        <w:adjustRightInd w:val="0"/>
        <w:spacing w:after="0" w:line="240" w:lineRule="auto"/>
        <w:ind w:right="190"/>
        <w:contextualSpacing/>
        <w:jc w:val="both"/>
        <w:rPr>
          <w:rFonts w:ascii="Arial" w:eastAsia="Times New Roman" w:hAnsi="Arial" w:cs="Arial"/>
          <w:color w:val="000000"/>
          <w:lang w:val="es-ES" w:eastAsia="es-ES"/>
        </w:rPr>
      </w:pPr>
    </w:p>
    <w:p w14:paraId="13457EC4" w14:textId="032B425B" w:rsidR="00482413" w:rsidRPr="00482413" w:rsidRDefault="006225F2" w:rsidP="00E77A75">
      <w:pPr>
        <w:widowControl w:val="0"/>
        <w:shd w:val="clear" w:color="auto" w:fill="FFFFFF" w:themeFill="background1"/>
        <w:autoSpaceDE w:val="0"/>
        <w:autoSpaceDN w:val="0"/>
        <w:adjustRightInd w:val="0"/>
        <w:spacing w:after="0" w:line="240" w:lineRule="auto"/>
        <w:ind w:right="49"/>
        <w:contextualSpacing/>
        <w:jc w:val="both"/>
        <w:rPr>
          <w:rFonts w:ascii="Arial" w:eastAsia="Times New Roman" w:hAnsi="Arial" w:cs="Arial"/>
          <w:lang w:val="es-ES" w:eastAsia="es-ES"/>
        </w:rPr>
      </w:pPr>
      <w:r>
        <w:rPr>
          <w:rFonts w:ascii="Arial" w:eastAsia="Times New Roman" w:hAnsi="Arial" w:cs="Arial"/>
          <w:lang w:val="es-ES" w:eastAsia="es-ES"/>
        </w:rPr>
        <w:t>En el caso de la cesión de la habilitación corresponde</w:t>
      </w:r>
      <w:r w:rsidR="00482413" w:rsidRPr="00482413">
        <w:rPr>
          <w:rFonts w:ascii="Arial" w:eastAsia="Times New Roman" w:hAnsi="Arial" w:cs="Arial"/>
          <w:lang w:val="es-ES" w:eastAsia="es-ES"/>
        </w:rPr>
        <w:t xml:space="preserve"> </w:t>
      </w:r>
      <w:r>
        <w:rPr>
          <w:rFonts w:ascii="Arial" w:eastAsia="Times New Roman" w:hAnsi="Arial" w:cs="Arial"/>
          <w:lang w:val="es-ES" w:eastAsia="es-ES"/>
        </w:rPr>
        <w:t xml:space="preserve">a </w:t>
      </w:r>
      <w:r w:rsidR="00482413" w:rsidRPr="00482413">
        <w:rPr>
          <w:rFonts w:ascii="Arial" w:eastAsia="Times New Roman" w:hAnsi="Arial" w:cs="Arial"/>
          <w:lang w:val="es-ES" w:eastAsia="es-ES"/>
        </w:rPr>
        <w:t xml:space="preserve">la </w:t>
      </w:r>
      <w:r>
        <w:rPr>
          <w:rFonts w:ascii="Arial" w:eastAsia="Times New Roman" w:hAnsi="Arial" w:cs="Arial"/>
          <w:lang w:val="es-ES" w:eastAsia="es-ES"/>
        </w:rPr>
        <w:t>Su</w:t>
      </w:r>
      <w:r w:rsidR="00482413" w:rsidRPr="00482413">
        <w:rPr>
          <w:rFonts w:ascii="Arial" w:eastAsia="Times New Roman" w:hAnsi="Arial" w:cs="Arial"/>
          <w:lang w:val="es-ES" w:eastAsia="es-ES"/>
        </w:rPr>
        <w:t xml:space="preserve">perintendencia verificar el cumplimiento de las condiciones técnicas, administrativas y financieras por parte de la EPS beneficiaria, para efectos que pueda mantener la habilitación cedida. </w:t>
      </w:r>
    </w:p>
    <w:p w14:paraId="6C1CDF0C" w14:textId="77777777" w:rsidR="00482413" w:rsidRPr="00482413" w:rsidRDefault="00482413" w:rsidP="00E77A75">
      <w:pPr>
        <w:widowControl w:val="0"/>
        <w:shd w:val="clear" w:color="auto" w:fill="FFFFFF" w:themeFill="background1"/>
        <w:autoSpaceDE w:val="0"/>
        <w:autoSpaceDN w:val="0"/>
        <w:adjustRightInd w:val="0"/>
        <w:spacing w:after="0" w:line="240" w:lineRule="auto"/>
        <w:ind w:right="49"/>
        <w:contextualSpacing/>
        <w:jc w:val="both"/>
        <w:rPr>
          <w:rFonts w:ascii="Arial" w:eastAsia="Times New Roman" w:hAnsi="Arial" w:cs="Arial"/>
          <w:lang w:val="es-ES" w:eastAsia="es-ES"/>
        </w:rPr>
      </w:pPr>
    </w:p>
    <w:p w14:paraId="53C8E81A" w14:textId="4072FF2A" w:rsidR="00482413" w:rsidRPr="00482413" w:rsidRDefault="00482413" w:rsidP="00E77A75">
      <w:pPr>
        <w:widowControl w:val="0"/>
        <w:shd w:val="clear" w:color="auto" w:fill="FFFFFF" w:themeFill="background1"/>
        <w:autoSpaceDE w:val="0"/>
        <w:autoSpaceDN w:val="0"/>
        <w:adjustRightInd w:val="0"/>
        <w:spacing w:after="0" w:line="240" w:lineRule="auto"/>
        <w:ind w:right="49"/>
        <w:contextualSpacing/>
        <w:jc w:val="both"/>
        <w:rPr>
          <w:rFonts w:ascii="Arial" w:eastAsia="Times New Roman" w:hAnsi="Arial" w:cs="Arial"/>
          <w:lang w:val="es-ES" w:eastAsia="es-ES"/>
        </w:rPr>
      </w:pPr>
      <w:r w:rsidRPr="00482413">
        <w:rPr>
          <w:rFonts w:ascii="Arial" w:eastAsia="Times New Roman" w:hAnsi="Arial" w:cs="Arial"/>
          <w:lang w:val="es-ES" w:eastAsia="es-ES"/>
        </w:rPr>
        <w:t>Para efectos del cálculo de la capacidad para realizar afiliaciones y efectuar traslados por parte de la EPS beneficiaria, así como para determinar la cobertura geográfica de su habilitación, se tendrán en cuenta todas las habilitaciones o autorizaciones de funcionamiento que concurran en la operación de reorganización. En todo caso, en el evento de persistir saldos, remanentes o recursos del S</w:t>
      </w:r>
      <w:r w:rsidR="00251FF9">
        <w:rPr>
          <w:rFonts w:ascii="Arial" w:eastAsia="Times New Roman" w:hAnsi="Arial" w:cs="Arial"/>
          <w:lang w:val="es-ES" w:eastAsia="es-ES"/>
        </w:rPr>
        <w:t xml:space="preserve">istema </w:t>
      </w:r>
      <w:r w:rsidRPr="00482413">
        <w:rPr>
          <w:rFonts w:ascii="Arial" w:eastAsia="Times New Roman" w:hAnsi="Arial" w:cs="Arial"/>
          <w:lang w:val="es-ES" w:eastAsia="es-ES"/>
        </w:rPr>
        <w:t>G</w:t>
      </w:r>
      <w:r w:rsidR="00251FF9">
        <w:rPr>
          <w:rFonts w:ascii="Arial" w:eastAsia="Times New Roman" w:hAnsi="Arial" w:cs="Arial"/>
          <w:lang w:val="es-ES" w:eastAsia="es-ES"/>
        </w:rPr>
        <w:t xml:space="preserve">eneral de </w:t>
      </w:r>
      <w:r w:rsidRPr="00482413">
        <w:rPr>
          <w:rFonts w:ascii="Arial" w:eastAsia="Times New Roman" w:hAnsi="Arial" w:cs="Arial"/>
          <w:lang w:val="es-ES" w:eastAsia="es-ES"/>
        </w:rPr>
        <w:t>S</w:t>
      </w:r>
      <w:r w:rsidR="00251FF9">
        <w:rPr>
          <w:rFonts w:ascii="Arial" w:eastAsia="Times New Roman" w:hAnsi="Arial" w:cs="Arial"/>
          <w:lang w:val="es-ES" w:eastAsia="es-ES"/>
        </w:rPr>
        <w:t xml:space="preserve">eguridad </w:t>
      </w:r>
      <w:r w:rsidRPr="00482413">
        <w:rPr>
          <w:rFonts w:ascii="Arial" w:eastAsia="Times New Roman" w:hAnsi="Arial" w:cs="Arial"/>
          <w:lang w:val="es-ES" w:eastAsia="es-ES"/>
        </w:rPr>
        <w:t>S</w:t>
      </w:r>
      <w:r w:rsidR="00251FF9">
        <w:rPr>
          <w:rFonts w:ascii="Arial" w:eastAsia="Times New Roman" w:hAnsi="Arial" w:cs="Arial"/>
          <w:lang w:val="es-ES" w:eastAsia="es-ES"/>
        </w:rPr>
        <w:t xml:space="preserve">ocial en </w:t>
      </w:r>
      <w:r w:rsidRPr="00482413">
        <w:rPr>
          <w:rFonts w:ascii="Arial" w:eastAsia="Times New Roman" w:hAnsi="Arial" w:cs="Arial"/>
          <w:lang w:val="es-ES" w:eastAsia="es-ES"/>
        </w:rPr>
        <w:t>S</w:t>
      </w:r>
      <w:r w:rsidR="00251FF9">
        <w:rPr>
          <w:rFonts w:ascii="Arial" w:eastAsia="Times New Roman" w:hAnsi="Arial" w:cs="Arial"/>
          <w:lang w:val="es-ES" w:eastAsia="es-ES"/>
        </w:rPr>
        <w:t>alud</w:t>
      </w:r>
      <w:r w:rsidRPr="00482413">
        <w:rPr>
          <w:rFonts w:ascii="Arial" w:eastAsia="Times New Roman" w:hAnsi="Arial" w:cs="Arial"/>
          <w:lang w:val="es-ES" w:eastAsia="es-ES"/>
        </w:rPr>
        <w:t xml:space="preserve"> en aquellas entidades que participen en la reorganización institucional como EPS que cedan su habilitación, activos, pasivos y contratos a la entidad resultante de la misma, deberán incluir en el Plan e informar a la </w:t>
      </w:r>
      <w:r w:rsidR="0049786F">
        <w:rPr>
          <w:rFonts w:ascii="Arial" w:eastAsia="Times New Roman" w:hAnsi="Arial" w:cs="Arial"/>
          <w:lang w:val="es-ES" w:eastAsia="es-ES"/>
        </w:rPr>
        <w:t>S</w:t>
      </w:r>
      <w:r w:rsidRPr="00482413">
        <w:rPr>
          <w:rFonts w:ascii="Arial" w:eastAsia="Times New Roman" w:hAnsi="Arial" w:cs="Arial"/>
          <w:lang w:val="es-ES" w:eastAsia="es-ES"/>
        </w:rPr>
        <w:t>uperintendencia cual será el plan de acción para el manejo y destinación de estos recursos, de conformidad con el marco legal aplicable.</w:t>
      </w:r>
    </w:p>
    <w:p w14:paraId="5D7D2302" w14:textId="77777777" w:rsidR="00482413" w:rsidRPr="00482413" w:rsidRDefault="00482413" w:rsidP="00482413">
      <w:pPr>
        <w:widowControl w:val="0"/>
        <w:shd w:val="clear" w:color="auto" w:fill="FFFFFF" w:themeFill="background1"/>
        <w:autoSpaceDE w:val="0"/>
        <w:autoSpaceDN w:val="0"/>
        <w:adjustRightInd w:val="0"/>
        <w:spacing w:after="0" w:line="240" w:lineRule="auto"/>
        <w:ind w:left="290"/>
        <w:contextualSpacing/>
        <w:jc w:val="both"/>
        <w:rPr>
          <w:rFonts w:ascii="Arial" w:eastAsia="Times New Roman" w:hAnsi="Arial" w:cs="Arial"/>
          <w:lang w:val="es-ES" w:eastAsia="es-ES"/>
        </w:rPr>
      </w:pPr>
      <w:r w:rsidRPr="00482413">
        <w:rPr>
          <w:rFonts w:ascii="Arial" w:eastAsia="Times New Roman" w:hAnsi="Arial" w:cs="Arial"/>
          <w:lang w:val="es-ES" w:eastAsia="es-ES"/>
        </w:rPr>
        <w:tab/>
      </w:r>
    </w:p>
    <w:p w14:paraId="24B4DD58" w14:textId="3EBB0FCC" w:rsidR="00482413" w:rsidRDefault="00482413" w:rsidP="001A3FB7">
      <w:pPr>
        <w:widowControl w:val="0"/>
        <w:adjustRightInd w:val="0"/>
        <w:spacing w:before="60" w:after="40" w:line="240" w:lineRule="auto"/>
        <w:ind w:right="28"/>
        <w:contextualSpacing/>
        <w:jc w:val="both"/>
        <w:rPr>
          <w:rFonts w:ascii="Arial" w:eastAsia="Calibri" w:hAnsi="Arial" w:cs="Arial"/>
          <w:lang w:val="es-ES"/>
        </w:rPr>
      </w:pPr>
      <w:r w:rsidRPr="00482413">
        <w:rPr>
          <w:rFonts w:ascii="Arial" w:eastAsia="Calibri" w:hAnsi="Arial" w:cs="Arial"/>
          <w:lang w:val="es-ES"/>
        </w:rPr>
        <w:t xml:space="preserve">De igual forma, la circular antes mencionada, en sus numerales 1.3.1 y 1.3.2 para escisión y, 2.3.1 y 2.3.2 para fusión, enlista los requisitos generales y específicos que deben ser presentados por el </w:t>
      </w:r>
      <w:r w:rsidR="001A3FB7" w:rsidRPr="00482413">
        <w:rPr>
          <w:rFonts w:ascii="Arial" w:eastAsia="Calibri" w:hAnsi="Arial" w:cs="Arial"/>
          <w:lang w:val="es-ES"/>
        </w:rPr>
        <w:t xml:space="preserve">representante legal de </w:t>
      </w:r>
      <w:r w:rsidRPr="00482413">
        <w:rPr>
          <w:rFonts w:ascii="Arial" w:eastAsia="Calibri" w:hAnsi="Arial" w:cs="Arial"/>
          <w:lang w:val="es-ES"/>
        </w:rPr>
        <w:t xml:space="preserve">las </w:t>
      </w:r>
      <w:r w:rsidR="001A3FB7">
        <w:rPr>
          <w:rFonts w:ascii="Arial" w:eastAsia="Calibri" w:hAnsi="Arial" w:cs="Arial"/>
          <w:lang w:val="es-ES"/>
        </w:rPr>
        <w:t>e</w:t>
      </w:r>
      <w:r w:rsidRPr="00482413">
        <w:rPr>
          <w:rFonts w:ascii="Arial" w:eastAsia="Calibri" w:hAnsi="Arial" w:cs="Arial"/>
          <w:lang w:val="es-ES"/>
        </w:rPr>
        <w:t>ntidades involucradas en los Planes de Reorganización solicitados por EPS.</w:t>
      </w:r>
    </w:p>
    <w:p w14:paraId="2959D37C" w14:textId="761315BC" w:rsidR="008C48D8" w:rsidRDefault="008C48D8" w:rsidP="001A3FB7">
      <w:pPr>
        <w:widowControl w:val="0"/>
        <w:adjustRightInd w:val="0"/>
        <w:spacing w:before="60" w:after="40" w:line="240" w:lineRule="auto"/>
        <w:ind w:right="28"/>
        <w:contextualSpacing/>
        <w:jc w:val="both"/>
        <w:rPr>
          <w:rFonts w:ascii="Arial" w:eastAsia="Calibri" w:hAnsi="Arial" w:cs="Arial"/>
          <w:lang w:val="es-ES"/>
        </w:rPr>
      </w:pPr>
    </w:p>
    <w:p w14:paraId="5535B765" w14:textId="2DEAAE88" w:rsidR="008C48D8" w:rsidRPr="00482413" w:rsidRDefault="00602842" w:rsidP="004D61DE">
      <w:pPr>
        <w:widowControl w:val="0"/>
        <w:adjustRightInd w:val="0"/>
        <w:spacing w:before="60" w:after="40" w:line="240" w:lineRule="auto"/>
        <w:ind w:right="28"/>
        <w:contextualSpacing/>
        <w:jc w:val="both"/>
        <w:rPr>
          <w:rFonts w:ascii="Arial" w:eastAsia="Calibri" w:hAnsi="Arial" w:cs="Arial"/>
          <w:lang w:val="es-ES"/>
        </w:rPr>
      </w:pPr>
      <w:r>
        <w:rPr>
          <w:rFonts w:ascii="Arial" w:eastAsia="Calibri" w:hAnsi="Arial" w:cs="Arial"/>
          <w:lang w:val="es-ES"/>
        </w:rPr>
        <w:t>La reglamentación adoptada por el Ministerio de Salud y Protección Social</w:t>
      </w:r>
      <w:r w:rsidR="00995862">
        <w:rPr>
          <w:rFonts w:ascii="Arial" w:eastAsia="Calibri" w:hAnsi="Arial" w:cs="Arial"/>
          <w:lang w:val="es-ES"/>
        </w:rPr>
        <w:t xml:space="preserve"> frente a los planes de reorganización</w:t>
      </w:r>
      <w:r>
        <w:rPr>
          <w:rFonts w:ascii="Arial" w:eastAsia="Calibri" w:hAnsi="Arial" w:cs="Arial"/>
          <w:lang w:val="es-ES"/>
        </w:rPr>
        <w:t xml:space="preserve"> no comprende a las IPS que </w:t>
      </w:r>
      <w:r w:rsidR="00512E3C">
        <w:rPr>
          <w:rFonts w:ascii="Arial" w:eastAsia="Calibri" w:hAnsi="Arial" w:cs="Arial"/>
          <w:lang w:val="es-ES"/>
        </w:rPr>
        <w:t xml:space="preserve">se han visto afectadas por procesos de liquidación. </w:t>
      </w:r>
    </w:p>
    <w:p w14:paraId="7A6F206B" w14:textId="53E25630" w:rsidR="001B0240" w:rsidRPr="001B0240" w:rsidRDefault="001B0240" w:rsidP="001B0240">
      <w:pPr>
        <w:pStyle w:val="xxmsonormal"/>
        <w:shd w:val="clear" w:color="auto" w:fill="FFFFFF"/>
        <w:spacing w:before="0" w:beforeAutospacing="0" w:after="0" w:afterAutospacing="0"/>
        <w:jc w:val="both"/>
        <w:rPr>
          <w:rFonts w:ascii="Arial" w:hAnsi="Arial" w:cs="Arial"/>
          <w:color w:val="201F1E"/>
          <w:sz w:val="22"/>
          <w:szCs w:val="22"/>
        </w:rPr>
      </w:pPr>
    </w:p>
    <w:p w14:paraId="143B9538" w14:textId="34829DB5" w:rsidR="001B0240" w:rsidRDefault="001B0240" w:rsidP="001B0240">
      <w:pPr>
        <w:pStyle w:val="xxmsonormal"/>
        <w:shd w:val="clear" w:color="auto" w:fill="FFFFFF"/>
        <w:spacing w:before="0" w:beforeAutospacing="0" w:after="0" w:afterAutospacing="0"/>
        <w:jc w:val="both"/>
        <w:rPr>
          <w:rFonts w:ascii="Arial" w:hAnsi="Arial" w:cs="Arial"/>
          <w:color w:val="201F1E"/>
          <w:sz w:val="22"/>
          <w:szCs w:val="22"/>
          <w:bdr w:val="none" w:sz="0" w:space="0" w:color="auto" w:frame="1"/>
          <w:lang w:val="es-ES"/>
        </w:rPr>
      </w:pPr>
      <w:r w:rsidRPr="00C31D64">
        <w:rPr>
          <w:rFonts w:ascii="Arial" w:hAnsi="Arial" w:cs="Arial"/>
          <w:b/>
          <w:bCs/>
          <w:color w:val="201F1E"/>
          <w:sz w:val="22"/>
          <w:szCs w:val="22"/>
          <w:bdr w:val="none" w:sz="0" w:space="0" w:color="auto" w:frame="1"/>
          <w:lang w:val="es-ES"/>
        </w:rPr>
        <w:t>5. A qué suma ascienden las acreencias que corresponden a la canasta COVID-19</w:t>
      </w:r>
      <w:r w:rsidR="00D61004" w:rsidRPr="00C31D64">
        <w:rPr>
          <w:rFonts w:ascii="Arial" w:hAnsi="Arial" w:cs="Arial"/>
          <w:b/>
          <w:bCs/>
          <w:color w:val="201F1E"/>
          <w:sz w:val="22"/>
          <w:szCs w:val="22"/>
          <w:bdr w:val="none" w:sz="0" w:space="0" w:color="auto" w:frame="1"/>
          <w:lang w:val="es-ES"/>
        </w:rPr>
        <w:t xml:space="preserve"> y </w:t>
      </w:r>
      <w:r w:rsidRPr="00C31D64">
        <w:rPr>
          <w:rFonts w:ascii="Arial" w:hAnsi="Arial" w:cs="Arial"/>
          <w:b/>
          <w:bCs/>
          <w:color w:val="201F1E"/>
          <w:sz w:val="22"/>
          <w:szCs w:val="22"/>
          <w:bdr w:val="none" w:sz="0" w:space="0" w:color="auto" w:frame="1"/>
          <w:lang w:val="es-ES"/>
        </w:rPr>
        <w:t>en ese sentido, informe cómo se va a garantizar el pago de dichas acreencias</w:t>
      </w:r>
      <w:r w:rsidRPr="001B0240">
        <w:rPr>
          <w:rFonts w:ascii="Arial" w:hAnsi="Arial" w:cs="Arial"/>
          <w:color w:val="201F1E"/>
          <w:sz w:val="22"/>
          <w:szCs w:val="22"/>
          <w:bdr w:val="none" w:sz="0" w:space="0" w:color="auto" w:frame="1"/>
          <w:lang w:val="es-ES"/>
        </w:rPr>
        <w:t>.</w:t>
      </w:r>
    </w:p>
    <w:p w14:paraId="11E90631" w14:textId="339F4CAF" w:rsidR="004D1177" w:rsidRDefault="004D1177" w:rsidP="001B0240">
      <w:pPr>
        <w:pStyle w:val="xxmsonormal"/>
        <w:shd w:val="clear" w:color="auto" w:fill="FFFFFF"/>
        <w:spacing w:before="0" w:beforeAutospacing="0" w:after="0" w:afterAutospacing="0"/>
        <w:jc w:val="both"/>
        <w:rPr>
          <w:rFonts w:ascii="Arial" w:hAnsi="Arial" w:cs="Arial"/>
          <w:color w:val="201F1E"/>
          <w:sz w:val="22"/>
          <w:szCs w:val="22"/>
          <w:bdr w:val="none" w:sz="0" w:space="0" w:color="auto" w:frame="1"/>
          <w:lang w:val="es-ES"/>
        </w:rPr>
      </w:pPr>
    </w:p>
    <w:p w14:paraId="4E0852E5" w14:textId="0A4C960B" w:rsidR="00151DCF" w:rsidRDefault="00151DCF" w:rsidP="004D1177">
      <w:pPr>
        <w:pStyle w:val="Sinespaciado"/>
        <w:jc w:val="both"/>
        <w:rPr>
          <w:rFonts w:ascii="Arial" w:hAnsi="Arial" w:cs="Arial"/>
        </w:rPr>
      </w:pPr>
      <w:r>
        <w:rPr>
          <w:rFonts w:ascii="Arial" w:hAnsi="Arial" w:cs="Arial"/>
        </w:rPr>
        <w:t xml:space="preserve">Se precisa que esta </w:t>
      </w:r>
      <w:r w:rsidR="0084538E">
        <w:rPr>
          <w:rFonts w:ascii="Arial" w:hAnsi="Arial" w:cs="Arial"/>
        </w:rPr>
        <w:t>S</w:t>
      </w:r>
      <w:r>
        <w:rPr>
          <w:rFonts w:ascii="Arial" w:hAnsi="Arial" w:cs="Arial"/>
        </w:rPr>
        <w:t xml:space="preserve">uperintendencia no cuenta con la información de acreencias discriminadas por canastas COVID-19 o resto de atenciones; ya que en </w:t>
      </w:r>
      <w:r w:rsidR="00E846DB">
        <w:rPr>
          <w:rFonts w:ascii="Arial" w:hAnsi="Arial" w:cs="Arial"/>
        </w:rPr>
        <w:t>ejercicio de</w:t>
      </w:r>
      <w:r>
        <w:rPr>
          <w:rFonts w:ascii="Arial" w:hAnsi="Arial" w:cs="Arial"/>
        </w:rPr>
        <w:t xml:space="preserve"> sus funciones debe continuar velando por el flujo de recursos en el sector relacionado con todas las prestaciones de servicios tanto PBS como NO PBS.</w:t>
      </w:r>
    </w:p>
    <w:p w14:paraId="2199A8F4" w14:textId="1EF36572" w:rsidR="00847E25" w:rsidRDefault="00847E25" w:rsidP="004D1177">
      <w:pPr>
        <w:pStyle w:val="Sinespaciado"/>
        <w:jc w:val="both"/>
        <w:rPr>
          <w:rFonts w:ascii="Arial" w:hAnsi="Arial" w:cs="Arial"/>
        </w:rPr>
      </w:pPr>
    </w:p>
    <w:p w14:paraId="7A8780DB" w14:textId="3C0BA2B3" w:rsidR="00847E25" w:rsidRPr="00847E25" w:rsidRDefault="00847E25" w:rsidP="004D1177">
      <w:pPr>
        <w:pStyle w:val="Sinespaciado"/>
        <w:jc w:val="both"/>
        <w:rPr>
          <w:rFonts w:ascii="Arial" w:hAnsi="Arial" w:cs="Arial"/>
        </w:rPr>
      </w:pPr>
      <w:r>
        <w:rPr>
          <w:rFonts w:ascii="Arial" w:hAnsi="Arial" w:cs="Arial"/>
        </w:rPr>
        <w:t xml:space="preserve">Por lo anterior y de acuerdo con </w:t>
      </w:r>
      <w:r w:rsidRPr="00B23898">
        <w:rPr>
          <w:rFonts w:ascii="Arial" w:hAnsi="Arial" w:cs="Arial"/>
          <w:color w:val="201F1E"/>
          <w:shd w:val="clear" w:color="auto" w:fill="FFFFFF"/>
        </w:rPr>
        <w:t xml:space="preserve">lo establecido en el artículo 5 de la </w:t>
      </w:r>
      <w:r>
        <w:rPr>
          <w:rFonts w:ascii="Arial" w:hAnsi="Arial" w:cs="Arial"/>
          <w:color w:val="201F1E"/>
          <w:shd w:val="clear" w:color="auto" w:fill="FFFFFF"/>
        </w:rPr>
        <w:t>R</w:t>
      </w:r>
      <w:r w:rsidRPr="00B23898">
        <w:rPr>
          <w:rFonts w:ascii="Arial" w:hAnsi="Arial" w:cs="Arial"/>
          <w:color w:val="201F1E"/>
          <w:shd w:val="clear" w:color="auto" w:fill="FFFFFF"/>
        </w:rPr>
        <w:t xml:space="preserve">esolución 1161 de 2020 </w:t>
      </w:r>
      <w:r>
        <w:rPr>
          <w:rFonts w:ascii="Arial" w:hAnsi="Arial" w:cs="Arial"/>
          <w:color w:val="201F1E"/>
          <w:shd w:val="clear" w:color="auto" w:fill="FFFFFF"/>
        </w:rPr>
        <w:t xml:space="preserve">expedida por Minsalud </w:t>
      </w:r>
      <w:r w:rsidRPr="00B23898">
        <w:rPr>
          <w:rFonts w:ascii="Arial" w:hAnsi="Arial" w:cs="Arial"/>
          <w:color w:val="201F1E"/>
          <w:shd w:val="clear" w:color="auto" w:fill="FFFFFF"/>
        </w:rPr>
        <w:t xml:space="preserve">y el artículo 8 del Decreto Ley 800 de 2020, que </w:t>
      </w:r>
      <w:r>
        <w:rPr>
          <w:rFonts w:ascii="Arial" w:hAnsi="Arial" w:cs="Arial"/>
          <w:color w:val="201F1E"/>
          <w:shd w:val="clear" w:color="auto" w:fill="FFFFFF"/>
        </w:rPr>
        <w:t>adicionó</w:t>
      </w:r>
      <w:r w:rsidRPr="00B23898">
        <w:rPr>
          <w:rFonts w:ascii="Arial" w:hAnsi="Arial" w:cs="Arial"/>
          <w:color w:val="201F1E"/>
          <w:shd w:val="clear" w:color="auto" w:fill="FFFFFF"/>
        </w:rPr>
        <w:t xml:space="preserve"> el </w:t>
      </w:r>
      <w:r>
        <w:rPr>
          <w:rFonts w:ascii="Arial" w:hAnsi="Arial" w:cs="Arial"/>
          <w:color w:val="201F1E"/>
          <w:shd w:val="clear" w:color="auto" w:fill="FFFFFF"/>
        </w:rPr>
        <w:t xml:space="preserve">artículo </w:t>
      </w:r>
      <w:r w:rsidRPr="00B23898">
        <w:rPr>
          <w:rFonts w:ascii="Arial" w:hAnsi="Arial" w:cs="Arial"/>
          <w:color w:val="201F1E"/>
          <w:shd w:val="clear" w:color="auto" w:fill="FFFFFF"/>
        </w:rPr>
        <w:t>20 del Decreto 538 de 202</w:t>
      </w:r>
      <w:r>
        <w:rPr>
          <w:rFonts w:ascii="Arial" w:hAnsi="Arial" w:cs="Arial"/>
          <w:color w:val="201F1E"/>
          <w:shd w:val="clear" w:color="auto" w:fill="FFFFFF"/>
        </w:rPr>
        <w:t xml:space="preserve">0 se traslada por competencia la solicitud de informar </w:t>
      </w:r>
      <w:r w:rsidR="00E846DB">
        <w:rPr>
          <w:rFonts w:ascii="Arial" w:hAnsi="Arial" w:cs="Arial"/>
          <w:color w:val="201F1E"/>
          <w:shd w:val="clear" w:color="auto" w:fill="FFFFFF"/>
        </w:rPr>
        <w:t>a que suma ascienden las acreencias que corresponden a la canasta COVID-19 y como se va a garantizar el pago de dichas acreencias al Ministerio de Salud y Protección Social.</w:t>
      </w:r>
    </w:p>
    <w:p w14:paraId="1362BD0C" w14:textId="77777777" w:rsidR="00151DCF" w:rsidRDefault="00151DCF" w:rsidP="004D1177">
      <w:pPr>
        <w:pStyle w:val="Sinespaciado"/>
        <w:jc w:val="both"/>
        <w:rPr>
          <w:rFonts w:ascii="Arial" w:hAnsi="Arial" w:cs="Arial"/>
        </w:rPr>
      </w:pPr>
    </w:p>
    <w:p w14:paraId="4409ABD5" w14:textId="4468B66B" w:rsidR="001B0240" w:rsidRPr="00C31D64"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t xml:space="preserve">6. ¿De qué manera los prestadores pueden revisar la viabilidad de contratación de las EPS, considerando que, al existir EPS con la misma calificación otorgada por la Superintendencia Nacional de Salud, a algunas se les ordena la intervención forzosa y liquidación </w:t>
      </w:r>
      <w:r w:rsidR="003D53F5" w:rsidRPr="00C31D64">
        <w:rPr>
          <w:rFonts w:ascii="Arial" w:hAnsi="Arial" w:cs="Arial"/>
          <w:b/>
          <w:bCs/>
          <w:color w:val="201F1E"/>
          <w:sz w:val="22"/>
          <w:szCs w:val="22"/>
          <w:bdr w:val="none" w:sz="0" w:space="0" w:color="auto" w:frame="1"/>
          <w:lang w:val="es-ES"/>
        </w:rPr>
        <w:t>a</w:t>
      </w:r>
      <w:r w:rsidR="003D53F5">
        <w:rPr>
          <w:rFonts w:ascii="Arial" w:hAnsi="Arial" w:cs="Arial"/>
          <w:b/>
          <w:bCs/>
          <w:color w:val="201F1E"/>
          <w:sz w:val="22"/>
          <w:szCs w:val="22"/>
          <w:bdr w:val="none" w:sz="0" w:space="0" w:color="auto" w:frame="1"/>
          <w:lang w:val="es-ES"/>
        </w:rPr>
        <w:t>u</w:t>
      </w:r>
      <w:r w:rsidR="003D53F5" w:rsidRPr="00C31D64">
        <w:rPr>
          <w:rFonts w:ascii="Arial" w:hAnsi="Arial" w:cs="Arial"/>
          <w:b/>
          <w:bCs/>
          <w:color w:val="201F1E"/>
          <w:sz w:val="22"/>
          <w:szCs w:val="22"/>
          <w:bdr w:val="none" w:sz="0" w:space="0" w:color="auto" w:frame="1"/>
          <w:lang w:val="es-ES"/>
        </w:rPr>
        <w:t>n</w:t>
      </w:r>
      <w:r w:rsidRPr="00C31D64">
        <w:rPr>
          <w:rFonts w:ascii="Arial" w:hAnsi="Arial" w:cs="Arial"/>
          <w:b/>
          <w:bCs/>
          <w:color w:val="201F1E"/>
          <w:sz w:val="22"/>
          <w:szCs w:val="22"/>
          <w:bdr w:val="none" w:sz="0" w:space="0" w:color="auto" w:frame="1"/>
          <w:lang w:val="es-ES"/>
        </w:rPr>
        <w:t xml:space="preserve"> cuando no cuentan con un puntaje tan deficiente?</w:t>
      </w:r>
    </w:p>
    <w:p w14:paraId="4211DC20" w14:textId="77777777" w:rsidR="001B0240" w:rsidRPr="001B0240" w:rsidRDefault="001B0240" w:rsidP="001B0240">
      <w:pPr>
        <w:pStyle w:val="xxmsonormal"/>
        <w:shd w:val="clear" w:color="auto" w:fill="FFFFFF"/>
        <w:spacing w:before="0" w:beforeAutospacing="0" w:after="0" w:afterAutospacing="0"/>
        <w:jc w:val="both"/>
        <w:rPr>
          <w:rFonts w:ascii="Arial" w:hAnsi="Arial" w:cs="Arial"/>
          <w:color w:val="201F1E"/>
          <w:sz w:val="22"/>
          <w:szCs w:val="22"/>
        </w:rPr>
      </w:pPr>
      <w:r w:rsidRPr="001B0240">
        <w:rPr>
          <w:rFonts w:ascii="Arial" w:hAnsi="Arial" w:cs="Arial"/>
          <w:color w:val="201F1E"/>
          <w:sz w:val="22"/>
          <w:szCs w:val="22"/>
          <w:bdr w:val="none" w:sz="0" w:space="0" w:color="auto" w:frame="1"/>
          <w:lang w:val="es-ES"/>
        </w:rPr>
        <w:t> </w:t>
      </w:r>
    </w:p>
    <w:p w14:paraId="50E9C009" w14:textId="716E64DB" w:rsidR="002F32A5" w:rsidRDefault="002F32A5" w:rsidP="002F32A5">
      <w:pPr>
        <w:jc w:val="both"/>
        <w:rPr>
          <w:rFonts w:ascii="Arial" w:hAnsi="Arial" w:cs="Arial"/>
        </w:rPr>
      </w:pPr>
      <w:r>
        <w:rPr>
          <w:rFonts w:ascii="Arial" w:hAnsi="Arial" w:cs="Arial"/>
        </w:rPr>
        <w:t xml:space="preserve">Como se precisó con relación a la pregunta número 2, esta Superintendencia no emite ninguna calificación de las EPS y, en esa medida, de esto no puede depender la adopción de otras medidas como las especiales o preventivas y la toma de posesión. </w:t>
      </w:r>
    </w:p>
    <w:p w14:paraId="3278F31C" w14:textId="2F29F9BF" w:rsidR="002F32A5" w:rsidRPr="00814515" w:rsidRDefault="002F32A5" w:rsidP="002F32A5">
      <w:pPr>
        <w:jc w:val="both"/>
        <w:rPr>
          <w:rFonts w:ascii="Arial" w:hAnsi="Arial" w:cs="Arial"/>
        </w:rPr>
      </w:pPr>
      <w:r>
        <w:rPr>
          <w:rFonts w:ascii="Arial" w:hAnsi="Arial" w:cs="Arial"/>
        </w:rPr>
        <w:lastRenderedPageBreak/>
        <w:t xml:space="preserve">En relación con el seguimiento, se precisa </w:t>
      </w:r>
      <w:r w:rsidR="003D53F5">
        <w:rPr>
          <w:rFonts w:ascii="Arial" w:hAnsi="Arial" w:cs="Arial"/>
        </w:rPr>
        <w:t>que,</w:t>
      </w:r>
      <w:r>
        <w:rPr>
          <w:rFonts w:ascii="Arial" w:hAnsi="Arial" w:cs="Arial"/>
        </w:rPr>
        <w:t xml:space="preserve"> si una </w:t>
      </w:r>
      <w:r w:rsidRPr="00814515">
        <w:rPr>
          <w:rFonts w:ascii="Arial" w:hAnsi="Arial" w:cs="Arial"/>
        </w:rPr>
        <w:t>EPS se encuentra autorizada para operar, mientras no se encuentre en una medida de seguimiento</w:t>
      </w:r>
      <w:r>
        <w:rPr>
          <w:rFonts w:ascii="Arial" w:hAnsi="Arial" w:cs="Arial"/>
        </w:rPr>
        <w:t xml:space="preserve"> o medida especial</w:t>
      </w:r>
      <w:r w:rsidRPr="00814515">
        <w:rPr>
          <w:rFonts w:ascii="Arial" w:hAnsi="Arial" w:cs="Arial"/>
        </w:rPr>
        <w:t xml:space="preserve"> es porque la misma está cumpliendo con </w:t>
      </w:r>
      <w:r>
        <w:rPr>
          <w:rFonts w:ascii="Arial" w:hAnsi="Arial" w:cs="Arial"/>
        </w:rPr>
        <w:t xml:space="preserve">las normas del </w:t>
      </w:r>
      <w:r w:rsidR="00213564">
        <w:rPr>
          <w:rFonts w:ascii="Arial" w:hAnsi="Arial" w:cs="Arial"/>
        </w:rPr>
        <w:t>S</w:t>
      </w:r>
      <w:r>
        <w:rPr>
          <w:rFonts w:ascii="Arial" w:hAnsi="Arial" w:cs="Arial"/>
        </w:rPr>
        <w:t>istema. En caso contrario, de evidenciarse un incumplimiento, la Superintendencia toma las decisiones de control necesarias para imponer medidas correctivas</w:t>
      </w:r>
      <w:r w:rsidRPr="00814515">
        <w:rPr>
          <w:rFonts w:ascii="Arial" w:hAnsi="Arial" w:cs="Arial"/>
        </w:rPr>
        <w:t>.</w:t>
      </w:r>
    </w:p>
    <w:p w14:paraId="65134AD7" w14:textId="77777777" w:rsidR="002F32A5" w:rsidRPr="00814515" w:rsidRDefault="002F32A5" w:rsidP="002F32A5">
      <w:pPr>
        <w:jc w:val="both"/>
        <w:rPr>
          <w:rFonts w:ascii="Arial" w:hAnsi="Arial" w:cs="Arial"/>
        </w:rPr>
      </w:pPr>
      <w:r>
        <w:rPr>
          <w:rFonts w:ascii="Arial" w:hAnsi="Arial" w:cs="Arial"/>
        </w:rPr>
        <w:t>En todo caso, esta Superintendencia dentro de las acciones</w:t>
      </w:r>
      <w:r w:rsidRPr="00814515">
        <w:rPr>
          <w:rFonts w:ascii="Arial" w:hAnsi="Arial" w:cs="Arial"/>
        </w:rPr>
        <w:t xml:space="preserve"> de inspección y vigilancia para verificar el cumplimiento de las condiciones de habilitación y permanencia, </w:t>
      </w:r>
      <w:r>
        <w:rPr>
          <w:rFonts w:ascii="Arial" w:hAnsi="Arial" w:cs="Arial"/>
        </w:rPr>
        <w:t>realiza seguimiento a la contratación de las EPS a través del componente a</w:t>
      </w:r>
      <w:r w:rsidRPr="00814515">
        <w:rPr>
          <w:rFonts w:ascii="Arial" w:hAnsi="Arial" w:cs="Arial"/>
        </w:rPr>
        <w:t>dministrativo</w:t>
      </w:r>
      <w:r>
        <w:rPr>
          <w:rFonts w:ascii="Arial" w:hAnsi="Arial" w:cs="Arial"/>
        </w:rPr>
        <w:t>,</w:t>
      </w:r>
      <w:r w:rsidRPr="00814515">
        <w:rPr>
          <w:rFonts w:ascii="Arial" w:hAnsi="Arial" w:cs="Arial"/>
        </w:rPr>
        <w:t xml:space="preserve"> donde se verifica en contratación </w:t>
      </w:r>
      <w:r>
        <w:rPr>
          <w:rFonts w:ascii="Arial" w:hAnsi="Arial" w:cs="Arial"/>
        </w:rPr>
        <w:t>se ajuste a las normas vigentes</w:t>
      </w:r>
      <w:r w:rsidRPr="00814515">
        <w:rPr>
          <w:rFonts w:ascii="Arial" w:hAnsi="Arial" w:cs="Arial"/>
        </w:rPr>
        <w:t xml:space="preserve">, específicamente lo establecido en el  </w:t>
      </w:r>
      <w:r>
        <w:rPr>
          <w:rFonts w:ascii="Arial" w:hAnsi="Arial" w:cs="Arial"/>
        </w:rPr>
        <w:t>a</w:t>
      </w:r>
      <w:r w:rsidRPr="00814515">
        <w:rPr>
          <w:rFonts w:ascii="Arial" w:hAnsi="Arial" w:cs="Arial"/>
        </w:rPr>
        <w:t>rtículo 2.5.3.4.5 del Decreto 780 de 2016 que compiló el Decreto 4747 de 2007</w:t>
      </w:r>
      <w:r>
        <w:rPr>
          <w:rFonts w:ascii="Arial" w:hAnsi="Arial" w:cs="Arial"/>
        </w:rPr>
        <w:t>, el</w:t>
      </w:r>
      <w:r w:rsidRPr="00814515">
        <w:rPr>
          <w:rFonts w:ascii="Arial" w:hAnsi="Arial" w:cs="Arial"/>
        </w:rPr>
        <w:t xml:space="preserve"> que establece los </w:t>
      </w:r>
      <w:r>
        <w:rPr>
          <w:rFonts w:ascii="Arial" w:hAnsi="Arial" w:cs="Arial"/>
        </w:rPr>
        <w:t>r</w:t>
      </w:r>
      <w:r w:rsidRPr="009C2689">
        <w:rPr>
          <w:rFonts w:ascii="Arial" w:hAnsi="Arial" w:cs="Arial"/>
        </w:rPr>
        <w:t>equisitos mínimos que se deben tener en cuenta para la negociación y suscripción de los acuerdos de voluntades</w:t>
      </w:r>
      <w:r w:rsidRPr="00814515">
        <w:rPr>
          <w:rFonts w:ascii="Arial" w:hAnsi="Arial" w:cs="Arial"/>
        </w:rPr>
        <w:t xml:space="preserve"> para la prestación de servicios. Son requisitos, mínimos para la negociación y suscripción de acuerdos de voluntades para la prestación de servicios los siguientes:</w:t>
      </w:r>
    </w:p>
    <w:p w14:paraId="302B19DC" w14:textId="77777777" w:rsidR="002F32A5" w:rsidRPr="00814515" w:rsidRDefault="002F32A5" w:rsidP="002F32A5">
      <w:pPr>
        <w:ind w:left="708"/>
        <w:jc w:val="both"/>
        <w:rPr>
          <w:rFonts w:ascii="Arial" w:hAnsi="Arial" w:cs="Arial"/>
          <w:i/>
          <w:iCs/>
          <w:sz w:val="20"/>
          <w:szCs w:val="20"/>
        </w:rPr>
      </w:pPr>
      <w:r w:rsidRPr="00814515">
        <w:rPr>
          <w:rFonts w:ascii="Arial" w:hAnsi="Arial" w:cs="Arial"/>
          <w:i/>
          <w:iCs/>
          <w:sz w:val="20"/>
          <w:szCs w:val="20"/>
        </w:rPr>
        <w:t xml:space="preserve">“(…) 2. Por parte de las entidades responsables del pago de los servicios de salud de la población a su cargo: </w:t>
      </w:r>
    </w:p>
    <w:p w14:paraId="008BDB27" w14:textId="77777777" w:rsidR="002F32A5" w:rsidRPr="00814515" w:rsidRDefault="002F32A5" w:rsidP="002F32A5">
      <w:pPr>
        <w:ind w:left="708"/>
        <w:jc w:val="both"/>
        <w:rPr>
          <w:rFonts w:ascii="Arial" w:hAnsi="Arial" w:cs="Arial"/>
          <w:i/>
          <w:iCs/>
          <w:sz w:val="20"/>
          <w:szCs w:val="20"/>
        </w:rPr>
      </w:pPr>
      <w:r w:rsidRPr="00814515">
        <w:rPr>
          <w:rFonts w:ascii="Arial" w:hAnsi="Arial" w:cs="Arial"/>
          <w:i/>
          <w:iCs/>
          <w:sz w:val="20"/>
          <w:szCs w:val="20"/>
        </w:rPr>
        <w:t>a. Información general de la población objeto del acuerdo de voluntades con los datos sobre su ubicación geográfica y perfil demográfico.</w:t>
      </w:r>
    </w:p>
    <w:p w14:paraId="10630C8F" w14:textId="77777777" w:rsidR="002F32A5" w:rsidRPr="00814515" w:rsidRDefault="002F32A5" w:rsidP="002F32A5">
      <w:pPr>
        <w:ind w:left="708"/>
        <w:jc w:val="both"/>
        <w:rPr>
          <w:rFonts w:ascii="Arial" w:hAnsi="Arial" w:cs="Arial"/>
          <w:i/>
          <w:iCs/>
          <w:sz w:val="20"/>
          <w:szCs w:val="20"/>
        </w:rPr>
      </w:pPr>
      <w:r w:rsidRPr="00814515">
        <w:rPr>
          <w:rFonts w:ascii="Arial" w:hAnsi="Arial" w:cs="Arial"/>
          <w:i/>
          <w:iCs/>
          <w:sz w:val="20"/>
          <w:szCs w:val="20"/>
        </w:rPr>
        <w:t xml:space="preserve"> b. Modelo de atención definido por la entidad responsable del pago. </w:t>
      </w:r>
    </w:p>
    <w:p w14:paraId="42E595EE" w14:textId="77777777" w:rsidR="002F32A5" w:rsidRPr="00814515" w:rsidRDefault="002F32A5" w:rsidP="002F32A5">
      <w:pPr>
        <w:ind w:left="708"/>
        <w:jc w:val="both"/>
        <w:rPr>
          <w:rFonts w:ascii="Arial" w:hAnsi="Arial" w:cs="Arial"/>
          <w:i/>
          <w:iCs/>
          <w:sz w:val="20"/>
          <w:szCs w:val="20"/>
        </w:rPr>
      </w:pPr>
      <w:r w:rsidRPr="00814515">
        <w:rPr>
          <w:rFonts w:ascii="Arial" w:hAnsi="Arial" w:cs="Arial"/>
          <w:i/>
          <w:iCs/>
          <w:sz w:val="20"/>
          <w:szCs w:val="20"/>
        </w:rPr>
        <w:t>c. Diseño y organización de la red de servicios, indicando el nombre, ubicación de los prestadores de servicios de salud con el tipo y complejidad de los servicios contratados, que garanticen la oportunidad, integralidad, continuidad y accesibilidad a la prestación de servicios de la población a cargo de la entidad responsable del pago.</w:t>
      </w:r>
    </w:p>
    <w:p w14:paraId="7CB5917A" w14:textId="77777777" w:rsidR="002F32A5" w:rsidRPr="00814515" w:rsidRDefault="002F32A5" w:rsidP="002F32A5">
      <w:pPr>
        <w:ind w:left="708"/>
        <w:jc w:val="both"/>
        <w:rPr>
          <w:rFonts w:ascii="Arial" w:hAnsi="Arial" w:cs="Arial"/>
          <w:i/>
          <w:iCs/>
          <w:sz w:val="20"/>
          <w:szCs w:val="20"/>
        </w:rPr>
      </w:pPr>
      <w:r w:rsidRPr="00814515">
        <w:rPr>
          <w:rFonts w:ascii="Arial" w:hAnsi="Arial" w:cs="Arial"/>
          <w:i/>
          <w:iCs/>
          <w:sz w:val="20"/>
          <w:szCs w:val="20"/>
        </w:rPr>
        <w:t xml:space="preserve"> d. Mecanismos y medios de difusión y comunicación de la red de prestación de servicios a los usuarios.</w:t>
      </w:r>
    </w:p>
    <w:p w14:paraId="5C9AFEE3" w14:textId="77777777" w:rsidR="002F32A5" w:rsidRPr="00814515" w:rsidRDefault="002F32A5" w:rsidP="002F32A5">
      <w:pPr>
        <w:ind w:left="708"/>
        <w:jc w:val="both"/>
        <w:rPr>
          <w:rFonts w:ascii="Arial" w:hAnsi="Arial" w:cs="Arial"/>
          <w:i/>
          <w:iCs/>
          <w:sz w:val="20"/>
          <w:szCs w:val="20"/>
        </w:rPr>
      </w:pPr>
      <w:r w:rsidRPr="00814515">
        <w:rPr>
          <w:rFonts w:ascii="Arial" w:hAnsi="Arial" w:cs="Arial"/>
          <w:i/>
          <w:iCs/>
          <w:sz w:val="20"/>
          <w:szCs w:val="20"/>
        </w:rPr>
        <w:t xml:space="preserve"> e. Indicadores de calidad en los servicios de aseguramiento definidos en el Sistema de Información para la Calidad del Sistema Obligatorio de Garantía de Calidad de la Atención en Salud. </w:t>
      </w:r>
    </w:p>
    <w:p w14:paraId="41313730" w14:textId="77777777" w:rsidR="002F32A5" w:rsidRPr="00814515" w:rsidRDefault="002F32A5" w:rsidP="002F32A5">
      <w:pPr>
        <w:ind w:left="708"/>
        <w:jc w:val="both"/>
        <w:rPr>
          <w:rFonts w:ascii="Arial" w:hAnsi="Arial" w:cs="Arial"/>
          <w:i/>
          <w:iCs/>
          <w:sz w:val="20"/>
          <w:szCs w:val="20"/>
        </w:rPr>
      </w:pPr>
      <w:r w:rsidRPr="00814515">
        <w:rPr>
          <w:rFonts w:ascii="Arial" w:hAnsi="Arial" w:cs="Arial"/>
          <w:i/>
          <w:iCs/>
          <w:sz w:val="20"/>
          <w:szCs w:val="20"/>
        </w:rPr>
        <w:t>f. Diseño, organización y documentación del proceso de referencia y contrarreferencia que involucre las normas operacionales, sistemas de información y recursos logísticos, requeridos para la operación de la red. (…)”</w:t>
      </w:r>
    </w:p>
    <w:p w14:paraId="181EF56C" w14:textId="77777777" w:rsidR="002F32A5" w:rsidRPr="00814515" w:rsidRDefault="002F32A5" w:rsidP="002F32A5">
      <w:pPr>
        <w:ind w:left="708"/>
        <w:jc w:val="both"/>
        <w:rPr>
          <w:rFonts w:ascii="Arial" w:hAnsi="Arial" w:cs="Arial"/>
          <w:i/>
          <w:iCs/>
          <w:sz w:val="20"/>
          <w:szCs w:val="20"/>
        </w:rPr>
      </w:pPr>
      <w:r w:rsidRPr="00814515">
        <w:rPr>
          <w:rFonts w:ascii="Arial" w:hAnsi="Arial" w:cs="Arial"/>
          <w:b/>
          <w:bCs/>
          <w:i/>
          <w:iCs/>
          <w:sz w:val="20"/>
          <w:szCs w:val="20"/>
        </w:rPr>
        <w:t>(…)Parágrafo 3.</w:t>
      </w:r>
      <w:r w:rsidRPr="00814515">
        <w:rPr>
          <w:rFonts w:ascii="Arial" w:hAnsi="Arial" w:cs="Arial"/>
          <w:i/>
          <w:iCs/>
          <w:sz w:val="20"/>
          <w:szCs w:val="20"/>
        </w:rPr>
        <w:t xml:space="preserve"> De los requisitos mínimos establecidos en el presente artículo, tanto los prestadores de servicios de salud como las entidades responsables del pago de los servicios de salud, deberán conservar la evidencia correspondiente.</w:t>
      </w:r>
      <w:r>
        <w:rPr>
          <w:rFonts w:ascii="Arial" w:hAnsi="Arial" w:cs="Arial"/>
          <w:i/>
          <w:iCs/>
          <w:sz w:val="20"/>
          <w:szCs w:val="20"/>
        </w:rPr>
        <w:t>”</w:t>
      </w:r>
    </w:p>
    <w:p w14:paraId="00948DDD" w14:textId="4684B6F1" w:rsidR="003D53F5" w:rsidRDefault="002F32A5" w:rsidP="003D53F5">
      <w:pPr>
        <w:jc w:val="both"/>
        <w:rPr>
          <w:rFonts w:ascii="Arial" w:hAnsi="Arial" w:cs="Arial"/>
        </w:rPr>
      </w:pPr>
      <w:r w:rsidRPr="00814515">
        <w:rPr>
          <w:rFonts w:ascii="Arial" w:hAnsi="Arial" w:cs="Arial"/>
        </w:rPr>
        <w:t xml:space="preserve">Por otro lado, se debe tener por parte de los prestadores de servicios de salud y de las entidades responsables del pago de los servicios de salud, mecanismos de interventoría, seguimiento y evaluación del cumplimiento de las obligaciones, durante la vigencia del acuerdo de voluntades, como lo determina el artículo 2.5.3.4.6 del Decreto 780 de 2016 </w:t>
      </w:r>
      <w:r w:rsidR="00F75836">
        <w:rPr>
          <w:rFonts w:ascii="Arial" w:hAnsi="Arial" w:cs="Arial"/>
        </w:rPr>
        <w:t>c</w:t>
      </w:r>
      <w:r w:rsidRPr="006834B4">
        <w:rPr>
          <w:rFonts w:ascii="Arial" w:hAnsi="Arial" w:cs="Arial"/>
        </w:rPr>
        <w:t>ondiciones mínimas que deben ser incluidas en los acuerdos de voluntades para la prestación de servicios.</w:t>
      </w:r>
    </w:p>
    <w:p w14:paraId="09C31671" w14:textId="77777777" w:rsidR="003D53F5" w:rsidRPr="003D53F5" w:rsidRDefault="003D53F5" w:rsidP="003D53F5">
      <w:pPr>
        <w:jc w:val="both"/>
        <w:rPr>
          <w:rFonts w:ascii="Arial" w:hAnsi="Arial" w:cs="Arial"/>
        </w:rPr>
      </w:pPr>
    </w:p>
    <w:p w14:paraId="70C89ACB" w14:textId="0C1F8FD5" w:rsidR="001B0240" w:rsidRPr="00C31D64"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lastRenderedPageBreak/>
        <w:t xml:space="preserve">7. Si varias EPS tienen unos indicadores negativos, explique la razón por la cual la Superintendencia Nacional de Salud solo dio un ultimátum a </w:t>
      </w:r>
      <w:r w:rsidR="00D61004" w:rsidRPr="00C31D64">
        <w:rPr>
          <w:rFonts w:ascii="Arial" w:hAnsi="Arial" w:cs="Arial"/>
          <w:b/>
          <w:bCs/>
          <w:color w:val="201F1E"/>
          <w:sz w:val="22"/>
          <w:szCs w:val="22"/>
          <w:bdr w:val="none" w:sz="0" w:space="0" w:color="auto" w:frame="1"/>
          <w:lang w:val="es-ES"/>
        </w:rPr>
        <w:t>C</w:t>
      </w:r>
      <w:r w:rsidRPr="00C31D64">
        <w:rPr>
          <w:rFonts w:ascii="Arial" w:hAnsi="Arial" w:cs="Arial"/>
          <w:b/>
          <w:bCs/>
          <w:color w:val="201F1E"/>
          <w:sz w:val="22"/>
          <w:szCs w:val="22"/>
          <w:bdr w:val="none" w:sz="0" w:space="0" w:color="auto" w:frame="1"/>
          <w:lang w:val="es-ES"/>
        </w:rPr>
        <w:t>omparta EPS para que realizara el proceso de reorganización, pero con otras EPS no tomó la misma decisión.</w:t>
      </w:r>
    </w:p>
    <w:p w14:paraId="5AE74C90" w14:textId="77777777" w:rsidR="001B0240" w:rsidRPr="001B0240" w:rsidRDefault="001B0240" w:rsidP="001B0240">
      <w:pPr>
        <w:pStyle w:val="xxmsonormal"/>
        <w:shd w:val="clear" w:color="auto" w:fill="FFFFFF"/>
        <w:spacing w:before="0" w:beforeAutospacing="0" w:after="0" w:afterAutospacing="0"/>
        <w:jc w:val="both"/>
        <w:rPr>
          <w:rFonts w:ascii="Arial" w:hAnsi="Arial" w:cs="Arial"/>
          <w:color w:val="201F1E"/>
          <w:sz w:val="22"/>
          <w:szCs w:val="22"/>
        </w:rPr>
      </w:pPr>
      <w:r w:rsidRPr="001B0240">
        <w:rPr>
          <w:rFonts w:ascii="Arial" w:hAnsi="Arial" w:cs="Arial"/>
          <w:color w:val="201F1E"/>
          <w:sz w:val="22"/>
          <w:szCs w:val="22"/>
          <w:bdr w:val="none" w:sz="0" w:space="0" w:color="auto" w:frame="1"/>
          <w:lang w:val="es-ES"/>
        </w:rPr>
        <w:t> </w:t>
      </w:r>
    </w:p>
    <w:p w14:paraId="605C0DAA" w14:textId="5BB1D19A" w:rsidR="00CC37D6" w:rsidRDefault="004D61DE" w:rsidP="00CC37D6">
      <w:pPr>
        <w:spacing w:after="3" w:line="228" w:lineRule="auto"/>
        <w:ind w:right="14"/>
        <w:jc w:val="both"/>
        <w:rPr>
          <w:rFonts w:ascii="Arial" w:eastAsia="Calibri" w:hAnsi="Arial" w:cs="Arial"/>
          <w:color w:val="000000"/>
          <w:lang w:eastAsia="es-CO"/>
        </w:rPr>
      </w:pPr>
      <w:r>
        <w:rPr>
          <w:rFonts w:ascii="Arial" w:eastAsia="Calibri" w:hAnsi="Arial" w:cs="Arial"/>
          <w:color w:val="000000"/>
          <w:lang w:eastAsia="es-CO"/>
        </w:rPr>
        <w:t>El Sistema General de Seguridad Social en Salud y las concretas necesidades del aseguramiento hacen que la situación de las EPS no pueda ser equiparada</w:t>
      </w:r>
      <w:r w:rsidR="002D695F">
        <w:rPr>
          <w:rFonts w:ascii="Arial" w:eastAsia="Calibri" w:hAnsi="Arial" w:cs="Arial"/>
          <w:color w:val="000000"/>
          <w:lang w:eastAsia="es-CO"/>
        </w:rPr>
        <w:t xml:space="preserve">. </w:t>
      </w:r>
      <w:r w:rsidR="00CC37D6" w:rsidRPr="00A713E3">
        <w:rPr>
          <w:rFonts w:ascii="Arial" w:eastAsia="Calibri" w:hAnsi="Arial" w:cs="Arial"/>
          <w:color w:val="000000"/>
          <w:lang w:eastAsia="es-CO"/>
        </w:rPr>
        <w:t>Así, es importante tener en cuenta que, se deben analizar variables, condiciones, y factores que determinan: i) el nivel de salud de la comunidad de los municipios y departamentos críticos para el aseguramiento; ii) la heterogeneidad en las dinámicas del aseguramiento en cada territorio, iii) la concentración de la afiliación, iv) la oferta de servicios, v) la dependencia de los prestadores a dichas EPS, vi) las dinámicas del flujo de recursos, y; vii) las necesidades de capital requerido para poder operar en el aseguramiento obligatorio en salud.</w:t>
      </w:r>
    </w:p>
    <w:p w14:paraId="46852CD1" w14:textId="77777777" w:rsidR="00CC37D6" w:rsidRPr="00A713E3" w:rsidRDefault="00CC37D6" w:rsidP="00CC37D6">
      <w:pPr>
        <w:spacing w:after="3" w:line="228" w:lineRule="auto"/>
        <w:ind w:right="14"/>
        <w:jc w:val="both"/>
        <w:rPr>
          <w:rFonts w:ascii="Arial" w:eastAsia="Calibri" w:hAnsi="Arial" w:cs="Arial"/>
          <w:color w:val="000000"/>
          <w:lang w:eastAsia="es-CO"/>
        </w:rPr>
      </w:pPr>
      <w:r w:rsidRPr="00A713E3">
        <w:rPr>
          <w:rFonts w:ascii="Arial" w:eastAsia="Calibri" w:hAnsi="Arial" w:cs="Arial"/>
          <w:color w:val="000000"/>
          <w:lang w:eastAsia="es-CO"/>
        </w:rPr>
        <w:t xml:space="preserve">  </w:t>
      </w:r>
    </w:p>
    <w:p w14:paraId="7E1523A4" w14:textId="6FA6A601" w:rsidR="00CC37D6" w:rsidRDefault="00CC37D6" w:rsidP="00CC37D6">
      <w:pPr>
        <w:spacing w:after="3" w:line="228" w:lineRule="auto"/>
        <w:ind w:right="14"/>
        <w:jc w:val="both"/>
        <w:rPr>
          <w:rFonts w:ascii="Arial" w:eastAsia="Calibri" w:hAnsi="Arial" w:cs="Arial"/>
          <w:color w:val="000000"/>
          <w:lang w:eastAsia="es-CO"/>
        </w:rPr>
      </w:pPr>
      <w:r w:rsidRPr="00A713E3">
        <w:rPr>
          <w:rFonts w:ascii="Arial" w:eastAsia="Calibri" w:hAnsi="Arial" w:cs="Arial"/>
          <w:color w:val="000000"/>
          <w:lang w:eastAsia="es-CO"/>
        </w:rPr>
        <w:t xml:space="preserve">Estos elementos descriptivos presentados, evidencian la dificultad de la toma de decisiones por el alto nivel de riesgo sistémico que comportan, razón por la cual la </w:t>
      </w:r>
      <w:r w:rsidR="00213564">
        <w:rPr>
          <w:rFonts w:ascii="Arial" w:eastAsia="Calibri" w:hAnsi="Arial" w:cs="Arial"/>
          <w:color w:val="000000"/>
          <w:lang w:eastAsia="es-CO"/>
        </w:rPr>
        <w:t>S</w:t>
      </w:r>
      <w:r w:rsidRPr="00A713E3">
        <w:rPr>
          <w:rFonts w:ascii="Arial" w:eastAsia="Calibri" w:hAnsi="Arial" w:cs="Arial"/>
          <w:color w:val="000000"/>
          <w:lang w:eastAsia="es-CO"/>
        </w:rPr>
        <w:t xml:space="preserve">uperintendencia se ha visto en la obligación de desarrollar un plan estratégico que comprende la implementación de metodologías y sistemas de información que permitan contar con los elementos para actuar con la suficiente certeza. </w:t>
      </w:r>
    </w:p>
    <w:p w14:paraId="0C0542FE" w14:textId="77777777" w:rsidR="00CC37D6" w:rsidRPr="00A713E3" w:rsidRDefault="00CC37D6" w:rsidP="00CC37D6">
      <w:pPr>
        <w:spacing w:after="3" w:line="228" w:lineRule="auto"/>
        <w:ind w:right="14"/>
        <w:jc w:val="both"/>
        <w:rPr>
          <w:rFonts w:ascii="Arial" w:eastAsia="Calibri" w:hAnsi="Arial" w:cs="Arial"/>
          <w:color w:val="000000"/>
          <w:lang w:eastAsia="es-CO"/>
        </w:rPr>
      </w:pPr>
    </w:p>
    <w:p w14:paraId="40E7B9DA" w14:textId="77777777" w:rsidR="00CC37D6" w:rsidRPr="00A713E3" w:rsidRDefault="00CC37D6" w:rsidP="00CC37D6">
      <w:pPr>
        <w:spacing w:after="3" w:line="228" w:lineRule="auto"/>
        <w:ind w:right="14"/>
        <w:jc w:val="both"/>
        <w:rPr>
          <w:rFonts w:ascii="Arial" w:eastAsia="Calibri" w:hAnsi="Arial" w:cs="Arial"/>
          <w:color w:val="000000"/>
          <w:lang w:eastAsia="es-CO"/>
        </w:rPr>
      </w:pPr>
      <w:r w:rsidRPr="00A713E3">
        <w:rPr>
          <w:rFonts w:ascii="Arial" w:eastAsia="Calibri" w:hAnsi="Arial" w:cs="Arial"/>
          <w:color w:val="000000"/>
          <w:lang w:eastAsia="es-CO"/>
        </w:rPr>
        <w:t xml:space="preserve">Este plan tiene como base ejercicios de modelación de escenarios bajo supuestos, que permiten comparar y entender los efectos que tiene el retiro de entidades en cada territorio. </w:t>
      </w:r>
    </w:p>
    <w:p w14:paraId="14D1C726" w14:textId="77777777" w:rsidR="00CC37D6" w:rsidRDefault="00CC37D6" w:rsidP="00CC37D6">
      <w:pPr>
        <w:spacing w:after="3" w:line="228" w:lineRule="auto"/>
        <w:ind w:right="14"/>
        <w:jc w:val="both"/>
        <w:rPr>
          <w:rFonts w:ascii="Arial" w:eastAsia="Calibri" w:hAnsi="Arial" w:cs="Arial"/>
          <w:color w:val="000000"/>
          <w:lang w:eastAsia="es-CO"/>
        </w:rPr>
      </w:pPr>
      <w:r w:rsidRPr="00A713E3">
        <w:rPr>
          <w:rFonts w:ascii="Arial" w:eastAsia="Calibri" w:hAnsi="Arial" w:cs="Arial"/>
          <w:color w:val="000000"/>
          <w:lang w:eastAsia="es-CO"/>
        </w:rPr>
        <w:t xml:space="preserve">La metodología busca la simplificación del análisis a partir de la consolidación de información cuantitativa de la situación de las EPS. Así mismo, permite tener una visión general del comportamiento, convirtiéndose en un instrumento para la toma de decisiones. </w:t>
      </w:r>
    </w:p>
    <w:p w14:paraId="4ED1C64F" w14:textId="77777777" w:rsidR="00CC37D6" w:rsidRDefault="00CC37D6" w:rsidP="00CC37D6">
      <w:pPr>
        <w:spacing w:after="3" w:line="228" w:lineRule="auto"/>
        <w:ind w:right="14"/>
        <w:jc w:val="both"/>
        <w:rPr>
          <w:rFonts w:ascii="Arial" w:eastAsia="Calibri" w:hAnsi="Arial" w:cs="Arial"/>
          <w:color w:val="000000"/>
          <w:lang w:eastAsia="es-CO"/>
        </w:rPr>
      </w:pPr>
      <w:r w:rsidRPr="00A713E3">
        <w:rPr>
          <w:rFonts w:ascii="Arial" w:eastAsia="Calibri" w:hAnsi="Arial" w:cs="Arial"/>
          <w:color w:val="000000"/>
          <w:lang w:eastAsia="es-CO"/>
        </w:rPr>
        <w:t>Adicionalmente, cabe anotar que este es un análisis no solo del cumplimiento de normas, tanto financieras como en salud, sino que a su vez refleja qué tan distantes están las entidades de poder cumplir o realizar una buena gestión del riesgo.</w:t>
      </w:r>
    </w:p>
    <w:p w14:paraId="60B1A5CE" w14:textId="77777777" w:rsidR="00CC37D6" w:rsidRPr="00A713E3" w:rsidRDefault="00CC37D6" w:rsidP="00CC37D6">
      <w:pPr>
        <w:spacing w:after="3" w:line="228" w:lineRule="auto"/>
        <w:ind w:right="14"/>
        <w:jc w:val="both"/>
        <w:rPr>
          <w:rFonts w:ascii="Arial" w:eastAsia="Calibri" w:hAnsi="Arial" w:cs="Arial"/>
          <w:color w:val="000000"/>
          <w:lang w:eastAsia="es-CO"/>
        </w:rPr>
      </w:pPr>
      <w:r w:rsidRPr="00A713E3">
        <w:rPr>
          <w:rFonts w:ascii="Arial" w:eastAsia="Calibri" w:hAnsi="Arial" w:cs="Arial"/>
          <w:color w:val="000000"/>
          <w:lang w:eastAsia="es-CO"/>
        </w:rPr>
        <w:t xml:space="preserve"> </w:t>
      </w:r>
    </w:p>
    <w:p w14:paraId="612987F6" w14:textId="673B5DB6" w:rsidR="00CC37D6" w:rsidRDefault="00D57A1D" w:rsidP="00CC37D6">
      <w:pPr>
        <w:spacing w:after="3" w:line="228" w:lineRule="auto"/>
        <w:ind w:right="14"/>
        <w:jc w:val="both"/>
        <w:rPr>
          <w:rFonts w:ascii="Arial" w:eastAsia="Calibri" w:hAnsi="Arial" w:cs="Arial"/>
          <w:color w:val="000000"/>
          <w:lang w:eastAsia="es-CO"/>
        </w:rPr>
      </w:pPr>
      <w:r>
        <w:rPr>
          <w:rFonts w:ascii="Arial" w:eastAsia="Calibri" w:hAnsi="Arial" w:cs="Arial"/>
          <w:color w:val="000000"/>
          <w:lang w:eastAsia="es-CO"/>
        </w:rPr>
        <w:t>En línea con lo anterior</w:t>
      </w:r>
      <w:r w:rsidR="00CC37D6" w:rsidRPr="00A713E3">
        <w:rPr>
          <w:rFonts w:ascii="Arial" w:eastAsia="Calibri" w:hAnsi="Arial" w:cs="Arial"/>
          <w:color w:val="000000"/>
          <w:lang w:eastAsia="es-CO"/>
        </w:rPr>
        <w:t xml:space="preserve">, al momento de tomar decisiones la </w:t>
      </w:r>
      <w:r w:rsidR="00213564">
        <w:rPr>
          <w:rFonts w:ascii="Arial" w:eastAsia="Calibri" w:hAnsi="Arial" w:cs="Arial"/>
          <w:color w:val="000000"/>
          <w:lang w:eastAsia="es-CO"/>
        </w:rPr>
        <w:t>S</w:t>
      </w:r>
      <w:r w:rsidR="00CC37D6" w:rsidRPr="00A713E3">
        <w:rPr>
          <w:rFonts w:ascii="Arial" w:eastAsia="Calibri" w:hAnsi="Arial" w:cs="Arial"/>
          <w:color w:val="000000"/>
          <w:lang w:eastAsia="es-CO"/>
        </w:rPr>
        <w:t xml:space="preserve">uperintendencia analiza </w:t>
      </w:r>
      <w:r w:rsidR="00CC37D6">
        <w:rPr>
          <w:rFonts w:ascii="Arial" w:eastAsia="Calibri" w:hAnsi="Arial" w:cs="Arial"/>
          <w:color w:val="000000"/>
          <w:lang w:eastAsia="es-CO"/>
        </w:rPr>
        <w:t xml:space="preserve">varios aspectos como los indicados </w:t>
      </w:r>
      <w:r w:rsidR="00CC37D6" w:rsidRPr="00A713E3">
        <w:rPr>
          <w:rFonts w:ascii="Arial" w:eastAsia="Calibri" w:hAnsi="Arial" w:cs="Arial"/>
          <w:color w:val="000000"/>
          <w:lang w:eastAsia="es-CO"/>
        </w:rPr>
        <w:t>y el incumplimiento de órdenes impartidas por esta entidad de inspección, vigilancia y control.</w:t>
      </w:r>
      <w:r>
        <w:rPr>
          <w:rFonts w:ascii="Arial" w:eastAsia="Calibri" w:hAnsi="Arial" w:cs="Arial"/>
          <w:color w:val="000000"/>
          <w:lang w:eastAsia="es-CO"/>
        </w:rPr>
        <w:t xml:space="preserve"> En esa medida</w:t>
      </w:r>
      <w:r w:rsidR="00CC37D6" w:rsidRPr="00A713E3">
        <w:rPr>
          <w:rFonts w:ascii="Arial" w:eastAsia="Calibri" w:hAnsi="Arial" w:cs="Arial"/>
          <w:color w:val="000000"/>
          <w:lang w:eastAsia="es-CO"/>
        </w:rPr>
        <w:t xml:space="preserve">, no es posible estandarizar o unificar el término para determinar la </w:t>
      </w:r>
      <w:r w:rsidR="00CC37D6">
        <w:rPr>
          <w:rFonts w:ascii="Arial" w:eastAsia="Calibri" w:hAnsi="Arial" w:cs="Arial"/>
          <w:color w:val="000000"/>
          <w:lang w:eastAsia="es-CO"/>
        </w:rPr>
        <w:t xml:space="preserve">adopción de una medida, </w:t>
      </w:r>
      <w:r w:rsidR="00CC37D6" w:rsidRPr="00A713E3">
        <w:rPr>
          <w:rFonts w:ascii="Arial" w:eastAsia="Calibri" w:hAnsi="Arial" w:cs="Arial"/>
          <w:color w:val="000000"/>
          <w:lang w:eastAsia="es-CO"/>
        </w:rPr>
        <w:t>toda vez que cada una de ellas debe atender a las condiciones particulares de las entidades vigiladas, según los criterios previamente expuestos</w:t>
      </w:r>
      <w:r w:rsidR="00CC37D6">
        <w:rPr>
          <w:rFonts w:ascii="Arial" w:eastAsia="Calibri" w:hAnsi="Arial" w:cs="Arial"/>
          <w:color w:val="000000"/>
          <w:lang w:eastAsia="es-CO"/>
        </w:rPr>
        <w:t xml:space="preserve"> y la posibilidad de decretar simultáneamente, incluso, varios instrumentos de salvamento como lo permite el artículo 68 de la Ley 1753 de 2015.</w:t>
      </w:r>
    </w:p>
    <w:p w14:paraId="2108B57C" w14:textId="662712D0" w:rsidR="00F70837" w:rsidRDefault="00F70837" w:rsidP="00CC37D6">
      <w:pPr>
        <w:spacing w:after="3" w:line="228" w:lineRule="auto"/>
        <w:ind w:right="14"/>
        <w:jc w:val="both"/>
        <w:rPr>
          <w:rFonts w:ascii="Arial" w:eastAsia="Calibri" w:hAnsi="Arial" w:cs="Arial"/>
          <w:color w:val="000000"/>
          <w:lang w:eastAsia="es-CO"/>
        </w:rPr>
      </w:pPr>
    </w:p>
    <w:p w14:paraId="7F983F86" w14:textId="3EE57372" w:rsidR="00F70837" w:rsidRDefault="00AA7454" w:rsidP="00F70837">
      <w:pPr>
        <w:spacing w:after="3" w:line="228" w:lineRule="auto"/>
        <w:ind w:right="14"/>
        <w:jc w:val="both"/>
        <w:rPr>
          <w:rFonts w:ascii="Arial" w:eastAsia="Calibri" w:hAnsi="Arial" w:cs="Arial"/>
          <w:color w:val="000000"/>
          <w:lang w:eastAsia="es-CO"/>
        </w:rPr>
      </w:pPr>
      <w:r>
        <w:rPr>
          <w:rFonts w:ascii="Arial" w:eastAsia="Calibri" w:hAnsi="Arial" w:cs="Arial"/>
          <w:color w:val="000000"/>
          <w:lang w:eastAsia="es-CO"/>
        </w:rPr>
        <w:t>Aclarados estos puntos sobre la dificultad en la toma decisiones</w:t>
      </w:r>
      <w:r w:rsidR="00F70837">
        <w:rPr>
          <w:rFonts w:ascii="Arial" w:eastAsia="Calibri" w:hAnsi="Arial" w:cs="Arial"/>
          <w:color w:val="000000"/>
          <w:lang w:eastAsia="es-CO"/>
        </w:rPr>
        <w:t>,</w:t>
      </w:r>
      <w:r>
        <w:rPr>
          <w:rFonts w:ascii="Arial" w:eastAsia="Calibri" w:hAnsi="Arial" w:cs="Arial"/>
          <w:color w:val="000000"/>
          <w:lang w:eastAsia="es-CO"/>
        </w:rPr>
        <w:t xml:space="preserve"> conviene detenerse en</w:t>
      </w:r>
      <w:r w:rsidR="00F70837">
        <w:rPr>
          <w:rFonts w:ascii="Arial" w:eastAsia="Calibri" w:hAnsi="Arial" w:cs="Arial"/>
          <w:color w:val="000000"/>
          <w:lang w:eastAsia="es-CO"/>
        </w:rPr>
        <w:t xml:space="preserve"> los procesos</w:t>
      </w:r>
      <w:r>
        <w:rPr>
          <w:rFonts w:ascii="Arial" w:eastAsia="Calibri" w:hAnsi="Arial" w:cs="Arial"/>
          <w:color w:val="000000"/>
          <w:lang w:eastAsia="es-CO"/>
        </w:rPr>
        <w:t xml:space="preserve"> o planes</w:t>
      </w:r>
      <w:r w:rsidR="00F70837">
        <w:rPr>
          <w:rFonts w:ascii="Arial" w:eastAsia="Calibri" w:hAnsi="Arial" w:cs="Arial"/>
          <w:color w:val="000000"/>
          <w:lang w:eastAsia="es-CO"/>
        </w:rPr>
        <w:t xml:space="preserve"> de reorganización</w:t>
      </w:r>
      <w:r>
        <w:rPr>
          <w:rFonts w:ascii="Arial" w:eastAsia="Calibri" w:hAnsi="Arial" w:cs="Arial"/>
          <w:color w:val="000000"/>
          <w:lang w:eastAsia="es-CO"/>
        </w:rPr>
        <w:t>. Y es que, estos no son adelantados oficiosamente por la Superintendencia y son una iniciativa exclusiva de la EPS a través de</w:t>
      </w:r>
      <w:r w:rsidR="00F70837">
        <w:rPr>
          <w:rFonts w:ascii="Arial" w:eastAsia="Calibri" w:hAnsi="Arial" w:cs="Arial"/>
          <w:color w:val="000000"/>
          <w:lang w:eastAsia="es-CO"/>
        </w:rPr>
        <w:t xml:space="preserve"> un trámite individual en el que se les permite a las EPS presentar o desistir de su presentación cuando lo estimen, si esto sucede, la Superintendencia debe comenzar desde cero con la tramitación del mismo y la emisión de un acto administrativo conforme al nuevo contenido de la propuesta de reorganización. </w:t>
      </w:r>
    </w:p>
    <w:p w14:paraId="0EC9F45D" w14:textId="77777777" w:rsidR="00F70837" w:rsidRPr="00C90446" w:rsidRDefault="00F70837" w:rsidP="00F70837">
      <w:pPr>
        <w:spacing w:after="3" w:line="228" w:lineRule="auto"/>
        <w:ind w:right="14"/>
        <w:jc w:val="both"/>
        <w:rPr>
          <w:rFonts w:ascii="Arial" w:eastAsia="Calibri" w:hAnsi="Arial" w:cs="Arial"/>
          <w:color w:val="000000" w:themeColor="text1"/>
          <w:lang w:eastAsia="es-CO"/>
        </w:rPr>
      </w:pPr>
    </w:p>
    <w:p w14:paraId="74B050D9" w14:textId="33E2B6D0" w:rsidR="00F70837" w:rsidRPr="00A53FAD" w:rsidRDefault="00B12BD7" w:rsidP="00F70837">
      <w:pPr>
        <w:spacing w:after="3" w:line="228" w:lineRule="auto"/>
        <w:ind w:right="14"/>
        <w:jc w:val="both"/>
        <w:rPr>
          <w:rFonts w:ascii="Arial" w:eastAsia="Calibri" w:hAnsi="Arial" w:cs="Arial"/>
          <w:color w:val="000000" w:themeColor="text1"/>
          <w:lang w:eastAsia="es-CO"/>
        </w:rPr>
      </w:pPr>
      <w:r w:rsidRPr="005D37EC">
        <w:rPr>
          <w:rFonts w:ascii="Arial" w:eastAsia="Calibri" w:hAnsi="Arial" w:cs="Arial"/>
          <w:color w:val="000000" w:themeColor="text1"/>
          <w:lang w:eastAsia="es-CO"/>
        </w:rPr>
        <w:t>Visto lo anterior</w:t>
      </w:r>
      <w:r w:rsidR="00F70837" w:rsidRPr="005D37EC">
        <w:rPr>
          <w:rFonts w:ascii="Arial" w:eastAsia="Calibri" w:hAnsi="Arial" w:cs="Arial"/>
          <w:color w:val="000000" w:themeColor="text1"/>
          <w:lang w:eastAsia="es-CO"/>
        </w:rPr>
        <w:t>,</w:t>
      </w:r>
      <w:r w:rsidR="00A53FAD" w:rsidRPr="00A53FAD">
        <w:rPr>
          <w:rFonts w:ascii="Arial" w:eastAsia="Calibri" w:hAnsi="Arial" w:cs="Arial"/>
          <w:color w:val="000000" w:themeColor="text1"/>
          <w:lang w:eastAsia="es-CO"/>
        </w:rPr>
        <w:t xml:space="preserve"> como el trámite depende de la iniciativa y disposición de la EPS para el cumplimiento de los requisitos necesarios, </w:t>
      </w:r>
      <w:r w:rsidR="00F70837" w:rsidRPr="00A53FAD">
        <w:rPr>
          <w:rFonts w:ascii="Arial" w:eastAsia="Calibri" w:hAnsi="Arial" w:cs="Arial"/>
          <w:color w:val="000000" w:themeColor="text1"/>
          <w:lang w:eastAsia="es-CO"/>
        </w:rPr>
        <w:t>en el trámite de los procesos de reorganización no está prevista la posibilidad de emitir algún ultimátum o apremio para la toma de la decisión. Se trata, al contrario, de los requerimientos para el cumplimiento de requisitos que cualquier autoridad administrativa</w:t>
      </w:r>
      <w:r w:rsidR="00F70837" w:rsidRPr="006E2526">
        <w:rPr>
          <w:rFonts w:ascii="Arial" w:hAnsi="Arial" w:cs="Arial"/>
          <w:color w:val="000000" w:themeColor="text1"/>
          <w:spacing w:val="4"/>
          <w:shd w:val="clear" w:color="auto" w:fill="FFFFFF"/>
        </w:rPr>
        <w:t xml:space="preserve"> </w:t>
      </w:r>
      <w:r w:rsidR="00213564">
        <w:rPr>
          <w:rFonts w:ascii="Arial" w:hAnsi="Arial" w:cs="Arial"/>
          <w:color w:val="000000" w:themeColor="text1"/>
          <w:spacing w:val="4"/>
          <w:shd w:val="clear" w:color="auto" w:fill="FFFFFF"/>
        </w:rPr>
        <w:t>-</w:t>
      </w:r>
      <w:r w:rsidR="00F70837" w:rsidRPr="006E2526">
        <w:rPr>
          <w:rFonts w:ascii="Arial" w:hAnsi="Arial" w:cs="Arial"/>
          <w:color w:val="000000" w:themeColor="text1"/>
          <w:spacing w:val="4"/>
          <w:shd w:val="clear" w:color="auto" w:fill="FFFFFF"/>
        </w:rPr>
        <w:t>y no solo la Superintendencia</w:t>
      </w:r>
      <w:r w:rsidR="00213564">
        <w:rPr>
          <w:rFonts w:ascii="Arial" w:hAnsi="Arial" w:cs="Arial"/>
          <w:color w:val="000000" w:themeColor="text1"/>
          <w:spacing w:val="4"/>
          <w:shd w:val="clear" w:color="auto" w:fill="FFFFFF"/>
        </w:rPr>
        <w:t>-</w:t>
      </w:r>
      <w:r w:rsidR="00F70837" w:rsidRPr="005D37EC">
        <w:rPr>
          <w:rFonts w:ascii="Arial" w:eastAsia="Calibri" w:hAnsi="Arial" w:cs="Arial"/>
          <w:color w:val="000000" w:themeColor="text1"/>
          <w:lang w:eastAsia="es-CO"/>
        </w:rPr>
        <w:t xml:space="preserve"> puede </w:t>
      </w:r>
      <w:r w:rsidR="00F70837" w:rsidRPr="00A53FAD">
        <w:rPr>
          <w:rFonts w:ascii="Arial" w:eastAsia="Calibri" w:hAnsi="Arial" w:cs="Arial"/>
          <w:color w:val="000000" w:themeColor="text1"/>
          <w:lang w:eastAsia="es-CO"/>
        </w:rPr>
        <w:t xml:space="preserve">emitir en virtud del artículo 17 de la Ley 1437 de 2011 como un requisito previo para adoptar un acto de autorización. </w:t>
      </w:r>
    </w:p>
    <w:p w14:paraId="179486B8" w14:textId="380105B4" w:rsidR="00F913D1" w:rsidRDefault="00F913D1" w:rsidP="001B0240">
      <w:pPr>
        <w:pStyle w:val="xxmsonormal"/>
        <w:shd w:val="clear" w:color="auto" w:fill="FFFFFF"/>
        <w:spacing w:before="0" w:beforeAutospacing="0" w:after="0" w:afterAutospacing="0"/>
        <w:jc w:val="both"/>
        <w:rPr>
          <w:rFonts w:ascii="Arial" w:hAnsi="Arial" w:cs="Arial"/>
          <w:b/>
          <w:bCs/>
          <w:color w:val="201F1E"/>
          <w:sz w:val="22"/>
          <w:szCs w:val="22"/>
          <w:bdr w:val="none" w:sz="0" w:space="0" w:color="auto" w:frame="1"/>
          <w:shd w:val="clear" w:color="auto" w:fill="FFFF00"/>
          <w:lang w:val="es-ES"/>
        </w:rPr>
      </w:pPr>
    </w:p>
    <w:p w14:paraId="227EA459" w14:textId="7EDFA138" w:rsidR="001B0240" w:rsidRPr="00C31D64"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lastRenderedPageBreak/>
        <w:t>8. ¿Cuáles otras EPS se encuentran en riesgo igual o superior a Comparta EPS? De igual manera</w:t>
      </w:r>
      <w:r w:rsidR="000953D5" w:rsidRPr="00C31D64">
        <w:rPr>
          <w:rFonts w:ascii="Arial" w:hAnsi="Arial" w:cs="Arial"/>
          <w:b/>
          <w:bCs/>
          <w:color w:val="201F1E"/>
          <w:sz w:val="22"/>
          <w:szCs w:val="22"/>
          <w:bdr w:val="none" w:sz="0" w:space="0" w:color="auto" w:frame="1"/>
          <w:lang w:val="es-ES"/>
        </w:rPr>
        <w:t>,</w:t>
      </w:r>
      <w:r w:rsidRPr="00C31D64">
        <w:rPr>
          <w:rFonts w:ascii="Arial" w:hAnsi="Arial" w:cs="Arial"/>
          <w:b/>
          <w:bCs/>
          <w:color w:val="201F1E"/>
          <w:sz w:val="22"/>
          <w:szCs w:val="22"/>
          <w:bdr w:val="none" w:sz="0" w:space="0" w:color="auto" w:frame="1"/>
          <w:lang w:val="es-ES"/>
        </w:rPr>
        <w:t xml:space="preserve"> informe en qué estado se encuentran las siguientes EPS: </w:t>
      </w:r>
      <w:r w:rsidR="003D53F5" w:rsidRPr="00C31D64">
        <w:rPr>
          <w:rFonts w:ascii="Arial" w:hAnsi="Arial" w:cs="Arial"/>
          <w:b/>
          <w:bCs/>
          <w:color w:val="201F1E"/>
          <w:sz w:val="22"/>
          <w:szCs w:val="22"/>
          <w:bdr w:val="none" w:sz="0" w:space="0" w:color="auto" w:frame="1"/>
          <w:lang w:val="es-ES"/>
        </w:rPr>
        <w:t>Asmet salud</w:t>
      </w:r>
      <w:r w:rsidRPr="00C31D64">
        <w:rPr>
          <w:rFonts w:ascii="Arial" w:hAnsi="Arial" w:cs="Arial"/>
          <w:b/>
          <w:bCs/>
          <w:color w:val="201F1E"/>
          <w:sz w:val="22"/>
          <w:szCs w:val="22"/>
          <w:bdr w:val="none" w:sz="0" w:space="0" w:color="auto" w:frame="1"/>
          <w:lang w:val="es-ES"/>
        </w:rPr>
        <w:t>, Ecoopsos, Coomeva, Medimás, Comfamiliar Huila.</w:t>
      </w:r>
    </w:p>
    <w:p w14:paraId="0B86B245" w14:textId="1B8C1086" w:rsidR="00F913D1"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bdr w:val="none" w:sz="0" w:space="0" w:color="auto" w:frame="1"/>
          <w:shd w:val="clear" w:color="auto" w:fill="FFFF00"/>
          <w:lang w:val="es-ES"/>
        </w:rPr>
      </w:pPr>
      <w:r w:rsidRPr="001B0240">
        <w:rPr>
          <w:rFonts w:ascii="Arial" w:hAnsi="Arial" w:cs="Arial"/>
          <w:color w:val="201F1E"/>
          <w:sz w:val="22"/>
          <w:szCs w:val="22"/>
          <w:bdr w:val="none" w:sz="0" w:space="0" w:color="auto" w:frame="1"/>
          <w:lang w:val="es-ES"/>
        </w:rPr>
        <w:t> </w:t>
      </w:r>
    </w:p>
    <w:p w14:paraId="4F629F59" w14:textId="6C6B1038" w:rsidR="00BB5BA3" w:rsidRPr="00BB5BA3" w:rsidRDefault="00BB5BA3" w:rsidP="00BB5BA3">
      <w:pPr>
        <w:spacing w:after="0" w:line="240" w:lineRule="auto"/>
        <w:jc w:val="both"/>
        <w:rPr>
          <w:rFonts w:ascii="Arial" w:hAnsi="Arial" w:cs="Arial"/>
          <w:lang w:eastAsia="es-CO"/>
        </w:rPr>
      </w:pPr>
      <w:r w:rsidRPr="00BB5BA3">
        <w:rPr>
          <w:rFonts w:ascii="Arial" w:hAnsi="Arial" w:cs="Arial"/>
          <w:lang w:eastAsia="es-CO"/>
        </w:rPr>
        <w:t>En cuanto a la toma de decisiones y análisis de la situación de riesgo de las EPS, se considera necesario aclarar que el Comité de Medidas Especiales antes de sugerirle una medida al Superintendente Nacional de Salud, cuenta con diferentes insumos, herramientas e información para la toma de decisiones de control, tales como: i) análisis de la información de fuentes disponibles, ii) resultados y hallazgos de las auditor</w:t>
      </w:r>
      <w:r w:rsidR="008C4CCA">
        <w:rPr>
          <w:rFonts w:ascii="Arial" w:hAnsi="Arial" w:cs="Arial"/>
          <w:lang w:eastAsia="es-CO"/>
        </w:rPr>
        <w:t>í</w:t>
      </w:r>
      <w:r w:rsidRPr="00BB5BA3">
        <w:rPr>
          <w:rFonts w:ascii="Arial" w:hAnsi="Arial" w:cs="Arial"/>
          <w:lang w:eastAsia="es-CO"/>
        </w:rPr>
        <w:t xml:space="preserve">as, iii) informes de los contralores, iv) resultados de otras acciones de vigilancia e inspección encaminadas a la verificación del cumplimiento de la normatividad vigente y de la gestión del riesgo, v) las acciones. Respecto a las acciones que hacen las entidades para subsanar los problemas, incumplimientos y controlar los riesgos latentes, allí cobra mucha relevancia la intención y garantía de la capitalización de recursos y del cambio en el modelo de atención en salud. </w:t>
      </w:r>
    </w:p>
    <w:p w14:paraId="1587F007" w14:textId="77777777" w:rsidR="00BB5BA3" w:rsidRPr="00BB5BA3" w:rsidRDefault="00BB5BA3" w:rsidP="00BB5BA3">
      <w:pPr>
        <w:spacing w:after="0" w:line="240" w:lineRule="auto"/>
        <w:jc w:val="both"/>
        <w:rPr>
          <w:rFonts w:ascii="Arial" w:hAnsi="Arial" w:cs="Arial"/>
          <w:lang w:eastAsia="es-CO"/>
        </w:rPr>
      </w:pPr>
    </w:p>
    <w:p w14:paraId="1B0FF617" w14:textId="7CB7BE69" w:rsidR="00BB5BA3" w:rsidRPr="00BB5BA3" w:rsidRDefault="00BB5BA3" w:rsidP="00BB5BA3">
      <w:pPr>
        <w:spacing w:after="0" w:line="240" w:lineRule="auto"/>
        <w:jc w:val="both"/>
        <w:rPr>
          <w:rFonts w:ascii="Arial" w:eastAsia="Times New Roman" w:hAnsi="Arial" w:cs="Arial"/>
          <w:lang w:eastAsia="es-CO"/>
        </w:rPr>
      </w:pPr>
      <w:r w:rsidRPr="00BB5BA3">
        <w:rPr>
          <w:rFonts w:ascii="Arial" w:hAnsi="Arial" w:cs="Arial"/>
          <w:lang w:eastAsia="es-CO"/>
        </w:rPr>
        <w:t>Por otra parte, se señala que el riesgo latente que se le materializó a l</w:t>
      </w:r>
      <w:r>
        <w:rPr>
          <w:rFonts w:ascii="Arial" w:hAnsi="Arial" w:cs="Arial"/>
          <w:lang w:eastAsia="es-CO"/>
        </w:rPr>
        <w:t>a</w:t>
      </w:r>
      <w:r w:rsidRPr="00BB5BA3">
        <w:rPr>
          <w:rFonts w:ascii="Arial" w:hAnsi="Arial" w:cs="Arial"/>
          <w:lang w:eastAsia="es-CO"/>
        </w:rPr>
        <w:t xml:space="preserve"> EPS </w:t>
      </w:r>
      <w:r>
        <w:rPr>
          <w:rFonts w:ascii="Arial" w:hAnsi="Arial" w:cs="Arial"/>
          <w:lang w:eastAsia="es-CO"/>
        </w:rPr>
        <w:t xml:space="preserve">Comparta </w:t>
      </w:r>
      <w:r w:rsidRPr="00BB5BA3">
        <w:rPr>
          <w:rFonts w:ascii="Arial" w:hAnsi="Arial" w:cs="Arial"/>
          <w:lang w:eastAsia="es-CO"/>
        </w:rPr>
        <w:t xml:space="preserve">está en el componente financiero. </w:t>
      </w:r>
      <w:r w:rsidRPr="00BB5BA3">
        <w:rPr>
          <w:rFonts w:ascii="Arial" w:hAnsi="Arial" w:cs="Arial"/>
          <w:lang w:val="es-MX" w:eastAsia="es-CO"/>
        </w:rPr>
        <w:t>El defecto de capital mínimo ($433 mil millones) es 16 veces el inicial y el defecto de patrimonio adecuado es 4,5 veces su margen de solvencia. No hay otra EPS activa con un deterioro de más de 16 veces al defecto inicial</w:t>
      </w:r>
      <w:r w:rsidRPr="003D53F5">
        <w:rPr>
          <w:rFonts w:ascii="Arial" w:hAnsi="Arial" w:cs="Arial"/>
          <w:lang w:val="es-MX" w:eastAsia="es-CO"/>
        </w:rPr>
        <w:t>; entre</w:t>
      </w:r>
      <w:r w:rsidRPr="003D53F5">
        <w:rPr>
          <w:rFonts w:ascii="Arial" w:eastAsia="Times New Roman" w:hAnsi="Arial" w:cs="Arial"/>
          <w:lang w:eastAsia="es-CO"/>
        </w:rPr>
        <w:t xml:space="preserve"> diciembre de 2018</w:t>
      </w:r>
      <w:r w:rsidR="00F67601">
        <w:rPr>
          <w:rFonts w:ascii="Arial" w:eastAsia="Times New Roman" w:hAnsi="Arial" w:cs="Arial"/>
          <w:lang w:eastAsia="es-CO"/>
        </w:rPr>
        <w:t xml:space="preserve"> y abril de 2021</w:t>
      </w:r>
      <w:r w:rsidRPr="00BB5BA3">
        <w:rPr>
          <w:rFonts w:ascii="Arial" w:eastAsia="Times New Roman" w:hAnsi="Arial" w:cs="Arial"/>
          <w:lang w:eastAsia="es-CO"/>
        </w:rPr>
        <w:t xml:space="preserve"> Comparta fue la entidad con el mayor detrimento patrimonial, pasó de tener un patrimonio de </w:t>
      </w:r>
      <w:r w:rsidR="008C4CCA">
        <w:rPr>
          <w:rFonts w:ascii="Arial" w:eastAsia="Times New Roman" w:hAnsi="Arial" w:cs="Arial"/>
          <w:lang w:eastAsia="es-CO"/>
        </w:rPr>
        <w:t>$</w:t>
      </w:r>
      <w:r w:rsidRPr="00BB5BA3">
        <w:rPr>
          <w:rFonts w:ascii="Arial" w:eastAsia="Times New Roman" w:hAnsi="Arial" w:cs="Arial"/>
          <w:lang w:eastAsia="es-CO"/>
        </w:rPr>
        <w:t xml:space="preserve">69,7 mil millones a uno negativo </w:t>
      </w:r>
      <w:r w:rsidR="008C4CCA">
        <w:rPr>
          <w:rFonts w:ascii="Arial" w:eastAsia="Times New Roman" w:hAnsi="Arial" w:cs="Arial"/>
          <w:lang w:eastAsia="es-CO"/>
        </w:rPr>
        <w:t>de</w:t>
      </w:r>
      <w:r w:rsidRPr="00BB5BA3">
        <w:rPr>
          <w:rFonts w:ascii="Arial" w:eastAsia="Times New Roman" w:hAnsi="Arial" w:cs="Arial"/>
          <w:lang w:eastAsia="es-CO"/>
        </w:rPr>
        <w:t xml:space="preserve"> </w:t>
      </w:r>
      <w:r w:rsidR="008C4CCA">
        <w:rPr>
          <w:rFonts w:ascii="Arial" w:eastAsia="Times New Roman" w:hAnsi="Arial" w:cs="Arial"/>
          <w:lang w:eastAsia="es-CO"/>
        </w:rPr>
        <w:t>-$</w:t>
      </w:r>
      <w:r w:rsidRPr="00BB5BA3">
        <w:rPr>
          <w:rFonts w:ascii="Arial" w:eastAsia="Times New Roman" w:hAnsi="Arial" w:cs="Arial"/>
          <w:lang w:eastAsia="es-CO"/>
        </w:rPr>
        <w:t>479,6 mil millones, lo que implica una variación patrimonial de -787%. Por otra parte, en cuanto a la liquidez, el indicador de disponible sobre activos muestra que también fue la entidad que registró la mayor caída, pasando de 35,9% a 12,3%</w:t>
      </w:r>
      <w:r w:rsidR="00F67601" w:rsidRPr="00F67601">
        <w:rPr>
          <w:rFonts w:ascii="Arial" w:eastAsia="Times New Roman" w:hAnsi="Arial" w:cs="Arial"/>
          <w:lang w:eastAsia="es-CO"/>
        </w:rPr>
        <w:t xml:space="preserve"> </w:t>
      </w:r>
      <w:r w:rsidR="00F67601">
        <w:rPr>
          <w:rFonts w:ascii="Arial" w:eastAsia="Times New Roman" w:hAnsi="Arial" w:cs="Arial"/>
          <w:lang w:eastAsia="es-CO"/>
        </w:rPr>
        <w:t>en este mismo periodo analizado</w:t>
      </w:r>
      <w:r w:rsidR="00F67601" w:rsidRPr="00BB5BA3">
        <w:rPr>
          <w:rFonts w:ascii="Arial" w:eastAsia="Times New Roman" w:hAnsi="Arial" w:cs="Arial"/>
          <w:lang w:eastAsia="es-CO"/>
        </w:rPr>
        <w:t>.</w:t>
      </w:r>
    </w:p>
    <w:p w14:paraId="4E609703" w14:textId="77777777" w:rsidR="00BB5BA3" w:rsidRPr="00BB5BA3" w:rsidRDefault="00BB5BA3" w:rsidP="00BB5BA3">
      <w:pPr>
        <w:spacing w:after="0" w:line="240" w:lineRule="auto"/>
        <w:jc w:val="both"/>
        <w:rPr>
          <w:rFonts w:ascii="Arial" w:eastAsia="Times New Roman" w:hAnsi="Arial" w:cs="Arial"/>
          <w:lang w:eastAsia="es-CO"/>
        </w:rPr>
      </w:pPr>
    </w:p>
    <w:p w14:paraId="6A8E32F1" w14:textId="625A17EC" w:rsidR="00BB5BA3" w:rsidRPr="00BB5BA3" w:rsidRDefault="00BB5BA3" w:rsidP="00BB5BA3">
      <w:pPr>
        <w:spacing w:after="0" w:line="240" w:lineRule="auto"/>
        <w:jc w:val="both"/>
        <w:rPr>
          <w:rFonts w:ascii="Arial" w:eastAsia="Times New Roman" w:hAnsi="Arial" w:cs="Arial"/>
          <w:lang w:eastAsia="es-CO"/>
        </w:rPr>
      </w:pPr>
      <w:r w:rsidRPr="00BB5BA3">
        <w:rPr>
          <w:rFonts w:ascii="Arial" w:eastAsia="Times New Roman" w:hAnsi="Arial" w:cs="Arial"/>
          <w:lang w:eastAsia="es-CO"/>
        </w:rPr>
        <w:t xml:space="preserve">Adicionalmente, la red de servicios reportada por parte de la entidad demuestra grandes falencias en el cubrimiento de medicamentos, reportando </w:t>
      </w:r>
      <w:r w:rsidR="008C4CCA">
        <w:rPr>
          <w:rFonts w:ascii="Arial" w:eastAsia="Times New Roman" w:hAnsi="Arial" w:cs="Arial"/>
          <w:lang w:eastAsia="es-CO"/>
        </w:rPr>
        <w:t xml:space="preserve">apenas </w:t>
      </w:r>
      <w:r w:rsidRPr="00BB5BA3">
        <w:rPr>
          <w:rFonts w:ascii="Arial" w:eastAsia="Times New Roman" w:hAnsi="Arial" w:cs="Arial"/>
          <w:lang w:eastAsia="es-CO"/>
        </w:rPr>
        <w:t>3 contratos con cobertura para municipios del departamento del Cesar</w:t>
      </w:r>
      <w:r w:rsidR="00F75836">
        <w:rPr>
          <w:rFonts w:ascii="Arial" w:eastAsia="Times New Roman" w:hAnsi="Arial" w:cs="Arial"/>
          <w:lang w:eastAsia="es-CO"/>
        </w:rPr>
        <w:t>,</w:t>
      </w:r>
      <w:r w:rsidRPr="00BB5BA3">
        <w:rPr>
          <w:rFonts w:ascii="Arial" w:eastAsia="Times New Roman" w:hAnsi="Arial" w:cs="Arial"/>
          <w:lang w:eastAsia="es-CO"/>
        </w:rPr>
        <w:t xml:space="preserve"> únicamente. Además de no reportar contratados servicios relacionados con la atención de pacientes oncológicos (Dermatología, Oftalmología y Ortopedia Oncológica, Radioterapia y Oncología Pediátrica) y trasplante.</w:t>
      </w:r>
    </w:p>
    <w:p w14:paraId="6C45341F" w14:textId="77777777" w:rsidR="00BB5BA3" w:rsidRPr="00BB5BA3" w:rsidRDefault="00BB5BA3" w:rsidP="00BB5BA3">
      <w:pPr>
        <w:spacing w:after="0" w:line="240" w:lineRule="auto"/>
        <w:jc w:val="both"/>
        <w:rPr>
          <w:rFonts w:ascii="Arial" w:hAnsi="Arial" w:cs="Arial"/>
          <w:lang w:eastAsia="es-CO"/>
        </w:rPr>
      </w:pPr>
    </w:p>
    <w:p w14:paraId="35ED6AAB" w14:textId="07FCC2B6" w:rsidR="00BB5BA3" w:rsidRDefault="00BB5BA3" w:rsidP="00BB5BA3">
      <w:pPr>
        <w:spacing w:after="0" w:line="240" w:lineRule="auto"/>
        <w:jc w:val="both"/>
        <w:rPr>
          <w:rFonts w:ascii="Arial" w:hAnsi="Arial" w:cs="Arial"/>
          <w:lang w:eastAsia="es-CO"/>
        </w:rPr>
      </w:pPr>
      <w:r w:rsidRPr="00BB5BA3">
        <w:rPr>
          <w:rFonts w:ascii="Arial" w:hAnsi="Arial" w:cs="Arial"/>
          <w:lang w:eastAsia="es-CO"/>
        </w:rPr>
        <w:t>Este hallazgo aunado al riesgo financiero, y en el corto y mediano plazo se traduce en un riesgo para los afiliados y proveedores, tales como los siguientes:</w:t>
      </w:r>
    </w:p>
    <w:p w14:paraId="06C6704D" w14:textId="77777777" w:rsidR="00BB5BA3" w:rsidRPr="00BB5BA3" w:rsidRDefault="00BB5BA3" w:rsidP="00BB5BA3">
      <w:pPr>
        <w:spacing w:after="0" w:line="240" w:lineRule="auto"/>
        <w:jc w:val="both"/>
        <w:rPr>
          <w:rFonts w:ascii="Arial" w:hAnsi="Arial" w:cs="Arial"/>
          <w:lang w:eastAsia="es-CO"/>
        </w:rPr>
      </w:pPr>
    </w:p>
    <w:p w14:paraId="7022010D" w14:textId="21D401FB" w:rsidR="00BB5BA3" w:rsidRPr="00BB5BA3" w:rsidRDefault="00BB5BA3" w:rsidP="00BB5BA3">
      <w:pPr>
        <w:numPr>
          <w:ilvl w:val="0"/>
          <w:numId w:val="14"/>
        </w:numPr>
        <w:spacing w:after="0" w:line="240" w:lineRule="auto"/>
        <w:contextualSpacing/>
        <w:jc w:val="both"/>
        <w:rPr>
          <w:rFonts w:ascii="Arial" w:hAnsi="Arial" w:cs="Arial"/>
          <w:lang w:eastAsia="es-CO"/>
        </w:rPr>
      </w:pPr>
      <w:r w:rsidRPr="00BB5BA3">
        <w:rPr>
          <w:rFonts w:ascii="Arial" w:hAnsi="Arial" w:cs="Arial"/>
          <w:lang w:val="es-ES" w:eastAsia="es-CO"/>
        </w:rPr>
        <w:t xml:space="preserve">Razón de mortalidad materna es de 71 muertes maternas por cada 100.000 nacidos vivos, por encima del nivel nacional </w:t>
      </w:r>
      <w:r w:rsidR="008C4CCA">
        <w:rPr>
          <w:rFonts w:ascii="Arial" w:hAnsi="Arial" w:cs="Arial"/>
          <w:lang w:val="es-ES" w:eastAsia="es-CO"/>
        </w:rPr>
        <w:t xml:space="preserve">que </w:t>
      </w:r>
      <w:r w:rsidRPr="00BB5BA3">
        <w:rPr>
          <w:rFonts w:ascii="Arial" w:hAnsi="Arial" w:cs="Arial"/>
          <w:lang w:val="es-ES" w:eastAsia="es-CO"/>
        </w:rPr>
        <w:t>es de 66,1</w:t>
      </w:r>
      <w:r w:rsidR="000F7FCF">
        <w:rPr>
          <w:rFonts w:ascii="Arial" w:hAnsi="Arial" w:cs="Arial"/>
          <w:lang w:val="es-ES" w:eastAsia="es-CO"/>
        </w:rPr>
        <w:t>.</w:t>
      </w:r>
    </w:p>
    <w:p w14:paraId="638F553E" w14:textId="77777777" w:rsidR="00BB5BA3" w:rsidRPr="00BB5BA3" w:rsidRDefault="00BB5BA3" w:rsidP="00BB5BA3">
      <w:pPr>
        <w:numPr>
          <w:ilvl w:val="0"/>
          <w:numId w:val="14"/>
        </w:numPr>
        <w:spacing w:after="0" w:line="240" w:lineRule="auto"/>
        <w:contextualSpacing/>
        <w:jc w:val="both"/>
        <w:rPr>
          <w:rFonts w:ascii="Arial" w:hAnsi="Arial" w:cs="Arial"/>
          <w:lang w:eastAsia="es-CO"/>
        </w:rPr>
      </w:pPr>
      <w:r w:rsidRPr="00BB5BA3">
        <w:rPr>
          <w:rFonts w:ascii="Arial" w:hAnsi="Arial" w:cs="Arial"/>
          <w:lang w:val="es-ES" w:eastAsia="es-CO"/>
        </w:rPr>
        <w:t>La tasa de mortalidad en menores de 5 años por Infección Respiratoria Aguda (IRA) y Tasa de Mortalidad en menores de 5 años por desnutrición, Comparta supera la tasa presentada a nivel nacional, con un aumento en la brecha para el año 2020.</w:t>
      </w:r>
    </w:p>
    <w:p w14:paraId="0CC61FBE" w14:textId="3A7082F0" w:rsidR="00BB5BA3" w:rsidRPr="00BB5BA3" w:rsidRDefault="00BB5BA3" w:rsidP="00BB5BA3">
      <w:pPr>
        <w:numPr>
          <w:ilvl w:val="0"/>
          <w:numId w:val="14"/>
        </w:numPr>
        <w:spacing w:after="0" w:line="240" w:lineRule="auto"/>
        <w:contextualSpacing/>
        <w:jc w:val="both"/>
        <w:rPr>
          <w:rFonts w:ascii="Arial" w:hAnsi="Arial" w:cs="Arial"/>
          <w:lang w:eastAsia="es-CO"/>
        </w:rPr>
      </w:pPr>
      <w:r w:rsidRPr="00BB5BA3">
        <w:rPr>
          <w:rFonts w:ascii="Arial" w:hAnsi="Arial" w:cs="Arial"/>
          <w:lang w:val="es-ES" w:eastAsia="es-CO"/>
        </w:rPr>
        <w:t>Deficiencias en las actividades para la detección temprana del cáncer de mama; entre el 2018</w:t>
      </w:r>
      <w:r w:rsidR="008C4CCA">
        <w:rPr>
          <w:rFonts w:ascii="Arial" w:hAnsi="Arial" w:cs="Arial"/>
          <w:lang w:val="es-ES" w:eastAsia="es-CO"/>
        </w:rPr>
        <w:t xml:space="preserve"> </w:t>
      </w:r>
      <w:r w:rsidRPr="00BB5BA3">
        <w:rPr>
          <w:rFonts w:ascii="Arial" w:hAnsi="Arial" w:cs="Arial"/>
          <w:lang w:val="es-ES" w:eastAsia="es-CO"/>
        </w:rPr>
        <w:t>y 2020, la proporción de mujeres a quienes se les realiza la mamografía se encuentra por debajo del 10%, mientras que a nivel nacional se supera el 20% desde el año 2019.</w:t>
      </w:r>
    </w:p>
    <w:p w14:paraId="27BC64F0" w14:textId="77777777" w:rsidR="00BB5BA3" w:rsidRPr="00BB5BA3" w:rsidRDefault="00BB5BA3" w:rsidP="00BB5BA3">
      <w:pPr>
        <w:numPr>
          <w:ilvl w:val="0"/>
          <w:numId w:val="14"/>
        </w:numPr>
        <w:spacing w:after="0" w:line="240" w:lineRule="auto"/>
        <w:contextualSpacing/>
        <w:jc w:val="both"/>
        <w:rPr>
          <w:rFonts w:ascii="Arial" w:hAnsi="Arial" w:cs="Arial"/>
          <w:lang w:eastAsia="es-CO"/>
        </w:rPr>
      </w:pPr>
      <w:r w:rsidRPr="00BB5BA3">
        <w:rPr>
          <w:rFonts w:ascii="Arial" w:hAnsi="Arial" w:cs="Arial"/>
          <w:lang w:val="es-ES" w:eastAsia="es-CO"/>
        </w:rPr>
        <w:t>Deficiencias en las actividades para la detección temprana del cáncer de cuello uterino; entre el 2016 y 2020, la proporción de mujeres a quienes se les realizó la colposcopia cumpliendo el estándar de oportunidad (&lt; 30 días) es menor al 3%, mientras que a nivel nacional superamos el 10%.</w:t>
      </w:r>
    </w:p>
    <w:p w14:paraId="01790569" w14:textId="77777777" w:rsidR="00BB5BA3" w:rsidRPr="00BB5BA3" w:rsidRDefault="00BB5BA3" w:rsidP="00BB5BA3">
      <w:pPr>
        <w:numPr>
          <w:ilvl w:val="0"/>
          <w:numId w:val="14"/>
        </w:numPr>
        <w:spacing w:after="0" w:line="240" w:lineRule="auto"/>
        <w:contextualSpacing/>
        <w:jc w:val="both"/>
        <w:rPr>
          <w:rFonts w:ascii="Arial" w:hAnsi="Arial" w:cs="Arial"/>
          <w:lang w:eastAsia="es-CO"/>
        </w:rPr>
      </w:pPr>
      <w:r w:rsidRPr="00BB5BA3">
        <w:rPr>
          <w:rFonts w:ascii="Arial" w:hAnsi="Arial" w:cs="Arial"/>
          <w:lang w:val="es-ES" w:eastAsia="es-CO"/>
        </w:rPr>
        <w:t>Baja cobertura en las actividades de protección específica y detección temprana en el grupo poblacional de jóvenes y adultos. Por ejemplo, para el año 2020, la proporción de personas con consulta del adulto es inferior al 10% para Comparta, mientras que a nivel nacional se logran coberturas por encima del 20%.</w:t>
      </w:r>
    </w:p>
    <w:p w14:paraId="1AD145CB" w14:textId="095C0662" w:rsidR="00BB5BA3" w:rsidRPr="00BB5BA3" w:rsidRDefault="00BB5BA3" w:rsidP="00BB5BA3">
      <w:pPr>
        <w:numPr>
          <w:ilvl w:val="0"/>
          <w:numId w:val="14"/>
        </w:numPr>
        <w:spacing w:after="0" w:line="240" w:lineRule="auto"/>
        <w:contextualSpacing/>
        <w:jc w:val="both"/>
        <w:rPr>
          <w:rFonts w:ascii="Arial" w:hAnsi="Arial" w:cs="Arial"/>
          <w:lang w:eastAsia="es-CO"/>
        </w:rPr>
      </w:pPr>
      <w:r w:rsidRPr="00BB5BA3">
        <w:rPr>
          <w:rFonts w:ascii="Arial" w:hAnsi="Arial" w:cs="Arial"/>
          <w:lang w:val="es-ES" w:eastAsia="es-CO"/>
        </w:rPr>
        <w:lastRenderedPageBreak/>
        <w:t xml:space="preserve">Falencias en el seguimiento del binomio madre-hijo, por ejemplo, se evidencian falencias en la identificación y tratamiento de las gestantes con sífilis gestacional, a nivel nacional, para el último trimestre de 2020, Comparta logra tratamiento completo al 60,5% de las gestantes con sífilis gestacional, lo cual se refleja en el incremento de la incidencia en los últimos años. Para el VI periodo epidemiológico del presente año (a 19 de junio de 2021), se </w:t>
      </w:r>
      <w:r w:rsidR="008C4CCA">
        <w:rPr>
          <w:rFonts w:ascii="Arial" w:hAnsi="Arial" w:cs="Arial"/>
          <w:lang w:val="es-ES" w:eastAsia="es-CO"/>
        </w:rPr>
        <w:t>registraron</w:t>
      </w:r>
      <w:r w:rsidR="008C4CCA" w:rsidRPr="00BB5BA3">
        <w:rPr>
          <w:rFonts w:ascii="Arial" w:hAnsi="Arial" w:cs="Arial"/>
          <w:lang w:val="es-ES" w:eastAsia="es-CO"/>
        </w:rPr>
        <w:t> </w:t>
      </w:r>
      <w:r w:rsidRPr="00BB5BA3">
        <w:rPr>
          <w:rFonts w:ascii="Arial" w:hAnsi="Arial" w:cs="Arial"/>
          <w:lang w:val="es-ES" w:eastAsia="es-CO"/>
        </w:rPr>
        <w:t>45 casos de sífilis congénita. </w:t>
      </w:r>
    </w:p>
    <w:p w14:paraId="696F3C82" w14:textId="77777777" w:rsidR="00BB5BA3" w:rsidRPr="00BB5BA3" w:rsidRDefault="00BB5BA3" w:rsidP="00BB5BA3">
      <w:pPr>
        <w:spacing w:after="0" w:line="240" w:lineRule="auto"/>
        <w:jc w:val="both"/>
        <w:rPr>
          <w:rFonts w:ascii="Arial" w:hAnsi="Arial" w:cs="Arial"/>
          <w:lang w:eastAsia="es-CO"/>
        </w:rPr>
      </w:pPr>
    </w:p>
    <w:p w14:paraId="6B7142AB" w14:textId="77777777" w:rsidR="00BB5BA3" w:rsidRPr="00BB5BA3" w:rsidRDefault="00BB5BA3" w:rsidP="00BB5BA3">
      <w:pPr>
        <w:spacing w:after="0" w:line="240" w:lineRule="auto"/>
        <w:jc w:val="both"/>
        <w:rPr>
          <w:rFonts w:ascii="Arial" w:hAnsi="Arial" w:cs="Arial"/>
          <w:lang w:eastAsia="es-CO"/>
        </w:rPr>
      </w:pPr>
      <w:r w:rsidRPr="00BB5BA3">
        <w:rPr>
          <w:rFonts w:ascii="Arial" w:hAnsi="Arial" w:cs="Arial"/>
          <w:lang w:eastAsia="es-CO"/>
        </w:rPr>
        <w:t xml:space="preserve">Aunado a lo mencionado anteriormente, ninguna de las otras EPS activas a la fecha presenta un comportamiento reiterativo de inoportunidad y falta de reportes de información a esta entidad. Esto representa un riesgo para el sector, ya que dificulta la evaluación integral y comparación de la entidad frente a los comportamientos del sector.  </w:t>
      </w:r>
    </w:p>
    <w:p w14:paraId="3DCA5CDC" w14:textId="77777777" w:rsidR="00BB5BA3" w:rsidRDefault="00BB5BA3" w:rsidP="007E2D39">
      <w:pPr>
        <w:pStyle w:val="xxmsonormal"/>
        <w:shd w:val="clear" w:color="auto" w:fill="FFFFFF"/>
        <w:spacing w:before="0" w:beforeAutospacing="0" w:after="0" w:afterAutospacing="0"/>
        <w:jc w:val="both"/>
        <w:rPr>
          <w:rFonts w:ascii="Arial" w:hAnsi="Arial" w:cs="Arial"/>
          <w:color w:val="000000"/>
          <w:sz w:val="22"/>
          <w:szCs w:val="22"/>
        </w:rPr>
      </w:pPr>
    </w:p>
    <w:p w14:paraId="5432F37F" w14:textId="43DF8EB9" w:rsidR="007E2D39" w:rsidRPr="007E2D39" w:rsidRDefault="007E2D39" w:rsidP="007E2D39">
      <w:pPr>
        <w:pStyle w:val="xxmsonormal"/>
        <w:shd w:val="clear" w:color="auto" w:fill="FFFFFF"/>
        <w:spacing w:before="0" w:beforeAutospacing="0" w:after="0" w:afterAutospacing="0"/>
        <w:jc w:val="both"/>
        <w:rPr>
          <w:rFonts w:ascii="Arial" w:hAnsi="Arial" w:cs="Arial"/>
          <w:bCs/>
          <w:color w:val="201F1E"/>
          <w:sz w:val="22"/>
          <w:szCs w:val="22"/>
        </w:rPr>
      </w:pPr>
      <w:r w:rsidRPr="007E2D39">
        <w:rPr>
          <w:rFonts w:ascii="Arial" w:hAnsi="Arial" w:cs="Arial"/>
          <w:bCs/>
          <w:sz w:val="22"/>
          <w:szCs w:val="22"/>
          <w:lang w:val="es-MX"/>
        </w:rPr>
        <w:t>Respecto al estado en que se en</w:t>
      </w:r>
      <w:r w:rsidR="00EE6AC6">
        <w:rPr>
          <w:rFonts w:ascii="Arial" w:hAnsi="Arial" w:cs="Arial"/>
          <w:bCs/>
          <w:sz w:val="22"/>
          <w:szCs w:val="22"/>
          <w:lang w:val="es-MX"/>
        </w:rPr>
        <w:t>cuen</w:t>
      </w:r>
      <w:r w:rsidRPr="007E2D39">
        <w:rPr>
          <w:rFonts w:ascii="Arial" w:hAnsi="Arial" w:cs="Arial"/>
          <w:bCs/>
          <w:sz w:val="22"/>
          <w:szCs w:val="22"/>
          <w:lang w:val="es-MX"/>
        </w:rPr>
        <w:t xml:space="preserve">tran las EPS </w:t>
      </w:r>
      <w:r w:rsidRPr="007E2D39">
        <w:rPr>
          <w:rFonts w:ascii="Arial" w:hAnsi="Arial" w:cs="Arial"/>
          <w:bCs/>
          <w:color w:val="201F1E"/>
          <w:sz w:val="22"/>
          <w:szCs w:val="22"/>
          <w:bdr w:val="none" w:sz="0" w:space="0" w:color="auto" w:frame="1"/>
          <w:lang w:val="es-ES"/>
        </w:rPr>
        <w:t>Asmet</w:t>
      </w:r>
      <w:r>
        <w:rPr>
          <w:rFonts w:ascii="Arial" w:hAnsi="Arial" w:cs="Arial"/>
          <w:bCs/>
          <w:color w:val="201F1E"/>
          <w:sz w:val="22"/>
          <w:szCs w:val="22"/>
          <w:bdr w:val="none" w:sz="0" w:space="0" w:color="auto" w:frame="1"/>
          <w:lang w:val="es-ES"/>
        </w:rPr>
        <w:t xml:space="preserve"> S</w:t>
      </w:r>
      <w:r w:rsidRPr="007E2D39">
        <w:rPr>
          <w:rFonts w:ascii="Arial" w:hAnsi="Arial" w:cs="Arial"/>
          <w:bCs/>
          <w:color w:val="201F1E"/>
          <w:sz w:val="22"/>
          <w:szCs w:val="22"/>
          <w:bdr w:val="none" w:sz="0" w:space="0" w:color="auto" w:frame="1"/>
          <w:lang w:val="es-ES"/>
        </w:rPr>
        <w:t>alud, Ecoopsos, Coomeva, Medimás</w:t>
      </w:r>
      <w:r>
        <w:rPr>
          <w:rFonts w:ascii="Arial" w:hAnsi="Arial" w:cs="Arial"/>
          <w:bCs/>
          <w:color w:val="201F1E"/>
          <w:sz w:val="22"/>
          <w:szCs w:val="22"/>
          <w:bdr w:val="none" w:sz="0" w:space="0" w:color="auto" w:frame="1"/>
          <w:lang w:val="es-ES"/>
        </w:rPr>
        <w:t xml:space="preserve"> y</w:t>
      </w:r>
      <w:r w:rsidRPr="007E2D39">
        <w:rPr>
          <w:rFonts w:ascii="Arial" w:hAnsi="Arial" w:cs="Arial"/>
          <w:bCs/>
          <w:color w:val="201F1E"/>
          <w:sz w:val="22"/>
          <w:szCs w:val="22"/>
          <w:bdr w:val="none" w:sz="0" w:space="0" w:color="auto" w:frame="1"/>
          <w:lang w:val="es-ES"/>
        </w:rPr>
        <w:t xml:space="preserve"> Comfamiliar Huila, informamos lo siguiente frente a la situación actual de cada una de ellas.</w:t>
      </w:r>
    </w:p>
    <w:p w14:paraId="393E3D5A" w14:textId="77777777" w:rsidR="007E2D39" w:rsidRDefault="007E2D39" w:rsidP="007E2D39">
      <w:pPr>
        <w:spacing w:after="0" w:line="240" w:lineRule="auto"/>
        <w:rPr>
          <w:rFonts w:ascii="Arial" w:hAnsi="Arial" w:cs="Arial"/>
          <w:b/>
          <w:lang w:val="es-MX"/>
        </w:rPr>
      </w:pPr>
    </w:p>
    <w:p w14:paraId="316ED8FD" w14:textId="41B43411" w:rsidR="007E2D39" w:rsidRPr="007E2D39" w:rsidRDefault="007E2D39" w:rsidP="007E2D39">
      <w:pPr>
        <w:spacing w:after="0" w:line="240" w:lineRule="auto"/>
        <w:rPr>
          <w:rFonts w:ascii="Arial" w:hAnsi="Arial" w:cs="Arial"/>
          <w:bCs/>
          <w:lang w:val="es-MX"/>
        </w:rPr>
      </w:pPr>
      <w:r w:rsidRPr="007E2D39">
        <w:rPr>
          <w:rFonts w:ascii="Arial" w:hAnsi="Arial" w:cs="Arial"/>
          <w:bCs/>
          <w:u w:val="single"/>
          <w:lang w:val="es-MX"/>
        </w:rPr>
        <w:t>Entidad</w:t>
      </w:r>
      <w:r w:rsidRPr="007E2D39">
        <w:rPr>
          <w:rFonts w:ascii="Arial" w:hAnsi="Arial" w:cs="Arial"/>
          <w:bCs/>
          <w:lang w:val="es-MX"/>
        </w:rPr>
        <w:t>: ASMET SALUD EPS SAS</w:t>
      </w:r>
    </w:p>
    <w:p w14:paraId="04872E1E" w14:textId="6D6AE2C1" w:rsidR="007E2D39" w:rsidRPr="007E2D39" w:rsidRDefault="007E2D39" w:rsidP="007E2D39">
      <w:pPr>
        <w:spacing w:after="0" w:line="240" w:lineRule="auto"/>
        <w:rPr>
          <w:rFonts w:ascii="Arial" w:hAnsi="Arial" w:cs="Arial"/>
          <w:bCs/>
          <w:lang w:val="es-MX"/>
        </w:rPr>
      </w:pPr>
      <w:r w:rsidRPr="007E2D39">
        <w:rPr>
          <w:rFonts w:ascii="Arial" w:hAnsi="Arial" w:cs="Arial"/>
          <w:bCs/>
          <w:lang w:val="es-MX"/>
        </w:rPr>
        <w:t xml:space="preserve">Tipo de Medida: </w:t>
      </w:r>
      <w:r w:rsidR="00366B5A">
        <w:rPr>
          <w:rFonts w:ascii="Arial" w:hAnsi="Arial" w:cs="Arial"/>
          <w:bCs/>
          <w:lang w:val="es-MX"/>
        </w:rPr>
        <w:t>v</w:t>
      </w:r>
      <w:r w:rsidRPr="007E2D39">
        <w:rPr>
          <w:rFonts w:ascii="Arial" w:hAnsi="Arial" w:cs="Arial"/>
          <w:bCs/>
          <w:lang w:val="es-MX"/>
        </w:rPr>
        <w:t xml:space="preserve">igilancia </w:t>
      </w:r>
      <w:r w:rsidR="00366B5A">
        <w:rPr>
          <w:rFonts w:ascii="Arial" w:hAnsi="Arial" w:cs="Arial"/>
          <w:bCs/>
          <w:lang w:val="es-MX"/>
        </w:rPr>
        <w:t>e</w:t>
      </w:r>
      <w:r w:rsidRPr="007E2D39">
        <w:rPr>
          <w:rFonts w:ascii="Arial" w:hAnsi="Arial" w:cs="Arial"/>
          <w:bCs/>
          <w:lang w:val="es-MX"/>
        </w:rPr>
        <w:t xml:space="preserve">special </w:t>
      </w:r>
    </w:p>
    <w:p w14:paraId="5100DDF5" w14:textId="77777777" w:rsidR="007E2D39" w:rsidRPr="00E476FB" w:rsidRDefault="007E2D39" w:rsidP="007E2D39">
      <w:pPr>
        <w:spacing w:after="0" w:line="240" w:lineRule="auto"/>
        <w:rPr>
          <w:rFonts w:ascii="Arial" w:hAnsi="Arial" w:cs="Arial"/>
          <w:b/>
          <w:bCs/>
          <w:i/>
          <w:iCs/>
          <w:u w:val="single"/>
          <w:lang w:val="es-MX"/>
        </w:rPr>
      </w:pPr>
    </w:p>
    <w:p w14:paraId="294FEE86" w14:textId="2A6DA53C" w:rsidR="007E2D39" w:rsidRDefault="007E2D39" w:rsidP="007E2D39">
      <w:pPr>
        <w:spacing w:after="0" w:line="240" w:lineRule="auto"/>
        <w:jc w:val="both"/>
        <w:rPr>
          <w:rFonts w:ascii="Arial" w:hAnsi="Arial" w:cs="Arial"/>
          <w:bCs/>
          <w:lang w:val="es-MX"/>
        </w:rPr>
      </w:pPr>
      <w:r>
        <w:rPr>
          <w:rFonts w:ascii="Arial" w:hAnsi="Arial" w:cs="Arial"/>
          <w:bCs/>
          <w:lang w:val="es-MX"/>
        </w:rPr>
        <w:t>Mediante Resolución 11263 del 5 de diciembre de 2018, la Superintendencia Nacional de Salud orden</w:t>
      </w:r>
      <w:r w:rsidR="008C4F95">
        <w:rPr>
          <w:rFonts w:ascii="Arial" w:hAnsi="Arial" w:cs="Arial"/>
          <w:bCs/>
          <w:lang w:val="es-MX"/>
        </w:rPr>
        <w:t>ó la</w:t>
      </w:r>
      <w:r>
        <w:rPr>
          <w:rFonts w:ascii="Arial" w:hAnsi="Arial" w:cs="Arial"/>
          <w:bCs/>
          <w:lang w:val="es-MX"/>
        </w:rPr>
        <w:t xml:space="preserve"> medida preventiva de vigilancia especial, </w:t>
      </w:r>
      <w:r w:rsidR="00C6370E">
        <w:rPr>
          <w:rFonts w:ascii="Arial" w:hAnsi="Arial" w:cs="Arial"/>
          <w:bCs/>
          <w:lang w:val="es-MX"/>
        </w:rPr>
        <w:t>la cual</w:t>
      </w:r>
      <w:r>
        <w:rPr>
          <w:rFonts w:ascii="Arial" w:hAnsi="Arial" w:cs="Arial"/>
          <w:bCs/>
          <w:lang w:val="es-MX"/>
        </w:rPr>
        <w:t xml:space="preserve"> se ha venido prorrogando</w:t>
      </w:r>
      <w:r w:rsidR="00EA1D71">
        <w:rPr>
          <w:rFonts w:ascii="Arial" w:hAnsi="Arial" w:cs="Arial"/>
          <w:bCs/>
          <w:lang w:val="es-MX"/>
        </w:rPr>
        <w:t xml:space="preserve"> hasta el 5 de diciembre de 2021.</w:t>
      </w:r>
    </w:p>
    <w:p w14:paraId="7A7E6172" w14:textId="77777777" w:rsidR="007E2D39" w:rsidRDefault="007E2D39" w:rsidP="007E2D39">
      <w:pPr>
        <w:spacing w:after="0" w:line="240" w:lineRule="auto"/>
        <w:jc w:val="both"/>
        <w:rPr>
          <w:rFonts w:ascii="Arial" w:hAnsi="Arial" w:cs="Arial"/>
          <w:lang w:val="es-MX"/>
        </w:rPr>
      </w:pPr>
    </w:p>
    <w:p w14:paraId="35696A8E" w14:textId="5CA91A49" w:rsidR="00BC21B7" w:rsidRPr="00F06986" w:rsidRDefault="00F06986" w:rsidP="007E2D39">
      <w:pPr>
        <w:spacing w:after="0" w:line="240" w:lineRule="auto"/>
        <w:jc w:val="both"/>
        <w:rPr>
          <w:rFonts w:ascii="Arial" w:hAnsi="Arial" w:cs="Arial"/>
          <w:lang w:val="es-MX"/>
        </w:rPr>
      </w:pPr>
      <w:r w:rsidRPr="00F06986">
        <w:rPr>
          <w:rFonts w:ascii="Arial" w:hAnsi="Arial" w:cs="Arial"/>
          <w:color w:val="000000"/>
          <w:bdr w:val="none" w:sz="0" w:space="0" w:color="auto" w:frame="1"/>
          <w:shd w:val="clear" w:color="auto" w:fill="FFFFFF"/>
        </w:rPr>
        <w:t xml:space="preserve">La EPS con corte a </w:t>
      </w:r>
      <w:r>
        <w:rPr>
          <w:rFonts w:ascii="Arial" w:hAnsi="Arial" w:cs="Arial"/>
          <w:color w:val="000000"/>
          <w:bdr w:val="none" w:sz="0" w:space="0" w:color="auto" w:frame="1"/>
          <w:shd w:val="clear" w:color="auto" w:fill="FFFFFF"/>
        </w:rPr>
        <w:t>j</w:t>
      </w:r>
      <w:r w:rsidRPr="00F06986">
        <w:rPr>
          <w:rFonts w:ascii="Arial" w:hAnsi="Arial" w:cs="Arial"/>
          <w:color w:val="000000"/>
          <w:bdr w:val="none" w:sz="0" w:space="0" w:color="auto" w:frame="1"/>
          <w:shd w:val="clear" w:color="auto" w:fill="FFFFFF"/>
        </w:rPr>
        <w:t>ulio de 2021 posee un total de </w:t>
      </w:r>
      <w:r w:rsidRPr="00F06986">
        <w:rPr>
          <w:rFonts w:ascii="Arial" w:hAnsi="Arial" w:cs="Arial"/>
          <w:color w:val="000000"/>
          <w:shd w:val="clear" w:color="auto" w:fill="FFFFFF"/>
        </w:rPr>
        <w:t xml:space="preserve">1.944.208 afiliados activos reportados ante la Base de Datos Única de Afiliados </w:t>
      </w:r>
      <w:r w:rsidR="00C6370E">
        <w:rPr>
          <w:rFonts w:ascii="Arial" w:hAnsi="Arial" w:cs="Arial"/>
          <w:color w:val="000000"/>
          <w:shd w:val="clear" w:color="auto" w:fill="FFFFFF"/>
        </w:rPr>
        <w:t xml:space="preserve">- </w:t>
      </w:r>
      <w:r w:rsidRPr="00F06986">
        <w:rPr>
          <w:rFonts w:ascii="Arial" w:hAnsi="Arial" w:cs="Arial"/>
          <w:color w:val="000000"/>
          <w:shd w:val="clear" w:color="auto" w:fill="FFFFFF"/>
        </w:rPr>
        <w:t>BDUA,</w:t>
      </w:r>
      <w:r w:rsidR="00C6370E">
        <w:rPr>
          <w:rFonts w:ascii="Arial" w:hAnsi="Arial" w:cs="Arial"/>
          <w:color w:val="000000"/>
          <w:bdr w:val="none" w:sz="0" w:space="0" w:color="auto" w:frame="1"/>
          <w:shd w:val="clear" w:color="auto" w:fill="FFFFFF"/>
        </w:rPr>
        <w:t xml:space="preserve"> </w:t>
      </w:r>
      <w:r w:rsidRPr="00F06986">
        <w:rPr>
          <w:rFonts w:ascii="Arial" w:hAnsi="Arial" w:cs="Arial"/>
          <w:color w:val="000000"/>
          <w:shd w:val="clear" w:color="auto" w:fill="FFFFFF"/>
        </w:rPr>
        <w:t>de los cuales</w:t>
      </w:r>
      <w:r w:rsidRPr="00F06986">
        <w:rPr>
          <w:rFonts w:ascii="Arial" w:hAnsi="Arial" w:cs="Arial"/>
          <w:color w:val="000000"/>
          <w:bdr w:val="none" w:sz="0" w:space="0" w:color="auto" w:frame="1"/>
          <w:shd w:val="clear" w:color="auto" w:fill="FFFFFF"/>
        </w:rPr>
        <w:t> </w:t>
      </w:r>
      <w:r w:rsidRPr="00F06986">
        <w:rPr>
          <w:rFonts w:ascii="Arial" w:hAnsi="Arial" w:cs="Arial"/>
          <w:color w:val="000000"/>
          <w:shd w:val="clear" w:color="auto" w:fill="FFFFFF"/>
        </w:rPr>
        <w:t xml:space="preserve">1.864.487 </w:t>
      </w:r>
      <w:r>
        <w:rPr>
          <w:rFonts w:ascii="Arial" w:hAnsi="Arial" w:cs="Arial"/>
          <w:color w:val="000000"/>
          <w:shd w:val="clear" w:color="auto" w:fill="FFFFFF"/>
        </w:rPr>
        <w:t xml:space="preserve">usuarios </w:t>
      </w:r>
      <w:r w:rsidRPr="00F06986">
        <w:rPr>
          <w:rFonts w:ascii="Arial" w:hAnsi="Arial" w:cs="Arial"/>
          <w:color w:val="000000"/>
          <w:shd w:val="clear" w:color="auto" w:fill="FFFFFF"/>
        </w:rPr>
        <w:t xml:space="preserve">son afiliados al régimen </w:t>
      </w:r>
      <w:r>
        <w:rPr>
          <w:rFonts w:ascii="Arial" w:hAnsi="Arial" w:cs="Arial"/>
          <w:color w:val="000000"/>
          <w:shd w:val="clear" w:color="auto" w:fill="FFFFFF"/>
        </w:rPr>
        <w:t>s</w:t>
      </w:r>
      <w:r w:rsidRPr="00F06986">
        <w:rPr>
          <w:rFonts w:ascii="Arial" w:hAnsi="Arial" w:cs="Arial"/>
          <w:color w:val="000000"/>
          <w:shd w:val="clear" w:color="auto" w:fill="FFFFFF"/>
        </w:rPr>
        <w:t>ubsidiado y 79.721 </w:t>
      </w:r>
      <w:r>
        <w:rPr>
          <w:rFonts w:ascii="Arial" w:hAnsi="Arial" w:cs="Arial"/>
          <w:color w:val="000000"/>
          <w:shd w:val="clear" w:color="auto" w:fill="FFFFFF"/>
        </w:rPr>
        <w:t>afiliados</w:t>
      </w:r>
      <w:r w:rsidRPr="00F06986">
        <w:rPr>
          <w:rFonts w:ascii="Arial" w:hAnsi="Arial" w:cs="Arial"/>
          <w:color w:val="000000"/>
          <w:bdr w:val="none" w:sz="0" w:space="0" w:color="auto" w:frame="1"/>
          <w:shd w:val="clear" w:color="auto" w:fill="FFFFFF"/>
        </w:rPr>
        <w:t> </w:t>
      </w:r>
      <w:r w:rsidRPr="00F06986">
        <w:rPr>
          <w:rFonts w:ascii="Arial" w:hAnsi="Arial" w:cs="Arial"/>
          <w:color w:val="000000"/>
          <w:shd w:val="clear" w:color="auto" w:fill="FFFFFF"/>
        </w:rPr>
        <w:t xml:space="preserve">al régimen </w:t>
      </w:r>
      <w:r>
        <w:rPr>
          <w:rFonts w:ascii="Arial" w:hAnsi="Arial" w:cs="Arial"/>
          <w:color w:val="000000"/>
          <w:shd w:val="clear" w:color="auto" w:fill="FFFFFF"/>
        </w:rPr>
        <w:t>c</w:t>
      </w:r>
      <w:r w:rsidRPr="00F06986">
        <w:rPr>
          <w:rFonts w:ascii="Arial" w:hAnsi="Arial" w:cs="Arial"/>
          <w:color w:val="000000"/>
          <w:shd w:val="clear" w:color="auto" w:fill="FFFFFF"/>
        </w:rPr>
        <w:t xml:space="preserve">ontributivo por </w:t>
      </w:r>
      <w:r>
        <w:rPr>
          <w:rFonts w:ascii="Arial" w:hAnsi="Arial" w:cs="Arial"/>
          <w:color w:val="000000"/>
          <w:shd w:val="clear" w:color="auto" w:fill="FFFFFF"/>
        </w:rPr>
        <w:t>m</w:t>
      </w:r>
      <w:r w:rsidRPr="00F06986">
        <w:rPr>
          <w:rFonts w:ascii="Arial" w:hAnsi="Arial" w:cs="Arial"/>
          <w:color w:val="000000"/>
          <w:shd w:val="clear" w:color="auto" w:fill="FFFFFF"/>
        </w:rPr>
        <w:t xml:space="preserve">ovilidad, esta EPS hace presencia en 20 </w:t>
      </w:r>
      <w:r w:rsidR="00C6370E">
        <w:rPr>
          <w:rFonts w:ascii="Arial" w:hAnsi="Arial" w:cs="Arial"/>
          <w:color w:val="000000"/>
          <w:shd w:val="clear" w:color="auto" w:fill="FFFFFF"/>
        </w:rPr>
        <w:t>d</w:t>
      </w:r>
      <w:r w:rsidRPr="00F06986">
        <w:rPr>
          <w:rFonts w:ascii="Arial" w:hAnsi="Arial" w:cs="Arial"/>
          <w:color w:val="000000"/>
          <w:shd w:val="clear" w:color="auto" w:fill="FFFFFF"/>
        </w:rPr>
        <w:t xml:space="preserve">epartamentos del </w:t>
      </w:r>
      <w:r w:rsidR="00C6370E">
        <w:rPr>
          <w:rFonts w:ascii="Arial" w:hAnsi="Arial" w:cs="Arial"/>
          <w:color w:val="000000"/>
          <w:shd w:val="clear" w:color="auto" w:fill="FFFFFF"/>
        </w:rPr>
        <w:t>p</w:t>
      </w:r>
      <w:r w:rsidRPr="00F06986">
        <w:rPr>
          <w:rFonts w:ascii="Arial" w:hAnsi="Arial" w:cs="Arial"/>
          <w:color w:val="000000"/>
          <w:shd w:val="clear" w:color="auto" w:fill="FFFFFF"/>
        </w:rPr>
        <w:t>aís.  </w:t>
      </w:r>
    </w:p>
    <w:p w14:paraId="3E7B677A" w14:textId="1F3D87C4" w:rsidR="00F06986" w:rsidRDefault="00F06986" w:rsidP="007E2D39">
      <w:pPr>
        <w:spacing w:after="0" w:line="240" w:lineRule="auto"/>
        <w:jc w:val="both"/>
        <w:rPr>
          <w:rFonts w:ascii="Arial" w:hAnsi="Arial" w:cs="Arial"/>
          <w:lang w:val="es-MX"/>
        </w:rPr>
      </w:pPr>
    </w:p>
    <w:p w14:paraId="5D6D394A" w14:textId="7F062F26" w:rsidR="007E2D39" w:rsidRPr="00E476FB" w:rsidRDefault="007E2D39" w:rsidP="007E2D39">
      <w:pPr>
        <w:spacing w:after="0" w:line="240" w:lineRule="auto"/>
        <w:jc w:val="both"/>
        <w:rPr>
          <w:rFonts w:ascii="Arial" w:hAnsi="Arial" w:cs="Arial"/>
          <w:lang w:val="es-MX"/>
        </w:rPr>
      </w:pPr>
      <w:bookmarkStart w:id="0" w:name="_Hlk81667660"/>
      <w:r w:rsidRPr="00E476FB">
        <w:rPr>
          <w:rFonts w:ascii="Arial" w:hAnsi="Arial" w:cs="Arial"/>
          <w:lang w:val="es-MX"/>
        </w:rPr>
        <w:t>De acuerdo con el seguimiento y monitoreo a</w:t>
      </w:r>
      <w:bookmarkEnd w:id="0"/>
      <w:r w:rsidRPr="00E476FB">
        <w:rPr>
          <w:rFonts w:ascii="Arial" w:hAnsi="Arial" w:cs="Arial"/>
          <w:lang w:val="es-MX"/>
        </w:rPr>
        <w:t xml:space="preserve"> la medida de vigilancia especial</w:t>
      </w:r>
      <w:r w:rsidR="00C6370E">
        <w:rPr>
          <w:rFonts w:ascii="Arial" w:hAnsi="Arial" w:cs="Arial"/>
          <w:lang w:val="es-MX"/>
        </w:rPr>
        <w:t>,</w:t>
      </w:r>
      <w:r w:rsidRPr="00E476FB">
        <w:rPr>
          <w:rFonts w:ascii="Arial" w:hAnsi="Arial" w:cs="Arial"/>
          <w:lang w:val="es-MX"/>
        </w:rPr>
        <w:t xml:space="preserve"> se </w:t>
      </w:r>
      <w:r w:rsidR="00EA1D71">
        <w:rPr>
          <w:rFonts w:ascii="Arial" w:hAnsi="Arial" w:cs="Arial"/>
          <w:lang w:val="es-MX"/>
        </w:rPr>
        <w:t xml:space="preserve">han venido identificando </w:t>
      </w:r>
      <w:r w:rsidRPr="00E476FB">
        <w:rPr>
          <w:rFonts w:ascii="Arial" w:hAnsi="Arial" w:cs="Arial"/>
          <w:lang w:val="es-MX"/>
        </w:rPr>
        <w:t>falencias en los procesos de atención a la población afiliada</w:t>
      </w:r>
      <w:r w:rsidR="00EA1D71">
        <w:rPr>
          <w:rFonts w:ascii="Arial" w:hAnsi="Arial" w:cs="Arial"/>
          <w:lang w:val="es-MX"/>
        </w:rPr>
        <w:t xml:space="preserve"> relacionados con </w:t>
      </w:r>
      <w:r w:rsidRPr="00E476FB">
        <w:rPr>
          <w:rFonts w:ascii="Arial" w:hAnsi="Arial" w:cs="Arial"/>
          <w:lang w:val="es-MX"/>
        </w:rPr>
        <w:t>restricción en el acceso a los servicios de salud</w:t>
      </w:r>
      <w:r w:rsidR="00EA1D71">
        <w:rPr>
          <w:rFonts w:ascii="Arial" w:hAnsi="Arial" w:cs="Arial"/>
          <w:lang w:val="es-MX"/>
        </w:rPr>
        <w:t xml:space="preserve"> como </w:t>
      </w:r>
      <w:r w:rsidRPr="00E476FB">
        <w:rPr>
          <w:rFonts w:ascii="Arial" w:hAnsi="Arial" w:cs="Arial"/>
          <w:lang w:val="es-MX"/>
        </w:rPr>
        <w:t xml:space="preserve">falta de oportunidad en la entrega de medicamentos NO PBS y falta de oportunidad en la asignación de citas de consulta médica general. </w:t>
      </w:r>
    </w:p>
    <w:p w14:paraId="423BB4DC" w14:textId="77777777" w:rsidR="007E2D39" w:rsidRPr="00E476FB" w:rsidRDefault="007E2D39" w:rsidP="007E2D39">
      <w:pPr>
        <w:spacing w:after="0" w:line="240" w:lineRule="auto"/>
        <w:jc w:val="both"/>
        <w:rPr>
          <w:rFonts w:ascii="Arial" w:hAnsi="Arial" w:cs="Arial"/>
          <w:lang w:val="es-MX"/>
        </w:rPr>
      </w:pPr>
    </w:p>
    <w:p w14:paraId="68D74F0C" w14:textId="192BB1FA" w:rsidR="007E2D39" w:rsidRPr="004314B3" w:rsidRDefault="007E2D39" w:rsidP="00981DA7">
      <w:pPr>
        <w:spacing w:after="0" w:line="240" w:lineRule="auto"/>
        <w:jc w:val="both"/>
        <w:rPr>
          <w:rFonts w:ascii="Arial" w:hAnsi="Arial" w:cs="Arial"/>
          <w:lang w:val="es-MX"/>
        </w:rPr>
      </w:pPr>
      <w:r w:rsidRPr="00E476FB">
        <w:rPr>
          <w:rFonts w:ascii="Arial" w:hAnsi="Arial" w:cs="Arial"/>
          <w:lang w:val="es-MX"/>
        </w:rPr>
        <w:t>E</w:t>
      </w:r>
      <w:r w:rsidR="00EA1D71">
        <w:rPr>
          <w:rFonts w:ascii="Arial" w:hAnsi="Arial" w:cs="Arial"/>
          <w:lang w:val="es-MX"/>
        </w:rPr>
        <w:t xml:space="preserve">l comportamiento de los </w:t>
      </w:r>
      <w:r w:rsidRPr="00E476FB">
        <w:rPr>
          <w:rFonts w:ascii="Arial" w:hAnsi="Arial" w:cs="Arial"/>
          <w:lang w:val="es-ES"/>
        </w:rPr>
        <w:t>indicadores de</w:t>
      </w:r>
      <w:r w:rsidR="00EA1D71">
        <w:rPr>
          <w:rFonts w:ascii="Arial" w:hAnsi="Arial" w:cs="Arial"/>
          <w:lang w:val="es-ES"/>
        </w:rPr>
        <w:t>l componente t</w:t>
      </w:r>
      <w:r w:rsidRPr="00E476FB">
        <w:rPr>
          <w:rFonts w:ascii="Arial" w:hAnsi="Arial" w:cs="Arial"/>
          <w:lang w:val="es-ES"/>
        </w:rPr>
        <w:t xml:space="preserve">écnico </w:t>
      </w:r>
      <w:r w:rsidR="00EA1D71">
        <w:rPr>
          <w:rFonts w:ascii="Arial" w:hAnsi="Arial" w:cs="Arial"/>
          <w:lang w:val="es-ES"/>
        </w:rPr>
        <w:t>c</w:t>
      </w:r>
      <w:r w:rsidRPr="00E476FB">
        <w:rPr>
          <w:rFonts w:ascii="Arial" w:hAnsi="Arial" w:cs="Arial"/>
          <w:lang w:val="es-ES"/>
        </w:rPr>
        <w:t xml:space="preserve">ientífico a junio de 2021 </w:t>
      </w:r>
      <w:r w:rsidR="00EA1D71">
        <w:rPr>
          <w:rFonts w:ascii="Arial" w:hAnsi="Arial" w:cs="Arial"/>
          <w:lang w:val="es-MX"/>
        </w:rPr>
        <w:t>presenta los siguientes hallazgos:</w:t>
      </w:r>
      <w:r w:rsidR="00981DA7">
        <w:rPr>
          <w:rFonts w:ascii="Arial" w:hAnsi="Arial" w:cs="Arial"/>
          <w:lang w:val="es-MX"/>
        </w:rPr>
        <w:t xml:space="preserve"> e</w:t>
      </w:r>
      <w:r w:rsidRPr="00981DA7">
        <w:rPr>
          <w:rFonts w:ascii="Arial" w:hAnsi="Arial" w:cs="Arial"/>
          <w:lang w:val="es-MX"/>
        </w:rPr>
        <w:t>l 32,57% de pacientes diabéticos se encuentran controlados</w:t>
      </w:r>
      <w:r w:rsidR="004314B3" w:rsidRPr="00981DA7">
        <w:rPr>
          <w:rFonts w:ascii="Arial" w:hAnsi="Arial" w:cs="Arial"/>
          <w:lang w:val="es-MX"/>
        </w:rPr>
        <w:t>,</w:t>
      </w:r>
      <w:r w:rsidRPr="00981DA7">
        <w:rPr>
          <w:rFonts w:ascii="Arial" w:hAnsi="Arial" w:cs="Arial"/>
          <w:lang w:val="es-MX"/>
        </w:rPr>
        <w:t xml:space="preserve"> es decir</w:t>
      </w:r>
      <w:r w:rsidR="004314B3" w:rsidRPr="00981DA7">
        <w:rPr>
          <w:rFonts w:ascii="Arial" w:hAnsi="Arial" w:cs="Arial"/>
          <w:lang w:val="es-MX"/>
        </w:rPr>
        <w:t>,</w:t>
      </w:r>
      <w:r w:rsidRPr="00981DA7">
        <w:rPr>
          <w:rFonts w:ascii="Arial" w:hAnsi="Arial" w:cs="Arial"/>
          <w:lang w:val="es-MX"/>
        </w:rPr>
        <w:t xml:space="preserve"> acceden oportunamente a los medicamentos y tecnologías para su tratamiento</w:t>
      </w:r>
      <w:r w:rsidR="00981DA7">
        <w:rPr>
          <w:rFonts w:ascii="Arial" w:hAnsi="Arial" w:cs="Arial"/>
          <w:lang w:val="es-MX"/>
        </w:rPr>
        <w:t>; e</w:t>
      </w:r>
      <w:r w:rsidRPr="00E476FB">
        <w:rPr>
          <w:rFonts w:ascii="Arial" w:hAnsi="Arial" w:cs="Arial"/>
          <w:lang w:val="es-MX"/>
        </w:rPr>
        <w:t xml:space="preserve">l 40,62% de </w:t>
      </w:r>
      <w:r w:rsidR="00022222">
        <w:rPr>
          <w:rFonts w:ascii="Arial" w:hAnsi="Arial" w:cs="Arial"/>
          <w:lang w:val="es-MX"/>
        </w:rPr>
        <w:t xml:space="preserve">las </w:t>
      </w:r>
      <w:r w:rsidRPr="00E476FB">
        <w:rPr>
          <w:rFonts w:ascii="Arial" w:hAnsi="Arial" w:cs="Arial"/>
          <w:lang w:val="es-MX"/>
        </w:rPr>
        <w:t>mujeres entre 25 y 65 años han accedido a la toma de citología cervicouterina</w:t>
      </w:r>
      <w:r w:rsidR="00981DA7">
        <w:rPr>
          <w:rFonts w:ascii="Arial" w:hAnsi="Arial" w:cs="Arial"/>
          <w:lang w:val="es-MX"/>
        </w:rPr>
        <w:t>; e</w:t>
      </w:r>
      <w:r w:rsidRPr="00E476FB">
        <w:rPr>
          <w:rFonts w:ascii="Arial" w:hAnsi="Arial" w:cs="Arial"/>
          <w:lang w:val="es-MX"/>
        </w:rPr>
        <w:t>l 36,76% de mujeres entre los 50 y 69 años han accedido a tamización bianual con mamografía</w:t>
      </w:r>
      <w:r w:rsidR="00981DA7">
        <w:rPr>
          <w:rFonts w:ascii="Arial" w:hAnsi="Arial" w:cs="Arial"/>
          <w:lang w:val="es-MX"/>
        </w:rPr>
        <w:t xml:space="preserve"> y l</w:t>
      </w:r>
      <w:r w:rsidRPr="004314B3">
        <w:rPr>
          <w:rFonts w:ascii="Arial" w:hAnsi="Arial" w:cs="Arial"/>
          <w:lang w:val="es-MX"/>
        </w:rPr>
        <w:t>os resultados de los indicadores de gestión del riesgo</w:t>
      </w:r>
      <w:r w:rsidR="004314B3">
        <w:rPr>
          <w:rFonts w:ascii="Arial" w:hAnsi="Arial" w:cs="Arial"/>
          <w:lang w:val="es-MX"/>
        </w:rPr>
        <w:t xml:space="preserve"> </w:t>
      </w:r>
      <w:r w:rsidRPr="004314B3">
        <w:rPr>
          <w:rFonts w:ascii="Arial" w:hAnsi="Arial" w:cs="Arial"/>
          <w:lang w:val="es-MX"/>
        </w:rPr>
        <w:t>presentan</w:t>
      </w:r>
      <w:r w:rsidR="004314B3">
        <w:rPr>
          <w:rFonts w:ascii="Arial" w:hAnsi="Arial" w:cs="Arial"/>
          <w:lang w:val="es-MX"/>
        </w:rPr>
        <w:t xml:space="preserve"> </w:t>
      </w:r>
      <w:r w:rsidRPr="004314B3">
        <w:rPr>
          <w:rFonts w:ascii="Arial" w:hAnsi="Arial" w:cs="Arial"/>
          <w:lang w:val="es-MX"/>
        </w:rPr>
        <w:t>incumpl</w:t>
      </w:r>
      <w:r w:rsidR="004314B3">
        <w:rPr>
          <w:rFonts w:ascii="Arial" w:hAnsi="Arial" w:cs="Arial"/>
          <w:lang w:val="es-MX"/>
        </w:rPr>
        <w:t xml:space="preserve">imiento en cuenta a </w:t>
      </w:r>
      <w:r w:rsidRPr="004314B3">
        <w:rPr>
          <w:rFonts w:ascii="Arial" w:hAnsi="Arial" w:cs="Arial"/>
          <w:lang w:val="es-MX"/>
        </w:rPr>
        <w:t>cobertura y gestión para los programas de promoción y prevención</w:t>
      </w:r>
      <w:r w:rsidR="004314B3">
        <w:rPr>
          <w:rFonts w:ascii="Arial" w:hAnsi="Arial" w:cs="Arial"/>
          <w:lang w:val="es-MX"/>
        </w:rPr>
        <w:t xml:space="preserve"> como d</w:t>
      </w:r>
      <w:r w:rsidRPr="004314B3">
        <w:rPr>
          <w:rFonts w:ascii="Arial" w:hAnsi="Arial" w:cs="Arial"/>
          <w:lang w:val="es-MX"/>
        </w:rPr>
        <w:t xml:space="preserve">etección </w:t>
      </w:r>
      <w:r w:rsidR="004314B3">
        <w:rPr>
          <w:rFonts w:ascii="Arial" w:hAnsi="Arial" w:cs="Arial"/>
          <w:lang w:val="es-MX"/>
        </w:rPr>
        <w:t>de c</w:t>
      </w:r>
      <w:r w:rsidRPr="004314B3">
        <w:rPr>
          <w:rFonts w:ascii="Arial" w:hAnsi="Arial" w:cs="Arial"/>
          <w:lang w:val="es-MX"/>
        </w:rPr>
        <w:t xml:space="preserve">áncer </w:t>
      </w:r>
      <w:r w:rsidR="004314B3" w:rsidRPr="004314B3">
        <w:rPr>
          <w:rFonts w:ascii="Arial" w:hAnsi="Arial" w:cs="Arial"/>
          <w:lang w:val="es-MX"/>
        </w:rPr>
        <w:t>cérvico uterino, detección cáncer de mama, detección alteraciones durante el embarazo.</w:t>
      </w:r>
    </w:p>
    <w:p w14:paraId="270068EF" w14:textId="77777777" w:rsidR="007E2D39" w:rsidRPr="00E476FB" w:rsidRDefault="007E2D39" w:rsidP="007E2D39">
      <w:pPr>
        <w:spacing w:after="0" w:line="240" w:lineRule="auto"/>
        <w:rPr>
          <w:rFonts w:ascii="Arial" w:hAnsi="Arial" w:cs="Arial"/>
          <w:b/>
          <w:bCs/>
          <w:i/>
          <w:iCs/>
          <w:u w:val="single"/>
          <w:lang w:val="es-MX"/>
        </w:rPr>
      </w:pPr>
    </w:p>
    <w:p w14:paraId="7C819C2C" w14:textId="61EEFB69" w:rsidR="007E2D39" w:rsidRPr="00E476FB" w:rsidRDefault="004314B3" w:rsidP="007E2D39">
      <w:pPr>
        <w:spacing w:after="0" w:line="240" w:lineRule="auto"/>
        <w:jc w:val="both"/>
        <w:rPr>
          <w:rFonts w:ascii="Arial" w:eastAsia="Calibri" w:hAnsi="Arial" w:cs="Arial"/>
        </w:rPr>
      </w:pPr>
      <w:r>
        <w:rPr>
          <w:rFonts w:ascii="Arial" w:eastAsia="Arial" w:hAnsi="Arial" w:cs="Arial"/>
          <w:lang w:val="es-MX"/>
        </w:rPr>
        <w:t xml:space="preserve">Ahora, </w:t>
      </w:r>
      <w:r w:rsidR="00972B60">
        <w:rPr>
          <w:rFonts w:ascii="Arial" w:eastAsia="Arial" w:hAnsi="Arial" w:cs="Arial"/>
          <w:lang w:val="es-MX"/>
        </w:rPr>
        <w:t xml:space="preserve">producto del análisis al comportamiento de los indicadores del </w:t>
      </w:r>
      <w:r w:rsidR="00972B60" w:rsidRPr="00E476FB">
        <w:rPr>
          <w:rFonts w:ascii="Arial" w:eastAsia="Arial" w:hAnsi="Arial" w:cs="Arial"/>
          <w:lang w:val="es-MX"/>
        </w:rPr>
        <w:t>componente financiero</w:t>
      </w:r>
      <w:r w:rsidR="00972B60">
        <w:rPr>
          <w:rFonts w:ascii="Arial" w:eastAsia="Arial" w:hAnsi="Arial" w:cs="Arial"/>
          <w:lang w:val="es-MX"/>
        </w:rPr>
        <w:t xml:space="preserve"> se ha identificado </w:t>
      </w:r>
      <w:r w:rsidR="007E2D39" w:rsidRPr="00E476FB">
        <w:rPr>
          <w:rFonts w:ascii="Arial" w:eastAsia="Arial" w:hAnsi="Arial" w:cs="Arial"/>
        </w:rPr>
        <w:t>el aumento negativo del patrimonio durante el periodo 2018 a julio de 2021</w:t>
      </w:r>
      <w:r w:rsidR="00972B60">
        <w:rPr>
          <w:rFonts w:ascii="Arial" w:eastAsia="Calibri" w:hAnsi="Arial" w:cs="Arial"/>
        </w:rPr>
        <w:t xml:space="preserve">, </w:t>
      </w:r>
      <w:r w:rsidR="007E2D39" w:rsidRPr="00E476FB">
        <w:rPr>
          <w:rFonts w:ascii="Arial" w:eastAsia="Calibri" w:hAnsi="Arial" w:cs="Arial"/>
        </w:rPr>
        <w:t>es decir</w:t>
      </w:r>
      <w:r w:rsidR="00972B60">
        <w:rPr>
          <w:rFonts w:ascii="Arial" w:eastAsia="Calibri" w:hAnsi="Arial" w:cs="Arial"/>
        </w:rPr>
        <w:t>,</w:t>
      </w:r>
      <w:r w:rsidR="007E2D39" w:rsidRPr="00E476FB">
        <w:rPr>
          <w:rFonts w:ascii="Arial" w:eastAsia="Calibri" w:hAnsi="Arial" w:cs="Arial"/>
        </w:rPr>
        <w:t xml:space="preserve"> </w:t>
      </w:r>
      <w:r w:rsidR="00972B60">
        <w:rPr>
          <w:rFonts w:ascii="Arial" w:eastAsia="Calibri" w:hAnsi="Arial" w:cs="Arial"/>
        </w:rPr>
        <w:t xml:space="preserve">la </w:t>
      </w:r>
      <w:r w:rsidR="007E2D39" w:rsidRPr="00E476FB">
        <w:rPr>
          <w:rFonts w:ascii="Arial" w:eastAsia="Calibri" w:hAnsi="Arial" w:cs="Arial"/>
        </w:rPr>
        <w:t xml:space="preserve">entidad </w:t>
      </w:r>
      <w:r w:rsidR="00972B60">
        <w:rPr>
          <w:rFonts w:ascii="Arial" w:eastAsia="Calibri" w:hAnsi="Arial" w:cs="Arial"/>
        </w:rPr>
        <w:t xml:space="preserve">no </w:t>
      </w:r>
      <w:r w:rsidR="007E2D39" w:rsidRPr="00E476FB">
        <w:rPr>
          <w:rFonts w:ascii="Arial" w:eastAsia="Calibri" w:hAnsi="Arial" w:cs="Arial"/>
        </w:rPr>
        <w:t>ha mejora</w:t>
      </w:r>
      <w:r w:rsidR="00972B60">
        <w:rPr>
          <w:rFonts w:ascii="Arial" w:eastAsia="Calibri" w:hAnsi="Arial" w:cs="Arial"/>
        </w:rPr>
        <w:t>do</w:t>
      </w:r>
      <w:r w:rsidR="007E2D39" w:rsidRPr="00E476FB">
        <w:rPr>
          <w:rFonts w:ascii="Arial" w:eastAsia="Calibri" w:hAnsi="Arial" w:cs="Arial"/>
        </w:rPr>
        <w:t xml:space="preserve"> su situación financiera</w:t>
      </w:r>
      <w:r w:rsidR="00972B60">
        <w:rPr>
          <w:rFonts w:ascii="Arial" w:eastAsia="Calibri" w:hAnsi="Arial" w:cs="Arial"/>
        </w:rPr>
        <w:t xml:space="preserve">, presenta </w:t>
      </w:r>
      <w:r w:rsidR="007E2D39" w:rsidRPr="00E476FB">
        <w:rPr>
          <w:rFonts w:ascii="Arial" w:eastAsia="Calibri" w:hAnsi="Arial" w:cs="Arial"/>
        </w:rPr>
        <w:t xml:space="preserve">incumplimiento </w:t>
      </w:r>
      <w:r w:rsidR="00972B60">
        <w:rPr>
          <w:rFonts w:ascii="Arial" w:eastAsia="Calibri" w:hAnsi="Arial" w:cs="Arial"/>
        </w:rPr>
        <w:t>a</w:t>
      </w:r>
      <w:r w:rsidR="007E2D39" w:rsidRPr="00E476FB">
        <w:rPr>
          <w:rFonts w:ascii="Arial" w:eastAsia="Calibri" w:hAnsi="Arial" w:cs="Arial"/>
        </w:rPr>
        <w:t xml:space="preserve">l plan de capitalización, desequilibrio de la operación corriente </w:t>
      </w:r>
      <w:r w:rsidR="00972B60">
        <w:rPr>
          <w:rFonts w:ascii="Arial" w:eastAsia="Calibri" w:hAnsi="Arial" w:cs="Arial"/>
        </w:rPr>
        <w:t xml:space="preserve">e </w:t>
      </w:r>
      <w:r w:rsidR="007E2D39" w:rsidRPr="00E476FB">
        <w:rPr>
          <w:rFonts w:ascii="Arial" w:eastAsia="Calibri" w:hAnsi="Arial" w:cs="Arial"/>
        </w:rPr>
        <w:t>incumplimiento de las condiciones financieras requeridas.</w:t>
      </w:r>
    </w:p>
    <w:p w14:paraId="135151D4" w14:textId="77777777" w:rsidR="007E2D39" w:rsidRPr="00E476FB" w:rsidRDefault="007E2D39" w:rsidP="007E2D39">
      <w:pPr>
        <w:spacing w:after="0" w:line="240" w:lineRule="auto"/>
        <w:jc w:val="both"/>
        <w:rPr>
          <w:rFonts w:ascii="Arial" w:eastAsia="Calibri" w:hAnsi="Arial" w:cs="Arial"/>
        </w:rPr>
      </w:pPr>
    </w:p>
    <w:p w14:paraId="31BCDFA6" w14:textId="0E38B6A1" w:rsidR="007E2D39" w:rsidRPr="00E476FB" w:rsidRDefault="007E2D39" w:rsidP="007E2D39">
      <w:pPr>
        <w:spacing w:after="0" w:line="240" w:lineRule="auto"/>
        <w:jc w:val="both"/>
        <w:rPr>
          <w:rFonts w:ascii="Arial" w:hAnsi="Arial" w:cs="Arial"/>
          <w:lang w:val="es-ES"/>
        </w:rPr>
      </w:pPr>
      <w:r w:rsidRPr="00E476FB">
        <w:rPr>
          <w:rFonts w:ascii="Arial" w:hAnsi="Arial" w:cs="Arial"/>
        </w:rPr>
        <w:lastRenderedPageBreak/>
        <w:t xml:space="preserve">Respecto del cierre de la vigencia 2020 y </w:t>
      </w:r>
      <w:r w:rsidR="00F75836">
        <w:rPr>
          <w:rFonts w:ascii="Arial" w:hAnsi="Arial" w:cs="Arial"/>
        </w:rPr>
        <w:t xml:space="preserve">corte </w:t>
      </w:r>
      <w:r w:rsidRPr="00E476FB">
        <w:rPr>
          <w:rFonts w:ascii="Arial" w:hAnsi="Arial" w:cs="Arial"/>
        </w:rPr>
        <w:t>junio de 2021, se destaca que el mecanismo de presupuestos máximos ha sido deficitario para financiar los servicios y tecnologías en salud no financiados con cargo a la UPC, teniendo incidencia en la pérdida operacional registrada.</w:t>
      </w:r>
    </w:p>
    <w:p w14:paraId="35DCAE89" w14:textId="77777777" w:rsidR="007E2D39" w:rsidRPr="00E476FB" w:rsidRDefault="007E2D39" w:rsidP="007E2D39">
      <w:pPr>
        <w:spacing w:after="0" w:line="240" w:lineRule="auto"/>
        <w:jc w:val="both"/>
        <w:rPr>
          <w:rFonts w:ascii="Arial" w:hAnsi="Arial" w:cs="Arial"/>
        </w:rPr>
      </w:pPr>
    </w:p>
    <w:p w14:paraId="6E207F54" w14:textId="21E04FF4" w:rsidR="007E2D39" w:rsidRPr="00E476FB" w:rsidRDefault="007E2D39" w:rsidP="007E2D39">
      <w:pPr>
        <w:spacing w:after="0" w:line="240" w:lineRule="auto"/>
        <w:jc w:val="both"/>
        <w:rPr>
          <w:rFonts w:ascii="Arial" w:hAnsi="Arial" w:cs="Arial"/>
        </w:rPr>
      </w:pPr>
      <w:r w:rsidRPr="00E476FB">
        <w:rPr>
          <w:rFonts w:ascii="Arial" w:hAnsi="Arial" w:cs="Arial"/>
        </w:rPr>
        <w:t xml:space="preserve">Frente a la evaluación y seguimiento del componente jurídico, </w:t>
      </w:r>
      <w:r w:rsidR="00972B60">
        <w:rPr>
          <w:rFonts w:ascii="Arial" w:hAnsi="Arial" w:cs="Arial"/>
        </w:rPr>
        <w:t xml:space="preserve">la entidad a julio de 2021 </w:t>
      </w:r>
      <w:r w:rsidRPr="00E476FB">
        <w:rPr>
          <w:rFonts w:ascii="Arial" w:hAnsi="Arial" w:cs="Arial"/>
        </w:rPr>
        <w:t xml:space="preserve">ha sido notificada </w:t>
      </w:r>
      <w:r w:rsidR="00972B60">
        <w:rPr>
          <w:rFonts w:ascii="Arial" w:hAnsi="Arial" w:cs="Arial"/>
        </w:rPr>
        <w:t xml:space="preserve">de </w:t>
      </w:r>
      <w:r w:rsidRPr="00E476FB">
        <w:rPr>
          <w:rFonts w:ascii="Arial" w:hAnsi="Arial" w:cs="Arial"/>
        </w:rPr>
        <w:t>388 acciones de tutela en salud y 7 incidentes de desacato</w:t>
      </w:r>
      <w:r w:rsidR="00972B60">
        <w:rPr>
          <w:rFonts w:ascii="Arial" w:hAnsi="Arial" w:cs="Arial"/>
        </w:rPr>
        <w:t xml:space="preserve">, presenta una </w:t>
      </w:r>
    </w:p>
    <w:p w14:paraId="0C464FC5" w14:textId="5A0A09CA" w:rsidR="007E2D39" w:rsidRPr="003B7799" w:rsidRDefault="007E2D39" w:rsidP="003B7799">
      <w:pPr>
        <w:spacing w:after="0" w:line="240" w:lineRule="auto"/>
        <w:jc w:val="both"/>
        <w:rPr>
          <w:rFonts w:ascii="Arial" w:hAnsi="Arial" w:cs="Arial"/>
        </w:rPr>
      </w:pPr>
      <w:r w:rsidRPr="00E476FB">
        <w:rPr>
          <w:rFonts w:ascii="Arial" w:hAnsi="Arial" w:cs="Arial"/>
        </w:rPr>
        <w:t>cuantía total de procesos</w:t>
      </w:r>
      <w:r w:rsidR="00972B60">
        <w:rPr>
          <w:rFonts w:ascii="Arial" w:hAnsi="Arial" w:cs="Arial"/>
        </w:rPr>
        <w:t xml:space="preserve"> judiciales </w:t>
      </w:r>
      <w:r w:rsidRPr="00E476FB">
        <w:rPr>
          <w:rFonts w:ascii="Arial" w:hAnsi="Arial" w:cs="Arial"/>
        </w:rPr>
        <w:t>notificados en contra por $314.692.</w:t>
      </w:r>
      <w:r w:rsidR="00C86FC5">
        <w:rPr>
          <w:rFonts w:ascii="Arial" w:hAnsi="Arial" w:cs="Arial"/>
        </w:rPr>
        <w:t>496.</w:t>
      </w:r>
      <w:r w:rsidRPr="00E476FB">
        <w:rPr>
          <w:rFonts w:ascii="Arial" w:hAnsi="Arial" w:cs="Arial"/>
        </w:rPr>
        <w:t xml:space="preserve">124, de estos se detalla un total de procesos jurídicos fallados en contra </w:t>
      </w:r>
      <w:r w:rsidR="00972B60">
        <w:rPr>
          <w:rFonts w:ascii="Arial" w:hAnsi="Arial" w:cs="Arial"/>
        </w:rPr>
        <w:t>(</w:t>
      </w:r>
      <w:r w:rsidRPr="00E476FB">
        <w:rPr>
          <w:rFonts w:ascii="Arial" w:hAnsi="Arial" w:cs="Arial"/>
        </w:rPr>
        <w:t>en firme</w:t>
      </w:r>
      <w:r w:rsidR="00972B60">
        <w:rPr>
          <w:rFonts w:ascii="Arial" w:hAnsi="Arial" w:cs="Arial"/>
        </w:rPr>
        <w:t>)</w:t>
      </w:r>
      <w:r w:rsidRPr="00E476FB">
        <w:rPr>
          <w:rFonts w:ascii="Arial" w:hAnsi="Arial" w:cs="Arial"/>
        </w:rPr>
        <w:t xml:space="preserve"> por $23.383.585.</w:t>
      </w:r>
    </w:p>
    <w:p w14:paraId="2D842FF9" w14:textId="77777777" w:rsidR="007E2D39" w:rsidRPr="007E2D39" w:rsidRDefault="007E2D39" w:rsidP="001B0240">
      <w:pPr>
        <w:pStyle w:val="xxmsonormal"/>
        <w:shd w:val="clear" w:color="auto" w:fill="FFFFFF"/>
        <w:spacing w:before="0" w:beforeAutospacing="0" w:after="0" w:afterAutospacing="0"/>
        <w:jc w:val="both"/>
        <w:rPr>
          <w:rFonts w:ascii="Arial" w:hAnsi="Arial" w:cs="Arial"/>
          <w:b/>
          <w:bCs/>
          <w:color w:val="201F1E"/>
          <w:sz w:val="22"/>
          <w:szCs w:val="22"/>
        </w:rPr>
      </w:pPr>
    </w:p>
    <w:p w14:paraId="75ED2A2B" w14:textId="77777777" w:rsidR="00366B5A" w:rsidRPr="00366B5A" w:rsidRDefault="00366B5A" w:rsidP="00366B5A">
      <w:pPr>
        <w:spacing w:after="0" w:line="240" w:lineRule="auto"/>
        <w:jc w:val="both"/>
        <w:rPr>
          <w:rFonts w:ascii="Arial" w:hAnsi="Arial" w:cs="Arial"/>
          <w:bCs/>
        </w:rPr>
      </w:pPr>
      <w:r w:rsidRPr="00366B5A">
        <w:rPr>
          <w:rFonts w:ascii="Arial" w:hAnsi="Arial" w:cs="Arial"/>
          <w:bCs/>
          <w:u w:val="single"/>
          <w:lang w:val="es-MX"/>
        </w:rPr>
        <w:t>Entidad</w:t>
      </w:r>
      <w:r w:rsidRPr="00366B5A">
        <w:rPr>
          <w:rFonts w:ascii="Arial" w:hAnsi="Arial" w:cs="Arial"/>
          <w:bCs/>
          <w:lang w:val="es-MX"/>
        </w:rPr>
        <w:t xml:space="preserve">: </w:t>
      </w:r>
      <w:r w:rsidRPr="00366B5A">
        <w:rPr>
          <w:rFonts w:ascii="Arial" w:hAnsi="Arial" w:cs="Arial"/>
          <w:bCs/>
        </w:rPr>
        <w:t>ECOOPSOS EPS SAS</w:t>
      </w:r>
    </w:p>
    <w:p w14:paraId="26779A33" w14:textId="3282661B" w:rsidR="00366B5A" w:rsidRPr="00366B5A" w:rsidRDefault="00366B5A" w:rsidP="00366B5A">
      <w:pPr>
        <w:spacing w:after="0" w:line="240" w:lineRule="auto"/>
        <w:rPr>
          <w:rFonts w:ascii="Arial" w:hAnsi="Arial" w:cs="Arial"/>
          <w:bCs/>
          <w:lang w:val="es-MX"/>
        </w:rPr>
      </w:pPr>
      <w:r w:rsidRPr="00366B5A">
        <w:rPr>
          <w:rFonts w:ascii="Arial" w:hAnsi="Arial" w:cs="Arial"/>
          <w:bCs/>
          <w:lang w:val="es-MX"/>
        </w:rPr>
        <w:t xml:space="preserve">Tipo de Medida: </w:t>
      </w:r>
      <w:r>
        <w:rPr>
          <w:rFonts w:ascii="Arial" w:hAnsi="Arial" w:cs="Arial"/>
          <w:bCs/>
          <w:lang w:val="es-MX"/>
        </w:rPr>
        <w:t>v</w:t>
      </w:r>
      <w:r w:rsidRPr="00366B5A">
        <w:rPr>
          <w:rFonts w:ascii="Arial" w:hAnsi="Arial" w:cs="Arial"/>
          <w:bCs/>
          <w:lang w:val="es-MX"/>
        </w:rPr>
        <w:t xml:space="preserve">igilancia </w:t>
      </w:r>
      <w:r>
        <w:rPr>
          <w:rFonts w:ascii="Arial" w:hAnsi="Arial" w:cs="Arial"/>
          <w:bCs/>
          <w:lang w:val="es-MX"/>
        </w:rPr>
        <w:t>e</w:t>
      </w:r>
      <w:r w:rsidRPr="00366B5A">
        <w:rPr>
          <w:rFonts w:ascii="Arial" w:hAnsi="Arial" w:cs="Arial"/>
          <w:bCs/>
          <w:lang w:val="es-MX"/>
        </w:rPr>
        <w:t xml:space="preserve">special </w:t>
      </w:r>
    </w:p>
    <w:p w14:paraId="556363A1" w14:textId="77777777" w:rsidR="00366B5A" w:rsidRPr="00E476FB" w:rsidRDefault="00366B5A" w:rsidP="00366B5A">
      <w:pPr>
        <w:spacing w:after="0" w:line="240" w:lineRule="auto"/>
        <w:jc w:val="both"/>
        <w:rPr>
          <w:rFonts w:ascii="Arial" w:hAnsi="Arial" w:cs="Arial"/>
          <w:b/>
          <w:bCs/>
        </w:rPr>
      </w:pPr>
    </w:p>
    <w:p w14:paraId="7854B5FE" w14:textId="3010C69E" w:rsidR="00366B5A" w:rsidRDefault="00366B5A" w:rsidP="00366B5A">
      <w:pPr>
        <w:spacing w:after="0" w:line="240" w:lineRule="auto"/>
        <w:jc w:val="both"/>
        <w:rPr>
          <w:rFonts w:ascii="Arial" w:hAnsi="Arial" w:cs="Arial"/>
          <w:bCs/>
          <w:lang w:val="es-MX"/>
        </w:rPr>
      </w:pPr>
      <w:r>
        <w:rPr>
          <w:rFonts w:ascii="Arial" w:hAnsi="Arial" w:cs="Arial"/>
          <w:bCs/>
          <w:lang w:val="es-MX"/>
        </w:rPr>
        <w:t xml:space="preserve">La Superintendencia Nacional de Salud ordenó medida </w:t>
      </w:r>
      <w:r w:rsidR="00BC21B7">
        <w:rPr>
          <w:rFonts w:ascii="Arial" w:hAnsi="Arial" w:cs="Arial"/>
          <w:bCs/>
          <w:lang w:val="es-MX"/>
        </w:rPr>
        <w:t xml:space="preserve">preventiva </w:t>
      </w:r>
      <w:r>
        <w:rPr>
          <w:rFonts w:ascii="Arial" w:hAnsi="Arial" w:cs="Arial"/>
          <w:bCs/>
          <w:lang w:val="es-MX"/>
        </w:rPr>
        <w:t>de vigilancia especial a Ecoopsos EPSS, mediante</w:t>
      </w:r>
      <w:r w:rsidR="00022222">
        <w:rPr>
          <w:rFonts w:ascii="Arial" w:hAnsi="Arial" w:cs="Arial"/>
          <w:bCs/>
          <w:lang w:val="es-MX"/>
        </w:rPr>
        <w:t xml:space="preserve"> la</w:t>
      </w:r>
      <w:r>
        <w:rPr>
          <w:rFonts w:ascii="Arial" w:hAnsi="Arial" w:cs="Arial"/>
          <w:bCs/>
          <w:lang w:val="es-MX"/>
        </w:rPr>
        <w:t xml:space="preserve"> Resolución 11464 del 12 de diciembre de 2018</w:t>
      </w:r>
      <w:r w:rsidR="00C6370E">
        <w:rPr>
          <w:rFonts w:ascii="Arial" w:hAnsi="Arial" w:cs="Arial"/>
          <w:bCs/>
          <w:lang w:val="es-MX"/>
        </w:rPr>
        <w:t xml:space="preserve">, la cual </w:t>
      </w:r>
      <w:r>
        <w:rPr>
          <w:rFonts w:ascii="Arial" w:hAnsi="Arial" w:cs="Arial"/>
          <w:bCs/>
          <w:lang w:val="es-MX"/>
        </w:rPr>
        <w:t xml:space="preserve">se ha </w:t>
      </w:r>
      <w:r w:rsidR="004A5776">
        <w:rPr>
          <w:rFonts w:ascii="Arial" w:hAnsi="Arial" w:cs="Arial"/>
          <w:bCs/>
          <w:lang w:val="es-MX"/>
        </w:rPr>
        <w:t>visto prorrogada</w:t>
      </w:r>
      <w:r>
        <w:rPr>
          <w:rFonts w:ascii="Arial" w:hAnsi="Arial" w:cs="Arial"/>
          <w:bCs/>
          <w:lang w:val="es-MX"/>
        </w:rPr>
        <w:t xml:space="preserve"> hasta el 12 de diciembre de 2021.</w:t>
      </w:r>
    </w:p>
    <w:p w14:paraId="4FDFE66C" w14:textId="64D6D033" w:rsidR="00366B5A" w:rsidRDefault="00366B5A" w:rsidP="00366B5A">
      <w:pPr>
        <w:spacing w:after="0" w:line="240" w:lineRule="auto"/>
        <w:jc w:val="both"/>
        <w:rPr>
          <w:rFonts w:ascii="Arial" w:hAnsi="Arial" w:cs="Arial"/>
          <w:bCs/>
          <w:lang w:val="es-MX"/>
        </w:rPr>
      </w:pPr>
    </w:p>
    <w:p w14:paraId="05B49AF8" w14:textId="211A91F0" w:rsidR="00366B5A" w:rsidRPr="00E476FB" w:rsidRDefault="00366B5A" w:rsidP="00366B5A">
      <w:pPr>
        <w:pStyle w:val="Prrafodelista"/>
        <w:spacing w:after="0" w:line="240" w:lineRule="auto"/>
        <w:ind w:left="0" w:right="-142"/>
        <w:jc w:val="both"/>
        <w:rPr>
          <w:rFonts w:ascii="Arial" w:eastAsia="Arial" w:hAnsi="Arial" w:cs="Arial"/>
        </w:rPr>
      </w:pPr>
      <w:r w:rsidRPr="00E476FB">
        <w:rPr>
          <w:rFonts w:ascii="Arial" w:eastAsia="Arial" w:hAnsi="Arial" w:cs="Arial"/>
          <w:spacing w:val="-1"/>
        </w:rPr>
        <w:t>E</w:t>
      </w:r>
      <w:r w:rsidRPr="00E476FB">
        <w:rPr>
          <w:rFonts w:ascii="Arial" w:eastAsia="Arial" w:hAnsi="Arial" w:cs="Arial"/>
        </w:rPr>
        <w:t>co</w:t>
      </w:r>
      <w:r w:rsidRPr="00E476FB">
        <w:rPr>
          <w:rFonts w:ascii="Arial" w:eastAsia="Arial" w:hAnsi="Arial" w:cs="Arial"/>
          <w:spacing w:val="-1"/>
        </w:rPr>
        <w:t>o</w:t>
      </w:r>
      <w:r w:rsidRPr="00E476FB">
        <w:rPr>
          <w:rFonts w:ascii="Arial" w:eastAsia="Arial" w:hAnsi="Arial" w:cs="Arial"/>
        </w:rPr>
        <w:t>ps</w:t>
      </w:r>
      <w:r w:rsidRPr="00E476FB">
        <w:rPr>
          <w:rFonts w:ascii="Arial" w:eastAsia="Arial" w:hAnsi="Arial" w:cs="Arial"/>
          <w:spacing w:val="-3"/>
        </w:rPr>
        <w:t>o</w:t>
      </w:r>
      <w:r w:rsidRPr="00E476FB">
        <w:rPr>
          <w:rFonts w:ascii="Arial" w:eastAsia="Arial" w:hAnsi="Arial" w:cs="Arial"/>
        </w:rPr>
        <w:t>s</w:t>
      </w:r>
      <w:r w:rsidRPr="00E476FB">
        <w:rPr>
          <w:rFonts w:ascii="Arial" w:eastAsia="Arial" w:hAnsi="Arial" w:cs="Arial"/>
          <w:spacing w:val="5"/>
        </w:rPr>
        <w:t xml:space="preserve"> </w:t>
      </w:r>
      <w:r w:rsidRPr="00E476FB">
        <w:rPr>
          <w:rFonts w:ascii="Arial" w:eastAsia="Arial" w:hAnsi="Arial" w:cs="Arial"/>
          <w:spacing w:val="-1"/>
        </w:rPr>
        <w:t>EP</w:t>
      </w:r>
      <w:r w:rsidRPr="00E476FB">
        <w:rPr>
          <w:rFonts w:ascii="Arial" w:eastAsia="Arial" w:hAnsi="Arial" w:cs="Arial"/>
        </w:rPr>
        <w:t>S</w:t>
      </w:r>
      <w:r w:rsidRPr="00E476FB">
        <w:rPr>
          <w:rFonts w:ascii="Arial" w:eastAsia="Arial" w:hAnsi="Arial" w:cs="Arial"/>
          <w:spacing w:val="2"/>
        </w:rPr>
        <w:t xml:space="preserve"> </w:t>
      </w:r>
      <w:r w:rsidRPr="00E476FB">
        <w:rPr>
          <w:rFonts w:ascii="Arial" w:eastAsia="Arial" w:hAnsi="Arial" w:cs="Arial"/>
        </w:rPr>
        <w:t>prese</w:t>
      </w:r>
      <w:r w:rsidRPr="00E476FB">
        <w:rPr>
          <w:rFonts w:ascii="Arial" w:eastAsia="Arial" w:hAnsi="Arial" w:cs="Arial"/>
          <w:spacing w:val="-3"/>
        </w:rPr>
        <w:t>n</w:t>
      </w:r>
      <w:r w:rsidRPr="00E476FB">
        <w:rPr>
          <w:rFonts w:ascii="Arial" w:eastAsia="Arial" w:hAnsi="Arial" w:cs="Arial"/>
          <w:spacing w:val="1"/>
        </w:rPr>
        <w:t>t</w:t>
      </w:r>
      <w:r w:rsidRPr="00E476FB">
        <w:rPr>
          <w:rFonts w:ascii="Arial" w:eastAsia="Arial" w:hAnsi="Arial" w:cs="Arial"/>
        </w:rPr>
        <w:t>a</w:t>
      </w:r>
      <w:r w:rsidRPr="00E476FB">
        <w:rPr>
          <w:rFonts w:ascii="Arial" w:eastAsia="Arial" w:hAnsi="Arial" w:cs="Arial"/>
          <w:spacing w:val="3"/>
        </w:rPr>
        <w:t xml:space="preserve"> </w:t>
      </w:r>
      <w:r w:rsidRPr="00E476FB">
        <w:rPr>
          <w:rFonts w:ascii="Arial" w:eastAsia="Arial" w:hAnsi="Arial" w:cs="Arial"/>
        </w:rPr>
        <w:t>un</w:t>
      </w:r>
      <w:r w:rsidRPr="00E476FB">
        <w:rPr>
          <w:rFonts w:ascii="Arial" w:eastAsia="Arial" w:hAnsi="Arial" w:cs="Arial"/>
          <w:spacing w:val="2"/>
        </w:rPr>
        <w:t xml:space="preserve"> </w:t>
      </w:r>
      <w:r w:rsidRPr="00E476FB">
        <w:rPr>
          <w:rFonts w:ascii="Arial" w:eastAsia="Arial" w:hAnsi="Arial" w:cs="Arial"/>
          <w:spacing w:val="1"/>
        </w:rPr>
        <w:t>t</w:t>
      </w:r>
      <w:r w:rsidRPr="00E476FB">
        <w:rPr>
          <w:rFonts w:ascii="Arial" w:eastAsia="Arial" w:hAnsi="Arial" w:cs="Arial"/>
          <w:spacing w:val="-3"/>
        </w:rPr>
        <w:t>o</w:t>
      </w:r>
      <w:r w:rsidRPr="00E476FB">
        <w:rPr>
          <w:rFonts w:ascii="Arial" w:eastAsia="Arial" w:hAnsi="Arial" w:cs="Arial"/>
          <w:spacing w:val="1"/>
        </w:rPr>
        <w:t>t</w:t>
      </w:r>
      <w:r w:rsidRPr="00E476FB">
        <w:rPr>
          <w:rFonts w:ascii="Arial" w:eastAsia="Arial" w:hAnsi="Arial" w:cs="Arial"/>
        </w:rPr>
        <w:t>al</w:t>
      </w:r>
      <w:r w:rsidRPr="00E476FB">
        <w:rPr>
          <w:rFonts w:ascii="Arial" w:eastAsia="Arial" w:hAnsi="Arial" w:cs="Arial"/>
          <w:spacing w:val="4"/>
        </w:rPr>
        <w:t xml:space="preserve"> </w:t>
      </w:r>
      <w:r w:rsidRPr="00E476FB">
        <w:rPr>
          <w:rFonts w:ascii="Arial" w:eastAsia="Arial" w:hAnsi="Arial" w:cs="Arial"/>
        </w:rPr>
        <w:t>de</w:t>
      </w:r>
      <w:r w:rsidRPr="00E476FB">
        <w:rPr>
          <w:rFonts w:ascii="Arial" w:eastAsia="Arial" w:hAnsi="Arial" w:cs="Arial"/>
          <w:spacing w:val="8"/>
        </w:rPr>
        <w:t xml:space="preserve"> </w:t>
      </w:r>
      <w:r w:rsidRPr="00E476FB">
        <w:rPr>
          <w:rFonts w:ascii="Arial" w:eastAsia="Arial" w:hAnsi="Arial" w:cs="Arial"/>
        </w:rPr>
        <w:t>3</w:t>
      </w:r>
      <w:r w:rsidRPr="00E476FB">
        <w:rPr>
          <w:rFonts w:ascii="Arial" w:eastAsia="Arial" w:hAnsi="Arial" w:cs="Arial"/>
          <w:spacing w:val="-3"/>
        </w:rPr>
        <w:t>3</w:t>
      </w:r>
      <w:r w:rsidRPr="00E476FB">
        <w:rPr>
          <w:rFonts w:ascii="Arial" w:eastAsia="Arial" w:hAnsi="Arial" w:cs="Arial"/>
        </w:rPr>
        <w:t>0.755</w:t>
      </w:r>
      <w:r w:rsidRPr="00E476FB">
        <w:rPr>
          <w:rFonts w:ascii="Arial" w:eastAsia="Arial" w:hAnsi="Arial" w:cs="Arial"/>
          <w:spacing w:val="5"/>
        </w:rPr>
        <w:t xml:space="preserve"> </w:t>
      </w:r>
      <w:r w:rsidRPr="00E476FB">
        <w:rPr>
          <w:rFonts w:ascii="Arial" w:eastAsia="Arial" w:hAnsi="Arial" w:cs="Arial"/>
          <w:spacing w:val="-3"/>
        </w:rPr>
        <w:t>a</w:t>
      </w:r>
      <w:r w:rsidRPr="00E476FB">
        <w:rPr>
          <w:rFonts w:ascii="Arial" w:eastAsia="Arial" w:hAnsi="Arial" w:cs="Arial"/>
          <w:spacing w:val="1"/>
        </w:rPr>
        <w:t>f</w:t>
      </w:r>
      <w:r w:rsidRPr="00E476FB">
        <w:rPr>
          <w:rFonts w:ascii="Arial" w:eastAsia="Arial" w:hAnsi="Arial" w:cs="Arial"/>
          <w:spacing w:val="-1"/>
        </w:rPr>
        <w:t>ili</w:t>
      </w:r>
      <w:r w:rsidRPr="00E476FB">
        <w:rPr>
          <w:rFonts w:ascii="Arial" w:eastAsia="Arial" w:hAnsi="Arial" w:cs="Arial"/>
        </w:rPr>
        <w:t>a</w:t>
      </w:r>
      <w:r w:rsidRPr="00E476FB">
        <w:rPr>
          <w:rFonts w:ascii="Arial" w:eastAsia="Arial" w:hAnsi="Arial" w:cs="Arial"/>
          <w:spacing w:val="-1"/>
        </w:rPr>
        <w:t>d</w:t>
      </w:r>
      <w:r w:rsidRPr="00E476FB">
        <w:rPr>
          <w:rFonts w:ascii="Arial" w:eastAsia="Arial" w:hAnsi="Arial" w:cs="Arial"/>
        </w:rPr>
        <w:t>os</w:t>
      </w:r>
      <w:r w:rsidRPr="00E476FB">
        <w:rPr>
          <w:rFonts w:ascii="Arial" w:eastAsia="Arial" w:hAnsi="Arial" w:cs="Arial"/>
          <w:spacing w:val="7"/>
        </w:rPr>
        <w:t xml:space="preserve"> </w:t>
      </w:r>
      <w:r w:rsidRPr="00E476FB">
        <w:rPr>
          <w:rFonts w:ascii="Arial" w:eastAsia="Arial" w:hAnsi="Arial" w:cs="Arial"/>
        </w:rPr>
        <w:t>a</w:t>
      </w:r>
      <w:r w:rsidRPr="00E476FB">
        <w:rPr>
          <w:rFonts w:ascii="Arial" w:eastAsia="Arial" w:hAnsi="Arial" w:cs="Arial"/>
          <w:spacing w:val="-3"/>
        </w:rPr>
        <w:t>c</w:t>
      </w:r>
      <w:r w:rsidRPr="00E476FB">
        <w:rPr>
          <w:rFonts w:ascii="Arial" w:eastAsia="Arial" w:hAnsi="Arial" w:cs="Arial"/>
          <w:spacing w:val="1"/>
        </w:rPr>
        <w:t>t</w:t>
      </w:r>
      <w:r w:rsidRPr="00E476FB">
        <w:rPr>
          <w:rFonts w:ascii="Arial" w:eastAsia="Arial" w:hAnsi="Arial" w:cs="Arial"/>
          <w:spacing w:val="-1"/>
        </w:rPr>
        <w:t>i</w:t>
      </w:r>
      <w:r w:rsidRPr="00E476FB">
        <w:rPr>
          <w:rFonts w:ascii="Arial" w:eastAsia="Arial" w:hAnsi="Arial" w:cs="Arial"/>
        </w:rPr>
        <w:t>vos, con</w:t>
      </w:r>
      <w:r w:rsidRPr="00E476FB">
        <w:rPr>
          <w:rFonts w:ascii="Arial" w:eastAsia="Arial" w:hAnsi="Arial" w:cs="Arial"/>
          <w:spacing w:val="-4"/>
        </w:rPr>
        <w:t xml:space="preserve"> </w:t>
      </w:r>
      <w:r w:rsidRPr="00E476FB">
        <w:rPr>
          <w:rFonts w:ascii="Arial" w:eastAsia="Arial" w:hAnsi="Arial" w:cs="Arial"/>
        </w:rPr>
        <w:t>una</w:t>
      </w:r>
      <w:r w:rsidRPr="00E476FB">
        <w:rPr>
          <w:rFonts w:ascii="Arial" w:eastAsia="Arial" w:hAnsi="Arial" w:cs="Arial"/>
          <w:spacing w:val="-6"/>
        </w:rPr>
        <w:t xml:space="preserve"> </w:t>
      </w:r>
      <w:r w:rsidRPr="00E476FB">
        <w:rPr>
          <w:rFonts w:ascii="Arial" w:eastAsia="Arial" w:hAnsi="Arial" w:cs="Arial"/>
        </w:rPr>
        <w:t>d</w:t>
      </w:r>
      <w:r w:rsidRPr="00E476FB">
        <w:rPr>
          <w:rFonts w:ascii="Arial" w:eastAsia="Arial" w:hAnsi="Arial" w:cs="Arial"/>
          <w:spacing w:val="-1"/>
        </w:rPr>
        <w:t>i</w:t>
      </w:r>
      <w:r w:rsidRPr="00E476FB">
        <w:rPr>
          <w:rFonts w:ascii="Arial" w:eastAsia="Arial" w:hAnsi="Arial" w:cs="Arial"/>
        </w:rPr>
        <w:t>s</w:t>
      </w:r>
      <w:r w:rsidRPr="00E476FB">
        <w:rPr>
          <w:rFonts w:ascii="Arial" w:eastAsia="Arial" w:hAnsi="Arial" w:cs="Arial"/>
          <w:spacing w:val="1"/>
        </w:rPr>
        <w:t>tr</w:t>
      </w:r>
      <w:r w:rsidRPr="00E476FB">
        <w:rPr>
          <w:rFonts w:ascii="Arial" w:eastAsia="Arial" w:hAnsi="Arial" w:cs="Arial"/>
          <w:spacing w:val="-1"/>
        </w:rPr>
        <w:t>i</w:t>
      </w:r>
      <w:r w:rsidRPr="00E476FB">
        <w:rPr>
          <w:rFonts w:ascii="Arial" w:eastAsia="Arial" w:hAnsi="Arial" w:cs="Arial"/>
        </w:rPr>
        <w:t>b</w:t>
      </w:r>
      <w:r w:rsidRPr="00E476FB">
        <w:rPr>
          <w:rFonts w:ascii="Arial" w:eastAsia="Arial" w:hAnsi="Arial" w:cs="Arial"/>
          <w:spacing w:val="-1"/>
        </w:rPr>
        <w:t>u</w:t>
      </w:r>
      <w:r w:rsidRPr="00E476FB">
        <w:rPr>
          <w:rFonts w:ascii="Arial" w:eastAsia="Arial" w:hAnsi="Arial" w:cs="Arial"/>
        </w:rPr>
        <w:t>c</w:t>
      </w:r>
      <w:r w:rsidRPr="00E476FB">
        <w:rPr>
          <w:rFonts w:ascii="Arial" w:eastAsia="Arial" w:hAnsi="Arial" w:cs="Arial"/>
          <w:spacing w:val="-1"/>
        </w:rPr>
        <w:t>i</w:t>
      </w:r>
      <w:r w:rsidRPr="00E476FB">
        <w:rPr>
          <w:rFonts w:ascii="Arial" w:eastAsia="Arial" w:hAnsi="Arial" w:cs="Arial"/>
        </w:rPr>
        <w:t>ón</w:t>
      </w:r>
      <w:r w:rsidRPr="00E476FB">
        <w:rPr>
          <w:rFonts w:ascii="Arial" w:eastAsia="Arial" w:hAnsi="Arial" w:cs="Arial"/>
          <w:spacing w:val="-4"/>
        </w:rPr>
        <w:t xml:space="preserve"> </w:t>
      </w:r>
      <w:r w:rsidRPr="00E476FB">
        <w:rPr>
          <w:rFonts w:ascii="Arial" w:eastAsia="Arial" w:hAnsi="Arial" w:cs="Arial"/>
        </w:rPr>
        <w:t>en</w:t>
      </w:r>
      <w:r w:rsidRPr="00E476FB">
        <w:rPr>
          <w:rFonts w:ascii="Arial" w:eastAsia="Arial" w:hAnsi="Arial" w:cs="Arial"/>
          <w:spacing w:val="-6"/>
        </w:rPr>
        <w:t xml:space="preserve"> </w:t>
      </w:r>
      <w:r w:rsidRPr="00E476FB">
        <w:rPr>
          <w:rFonts w:ascii="Arial" w:eastAsia="Arial" w:hAnsi="Arial" w:cs="Arial"/>
          <w:spacing w:val="-3"/>
        </w:rPr>
        <w:t>e</w:t>
      </w:r>
      <w:r w:rsidRPr="00E476FB">
        <w:rPr>
          <w:rFonts w:ascii="Arial" w:eastAsia="Arial" w:hAnsi="Arial" w:cs="Arial"/>
        </w:rPr>
        <w:t>l</w:t>
      </w:r>
      <w:r w:rsidRPr="00E476FB">
        <w:rPr>
          <w:rFonts w:ascii="Arial" w:eastAsia="Arial" w:hAnsi="Arial" w:cs="Arial"/>
          <w:spacing w:val="-4"/>
        </w:rPr>
        <w:t xml:space="preserve"> </w:t>
      </w:r>
      <w:r w:rsidRPr="00E476FB">
        <w:rPr>
          <w:rFonts w:ascii="Arial" w:eastAsia="Arial" w:hAnsi="Arial" w:cs="Arial"/>
          <w:spacing w:val="1"/>
        </w:rPr>
        <w:t>r</w:t>
      </w:r>
      <w:r w:rsidRPr="00E476FB">
        <w:rPr>
          <w:rFonts w:ascii="Arial" w:eastAsia="Arial" w:hAnsi="Arial" w:cs="Arial"/>
        </w:rPr>
        <w:t>é</w:t>
      </w:r>
      <w:r w:rsidRPr="00E476FB">
        <w:rPr>
          <w:rFonts w:ascii="Arial" w:eastAsia="Arial" w:hAnsi="Arial" w:cs="Arial"/>
          <w:spacing w:val="-1"/>
        </w:rPr>
        <w:t>gi</w:t>
      </w:r>
      <w:r w:rsidRPr="00E476FB">
        <w:rPr>
          <w:rFonts w:ascii="Arial" w:eastAsia="Arial" w:hAnsi="Arial" w:cs="Arial"/>
          <w:spacing w:val="1"/>
        </w:rPr>
        <w:t>m</w:t>
      </w:r>
      <w:r w:rsidRPr="00E476FB">
        <w:rPr>
          <w:rFonts w:ascii="Arial" w:eastAsia="Arial" w:hAnsi="Arial" w:cs="Arial"/>
        </w:rPr>
        <w:t>en</w:t>
      </w:r>
      <w:r w:rsidRPr="00E476FB">
        <w:rPr>
          <w:rFonts w:ascii="Arial" w:eastAsia="Arial" w:hAnsi="Arial" w:cs="Arial"/>
          <w:spacing w:val="-4"/>
        </w:rPr>
        <w:t xml:space="preserve"> </w:t>
      </w:r>
      <w:r w:rsidRPr="00E476FB">
        <w:rPr>
          <w:rFonts w:ascii="Arial" w:eastAsia="Arial" w:hAnsi="Arial" w:cs="Arial"/>
        </w:rPr>
        <w:t>co</w:t>
      </w:r>
      <w:r w:rsidRPr="00E476FB">
        <w:rPr>
          <w:rFonts w:ascii="Arial" w:eastAsia="Arial" w:hAnsi="Arial" w:cs="Arial"/>
          <w:spacing w:val="-1"/>
        </w:rPr>
        <w:t>n</w:t>
      </w:r>
      <w:r w:rsidRPr="00E476FB">
        <w:rPr>
          <w:rFonts w:ascii="Arial" w:eastAsia="Arial" w:hAnsi="Arial" w:cs="Arial"/>
          <w:spacing w:val="1"/>
        </w:rPr>
        <w:t>tr</w:t>
      </w:r>
      <w:r w:rsidRPr="00E476FB">
        <w:rPr>
          <w:rFonts w:ascii="Arial" w:eastAsia="Arial" w:hAnsi="Arial" w:cs="Arial"/>
          <w:spacing w:val="-1"/>
        </w:rPr>
        <w:t>i</w:t>
      </w:r>
      <w:r w:rsidRPr="00E476FB">
        <w:rPr>
          <w:rFonts w:ascii="Arial" w:eastAsia="Arial" w:hAnsi="Arial" w:cs="Arial"/>
        </w:rPr>
        <w:t>b</w:t>
      </w:r>
      <w:r w:rsidRPr="00E476FB">
        <w:rPr>
          <w:rFonts w:ascii="Arial" w:eastAsia="Arial" w:hAnsi="Arial" w:cs="Arial"/>
          <w:spacing w:val="-3"/>
        </w:rPr>
        <w:t>u</w:t>
      </w:r>
      <w:r w:rsidRPr="00E476FB">
        <w:rPr>
          <w:rFonts w:ascii="Arial" w:eastAsia="Arial" w:hAnsi="Arial" w:cs="Arial"/>
          <w:spacing w:val="1"/>
        </w:rPr>
        <w:t>t</w:t>
      </w:r>
      <w:r w:rsidRPr="00E476FB">
        <w:rPr>
          <w:rFonts w:ascii="Arial" w:eastAsia="Arial" w:hAnsi="Arial" w:cs="Arial"/>
          <w:spacing w:val="-1"/>
        </w:rPr>
        <w:t>i</w:t>
      </w:r>
      <w:r w:rsidRPr="00E476FB">
        <w:rPr>
          <w:rFonts w:ascii="Arial" w:eastAsia="Arial" w:hAnsi="Arial" w:cs="Arial"/>
        </w:rPr>
        <w:t>vo</w:t>
      </w:r>
      <w:r w:rsidRPr="00E476FB">
        <w:rPr>
          <w:rFonts w:ascii="Arial" w:eastAsia="Arial" w:hAnsi="Arial" w:cs="Arial"/>
          <w:spacing w:val="-1"/>
        </w:rPr>
        <w:t xml:space="preserve"> </w:t>
      </w:r>
      <w:r w:rsidRPr="00E476FB">
        <w:rPr>
          <w:rFonts w:ascii="Arial" w:eastAsia="Arial" w:hAnsi="Arial" w:cs="Arial"/>
        </w:rPr>
        <w:t>de</w:t>
      </w:r>
      <w:r w:rsidRPr="00E476FB">
        <w:rPr>
          <w:rFonts w:ascii="Arial" w:eastAsia="Arial" w:hAnsi="Arial" w:cs="Arial"/>
          <w:spacing w:val="-8"/>
        </w:rPr>
        <w:t xml:space="preserve"> </w:t>
      </w:r>
      <w:r w:rsidRPr="00E476FB">
        <w:rPr>
          <w:rFonts w:ascii="Arial" w:eastAsia="Arial" w:hAnsi="Arial" w:cs="Arial"/>
        </w:rPr>
        <w:t>17.222</w:t>
      </w:r>
      <w:r w:rsidRPr="00E476FB">
        <w:rPr>
          <w:rFonts w:ascii="Arial" w:eastAsia="Arial" w:hAnsi="Arial" w:cs="Arial"/>
          <w:spacing w:val="-4"/>
        </w:rPr>
        <w:t xml:space="preserve"> </w:t>
      </w:r>
      <w:r w:rsidR="00BC21B7">
        <w:rPr>
          <w:rFonts w:ascii="Arial" w:eastAsia="Arial" w:hAnsi="Arial" w:cs="Arial"/>
          <w:spacing w:val="-4"/>
        </w:rPr>
        <w:t xml:space="preserve">usuarios </w:t>
      </w:r>
      <w:r w:rsidRPr="00E476FB">
        <w:rPr>
          <w:rFonts w:ascii="Arial" w:eastAsia="Arial" w:hAnsi="Arial" w:cs="Arial"/>
        </w:rPr>
        <w:t>y</w:t>
      </w:r>
      <w:r w:rsidRPr="00E476FB">
        <w:rPr>
          <w:rFonts w:ascii="Arial" w:eastAsia="Arial" w:hAnsi="Arial" w:cs="Arial"/>
          <w:spacing w:val="-3"/>
        </w:rPr>
        <w:t xml:space="preserve"> </w:t>
      </w:r>
      <w:r w:rsidRPr="00E476FB">
        <w:rPr>
          <w:rFonts w:ascii="Arial" w:eastAsia="Arial" w:hAnsi="Arial" w:cs="Arial"/>
        </w:rPr>
        <w:t>de</w:t>
      </w:r>
      <w:r w:rsidRPr="00E476FB">
        <w:rPr>
          <w:rFonts w:ascii="Arial" w:eastAsia="Arial" w:hAnsi="Arial" w:cs="Arial"/>
          <w:spacing w:val="-6"/>
        </w:rPr>
        <w:t xml:space="preserve"> </w:t>
      </w:r>
      <w:r w:rsidRPr="00E476FB">
        <w:rPr>
          <w:rFonts w:ascii="Arial" w:eastAsia="Arial" w:hAnsi="Arial" w:cs="Arial"/>
        </w:rPr>
        <w:t>3</w:t>
      </w:r>
      <w:r w:rsidRPr="00E476FB">
        <w:rPr>
          <w:rFonts w:ascii="Arial" w:eastAsia="Arial" w:hAnsi="Arial" w:cs="Arial"/>
          <w:spacing w:val="-1"/>
        </w:rPr>
        <w:t>1</w:t>
      </w:r>
      <w:r w:rsidRPr="00E476FB">
        <w:rPr>
          <w:rFonts w:ascii="Arial" w:eastAsia="Arial" w:hAnsi="Arial" w:cs="Arial"/>
          <w:spacing w:val="1"/>
        </w:rPr>
        <w:t>3.</w:t>
      </w:r>
      <w:r w:rsidRPr="00E476FB">
        <w:rPr>
          <w:rFonts w:ascii="Arial" w:eastAsia="Arial" w:hAnsi="Arial" w:cs="Arial"/>
        </w:rPr>
        <w:t>533</w:t>
      </w:r>
      <w:r w:rsidRPr="00E476FB">
        <w:rPr>
          <w:rFonts w:ascii="Arial" w:eastAsia="Arial" w:hAnsi="Arial" w:cs="Arial"/>
          <w:spacing w:val="-1"/>
        </w:rPr>
        <w:t xml:space="preserve"> </w:t>
      </w:r>
      <w:r w:rsidR="00BC21B7">
        <w:rPr>
          <w:rFonts w:ascii="Arial" w:eastAsia="Arial" w:hAnsi="Arial" w:cs="Arial"/>
          <w:spacing w:val="-1"/>
        </w:rPr>
        <w:t xml:space="preserve">afiliados </w:t>
      </w:r>
      <w:r w:rsidRPr="00E476FB">
        <w:rPr>
          <w:rFonts w:ascii="Arial" w:eastAsia="Arial" w:hAnsi="Arial" w:cs="Arial"/>
        </w:rPr>
        <w:t>en</w:t>
      </w:r>
      <w:r w:rsidRPr="00E476FB">
        <w:rPr>
          <w:rFonts w:ascii="Arial" w:eastAsia="Arial" w:hAnsi="Arial" w:cs="Arial"/>
          <w:spacing w:val="-6"/>
        </w:rPr>
        <w:t xml:space="preserve"> </w:t>
      </w:r>
      <w:r w:rsidRPr="00E476FB">
        <w:rPr>
          <w:rFonts w:ascii="Arial" w:eastAsia="Arial" w:hAnsi="Arial" w:cs="Arial"/>
        </w:rPr>
        <w:t>el</w:t>
      </w:r>
      <w:r w:rsidRPr="00E476FB">
        <w:rPr>
          <w:rFonts w:ascii="Arial" w:eastAsia="Arial" w:hAnsi="Arial" w:cs="Arial"/>
          <w:spacing w:val="-4"/>
        </w:rPr>
        <w:t xml:space="preserve"> </w:t>
      </w:r>
      <w:r w:rsidRPr="00E476FB">
        <w:rPr>
          <w:rFonts w:ascii="Arial" w:eastAsia="Arial" w:hAnsi="Arial" w:cs="Arial"/>
          <w:spacing w:val="1"/>
        </w:rPr>
        <w:t>r</w:t>
      </w:r>
      <w:r w:rsidRPr="00E476FB">
        <w:rPr>
          <w:rFonts w:ascii="Arial" w:eastAsia="Arial" w:hAnsi="Arial" w:cs="Arial"/>
        </w:rPr>
        <w:t>é</w:t>
      </w:r>
      <w:r w:rsidRPr="00E476FB">
        <w:rPr>
          <w:rFonts w:ascii="Arial" w:eastAsia="Arial" w:hAnsi="Arial" w:cs="Arial"/>
          <w:spacing w:val="-1"/>
        </w:rPr>
        <w:t>gi</w:t>
      </w:r>
      <w:r w:rsidRPr="00E476FB">
        <w:rPr>
          <w:rFonts w:ascii="Arial" w:eastAsia="Arial" w:hAnsi="Arial" w:cs="Arial"/>
          <w:spacing w:val="1"/>
        </w:rPr>
        <w:t>m</w:t>
      </w:r>
      <w:r w:rsidRPr="00E476FB">
        <w:rPr>
          <w:rFonts w:ascii="Arial" w:eastAsia="Arial" w:hAnsi="Arial" w:cs="Arial"/>
        </w:rPr>
        <w:t>en</w:t>
      </w:r>
      <w:r w:rsidRPr="00E476FB">
        <w:rPr>
          <w:rFonts w:ascii="Arial" w:eastAsia="Arial" w:hAnsi="Arial" w:cs="Arial"/>
          <w:spacing w:val="-4"/>
        </w:rPr>
        <w:t xml:space="preserve"> </w:t>
      </w:r>
      <w:r w:rsidRPr="00E476FB">
        <w:rPr>
          <w:rFonts w:ascii="Arial" w:eastAsia="Arial" w:hAnsi="Arial" w:cs="Arial"/>
        </w:rPr>
        <w:t>su</w:t>
      </w:r>
      <w:r w:rsidRPr="00E476FB">
        <w:rPr>
          <w:rFonts w:ascii="Arial" w:eastAsia="Arial" w:hAnsi="Arial" w:cs="Arial"/>
          <w:spacing w:val="-3"/>
        </w:rPr>
        <w:t>b</w:t>
      </w:r>
      <w:r w:rsidRPr="00E476FB">
        <w:rPr>
          <w:rFonts w:ascii="Arial" w:eastAsia="Arial" w:hAnsi="Arial" w:cs="Arial"/>
        </w:rPr>
        <w:t>s</w:t>
      </w:r>
      <w:r w:rsidRPr="00E476FB">
        <w:rPr>
          <w:rFonts w:ascii="Arial" w:eastAsia="Arial" w:hAnsi="Arial" w:cs="Arial"/>
          <w:spacing w:val="-1"/>
        </w:rPr>
        <w:t>i</w:t>
      </w:r>
      <w:r w:rsidRPr="00E476FB">
        <w:rPr>
          <w:rFonts w:ascii="Arial" w:eastAsia="Arial" w:hAnsi="Arial" w:cs="Arial"/>
        </w:rPr>
        <w:t>d</w:t>
      </w:r>
      <w:r w:rsidRPr="00E476FB">
        <w:rPr>
          <w:rFonts w:ascii="Arial" w:eastAsia="Arial" w:hAnsi="Arial" w:cs="Arial"/>
          <w:spacing w:val="-1"/>
        </w:rPr>
        <w:t>i</w:t>
      </w:r>
      <w:r w:rsidRPr="00E476FB">
        <w:rPr>
          <w:rFonts w:ascii="Arial" w:eastAsia="Arial" w:hAnsi="Arial" w:cs="Arial"/>
        </w:rPr>
        <w:t>a</w:t>
      </w:r>
      <w:r w:rsidRPr="00E476FB">
        <w:rPr>
          <w:rFonts w:ascii="Arial" w:eastAsia="Arial" w:hAnsi="Arial" w:cs="Arial"/>
          <w:spacing w:val="-1"/>
        </w:rPr>
        <w:t>d</w:t>
      </w:r>
      <w:r w:rsidRPr="00E476FB">
        <w:rPr>
          <w:rFonts w:ascii="Arial" w:eastAsia="Arial" w:hAnsi="Arial" w:cs="Arial"/>
        </w:rPr>
        <w:t xml:space="preserve">o </w:t>
      </w:r>
      <w:r w:rsidRPr="00E476FB">
        <w:rPr>
          <w:rFonts w:ascii="Arial" w:eastAsia="Arial" w:hAnsi="Arial" w:cs="Arial"/>
          <w:spacing w:val="1"/>
        </w:rPr>
        <w:t>r</w:t>
      </w:r>
      <w:r w:rsidRPr="00E476FB">
        <w:rPr>
          <w:rFonts w:ascii="Arial" w:eastAsia="Arial" w:hAnsi="Arial" w:cs="Arial"/>
        </w:rPr>
        <w:t>e</w:t>
      </w:r>
      <w:r w:rsidRPr="00E476FB">
        <w:rPr>
          <w:rFonts w:ascii="Arial" w:eastAsia="Arial" w:hAnsi="Arial" w:cs="Arial"/>
          <w:spacing w:val="-1"/>
        </w:rPr>
        <w:t>p</w:t>
      </w:r>
      <w:r w:rsidRPr="00E476FB">
        <w:rPr>
          <w:rFonts w:ascii="Arial" w:eastAsia="Arial" w:hAnsi="Arial" w:cs="Arial"/>
        </w:rPr>
        <w:t>o</w:t>
      </w:r>
      <w:r w:rsidRPr="00E476FB">
        <w:rPr>
          <w:rFonts w:ascii="Arial" w:eastAsia="Arial" w:hAnsi="Arial" w:cs="Arial"/>
          <w:spacing w:val="-2"/>
        </w:rPr>
        <w:t>r</w:t>
      </w:r>
      <w:r w:rsidRPr="00E476FB">
        <w:rPr>
          <w:rFonts w:ascii="Arial" w:eastAsia="Arial" w:hAnsi="Arial" w:cs="Arial"/>
          <w:spacing w:val="1"/>
        </w:rPr>
        <w:t>t</w:t>
      </w:r>
      <w:r w:rsidRPr="00E476FB">
        <w:rPr>
          <w:rFonts w:ascii="Arial" w:eastAsia="Arial" w:hAnsi="Arial" w:cs="Arial"/>
        </w:rPr>
        <w:t>a</w:t>
      </w:r>
      <w:r w:rsidRPr="00E476FB">
        <w:rPr>
          <w:rFonts w:ascii="Arial" w:eastAsia="Arial" w:hAnsi="Arial" w:cs="Arial"/>
          <w:spacing w:val="-1"/>
        </w:rPr>
        <w:t>d</w:t>
      </w:r>
      <w:r w:rsidRPr="00E476FB">
        <w:rPr>
          <w:rFonts w:ascii="Arial" w:eastAsia="Arial" w:hAnsi="Arial" w:cs="Arial"/>
        </w:rPr>
        <w:t>os</w:t>
      </w:r>
      <w:r w:rsidRPr="00E476FB">
        <w:rPr>
          <w:rFonts w:ascii="Arial" w:eastAsia="Arial" w:hAnsi="Arial" w:cs="Arial"/>
          <w:spacing w:val="-4"/>
        </w:rPr>
        <w:t xml:space="preserve"> </w:t>
      </w:r>
      <w:r w:rsidRPr="00E476FB">
        <w:rPr>
          <w:rFonts w:ascii="Arial" w:eastAsia="Arial" w:hAnsi="Arial" w:cs="Arial"/>
        </w:rPr>
        <w:t>en</w:t>
      </w:r>
      <w:r w:rsidRPr="00E476FB">
        <w:rPr>
          <w:rFonts w:ascii="Arial" w:eastAsia="Arial" w:hAnsi="Arial" w:cs="Arial"/>
          <w:spacing w:val="-4"/>
        </w:rPr>
        <w:t xml:space="preserve"> </w:t>
      </w:r>
      <w:r w:rsidRPr="00E476FB">
        <w:rPr>
          <w:rFonts w:ascii="Arial" w:eastAsia="Arial" w:hAnsi="Arial" w:cs="Arial"/>
          <w:spacing w:val="-1"/>
        </w:rPr>
        <w:t>l</w:t>
      </w:r>
      <w:r w:rsidRPr="00E476FB">
        <w:rPr>
          <w:rFonts w:ascii="Arial" w:eastAsia="Arial" w:hAnsi="Arial" w:cs="Arial"/>
        </w:rPr>
        <w:t>a</w:t>
      </w:r>
      <w:r w:rsidRPr="00E476FB">
        <w:rPr>
          <w:rFonts w:ascii="Arial" w:eastAsia="Arial" w:hAnsi="Arial" w:cs="Arial"/>
          <w:spacing w:val="-4"/>
        </w:rPr>
        <w:t xml:space="preserve"> </w:t>
      </w:r>
      <w:r w:rsidRPr="00E476FB">
        <w:rPr>
          <w:rFonts w:ascii="Arial" w:eastAsia="Arial" w:hAnsi="Arial" w:cs="Arial"/>
          <w:spacing w:val="-1"/>
        </w:rPr>
        <w:t>BDU</w:t>
      </w:r>
      <w:r w:rsidRPr="00E476FB">
        <w:rPr>
          <w:rFonts w:ascii="Arial" w:eastAsia="Arial" w:hAnsi="Arial" w:cs="Arial"/>
        </w:rPr>
        <w:t>A</w:t>
      </w:r>
      <w:r w:rsidRPr="00E476FB">
        <w:rPr>
          <w:rFonts w:ascii="Arial" w:eastAsia="Arial" w:hAnsi="Arial" w:cs="Arial"/>
          <w:spacing w:val="-4"/>
        </w:rPr>
        <w:t xml:space="preserve"> </w:t>
      </w:r>
      <w:r w:rsidRPr="00E476FB">
        <w:rPr>
          <w:rFonts w:ascii="Arial" w:eastAsia="Arial" w:hAnsi="Arial" w:cs="Arial"/>
        </w:rPr>
        <w:t>a</w:t>
      </w:r>
      <w:r w:rsidR="00EA54C0">
        <w:rPr>
          <w:rFonts w:ascii="Arial" w:eastAsia="Arial" w:hAnsi="Arial" w:cs="Arial"/>
        </w:rPr>
        <w:t>l</w:t>
      </w:r>
      <w:r w:rsidRPr="00E476FB">
        <w:rPr>
          <w:rFonts w:ascii="Arial" w:eastAsia="Arial" w:hAnsi="Arial" w:cs="Arial"/>
          <w:spacing w:val="-4"/>
        </w:rPr>
        <w:t xml:space="preserve"> </w:t>
      </w:r>
      <w:r w:rsidRPr="00E476FB">
        <w:rPr>
          <w:rFonts w:ascii="Arial" w:eastAsia="Arial" w:hAnsi="Arial" w:cs="Arial"/>
          <w:spacing w:val="1"/>
        </w:rPr>
        <w:t>3</w:t>
      </w:r>
      <w:r w:rsidRPr="00E476FB">
        <w:rPr>
          <w:rFonts w:ascii="Arial" w:eastAsia="Arial" w:hAnsi="Arial" w:cs="Arial"/>
        </w:rPr>
        <w:t>1</w:t>
      </w:r>
      <w:r w:rsidRPr="00E476FB">
        <w:rPr>
          <w:rFonts w:ascii="Arial" w:eastAsia="Arial" w:hAnsi="Arial" w:cs="Arial"/>
          <w:spacing w:val="-4"/>
        </w:rPr>
        <w:t xml:space="preserve"> </w:t>
      </w:r>
      <w:r w:rsidRPr="00E476FB">
        <w:rPr>
          <w:rFonts w:ascii="Arial" w:eastAsia="Arial" w:hAnsi="Arial" w:cs="Arial"/>
        </w:rPr>
        <w:t>de</w:t>
      </w:r>
      <w:r w:rsidRPr="00E476FB">
        <w:rPr>
          <w:rFonts w:ascii="Arial" w:eastAsia="Arial" w:hAnsi="Arial" w:cs="Arial"/>
          <w:spacing w:val="-4"/>
        </w:rPr>
        <w:t xml:space="preserve"> julio </w:t>
      </w:r>
      <w:r w:rsidRPr="00E476FB">
        <w:rPr>
          <w:rFonts w:ascii="Arial" w:eastAsia="Arial" w:hAnsi="Arial" w:cs="Arial"/>
        </w:rPr>
        <w:t>de</w:t>
      </w:r>
      <w:r w:rsidRPr="00E476FB">
        <w:rPr>
          <w:rFonts w:ascii="Arial" w:eastAsia="Arial" w:hAnsi="Arial" w:cs="Arial"/>
          <w:spacing w:val="-4"/>
        </w:rPr>
        <w:t xml:space="preserve"> </w:t>
      </w:r>
      <w:r w:rsidRPr="00E476FB">
        <w:rPr>
          <w:rFonts w:ascii="Arial" w:eastAsia="Arial" w:hAnsi="Arial" w:cs="Arial"/>
        </w:rPr>
        <w:t>2</w:t>
      </w:r>
      <w:r w:rsidRPr="00E476FB">
        <w:rPr>
          <w:rFonts w:ascii="Arial" w:eastAsia="Arial" w:hAnsi="Arial" w:cs="Arial"/>
          <w:spacing w:val="-1"/>
        </w:rPr>
        <w:t>02</w:t>
      </w:r>
      <w:r w:rsidRPr="00E476FB">
        <w:rPr>
          <w:rFonts w:ascii="Arial" w:eastAsia="Arial" w:hAnsi="Arial" w:cs="Arial"/>
          <w:spacing w:val="-3"/>
        </w:rPr>
        <w:t>1</w:t>
      </w:r>
      <w:r w:rsidR="00BC21B7">
        <w:rPr>
          <w:rFonts w:ascii="Arial" w:eastAsia="Arial" w:hAnsi="Arial" w:cs="Arial"/>
        </w:rPr>
        <w:t xml:space="preserve">. Se encuentra presente en </w:t>
      </w:r>
      <w:r w:rsidRPr="00E476FB">
        <w:rPr>
          <w:rFonts w:ascii="Arial" w:eastAsia="Arial" w:hAnsi="Arial" w:cs="Arial"/>
        </w:rPr>
        <w:t>136</w:t>
      </w:r>
      <w:r w:rsidRPr="00E476FB">
        <w:rPr>
          <w:rFonts w:ascii="Arial" w:eastAsia="Arial" w:hAnsi="Arial" w:cs="Arial"/>
          <w:spacing w:val="-1"/>
        </w:rPr>
        <w:t xml:space="preserve"> </w:t>
      </w:r>
      <w:r w:rsidRPr="00E476FB">
        <w:rPr>
          <w:rFonts w:ascii="Arial" w:eastAsia="Arial" w:hAnsi="Arial" w:cs="Arial"/>
          <w:spacing w:val="1"/>
        </w:rPr>
        <w:t>m</w:t>
      </w:r>
      <w:r w:rsidRPr="00E476FB">
        <w:rPr>
          <w:rFonts w:ascii="Arial" w:eastAsia="Arial" w:hAnsi="Arial" w:cs="Arial"/>
        </w:rPr>
        <w:t>u</w:t>
      </w:r>
      <w:r w:rsidRPr="00E476FB">
        <w:rPr>
          <w:rFonts w:ascii="Arial" w:eastAsia="Arial" w:hAnsi="Arial" w:cs="Arial"/>
          <w:spacing w:val="-1"/>
        </w:rPr>
        <w:t>ni</w:t>
      </w:r>
      <w:r w:rsidRPr="00E476FB">
        <w:rPr>
          <w:rFonts w:ascii="Arial" w:eastAsia="Arial" w:hAnsi="Arial" w:cs="Arial"/>
        </w:rPr>
        <w:t>c</w:t>
      </w:r>
      <w:r w:rsidRPr="00E476FB">
        <w:rPr>
          <w:rFonts w:ascii="Arial" w:eastAsia="Arial" w:hAnsi="Arial" w:cs="Arial"/>
          <w:spacing w:val="-1"/>
        </w:rPr>
        <w:t>i</w:t>
      </w:r>
      <w:r w:rsidRPr="00E476FB">
        <w:rPr>
          <w:rFonts w:ascii="Arial" w:eastAsia="Arial" w:hAnsi="Arial" w:cs="Arial"/>
        </w:rPr>
        <w:t>p</w:t>
      </w:r>
      <w:r w:rsidRPr="00E476FB">
        <w:rPr>
          <w:rFonts w:ascii="Arial" w:eastAsia="Arial" w:hAnsi="Arial" w:cs="Arial"/>
          <w:spacing w:val="-1"/>
        </w:rPr>
        <w:t>i</w:t>
      </w:r>
      <w:r w:rsidRPr="00E476FB">
        <w:rPr>
          <w:rFonts w:ascii="Arial" w:eastAsia="Arial" w:hAnsi="Arial" w:cs="Arial"/>
        </w:rPr>
        <w:t>os y</w:t>
      </w:r>
      <w:r w:rsidRPr="00E476FB">
        <w:rPr>
          <w:rFonts w:ascii="Arial" w:eastAsia="Arial" w:hAnsi="Arial" w:cs="Arial"/>
          <w:spacing w:val="2"/>
        </w:rPr>
        <w:t xml:space="preserve"> </w:t>
      </w:r>
      <w:r w:rsidRPr="00E476FB">
        <w:rPr>
          <w:rFonts w:ascii="Arial" w:eastAsia="Arial" w:hAnsi="Arial" w:cs="Arial"/>
        </w:rPr>
        <w:t>8</w:t>
      </w:r>
      <w:r w:rsidRPr="00E476FB">
        <w:rPr>
          <w:rFonts w:ascii="Arial" w:eastAsia="Arial" w:hAnsi="Arial" w:cs="Arial"/>
          <w:spacing w:val="-2"/>
        </w:rPr>
        <w:t xml:space="preserve"> </w:t>
      </w:r>
      <w:r w:rsidRPr="00E476FB">
        <w:rPr>
          <w:rFonts w:ascii="Arial" w:eastAsia="Arial" w:hAnsi="Arial" w:cs="Arial"/>
        </w:rPr>
        <w:t>d</w:t>
      </w:r>
      <w:r w:rsidRPr="00E476FB">
        <w:rPr>
          <w:rFonts w:ascii="Arial" w:eastAsia="Arial" w:hAnsi="Arial" w:cs="Arial"/>
          <w:spacing w:val="-1"/>
        </w:rPr>
        <w:t>e</w:t>
      </w:r>
      <w:r w:rsidRPr="00E476FB">
        <w:rPr>
          <w:rFonts w:ascii="Arial" w:eastAsia="Arial" w:hAnsi="Arial" w:cs="Arial"/>
        </w:rPr>
        <w:t>p</w:t>
      </w:r>
      <w:r w:rsidRPr="00E476FB">
        <w:rPr>
          <w:rFonts w:ascii="Arial" w:eastAsia="Arial" w:hAnsi="Arial" w:cs="Arial"/>
          <w:spacing w:val="-1"/>
        </w:rPr>
        <w:t>a</w:t>
      </w:r>
      <w:r w:rsidRPr="00E476FB">
        <w:rPr>
          <w:rFonts w:ascii="Arial" w:eastAsia="Arial" w:hAnsi="Arial" w:cs="Arial"/>
          <w:spacing w:val="-2"/>
        </w:rPr>
        <w:t>r</w:t>
      </w:r>
      <w:r w:rsidRPr="00E476FB">
        <w:rPr>
          <w:rFonts w:ascii="Arial" w:eastAsia="Arial" w:hAnsi="Arial" w:cs="Arial"/>
          <w:spacing w:val="1"/>
        </w:rPr>
        <w:t>t</w:t>
      </w:r>
      <w:r w:rsidRPr="00E476FB">
        <w:rPr>
          <w:rFonts w:ascii="Arial" w:eastAsia="Arial" w:hAnsi="Arial" w:cs="Arial"/>
        </w:rPr>
        <w:t>ame</w:t>
      </w:r>
      <w:r w:rsidRPr="00E476FB">
        <w:rPr>
          <w:rFonts w:ascii="Arial" w:eastAsia="Arial" w:hAnsi="Arial" w:cs="Arial"/>
          <w:spacing w:val="-3"/>
        </w:rPr>
        <w:t>n</w:t>
      </w:r>
      <w:r w:rsidRPr="00E476FB">
        <w:rPr>
          <w:rFonts w:ascii="Arial" w:eastAsia="Arial" w:hAnsi="Arial" w:cs="Arial"/>
          <w:spacing w:val="1"/>
        </w:rPr>
        <w:t>t</w:t>
      </w:r>
      <w:r w:rsidRPr="00E476FB">
        <w:rPr>
          <w:rFonts w:ascii="Arial" w:eastAsia="Arial" w:hAnsi="Arial" w:cs="Arial"/>
        </w:rPr>
        <w:t>o</w:t>
      </w:r>
      <w:r w:rsidRPr="00E476FB">
        <w:rPr>
          <w:rFonts w:ascii="Arial" w:eastAsia="Arial" w:hAnsi="Arial" w:cs="Arial"/>
          <w:spacing w:val="-3"/>
        </w:rPr>
        <w:t>s</w:t>
      </w:r>
      <w:r w:rsidRPr="00E476FB">
        <w:rPr>
          <w:rFonts w:ascii="Arial" w:eastAsia="Arial" w:hAnsi="Arial" w:cs="Arial"/>
        </w:rPr>
        <w:t xml:space="preserve">.  </w:t>
      </w:r>
    </w:p>
    <w:p w14:paraId="7CA9D8B5" w14:textId="77777777" w:rsidR="00366B5A" w:rsidRPr="00E476FB" w:rsidRDefault="00366B5A" w:rsidP="00366B5A">
      <w:pPr>
        <w:pStyle w:val="Prrafodelista"/>
        <w:spacing w:after="0" w:line="240" w:lineRule="auto"/>
        <w:ind w:left="0" w:right="-142"/>
        <w:jc w:val="both"/>
        <w:rPr>
          <w:rFonts w:ascii="Arial" w:eastAsia="Arial" w:hAnsi="Arial" w:cs="Arial"/>
        </w:rPr>
      </w:pPr>
    </w:p>
    <w:p w14:paraId="22F839D5" w14:textId="65A4BC64" w:rsidR="00366B5A" w:rsidRPr="00E476FB" w:rsidRDefault="00BC21B7" w:rsidP="00366B5A">
      <w:pPr>
        <w:pStyle w:val="Prrafodelista"/>
        <w:spacing w:after="0" w:line="240" w:lineRule="auto"/>
        <w:ind w:left="0" w:right="-142"/>
        <w:jc w:val="both"/>
        <w:rPr>
          <w:rFonts w:ascii="Arial" w:eastAsia="Arial" w:hAnsi="Arial" w:cs="Arial"/>
        </w:rPr>
      </w:pPr>
      <w:r w:rsidRPr="00E476FB">
        <w:rPr>
          <w:rFonts w:ascii="Arial" w:hAnsi="Arial" w:cs="Arial"/>
          <w:lang w:val="es-MX"/>
        </w:rPr>
        <w:t>De acuerdo con el seguimiento y monitoreo a</w:t>
      </w:r>
      <w:r>
        <w:rPr>
          <w:rFonts w:ascii="Arial" w:hAnsi="Arial" w:cs="Arial"/>
          <w:lang w:val="es-MX"/>
        </w:rPr>
        <w:t xml:space="preserve"> los indicadores del componente técnico científico se ha identificado que</w:t>
      </w:r>
      <w:r w:rsidR="00EA54C0">
        <w:rPr>
          <w:rFonts w:ascii="Arial" w:hAnsi="Arial" w:cs="Arial"/>
          <w:lang w:val="es-MX"/>
        </w:rPr>
        <w:t>,</w:t>
      </w:r>
      <w:r>
        <w:rPr>
          <w:rFonts w:ascii="Arial" w:hAnsi="Arial" w:cs="Arial"/>
          <w:lang w:val="es-MX"/>
        </w:rPr>
        <w:t xml:space="preserve"> </w:t>
      </w:r>
      <w:r w:rsidR="00366B5A" w:rsidRPr="00E476FB">
        <w:rPr>
          <w:rFonts w:ascii="Arial" w:hAnsi="Arial" w:cs="Arial"/>
          <w:lang w:val="es-ES"/>
        </w:rPr>
        <w:t>a junio de 202</w:t>
      </w:r>
      <w:r w:rsidR="00EA54C0">
        <w:rPr>
          <w:rFonts w:ascii="Arial" w:hAnsi="Arial" w:cs="Arial"/>
          <w:lang w:val="es-ES"/>
        </w:rPr>
        <w:t>,</w:t>
      </w:r>
      <w:r w:rsidR="00366B5A" w:rsidRPr="00E476FB">
        <w:rPr>
          <w:rFonts w:ascii="Arial" w:hAnsi="Arial" w:cs="Arial"/>
          <w:lang w:val="es-ES"/>
        </w:rPr>
        <w:t>1</w:t>
      </w:r>
      <w:r>
        <w:rPr>
          <w:rFonts w:ascii="Arial" w:hAnsi="Arial" w:cs="Arial"/>
          <w:lang w:val="es-ES"/>
        </w:rPr>
        <w:t xml:space="preserve"> la entidad presenta </w:t>
      </w:r>
      <w:r w:rsidR="00366B5A" w:rsidRPr="00E476FB">
        <w:rPr>
          <w:rFonts w:ascii="Arial" w:hAnsi="Arial" w:cs="Arial"/>
        </w:rPr>
        <w:t xml:space="preserve">un incremento en la </w:t>
      </w:r>
      <w:r w:rsidR="00366B5A" w:rsidRPr="00E476FB">
        <w:rPr>
          <w:rFonts w:ascii="Arial" w:eastAsia="Arial" w:hAnsi="Arial" w:cs="Arial"/>
          <w:spacing w:val="1"/>
        </w:rPr>
        <w:t>t</w:t>
      </w:r>
      <w:r w:rsidR="00366B5A" w:rsidRPr="00E476FB">
        <w:rPr>
          <w:rFonts w:ascii="Arial" w:eastAsia="Arial" w:hAnsi="Arial" w:cs="Arial"/>
        </w:rPr>
        <w:t>asa</w:t>
      </w:r>
      <w:r w:rsidR="00366B5A" w:rsidRPr="00E476FB">
        <w:rPr>
          <w:rFonts w:ascii="Arial" w:eastAsia="Arial" w:hAnsi="Arial" w:cs="Arial"/>
          <w:spacing w:val="-6"/>
        </w:rPr>
        <w:t xml:space="preserve"> </w:t>
      </w:r>
      <w:r w:rsidR="00366B5A" w:rsidRPr="00E476FB">
        <w:rPr>
          <w:rFonts w:ascii="Arial" w:eastAsia="Arial" w:hAnsi="Arial" w:cs="Arial"/>
          <w:spacing w:val="-1"/>
        </w:rPr>
        <w:t>i</w:t>
      </w:r>
      <w:r w:rsidR="00366B5A" w:rsidRPr="00E476FB">
        <w:rPr>
          <w:rFonts w:ascii="Arial" w:eastAsia="Arial" w:hAnsi="Arial" w:cs="Arial"/>
        </w:rPr>
        <w:t>nc</w:t>
      </w:r>
      <w:r w:rsidR="00366B5A" w:rsidRPr="00E476FB">
        <w:rPr>
          <w:rFonts w:ascii="Arial" w:eastAsia="Arial" w:hAnsi="Arial" w:cs="Arial"/>
          <w:spacing w:val="-1"/>
        </w:rPr>
        <w:t>i</w:t>
      </w:r>
      <w:r w:rsidR="00366B5A" w:rsidRPr="00E476FB">
        <w:rPr>
          <w:rFonts w:ascii="Arial" w:eastAsia="Arial" w:hAnsi="Arial" w:cs="Arial"/>
        </w:rPr>
        <w:t>d</w:t>
      </w:r>
      <w:r w:rsidR="00366B5A" w:rsidRPr="00E476FB">
        <w:rPr>
          <w:rFonts w:ascii="Arial" w:eastAsia="Arial" w:hAnsi="Arial" w:cs="Arial"/>
          <w:spacing w:val="-1"/>
        </w:rPr>
        <w:t>e</w:t>
      </w:r>
      <w:r w:rsidR="00366B5A" w:rsidRPr="00E476FB">
        <w:rPr>
          <w:rFonts w:ascii="Arial" w:eastAsia="Arial" w:hAnsi="Arial" w:cs="Arial"/>
        </w:rPr>
        <w:t>nc</w:t>
      </w:r>
      <w:r w:rsidR="00366B5A" w:rsidRPr="00E476FB">
        <w:rPr>
          <w:rFonts w:ascii="Arial" w:eastAsia="Arial" w:hAnsi="Arial" w:cs="Arial"/>
          <w:spacing w:val="-1"/>
        </w:rPr>
        <w:t>i</w:t>
      </w:r>
      <w:r w:rsidR="00366B5A" w:rsidRPr="00E476FB">
        <w:rPr>
          <w:rFonts w:ascii="Arial" w:eastAsia="Arial" w:hAnsi="Arial" w:cs="Arial"/>
        </w:rPr>
        <w:t>a</w:t>
      </w:r>
      <w:r w:rsidR="00366B5A" w:rsidRPr="00E476FB">
        <w:rPr>
          <w:rFonts w:ascii="Arial" w:eastAsia="Arial" w:hAnsi="Arial" w:cs="Arial"/>
          <w:spacing w:val="-4"/>
        </w:rPr>
        <w:t xml:space="preserve"> </w:t>
      </w:r>
      <w:r w:rsidR="00366B5A" w:rsidRPr="00E476FB">
        <w:rPr>
          <w:rFonts w:ascii="Arial" w:eastAsia="Arial" w:hAnsi="Arial" w:cs="Arial"/>
        </w:rPr>
        <w:t>de</w:t>
      </w:r>
      <w:r w:rsidR="00366B5A" w:rsidRPr="00E476FB">
        <w:rPr>
          <w:rFonts w:ascii="Arial" w:eastAsia="Arial" w:hAnsi="Arial" w:cs="Arial"/>
          <w:spacing w:val="-6"/>
        </w:rPr>
        <w:t xml:space="preserve"> </w:t>
      </w:r>
      <w:r w:rsidR="00366B5A" w:rsidRPr="00E476FB">
        <w:rPr>
          <w:rFonts w:ascii="Arial" w:eastAsia="Arial" w:hAnsi="Arial" w:cs="Arial"/>
          <w:spacing w:val="-1"/>
        </w:rPr>
        <w:t>Sí</w:t>
      </w:r>
      <w:r w:rsidR="00366B5A" w:rsidRPr="00E476FB">
        <w:rPr>
          <w:rFonts w:ascii="Arial" w:eastAsia="Arial" w:hAnsi="Arial" w:cs="Arial"/>
          <w:spacing w:val="1"/>
        </w:rPr>
        <w:t>f</w:t>
      </w:r>
      <w:r w:rsidR="00366B5A" w:rsidRPr="00E476FB">
        <w:rPr>
          <w:rFonts w:ascii="Arial" w:eastAsia="Arial" w:hAnsi="Arial" w:cs="Arial"/>
          <w:spacing w:val="-1"/>
        </w:rPr>
        <w:t>ili</w:t>
      </w:r>
      <w:r w:rsidR="00366B5A" w:rsidRPr="00E476FB">
        <w:rPr>
          <w:rFonts w:ascii="Arial" w:eastAsia="Arial" w:hAnsi="Arial" w:cs="Arial"/>
        </w:rPr>
        <w:t>s</w:t>
      </w:r>
      <w:r w:rsidR="00366B5A" w:rsidRPr="00E476FB">
        <w:rPr>
          <w:rFonts w:ascii="Arial" w:eastAsia="Arial" w:hAnsi="Arial" w:cs="Arial"/>
          <w:spacing w:val="-3"/>
        </w:rPr>
        <w:t xml:space="preserve"> </w:t>
      </w:r>
      <w:r w:rsidR="00366B5A" w:rsidRPr="00E476FB">
        <w:rPr>
          <w:rFonts w:ascii="Arial" w:eastAsia="Arial" w:hAnsi="Arial" w:cs="Arial"/>
          <w:spacing w:val="-1"/>
        </w:rPr>
        <w:t>C</w:t>
      </w:r>
      <w:r w:rsidR="00366B5A" w:rsidRPr="00E476FB">
        <w:rPr>
          <w:rFonts w:ascii="Arial" w:eastAsia="Arial" w:hAnsi="Arial" w:cs="Arial"/>
        </w:rPr>
        <w:t>o</w:t>
      </w:r>
      <w:r w:rsidR="00366B5A" w:rsidRPr="00E476FB">
        <w:rPr>
          <w:rFonts w:ascii="Arial" w:eastAsia="Arial" w:hAnsi="Arial" w:cs="Arial"/>
          <w:spacing w:val="-1"/>
        </w:rPr>
        <w:t>n</w:t>
      </w:r>
      <w:r w:rsidR="00366B5A" w:rsidRPr="00E476FB">
        <w:rPr>
          <w:rFonts w:ascii="Arial" w:eastAsia="Arial" w:hAnsi="Arial" w:cs="Arial"/>
        </w:rPr>
        <w:t>g</w:t>
      </w:r>
      <w:r w:rsidR="00366B5A" w:rsidRPr="00E476FB">
        <w:rPr>
          <w:rFonts w:ascii="Arial" w:eastAsia="Arial" w:hAnsi="Arial" w:cs="Arial"/>
          <w:spacing w:val="-1"/>
        </w:rPr>
        <w:t>é</w:t>
      </w:r>
      <w:r w:rsidR="00366B5A" w:rsidRPr="00E476FB">
        <w:rPr>
          <w:rFonts w:ascii="Arial" w:eastAsia="Arial" w:hAnsi="Arial" w:cs="Arial"/>
        </w:rPr>
        <w:t>n</w:t>
      </w:r>
      <w:r w:rsidR="00366B5A" w:rsidRPr="00E476FB">
        <w:rPr>
          <w:rFonts w:ascii="Arial" w:eastAsia="Arial" w:hAnsi="Arial" w:cs="Arial"/>
          <w:spacing w:val="-1"/>
        </w:rPr>
        <w:t>i</w:t>
      </w:r>
      <w:r w:rsidR="00366B5A" w:rsidRPr="00E476FB">
        <w:rPr>
          <w:rFonts w:ascii="Arial" w:eastAsia="Arial" w:hAnsi="Arial" w:cs="Arial"/>
          <w:spacing w:val="1"/>
        </w:rPr>
        <w:t>t</w:t>
      </w:r>
      <w:r w:rsidR="00366B5A" w:rsidRPr="00E476FB">
        <w:rPr>
          <w:rFonts w:ascii="Arial" w:eastAsia="Arial" w:hAnsi="Arial" w:cs="Arial"/>
        </w:rPr>
        <w:t>a</w:t>
      </w:r>
      <w:r w:rsidR="00366B5A" w:rsidRPr="00E476FB">
        <w:rPr>
          <w:rFonts w:ascii="Arial" w:eastAsia="Arial" w:hAnsi="Arial" w:cs="Arial"/>
          <w:spacing w:val="-7"/>
        </w:rPr>
        <w:t xml:space="preserve"> </w:t>
      </w:r>
      <w:bookmarkStart w:id="1" w:name="_Hlk81511132"/>
      <w:r w:rsidR="00366B5A" w:rsidRPr="00E476FB">
        <w:rPr>
          <w:rFonts w:ascii="Arial" w:eastAsia="Arial" w:hAnsi="Arial" w:cs="Arial"/>
          <w:spacing w:val="-7"/>
        </w:rPr>
        <w:t>y una</w:t>
      </w:r>
      <w:r w:rsidR="00366B5A" w:rsidRPr="00E476FB">
        <w:rPr>
          <w:rFonts w:ascii="Arial" w:hAnsi="Arial" w:cs="Arial"/>
          <w:lang w:val="es-ES"/>
        </w:rPr>
        <w:t xml:space="preserve"> tasa elevada</w:t>
      </w:r>
      <w:bookmarkEnd w:id="1"/>
      <w:r w:rsidR="00366B5A" w:rsidRPr="00E476FB">
        <w:rPr>
          <w:rFonts w:ascii="Arial" w:eastAsia="Arial" w:hAnsi="Arial" w:cs="Arial"/>
          <w:spacing w:val="-6"/>
          <w:lang w:val="es-ES"/>
        </w:rPr>
        <w:t xml:space="preserve"> </w:t>
      </w:r>
      <w:r w:rsidR="00366B5A" w:rsidRPr="00E476FB">
        <w:rPr>
          <w:rFonts w:ascii="Arial" w:eastAsia="Arial" w:hAnsi="Arial" w:cs="Arial"/>
          <w:spacing w:val="-3"/>
        </w:rPr>
        <w:t>d</w:t>
      </w:r>
      <w:r w:rsidR="00366B5A" w:rsidRPr="00E476FB">
        <w:rPr>
          <w:rFonts w:ascii="Arial" w:eastAsia="Arial" w:hAnsi="Arial" w:cs="Arial"/>
        </w:rPr>
        <w:t xml:space="preserve">e </w:t>
      </w:r>
      <w:r w:rsidR="00366B5A" w:rsidRPr="00E476FB">
        <w:rPr>
          <w:rFonts w:ascii="Arial" w:eastAsia="Arial" w:hAnsi="Arial" w:cs="Arial"/>
          <w:spacing w:val="1"/>
        </w:rPr>
        <w:t>m</w:t>
      </w:r>
      <w:r w:rsidR="00366B5A" w:rsidRPr="00E476FB">
        <w:rPr>
          <w:rFonts w:ascii="Arial" w:eastAsia="Arial" w:hAnsi="Arial" w:cs="Arial"/>
        </w:rPr>
        <w:t>o</w:t>
      </w:r>
      <w:r w:rsidR="00366B5A" w:rsidRPr="00E476FB">
        <w:rPr>
          <w:rFonts w:ascii="Arial" w:eastAsia="Arial" w:hAnsi="Arial" w:cs="Arial"/>
          <w:spacing w:val="-2"/>
        </w:rPr>
        <w:t>r</w:t>
      </w:r>
      <w:r w:rsidR="00366B5A" w:rsidRPr="00E476FB">
        <w:rPr>
          <w:rFonts w:ascii="Arial" w:eastAsia="Arial" w:hAnsi="Arial" w:cs="Arial"/>
          <w:spacing w:val="1"/>
        </w:rPr>
        <w:t>t</w:t>
      </w:r>
      <w:r w:rsidR="00366B5A" w:rsidRPr="00E476FB">
        <w:rPr>
          <w:rFonts w:ascii="Arial" w:eastAsia="Arial" w:hAnsi="Arial" w:cs="Arial"/>
        </w:rPr>
        <w:t>a</w:t>
      </w:r>
      <w:r w:rsidR="00366B5A" w:rsidRPr="00E476FB">
        <w:rPr>
          <w:rFonts w:ascii="Arial" w:eastAsia="Arial" w:hAnsi="Arial" w:cs="Arial"/>
          <w:spacing w:val="-1"/>
        </w:rPr>
        <w:t>li</w:t>
      </w:r>
      <w:r w:rsidR="00366B5A" w:rsidRPr="00E476FB">
        <w:rPr>
          <w:rFonts w:ascii="Arial" w:eastAsia="Arial" w:hAnsi="Arial" w:cs="Arial"/>
        </w:rPr>
        <w:t>d</w:t>
      </w:r>
      <w:r w:rsidR="00366B5A" w:rsidRPr="00E476FB">
        <w:rPr>
          <w:rFonts w:ascii="Arial" w:eastAsia="Arial" w:hAnsi="Arial" w:cs="Arial"/>
          <w:spacing w:val="-1"/>
        </w:rPr>
        <w:t>a</w:t>
      </w:r>
      <w:r w:rsidR="00366B5A" w:rsidRPr="00E476FB">
        <w:rPr>
          <w:rFonts w:ascii="Arial" w:eastAsia="Arial" w:hAnsi="Arial" w:cs="Arial"/>
        </w:rPr>
        <w:t>d</w:t>
      </w:r>
      <w:r w:rsidR="00366B5A" w:rsidRPr="00E476FB">
        <w:rPr>
          <w:rFonts w:ascii="Arial" w:eastAsia="Arial" w:hAnsi="Arial" w:cs="Arial"/>
          <w:spacing w:val="-9"/>
        </w:rPr>
        <w:t xml:space="preserve"> </w:t>
      </w:r>
      <w:r w:rsidR="00366B5A" w:rsidRPr="00E476FB">
        <w:rPr>
          <w:rFonts w:ascii="Arial" w:eastAsia="Arial" w:hAnsi="Arial" w:cs="Arial"/>
        </w:rPr>
        <w:t>p</w:t>
      </w:r>
      <w:r w:rsidR="00366B5A" w:rsidRPr="00E476FB">
        <w:rPr>
          <w:rFonts w:ascii="Arial" w:eastAsia="Arial" w:hAnsi="Arial" w:cs="Arial"/>
          <w:spacing w:val="-1"/>
        </w:rPr>
        <w:t>e</w:t>
      </w:r>
      <w:r w:rsidR="00366B5A" w:rsidRPr="00E476FB">
        <w:rPr>
          <w:rFonts w:ascii="Arial" w:eastAsia="Arial" w:hAnsi="Arial" w:cs="Arial"/>
          <w:spacing w:val="1"/>
        </w:rPr>
        <w:t>r</w:t>
      </w:r>
      <w:r w:rsidR="00366B5A" w:rsidRPr="00E476FB">
        <w:rPr>
          <w:rFonts w:ascii="Arial" w:eastAsia="Arial" w:hAnsi="Arial" w:cs="Arial"/>
          <w:spacing w:val="-1"/>
        </w:rPr>
        <w:t>i</w:t>
      </w:r>
      <w:r w:rsidR="00366B5A" w:rsidRPr="00E476FB">
        <w:rPr>
          <w:rFonts w:ascii="Arial" w:eastAsia="Arial" w:hAnsi="Arial" w:cs="Arial"/>
        </w:rPr>
        <w:t>n</w:t>
      </w:r>
      <w:r w:rsidR="00366B5A" w:rsidRPr="00E476FB">
        <w:rPr>
          <w:rFonts w:ascii="Arial" w:eastAsia="Arial" w:hAnsi="Arial" w:cs="Arial"/>
          <w:spacing w:val="-1"/>
        </w:rPr>
        <w:t>a</w:t>
      </w:r>
      <w:r w:rsidR="00366B5A" w:rsidRPr="00E476FB">
        <w:rPr>
          <w:rFonts w:ascii="Arial" w:eastAsia="Arial" w:hAnsi="Arial" w:cs="Arial"/>
          <w:spacing w:val="1"/>
        </w:rPr>
        <w:t>t</w:t>
      </w:r>
      <w:r w:rsidR="00366B5A" w:rsidRPr="00E476FB">
        <w:rPr>
          <w:rFonts w:ascii="Arial" w:eastAsia="Arial" w:hAnsi="Arial" w:cs="Arial"/>
        </w:rPr>
        <w:t>al</w:t>
      </w:r>
      <w:bookmarkStart w:id="2" w:name="_Hlk81511506"/>
      <w:r w:rsidR="00366B5A" w:rsidRPr="00E476FB">
        <w:rPr>
          <w:rFonts w:ascii="Arial" w:hAnsi="Arial" w:cs="Arial"/>
        </w:rPr>
        <w:t xml:space="preserve">. </w:t>
      </w:r>
      <w:r w:rsidR="00366B5A" w:rsidRPr="00E476FB">
        <w:rPr>
          <w:rFonts w:ascii="Arial" w:hAnsi="Arial" w:cs="Arial"/>
          <w:lang w:val="es-ES"/>
        </w:rPr>
        <w:t xml:space="preserve">Así mismo, se identifican coberturas bajas de acceso al servicio de toma de citología </w:t>
      </w:r>
      <w:r w:rsidR="003D53F5" w:rsidRPr="00E476FB">
        <w:rPr>
          <w:rFonts w:ascii="Arial" w:hAnsi="Arial" w:cs="Arial"/>
          <w:lang w:val="es-ES"/>
        </w:rPr>
        <w:t>cervicouterina</w:t>
      </w:r>
      <w:r w:rsidR="00366B5A" w:rsidRPr="00E476FB">
        <w:rPr>
          <w:rFonts w:ascii="Arial" w:hAnsi="Arial" w:cs="Arial"/>
          <w:lang w:val="es-ES"/>
        </w:rPr>
        <w:t xml:space="preserve"> </w:t>
      </w:r>
      <w:r>
        <w:rPr>
          <w:rFonts w:ascii="Arial" w:hAnsi="Arial" w:cs="Arial"/>
          <w:lang w:val="es-ES"/>
        </w:rPr>
        <w:t xml:space="preserve">y </w:t>
      </w:r>
      <w:r w:rsidR="00366B5A" w:rsidRPr="00E476FB">
        <w:rPr>
          <w:rFonts w:ascii="Arial" w:hAnsi="Arial" w:cs="Arial"/>
          <w:lang w:val="es-ES"/>
        </w:rPr>
        <w:t xml:space="preserve">no está garantizando </w:t>
      </w:r>
      <w:bookmarkEnd w:id="2"/>
      <w:r w:rsidR="00366B5A" w:rsidRPr="00E476FB">
        <w:rPr>
          <w:rFonts w:ascii="Arial" w:hAnsi="Arial" w:cs="Arial"/>
        </w:rPr>
        <w:t xml:space="preserve">al </w:t>
      </w:r>
      <w:r>
        <w:rPr>
          <w:rFonts w:ascii="Arial" w:hAnsi="Arial" w:cs="Arial"/>
        </w:rPr>
        <w:t>total d</w:t>
      </w:r>
      <w:r w:rsidR="00366B5A" w:rsidRPr="00E476FB">
        <w:rPr>
          <w:rFonts w:ascii="Arial" w:hAnsi="Arial" w:cs="Arial"/>
        </w:rPr>
        <w:t>e sus afiliados la entrega oportuna de medicamentos incluidos en el POS.</w:t>
      </w:r>
    </w:p>
    <w:p w14:paraId="27CF6038" w14:textId="77777777" w:rsidR="00366B5A" w:rsidRPr="00E476FB" w:rsidRDefault="00366B5A" w:rsidP="00366B5A">
      <w:pPr>
        <w:pStyle w:val="Prrafodelista"/>
        <w:spacing w:after="0" w:line="240" w:lineRule="auto"/>
        <w:ind w:left="0" w:right="-142"/>
        <w:jc w:val="both"/>
        <w:rPr>
          <w:rFonts w:ascii="Arial" w:eastAsia="Arial" w:hAnsi="Arial" w:cs="Arial"/>
        </w:rPr>
      </w:pPr>
    </w:p>
    <w:p w14:paraId="186DA856" w14:textId="56F907CB" w:rsidR="00366B5A" w:rsidRPr="007C07D9" w:rsidRDefault="00366B5A" w:rsidP="00366B5A">
      <w:pPr>
        <w:pStyle w:val="Prrafodelista"/>
        <w:spacing w:after="0" w:line="240" w:lineRule="auto"/>
        <w:ind w:left="0" w:right="-142"/>
        <w:jc w:val="both"/>
        <w:rPr>
          <w:rFonts w:ascii="Arial" w:hAnsi="Arial" w:cs="Arial"/>
          <w:color w:val="000000"/>
          <w:lang w:eastAsia="es-CO"/>
        </w:rPr>
      </w:pPr>
      <w:r w:rsidRPr="00E476FB">
        <w:rPr>
          <w:rFonts w:ascii="Arial" w:hAnsi="Arial" w:cs="Arial"/>
          <w:color w:val="000000"/>
          <w:lang w:eastAsia="es-CO"/>
        </w:rPr>
        <w:t>En cuanto al seguimiento y monitoreo a</w:t>
      </w:r>
      <w:r w:rsidR="00BC21B7">
        <w:rPr>
          <w:rFonts w:ascii="Arial" w:hAnsi="Arial" w:cs="Arial"/>
          <w:color w:val="000000"/>
          <w:lang w:eastAsia="es-CO"/>
        </w:rPr>
        <w:t xml:space="preserve"> </w:t>
      </w:r>
      <w:r w:rsidRPr="00E476FB">
        <w:rPr>
          <w:rFonts w:ascii="Arial" w:hAnsi="Arial" w:cs="Arial"/>
          <w:color w:val="000000"/>
          <w:lang w:eastAsia="es-CO"/>
        </w:rPr>
        <w:t>l</w:t>
      </w:r>
      <w:r w:rsidR="00BC21B7">
        <w:rPr>
          <w:rFonts w:ascii="Arial" w:hAnsi="Arial" w:cs="Arial"/>
          <w:color w:val="000000"/>
          <w:lang w:eastAsia="es-CO"/>
        </w:rPr>
        <w:t xml:space="preserve">os indicadores del </w:t>
      </w:r>
      <w:r w:rsidRPr="00E476FB">
        <w:rPr>
          <w:rFonts w:ascii="Arial" w:hAnsi="Arial" w:cs="Arial"/>
          <w:color w:val="000000"/>
          <w:lang w:eastAsia="es-CO"/>
        </w:rPr>
        <w:t xml:space="preserve">componente financiero a junio de 2021, </w:t>
      </w:r>
      <w:r w:rsidR="007C07D9">
        <w:rPr>
          <w:rFonts w:ascii="Arial" w:hAnsi="Arial" w:cs="Arial"/>
          <w:color w:val="000000"/>
          <w:lang w:eastAsia="es-CO"/>
        </w:rPr>
        <w:t xml:space="preserve">la entidad presenta unos </w:t>
      </w:r>
      <w:r w:rsidRPr="00E476FB">
        <w:rPr>
          <w:rFonts w:ascii="Arial" w:hAnsi="Arial" w:cs="Arial"/>
          <w:color w:val="000000"/>
          <w:lang w:eastAsia="es-CO"/>
        </w:rPr>
        <w:t xml:space="preserve">activos </w:t>
      </w:r>
      <w:r w:rsidR="007C07D9">
        <w:rPr>
          <w:rFonts w:ascii="Arial" w:hAnsi="Arial" w:cs="Arial"/>
          <w:color w:val="000000"/>
          <w:lang w:eastAsia="es-CO"/>
        </w:rPr>
        <w:t xml:space="preserve">que </w:t>
      </w:r>
      <w:r w:rsidRPr="00E476FB">
        <w:rPr>
          <w:rFonts w:ascii="Arial" w:hAnsi="Arial" w:cs="Arial"/>
          <w:color w:val="000000"/>
          <w:lang w:eastAsia="es-CO"/>
        </w:rPr>
        <w:t>solo cubren el 51% de los pasivos, situación que afecta directamente la estabilidad e</w:t>
      </w:r>
      <w:r w:rsidR="007C07D9">
        <w:rPr>
          <w:rFonts w:ascii="Arial" w:hAnsi="Arial" w:cs="Arial"/>
          <w:color w:val="000000"/>
          <w:lang w:eastAsia="es-CO"/>
        </w:rPr>
        <w:t>n</w:t>
      </w:r>
      <w:r w:rsidRPr="00E476FB">
        <w:rPr>
          <w:rFonts w:ascii="Arial" w:hAnsi="Arial" w:cs="Arial"/>
          <w:color w:val="000000"/>
          <w:lang w:eastAsia="es-CO"/>
        </w:rPr>
        <w:t xml:space="preserve"> la prestación del servicio de salud.</w:t>
      </w:r>
      <w:r w:rsidR="007C07D9">
        <w:rPr>
          <w:rFonts w:ascii="Arial" w:hAnsi="Arial" w:cs="Arial"/>
          <w:color w:val="000000"/>
          <w:lang w:eastAsia="es-CO"/>
        </w:rPr>
        <w:t xml:space="preserve"> </w:t>
      </w:r>
      <w:r w:rsidRPr="00E476FB">
        <w:rPr>
          <w:rFonts w:ascii="Arial" w:hAnsi="Arial" w:cs="Arial"/>
          <w:color w:val="000000"/>
          <w:lang w:eastAsia="es-CO"/>
        </w:rPr>
        <w:t xml:space="preserve">Por otra parte, la entidad reporta un patrimonio negativo de $61.655 millones, un defecto de capital mínimo de $71.704 millones, un defecto del patrimonio </w:t>
      </w:r>
      <w:r w:rsidR="007C07D9">
        <w:rPr>
          <w:rFonts w:ascii="Arial" w:hAnsi="Arial" w:cs="Arial"/>
          <w:color w:val="000000"/>
          <w:lang w:eastAsia="es-CO"/>
        </w:rPr>
        <w:t>a</w:t>
      </w:r>
      <w:r w:rsidRPr="00E476FB">
        <w:rPr>
          <w:rFonts w:ascii="Arial" w:hAnsi="Arial" w:cs="Arial"/>
          <w:color w:val="000000"/>
          <w:lang w:eastAsia="es-CO"/>
        </w:rPr>
        <w:t>decuado de $86.243 millones, incumpliendo con las condiciones financieras y de solvencia.</w:t>
      </w:r>
    </w:p>
    <w:p w14:paraId="41DFB160" w14:textId="77777777" w:rsidR="00366B5A" w:rsidRPr="00E476FB" w:rsidRDefault="00366B5A" w:rsidP="00366B5A">
      <w:pPr>
        <w:pStyle w:val="Prrafodelista"/>
        <w:spacing w:after="0" w:line="240" w:lineRule="auto"/>
        <w:ind w:left="0" w:right="-142"/>
        <w:jc w:val="both"/>
        <w:rPr>
          <w:rFonts w:ascii="Arial" w:eastAsia="Arial" w:hAnsi="Arial" w:cs="Arial"/>
        </w:rPr>
      </w:pPr>
    </w:p>
    <w:p w14:paraId="167AF900" w14:textId="3E7B760A" w:rsidR="00366B5A" w:rsidRPr="00E476FB" w:rsidRDefault="00366B5A" w:rsidP="00366B5A">
      <w:pPr>
        <w:pStyle w:val="Prrafodelista"/>
        <w:spacing w:after="0" w:line="240" w:lineRule="auto"/>
        <w:ind w:left="0" w:right="-142"/>
        <w:jc w:val="both"/>
        <w:rPr>
          <w:rFonts w:ascii="Arial" w:eastAsia="Times New Roman" w:hAnsi="Arial" w:cs="Arial"/>
          <w:color w:val="000000"/>
          <w:lang w:eastAsia="es-ES"/>
        </w:rPr>
      </w:pPr>
      <w:r w:rsidRPr="00E476FB">
        <w:rPr>
          <w:rFonts w:ascii="Arial" w:eastAsia="Times New Roman" w:hAnsi="Arial" w:cs="Arial"/>
          <w:color w:val="000000"/>
          <w:lang w:eastAsia="es-ES"/>
        </w:rPr>
        <w:t xml:space="preserve">Respecto </w:t>
      </w:r>
      <w:r w:rsidR="007C07D9">
        <w:rPr>
          <w:rFonts w:ascii="Arial" w:eastAsia="Times New Roman" w:hAnsi="Arial" w:cs="Arial"/>
          <w:color w:val="000000"/>
          <w:lang w:eastAsia="es-ES"/>
        </w:rPr>
        <w:t xml:space="preserve">al comportamiento de los indicadores </w:t>
      </w:r>
      <w:r w:rsidRPr="00E476FB">
        <w:rPr>
          <w:rFonts w:ascii="Arial" w:eastAsia="Times New Roman" w:hAnsi="Arial" w:cs="Arial"/>
          <w:color w:val="000000"/>
          <w:lang w:eastAsia="es-ES"/>
        </w:rPr>
        <w:t xml:space="preserve">del componente jurídico </w:t>
      </w:r>
      <w:r w:rsidR="007C07D9">
        <w:rPr>
          <w:rFonts w:ascii="Arial" w:eastAsia="Times New Roman" w:hAnsi="Arial" w:cs="Arial"/>
          <w:color w:val="000000"/>
          <w:lang w:eastAsia="es-ES"/>
        </w:rPr>
        <w:t xml:space="preserve">se informa que la entidad presenta una </w:t>
      </w:r>
      <w:r w:rsidRPr="00E476FB">
        <w:rPr>
          <w:rFonts w:ascii="Arial" w:eastAsia="Times New Roman" w:hAnsi="Arial" w:cs="Arial"/>
          <w:color w:val="000000"/>
          <w:lang w:eastAsia="es-ES"/>
        </w:rPr>
        <w:t xml:space="preserve">leve disminución en la interposición de acciones de tutela en comparación a lo reportado para el mismo período del 2020; las tutelas certificadas al corte corresponden el 53% a tutelas PBS y el 47% a tutelas NO PBS. Frente a los trámites incidentales por incumplimiento de las órdenes dadas por los despachos judiciales en las acciones de tutela se encuentran registrados </w:t>
      </w:r>
      <w:r w:rsidR="007C07D9">
        <w:rPr>
          <w:rFonts w:ascii="Arial" w:eastAsia="Times New Roman" w:hAnsi="Arial" w:cs="Arial"/>
          <w:color w:val="000000"/>
          <w:lang w:eastAsia="es-ES"/>
        </w:rPr>
        <w:t xml:space="preserve">199 </w:t>
      </w:r>
      <w:r w:rsidRPr="00E476FB">
        <w:rPr>
          <w:rFonts w:ascii="Arial" w:eastAsia="Times New Roman" w:hAnsi="Arial" w:cs="Arial"/>
          <w:color w:val="000000"/>
          <w:lang w:eastAsia="es-ES"/>
        </w:rPr>
        <w:t>en contra de la</w:t>
      </w:r>
      <w:r w:rsidR="007C07D9">
        <w:rPr>
          <w:rFonts w:ascii="Arial" w:eastAsia="Times New Roman" w:hAnsi="Arial" w:cs="Arial"/>
          <w:color w:val="000000"/>
          <w:lang w:eastAsia="es-ES"/>
        </w:rPr>
        <w:t xml:space="preserve"> entidad</w:t>
      </w:r>
      <w:r w:rsidRPr="00E476FB">
        <w:rPr>
          <w:rFonts w:ascii="Arial" w:eastAsia="Times New Roman" w:hAnsi="Arial" w:cs="Arial"/>
          <w:color w:val="000000"/>
          <w:lang w:eastAsia="es-ES"/>
        </w:rPr>
        <w:t xml:space="preserve">. </w:t>
      </w:r>
    </w:p>
    <w:p w14:paraId="06AF3870" w14:textId="77777777" w:rsidR="00366B5A" w:rsidRPr="00E476FB" w:rsidRDefault="00366B5A" w:rsidP="00366B5A">
      <w:pPr>
        <w:pStyle w:val="Prrafodelista"/>
        <w:spacing w:after="0" w:line="240" w:lineRule="auto"/>
        <w:ind w:left="0" w:right="-142"/>
        <w:jc w:val="both"/>
        <w:rPr>
          <w:rFonts w:ascii="Arial" w:eastAsia="Times New Roman" w:hAnsi="Arial" w:cs="Arial"/>
          <w:color w:val="000000"/>
          <w:lang w:eastAsia="es-ES"/>
        </w:rPr>
      </w:pPr>
    </w:p>
    <w:p w14:paraId="2245112D" w14:textId="327496B2" w:rsidR="00366B5A" w:rsidRPr="009458F5" w:rsidRDefault="00366B5A" w:rsidP="00366B5A">
      <w:pPr>
        <w:pStyle w:val="Prrafodelista"/>
        <w:spacing w:after="0" w:line="240" w:lineRule="auto"/>
        <w:ind w:left="0" w:right="-142"/>
        <w:jc w:val="both"/>
        <w:rPr>
          <w:rFonts w:ascii="Arial" w:eastAsiaTheme="minorEastAsia" w:hAnsi="Arial" w:cs="Arial"/>
          <w:lang w:eastAsia="es-ES"/>
        </w:rPr>
      </w:pPr>
      <w:r w:rsidRPr="00E476FB">
        <w:rPr>
          <w:rFonts w:ascii="Arial" w:eastAsia="Times New Roman" w:hAnsi="Arial" w:cs="Arial"/>
          <w:color w:val="000000"/>
          <w:lang w:eastAsia="es-ES"/>
        </w:rPr>
        <w:t xml:space="preserve">Por otro lado, </w:t>
      </w:r>
      <w:r w:rsidR="00981DA7">
        <w:rPr>
          <w:rFonts w:ascii="Arial" w:eastAsia="Times New Roman" w:hAnsi="Arial" w:cs="Arial"/>
          <w:color w:val="000000"/>
          <w:lang w:eastAsia="es-ES"/>
        </w:rPr>
        <w:t xml:space="preserve">la entidad con corte a junio de 2021 </w:t>
      </w:r>
      <w:r w:rsidR="00022222">
        <w:rPr>
          <w:rFonts w:ascii="Arial" w:eastAsia="Times New Roman" w:hAnsi="Arial" w:cs="Arial"/>
          <w:color w:val="000000"/>
          <w:lang w:eastAsia="es-ES"/>
        </w:rPr>
        <w:t xml:space="preserve">presenta </w:t>
      </w:r>
      <w:r w:rsidR="00981DA7">
        <w:rPr>
          <w:rFonts w:ascii="Arial" w:eastAsia="Times New Roman" w:hAnsi="Arial" w:cs="Arial"/>
          <w:color w:val="000000"/>
          <w:lang w:eastAsia="es-ES"/>
        </w:rPr>
        <w:t xml:space="preserve">como cuantía de </w:t>
      </w:r>
      <w:r w:rsidRPr="00E476FB">
        <w:rPr>
          <w:rFonts w:ascii="Arial" w:eastAsia="Times New Roman" w:hAnsi="Arial" w:cs="Arial"/>
          <w:color w:val="000000"/>
          <w:lang w:eastAsia="es-ES"/>
        </w:rPr>
        <w:t xml:space="preserve">procesos jurídicos notificados en contra </w:t>
      </w:r>
      <w:r w:rsidR="00981DA7">
        <w:rPr>
          <w:rFonts w:ascii="Arial" w:eastAsia="Times New Roman" w:hAnsi="Arial" w:cs="Arial"/>
          <w:color w:val="000000"/>
          <w:lang w:eastAsia="es-ES"/>
        </w:rPr>
        <w:t xml:space="preserve">la suma </w:t>
      </w:r>
      <w:r w:rsidR="00981DA7" w:rsidRPr="009458F5">
        <w:rPr>
          <w:rFonts w:ascii="Arial" w:eastAsia="Times New Roman" w:hAnsi="Arial" w:cs="Arial"/>
          <w:lang w:eastAsia="es-ES"/>
        </w:rPr>
        <w:t xml:space="preserve">de </w:t>
      </w:r>
      <w:r w:rsidRPr="009458F5">
        <w:rPr>
          <w:rFonts w:ascii="Arial" w:eastAsia="Times New Roman" w:hAnsi="Arial" w:cs="Arial"/>
          <w:lang w:eastAsia="es-ES"/>
        </w:rPr>
        <w:t>$39.045 mil</w:t>
      </w:r>
      <w:r w:rsidR="00981DA7" w:rsidRPr="009458F5">
        <w:rPr>
          <w:rFonts w:ascii="Arial" w:eastAsia="Times New Roman" w:hAnsi="Arial" w:cs="Arial"/>
          <w:lang w:eastAsia="es-ES"/>
        </w:rPr>
        <w:t>lones</w:t>
      </w:r>
      <w:r w:rsidR="002E42BC">
        <w:rPr>
          <w:rFonts w:ascii="Arial" w:eastAsia="Times New Roman" w:hAnsi="Arial" w:cs="Arial"/>
          <w:lang w:eastAsia="es-ES"/>
        </w:rPr>
        <w:t>.</w:t>
      </w:r>
      <w:r w:rsidRPr="009458F5">
        <w:rPr>
          <w:rFonts w:ascii="Arial" w:eastAsia="Times New Roman" w:hAnsi="Arial" w:cs="Arial"/>
          <w:lang w:eastAsia="es-ES"/>
        </w:rPr>
        <w:t xml:space="preserve"> </w:t>
      </w:r>
    </w:p>
    <w:p w14:paraId="2E76CE7F" w14:textId="468EF8D7" w:rsidR="001B0240" w:rsidRPr="009458F5" w:rsidRDefault="001B0240" w:rsidP="001B0240">
      <w:pPr>
        <w:pStyle w:val="xxmsonormal"/>
        <w:shd w:val="clear" w:color="auto" w:fill="FFFFFF"/>
        <w:spacing w:before="0" w:beforeAutospacing="0" w:after="0" w:afterAutospacing="0"/>
        <w:jc w:val="both"/>
        <w:rPr>
          <w:rFonts w:ascii="Arial" w:hAnsi="Arial" w:cs="Arial"/>
          <w:sz w:val="22"/>
          <w:szCs w:val="22"/>
          <w:bdr w:val="none" w:sz="0" w:space="0" w:color="auto" w:frame="1"/>
          <w:lang w:val="es-ES"/>
        </w:rPr>
      </w:pPr>
    </w:p>
    <w:p w14:paraId="4CEF5373" w14:textId="5FC26D03" w:rsidR="00981DA7" w:rsidRPr="00981DA7" w:rsidRDefault="00981DA7" w:rsidP="00981DA7">
      <w:pPr>
        <w:spacing w:after="0" w:line="240" w:lineRule="auto"/>
        <w:jc w:val="both"/>
        <w:rPr>
          <w:rFonts w:ascii="Arial" w:hAnsi="Arial" w:cs="Arial"/>
          <w:bCs/>
        </w:rPr>
      </w:pPr>
      <w:r w:rsidRPr="00981DA7">
        <w:rPr>
          <w:rFonts w:ascii="Arial" w:hAnsi="Arial" w:cs="Arial"/>
          <w:bCs/>
          <w:u w:val="single"/>
          <w:lang w:val="es-MX"/>
        </w:rPr>
        <w:t>Entidad</w:t>
      </w:r>
      <w:r w:rsidRPr="00981DA7">
        <w:rPr>
          <w:rFonts w:ascii="Arial" w:hAnsi="Arial" w:cs="Arial"/>
          <w:bCs/>
          <w:lang w:val="es-MX"/>
        </w:rPr>
        <w:t>: COOMEVA EPS</w:t>
      </w:r>
      <w:r>
        <w:rPr>
          <w:rFonts w:ascii="Arial" w:hAnsi="Arial" w:cs="Arial"/>
          <w:bCs/>
          <w:lang w:val="es-MX"/>
        </w:rPr>
        <w:t xml:space="preserve"> S.A.</w:t>
      </w:r>
      <w:r w:rsidRPr="00981DA7">
        <w:rPr>
          <w:rFonts w:ascii="Arial" w:hAnsi="Arial" w:cs="Arial"/>
          <w:bCs/>
          <w:lang w:val="es-MX"/>
        </w:rPr>
        <w:t xml:space="preserve"> </w:t>
      </w:r>
    </w:p>
    <w:p w14:paraId="14614469" w14:textId="03D24AD9" w:rsidR="00981DA7" w:rsidRPr="00981DA7" w:rsidRDefault="00981DA7" w:rsidP="00981DA7">
      <w:pPr>
        <w:spacing w:after="0" w:line="240" w:lineRule="auto"/>
        <w:jc w:val="both"/>
        <w:rPr>
          <w:rFonts w:ascii="Arial" w:hAnsi="Arial" w:cs="Arial"/>
          <w:bCs/>
        </w:rPr>
      </w:pPr>
      <w:r w:rsidRPr="00981DA7">
        <w:rPr>
          <w:rFonts w:ascii="Arial" w:hAnsi="Arial" w:cs="Arial"/>
          <w:bCs/>
          <w:lang w:val="es-MX"/>
        </w:rPr>
        <w:t xml:space="preserve">Tipo de </w:t>
      </w:r>
      <w:r>
        <w:rPr>
          <w:rFonts w:ascii="Arial" w:hAnsi="Arial" w:cs="Arial"/>
          <w:bCs/>
          <w:lang w:val="es-MX"/>
        </w:rPr>
        <w:t>m</w:t>
      </w:r>
      <w:r w:rsidRPr="00981DA7">
        <w:rPr>
          <w:rFonts w:ascii="Arial" w:hAnsi="Arial" w:cs="Arial"/>
          <w:bCs/>
          <w:lang w:val="es-MX"/>
        </w:rPr>
        <w:t xml:space="preserve">edida: Toma de </w:t>
      </w:r>
      <w:r>
        <w:rPr>
          <w:rFonts w:ascii="Arial" w:hAnsi="Arial" w:cs="Arial"/>
          <w:bCs/>
          <w:lang w:val="es-MX"/>
        </w:rPr>
        <w:t>p</w:t>
      </w:r>
      <w:r w:rsidRPr="00981DA7">
        <w:rPr>
          <w:rFonts w:ascii="Arial" w:hAnsi="Arial" w:cs="Arial"/>
          <w:bCs/>
          <w:lang w:val="es-MX"/>
        </w:rPr>
        <w:t xml:space="preserve">osesión </w:t>
      </w:r>
      <w:r>
        <w:rPr>
          <w:rFonts w:ascii="Arial" w:hAnsi="Arial" w:cs="Arial"/>
          <w:bCs/>
          <w:lang w:val="es-MX"/>
        </w:rPr>
        <w:t>de los bienes, haberes y negocios.</w:t>
      </w:r>
    </w:p>
    <w:p w14:paraId="728A3D9E" w14:textId="77777777" w:rsidR="00981DA7" w:rsidRPr="00991D3E" w:rsidRDefault="00981DA7" w:rsidP="00981DA7">
      <w:pPr>
        <w:pStyle w:val="Prrafodelista"/>
        <w:spacing w:after="0" w:line="240" w:lineRule="auto"/>
        <w:ind w:left="0" w:right="-142"/>
        <w:jc w:val="both"/>
        <w:rPr>
          <w:rFonts w:ascii="Arial" w:eastAsia="Arial" w:hAnsi="Arial" w:cs="Arial"/>
          <w:lang w:val="es-MX"/>
        </w:rPr>
      </w:pPr>
    </w:p>
    <w:p w14:paraId="3C6ACF8F" w14:textId="0277648A" w:rsidR="00981DA7" w:rsidRDefault="00981DA7" w:rsidP="00981DA7">
      <w:pPr>
        <w:spacing w:after="0" w:line="240" w:lineRule="auto"/>
        <w:jc w:val="both"/>
        <w:rPr>
          <w:rFonts w:ascii="Arial" w:hAnsi="Arial" w:cs="Arial"/>
        </w:rPr>
      </w:pPr>
      <w:r>
        <w:rPr>
          <w:rFonts w:ascii="Arial" w:hAnsi="Arial" w:cs="Arial"/>
        </w:rPr>
        <w:t>L</w:t>
      </w:r>
      <w:r w:rsidRPr="00CF12E3">
        <w:rPr>
          <w:rFonts w:ascii="Arial" w:hAnsi="Arial" w:cs="Arial"/>
        </w:rPr>
        <w:t xml:space="preserve">a Superintendencia Nacional de Salud, mediante Resolución 006045 del 27 de mayo de 2021, ordenó la toma de posesión inmediata de los bienes, haberes y negocios de Coomeva </w:t>
      </w:r>
      <w:r w:rsidRPr="00CF12E3">
        <w:rPr>
          <w:rFonts w:ascii="Arial" w:hAnsi="Arial" w:cs="Arial"/>
        </w:rPr>
        <w:lastRenderedPageBreak/>
        <w:t>Entidad Promotora de Salud S.A., por el término de dos (2) meses</w:t>
      </w:r>
      <w:r>
        <w:rPr>
          <w:rFonts w:ascii="Arial" w:hAnsi="Arial" w:cs="Arial"/>
        </w:rPr>
        <w:t xml:space="preserve">; esta medida se prorrogó mediante Resolución </w:t>
      </w:r>
      <w:r w:rsidRPr="00CF12E3">
        <w:rPr>
          <w:rFonts w:ascii="Arial" w:hAnsi="Arial" w:cs="Arial"/>
        </w:rPr>
        <w:t>202151000125056 del 27 de julio de 2021</w:t>
      </w:r>
      <w:r>
        <w:rPr>
          <w:rFonts w:ascii="Arial" w:hAnsi="Arial" w:cs="Arial"/>
        </w:rPr>
        <w:t>, por el término de dos (2) meses más, es decir, hasta el 27 de septiembre de 2021.</w:t>
      </w:r>
    </w:p>
    <w:p w14:paraId="6828F76D" w14:textId="06A90EA2" w:rsidR="00981DA7" w:rsidRDefault="00981DA7" w:rsidP="00981DA7">
      <w:pPr>
        <w:spacing w:after="0" w:line="240" w:lineRule="auto"/>
        <w:jc w:val="both"/>
        <w:rPr>
          <w:rFonts w:ascii="Arial" w:hAnsi="Arial" w:cs="Arial"/>
        </w:rPr>
      </w:pPr>
    </w:p>
    <w:p w14:paraId="47A6396B" w14:textId="6E2F36FC" w:rsidR="00FA5DB8" w:rsidRPr="00FA5DB8" w:rsidRDefault="00FA5DB8" w:rsidP="00FA5DB8">
      <w:pPr>
        <w:jc w:val="both"/>
        <w:rPr>
          <w:rFonts w:ascii="Arial" w:eastAsia="Times New Roman" w:hAnsi="Arial" w:cs="Arial"/>
          <w:color w:val="000000"/>
          <w:bdr w:val="none" w:sz="0" w:space="0" w:color="auto" w:frame="1"/>
          <w:lang w:eastAsia="es-CO"/>
        </w:rPr>
      </w:pPr>
      <w:r w:rsidRPr="00FA5DB8">
        <w:rPr>
          <w:rFonts w:ascii="Arial" w:eastAsia="Times New Roman" w:hAnsi="Arial" w:cs="Arial"/>
          <w:color w:val="000000"/>
          <w:bdr w:val="none" w:sz="0" w:space="0" w:color="auto" w:frame="1"/>
          <w:lang w:eastAsia="es-CO"/>
        </w:rPr>
        <w:t xml:space="preserve">La EPS Coomeva posee un total de 1.343.099 afiliados activos reportados ante la BDUA a </w:t>
      </w:r>
      <w:r>
        <w:rPr>
          <w:rFonts w:ascii="Arial" w:eastAsia="Times New Roman" w:hAnsi="Arial" w:cs="Arial"/>
          <w:color w:val="000000"/>
          <w:bdr w:val="none" w:sz="0" w:space="0" w:color="auto" w:frame="1"/>
          <w:lang w:eastAsia="es-CO"/>
        </w:rPr>
        <w:t>j</w:t>
      </w:r>
      <w:r w:rsidRPr="00FA5DB8">
        <w:rPr>
          <w:rFonts w:ascii="Arial" w:eastAsia="Times New Roman" w:hAnsi="Arial" w:cs="Arial"/>
          <w:color w:val="000000"/>
          <w:bdr w:val="none" w:sz="0" w:space="0" w:color="auto" w:frame="1"/>
          <w:lang w:eastAsia="es-CO"/>
        </w:rPr>
        <w:t xml:space="preserve">ulio de 2021, de los cuales 1.041.044 </w:t>
      </w:r>
      <w:r>
        <w:rPr>
          <w:rFonts w:ascii="Arial" w:eastAsia="Times New Roman" w:hAnsi="Arial" w:cs="Arial"/>
          <w:color w:val="000000"/>
          <w:bdr w:val="none" w:sz="0" w:space="0" w:color="auto" w:frame="1"/>
          <w:lang w:eastAsia="es-CO"/>
        </w:rPr>
        <w:t xml:space="preserve">usuarios </w:t>
      </w:r>
      <w:r w:rsidRPr="00FA5DB8">
        <w:rPr>
          <w:rFonts w:ascii="Arial" w:eastAsia="Times New Roman" w:hAnsi="Arial" w:cs="Arial"/>
          <w:color w:val="000000"/>
          <w:bdr w:val="none" w:sz="0" w:space="0" w:color="auto" w:frame="1"/>
          <w:lang w:eastAsia="es-CO"/>
        </w:rPr>
        <w:t xml:space="preserve">son afiliados al régimen </w:t>
      </w:r>
      <w:r>
        <w:rPr>
          <w:rFonts w:ascii="Arial" w:eastAsia="Times New Roman" w:hAnsi="Arial" w:cs="Arial"/>
          <w:color w:val="000000"/>
          <w:bdr w:val="none" w:sz="0" w:space="0" w:color="auto" w:frame="1"/>
          <w:lang w:eastAsia="es-CO"/>
        </w:rPr>
        <w:t>c</w:t>
      </w:r>
      <w:r w:rsidRPr="00FA5DB8">
        <w:rPr>
          <w:rFonts w:ascii="Arial" w:eastAsia="Times New Roman" w:hAnsi="Arial" w:cs="Arial"/>
          <w:color w:val="000000"/>
          <w:bdr w:val="none" w:sz="0" w:space="0" w:color="auto" w:frame="1"/>
          <w:lang w:eastAsia="es-CO"/>
        </w:rPr>
        <w:t xml:space="preserve">ontributivo y 302.055 </w:t>
      </w:r>
      <w:r>
        <w:rPr>
          <w:rFonts w:ascii="Arial" w:eastAsia="Times New Roman" w:hAnsi="Arial" w:cs="Arial"/>
          <w:color w:val="000000"/>
          <w:bdr w:val="none" w:sz="0" w:space="0" w:color="auto" w:frame="1"/>
          <w:lang w:eastAsia="es-CO"/>
        </w:rPr>
        <w:t xml:space="preserve">afiliados </w:t>
      </w:r>
      <w:r w:rsidRPr="00FA5DB8">
        <w:rPr>
          <w:rFonts w:ascii="Arial" w:eastAsia="Times New Roman" w:hAnsi="Arial" w:cs="Arial"/>
          <w:color w:val="000000"/>
          <w:bdr w:val="none" w:sz="0" w:space="0" w:color="auto" w:frame="1"/>
          <w:lang w:eastAsia="es-CO"/>
        </w:rPr>
        <w:t xml:space="preserve">al régimen </w:t>
      </w:r>
      <w:r>
        <w:rPr>
          <w:rFonts w:ascii="Arial" w:eastAsia="Times New Roman" w:hAnsi="Arial" w:cs="Arial"/>
          <w:color w:val="000000"/>
          <w:bdr w:val="none" w:sz="0" w:space="0" w:color="auto" w:frame="1"/>
          <w:lang w:eastAsia="es-CO"/>
        </w:rPr>
        <w:t>s</w:t>
      </w:r>
      <w:r w:rsidRPr="00FA5DB8">
        <w:rPr>
          <w:rFonts w:ascii="Arial" w:eastAsia="Times New Roman" w:hAnsi="Arial" w:cs="Arial"/>
          <w:color w:val="000000"/>
          <w:bdr w:val="none" w:sz="0" w:space="0" w:color="auto" w:frame="1"/>
          <w:lang w:eastAsia="es-CO"/>
        </w:rPr>
        <w:t xml:space="preserve">ubsidiado por </w:t>
      </w:r>
      <w:r>
        <w:rPr>
          <w:rFonts w:ascii="Arial" w:eastAsia="Times New Roman" w:hAnsi="Arial" w:cs="Arial"/>
          <w:color w:val="000000"/>
          <w:bdr w:val="none" w:sz="0" w:space="0" w:color="auto" w:frame="1"/>
          <w:lang w:eastAsia="es-CO"/>
        </w:rPr>
        <w:t>m</w:t>
      </w:r>
      <w:r w:rsidRPr="00FA5DB8">
        <w:rPr>
          <w:rFonts w:ascii="Arial" w:eastAsia="Times New Roman" w:hAnsi="Arial" w:cs="Arial"/>
          <w:color w:val="000000"/>
          <w:bdr w:val="none" w:sz="0" w:space="0" w:color="auto" w:frame="1"/>
          <w:lang w:eastAsia="es-CO"/>
        </w:rPr>
        <w:t xml:space="preserve">ovilidad, esta EPS hace presencia en 21 </w:t>
      </w:r>
      <w:r>
        <w:rPr>
          <w:rFonts w:ascii="Arial" w:eastAsia="Times New Roman" w:hAnsi="Arial" w:cs="Arial"/>
          <w:color w:val="000000"/>
          <w:bdr w:val="none" w:sz="0" w:space="0" w:color="auto" w:frame="1"/>
          <w:lang w:eastAsia="es-CO"/>
        </w:rPr>
        <w:t>d</w:t>
      </w:r>
      <w:r w:rsidRPr="00FA5DB8">
        <w:rPr>
          <w:rFonts w:ascii="Arial" w:eastAsia="Times New Roman" w:hAnsi="Arial" w:cs="Arial"/>
          <w:color w:val="000000"/>
          <w:bdr w:val="none" w:sz="0" w:space="0" w:color="auto" w:frame="1"/>
          <w:lang w:eastAsia="es-CO"/>
        </w:rPr>
        <w:t xml:space="preserve">epartamentos del </w:t>
      </w:r>
      <w:r w:rsidR="00022222">
        <w:rPr>
          <w:rFonts w:ascii="Arial" w:eastAsia="Times New Roman" w:hAnsi="Arial" w:cs="Arial"/>
          <w:color w:val="000000"/>
          <w:bdr w:val="none" w:sz="0" w:space="0" w:color="auto" w:frame="1"/>
          <w:lang w:eastAsia="es-CO"/>
        </w:rPr>
        <w:t>p</w:t>
      </w:r>
      <w:r w:rsidR="00022222" w:rsidRPr="00FA5DB8">
        <w:rPr>
          <w:rFonts w:ascii="Arial" w:eastAsia="Times New Roman" w:hAnsi="Arial" w:cs="Arial"/>
          <w:color w:val="000000"/>
          <w:bdr w:val="none" w:sz="0" w:space="0" w:color="auto" w:frame="1"/>
          <w:lang w:eastAsia="es-CO"/>
        </w:rPr>
        <w:t>aís</w:t>
      </w:r>
      <w:r w:rsidRPr="00FA5DB8">
        <w:rPr>
          <w:rFonts w:ascii="Arial" w:eastAsia="Times New Roman" w:hAnsi="Arial" w:cs="Arial"/>
          <w:color w:val="000000"/>
          <w:bdr w:val="none" w:sz="0" w:space="0" w:color="auto" w:frame="1"/>
          <w:lang w:eastAsia="es-CO"/>
        </w:rPr>
        <w:t xml:space="preserve">.  </w:t>
      </w:r>
    </w:p>
    <w:p w14:paraId="4E9A9BE6" w14:textId="245D5337" w:rsidR="00981DA7" w:rsidRPr="00E476FB" w:rsidRDefault="009458F5" w:rsidP="00981DA7">
      <w:pPr>
        <w:pStyle w:val="xdefault"/>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bdr w:val="none" w:sz="0" w:space="0" w:color="auto" w:frame="1"/>
        </w:rPr>
        <w:t>D</w:t>
      </w:r>
      <w:r w:rsidR="00981DA7">
        <w:rPr>
          <w:rFonts w:ascii="Arial" w:hAnsi="Arial" w:cs="Arial"/>
          <w:color w:val="000000"/>
          <w:sz w:val="22"/>
          <w:szCs w:val="22"/>
          <w:bdr w:val="none" w:sz="0" w:space="0" w:color="auto" w:frame="1"/>
        </w:rPr>
        <w:t xml:space="preserve">el seguimiento y monitoreo a la medida ordenada, se resalta que </w:t>
      </w:r>
      <w:r>
        <w:rPr>
          <w:rFonts w:ascii="Arial" w:hAnsi="Arial" w:cs="Arial"/>
          <w:color w:val="000000"/>
          <w:sz w:val="22"/>
          <w:szCs w:val="22"/>
          <w:bdr w:val="none" w:sz="0" w:space="0" w:color="auto" w:frame="1"/>
        </w:rPr>
        <w:t>a</w:t>
      </w:r>
      <w:r w:rsidR="00981DA7" w:rsidRPr="00E476FB">
        <w:rPr>
          <w:rFonts w:ascii="Arial" w:hAnsi="Arial" w:cs="Arial"/>
          <w:color w:val="000000"/>
          <w:sz w:val="22"/>
          <w:szCs w:val="22"/>
          <w:bdr w:val="none" w:sz="0" w:space="0" w:color="auto" w:frame="1"/>
        </w:rPr>
        <w:t xml:space="preserve"> 9 de julio</w:t>
      </w:r>
      <w:r w:rsidR="00981DA7">
        <w:rPr>
          <w:rFonts w:ascii="Arial" w:hAnsi="Arial" w:cs="Arial"/>
          <w:color w:val="000000"/>
          <w:sz w:val="22"/>
          <w:szCs w:val="22"/>
          <w:bdr w:val="none" w:sz="0" w:space="0" w:color="auto" w:frame="1"/>
        </w:rPr>
        <w:t xml:space="preserve"> de 2021</w:t>
      </w:r>
      <w:r w:rsidR="00981DA7" w:rsidRPr="00E476FB">
        <w:rPr>
          <w:rFonts w:ascii="Arial" w:hAnsi="Arial" w:cs="Arial"/>
          <w:color w:val="000000"/>
          <w:sz w:val="22"/>
          <w:szCs w:val="22"/>
          <w:bdr w:val="none" w:sz="0" w:space="0" w:color="auto" w:frame="1"/>
        </w:rPr>
        <w:t>, la EPS cuenta con 991 contratos, de los cuales el 12</w:t>
      </w:r>
      <w:r w:rsidR="00EA54C0">
        <w:rPr>
          <w:rFonts w:ascii="Arial" w:hAnsi="Arial" w:cs="Arial"/>
          <w:color w:val="000000"/>
          <w:sz w:val="22"/>
          <w:szCs w:val="22"/>
          <w:bdr w:val="none" w:sz="0" w:space="0" w:color="auto" w:frame="1"/>
        </w:rPr>
        <w:t>,</w:t>
      </w:r>
      <w:r w:rsidR="00981DA7" w:rsidRPr="00E476FB">
        <w:rPr>
          <w:rFonts w:ascii="Arial" w:hAnsi="Arial" w:cs="Arial"/>
          <w:color w:val="000000"/>
          <w:sz w:val="22"/>
          <w:szCs w:val="22"/>
          <w:bdr w:val="none" w:sz="0" w:space="0" w:color="auto" w:frame="1"/>
        </w:rPr>
        <w:t>6% se encuentra</w:t>
      </w:r>
      <w:r w:rsidR="00981DA7">
        <w:rPr>
          <w:rFonts w:ascii="Arial" w:hAnsi="Arial" w:cs="Arial"/>
          <w:color w:val="000000"/>
          <w:sz w:val="22"/>
          <w:szCs w:val="22"/>
          <w:bdr w:val="none" w:sz="0" w:space="0" w:color="auto" w:frame="1"/>
        </w:rPr>
        <w:t>n</w:t>
      </w:r>
      <w:r w:rsidR="00981DA7" w:rsidRPr="00E476FB">
        <w:rPr>
          <w:rFonts w:ascii="Arial" w:hAnsi="Arial" w:cs="Arial"/>
          <w:color w:val="000000"/>
          <w:sz w:val="22"/>
          <w:szCs w:val="22"/>
          <w:bdr w:val="none" w:sz="0" w:space="0" w:color="auto" w:frame="1"/>
        </w:rPr>
        <w:t xml:space="preserve"> </w:t>
      </w:r>
      <w:r w:rsidR="00981DA7">
        <w:rPr>
          <w:rFonts w:ascii="Arial" w:hAnsi="Arial" w:cs="Arial"/>
          <w:color w:val="000000"/>
          <w:sz w:val="22"/>
          <w:szCs w:val="22"/>
          <w:bdr w:val="none" w:sz="0" w:space="0" w:color="auto" w:frame="1"/>
        </w:rPr>
        <w:t xml:space="preserve">en estado </w:t>
      </w:r>
      <w:r w:rsidR="00981DA7" w:rsidRPr="00E476FB">
        <w:rPr>
          <w:rFonts w:ascii="Arial" w:hAnsi="Arial" w:cs="Arial"/>
          <w:color w:val="000000"/>
          <w:sz w:val="22"/>
          <w:szCs w:val="22"/>
          <w:bdr w:val="none" w:sz="0" w:space="0" w:color="auto" w:frame="1"/>
        </w:rPr>
        <w:t>restringido o cerrado, lo cual genera un riesgo para la EPS y para los afiliados</w:t>
      </w:r>
      <w:r w:rsidR="00981DA7">
        <w:rPr>
          <w:rFonts w:ascii="Arial" w:hAnsi="Arial" w:cs="Arial"/>
          <w:color w:val="000000"/>
          <w:sz w:val="22"/>
          <w:szCs w:val="22"/>
          <w:bdr w:val="none" w:sz="0" w:space="0" w:color="auto" w:frame="1"/>
        </w:rPr>
        <w:t>; así mismo, se identifica que l</w:t>
      </w:r>
      <w:r w:rsidR="00981DA7" w:rsidRPr="00E476FB">
        <w:rPr>
          <w:rFonts w:ascii="Arial" w:hAnsi="Arial" w:cs="Arial"/>
          <w:color w:val="000000"/>
          <w:sz w:val="22"/>
          <w:szCs w:val="22"/>
          <w:bdr w:val="none" w:sz="0" w:space="0" w:color="auto" w:frame="1"/>
        </w:rPr>
        <w:t xml:space="preserve">a principal causa de cierre </w:t>
      </w:r>
      <w:r w:rsidR="00981DA7">
        <w:rPr>
          <w:rFonts w:ascii="Arial" w:hAnsi="Arial" w:cs="Arial"/>
          <w:color w:val="000000"/>
          <w:sz w:val="22"/>
          <w:szCs w:val="22"/>
          <w:bdr w:val="none" w:sz="0" w:space="0" w:color="auto" w:frame="1"/>
        </w:rPr>
        <w:t xml:space="preserve">de </w:t>
      </w:r>
      <w:r>
        <w:rPr>
          <w:rFonts w:ascii="Arial" w:hAnsi="Arial" w:cs="Arial"/>
          <w:color w:val="000000"/>
          <w:sz w:val="22"/>
          <w:szCs w:val="22"/>
          <w:bdr w:val="none" w:sz="0" w:space="0" w:color="auto" w:frame="1"/>
        </w:rPr>
        <w:t>l</w:t>
      </w:r>
      <w:r w:rsidR="00981DA7">
        <w:rPr>
          <w:rFonts w:ascii="Arial" w:hAnsi="Arial" w:cs="Arial"/>
          <w:color w:val="000000"/>
          <w:sz w:val="22"/>
          <w:szCs w:val="22"/>
          <w:bdr w:val="none" w:sz="0" w:space="0" w:color="auto" w:frame="1"/>
        </w:rPr>
        <w:t xml:space="preserve">os servicios obedece </w:t>
      </w:r>
      <w:r w:rsidR="00981DA7" w:rsidRPr="00E476FB">
        <w:rPr>
          <w:rFonts w:ascii="Arial" w:hAnsi="Arial" w:cs="Arial"/>
          <w:color w:val="000000"/>
          <w:sz w:val="22"/>
          <w:szCs w:val="22"/>
          <w:bdr w:val="none" w:sz="0" w:space="0" w:color="auto" w:frame="1"/>
        </w:rPr>
        <w:t>a la inoportunidad en los pagos que debe realizar la EPS a los prestadores.</w:t>
      </w:r>
    </w:p>
    <w:p w14:paraId="1C5BA2CC" w14:textId="77777777" w:rsidR="00981DA7" w:rsidRPr="00E476FB" w:rsidRDefault="00981DA7" w:rsidP="00981DA7">
      <w:pPr>
        <w:pStyle w:val="xdefault"/>
        <w:shd w:val="clear" w:color="auto" w:fill="FFFFFF"/>
        <w:spacing w:before="0" w:beforeAutospacing="0" w:after="0" w:afterAutospacing="0"/>
        <w:jc w:val="both"/>
        <w:rPr>
          <w:rFonts w:ascii="Arial" w:hAnsi="Arial" w:cs="Arial"/>
          <w:color w:val="000000"/>
          <w:sz w:val="22"/>
          <w:szCs w:val="22"/>
        </w:rPr>
      </w:pPr>
      <w:r w:rsidRPr="00E476FB">
        <w:rPr>
          <w:rFonts w:ascii="Arial" w:hAnsi="Arial" w:cs="Arial"/>
          <w:color w:val="000000"/>
          <w:sz w:val="22"/>
          <w:szCs w:val="22"/>
          <w:bdr w:val="none" w:sz="0" w:space="0" w:color="auto" w:frame="1"/>
        </w:rPr>
        <w:t> </w:t>
      </w:r>
    </w:p>
    <w:p w14:paraId="02811BB1" w14:textId="480E7618" w:rsidR="00981DA7" w:rsidRPr="00E476FB" w:rsidRDefault="00981DA7" w:rsidP="00981DA7">
      <w:pPr>
        <w:pStyle w:val="xdefault"/>
        <w:shd w:val="clear" w:color="auto" w:fill="FFFFFF"/>
        <w:spacing w:before="0" w:beforeAutospacing="0" w:after="0" w:afterAutospacing="0"/>
        <w:jc w:val="both"/>
        <w:rPr>
          <w:rFonts w:ascii="Arial" w:hAnsi="Arial" w:cs="Arial"/>
          <w:color w:val="000000"/>
          <w:sz w:val="22"/>
          <w:szCs w:val="22"/>
        </w:rPr>
      </w:pPr>
      <w:r>
        <w:rPr>
          <w:rFonts w:ascii="Arial" w:hAnsi="Arial" w:cs="Arial"/>
          <w:color w:val="000000"/>
          <w:sz w:val="22"/>
          <w:szCs w:val="22"/>
          <w:bdr w:val="none" w:sz="0" w:space="0" w:color="auto" w:frame="1"/>
        </w:rPr>
        <w:t>En este contexto, a</w:t>
      </w:r>
      <w:r w:rsidRPr="00E476FB">
        <w:rPr>
          <w:rFonts w:ascii="Arial" w:hAnsi="Arial" w:cs="Arial"/>
          <w:color w:val="000000"/>
          <w:sz w:val="22"/>
          <w:szCs w:val="22"/>
          <w:bdr w:val="none" w:sz="0" w:space="0" w:color="auto" w:frame="1"/>
        </w:rPr>
        <w:t xml:space="preserve">l analizar </w:t>
      </w:r>
      <w:r>
        <w:rPr>
          <w:rFonts w:ascii="Arial" w:hAnsi="Arial" w:cs="Arial"/>
          <w:color w:val="000000"/>
          <w:sz w:val="22"/>
          <w:szCs w:val="22"/>
          <w:bdr w:val="none" w:sz="0" w:space="0" w:color="auto" w:frame="1"/>
        </w:rPr>
        <w:t xml:space="preserve">la información </w:t>
      </w:r>
      <w:r w:rsidRPr="00E476FB">
        <w:rPr>
          <w:rFonts w:ascii="Arial" w:hAnsi="Arial" w:cs="Arial"/>
          <w:color w:val="000000"/>
          <w:sz w:val="22"/>
          <w:szCs w:val="22"/>
          <w:bdr w:val="none" w:sz="0" w:space="0" w:color="auto" w:frame="1"/>
        </w:rPr>
        <w:t>por servicios de salud</w:t>
      </w:r>
      <w:r>
        <w:rPr>
          <w:rFonts w:ascii="Arial" w:hAnsi="Arial" w:cs="Arial"/>
          <w:color w:val="000000"/>
          <w:sz w:val="22"/>
          <w:szCs w:val="22"/>
          <w:bdr w:val="none" w:sz="0" w:space="0" w:color="auto" w:frame="1"/>
        </w:rPr>
        <w:t xml:space="preserve"> </w:t>
      </w:r>
      <w:r w:rsidRPr="00E476FB">
        <w:rPr>
          <w:rFonts w:ascii="Arial" w:hAnsi="Arial" w:cs="Arial"/>
          <w:color w:val="000000"/>
          <w:sz w:val="22"/>
          <w:szCs w:val="22"/>
          <w:bdr w:val="none" w:sz="0" w:space="0" w:color="auto" w:frame="1"/>
        </w:rPr>
        <w:t>afectados por las restricciones o cierre</w:t>
      </w:r>
      <w:r w:rsidR="009458F5">
        <w:rPr>
          <w:rFonts w:ascii="Arial" w:hAnsi="Arial" w:cs="Arial"/>
          <w:color w:val="000000"/>
          <w:sz w:val="22"/>
          <w:szCs w:val="22"/>
          <w:bdr w:val="none" w:sz="0" w:space="0" w:color="auto" w:frame="1"/>
        </w:rPr>
        <w:t xml:space="preserve"> de servicio,</w:t>
      </w:r>
      <w:r w:rsidRPr="00E476FB">
        <w:rPr>
          <w:rFonts w:ascii="Arial" w:hAnsi="Arial" w:cs="Arial"/>
          <w:color w:val="000000"/>
          <w:sz w:val="22"/>
          <w:szCs w:val="22"/>
          <w:bdr w:val="none" w:sz="0" w:space="0" w:color="auto" w:frame="1"/>
        </w:rPr>
        <w:t xml:space="preserve"> preocupa que se ha presentado esta situación en los servicios básicos, los cuales son la puerta de entrada a la ruta de atención y que está directamente relacionado con la gestión de riesgo </w:t>
      </w:r>
      <w:r>
        <w:rPr>
          <w:rFonts w:ascii="Arial" w:hAnsi="Arial" w:cs="Arial"/>
          <w:color w:val="000000"/>
          <w:sz w:val="22"/>
          <w:szCs w:val="22"/>
          <w:bdr w:val="none" w:sz="0" w:space="0" w:color="auto" w:frame="1"/>
        </w:rPr>
        <w:t xml:space="preserve">de </w:t>
      </w:r>
      <w:r w:rsidRPr="00E476FB">
        <w:rPr>
          <w:rFonts w:ascii="Arial" w:hAnsi="Arial" w:cs="Arial"/>
          <w:color w:val="000000"/>
          <w:sz w:val="22"/>
          <w:szCs w:val="22"/>
          <w:bdr w:val="none" w:sz="0" w:space="0" w:color="auto" w:frame="1"/>
        </w:rPr>
        <w:t>la población</w:t>
      </w:r>
      <w:r>
        <w:rPr>
          <w:rFonts w:ascii="Arial" w:hAnsi="Arial" w:cs="Arial"/>
          <w:color w:val="000000"/>
          <w:sz w:val="22"/>
          <w:szCs w:val="22"/>
          <w:bdr w:val="none" w:sz="0" w:space="0" w:color="auto" w:frame="1"/>
        </w:rPr>
        <w:t>; esta misma situación se viene presentando con los prestadores encargados de atender la</w:t>
      </w:r>
      <w:r w:rsidRPr="00E476FB">
        <w:rPr>
          <w:rFonts w:ascii="Arial" w:hAnsi="Arial" w:cs="Arial"/>
          <w:color w:val="000000"/>
          <w:sz w:val="22"/>
          <w:szCs w:val="22"/>
          <w:bdr w:val="none" w:sz="0" w:space="0" w:color="auto" w:frame="1"/>
        </w:rPr>
        <w:t xml:space="preserve"> población con cáncer, salud mental y partos y cesáreas, lo cual afecta a población vulnerable.</w:t>
      </w:r>
    </w:p>
    <w:p w14:paraId="26178278" w14:textId="063624E1" w:rsidR="00981DA7" w:rsidRPr="009458F5" w:rsidRDefault="00981DA7" w:rsidP="009458F5">
      <w:pPr>
        <w:pStyle w:val="xdefault"/>
        <w:shd w:val="clear" w:color="auto" w:fill="FFFFFF"/>
        <w:spacing w:before="0" w:beforeAutospacing="0" w:after="0" w:afterAutospacing="0"/>
        <w:jc w:val="both"/>
        <w:rPr>
          <w:rFonts w:ascii="Arial" w:hAnsi="Arial" w:cs="Arial"/>
          <w:color w:val="000000"/>
          <w:sz w:val="22"/>
          <w:szCs w:val="22"/>
        </w:rPr>
      </w:pPr>
      <w:r w:rsidRPr="00E476FB">
        <w:rPr>
          <w:rFonts w:ascii="Arial" w:hAnsi="Arial" w:cs="Arial"/>
          <w:color w:val="000000"/>
          <w:sz w:val="22"/>
          <w:szCs w:val="22"/>
          <w:bdr w:val="none" w:sz="0" w:space="0" w:color="auto" w:frame="1"/>
        </w:rPr>
        <w:t> </w:t>
      </w:r>
    </w:p>
    <w:p w14:paraId="723E1B7C" w14:textId="77777777" w:rsidR="003D53F5" w:rsidRDefault="00981DA7" w:rsidP="003D53F5">
      <w:pPr>
        <w:spacing w:after="0" w:line="240" w:lineRule="auto"/>
        <w:jc w:val="both"/>
        <w:rPr>
          <w:rFonts w:ascii="Arial" w:hAnsi="Arial" w:cs="Arial"/>
        </w:rPr>
      </w:pPr>
      <w:r>
        <w:rPr>
          <w:rFonts w:ascii="Arial" w:hAnsi="Arial" w:cs="Arial"/>
        </w:rPr>
        <w:t xml:space="preserve">Evaluado el componente financiero, </w:t>
      </w:r>
      <w:r w:rsidR="009458F5">
        <w:rPr>
          <w:rFonts w:ascii="Arial" w:hAnsi="Arial" w:cs="Arial"/>
        </w:rPr>
        <w:t>la</w:t>
      </w:r>
      <w:r w:rsidRPr="00E476FB">
        <w:rPr>
          <w:rFonts w:ascii="Arial" w:hAnsi="Arial" w:cs="Arial"/>
        </w:rPr>
        <w:t xml:space="preserve"> EPS como estrategia de recuperación financiera decid</w:t>
      </w:r>
      <w:r w:rsidR="009A05A2">
        <w:rPr>
          <w:rFonts w:ascii="Arial" w:hAnsi="Arial" w:cs="Arial"/>
        </w:rPr>
        <w:t>ió</w:t>
      </w:r>
      <w:r w:rsidRPr="00E476FB">
        <w:rPr>
          <w:rFonts w:ascii="Arial" w:hAnsi="Arial" w:cs="Arial"/>
        </w:rPr>
        <w:t xml:space="preserve"> acogerse a los plazos y tratamiento financiero especial, en el marco del artículo 4 del Decreto 2117 de 2016, incorporado en el Decreto 780 de 2016.</w:t>
      </w:r>
      <w:r>
        <w:rPr>
          <w:rFonts w:ascii="Arial" w:hAnsi="Arial" w:cs="Arial"/>
        </w:rPr>
        <w:t xml:space="preserve"> En consecuencia, p</w:t>
      </w:r>
      <w:r w:rsidRPr="00E476FB">
        <w:rPr>
          <w:rFonts w:ascii="Arial" w:hAnsi="Arial" w:cs="Arial"/>
        </w:rPr>
        <w:t xml:space="preserve">ara el periodo de junio de 2021 el defecto de Capital Mínimo y Patrimonio Adecuado ha aumentado, presentando incumplimiento de estos indicadores en los porcentajes establecidos en el </w:t>
      </w:r>
      <w:r w:rsidR="00EA54C0">
        <w:rPr>
          <w:rFonts w:ascii="Arial" w:hAnsi="Arial" w:cs="Arial"/>
        </w:rPr>
        <w:t>P</w:t>
      </w:r>
      <w:r w:rsidRPr="00E476FB">
        <w:rPr>
          <w:rFonts w:ascii="Arial" w:hAnsi="Arial" w:cs="Arial"/>
        </w:rPr>
        <w:t xml:space="preserve">lan de </w:t>
      </w:r>
      <w:r w:rsidR="00EA54C0">
        <w:rPr>
          <w:rFonts w:ascii="Arial" w:hAnsi="Arial" w:cs="Arial"/>
        </w:rPr>
        <w:t>A</w:t>
      </w:r>
      <w:r w:rsidRPr="00E476FB">
        <w:rPr>
          <w:rFonts w:ascii="Arial" w:hAnsi="Arial" w:cs="Arial"/>
        </w:rPr>
        <w:t xml:space="preserve">juste </w:t>
      </w:r>
      <w:r w:rsidR="00EA54C0">
        <w:rPr>
          <w:rFonts w:ascii="Arial" w:hAnsi="Arial" w:cs="Arial"/>
        </w:rPr>
        <w:t>F</w:t>
      </w:r>
      <w:r w:rsidRPr="00E476FB">
        <w:rPr>
          <w:rFonts w:ascii="Arial" w:hAnsi="Arial" w:cs="Arial"/>
        </w:rPr>
        <w:t>inanciero para su recuperación</w:t>
      </w:r>
      <w:r>
        <w:rPr>
          <w:rFonts w:ascii="Arial" w:hAnsi="Arial" w:cs="Arial"/>
        </w:rPr>
        <w:t xml:space="preserve">; </w:t>
      </w:r>
      <w:r w:rsidR="00C86FC5">
        <w:rPr>
          <w:rFonts w:ascii="Arial" w:hAnsi="Arial" w:cs="Arial"/>
        </w:rPr>
        <w:t>aprobado mediante Resolución 011687 del 20 de diciembre de 2018</w:t>
      </w:r>
      <w:r w:rsidR="003D53F5">
        <w:rPr>
          <w:rFonts w:ascii="Arial" w:hAnsi="Arial" w:cs="Arial"/>
        </w:rPr>
        <w:t>.</w:t>
      </w:r>
    </w:p>
    <w:p w14:paraId="575FBCFF" w14:textId="77777777" w:rsidR="003D53F5" w:rsidRDefault="003D53F5" w:rsidP="003D53F5">
      <w:pPr>
        <w:spacing w:after="0" w:line="240" w:lineRule="auto"/>
        <w:jc w:val="both"/>
        <w:rPr>
          <w:rFonts w:ascii="Arial" w:hAnsi="Arial" w:cs="Arial"/>
        </w:rPr>
      </w:pPr>
    </w:p>
    <w:p w14:paraId="76548D10" w14:textId="53B16440" w:rsidR="00366B5A" w:rsidRPr="00F739A2" w:rsidRDefault="00F06986" w:rsidP="003D53F5">
      <w:pPr>
        <w:spacing w:after="0" w:line="240" w:lineRule="auto"/>
        <w:jc w:val="both"/>
        <w:rPr>
          <w:rFonts w:ascii="Arial" w:hAnsi="Arial" w:cs="Arial"/>
          <w:color w:val="201F1E"/>
          <w:bdr w:val="none" w:sz="0" w:space="0" w:color="auto" w:frame="1"/>
          <w:lang w:val="es-ES"/>
        </w:rPr>
      </w:pPr>
      <w:r>
        <w:rPr>
          <w:rFonts w:ascii="Arial" w:hAnsi="Arial" w:cs="Arial"/>
          <w:color w:val="201F1E"/>
          <w:bdr w:val="none" w:sz="0" w:space="0" w:color="auto" w:frame="1"/>
          <w:lang w:val="es-ES"/>
        </w:rPr>
        <w:t>R</w:t>
      </w:r>
      <w:r w:rsidR="00F739A2" w:rsidRPr="00F739A2">
        <w:rPr>
          <w:rFonts w:ascii="Arial" w:hAnsi="Arial" w:cs="Arial"/>
          <w:color w:val="000000"/>
          <w:lang w:eastAsia="es-ES"/>
        </w:rPr>
        <w:t>especto al comportamiento de los indicadores del componente jurídico se informa que la entidad present</w:t>
      </w:r>
      <w:r w:rsidR="00F739A2">
        <w:rPr>
          <w:rFonts w:ascii="Arial" w:hAnsi="Arial" w:cs="Arial"/>
          <w:color w:val="000000"/>
          <w:lang w:eastAsia="es-ES"/>
        </w:rPr>
        <w:t xml:space="preserve">ó en el periodo comprendido entre el </w:t>
      </w:r>
      <w:r w:rsidR="00F739A2" w:rsidRPr="00F739A2">
        <w:rPr>
          <w:rFonts w:ascii="Arial" w:hAnsi="Arial" w:cs="Arial"/>
        </w:rPr>
        <w:t xml:space="preserve">8 de mayo al 31 de julio de 2021 </w:t>
      </w:r>
      <w:r w:rsidR="00F739A2">
        <w:rPr>
          <w:rFonts w:ascii="Arial" w:hAnsi="Arial" w:cs="Arial"/>
        </w:rPr>
        <w:t>la cantidad de 2.516 acciones de tutela notificadas en contra de la EPS. R</w:t>
      </w:r>
      <w:r w:rsidR="00F739A2" w:rsidRPr="00F739A2">
        <w:rPr>
          <w:rFonts w:ascii="Arial" w:hAnsi="Arial" w:cs="Arial"/>
        </w:rPr>
        <w:t>eporta la existencia de 3</w:t>
      </w:r>
      <w:r w:rsidR="00F739A2">
        <w:rPr>
          <w:rFonts w:ascii="Arial" w:hAnsi="Arial" w:cs="Arial"/>
        </w:rPr>
        <w:t>.</w:t>
      </w:r>
      <w:r w:rsidR="00F739A2" w:rsidRPr="00F739A2">
        <w:rPr>
          <w:rFonts w:ascii="Arial" w:hAnsi="Arial" w:cs="Arial"/>
        </w:rPr>
        <w:t>170 procesos en los cuales es parte, de los cuales 2935 se constituye como demandante y en 235 actúa como parte demandante</w:t>
      </w:r>
      <w:r w:rsidR="00F739A2">
        <w:rPr>
          <w:rFonts w:ascii="Arial" w:hAnsi="Arial" w:cs="Arial"/>
        </w:rPr>
        <w:t>, por $</w:t>
      </w:r>
      <w:r w:rsidR="00F739A2" w:rsidRPr="00F739A2">
        <w:rPr>
          <w:rFonts w:ascii="Arial" w:hAnsi="Arial" w:cs="Arial"/>
        </w:rPr>
        <w:t xml:space="preserve"> 1.331.267</w:t>
      </w:r>
      <w:r w:rsidR="00F739A2">
        <w:rPr>
          <w:rFonts w:ascii="Arial" w:hAnsi="Arial" w:cs="Arial"/>
        </w:rPr>
        <w:t xml:space="preserve"> millones.</w:t>
      </w:r>
    </w:p>
    <w:p w14:paraId="08559BA1" w14:textId="77777777" w:rsidR="003D53F5" w:rsidRDefault="003D53F5" w:rsidP="000D5BE7">
      <w:pPr>
        <w:spacing w:after="0" w:line="240" w:lineRule="auto"/>
        <w:rPr>
          <w:rFonts w:ascii="Arial" w:hAnsi="Arial" w:cs="Arial"/>
          <w:bCs/>
          <w:u w:val="single"/>
          <w:lang w:val="es-MX"/>
        </w:rPr>
      </w:pPr>
    </w:p>
    <w:p w14:paraId="6BD06B26" w14:textId="5084C6AE" w:rsidR="000D5BE7" w:rsidRPr="00EB7D02" w:rsidRDefault="000D5BE7" w:rsidP="000D5BE7">
      <w:pPr>
        <w:spacing w:after="0" w:line="240" w:lineRule="auto"/>
        <w:rPr>
          <w:rFonts w:ascii="Arial" w:hAnsi="Arial" w:cs="Arial"/>
          <w:bCs/>
          <w:lang w:val="es-MX"/>
        </w:rPr>
      </w:pPr>
      <w:r w:rsidRPr="00EB7D02">
        <w:rPr>
          <w:rFonts w:ascii="Arial" w:hAnsi="Arial" w:cs="Arial"/>
          <w:bCs/>
          <w:u w:val="single"/>
          <w:lang w:val="es-MX"/>
        </w:rPr>
        <w:t>Entidad</w:t>
      </w:r>
      <w:r w:rsidRPr="00EB7D02">
        <w:rPr>
          <w:rFonts w:ascii="Arial" w:hAnsi="Arial" w:cs="Arial"/>
          <w:bCs/>
          <w:lang w:val="es-MX"/>
        </w:rPr>
        <w:t>: MEDIM</w:t>
      </w:r>
      <w:r w:rsidR="003D53F5">
        <w:rPr>
          <w:rFonts w:ascii="Arial" w:hAnsi="Arial" w:cs="Arial"/>
          <w:bCs/>
          <w:lang w:val="es-MX"/>
        </w:rPr>
        <w:t>Á</w:t>
      </w:r>
      <w:r w:rsidRPr="00EB7D02">
        <w:rPr>
          <w:rFonts w:ascii="Arial" w:hAnsi="Arial" w:cs="Arial"/>
          <w:bCs/>
          <w:lang w:val="es-MX"/>
        </w:rPr>
        <w:t>S EPS SAS</w:t>
      </w:r>
    </w:p>
    <w:p w14:paraId="35AB74D6" w14:textId="77777777" w:rsidR="000D5BE7" w:rsidRPr="00EB7D02" w:rsidRDefault="000D5BE7" w:rsidP="000D5BE7">
      <w:pPr>
        <w:spacing w:after="0" w:line="240" w:lineRule="auto"/>
        <w:rPr>
          <w:rFonts w:ascii="Arial" w:hAnsi="Arial" w:cs="Arial"/>
          <w:bCs/>
          <w:lang w:val="es-MX"/>
        </w:rPr>
      </w:pPr>
      <w:r w:rsidRPr="00EB7D02">
        <w:rPr>
          <w:rFonts w:ascii="Arial" w:hAnsi="Arial" w:cs="Arial"/>
          <w:bCs/>
          <w:lang w:val="es-MX"/>
        </w:rPr>
        <w:t xml:space="preserve">Tipo de medida: vigilancia especial </w:t>
      </w:r>
    </w:p>
    <w:p w14:paraId="0DADFC1A" w14:textId="77777777" w:rsidR="000D5BE7" w:rsidRDefault="000D5BE7" w:rsidP="000D5BE7">
      <w:pPr>
        <w:spacing w:after="0" w:line="240" w:lineRule="auto"/>
        <w:rPr>
          <w:rFonts w:ascii="Arial" w:hAnsi="Arial" w:cs="Arial"/>
          <w:bCs/>
          <w:lang w:val="es-MX"/>
        </w:rPr>
      </w:pPr>
    </w:p>
    <w:p w14:paraId="66AD3A6C" w14:textId="5064AC83" w:rsidR="000D5BE7" w:rsidRDefault="000D5BE7" w:rsidP="000D5BE7">
      <w:pPr>
        <w:spacing w:after="0" w:line="240" w:lineRule="auto"/>
        <w:jc w:val="both"/>
        <w:rPr>
          <w:rFonts w:ascii="Arial" w:hAnsi="Arial" w:cs="Arial"/>
          <w:bCs/>
          <w:lang w:val="es-MX"/>
        </w:rPr>
      </w:pPr>
      <w:r>
        <w:rPr>
          <w:rFonts w:ascii="Arial" w:hAnsi="Arial" w:cs="Arial"/>
          <w:bCs/>
          <w:lang w:val="es-MX"/>
        </w:rPr>
        <w:t>La Superintendencia Nacional de Salud mediante Resolución 5163 del 19 de octubre de 2017, ordeno medida preventiva de vigilancia especial a Medimas EPS SAS, la cual se ha prorrogado de manera sucesiva hasta el 9 de febrero de 2022</w:t>
      </w:r>
    </w:p>
    <w:p w14:paraId="1EA73E4B" w14:textId="77777777" w:rsidR="000D5BE7" w:rsidRDefault="000D5BE7" w:rsidP="000D5BE7">
      <w:pPr>
        <w:spacing w:after="0" w:line="240" w:lineRule="auto"/>
        <w:jc w:val="both"/>
        <w:rPr>
          <w:rFonts w:ascii="Arial" w:hAnsi="Arial" w:cs="Arial"/>
          <w:bCs/>
          <w:lang w:val="es-MX"/>
        </w:rPr>
      </w:pPr>
    </w:p>
    <w:p w14:paraId="110D7CCB" w14:textId="77777777" w:rsidR="000D5BE7" w:rsidRPr="00E476FB" w:rsidRDefault="000D5BE7" w:rsidP="000D5BE7">
      <w:pPr>
        <w:spacing w:after="0" w:line="240" w:lineRule="auto"/>
        <w:jc w:val="both"/>
        <w:rPr>
          <w:rFonts w:ascii="Arial" w:hAnsi="Arial" w:cs="Arial"/>
        </w:rPr>
      </w:pPr>
      <w:r w:rsidRPr="00E476FB">
        <w:rPr>
          <w:rFonts w:ascii="Arial" w:hAnsi="Arial" w:cs="Arial"/>
        </w:rPr>
        <w:t xml:space="preserve">Medimas </w:t>
      </w:r>
      <w:r>
        <w:rPr>
          <w:rFonts w:ascii="Arial" w:hAnsi="Arial" w:cs="Arial"/>
        </w:rPr>
        <w:t xml:space="preserve">EPS </w:t>
      </w:r>
      <w:r w:rsidRPr="00E476FB">
        <w:rPr>
          <w:rFonts w:ascii="Arial" w:hAnsi="Arial" w:cs="Arial"/>
        </w:rPr>
        <w:t xml:space="preserve">con corte </w:t>
      </w:r>
      <w:r>
        <w:rPr>
          <w:rFonts w:ascii="Arial" w:hAnsi="Arial" w:cs="Arial"/>
        </w:rPr>
        <w:t xml:space="preserve">a </w:t>
      </w:r>
      <w:r w:rsidRPr="00E476FB">
        <w:rPr>
          <w:rFonts w:ascii="Arial" w:hAnsi="Arial" w:cs="Arial"/>
        </w:rPr>
        <w:t xml:space="preserve">julio de 2021 </w:t>
      </w:r>
      <w:r>
        <w:rPr>
          <w:rFonts w:ascii="Arial" w:hAnsi="Arial" w:cs="Arial"/>
        </w:rPr>
        <w:t>tiene</w:t>
      </w:r>
      <w:r w:rsidRPr="00E476FB">
        <w:rPr>
          <w:rFonts w:ascii="Arial" w:hAnsi="Arial" w:cs="Arial"/>
        </w:rPr>
        <w:t xml:space="preserve"> un total de 1.599.075 afiliados</w:t>
      </w:r>
      <w:r>
        <w:rPr>
          <w:rFonts w:ascii="Arial" w:hAnsi="Arial" w:cs="Arial"/>
        </w:rPr>
        <w:t xml:space="preserve"> activos, con una distribución en el régimen contributivo de </w:t>
      </w:r>
      <w:r w:rsidRPr="00E476FB">
        <w:rPr>
          <w:rFonts w:ascii="Arial" w:hAnsi="Arial" w:cs="Arial"/>
        </w:rPr>
        <w:t>658.857</w:t>
      </w:r>
      <w:r>
        <w:rPr>
          <w:rFonts w:ascii="Arial" w:hAnsi="Arial" w:cs="Arial"/>
        </w:rPr>
        <w:t xml:space="preserve"> usuarios</w:t>
      </w:r>
      <w:r w:rsidRPr="00E476FB">
        <w:rPr>
          <w:rFonts w:ascii="Arial" w:hAnsi="Arial" w:cs="Arial"/>
        </w:rPr>
        <w:t xml:space="preserve"> </w:t>
      </w:r>
      <w:r>
        <w:rPr>
          <w:rFonts w:ascii="Arial" w:hAnsi="Arial" w:cs="Arial"/>
        </w:rPr>
        <w:t xml:space="preserve">y en el régimen subsidiado de </w:t>
      </w:r>
      <w:r w:rsidRPr="00E476FB">
        <w:rPr>
          <w:rFonts w:ascii="Arial" w:hAnsi="Arial" w:cs="Arial"/>
        </w:rPr>
        <w:t>940.218 incluyendo afiliados por movilidad</w:t>
      </w:r>
      <w:r>
        <w:rPr>
          <w:rFonts w:ascii="Arial" w:hAnsi="Arial" w:cs="Arial"/>
        </w:rPr>
        <w:t xml:space="preserve"> reportados en la BDUA al 31 de julio de 2021</w:t>
      </w:r>
      <w:r w:rsidRPr="00E476FB">
        <w:rPr>
          <w:rFonts w:ascii="Arial" w:hAnsi="Arial" w:cs="Arial"/>
        </w:rPr>
        <w:t xml:space="preserve">, </w:t>
      </w:r>
      <w:r>
        <w:rPr>
          <w:rFonts w:ascii="Arial" w:hAnsi="Arial" w:cs="Arial"/>
        </w:rPr>
        <w:t xml:space="preserve">presente en </w:t>
      </w:r>
      <w:r w:rsidRPr="00E476FB">
        <w:rPr>
          <w:rFonts w:ascii="Arial" w:hAnsi="Arial" w:cs="Arial"/>
        </w:rPr>
        <w:t xml:space="preserve">14 </w:t>
      </w:r>
      <w:r>
        <w:rPr>
          <w:rFonts w:ascii="Arial" w:hAnsi="Arial" w:cs="Arial"/>
        </w:rPr>
        <w:t>d</w:t>
      </w:r>
      <w:r w:rsidRPr="00E476FB">
        <w:rPr>
          <w:rFonts w:ascii="Arial" w:hAnsi="Arial" w:cs="Arial"/>
        </w:rPr>
        <w:t>epartamentos y 212 municipios.</w:t>
      </w:r>
    </w:p>
    <w:p w14:paraId="4D793E67" w14:textId="77777777" w:rsidR="000D5BE7" w:rsidRPr="00E476FB" w:rsidRDefault="000D5BE7" w:rsidP="000D5BE7">
      <w:pPr>
        <w:spacing w:after="0" w:line="240" w:lineRule="auto"/>
        <w:jc w:val="both"/>
        <w:rPr>
          <w:rFonts w:ascii="Arial" w:hAnsi="Arial" w:cs="Arial"/>
        </w:rPr>
      </w:pPr>
    </w:p>
    <w:p w14:paraId="3F5BDA46" w14:textId="3FE67821" w:rsidR="000D5BE7" w:rsidRPr="00E476FB" w:rsidRDefault="000D5BE7" w:rsidP="000D5BE7">
      <w:pPr>
        <w:spacing w:after="0" w:line="240" w:lineRule="auto"/>
        <w:jc w:val="both"/>
        <w:rPr>
          <w:rFonts w:ascii="Arial" w:hAnsi="Arial" w:cs="Arial"/>
        </w:rPr>
      </w:pPr>
      <w:r w:rsidRPr="00EB7D02">
        <w:rPr>
          <w:rFonts w:ascii="Arial" w:hAnsi="Arial" w:cs="Arial"/>
        </w:rPr>
        <w:t>Frente al seguimiento de los indicadores del componente técnico científico a ju</w:t>
      </w:r>
      <w:r>
        <w:rPr>
          <w:rFonts w:ascii="Arial" w:hAnsi="Arial" w:cs="Arial"/>
        </w:rPr>
        <w:t>l</w:t>
      </w:r>
      <w:r w:rsidRPr="00EB7D02">
        <w:rPr>
          <w:rFonts w:ascii="Arial" w:hAnsi="Arial" w:cs="Arial"/>
        </w:rPr>
        <w:t>io de 2021</w:t>
      </w:r>
      <w:r>
        <w:rPr>
          <w:rFonts w:ascii="Arial" w:hAnsi="Arial" w:cs="Arial"/>
        </w:rPr>
        <w:t xml:space="preserve"> se evidenció que </w:t>
      </w:r>
      <w:r w:rsidRPr="00E476FB">
        <w:rPr>
          <w:rFonts w:ascii="Arial" w:hAnsi="Arial" w:cs="Arial"/>
        </w:rPr>
        <w:t xml:space="preserve">los eventos notificados ante el Sivigila </w:t>
      </w:r>
      <w:r>
        <w:rPr>
          <w:rFonts w:ascii="Arial" w:hAnsi="Arial" w:cs="Arial"/>
        </w:rPr>
        <w:t xml:space="preserve">demuestran que la EPS </w:t>
      </w:r>
      <w:r w:rsidRPr="00E476FB">
        <w:rPr>
          <w:rFonts w:ascii="Arial" w:hAnsi="Arial" w:cs="Arial"/>
        </w:rPr>
        <w:t xml:space="preserve">presenta dificultades para garantizar al binomio madre e </w:t>
      </w:r>
      <w:r w:rsidR="00F75836">
        <w:rPr>
          <w:rFonts w:ascii="Arial" w:hAnsi="Arial" w:cs="Arial"/>
        </w:rPr>
        <w:t>h</w:t>
      </w:r>
      <w:r w:rsidRPr="00E476FB">
        <w:rPr>
          <w:rFonts w:ascii="Arial" w:hAnsi="Arial" w:cs="Arial"/>
        </w:rPr>
        <w:t>ijo</w:t>
      </w:r>
      <w:r>
        <w:rPr>
          <w:rFonts w:ascii="Arial" w:hAnsi="Arial" w:cs="Arial"/>
        </w:rPr>
        <w:t>,</w:t>
      </w:r>
      <w:r w:rsidRPr="00E476FB">
        <w:rPr>
          <w:rFonts w:ascii="Arial" w:hAnsi="Arial" w:cs="Arial"/>
        </w:rPr>
        <w:t xml:space="preserve"> el acceso oportuno a los servicios de </w:t>
      </w:r>
      <w:r w:rsidRPr="00E476FB">
        <w:rPr>
          <w:rFonts w:ascii="Arial" w:hAnsi="Arial" w:cs="Arial"/>
        </w:rPr>
        <w:lastRenderedPageBreak/>
        <w:t>salud para sus afiliados</w:t>
      </w:r>
      <w:r>
        <w:rPr>
          <w:rFonts w:ascii="Arial" w:hAnsi="Arial" w:cs="Arial"/>
        </w:rPr>
        <w:t xml:space="preserve">, </w:t>
      </w:r>
      <w:r w:rsidRPr="00E476FB">
        <w:rPr>
          <w:rFonts w:ascii="Arial" w:hAnsi="Arial" w:cs="Arial"/>
        </w:rPr>
        <w:t xml:space="preserve">incumplimiento en los indicadores de </w:t>
      </w:r>
      <w:r>
        <w:rPr>
          <w:rFonts w:ascii="Arial" w:hAnsi="Arial" w:cs="Arial"/>
        </w:rPr>
        <w:t>m</w:t>
      </w:r>
      <w:r w:rsidRPr="00E476FB">
        <w:rPr>
          <w:rFonts w:ascii="Arial" w:hAnsi="Arial" w:cs="Arial"/>
        </w:rPr>
        <w:t xml:space="preserve">ortalidad </w:t>
      </w:r>
      <w:r>
        <w:rPr>
          <w:rFonts w:ascii="Arial" w:hAnsi="Arial" w:cs="Arial"/>
        </w:rPr>
        <w:t>m</w:t>
      </w:r>
      <w:r w:rsidRPr="00E476FB">
        <w:rPr>
          <w:rFonts w:ascii="Arial" w:hAnsi="Arial" w:cs="Arial"/>
        </w:rPr>
        <w:t xml:space="preserve">aterna y sífilis congénita.  </w:t>
      </w:r>
    </w:p>
    <w:p w14:paraId="41D175A3" w14:textId="77777777" w:rsidR="000D5BE7" w:rsidRPr="00E476FB" w:rsidRDefault="000D5BE7" w:rsidP="000D5BE7">
      <w:pPr>
        <w:spacing w:after="0" w:line="240" w:lineRule="auto"/>
        <w:jc w:val="both"/>
        <w:rPr>
          <w:rFonts w:ascii="Arial" w:hAnsi="Arial" w:cs="Arial"/>
        </w:rPr>
      </w:pPr>
    </w:p>
    <w:p w14:paraId="1B9ACFA0" w14:textId="77777777" w:rsidR="000D5BE7" w:rsidRPr="00E476FB" w:rsidRDefault="000D5BE7" w:rsidP="000D5BE7">
      <w:pPr>
        <w:spacing w:after="0" w:line="240" w:lineRule="auto"/>
        <w:jc w:val="both"/>
        <w:rPr>
          <w:rFonts w:ascii="Arial" w:hAnsi="Arial" w:cs="Arial"/>
        </w:rPr>
      </w:pPr>
      <w:r w:rsidRPr="00E476FB">
        <w:rPr>
          <w:rFonts w:ascii="Arial" w:hAnsi="Arial" w:cs="Arial"/>
        </w:rPr>
        <w:t>Así mismo, la EPS posee debilidades en la implementación de programas de detección temprana del cáncer de cérvix y mama, reflejadas en las bajas coberturas de toma de citología cervicouterina y tamización con mamografía; estas deficiencias se presentan en ambos regímenes de afiliación y vienen impactando en el resultado de indicadores que reflejan la materialización del riesgo.</w:t>
      </w:r>
    </w:p>
    <w:p w14:paraId="1D1BE5B3" w14:textId="77777777" w:rsidR="000D5BE7" w:rsidRPr="00E476FB" w:rsidRDefault="000D5BE7" w:rsidP="000D5BE7">
      <w:pPr>
        <w:spacing w:after="0" w:line="240" w:lineRule="auto"/>
        <w:jc w:val="both"/>
        <w:rPr>
          <w:rFonts w:ascii="Arial" w:hAnsi="Arial" w:cs="Arial"/>
        </w:rPr>
      </w:pPr>
    </w:p>
    <w:p w14:paraId="5247BCD2" w14:textId="77777777" w:rsidR="000D5BE7" w:rsidRPr="00E476FB" w:rsidRDefault="000D5BE7" w:rsidP="000D5BE7">
      <w:pPr>
        <w:spacing w:after="0" w:line="240" w:lineRule="auto"/>
        <w:jc w:val="both"/>
        <w:rPr>
          <w:rFonts w:ascii="Arial" w:eastAsia="Calibri" w:hAnsi="Arial" w:cs="Arial"/>
          <w:lang w:eastAsia="es-CO"/>
        </w:rPr>
      </w:pPr>
      <w:r w:rsidRPr="00E476FB">
        <w:rPr>
          <w:rFonts w:ascii="Arial" w:hAnsi="Arial" w:cs="Arial"/>
        </w:rPr>
        <w:t>Frente al componente financiero, Medim</w:t>
      </w:r>
      <w:r>
        <w:rPr>
          <w:rFonts w:ascii="Arial" w:hAnsi="Arial" w:cs="Arial"/>
        </w:rPr>
        <w:t>á</w:t>
      </w:r>
      <w:r w:rsidRPr="00E476FB">
        <w:rPr>
          <w:rFonts w:ascii="Arial" w:hAnsi="Arial" w:cs="Arial"/>
        </w:rPr>
        <w:t>s EPS continúa incumpli</w:t>
      </w:r>
      <w:r>
        <w:rPr>
          <w:rFonts w:ascii="Arial" w:hAnsi="Arial" w:cs="Arial"/>
        </w:rPr>
        <w:t xml:space="preserve">endo </w:t>
      </w:r>
      <w:r w:rsidRPr="00E476FB">
        <w:rPr>
          <w:rFonts w:ascii="Arial" w:hAnsi="Arial" w:cs="Arial"/>
        </w:rPr>
        <w:t xml:space="preserve">con lo aprobado en el Plan de Reorganización Institucional, </w:t>
      </w:r>
      <w:r>
        <w:rPr>
          <w:rFonts w:ascii="Arial" w:hAnsi="Arial" w:cs="Arial"/>
        </w:rPr>
        <w:t xml:space="preserve">al no cumplir con </w:t>
      </w:r>
      <w:r w:rsidRPr="00E476FB">
        <w:rPr>
          <w:rFonts w:ascii="Arial" w:hAnsi="Arial" w:cs="Arial"/>
        </w:rPr>
        <w:t xml:space="preserve">las condiciones financieras y de solvencia, se evidencia un déficit al corte mayo de 2021 para capital mínimo de $663.444 millones y patrimonio adecuado por $323.48 millones y capitalizaciones por $534.262 millones, el 44% de lo planteado en el Plan de Reorganización Institucional de $1.6 billones entre el 2017 y 2023. En este mismo contexto, </w:t>
      </w:r>
      <w:r w:rsidRPr="00E476FB">
        <w:rPr>
          <w:rFonts w:ascii="Arial" w:eastAsia="Calibri" w:hAnsi="Arial" w:cs="Arial"/>
          <w:lang w:eastAsia="es-CO"/>
        </w:rPr>
        <w:t xml:space="preserve">en el seguimiento realizado a la aplicación de la metodología del cálculo de las reservas técnicas, se identifica que la información reportada carece de calidad y consistencia mínima solicitada; así mismo, la vigilada ha realizado cambios metodológicos no autorizados por esta </w:t>
      </w:r>
      <w:r>
        <w:rPr>
          <w:rFonts w:ascii="Arial" w:eastAsia="Calibri" w:hAnsi="Arial" w:cs="Arial"/>
          <w:lang w:eastAsia="es-CO"/>
        </w:rPr>
        <w:t>s</w:t>
      </w:r>
      <w:r w:rsidRPr="00E476FB">
        <w:rPr>
          <w:rFonts w:ascii="Arial" w:eastAsia="Calibri" w:hAnsi="Arial" w:cs="Arial"/>
          <w:lang w:eastAsia="es-CO"/>
        </w:rPr>
        <w:t xml:space="preserve">uperintendencia, incumpliendo las previsiones atinentes a las reservas técnicas a las cuales hace alusión el artículo 2.5.2.2.1.9 del Decreto 780 de 2016. </w:t>
      </w:r>
    </w:p>
    <w:p w14:paraId="2523B85B" w14:textId="77777777" w:rsidR="000D5BE7" w:rsidRPr="00E476FB" w:rsidRDefault="000D5BE7" w:rsidP="000D5BE7">
      <w:pPr>
        <w:spacing w:after="0" w:line="240" w:lineRule="auto"/>
        <w:jc w:val="both"/>
        <w:rPr>
          <w:rFonts w:ascii="Arial" w:eastAsia="Calibri" w:hAnsi="Arial" w:cs="Arial"/>
          <w:lang w:eastAsia="es-CO"/>
        </w:rPr>
      </w:pPr>
    </w:p>
    <w:p w14:paraId="66643C65" w14:textId="5DE10E73" w:rsidR="000D5BE7" w:rsidRPr="00E476FB" w:rsidRDefault="000D5BE7" w:rsidP="000D5BE7">
      <w:pPr>
        <w:spacing w:after="0" w:line="240" w:lineRule="auto"/>
        <w:jc w:val="both"/>
        <w:rPr>
          <w:rFonts w:ascii="Arial" w:eastAsia="Times New Roman" w:hAnsi="Arial" w:cs="Arial"/>
          <w:color w:val="000000"/>
          <w:lang w:eastAsia="es-CO"/>
        </w:rPr>
      </w:pPr>
      <w:r w:rsidRPr="00E476FB">
        <w:rPr>
          <w:rFonts w:ascii="Arial" w:eastAsia="Times New Roman" w:hAnsi="Arial" w:cs="Arial"/>
          <w:color w:val="000000"/>
          <w:bdr w:val="none" w:sz="0" w:space="0" w:color="auto" w:frame="1"/>
          <w:lang w:eastAsia="es-CO"/>
        </w:rPr>
        <w:t xml:space="preserve">De acuerdo con la evaluación del componente jurídico, se identifica </w:t>
      </w:r>
      <w:r w:rsidR="003D53F5" w:rsidRPr="00E476FB">
        <w:rPr>
          <w:rFonts w:ascii="Arial" w:eastAsia="Times New Roman" w:hAnsi="Arial" w:cs="Arial"/>
          <w:color w:val="000000"/>
          <w:bdr w:val="none" w:sz="0" w:space="0" w:color="auto" w:frame="1"/>
          <w:lang w:eastAsia="es-CO"/>
        </w:rPr>
        <w:t>que,</w:t>
      </w:r>
      <w:r>
        <w:rPr>
          <w:rFonts w:ascii="Arial" w:eastAsia="Times New Roman" w:hAnsi="Arial" w:cs="Arial"/>
          <w:color w:val="000000"/>
          <w:bdr w:val="none" w:sz="0" w:space="0" w:color="auto" w:frame="1"/>
          <w:lang w:eastAsia="es-CO"/>
        </w:rPr>
        <w:t xml:space="preserve"> </w:t>
      </w:r>
      <w:r w:rsidRPr="00E476FB">
        <w:rPr>
          <w:rFonts w:ascii="Arial" w:eastAsia="Times New Roman" w:hAnsi="Arial" w:cs="Arial"/>
          <w:color w:val="000000"/>
          <w:bdr w:val="none" w:sz="0" w:space="0" w:color="auto" w:frame="1"/>
          <w:lang w:eastAsia="es-CO"/>
        </w:rPr>
        <w:t xml:space="preserve">para el periodo </w:t>
      </w:r>
      <w:r w:rsidRPr="00533328">
        <w:rPr>
          <w:rFonts w:ascii="Arial" w:eastAsia="Times New Roman" w:hAnsi="Arial" w:cs="Arial"/>
          <w:color w:val="000000"/>
          <w:bdr w:val="none" w:sz="0" w:space="0" w:color="auto" w:frame="1"/>
          <w:lang w:eastAsia="es-CO"/>
        </w:rPr>
        <w:t>comprendido entre enero a julio de 2021, presenta un acumulado de 3.467 acciones de tutela en salud notificadas en su contra, de las cuales 2.144 fueron por servicios PBS y 1.323 por servicios NO PBS</w:t>
      </w:r>
      <w:r w:rsidRPr="00E476FB">
        <w:rPr>
          <w:rFonts w:ascii="Arial" w:eastAsia="Times New Roman" w:hAnsi="Arial" w:cs="Arial"/>
          <w:color w:val="000000"/>
          <w:bdr w:val="none" w:sz="0" w:space="0" w:color="auto" w:frame="1"/>
          <w:lang w:eastAsia="es-CO"/>
        </w:rPr>
        <w:t>. L</w:t>
      </w:r>
      <w:r w:rsidRPr="00533328">
        <w:rPr>
          <w:rFonts w:ascii="Arial" w:eastAsia="Times New Roman" w:hAnsi="Arial" w:cs="Arial"/>
          <w:color w:val="000000"/>
          <w:lang w:eastAsia="es-CO"/>
        </w:rPr>
        <w:t>os principales motivos específicos de interposición de acciones de tutela en salud presentadas en contra durante enero a julio del 2021 corresponden a: Integralidad, consultas, medicamentos, procedimientos, entrega de insumos, servicios de apoyo diagnóstico, atención domiciliaria, referencia y contra referencia y apoyo terapéutico. </w:t>
      </w:r>
    </w:p>
    <w:p w14:paraId="2E6DD784" w14:textId="77777777" w:rsidR="000D5BE7" w:rsidRPr="00E476FB" w:rsidRDefault="000D5BE7" w:rsidP="000D5BE7">
      <w:pPr>
        <w:spacing w:after="0" w:line="240" w:lineRule="auto"/>
        <w:jc w:val="both"/>
        <w:rPr>
          <w:rFonts w:ascii="Arial" w:eastAsia="Times New Roman" w:hAnsi="Arial" w:cs="Arial"/>
          <w:color w:val="000000"/>
          <w:lang w:eastAsia="es-CO"/>
        </w:rPr>
      </w:pPr>
    </w:p>
    <w:p w14:paraId="46F1C136" w14:textId="76B0E3AC" w:rsidR="000D5BE7" w:rsidRPr="00E476FB" w:rsidRDefault="000D5BE7" w:rsidP="000D5BE7">
      <w:pPr>
        <w:spacing w:after="0" w:line="240" w:lineRule="auto"/>
        <w:jc w:val="both"/>
        <w:rPr>
          <w:rFonts w:ascii="Arial" w:eastAsia="Times New Roman" w:hAnsi="Arial" w:cs="Arial"/>
          <w:color w:val="000000"/>
          <w:lang w:eastAsia="es-CO"/>
        </w:rPr>
      </w:pPr>
      <w:r w:rsidRPr="00E476FB">
        <w:rPr>
          <w:rFonts w:ascii="Arial" w:eastAsia="Times New Roman" w:hAnsi="Arial" w:cs="Arial"/>
          <w:color w:val="000000"/>
          <w:lang w:eastAsia="es-CO"/>
        </w:rPr>
        <w:t xml:space="preserve">Por otra parte, </w:t>
      </w:r>
      <w:r w:rsidRPr="00533328">
        <w:rPr>
          <w:rFonts w:ascii="Arial" w:eastAsia="Times New Roman" w:hAnsi="Arial" w:cs="Arial"/>
          <w:color w:val="000000"/>
          <w:lang w:eastAsia="es-CO"/>
        </w:rPr>
        <w:t>Medimás EPS con corte a julio de 2021 tiene activos 1.149 procesos judiciales los cuales ascienden a una cuantía de $899.564.494 miles</w:t>
      </w:r>
      <w:r>
        <w:rPr>
          <w:rFonts w:ascii="Arial" w:eastAsia="Times New Roman" w:hAnsi="Arial" w:cs="Arial"/>
          <w:color w:val="000000"/>
          <w:lang w:eastAsia="es-CO"/>
        </w:rPr>
        <w:t>.</w:t>
      </w:r>
    </w:p>
    <w:p w14:paraId="6644EE40" w14:textId="77777777" w:rsidR="0086368E" w:rsidRDefault="0086368E" w:rsidP="00F06986">
      <w:pPr>
        <w:spacing w:after="0" w:line="240" w:lineRule="auto"/>
        <w:jc w:val="both"/>
        <w:rPr>
          <w:rFonts w:ascii="Arial" w:hAnsi="Arial" w:cs="Arial"/>
          <w:bCs/>
          <w:u w:val="single"/>
          <w:lang w:val="es-MX"/>
        </w:rPr>
      </w:pPr>
    </w:p>
    <w:p w14:paraId="47EC4D1F" w14:textId="04E28122" w:rsidR="00F06986" w:rsidRPr="00F06986" w:rsidRDefault="00F06986" w:rsidP="00F06986">
      <w:pPr>
        <w:spacing w:after="0" w:line="240" w:lineRule="auto"/>
        <w:jc w:val="both"/>
        <w:rPr>
          <w:rFonts w:ascii="Arial" w:hAnsi="Arial" w:cs="Arial"/>
          <w:bCs/>
        </w:rPr>
      </w:pPr>
      <w:r w:rsidRPr="00F06986">
        <w:rPr>
          <w:rFonts w:ascii="Arial" w:hAnsi="Arial" w:cs="Arial"/>
          <w:bCs/>
          <w:u w:val="single"/>
          <w:lang w:val="es-MX"/>
        </w:rPr>
        <w:t>Entidad</w:t>
      </w:r>
      <w:r w:rsidRPr="00F06986">
        <w:rPr>
          <w:rFonts w:ascii="Arial" w:hAnsi="Arial" w:cs="Arial"/>
          <w:bCs/>
          <w:lang w:val="es-MX"/>
        </w:rPr>
        <w:t xml:space="preserve">: </w:t>
      </w:r>
      <w:r>
        <w:rPr>
          <w:rFonts w:ascii="Arial" w:hAnsi="Arial" w:cs="Arial"/>
          <w:bCs/>
          <w:lang w:val="es-MX"/>
        </w:rPr>
        <w:t xml:space="preserve">PROGRAMA DE </w:t>
      </w:r>
      <w:r w:rsidR="003D53F5">
        <w:rPr>
          <w:rFonts w:ascii="Arial" w:hAnsi="Arial" w:cs="Arial"/>
          <w:bCs/>
          <w:lang w:val="es-MX"/>
        </w:rPr>
        <w:t xml:space="preserve">ENTIDAD PROMOTORA DE </w:t>
      </w:r>
      <w:r>
        <w:rPr>
          <w:rFonts w:ascii="Arial" w:hAnsi="Arial" w:cs="Arial"/>
          <w:bCs/>
          <w:lang w:val="es-MX"/>
        </w:rPr>
        <w:t xml:space="preserve">SALUD DE </w:t>
      </w:r>
      <w:r w:rsidRPr="00F06986">
        <w:rPr>
          <w:rFonts w:ascii="Arial" w:hAnsi="Arial" w:cs="Arial"/>
          <w:bCs/>
          <w:lang w:val="es-MX"/>
        </w:rPr>
        <w:t>COMFAMILIAR HUILA</w:t>
      </w:r>
    </w:p>
    <w:p w14:paraId="4F5789A2" w14:textId="6F854B5B" w:rsidR="00F06986" w:rsidRPr="00F06986" w:rsidRDefault="00F06986" w:rsidP="00F06986">
      <w:pPr>
        <w:spacing w:after="0" w:line="240" w:lineRule="auto"/>
        <w:jc w:val="both"/>
        <w:rPr>
          <w:rFonts w:ascii="Arial" w:hAnsi="Arial" w:cs="Arial"/>
          <w:bCs/>
        </w:rPr>
      </w:pPr>
      <w:r w:rsidRPr="00F06986">
        <w:rPr>
          <w:rFonts w:ascii="Arial" w:hAnsi="Arial" w:cs="Arial"/>
          <w:bCs/>
          <w:lang w:val="es-MX"/>
        </w:rPr>
        <w:t xml:space="preserve">Tipo de </w:t>
      </w:r>
      <w:r>
        <w:rPr>
          <w:rFonts w:ascii="Arial" w:hAnsi="Arial" w:cs="Arial"/>
          <w:bCs/>
          <w:lang w:val="es-MX"/>
        </w:rPr>
        <w:t>M</w:t>
      </w:r>
      <w:r w:rsidRPr="00F06986">
        <w:rPr>
          <w:rFonts w:ascii="Arial" w:hAnsi="Arial" w:cs="Arial"/>
          <w:bCs/>
          <w:lang w:val="es-MX"/>
        </w:rPr>
        <w:t>edida: vigilancia especial</w:t>
      </w:r>
      <w:r w:rsidR="00F75836">
        <w:rPr>
          <w:rFonts w:ascii="Arial" w:hAnsi="Arial" w:cs="Arial"/>
          <w:bCs/>
          <w:lang w:val="es-MX"/>
        </w:rPr>
        <w:t>.</w:t>
      </w:r>
    </w:p>
    <w:p w14:paraId="6C47F0DA" w14:textId="77777777" w:rsidR="00F06986" w:rsidRPr="00F06986" w:rsidRDefault="00F06986" w:rsidP="00F06986">
      <w:pPr>
        <w:pStyle w:val="Prrafodelista"/>
        <w:spacing w:after="0" w:line="240" w:lineRule="auto"/>
        <w:ind w:left="0" w:right="-142"/>
        <w:jc w:val="both"/>
        <w:rPr>
          <w:rFonts w:ascii="Arial" w:eastAsia="Arial" w:hAnsi="Arial" w:cs="Arial"/>
          <w:bCs/>
          <w:lang w:val="es-MX"/>
        </w:rPr>
      </w:pPr>
    </w:p>
    <w:p w14:paraId="1EEFD5B5" w14:textId="753D7725" w:rsidR="00F06986" w:rsidRPr="00F06986" w:rsidRDefault="00F06986" w:rsidP="00F06986">
      <w:pPr>
        <w:spacing w:after="0" w:line="240" w:lineRule="auto"/>
        <w:jc w:val="both"/>
        <w:rPr>
          <w:rFonts w:ascii="Arial" w:hAnsi="Arial" w:cs="Arial"/>
          <w:bCs/>
          <w:lang w:val="es-MX"/>
        </w:rPr>
      </w:pPr>
      <w:r w:rsidRPr="00F06986">
        <w:rPr>
          <w:rFonts w:ascii="Arial" w:hAnsi="Arial" w:cs="Arial"/>
          <w:bCs/>
          <w:lang w:val="es-MX"/>
        </w:rPr>
        <w:t>La Superintendencia Nacional de Salud orden</w:t>
      </w:r>
      <w:r>
        <w:rPr>
          <w:rFonts w:ascii="Arial" w:hAnsi="Arial" w:cs="Arial"/>
          <w:bCs/>
          <w:lang w:val="es-MX"/>
        </w:rPr>
        <w:t>ó</w:t>
      </w:r>
      <w:r w:rsidRPr="00F06986">
        <w:rPr>
          <w:rFonts w:ascii="Arial" w:hAnsi="Arial" w:cs="Arial"/>
          <w:bCs/>
          <w:lang w:val="es-MX"/>
        </w:rPr>
        <w:t xml:space="preserve"> medida de vigilancia especial al </w:t>
      </w:r>
      <w:r w:rsidRPr="00F06986">
        <w:rPr>
          <w:rFonts w:ascii="Arial" w:hAnsi="Arial" w:cs="Arial"/>
          <w:bCs/>
        </w:rPr>
        <w:t>PROGRAMA DE SALUD DE LA CAJA DE COMPENSACIÓN FAMILIAR DEL HUILA “COMFAMILIAR”</w:t>
      </w:r>
      <w:r w:rsidRPr="00F06986">
        <w:rPr>
          <w:rFonts w:ascii="Arial" w:hAnsi="Arial" w:cs="Arial"/>
          <w:bCs/>
          <w:lang w:val="es-MX"/>
        </w:rPr>
        <w:t xml:space="preserve">, mediante </w:t>
      </w:r>
      <w:r w:rsidR="00746B49">
        <w:rPr>
          <w:rFonts w:ascii="Arial" w:hAnsi="Arial" w:cs="Arial"/>
          <w:bCs/>
          <w:lang w:val="es-MX"/>
        </w:rPr>
        <w:t xml:space="preserve">la </w:t>
      </w:r>
      <w:r w:rsidRPr="00F06986">
        <w:rPr>
          <w:rFonts w:ascii="Arial" w:hAnsi="Arial" w:cs="Arial"/>
          <w:bCs/>
          <w:lang w:val="es-MX"/>
        </w:rPr>
        <w:t xml:space="preserve">Resolución </w:t>
      </w:r>
      <w:r w:rsidRPr="00F06986">
        <w:rPr>
          <w:rFonts w:ascii="Arial" w:hAnsi="Arial" w:cs="Arial"/>
          <w:bCs/>
          <w:lang w:eastAsia="es-CO"/>
        </w:rPr>
        <w:t>4706</w:t>
      </w:r>
      <w:r w:rsidRPr="00F06986">
        <w:rPr>
          <w:rFonts w:ascii="Arial" w:hAnsi="Arial" w:cs="Arial"/>
          <w:bCs/>
          <w:i/>
        </w:rPr>
        <w:t xml:space="preserve"> </w:t>
      </w:r>
      <w:r w:rsidRPr="00F06986">
        <w:rPr>
          <w:rFonts w:ascii="Arial" w:hAnsi="Arial" w:cs="Arial"/>
          <w:bCs/>
          <w:lang w:eastAsia="es-CO"/>
        </w:rPr>
        <w:t>del 26 de abril de 2019</w:t>
      </w:r>
      <w:r w:rsidRPr="00F06986">
        <w:rPr>
          <w:rFonts w:ascii="Arial" w:hAnsi="Arial" w:cs="Arial"/>
          <w:bCs/>
          <w:lang w:val="es-MX"/>
        </w:rPr>
        <w:t xml:space="preserve">, </w:t>
      </w:r>
      <w:r w:rsidR="00EA54C0">
        <w:rPr>
          <w:rFonts w:ascii="Arial" w:hAnsi="Arial" w:cs="Arial"/>
          <w:bCs/>
          <w:lang w:val="es-MX"/>
        </w:rPr>
        <w:t>la cual</w:t>
      </w:r>
      <w:r w:rsidRPr="00F06986">
        <w:rPr>
          <w:rFonts w:ascii="Arial" w:hAnsi="Arial" w:cs="Arial"/>
          <w:bCs/>
          <w:lang w:val="es-MX"/>
        </w:rPr>
        <w:t xml:space="preserve"> se ha prorrogado</w:t>
      </w:r>
      <w:r>
        <w:rPr>
          <w:rFonts w:ascii="Arial" w:hAnsi="Arial" w:cs="Arial"/>
          <w:bCs/>
          <w:lang w:val="es-MX"/>
        </w:rPr>
        <w:t xml:space="preserve"> hasta </w:t>
      </w:r>
      <w:r w:rsidRPr="00F06986">
        <w:rPr>
          <w:rFonts w:ascii="Arial" w:hAnsi="Arial" w:cs="Arial"/>
          <w:bCs/>
          <w:lang w:val="es-MX"/>
        </w:rPr>
        <w:t>el 26 de febrero de 2022.</w:t>
      </w:r>
    </w:p>
    <w:p w14:paraId="71E633A1" w14:textId="77777777" w:rsidR="00F06986" w:rsidRPr="00F06986" w:rsidRDefault="00F06986" w:rsidP="00F06986">
      <w:pPr>
        <w:pStyle w:val="Prrafodelista"/>
        <w:spacing w:after="0" w:line="240" w:lineRule="auto"/>
        <w:ind w:left="0" w:right="-142"/>
        <w:jc w:val="both"/>
        <w:rPr>
          <w:rFonts w:ascii="Arial" w:eastAsia="Arial" w:hAnsi="Arial" w:cs="Arial"/>
          <w:bCs/>
          <w:spacing w:val="-1"/>
          <w:lang w:val="es-MX"/>
        </w:rPr>
      </w:pPr>
    </w:p>
    <w:p w14:paraId="27578E24" w14:textId="341CFA43" w:rsidR="00F06986" w:rsidRPr="00F06986" w:rsidRDefault="00F06986" w:rsidP="00F06986">
      <w:pPr>
        <w:pStyle w:val="Prrafodelista"/>
        <w:spacing w:after="0" w:line="240" w:lineRule="auto"/>
        <w:ind w:left="0" w:right="-142"/>
        <w:jc w:val="both"/>
        <w:rPr>
          <w:rFonts w:ascii="Arial" w:eastAsia="Arial" w:hAnsi="Arial" w:cs="Arial"/>
          <w:bCs/>
        </w:rPr>
      </w:pPr>
      <w:r>
        <w:rPr>
          <w:rFonts w:ascii="Arial" w:hAnsi="Arial" w:cs="Arial"/>
          <w:bCs/>
        </w:rPr>
        <w:t>La EPS</w:t>
      </w:r>
      <w:r w:rsidRPr="00F06986">
        <w:rPr>
          <w:rFonts w:ascii="Arial" w:hAnsi="Arial" w:cs="Arial"/>
          <w:bCs/>
        </w:rPr>
        <w:t xml:space="preserve"> </w:t>
      </w:r>
      <w:r w:rsidRPr="00F06986">
        <w:rPr>
          <w:rFonts w:ascii="Arial" w:hAnsi="Arial" w:cs="Arial"/>
          <w:bCs/>
          <w:color w:val="000000" w:themeColor="text1"/>
        </w:rPr>
        <w:t xml:space="preserve">presenta un total de </w:t>
      </w:r>
      <w:r w:rsidRPr="00F06986">
        <w:rPr>
          <w:rFonts w:ascii="Arial" w:hAnsi="Arial" w:cs="Arial"/>
          <w:bCs/>
          <w:color w:val="000000"/>
        </w:rPr>
        <w:t xml:space="preserve">551.551 </w:t>
      </w:r>
      <w:r w:rsidRPr="00F06986">
        <w:rPr>
          <w:rFonts w:ascii="Arial" w:hAnsi="Arial" w:cs="Arial"/>
          <w:bCs/>
          <w:color w:val="000000" w:themeColor="text1"/>
        </w:rPr>
        <w:t xml:space="preserve">afiliados activos, con una distribución en el régimen contributivo de </w:t>
      </w:r>
      <w:r w:rsidRPr="00F06986">
        <w:rPr>
          <w:rFonts w:ascii="Arial" w:hAnsi="Arial" w:cs="Arial"/>
          <w:bCs/>
          <w:color w:val="000000"/>
        </w:rPr>
        <w:t xml:space="preserve">32.128 </w:t>
      </w:r>
      <w:r>
        <w:rPr>
          <w:rFonts w:ascii="Arial" w:hAnsi="Arial" w:cs="Arial"/>
          <w:bCs/>
          <w:color w:val="000000"/>
        </w:rPr>
        <w:t xml:space="preserve">usuarios </w:t>
      </w:r>
      <w:r w:rsidRPr="00F06986">
        <w:rPr>
          <w:rFonts w:ascii="Arial" w:hAnsi="Arial" w:cs="Arial"/>
          <w:bCs/>
          <w:color w:val="000000" w:themeColor="text1"/>
        </w:rPr>
        <w:t xml:space="preserve">y de </w:t>
      </w:r>
      <w:r w:rsidRPr="00F06986">
        <w:rPr>
          <w:rFonts w:ascii="Arial" w:hAnsi="Arial" w:cs="Arial"/>
          <w:bCs/>
          <w:color w:val="000000"/>
        </w:rPr>
        <w:t xml:space="preserve">519.385 </w:t>
      </w:r>
      <w:r>
        <w:rPr>
          <w:rFonts w:ascii="Arial" w:hAnsi="Arial" w:cs="Arial"/>
          <w:bCs/>
          <w:color w:val="000000"/>
        </w:rPr>
        <w:t xml:space="preserve">afiliados </w:t>
      </w:r>
      <w:r w:rsidRPr="00F06986">
        <w:rPr>
          <w:rFonts w:ascii="Arial" w:hAnsi="Arial" w:cs="Arial"/>
          <w:bCs/>
          <w:color w:val="000000" w:themeColor="text1"/>
        </w:rPr>
        <w:t>en el régimen subsidiado</w:t>
      </w:r>
      <w:r w:rsidR="00667BB9">
        <w:rPr>
          <w:rFonts w:ascii="Arial" w:hAnsi="Arial" w:cs="Arial"/>
          <w:bCs/>
          <w:color w:val="000000" w:themeColor="text1"/>
        </w:rPr>
        <w:t>,</w:t>
      </w:r>
      <w:r w:rsidRPr="00F06986">
        <w:rPr>
          <w:rFonts w:ascii="Arial" w:hAnsi="Arial" w:cs="Arial"/>
          <w:bCs/>
          <w:color w:val="000000" w:themeColor="text1"/>
        </w:rPr>
        <w:t xml:space="preserve"> </w:t>
      </w:r>
      <w:r w:rsidRPr="00F06986">
        <w:rPr>
          <w:rFonts w:ascii="Arial" w:eastAsia="Arial" w:hAnsi="Arial" w:cs="Arial"/>
          <w:bCs/>
          <w:spacing w:val="1"/>
        </w:rPr>
        <w:t>r</w:t>
      </w:r>
      <w:r w:rsidRPr="00F06986">
        <w:rPr>
          <w:rFonts w:ascii="Arial" w:eastAsia="Arial" w:hAnsi="Arial" w:cs="Arial"/>
          <w:bCs/>
        </w:rPr>
        <w:t>e</w:t>
      </w:r>
      <w:r w:rsidRPr="00F06986">
        <w:rPr>
          <w:rFonts w:ascii="Arial" w:eastAsia="Arial" w:hAnsi="Arial" w:cs="Arial"/>
          <w:bCs/>
          <w:spacing w:val="-1"/>
        </w:rPr>
        <w:t>p</w:t>
      </w:r>
      <w:r w:rsidRPr="00F06986">
        <w:rPr>
          <w:rFonts w:ascii="Arial" w:eastAsia="Arial" w:hAnsi="Arial" w:cs="Arial"/>
          <w:bCs/>
        </w:rPr>
        <w:t>o</w:t>
      </w:r>
      <w:r w:rsidRPr="00F06986">
        <w:rPr>
          <w:rFonts w:ascii="Arial" w:eastAsia="Arial" w:hAnsi="Arial" w:cs="Arial"/>
          <w:bCs/>
          <w:spacing w:val="-2"/>
        </w:rPr>
        <w:t>r</w:t>
      </w:r>
      <w:r w:rsidRPr="00F06986">
        <w:rPr>
          <w:rFonts w:ascii="Arial" w:eastAsia="Arial" w:hAnsi="Arial" w:cs="Arial"/>
          <w:bCs/>
          <w:spacing w:val="1"/>
        </w:rPr>
        <w:t>t</w:t>
      </w:r>
      <w:r w:rsidRPr="00F06986">
        <w:rPr>
          <w:rFonts w:ascii="Arial" w:eastAsia="Arial" w:hAnsi="Arial" w:cs="Arial"/>
          <w:bCs/>
        </w:rPr>
        <w:t>a</w:t>
      </w:r>
      <w:r w:rsidRPr="00F06986">
        <w:rPr>
          <w:rFonts w:ascii="Arial" w:eastAsia="Arial" w:hAnsi="Arial" w:cs="Arial"/>
          <w:bCs/>
          <w:spacing w:val="-1"/>
        </w:rPr>
        <w:t>d</w:t>
      </w:r>
      <w:r w:rsidRPr="00F06986">
        <w:rPr>
          <w:rFonts w:ascii="Arial" w:eastAsia="Arial" w:hAnsi="Arial" w:cs="Arial"/>
          <w:bCs/>
        </w:rPr>
        <w:t>os</w:t>
      </w:r>
      <w:r w:rsidRPr="00F06986">
        <w:rPr>
          <w:rFonts w:ascii="Arial" w:eastAsia="Arial" w:hAnsi="Arial" w:cs="Arial"/>
          <w:bCs/>
          <w:spacing w:val="-4"/>
        </w:rPr>
        <w:t xml:space="preserve"> </w:t>
      </w:r>
      <w:r w:rsidRPr="00F06986">
        <w:rPr>
          <w:rFonts w:ascii="Arial" w:eastAsia="Arial" w:hAnsi="Arial" w:cs="Arial"/>
          <w:bCs/>
        </w:rPr>
        <w:t>en</w:t>
      </w:r>
      <w:r w:rsidRPr="00F06986">
        <w:rPr>
          <w:rFonts w:ascii="Arial" w:eastAsia="Arial" w:hAnsi="Arial" w:cs="Arial"/>
          <w:bCs/>
          <w:spacing w:val="-4"/>
        </w:rPr>
        <w:t xml:space="preserve"> </w:t>
      </w:r>
      <w:r w:rsidRPr="00F06986">
        <w:rPr>
          <w:rFonts w:ascii="Arial" w:eastAsia="Arial" w:hAnsi="Arial" w:cs="Arial"/>
          <w:bCs/>
          <w:spacing w:val="-1"/>
        </w:rPr>
        <w:t>l</w:t>
      </w:r>
      <w:r w:rsidRPr="00F06986">
        <w:rPr>
          <w:rFonts w:ascii="Arial" w:eastAsia="Arial" w:hAnsi="Arial" w:cs="Arial"/>
          <w:bCs/>
        </w:rPr>
        <w:t>a</w:t>
      </w:r>
      <w:r w:rsidRPr="00F06986">
        <w:rPr>
          <w:rFonts w:ascii="Arial" w:eastAsia="Arial" w:hAnsi="Arial" w:cs="Arial"/>
          <w:bCs/>
          <w:spacing w:val="-4"/>
        </w:rPr>
        <w:t xml:space="preserve"> </w:t>
      </w:r>
      <w:r w:rsidRPr="00F06986">
        <w:rPr>
          <w:rFonts w:ascii="Arial" w:eastAsia="Arial" w:hAnsi="Arial" w:cs="Arial"/>
          <w:bCs/>
          <w:spacing w:val="-1"/>
        </w:rPr>
        <w:t>BDU</w:t>
      </w:r>
      <w:r w:rsidRPr="00F06986">
        <w:rPr>
          <w:rFonts w:ascii="Arial" w:eastAsia="Arial" w:hAnsi="Arial" w:cs="Arial"/>
          <w:bCs/>
        </w:rPr>
        <w:t>A</w:t>
      </w:r>
      <w:r w:rsidRPr="00F06986">
        <w:rPr>
          <w:rFonts w:ascii="Arial" w:eastAsia="Arial" w:hAnsi="Arial" w:cs="Arial"/>
          <w:bCs/>
          <w:spacing w:val="-4"/>
        </w:rPr>
        <w:t xml:space="preserve"> </w:t>
      </w:r>
      <w:r w:rsidR="00EA54C0">
        <w:rPr>
          <w:rFonts w:ascii="Arial" w:eastAsia="Arial" w:hAnsi="Arial" w:cs="Arial"/>
          <w:bCs/>
          <w:spacing w:val="-1"/>
        </w:rPr>
        <w:t>al</w:t>
      </w:r>
      <w:r w:rsidRPr="00F06986">
        <w:rPr>
          <w:rFonts w:ascii="Arial" w:eastAsia="Arial" w:hAnsi="Arial" w:cs="Arial"/>
          <w:bCs/>
          <w:spacing w:val="-4"/>
        </w:rPr>
        <w:t xml:space="preserve"> </w:t>
      </w:r>
      <w:r w:rsidRPr="00F06986">
        <w:rPr>
          <w:rFonts w:ascii="Arial" w:eastAsia="Arial" w:hAnsi="Arial" w:cs="Arial"/>
          <w:bCs/>
          <w:spacing w:val="1"/>
        </w:rPr>
        <w:t>3</w:t>
      </w:r>
      <w:r w:rsidRPr="00F06986">
        <w:rPr>
          <w:rFonts w:ascii="Arial" w:eastAsia="Arial" w:hAnsi="Arial" w:cs="Arial"/>
          <w:bCs/>
        </w:rPr>
        <w:t>1</w:t>
      </w:r>
      <w:r w:rsidRPr="00F06986">
        <w:rPr>
          <w:rFonts w:ascii="Arial" w:eastAsia="Arial" w:hAnsi="Arial" w:cs="Arial"/>
          <w:bCs/>
          <w:spacing w:val="-4"/>
        </w:rPr>
        <w:t xml:space="preserve"> </w:t>
      </w:r>
      <w:r w:rsidRPr="00F06986">
        <w:rPr>
          <w:rFonts w:ascii="Arial" w:eastAsia="Arial" w:hAnsi="Arial" w:cs="Arial"/>
          <w:bCs/>
        </w:rPr>
        <w:t>de</w:t>
      </w:r>
      <w:r w:rsidRPr="00F06986">
        <w:rPr>
          <w:rFonts w:ascii="Arial" w:eastAsia="Arial" w:hAnsi="Arial" w:cs="Arial"/>
          <w:bCs/>
          <w:spacing w:val="-4"/>
        </w:rPr>
        <w:t xml:space="preserve"> julio </w:t>
      </w:r>
      <w:r w:rsidRPr="00F06986">
        <w:rPr>
          <w:rFonts w:ascii="Arial" w:eastAsia="Arial" w:hAnsi="Arial" w:cs="Arial"/>
          <w:bCs/>
        </w:rPr>
        <w:t>de</w:t>
      </w:r>
      <w:r w:rsidRPr="00F06986">
        <w:rPr>
          <w:rFonts w:ascii="Arial" w:eastAsia="Arial" w:hAnsi="Arial" w:cs="Arial"/>
          <w:bCs/>
          <w:spacing w:val="-4"/>
        </w:rPr>
        <w:t xml:space="preserve"> </w:t>
      </w:r>
      <w:r w:rsidRPr="00F06986">
        <w:rPr>
          <w:rFonts w:ascii="Arial" w:eastAsia="Arial" w:hAnsi="Arial" w:cs="Arial"/>
          <w:bCs/>
        </w:rPr>
        <w:t>2</w:t>
      </w:r>
      <w:r w:rsidRPr="00F06986">
        <w:rPr>
          <w:rFonts w:ascii="Arial" w:eastAsia="Arial" w:hAnsi="Arial" w:cs="Arial"/>
          <w:bCs/>
          <w:spacing w:val="-1"/>
        </w:rPr>
        <w:t>02</w:t>
      </w:r>
      <w:r w:rsidRPr="00F06986">
        <w:rPr>
          <w:rFonts w:ascii="Arial" w:eastAsia="Arial" w:hAnsi="Arial" w:cs="Arial"/>
          <w:bCs/>
          <w:spacing w:val="-3"/>
        </w:rPr>
        <w:t>1</w:t>
      </w:r>
      <w:r w:rsidRPr="00F06986">
        <w:rPr>
          <w:rFonts w:ascii="Arial" w:eastAsia="Arial" w:hAnsi="Arial" w:cs="Arial"/>
          <w:bCs/>
        </w:rPr>
        <w:t>, presente</w:t>
      </w:r>
      <w:r w:rsidRPr="00F06986">
        <w:rPr>
          <w:rFonts w:ascii="Arial" w:eastAsia="Arial" w:hAnsi="Arial" w:cs="Arial"/>
          <w:bCs/>
          <w:spacing w:val="-1"/>
        </w:rPr>
        <w:t xml:space="preserve"> </w:t>
      </w:r>
      <w:r w:rsidRPr="00F06986">
        <w:rPr>
          <w:rFonts w:ascii="Arial" w:eastAsia="Arial" w:hAnsi="Arial" w:cs="Arial"/>
          <w:bCs/>
        </w:rPr>
        <w:t>en</w:t>
      </w:r>
      <w:r w:rsidRPr="00F06986">
        <w:rPr>
          <w:rFonts w:ascii="Arial" w:eastAsia="Arial" w:hAnsi="Arial" w:cs="Arial"/>
          <w:bCs/>
          <w:spacing w:val="-2"/>
        </w:rPr>
        <w:t xml:space="preserve"> </w:t>
      </w:r>
      <w:r w:rsidRPr="00F06986">
        <w:rPr>
          <w:rFonts w:ascii="Arial" w:eastAsia="Arial" w:hAnsi="Arial" w:cs="Arial"/>
          <w:bCs/>
        </w:rPr>
        <w:t xml:space="preserve">108 </w:t>
      </w:r>
      <w:r w:rsidRPr="00F06986">
        <w:rPr>
          <w:rFonts w:ascii="Arial" w:eastAsia="Arial" w:hAnsi="Arial" w:cs="Arial"/>
          <w:bCs/>
          <w:spacing w:val="1"/>
        </w:rPr>
        <w:t>m</w:t>
      </w:r>
      <w:r w:rsidRPr="00F06986">
        <w:rPr>
          <w:rFonts w:ascii="Arial" w:eastAsia="Arial" w:hAnsi="Arial" w:cs="Arial"/>
          <w:bCs/>
        </w:rPr>
        <w:t>u</w:t>
      </w:r>
      <w:r w:rsidRPr="00F06986">
        <w:rPr>
          <w:rFonts w:ascii="Arial" w:eastAsia="Arial" w:hAnsi="Arial" w:cs="Arial"/>
          <w:bCs/>
          <w:spacing w:val="-1"/>
        </w:rPr>
        <w:t>ni</w:t>
      </w:r>
      <w:r w:rsidRPr="00F06986">
        <w:rPr>
          <w:rFonts w:ascii="Arial" w:eastAsia="Arial" w:hAnsi="Arial" w:cs="Arial"/>
          <w:bCs/>
        </w:rPr>
        <w:t>c</w:t>
      </w:r>
      <w:r w:rsidRPr="00F06986">
        <w:rPr>
          <w:rFonts w:ascii="Arial" w:eastAsia="Arial" w:hAnsi="Arial" w:cs="Arial"/>
          <w:bCs/>
          <w:spacing w:val="-1"/>
        </w:rPr>
        <w:t>i</w:t>
      </w:r>
      <w:r w:rsidRPr="00F06986">
        <w:rPr>
          <w:rFonts w:ascii="Arial" w:eastAsia="Arial" w:hAnsi="Arial" w:cs="Arial"/>
          <w:bCs/>
        </w:rPr>
        <w:t>p</w:t>
      </w:r>
      <w:r w:rsidRPr="00F06986">
        <w:rPr>
          <w:rFonts w:ascii="Arial" w:eastAsia="Arial" w:hAnsi="Arial" w:cs="Arial"/>
          <w:bCs/>
          <w:spacing w:val="-1"/>
        </w:rPr>
        <w:t>i</w:t>
      </w:r>
      <w:r w:rsidRPr="00F06986">
        <w:rPr>
          <w:rFonts w:ascii="Arial" w:eastAsia="Arial" w:hAnsi="Arial" w:cs="Arial"/>
          <w:bCs/>
        </w:rPr>
        <w:t>os y</w:t>
      </w:r>
      <w:r w:rsidRPr="00F06986">
        <w:rPr>
          <w:rFonts w:ascii="Arial" w:eastAsia="Arial" w:hAnsi="Arial" w:cs="Arial"/>
          <w:bCs/>
          <w:spacing w:val="2"/>
        </w:rPr>
        <w:t xml:space="preserve"> </w:t>
      </w:r>
      <w:r w:rsidRPr="00F06986">
        <w:rPr>
          <w:rFonts w:ascii="Arial" w:eastAsia="Arial" w:hAnsi="Arial" w:cs="Arial"/>
          <w:bCs/>
        </w:rPr>
        <w:t>2</w:t>
      </w:r>
      <w:r w:rsidRPr="00F06986">
        <w:rPr>
          <w:rFonts w:ascii="Arial" w:eastAsia="Arial" w:hAnsi="Arial" w:cs="Arial"/>
          <w:bCs/>
          <w:spacing w:val="-2"/>
        </w:rPr>
        <w:t xml:space="preserve"> </w:t>
      </w:r>
      <w:r w:rsidRPr="00F06986">
        <w:rPr>
          <w:rFonts w:ascii="Arial" w:eastAsia="Arial" w:hAnsi="Arial" w:cs="Arial"/>
          <w:bCs/>
        </w:rPr>
        <w:t>d</w:t>
      </w:r>
      <w:r w:rsidRPr="00F06986">
        <w:rPr>
          <w:rFonts w:ascii="Arial" w:eastAsia="Arial" w:hAnsi="Arial" w:cs="Arial"/>
          <w:bCs/>
          <w:spacing w:val="-1"/>
        </w:rPr>
        <w:t>e</w:t>
      </w:r>
      <w:r w:rsidRPr="00F06986">
        <w:rPr>
          <w:rFonts w:ascii="Arial" w:eastAsia="Arial" w:hAnsi="Arial" w:cs="Arial"/>
          <w:bCs/>
        </w:rPr>
        <w:t>p</w:t>
      </w:r>
      <w:r w:rsidRPr="00F06986">
        <w:rPr>
          <w:rFonts w:ascii="Arial" w:eastAsia="Arial" w:hAnsi="Arial" w:cs="Arial"/>
          <w:bCs/>
          <w:spacing w:val="-1"/>
        </w:rPr>
        <w:t>a</w:t>
      </w:r>
      <w:r w:rsidRPr="00F06986">
        <w:rPr>
          <w:rFonts w:ascii="Arial" w:eastAsia="Arial" w:hAnsi="Arial" w:cs="Arial"/>
          <w:bCs/>
          <w:spacing w:val="-2"/>
        </w:rPr>
        <w:t>r</w:t>
      </w:r>
      <w:r w:rsidRPr="00F06986">
        <w:rPr>
          <w:rFonts w:ascii="Arial" w:eastAsia="Arial" w:hAnsi="Arial" w:cs="Arial"/>
          <w:bCs/>
          <w:spacing w:val="1"/>
        </w:rPr>
        <w:t>t</w:t>
      </w:r>
      <w:r w:rsidRPr="00F06986">
        <w:rPr>
          <w:rFonts w:ascii="Arial" w:eastAsia="Arial" w:hAnsi="Arial" w:cs="Arial"/>
          <w:bCs/>
        </w:rPr>
        <w:t>ame</w:t>
      </w:r>
      <w:r w:rsidRPr="00F06986">
        <w:rPr>
          <w:rFonts w:ascii="Arial" w:eastAsia="Arial" w:hAnsi="Arial" w:cs="Arial"/>
          <w:bCs/>
          <w:spacing w:val="-3"/>
        </w:rPr>
        <w:t>n</w:t>
      </w:r>
      <w:r w:rsidRPr="00F06986">
        <w:rPr>
          <w:rFonts w:ascii="Arial" w:eastAsia="Arial" w:hAnsi="Arial" w:cs="Arial"/>
          <w:bCs/>
          <w:spacing w:val="1"/>
        </w:rPr>
        <w:t>t</w:t>
      </w:r>
      <w:r w:rsidRPr="00F06986">
        <w:rPr>
          <w:rFonts w:ascii="Arial" w:eastAsia="Arial" w:hAnsi="Arial" w:cs="Arial"/>
          <w:bCs/>
        </w:rPr>
        <w:t>o</w:t>
      </w:r>
      <w:r w:rsidRPr="00F06986">
        <w:rPr>
          <w:rFonts w:ascii="Arial" w:eastAsia="Arial" w:hAnsi="Arial" w:cs="Arial"/>
          <w:bCs/>
          <w:spacing w:val="-3"/>
        </w:rPr>
        <w:t>s</w:t>
      </w:r>
      <w:r w:rsidRPr="00F06986">
        <w:rPr>
          <w:rFonts w:ascii="Arial" w:eastAsia="Arial" w:hAnsi="Arial" w:cs="Arial"/>
          <w:bCs/>
        </w:rPr>
        <w:t xml:space="preserve">.  </w:t>
      </w:r>
    </w:p>
    <w:p w14:paraId="64F4CF38" w14:textId="77777777" w:rsidR="00F06986" w:rsidRPr="00081A6E" w:rsidRDefault="00F06986" w:rsidP="00F06986">
      <w:pPr>
        <w:pStyle w:val="Prrafodelista"/>
        <w:spacing w:after="0" w:line="240" w:lineRule="auto"/>
        <w:ind w:left="0" w:right="-142"/>
        <w:jc w:val="both"/>
        <w:rPr>
          <w:rFonts w:ascii="Arial" w:eastAsia="Arial" w:hAnsi="Arial" w:cs="Arial"/>
        </w:rPr>
      </w:pPr>
    </w:p>
    <w:p w14:paraId="04BFC9AD" w14:textId="324F6F4D" w:rsidR="00F06986" w:rsidRPr="00081A6E" w:rsidRDefault="00F06986" w:rsidP="00667BB9">
      <w:pPr>
        <w:pStyle w:val="Prrafodelista"/>
        <w:spacing w:after="0" w:line="240" w:lineRule="auto"/>
        <w:ind w:left="0" w:right="-142"/>
        <w:jc w:val="both"/>
        <w:rPr>
          <w:rFonts w:ascii="Arial" w:hAnsi="Arial" w:cs="Arial"/>
        </w:rPr>
      </w:pPr>
      <w:bookmarkStart w:id="3" w:name="_Hlk82701265"/>
      <w:r w:rsidRPr="00081A6E">
        <w:rPr>
          <w:rFonts w:ascii="Arial" w:eastAsia="Arial" w:hAnsi="Arial" w:cs="Arial"/>
          <w:spacing w:val="-1"/>
        </w:rPr>
        <w:t xml:space="preserve">Frente al seguimiento de los </w:t>
      </w:r>
      <w:r w:rsidRPr="00081A6E">
        <w:rPr>
          <w:rFonts w:ascii="Arial" w:hAnsi="Arial" w:cs="Arial"/>
          <w:lang w:val="es-ES"/>
        </w:rPr>
        <w:t xml:space="preserve">indicadores del componente </w:t>
      </w:r>
      <w:r w:rsidR="00667BB9" w:rsidRPr="00081A6E">
        <w:rPr>
          <w:rFonts w:ascii="Arial" w:hAnsi="Arial" w:cs="Arial"/>
          <w:lang w:val="es-ES"/>
        </w:rPr>
        <w:t xml:space="preserve">técnico científico </w:t>
      </w:r>
      <w:r w:rsidRPr="00081A6E">
        <w:rPr>
          <w:rFonts w:ascii="Arial" w:hAnsi="Arial" w:cs="Arial"/>
          <w:lang w:val="es-ES"/>
        </w:rPr>
        <w:t>a junio de 2021</w:t>
      </w:r>
      <w:bookmarkEnd w:id="3"/>
      <w:r w:rsidRPr="00081A6E">
        <w:rPr>
          <w:rFonts w:ascii="Arial" w:hAnsi="Arial" w:cs="Arial"/>
          <w:lang w:val="es-ES"/>
        </w:rPr>
        <w:t xml:space="preserve">, </w:t>
      </w:r>
      <w:r w:rsidRPr="00081A6E">
        <w:rPr>
          <w:rFonts w:ascii="Arial" w:hAnsi="Arial" w:cs="Arial"/>
        </w:rPr>
        <w:t>presenta debilidades en la implementación de acciones de detección temprana y protección específica para la reducción de riesgos en las gestantes y en los recién nacidos</w:t>
      </w:r>
      <w:r w:rsidR="00667BB9">
        <w:rPr>
          <w:rFonts w:ascii="Arial" w:hAnsi="Arial" w:cs="Arial"/>
        </w:rPr>
        <w:t xml:space="preserve">, así como </w:t>
      </w:r>
      <w:r w:rsidRPr="00081A6E">
        <w:rPr>
          <w:rFonts w:ascii="Arial" w:hAnsi="Arial" w:cs="Arial"/>
        </w:rPr>
        <w:t>en el porcentaje de gestantes con captación temprana al control prenatal.</w:t>
      </w:r>
      <w:r w:rsidR="00667BB9">
        <w:rPr>
          <w:rFonts w:ascii="Arial" w:hAnsi="Arial" w:cs="Arial"/>
        </w:rPr>
        <w:t xml:space="preserve"> </w:t>
      </w:r>
      <w:r w:rsidRPr="00081A6E">
        <w:rPr>
          <w:rFonts w:ascii="Arial" w:hAnsi="Arial" w:cs="Arial"/>
          <w:lang w:val="es-ES"/>
        </w:rPr>
        <w:t xml:space="preserve">Así mismo, se evidencia </w:t>
      </w:r>
      <w:r w:rsidRPr="00081A6E">
        <w:rPr>
          <w:rFonts w:ascii="Arial" w:hAnsi="Arial" w:cs="Arial"/>
        </w:rPr>
        <w:t xml:space="preserve">el riesgo de personas que padecen alguna de las enfermedades precursoras más relevantes para enfermedad renal crónica, como son la Hipertensión Arterial y la Diabetes </w:t>
      </w:r>
      <w:r w:rsidRPr="00081A6E">
        <w:rPr>
          <w:rFonts w:ascii="Arial" w:hAnsi="Arial" w:cs="Arial"/>
        </w:rPr>
        <w:lastRenderedPageBreak/>
        <w:t>Mellitus en los siguientes indicadores: porcentaje de pacientes diabéticos controlados</w:t>
      </w:r>
      <w:r w:rsidR="00667BB9">
        <w:rPr>
          <w:rFonts w:ascii="Arial" w:hAnsi="Arial" w:cs="Arial"/>
        </w:rPr>
        <w:t xml:space="preserve"> </w:t>
      </w:r>
      <w:r w:rsidRPr="00081A6E">
        <w:rPr>
          <w:rFonts w:ascii="Arial" w:hAnsi="Arial" w:cs="Arial"/>
        </w:rPr>
        <w:t xml:space="preserve">y </w:t>
      </w:r>
      <w:r w:rsidRPr="00081A6E">
        <w:rPr>
          <w:rFonts w:ascii="Arial" w:hAnsi="Arial" w:cs="Arial"/>
          <w:lang w:val="es-AR"/>
        </w:rPr>
        <w:t xml:space="preserve">porcentaje de pacientes hipertensos controlados </w:t>
      </w:r>
      <w:r w:rsidR="00C80D25">
        <w:rPr>
          <w:rFonts w:ascii="Arial" w:hAnsi="Arial" w:cs="Arial"/>
          <w:lang w:val="es-AR"/>
        </w:rPr>
        <w:t>mayores de</w:t>
      </w:r>
      <w:r w:rsidRPr="00081A6E">
        <w:rPr>
          <w:rFonts w:ascii="Arial" w:hAnsi="Arial" w:cs="Arial"/>
          <w:lang w:val="es-AR"/>
        </w:rPr>
        <w:t xml:space="preserve"> 60 años</w:t>
      </w:r>
      <w:r w:rsidR="00667BB9">
        <w:rPr>
          <w:rFonts w:ascii="Arial" w:hAnsi="Arial" w:cs="Arial"/>
          <w:lang w:val="es-AR"/>
        </w:rPr>
        <w:t>.</w:t>
      </w:r>
    </w:p>
    <w:p w14:paraId="4CA8B775" w14:textId="77777777" w:rsidR="00F06986" w:rsidRPr="00081A6E" w:rsidRDefault="00F06986" w:rsidP="00F06986">
      <w:pPr>
        <w:pStyle w:val="Prrafodelista"/>
        <w:spacing w:after="0" w:line="240" w:lineRule="auto"/>
        <w:ind w:left="0" w:right="-142"/>
        <w:jc w:val="both"/>
        <w:rPr>
          <w:rFonts w:ascii="Arial" w:eastAsia="Arial" w:hAnsi="Arial" w:cs="Arial"/>
        </w:rPr>
      </w:pPr>
    </w:p>
    <w:p w14:paraId="5C2E1F5D" w14:textId="31E51E22" w:rsidR="00F06986" w:rsidRPr="00081A6E" w:rsidRDefault="00F06986" w:rsidP="00667BB9">
      <w:pPr>
        <w:spacing w:after="0" w:line="240" w:lineRule="auto"/>
        <w:ind w:right="-93"/>
        <w:jc w:val="both"/>
        <w:rPr>
          <w:rFonts w:ascii="Arial" w:hAnsi="Arial" w:cs="Arial"/>
          <w:b/>
          <w:i/>
          <w:shd w:val="clear" w:color="auto" w:fill="FFFFFF"/>
          <w:lang w:eastAsia="es-MX"/>
        </w:rPr>
      </w:pPr>
      <w:r w:rsidRPr="00081A6E">
        <w:rPr>
          <w:rFonts w:ascii="Arial" w:hAnsi="Arial" w:cs="Arial"/>
          <w:color w:val="000000"/>
          <w:lang w:eastAsia="es-CO"/>
        </w:rPr>
        <w:t>En cuanto al seguimiento y monitoreo al componente financiero</w:t>
      </w:r>
      <w:r w:rsidR="00EA54C0">
        <w:rPr>
          <w:rFonts w:ascii="Arial" w:hAnsi="Arial" w:cs="Arial"/>
          <w:color w:val="000000"/>
          <w:lang w:eastAsia="es-CO"/>
        </w:rPr>
        <w:t>,</w:t>
      </w:r>
      <w:r w:rsidRPr="00081A6E">
        <w:rPr>
          <w:rFonts w:ascii="Arial" w:hAnsi="Arial" w:cs="Arial"/>
          <w:color w:val="000000"/>
          <w:lang w:eastAsia="es-CO"/>
        </w:rPr>
        <w:t xml:space="preserve"> </w:t>
      </w:r>
      <w:r w:rsidR="00667BB9">
        <w:rPr>
          <w:rFonts w:ascii="Arial" w:hAnsi="Arial" w:cs="Arial"/>
          <w:color w:val="000000"/>
          <w:lang w:eastAsia="es-CO"/>
        </w:rPr>
        <w:t xml:space="preserve">la entidad </w:t>
      </w:r>
      <w:r>
        <w:rPr>
          <w:rFonts w:ascii="Arial" w:eastAsia="Calibri" w:hAnsi="Arial" w:cs="Arial"/>
        </w:rPr>
        <w:t xml:space="preserve">ha presentado incumplimiento reiterado de las condiciones financieras y de solvencia. </w:t>
      </w:r>
      <w:r w:rsidR="00EA54C0">
        <w:rPr>
          <w:rFonts w:ascii="Arial" w:eastAsia="Calibri" w:hAnsi="Arial" w:cs="Arial"/>
        </w:rPr>
        <w:t xml:space="preserve">Al 30 de junio de 2021, el total de activos </w:t>
      </w:r>
      <w:r w:rsidRPr="00081A6E">
        <w:rPr>
          <w:rFonts w:ascii="Arial" w:eastAsia="Calibri" w:hAnsi="Arial" w:cs="Arial"/>
        </w:rPr>
        <w:t xml:space="preserve">se han cuadruplicado, siendo aún insuficientes para cubrir los pasivos que se han duplicado durante el mismo periodo, manteniendo niveles de endeudamiento total elevados. </w:t>
      </w:r>
      <w:r w:rsidR="00667BB9">
        <w:rPr>
          <w:rFonts w:ascii="Arial" w:eastAsia="Calibri" w:hAnsi="Arial" w:cs="Arial"/>
        </w:rPr>
        <w:t>L</w:t>
      </w:r>
      <w:r w:rsidRPr="00081A6E">
        <w:rPr>
          <w:rFonts w:ascii="Arial" w:eastAsia="Calibri" w:hAnsi="Arial" w:cs="Arial"/>
        </w:rPr>
        <w:t>a relación pasivo total/activo total es del orden de 8 al corte de junio de 2021.</w:t>
      </w:r>
    </w:p>
    <w:p w14:paraId="707623A0" w14:textId="77777777" w:rsidR="00F06986" w:rsidRDefault="00F06986" w:rsidP="00667BB9">
      <w:pPr>
        <w:spacing w:after="0" w:line="240" w:lineRule="auto"/>
        <w:ind w:right="-93"/>
        <w:jc w:val="both"/>
        <w:rPr>
          <w:rFonts w:ascii="Arial" w:eastAsia="Calibri" w:hAnsi="Arial" w:cs="Arial"/>
        </w:rPr>
      </w:pPr>
    </w:p>
    <w:p w14:paraId="44581033" w14:textId="6ADCA9B2" w:rsidR="00F06986" w:rsidRDefault="00F06986" w:rsidP="00667BB9">
      <w:pPr>
        <w:spacing w:after="0" w:line="240" w:lineRule="auto"/>
        <w:ind w:right="-93"/>
        <w:jc w:val="both"/>
      </w:pPr>
      <w:r w:rsidRPr="00081A6E">
        <w:rPr>
          <w:rFonts w:ascii="Arial" w:eastAsia="Calibri" w:hAnsi="Arial" w:cs="Arial"/>
          <w:lang w:val="es-ES"/>
        </w:rPr>
        <w:t xml:space="preserve">Respecto </w:t>
      </w:r>
      <w:r w:rsidR="00667BB9">
        <w:rPr>
          <w:rFonts w:ascii="Arial" w:eastAsia="Calibri" w:hAnsi="Arial" w:cs="Arial"/>
          <w:lang w:val="es-ES"/>
        </w:rPr>
        <w:t xml:space="preserve">al comportamiento de los indicadores del </w:t>
      </w:r>
      <w:r w:rsidRPr="00081A6E">
        <w:rPr>
          <w:rFonts w:ascii="Arial" w:eastAsia="Calibri" w:hAnsi="Arial" w:cs="Arial"/>
          <w:lang w:val="es-ES"/>
        </w:rPr>
        <w:t xml:space="preserve">componente jurídico, </w:t>
      </w:r>
      <w:r w:rsidR="00667BB9">
        <w:rPr>
          <w:rFonts w:ascii="Arial" w:eastAsia="Calibri" w:hAnsi="Arial" w:cs="Arial"/>
          <w:lang w:val="es-ES"/>
        </w:rPr>
        <w:t>la entidad</w:t>
      </w:r>
      <w:r w:rsidRPr="00081A6E">
        <w:rPr>
          <w:rFonts w:ascii="Arial" w:hAnsi="Arial" w:cs="Arial"/>
        </w:rPr>
        <w:t xml:space="preserve"> </w:t>
      </w:r>
      <w:r w:rsidR="00667BB9" w:rsidRPr="00081A6E">
        <w:rPr>
          <w:rFonts w:ascii="Arial" w:hAnsi="Arial" w:cs="Arial"/>
        </w:rPr>
        <w:t>con corte a junio de 2021</w:t>
      </w:r>
      <w:r w:rsidR="00667BB9">
        <w:rPr>
          <w:rFonts w:ascii="Arial" w:hAnsi="Arial" w:cs="Arial"/>
        </w:rPr>
        <w:t xml:space="preserve"> </w:t>
      </w:r>
      <w:r w:rsidRPr="00081A6E">
        <w:rPr>
          <w:rFonts w:ascii="Arial" w:hAnsi="Arial" w:cs="Arial"/>
        </w:rPr>
        <w:t>ha sido notificada de 417 acciones de tutela en salud, de las cuales 185 pertenecen a eventos PBS y 232 corresponden a eventos NO PBS.</w:t>
      </w:r>
      <w:r>
        <w:rPr>
          <w:rFonts w:ascii="Arial" w:hAnsi="Arial" w:cs="Arial"/>
        </w:rPr>
        <w:t xml:space="preserve"> </w:t>
      </w:r>
      <w:r w:rsidR="00DA4B9F">
        <w:rPr>
          <w:rFonts w:ascii="Arial" w:hAnsi="Arial" w:cs="Arial"/>
        </w:rPr>
        <w:t>Adicionalmente,</w:t>
      </w:r>
      <w:r w:rsidR="00667BB9">
        <w:rPr>
          <w:rFonts w:ascii="Arial" w:hAnsi="Arial" w:cs="Arial"/>
        </w:rPr>
        <w:t xml:space="preserve"> </w:t>
      </w:r>
      <w:r w:rsidRPr="00081A6E">
        <w:rPr>
          <w:rFonts w:ascii="Arial" w:hAnsi="Arial" w:cs="Arial"/>
        </w:rPr>
        <w:t>ha sido notificada de 12 incidentes de desacato</w:t>
      </w:r>
      <w:r w:rsidR="00EA54C0">
        <w:rPr>
          <w:rFonts w:ascii="Arial" w:hAnsi="Arial" w:cs="Arial"/>
        </w:rPr>
        <w:t xml:space="preserve"> y de</w:t>
      </w:r>
      <w:r w:rsidR="00667BB9">
        <w:rPr>
          <w:rFonts w:ascii="Arial" w:hAnsi="Arial" w:cs="Arial"/>
        </w:rPr>
        <w:t xml:space="preserve"> </w:t>
      </w:r>
      <w:r>
        <w:rPr>
          <w:rFonts w:ascii="Arial" w:hAnsi="Arial" w:cs="Arial"/>
        </w:rPr>
        <w:t xml:space="preserve">procesos </w:t>
      </w:r>
      <w:r w:rsidR="00667BB9">
        <w:rPr>
          <w:rFonts w:ascii="Arial" w:hAnsi="Arial" w:cs="Arial"/>
        </w:rPr>
        <w:t xml:space="preserve">judiciales </w:t>
      </w:r>
      <w:r>
        <w:rPr>
          <w:rFonts w:ascii="Arial" w:hAnsi="Arial" w:cs="Arial"/>
        </w:rPr>
        <w:t xml:space="preserve">que </w:t>
      </w:r>
      <w:r w:rsidRPr="00081A6E">
        <w:rPr>
          <w:rFonts w:ascii="Arial" w:hAnsi="Arial" w:cs="Arial"/>
        </w:rPr>
        <w:t>asciende</w:t>
      </w:r>
      <w:r w:rsidR="00EA54C0">
        <w:rPr>
          <w:rFonts w:ascii="Arial" w:hAnsi="Arial" w:cs="Arial"/>
        </w:rPr>
        <w:t>n</w:t>
      </w:r>
      <w:r w:rsidRPr="00081A6E">
        <w:rPr>
          <w:rFonts w:ascii="Arial" w:hAnsi="Arial" w:cs="Arial"/>
        </w:rPr>
        <w:t xml:space="preserve"> a</w:t>
      </w:r>
      <w:r w:rsidRPr="00081A6E">
        <w:rPr>
          <w:rFonts w:ascii="Arial" w:hAnsi="Arial" w:cs="Arial"/>
          <w:color w:val="000000"/>
          <w:lang w:eastAsia="es-CO"/>
        </w:rPr>
        <w:t xml:space="preserve"> $</w:t>
      </w:r>
      <w:r w:rsidRPr="00081A6E">
        <w:rPr>
          <w:rFonts w:ascii="Arial" w:hAnsi="Arial" w:cs="Arial"/>
        </w:rPr>
        <w:t>112.491</w:t>
      </w:r>
      <w:r w:rsidRPr="00081A6E">
        <w:rPr>
          <w:rFonts w:ascii="Arial" w:hAnsi="Arial" w:cs="Arial"/>
          <w:color w:val="000000"/>
          <w:lang w:eastAsia="es-CO"/>
        </w:rPr>
        <w:t xml:space="preserve"> millones.</w:t>
      </w:r>
      <w:r>
        <w:rPr>
          <w:rFonts w:ascii="Arial" w:hAnsi="Arial" w:cs="Arial"/>
          <w:color w:val="000000"/>
          <w:lang w:eastAsia="es-CO"/>
        </w:rPr>
        <w:t xml:space="preserve"> </w:t>
      </w:r>
    </w:p>
    <w:p w14:paraId="0ACA6EE8" w14:textId="77777777" w:rsidR="00366B5A" w:rsidRPr="001B0240" w:rsidRDefault="00366B5A" w:rsidP="001B0240">
      <w:pPr>
        <w:pStyle w:val="xxmsonormal"/>
        <w:shd w:val="clear" w:color="auto" w:fill="FFFFFF"/>
        <w:spacing w:before="0" w:beforeAutospacing="0" w:after="0" w:afterAutospacing="0"/>
        <w:jc w:val="both"/>
        <w:rPr>
          <w:rFonts w:ascii="Arial" w:hAnsi="Arial" w:cs="Arial"/>
          <w:color w:val="201F1E"/>
          <w:sz w:val="22"/>
          <w:szCs w:val="22"/>
        </w:rPr>
      </w:pPr>
    </w:p>
    <w:p w14:paraId="1EDCA805" w14:textId="51A444F2" w:rsidR="001B0240" w:rsidRPr="00C31D64"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t>9. Teniendo en cuenta que SaludCoop EPS contaba con diferentes activos y recursos económicos los cuales ya han sido entregados o vendidos, informe ¿Por qué las Instituciones Prestadoras de Servicios de Salud no han recibido valor alguno respecto de esta acreencia?</w:t>
      </w:r>
    </w:p>
    <w:p w14:paraId="7CC7684A" w14:textId="77777777" w:rsidR="001B0240" w:rsidRPr="001B0240" w:rsidRDefault="001B0240" w:rsidP="001B0240">
      <w:pPr>
        <w:pStyle w:val="xxmsonormal"/>
        <w:shd w:val="clear" w:color="auto" w:fill="FFFFFF"/>
        <w:spacing w:before="0" w:beforeAutospacing="0" w:after="0" w:afterAutospacing="0"/>
        <w:jc w:val="both"/>
        <w:rPr>
          <w:rFonts w:ascii="Arial" w:hAnsi="Arial" w:cs="Arial"/>
          <w:color w:val="201F1E"/>
          <w:sz w:val="22"/>
          <w:szCs w:val="22"/>
        </w:rPr>
      </w:pPr>
      <w:r w:rsidRPr="001B0240">
        <w:rPr>
          <w:rFonts w:ascii="Arial" w:hAnsi="Arial" w:cs="Arial"/>
          <w:color w:val="201F1E"/>
          <w:sz w:val="22"/>
          <w:szCs w:val="22"/>
          <w:bdr w:val="none" w:sz="0" w:space="0" w:color="auto" w:frame="1"/>
          <w:lang w:val="es-ES"/>
        </w:rPr>
        <w:t> </w:t>
      </w:r>
    </w:p>
    <w:p w14:paraId="4BD9558F" w14:textId="78512A6E" w:rsidR="00BB5BA3" w:rsidRPr="00BB5BA3" w:rsidRDefault="00BB5BA3" w:rsidP="00BB5BA3">
      <w:pPr>
        <w:spacing w:after="0" w:line="240" w:lineRule="auto"/>
        <w:jc w:val="both"/>
        <w:rPr>
          <w:rFonts w:ascii="Arial" w:hAnsi="Arial" w:cs="Arial"/>
          <w:lang w:val="es-ES" w:eastAsia="es-CO"/>
        </w:rPr>
      </w:pPr>
      <w:r w:rsidRPr="00BB5BA3">
        <w:rPr>
          <w:rFonts w:ascii="Arial" w:hAnsi="Arial" w:cs="Arial"/>
          <w:lang w:val="es-ES" w:eastAsia="es-CO"/>
        </w:rPr>
        <w:t xml:space="preserve">Para dar respuesta a esta pregunta, en primer </w:t>
      </w:r>
      <w:r w:rsidR="003D53F5" w:rsidRPr="00BB5BA3">
        <w:rPr>
          <w:rFonts w:ascii="Arial" w:hAnsi="Arial" w:cs="Arial"/>
          <w:lang w:val="es-ES" w:eastAsia="es-CO"/>
        </w:rPr>
        <w:t>lugar,</w:t>
      </w:r>
      <w:r w:rsidRPr="00BB5BA3">
        <w:rPr>
          <w:rFonts w:ascii="Arial" w:hAnsi="Arial" w:cs="Arial"/>
          <w:lang w:val="es-ES" w:eastAsia="es-CO"/>
        </w:rPr>
        <w:t xml:space="preserve"> resulta preciso señalar que el proceso liquidatorio de SaludCoop EPS</w:t>
      </w:r>
      <w:r w:rsidR="003D53F5">
        <w:rPr>
          <w:rFonts w:ascii="Arial" w:hAnsi="Arial" w:cs="Arial"/>
          <w:lang w:val="es-ES" w:eastAsia="es-CO"/>
        </w:rPr>
        <w:t xml:space="preserve"> </w:t>
      </w:r>
      <w:r w:rsidRPr="00BB5BA3">
        <w:rPr>
          <w:rFonts w:ascii="Arial" w:hAnsi="Arial" w:cs="Arial"/>
          <w:lang w:val="es-ES" w:eastAsia="es-CO"/>
        </w:rPr>
        <w:t>en liquidación, se encuentra aún vigente, lo cual indica que el Liquidador continúa realizando pagos a los prestadores de servicios de salud. Esto condicionado a la disponibilidad de recursos económicos obtenidos como producto de la venta de activos fijos y el cobro de cartera.</w:t>
      </w:r>
    </w:p>
    <w:p w14:paraId="6BB43539" w14:textId="77777777" w:rsidR="00BB5BA3" w:rsidRPr="00BB5BA3" w:rsidRDefault="00BB5BA3" w:rsidP="00BB5BA3">
      <w:pPr>
        <w:spacing w:after="0" w:line="240" w:lineRule="auto"/>
        <w:jc w:val="both"/>
        <w:rPr>
          <w:rFonts w:ascii="Arial" w:hAnsi="Arial" w:cs="Arial"/>
          <w:lang w:val="es-ES" w:eastAsia="es-CO"/>
        </w:rPr>
      </w:pPr>
    </w:p>
    <w:p w14:paraId="7B6AC995" w14:textId="5CD5B3F9" w:rsidR="00BB5BA3" w:rsidRPr="00BB5BA3" w:rsidRDefault="00BB5BA3" w:rsidP="00BB5BA3">
      <w:pPr>
        <w:spacing w:after="0" w:line="240" w:lineRule="auto"/>
        <w:jc w:val="both"/>
        <w:rPr>
          <w:rFonts w:ascii="Arial" w:hAnsi="Arial" w:cs="Arial"/>
          <w:lang w:val="es-ES" w:eastAsia="es-CO"/>
        </w:rPr>
      </w:pPr>
      <w:r w:rsidRPr="00BB5BA3">
        <w:rPr>
          <w:rFonts w:ascii="Arial" w:hAnsi="Arial" w:cs="Arial"/>
          <w:lang w:val="es-ES" w:eastAsia="es-CO"/>
        </w:rPr>
        <w:t xml:space="preserve">Para dar un panorama general del cumplimiento de pago de acreencias de </w:t>
      </w:r>
      <w:r w:rsidR="000E26BF" w:rsidRPr="00BB5BA3">
        <w:rPr>
          <w:rFonts w:ascii="Arial" w:hAnsi="Arial" w:cs="Arial"/>
          <w:lang w:val="es-ES" w:eastAsia="es-CO"/>
        </w:rPr>
        <w:t>SaludCoop</w:t>
      </w:r>
      <w:r w:rsidRPr="00BB5BA3">
        <w:rPr>
          <w:rFonts w:ascii="Arial" w:hAnsi="Arial" w:cs="Arial"/>
          <w:lang w:val="es-ES" w:eastAsia="es-CO"/>
        </w:rPr>
        <w:t xml:space="preserve"> EPS</w:t>
      </w:r>
      <w:r w:rsidR="003D53F5">
        <w:rPr>
          <w:rFonts w:ascii="Arial" w:hAnsi="Arial" w:cs="Arial"/>
          <w:lang w:val="es-ES" w:eastAsia="es-CO"/>
        </w:rPr>
        <w:t xml:space="preserve"> </w:t>
      </w:r>
      <w:r w:rsidRPr="00BB5BA3">
        <w:rPr>
          <w:rFonts w:ascii="Arial" w:hAnsi="Arial" w:cs="Arial"/>
          <w:lang w:val="es-ES" w:eastAsia="es-CO"/>
        </w:rPr>
        <w:t xml:space="preserve">en liquidación, se presenta </w:t>
      </w:r>
      <w:r w:rsidR="00EA0CAE">
        <w:rPr>
          <w:rFonts w:ascii="Arial" w:hAnsi="Arial" w:cs="Arial"/>
          <w:lang w:val="es-ES" w:eastAsia="es-CO"/>
        </w:rPr>
        <w:t>la siguiente información</w:t>
      </w:r>
      <w:r w:rsidRPr="00BB5BA3">
        <w:rPr>
          <w:rFonts w:ascii="Arial" w:hAnsi="Arial" w:cs="Arial"/>
          <w:lang w:val="es-ES" w:eastAsia="es-CO"/>
        </w:rPr>
        <w:t>:</w:t>
      </w:r>
    </w:p>
    <w:p w14:paraId="4AC45F53" w14:textId="77777777" w:rsidR="00BB5BA3" w:rsidRPr="00BB5BA3" w:rsidRDefault="00BB5BA3" w:rsidP="00BB5BA3">
      <w:pPr>
        <w:spacing w:after="0" w:line="240" w:lineRule="auto"/>
        <w:jc w:val="both"/>
        <w:rPr>
          <w:rFonts w:ascii="Arial" w:hAnsi="Arial" w:cs="Arial"/>
          <w:lang w:val="es-ES" w:eastAsia="es-CO"/>
        </w:rPr>
      </w:pPr>
    </w:p>
    <w:p w14:paraId="4A90CA7F" w14:textId="2FB553B6" w:rsidR="000E26BF" w:rsidRPr="00BB5BA3" w:rsidRDefault="00BB5BA3" w:rsidP="000E26BF">
      <w:pPr>
        <w:spacing w:after="0" w:line="240" w:lineRule="auto"/>
        <w:jc w:val="center"/>
        <w:rPr>
          <w:rFonts w:ascii="Arial" w:hAnsi="Arial" w:cs="Arial"/>
          <w:b/>
          <w:bCs/>
          <w:lang w:val="es-ES" w:eastAsia="es-CO"/>
        </w:rPr>
      </w:pPr>
      <w:r w:rsidRPr="00BB5BA3">
        <w:rPr>
          <w:rFonts w:ascii="Arial" w:hAnsi="Arial" w:cs="Arial"/>
          <w:b/>
          <w:bCs/>
          <w:lang w:val="es-ES" w:eastAsia="es-CO"/>
        </w:rPr>
        <w:t xml:space="preserve">Estado de acreencias de </w:t>
      </w:r>
      <w:r w:rsidR="000E26BF" w:rsidRPr="00BB5BA3">
        <w:rPr>
          <w:rFonts w:ascii="Arial" w:hAnsi="Arial" w:cs="Arial"/>
          <w:b/>
          <w:bCs/>
          <w:lang w:val="es-ES" w:eastAsia="es-CO"/>
        </w:rPr>
        <w:t>SaludCoop</w:t>
      </w:r>
      <w:r w:rsidRPr="00BB5BA3">
        <w:rPr>
          <w:rFonts w:ascii="Arial" w:hAnsi="Arial" w:cs="Arial"/>
          <w:b/>
          <w:bCs/>
          <w:lang w:val="es-ES" w:eastAsia="es-CO"/>
        </w:rPr>
        <w:t xml:space="preserve"> EPS en liquidación</w:t>
      </w:r>
      <w:r w:rsidR="000E26BF">
        <w:rPr>
          <w:rFonts w:ascii="Arial" w:hAnsi="Arial" w:cs="Arial"/>
          <w:b/>
          <w:bCs/>
          <w:lang w:val="es-ES" w:eastAsia="es-CO"/>
        </w:rPr>
        <w:t xml:space="preserve"> c</w:t>
      </w:r>
      <w:r w:rsidRPr="00BB5BA3">
        <w:rPr>
          <w:rFonts w:ascii="Arial" w:hAnsi="Arial" w:cs="Arial"/>
          <w:b/>
          <w:bCs/>
          <w:lang w:val="es-ES" w:eastAsia="es-CO"/>
        </w:rPr>
        <w:t>orte junio de 2021</w:t>
      </w:r>
    </w:p>
    <w:p w14:paraId="44FBDC5F" w14:textId="6B32D9AA" w:rsidR="00BB5BA3" w:rsidRDefault="00263C0B">
      <w:pPr>
        <w:spacing w:after="0" w:line="240" w:lineRule="auto"/>
        <w:ind w:left="5664"/>
        <w:jc w:val="center"/>
        <w:rPr>
          <w:rFonts w:ascii="Arial" w:hAnsi="Arial" w:cs="Arial"/>
          <w:b/>
          <w:bCs/>
          <w:sz w:val="16"/>
          <w:szCs w:val="16"/>
          <w:lang w:val="es-ES" w:eastAsia="es-CO"/>
        </w:rPr>
      </w:pPr>
      <w:r>
        <w:rPr>
          <w:rFonts w:ascii="Arial" w:hAnsi="Arial" w:cs="Arial"/>
          <w:b/>
          <w:bCs/>
          <w:sz w:val="16"/>
          <w:szCs w:val="16"/>
          <w:lang w:val="es-ES" w:eastAsia="es-CO"/>
        </w:rPr>
        <w:t xml:space="preserve">         (M</w:t>
      </w:r>
      <w:r w:rsidR="00BB5BA3" w:rsidRPr="00BB5BA3">
        <w:rPr>
          <w:rFonts w:ascii="Arial" w:hAnsi="Arial" w:cs="Arial"/>
          <w:b/>
          <w:bCs/>
          <w:sz w:val="16"/>
          <w:szCs w:val="16"/>
          <w:lang w:val="es-ES" w:eastAsia="es-CO"/>
        </w:rPr>
        <w:t>illones de pesos)</w:t>
      </w:r>
    </w:p>
    <w:p w14:paraId="3A936E31" w14:textId="1C12F2FE" w:rsidR="003B56CC" w:rsidRDefault="003B56CC">
      <w:pPr>
        <w:spacing w:after="0" w:line="240" w:lineRule="auto"/>
        <w:ind w:left="5664"/>
        <w:jc w:val="center"/>
        <w:rPr>
          <w:rFonts w:ascii="Arial" w:hAnsi="Arial" w:cs="Arial"/>
          <w:b/>
          <w:bCs/>
          <w:sz w:val="16"/>
          <w:szCs w:val="16"/>
          <w:lang w:val="es-ES" w:eastAsia="es-CO"/>
        </w:rPr>
      </w:pPr>
    </w:p>
    <w:tbl>
      <w:tblPr>
        <w:tblW w:w="8628" w:type="dxa"/>
        <w:tblCellMar>
          <w:left w:w="70" w:type="dxa"/>
          <w:right w:w="70" w:type="dxa"/>
        </w:tblCellMar>
        <w:tblLook w:val="04A0" w:firstRow="1" w:lastRow="0" w:firstColumn="1" w:lastColumn="0" w:noHBand="0" w:noVBand="1"/>
      </w:tblPr>
      <w:tblGrid>
        <w:gridCol w:w="2534"/>
        <w:gridCol w:w="1177"/>
        <w:gridCol w:w="1176"/>
        <w:gridCol w:w="1389"/>
        <w:gridCol w:w="1176"/>
        <w:gridCol w:w="1176"/>
      </w:tblGrid>
      <w:tr w:rsidR="003B56CC" w:rsidRPr="004224CE" w14:paraId="1BA9F030" w14:textId="77777777" w:rsidTr="003D53F5">
        <w:trPr>
          <w:trHeight w:val="249"/>
        </w:trPr>
        <w:tc>
          <w:tcPr>
            <w:tcW w:w="2534" w:type="dxa"/>
            <w:tcBorders>
              <w:top w:val="single" w:sz="12" w:space="0" w:color="auto"/>
              <w:left w:val="nil"/>
              <w:bottom w:val="single" w:sz="8" w:space="0" w:color="auto"/>
              <w:right w:val="nil"/>
            </w:tcBorders>
            <w:shd w:val="clear" w:color="000000" w:fill="BDD7EE"/>
            <w:noWrap/>
            <w:vAlign w:val="center"/>
            <w:hideMark/>
          </w:tcPr>
          <w:p w14:paraId="4D5FB127" w14:textId="77777777" w:rsidR="003B56CC" w:rsidRPr="004224CE" w:rsidRDefault="003B56CC" w:rsidP="003D53F5">
            <w:pPr>
              <w:spacing w:after="0" w:line="240" w:lineRule="auto"/>
              <w:jc w:val="center"/>
              <w:rPr>
                <w:rFonts w:ascii="Calibri" w:eastAsia="Times New Roman" w:hAnsi="Calibri" w:cs="Calibri"/>
                <w:b/>
                <w:bCs/>
                <w:color w:val="000000"/>
                <w:sz w:val="16"/>
                <w:szCs w:val="16"/>
                <w:lang w:eastAsia="es-CO"/>
              </w:rPr>
            </w:pPr>
            <w:r w:rsidRPr="004224CE">
              <w:rPr>
                <w:rFonts w:ascii="Calibri" w:eastAsia="Times New Roman" w:hAnsi="Calibri" w:cs="Calibri"/>
                <w:b/>
                <w:bCs/>
                <w:color w:val="000000"/>
                <w:sz w:val="16"/>
                <w:szCs w:val="16"/>
                <w:lang w:eastAsia="es-CO"/>
              </w:rPr>
              <w:t>Clase de acreencias</w:t>
            </w:r>
          </w:p>
        </w:tc>
        <w:tc>
          <w:tcPr>
            <w:tcW w:w="1177" w:type="dxa"/>
            <w:tcBorders>
              <w:top w:val="single" w:sz="12" w:space="0" w:color="auto"/>
              <w:left w:val="nil"/>
              <w:bottom w:val="single" w:sz="8" w:space="0" w:color="auto"/>
              <w:right w:val="nil"/>
            </w:tcBorders>
            <w:shd w:val="clear" w:color="000000" w:fill="BDD7EE"/>
            <w:noWrap/>
            <w:vAlign w:val="center"/>
            <w:hideMark/>
          </w:tcPr>
          <w:p w14:paraId="6B1C0526" w14:textId="77777777" w:rsidR="003B56CC" w:rsidRPr="004224CE" w:rsidRDefault="003B56CC" w:rsidP="003B7799">
            <w:pPr>
              <w:spacing w:after="0" w:line="240" w:lineRule="auto"/>
              <w:jc w:val="center"/>
              <w:rPr>
                <w:rFonts w:ascii="Calibri" w:eastAsia="Times New Roman" w:hAnsi="Calibri" w:cs="Calibri"/>
                <w:b/>
                <w:bCs/>
                <w:color w:val="000000"/>
                <w:sz w:val="16"/>
                <w:szCs w:val="16"/>
                <w:lang w:eastAsia="es-CO"/>
              </w:rPr>
            </w:pPr>
            <w:r w:rsidRPr="004224CE">
              <w:rPr>
                <w:rFonts w:ascii="Calibri" w:eastAsia="Times New Roman" w:hAnsi="Calibri" w:cs="Calibri"/>
                <w:b/>
                <w:bCs/>
                <w:color w:val="000000"/>
                <w:sz w:val="16"/>
                <w:szCs w:val="16"/>
                <w:lang w:eastAsia="es-CO"/>
              </w:rPr>
              <w:t>Valor reclam</w:t>
            </w:r>
            <w:r>
              <w:rPr>
                <w:rFonts w:ascii="Calibri" w:eastAsia="Times New Roman" w:hAnsi="Calibri" w:cs="Calibri"/>
                <w:b/>
                <w:bCs/>
                <w:color w:val="000000"/>
                <w:sz w:val="16"/>
                <w:szCs w:val="16"/>
                <w:lang w:eastAsia="es-CO"/>
              </w:rPr>
              <w:t>a</w:t>
            </w:r>
            <w:r w:rsidRPr="004224CE">
              <w:rPr>
                <w:rFonts w:ascii="Calibri" w:eastAsia="Times New Roman" w:hAnsi="Calibri" w:cs="Calibri"/>
                <w:b/>
                <w:bCs/>
                <w:color w:val="000000"/>
                <w:sz w:val="16"/>
                <w:szCs w:val="16"/>
                <w:lang w:eastAsia="es-CO"/>
              </w:rPr>
              <w:t>do</w:t>
            </w:r>
          </w:p>
        </w:tc>
        <w:tc>
          <w:tcPr>
            <w:tcW w:w="1176" w:type="dxa"/>
            <w:tcBorders>
              <w:top w:val="single" w:sz="12" w:space="0" w:color="auto"/>
              <w:left w:val="nil"/>
              <w:bottom w:val="single" w:sz="8" w:space="0" w:color="auto"/>
              <w:right w:val="nil"/>
            </w:tcBorders>
            <w:shd w:val="clear" w:color="000000" w:fill="BDD7EE"/>
            <w:noWrap/>
            <w:vAlign w:val="center"/>
            <w:hideMark/>
          </w:tcPr>
          <w:p w14:paraId="2CFE76CC" w14:textId="77777777" w:rsidR="003B56CC" w:rsidRPr="004224CE" w:rsidRDefault="003B56CC" w:rsidP="003B7799">
            <w:pPr>
              <w:spacing w:after="0" w:line="240" w:lineRule="auto"/>
              <w:jc w:val="center"/>
              <w:rPr>
                <w:rFonts w:ascii="Calibri" w:eastAsia="Times New Roman" w:hAnsi="Calibri" w:cs="Calibri"/>
                <w:b/>
                <w:bCs/>
                <w:color w:val="000000"/>
                <w:sz w:val="16"/>
                <w:szCs w:val="16"/>
                <w:lang w:eastAsia="es-CO"/>
              </w:rPr>
            </w:pPr>
            <w:r w:rsidRPr="004224CE">
              <w:rPr>
                <w:rFonts w:ascii="Calibri" w:eastAsia="Times New Roman" w:hAnsi="Calibri" w:cs="Calibri"/>
                <w:b/>
                <w:bCs/>
                <w:color w:val="000000"/>
                <w:sz w:val="16"/>
                <w:szCs w:val="16"/>
                <w:lang w:eastAsia="es-CO"/>
              </w:rPr>
              <w:t>Valor reconocido</w:t>
            </w:r>
          </w:p>
        </w:tc>
        <w:tc>
          <w:tcPr>
            <w:tcW w:w="1389" w:type="dxa"/>
            <w:tcBorders>
              <w:top w:val="single" w:sz="12" w:space="0" w:color="auto"/>
              <w:left w:val="nil"/>
              <w:bottom w:val="single" w:sz="8" w:space="0" w:color="auto"/>
              <w:right w:val="nil"/>
            </w:tcBorders>
            <w:shd w:val="clear" w:color="000000" w:fill="BDD7EE"/>
            <w:noWrap/>
            <w:vAlign w:val="center"/>
            <w:hideMark/>
          </w:tcPr>
          <w:p w14:paraId="39202A7B" w14:textId="77777777" w:rsidR="003B56CC" w:rsidRPr="004224CE" w:rsidRDefault="003B56CC" w:rsidP="003B7799">
            <w:pPr>
              <w:spacing w:after="0" w:line="240" w:lineRule="auto"/>
              <w:jc w:val="center"/>
              <w:rPr>
                <w:rFonts w:ascii="Calibri" w:eastAsia="Times New Roman" w:hAnsi="Calibri" w:cs="Calibri"/>
                <w:b/>
                <w:bCs/>
                <w:color w:val="000000"/>
                <w:sz w:val="16"/>
                <w:szCs w:val="16"/>
                <w:lang w:eastAsia="es-CO"/>
              </w:rPr>
            </w:pPr>
            <w:r w:rsidRPr="004224CE">
              <w:rPr>
                <w:rFonts w:ascii="Calibri" w:eastAsia="Times New Roman" w:hAnsi="Calibri" w:cs="Calibri"/>
                <w:b/>
                <w:bCs/>
                <w:color w:val="000000"/>
                <w:sz w:val="16"/>
                <w:szCs w:val="16"/>
                <w:lang w:eastAsia="es-CO"/>
              </w:rPr>
              <w:t>% Reconocimiento</w:t>
            </w:r>
          </w:p>
        </w:tc>
        <w:tc>
          <w:tcPr>
            <w:tcW w:w="1176" w:type="dxa"/>
            <w:tcBorders>
              <w:top w:val="single" w:sz="12" w:space="0" w:color="auto"/>
              <w:left w:val="nil"/>
              <w:bottom w:val="single" w:sz="8" w:space="0" w:color="auto"/>
              <w:right w:val="nil"/>
            </w:tcBorders>
            <w:shd w:val="clear" w:color="000000" w:fill="BDD7EE"/>
            <w:noWrap/>
            <w:vAlign w:val="center"/>
            <w:hideMark/>
          </w:tcPr>
          <w:p w14:paraId="220A7745" w14:textId="77777777" w:rsidR="003B56CC" w:rsidRPr="004224CE" w:rsidRDefault="003B56CC" w:rsidP="003B7799">
            <w:pPr>
              <w:spacing w:after="0" w:line="240" w:lineRule="auto"/>
              <w:jc w:val="center"/>
              <w:rPr>
                <w:rFonts w:ascii="Calibri" w:eastAsia="Times New Roman" w:hAnsi="Calibri" w:cs="Calibri"/>
                <w:b/>
                <w:bCs/>
                <w:color w:val="000000"/>
                <w:sz w:val="16"/>
                <w:szCs w:val="16"/>
                <w:lang w:eastAsia="es-CO"/>
              </w:rPr>
            </w:pPr>
            <w:r w:rsidRPr="004224CE">
              <w:rPr>
                <w:rFonts w:ascii="Calibri" w:eastAsia="Times New Roman" w:hAnsi="Calibri" w:cs="Calibri"/>
                <w:b/>
                <w:bCs/>
                <w:color w:val="000000"/>
                <w:sz w:val="16"/>
                <w:szCs w:val="16"/>
                <w:lang w:eastAsia="es-CO"/>
              </w:rPr>
              <w:t>Valor Pagado</w:t>
            </w:r>
          </w:p>
        </w:tc>
        <w:tc>
          <w:tcPr>
            <w:tcW w:w="1176" w:type="dxa"/>
            <w:tcBorders>
              <w:top w:val="single" w:sz="12" w:space="0" w:color="auto"/>
              <w:left w:val="nil"/>
              <w:bottom w:val="single" w:sz="8" w:space="0" w:color="auto"/>
              <w:right w:val="nil"/>
            </w:tcBorders>
            <w:shd w:val="clear" w:color="000000" w:fill="BDD7EE"/>
            <w:noWrap/>
            <w:vAlign w:val="center"/>
            <w:hideMark/>
          </w:tcPr>
          <w:p w14:paraId="068E4998" w14:textId="77777777" w:rsidR="003B56CC" w:rsidRPr="004224CE" w:rsidRDefault="003B56CC" w:rsidP="003B7799">
            <w:pPr>
              <w:spacing w:after="0" w:line="240" w:lineRule="auto"/>
              <w:jc w:val="center"/>
              <w:rPr>
                <w:rFonts w:ascii="Calibri" w:eastAsia="Times New Roman" w:hAnsi="Calibri" w:cs="Calibri"/>
                <w:b/>
                <w:bCs/>
                <w:color w:val="000000"/>
                <w:sz w:val="16"/>
                <w:szCs w:val="16"/>
                <w:lang w:eastAsia="es-CO"/>
              </w:rPr>
            </w:pPr>
            <w:r w:rsidRPr="004224CE">
              <w:rPr>
                <w:rFonts w:ascii="Calibri" w:eastAsia="Times New Roman" w:hAnsi="Calibri" w:cs="Calibri"/>
                <w:b/>
                <w:bCs/>
                <w:color w:val="000000"/>
                <w:sz w:val="16"/>
                <w:szCs w:val="16"/>
                <w:lang w:eastAsia="es-CO"/>
              </w:rPr>
              <w:t>% Pagado</w:t>
            </w:r>
          </w:p>
        </w:tc>
      </w:tr>
      <w:tr w:rsidR="003B56CC" w:rsidRPr="004224CE" w14:paraId="3E1D41ED" w14:textId="77777777" w:rsidTr="003D53F5">
        <w:trPr>
          <w:trHeight w:val="233"/>
        </w:trPr>
        <w:tc>
          <w:tcPr>
            <w:tcW w:w="2534" w:type="dxa"/>
            <w:tcBorders>
              <w:top w:val="nil"/>
              <w:left w:val="nil"/>
              <w:bottom w:val="nil"/>
              <w:right w:val="nil"/>
            </w:tcBorders>
            <w:shd w:val="clear" w:color="auto" w:fill="auto"/>
            <w:noWrap/>
            <w:vAlign w:val="center"/>
            <w:hideMark/>
          </w:tcPr>
          <w:p w14:paraId="61701C1B" w14:textId="77777777" w:rsidR="003B56CC" w:rsidRPr="004224CE" w:rsidRDefault="003B56CC" w:rsidP="003B7799">
            <w:pPr>
              <w:spacing w:after="0" w:line="240" w:lineRule="auto"/>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Sumas excluidas de la masa</w:t>
            </w:r>
          </w:p>
        </w:tc>
        <w:tc>
          <w:tcPr>
            <w:tcW w:w="1177" w:type="dxa"/>
            <w:tcBorders>
              <w:top w:val="nil"/>
              <w:left w:val="nil"/>
              <w:bottom w:val="nil"/>
              <w:right w:val="nil"/>
            </w:tcBorders>
            <w:shd w:val="clear" w:color="auto" w:fill="auto"/>
            <w:noWrap/>
            <w:vAlign w:val="center"/>
            <w:hideMark/>
          </w:tcPr>
          <w:p w14:paraId="24F31A44" w14:textId="77777777" w:rsidR="003B56CC" w:rsidRPr="004224CE" w:rsidRDefault="003B56CC" w:rsidP="003B7799">
            <w:pPr>
              <w:spacing w:after="0" w:line="240" w:lineRule="auto"/>
              <w:jc w:val="right"/>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346.307</w:t>
            </w:r>
          </w:p>
        </w:tc>
        <w:tc>
          <w:tcPr>
            <w:tcW w:w="1176" w:type="dxa"/>
            <w:tcBorders>
              <w:top w:val="nil"/>
              <w:left w:val="nil"/>
              <w:bottom w:val="nil"/>
              <w:right w:val="nil"/>
            </w:tcBorders>
            <w:shd w:val="clear" w:color="auto" w:fill="auto"/>
            <w:vAlign w:val="center"/>
            <w:hideMark/>
          </w:tcPr>
          <w:p w14:paraId="1D43701B" w14:textId="77777777" w:rsidR="003B56CC" w:rsidRPr="004224CE" w:rsidRDefault="003B56CC" w:rsidP="003B7799">
            <w:pPr>
              <w:spacing w:after="0" w:line="240" w:lineRule="auto"/>
              <w:jc w:val="center"/>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199.271</w:t>
            </w:r>
          </w:p>
        </w:tc>
        <w:tc>
          <w:tcPr>
            <w:tcW w:w="1389" w:type="dxa"/>
            <w:tcBorders>
              <w:top w:val="nil"/>
              <w:left w:val="nil"/>
              <w:bottom w:val="nil"/>
              <w:right w:val="nil"/>
            </w:tcBorders>
            <w:shd w:val="clear" w:color="auto" w:fill="auto"/>
            <w:vAlign w:val="center"/>
            <w:hideMark/>
          </w:tcPr>
          <w:p w14:paraId="3F3087A3" w14:textId="77777777" w:rsidR="003B56CC" w:rsidRPr="004224CE" w:rsidRDefault="003B56CC" w:rsidP="003B7799">
            <w:pPr>
              <w:spacing w:after="0" w:line="240" w:lineRule="auto"/>
              <w:jc w:val="center"/>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58%</w:t>
            </w:r>
          </w:p>
        </w:tc>
        <w:tc>
          <w:tcPr>
            <w:tcW w:w="1176" w:type="dxa"/>
            <w:tcBorders>
              <w:top w:val="nil"/>
              <w:left w:val="nil"/>
              <w:bottom w:val="nil"/>
              <w:right w:val="nil"/>
            </w:tcBorders>
            <w:shd w:val="clear" w:color="auto" w:fill="auto"/>
            <w:vAlign w:val="center"/>
            <w:hideMark/>
          </w:tcPr>
          <w:p w14:paraId="43D04B29" w14:textId="77777777" w:rsidR="003B56CC" w:rsidRPr="004224CE" w:rsidRDefault="003B56CC" w:rsidP="003B7799">
            <w:pPr>
              <w:spacing w:after="0" w:line="240" w:lineRule="auto"/>
              <w:jc w:val="center"/>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199.271</w:t>
            </w:r>
          </w:p>
        </w:tc>
        <w:tc>
          <w:tcPr>
            <w:tcW w:w="1176" w:type="dxa"/>
            <w:tcBorders>
              <w:top w:val="nil"/>
              <w:left w:val="nil"/>
              <w:bottom w:val="nil"/>
              <w:right w:val="nil"/>
            </w:tcBorders>
            <w:shd w:val="clear" w:color="auto" w:fill="auto"/>
            <w:noWrap/>
            <w:vAlign w:val="center"/>
            <w:hideMark/>
          </w:tcPr>
          <w:p w14:paraId="28E040A8" w14:textId="77777777" w:rsidR="003B56CC" w:rsidRPr="004224CE" w:rsidRDefault="003B56CC" w:rsidP="003B7799">
            <w:pPr>
              <w:spacing w:after="0" w:line="240" w:lineRule="auto"/>
              <w:jc w:val="right"/>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100%</w:t>
            </w:r>
          </w:p>
        </w:tc>
      </w:tr>
      <w:tr w:rsidR="003B56CC" w:rsidRPr="004224CE" w14:paraId="35F1A3AA" w14:textId="77777777" w:rsidTr="003D53F5">
        <w:trPr>
          <w:trHeight w:val="233"/>
        </w:trPr>
        <w:tc>
          <w:tcPr>
            <w:tcW w:w="2534" w:type="dxa"/>
            <w:tcBorders>
              <w:top w:val="nil"/>
              <w:left w:val="nil"/>
              <w:bottom w:val="nil"/>
              <w:right w:val="nil"/>
            </w:tcBorders>
            <w:shd w:val="clear" w:color="000000" w:fill="E2EFDA"/>
            <w:noWrap/>
            <w:vAlign w:val="center"/>
            <w:hideMark/>
          </w:tcPr>
          <w:p w14:paraId="0376F339" w14:textId="77777777" w:rsidR="003B56CC" w:rsidRPr="004224CE" w:rsidRDefault="003B56CC" w:rsidP="003B7799">
            <w:pPr>
              <w:spacing w:after="0" w:line="240" w:lineRule="auto"/>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Laborales</w:t>
            </w:r>
          </w:p>
        </w:tc>
        <w:tc>
          <w:tcPr>
            <w:tcW w:w="1177" w:type="dxa"/>
            <w:tcBorders>
              <w:top w:val="nil"/>
              <w:left w:val="nil"/>
              <w:bottom w:val="nil"/>
              <w:right w:val="nil"/>
            </w:tcBorders>
            <w:shd w:val="clear" w:color="000000" w:fill="E2EFDA"/>
            <w:noWrap/>
            <w:vAlign w:val="center"/>
            <w:hideMark/>
          </w:tcPr>
          <w:p w14:paraId="055D882F" w14:textId="77777777" w:rsidR="003B56CC" w:rsidRPr="004224CE" w:rsidRDefault="003B56CC" w:rsidP="003B7799">
            <w:pPr>
              <w:spacing w:after="0" w:line="240" w:lineRule="auto"/>
              <w:jc w:val="right"/>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36.656</w:t>
            </w:r>
          </w:p>
        </w:tc>
        <w:tc>
          <w:tcPr>
            <w:tcW w:w="1176" w:type="dxa"/>
            <w:tcBorders>
              <w:top w:val="nil"/>
              <w:left w:val="nil"/>
              <w:bottom w:val="nil"/>
              <w:right w:val="nil"/>
            </w:tcBorders>
            <w:shd w:val="clear" w:color="000000" w:fill="E2EFDA"/>
            <w:vAlign w:val="center"/>
            <w:hideMark/>
          </w:tcPr>
          <w:p w14:paraId="703E2892" w14:textId="77777777" w:rsidR="003B56CC" w:rsidRPr="004224CE" w:rsidRDefault="003B56CC" w:rsidP="003B7799">
            <w:pPr>
              <w:spacing w:after="0" w:line="240" w:lineRule="auto"/>
              <w:jc w:val="center"/>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17.244</w:t>
            </w:r>
          </w:p>
        </w:tc>
        <w:tc>
          <w:tcPr>
            <w:tcW w:w="1389" w:type="dxa"/>
            <w:tcBorders>
              <w:top w:val="nil"/>
              <w:left w:val="nil"/>
              <w:bottom w:val="nil"/>
              <w:right w:val="nil"/>
            </w:tcBorders>
            <w:shd w:val="clear" w:color="000000" w:fill="E2EFDA"/>
            <w:vAlign w:val="center"/>
            <w:hideMark/>
          </w:tcPr>
          <w:p w14:paraId="1BA75D68" w14:textId="77777777" w:rsidR="003B56CC" w:rsidRPr="004224CE" w:rsidRDefault="003B56CC" w:rsidP="003B7799">
            <w:pPr>
              <w:spacing w:after="0" w:line="240" w:lineRule="auto"/>
              <w:jc w:val="center"/>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47%</w:t>
            </w:r>
          </w:p>
        </w:tc>
        <w:tc>
          <w:tcPr>
            <w:tcW w:w="1176" w:type="dxa"/>
            <w:tcBorders>
              <w:top w:val="nil"/>
              <w:left w:val="nil"/>
              <w:bottom w:val="nil"/>
              <w:right w:val="nil"/>
            </w:tcBorders>
            <w:shd w:val="clear" w:color="000000" w:fill="E2EFDA"/>
            <w:vAlign w:val="center"/>
            <w:hideMark/>
          </w:tcPr>
          <w:p w14:paraId="7EB715B3" w14:textId="77777777" w:rsidR="003B56CC" w:rsidRPr="004224CE" w:rsidRDefault="003B56CC" w:rsidP="003B7799">
            <w:pPr>
              <w:spacing w:after="0" w:line="240" w:lineRule="auto"/>
              <w:jc w:val="center"/>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15.251</w:t>
            </w:r>
          </w:p>
        </w:tc>
        <w:tc>
          <w:tcPr>
            <w:tcW w:w="1176" w:type="dxa"/>
            <w:tcBorders>
              <w:top w:val="nil"/>
              <w:left w:val="nil"/>
              <w:bottom w:val="nil"/>
              <w:right w:val="nil"/>
            </w:tcBorders>
            <w:shd w:val="clear" w:color="000000" w:fill="E2EFDA"/>
            <w:noWrap/>
            <w:vAlign w:val="center"/>
            <w:hideMark/>
          </w:tcPr>
          <w:p w14:paraId="50C879B3" w14:textId="77777777" w:rsidR="003B56CC" w:rsidRPr="004224CE" w:rsidRDefault="003B56CC" w:rsidP="003B7799">
            <w:pPr>
              <w:spacing w:after="0" w:line="240" w:lineRule="auto"/>
              <w:jc w:val="right"/>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88%</w:t>
            </w:r>
          </w:p>
        </w:tc>
      </w:tr>
      <w:tr w:rsidR="003B56CC" w:rsidRPr="004224CE" w14:paraId="5E33EC96" w14:textId="77777777" w:rsidTr="003D53F5">
        <w:trPr>
          <w:trHeight w:val="233"/>
        </w:trPr>
        <w:tc>
          <w:tcPr>
            <w:tcW w:w="2534" w:type="dxa"/>
            <w:tcBorders>
              <w:top w:val="nil"/>
              <w:left w:val="nil"/>
              <w:bottom w:val="nil"/>
              <w:right w:val="nil"/>
            </w:tcBorders>
            <w:shd w:val="clear" w:color="auto" w:fill="auto"/>
            <w:noWrap/>
            <w:vAlign w:val="center"/>
            <w:hideMark/>
          </w:tcPr>
          <w:p w14:paraId="12209038" w14:textId="77777777" w:rsidR="003B56CC" w:rsidRPr="004224CE" w:rsidRDefault="003B56CC" w:rsidP="003B7799">
            <w:pPr>
              <w:spacing w:after="0" w:line="240" w:lineRule="auto"/>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Prestadores de servicios de salud</w:t>
            </w:r>
          </w:p>
        </w:tc>
        <w:tc>
          <w:tcPr>
            <w:tcW w:w="1177" w:type="dxa"/>
            <w:tcBorders>
              <w:top w:val="nil"/>
              <w:left w:val="nil"/>
              <w:bottom w:val="nil"/>
              <w:right w:val="nil"/>
            </w:tcBorders>
            <w:shd w:val="clear" w:color="auto" w:fill="auto"/>
            <w:noWrap/>
            <w:vAlign w:val="center"/>
            <w:hideMark/>
          </w:tcPr>
          <w:p w14:paraId="0649778F" w14:textId="77777777" w:rsidR="003B56CC" w:rsidRPr="004224CE" w:rsidRDefault="003B56CC" w:rsidP="003B7799">
            <w:pPr>
              <w:spacing w:after="0" w:line="240" w:lineRule="auto"/>
              <w:jc w:val="right"/>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4.509.565</w:t>
            </w:r>
          </w:p>
        </w:tc>
        <w:tc>
          <w:tcPr>
            <w:tcW w:w="1176" w:type="dxa"/>
            <w:tcBorders>
              <w:top w:val="nil"/>
              <w:left w:val="nil"/>
              <w:bottom w:val="nil"/>
              <w:right w:val="nil"/>
            </w:tcBorders>
            <w:shd w:val="clear" w:color="auto" w:fill="auto"/>
            <w:vAlign w:val="center"/>
            <w:hideMark/>
          </w:tcPr>
          <w:p w14:paraId="4B7C59CD" w14:textId="77777777" w:rsidR="003B56CC" w:rsidRPr="004224CE" w:rsidRDefault="003B56CC" w:rsidP="003B7799">
            <w:pPr>
              <w:spacing w:after="0" w:line="240" w:lineRule="auto"/>
              <w:jc w:val="center"/>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1.348.494</w:t>
            </w:r>
          </w:p>
        </w:tc>
        <w:tc>
          <w:tcPr>
            <w:tcW w:w="1389" w:type="dxa"/>
            <w:tcBorders>
              <w:top w:val="nil"/>
              <w:left w:val="nil"/>
              <w:bottom w:val="nil"/>
              <w:right w:val="nil"/>
            </w:tcBorders>
            <w:shd w:val="clear" w:color="auto" w:fill="auto"/>
            <w:vAlign w:val="center"/>
            <w:hideMark/>
          </w:tcPr>
          <w:p w14:paraId="7C8DF7CB" w14:textId="77777777" w:rsidR="003B56CC" w:rsidRPr="004224CE" w:rsidRDefault="003B56CC" w:rsidP="003B7799">
            <w:pPr>
              <w:spacing w:after="0" w:line="240" w:lineRule="auto"/>
              <w:jc w:val="center"/>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30%</w:t>
            </w:r>
          </w:p>
        </w:tc>
        <w:tc>
          <w:tcPr>
            <w:tcW w:w="1176" w:type="dxa"/>
            <w:tcBorders>
              <w:top w:val="nil"/>
              <w:left w:val="nil"/>
              <w:bottom w:val="nil"/>
              <w:right w:val="nil"/>
            </w:tcBorders>
            <w:shd w:val="clear" w:color="auto" w:fill="auto"/>
            <w:vAlign w:val="center"/>
            <w:hideMark/>
          </w:tcPr>
          <w:p w14:paraId="6D681D48" w14:textId="77777777" w:rsidR="003B56CC" w:rsidRPr="004224CE" w:rsidRDefault="003B56CC" w:rsidP="003B7799">
            <w:pPr>
              <w:spacing w:after="0" w:line="240" w:lineRule="auto"/>
              <w:jc w:val="center"/>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431.676</w:t>
            </w:r>
          </w:p>
        </w:tc>
        <w:tc>
          <w:tcPr>
            <w:tcW w:w="1176" w:type="dxa"/>
            <w:tcBorders>
              <w:top w:val="nil"/>
              <w:left w:val="nil"/>
              <w:bottom w:val="nil"/>
              <w:right w:val="nil"/>
            </w:tcBorders>
            <w:shd w:val="clear" w:color="auto" w:fill="auto"/>
            <w:noWrap/>
            <w:vAlign w:val="center"/>
            <w:hideMark/>
          </w:tcPr>
          <w:p w14:paraId="4E383AC8" w14:textId="77777777" w:rsidR="003B56CC" w:rsidRPr="004224CE" w:rsidRDefault="003B56CC" w:rsidP="003B7799">
            <w:pPr>
              <w:spacing w:after="0" w:line="240" w:lineRule="auto"/>
              <w:jc w:val="right"/>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32%</w:t>
            </w:r>
          </w:p>
        </w:tc>
      </w:tr>
      <w:tr w:rsidR="003B56CC" w:rsidRPr="004224CE" w14:paraId="58D7D042" w14:textId="77777777" w:rsidTr="003D53F5">
        <w:trPr>
          <w:trHeight w:val="233"/>
        </w:trPr>
        <w:tc>
          <w:tcPr>
            <w:tcW w:w="2534" w:type="dxa"/>
            <w:tcBorders>
              <w:top w:val="nil"/>
              <w:left w:val="nil"/>
              <w:bottom w:val="nil"/>
              <w:right w:val="nil"/>
            </w:tcBorders>
            <w:shd w:val="clear" w:color="000000" w:fill="E2EFDA"/>
            <w:noWrap/>
            <w:vAlign w:val="center"/>
            <w:hideMark/>
          </w:tcPr>
          <w:p w14:paraId="09081FD8" w14:textId="77777777" w:rsidR="003B56CC" w:rsidRPr="004224CE" w:rsidRDefault="003B56CC" w:rsidP="003B7799">
            <w:pPr>
              <w:spacing w:after="0" w:line="240" w:lineRule="auto"/>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Otras acreencias oportunas</w:t>
            </w:r>
          </w:p>
        </w:tc>
        <w:tc>
          <w:tcPr>
            <w:tcW w:w="1177" w:type="dxa"/>
            <w:tcBorders>
              <w:top w:val="nil"/>
              <w:left w:val="nil"/>
              <w:bottom w:val="nil"/>
              <w:right w:val="nil"/>
            </w:tcBorders>
            <w:shd w:val="clear" w:color="000000" w:fill="E2EFDA"/>
            <w:noWrap/>
            <w:vAlign w:val="center"/>
            <w:hideMark/>
          </w:tcPr>
          <w:p w14:paraId="17BA63C8" w14:textId="77777777" w:rsidR="003B56CC" w:rsidRPr="004224CE" w:rsidRDefault="003B56CC" w:rsidP="003B7799">
            <w:pPr>
              <w:spacing w:after="0" w:line="240" w:lineRule="auto"/>
              <w:jc w:val="right"/>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3.748.748</w:t>
            </w:r>
          </w:p>
        </w:tc>
        <w:tc>
          <w:tcPr>
            <w:tcW w:w="1176" w:type="dxa"/>
            <w:tcBorders>
              <w:top w:val="nil"/>
              <w:left w:val="nil"/>
              <w:bottom w:val="nil"/>
              <w:right w:val="nil"/>
            </w:tcBorders>
            <w:shd w:val="clear" w:color="000000" w:fill="E2EFDA"/>
            <w:vAlign w:val="center"/>
            <w:hideMark/>
          </w:tcPr>
          <w:p w14:paraId="6492BFFA" w14:textId="77777777" w:rsidR="003B56CC" w:rsidRPr="004224CE" w:rsidRDefault="003B56CC" w:rsidP="003B7799">
            <w:pPr>
              <w:spacing w:after="0" w:line="240" w:lineRule="auto"/>
              <w:jc w:val="center"/>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1.700.877</w:t>
            </w:r>
          </w:p>
        </w:tc>
        <w:tc>
          <w:tcPr>
            <w:tcW w:w="1389" w:type="dxa"/>
            <w:tcBorders>
              <w:top w:val="nil"/>
              <w:left w:val="nil"/>
              <w:bottom w:val="nil"/>
              <w:right w:val="nil"/>
            </w:tcBorders>
            <w:shd w:val="clear" w:color="000000" w:fill="E2EFDA"/>
            <w:vAlign w:val="center"/>
            <w:hideMark/>
          </w:tcPr>
          <w:p w14:paraId="6CDBCF3B" w14:textId="77777777" w:rsidR="003B56CC" w:rsidRPr="004224CE" w:rsidRDefault="003B56CC" w:rsidP="003B7799">
            <w:pPr>
              <w:spacing w:after="0" w:line="240" w:lineRule="auto"/>
              <w:jc w:val="center"/>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45%</w:t>
            </w:r>
          </w:p>
        </w:tc>
        <w:tc>
          <w:tcPr>
            <w:tcW w:w="1176" w:type="dxa"/>
            <w:tcBorders>
              <w:top w:val="nil"/>
              <w:left w:val="nil"/>
              <w:bottom w:val="nil"/>
              <w:right w:val="nil"/>
            </w:tcBorders>
            <w:shd w:val="clear" w:color="000000" w:fill="E2EFDA"/>
            <w:vAlign w:val="center"/>
            <w:hideMark/>
          </w:tcPr>
          <w:p w14:paraId="47A9FC79" w14:textId="77777777" w:rsidR="003B56CC" w:rsidRPr="004224CE" w:rsidRDefault="003B56CC" w:rsidP="003B7799">
            <w:pPr>
              <w:spacing w:after="0" w:line="240" w:lineRule="auto"/>
              <w:jc w:val="center"/>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40</w:t>
            </w:r>
          </w:p>
        </w:tc>
        <w:tc>
          <w:tcPr>
            <w:tcW w:w="1176" w:type="dxa"/>
            <w:tcBorders>
              <w:top w:val="nil"/>
              <w:left w:val="nil"/>
              <w:bottom w:val="nil"/>
              <w:right w:val="nil"/>
            </w:tcBorders>
            <w:shd w:val="clear" w:color="000000" w:fill="E2EFDA"/>
            <w:noWrap/>
            <w:vAlign w:val="center"/>
            <w:hideMark/>
          </w:tcPr>
          <w:p w14:paraId="5F47997A" w14:textId="77777777" w:rsidR="003B56CC" w:rsidRPr="004224CE" w:rsidRDefault="003B56CC" w:rsidP="003B7799">
            <w:pPr>
              <w:spacing w:after="0" w:line="240" w:lineRule="auto"/>
              <w:jc w:val="right"/>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0,00%</w:t>
            </w:r>
          </w:p>
        </w:tc>
      </w:tr>
      <w:tr w:rsidR="003B56CC" w:rsidRPr="004224CE" w14:paraId="142E03E2" w14:textId="77777777" w:rsidTr="003D53F5">
        <w:trPr>
          <w:trHeight w:val="233"/>
        </w:trPr>
        <w:tc>
          <w:tcPr>
            <w:tcW w:w="2534" w:type="dxa"/>
            <w:tcBorders>
              <w:top w:val="nil"/>
              <w:left w:val="nil"/>
              <w:bottom w:val="nil"/>
              <w:right w:val="nil"/>
            </w:tcBorders>
            <w:shd w:val="clear" w:color="auto" w:fill="auto"/>
            <w:noWrap/>
            <w:vAlign w:val="center"/>
            <w:hideMark/>
          </w:tcPr>
          <w:p w14:paraId="6A5D663D" w14:textId="77777777" w:rsidR="003B56CC" w:rsidRPr="004224CE" w:rsidRDefault="003B56CC" w:rsidP="003B7799">
            <w:pPr>
              <w:spacing w:after="0" w:line="240" w:lineRule="auto"/>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Acreencias extemporáneas</w:t>
            </w:r>
          </w:p>
        </w:tc>
        <w:tc>
          <w:tcPr>
            <w:tcW w:w="1177" w:type="dxa"/>
            <w:tcBorders>
              <w:top w:val="nil"/>
              <w:left w:val="nil"/>
              <w:bottom w:val="nil"/>
              <w:right w:val="nil"/>
            </w:tcBorders>
            <w:shd w:val="clear" w:color="auto" w:fill="auto"/>
            <w:noWrap/>
            <w:vAlign w:val="center"/>
            <w:hideMark/>
          </w:tcPr>
          <w:p w14:paraId="1C283271" w14:textId="77777777" w:rsidR="003B56CC" w:rsidRPr="004224CE" w:rsidRDefault="003B56CC" w:rsidP="003B7799">
            <w:pPr>
              <w:spacing w:after="0" w:line="240" w:lineRule="auto"/>
              <w:jc w:val="right"/>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145.820</w:t>
            </w:r>
          </w:p>
        </w:tc>
        <w:tc>
          <w:tcPr>
            <w:tcW w:w="1176" w:type="dxa"/>
            <w:tcBorders>
              <w:top w:val="nil"/>
              <w:left w:val="nil"/>
              <w:bottom w:val="nil"/>
              <w:right w:val="nil"/>
            </w:tcBorders>
            <w:shd w:val="clear" w:color="auto" w:fill="auto"/>
            <w:vAlign w:val="center"/>
            <w:hideMark/>
          </w:tcPr>
          <w:p w14:paraId="4D23CB54" w14:textId="77777777" w:rsidR="003B56CC" w:rsidRPr="004224CE" w:rsidRDefault="003B56CC" w:rsidP="003B7799">
            <w:pPr>
              <w:spacing w:after="0" w:line="240" w:lineRule="auto"/>
              <w:jc w:val="center"/>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57.133</w:t>
            </w:r>
          </w:p>
        </w:tc>
        <w:tc>
          <w:tcPr>
            <w:tcW w:w="1389" w:type="dxa"/>
            <w:tcBorders>
              <w:top w:val="nil"/>
              <w:left w:val="nil"/>
              <w:bottom w:val="nil"/>
              <w:right w:val="nil"/>
            </w:tcBorders>
            <w:shd w:val="clear" w:color="auto" w:fill="auto"/>
            <w:vAlign w:val="center"/>
            <w:hideMark/>
          </w:tcPr>
          <w:p w14:paraId="713C2AC8" w14:textId="77777777" w:rsidR="003B56CC" w:rsidRPr="004224CE" w:rsidRDefault="003B56CC" w:rsidP="003B7799">
            <w:pPr>
              <w:spacing w:after="0" w:line="240" w:lineRule="auto"/>
              <w:jc w:val="center"/>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39%</w:t>
            </w:r>
          </w:p>
        </w:tc>
        <w:tc>
          <w:tcPr>
            <w:tcW w:w="1176" w:type="dxa"/>
            <w:tcBorders>
              <w:top w:val="nil"/>
              <w:left w:val="nil"/>
              <w:bottom w:val="nil"/>
              <w:right w:val="nil"/>
            </w:tcBorders>
            <w:shd w:val="clear" w:color="auto" w:fill="auto"/>
            <w:vAlign w:val="center"/>
            <w:hideMark/>
          </w:tcPr>
          <w:p w14:paraId="2C422F9F" w14:textId="77777777" w:rsidR="003B56CC" w:rsidRPr="004224CE" w:rsidRDefault="003B56CC" w:rsidP="003B7799">
            <w:pPr>
              <w:spacing w:after="0" w:line="240" w:lineRule="auto"/>
              <w:jc w:val="center"/>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11</w:t>
            </w:r>
          </w:p>
        </w:tc>
        <w:tc>
          <w:tcPr>
            <w:tcW w:w="1176" w:type="dxa"/>
            <w:tcBorders>
              <w:top w:val="nil"/>
              <w:left w:val="nil"/>
              <w:bottom w:val="nil"/>
              <w:right w:val="nil"/>
            </w:tcBorders>
            <w:shd w:val="clear" w:color="auto" w:fill="auto"/>
            <w:noWrap/>
            <w:vAlign w:val="center"/>
            <w:hideMark/>
          </w:tcPr>
          <w:p w14:paraId="0229AF12" w14:textId="77777777" w:rsidR="003B56CC" w:rsidRPr="004224CE" w:rsidRDefault="003B56CC" w:rsidP="003B7799">
            <w:pPr>
              <w:spacing w:after="0" w:line="240" w:lineRule="auto"/>
              <w:jc w:val="right"/>
              <w:rPr>
                <w:rFonts w:ascii="Calibri" w:eastAsia="Times New Roman" w:hAnsi="Calibri" w:cs="Calibri"/>
                <w:color w:val="000000"/>
                <w:sz w:val="16"/>
                <w:szCs w:val="16"/>
                <w:lang w:eastAsia="es-CO"/>
              </w:rPr>
            </w:pPr>
            <w:r w:rsidRPr="004224CE">
              <w:rPr>
                <w:rFonts w:ascii="Calibri" w:eastAsia="Times New Roman" w:hAnsi="Calibri" w:cs="Calibri"/>
                <w:color w:val="000000"/>
                <w:sz w:val="16"/>
                <w:szCs w:val="16"/>
                <w:lang w:eastAsia="es-CO"/>
              </w:rPr>
              <w:t>0,02%</w:t>
            </w:r>
          </w:p>
        </w:tc>
      </w:tr>
      <w:tr w:rsidR="003B56CC" w:rsidRPr="004224CE" w14:paraId="1C576EC1" w14:textId="77777777" w:rsidTr="003D53F5">
        <w:trPr>
          <w:trHeight w:val="242"/>
        </w:trPr>
        <w:tc>
          <w:tcPr>
            <w:tcW w:w="2534" w:type="dxa"/>
            <w:tcBorders>
              <w:top w:val="single" w:sz="4" w:space="0" w:color="auto"/>
              <w:left w:val="nil"/>
              <w:bottom w:val="single" w:sz="8" w:space="0" w:color="auto"/>
              <w:right w:val="nil"/>
            </w:tcBorders>
            <w:shd w:val="clear" w:color="000000" w:fill="A9D08E"/>
            <w:noWrap/>
            <w:vAlign w:val="center"/>
            <w:hideMark/>
          </w:tcPr>
          <w:p w14:paraId="4457AD60" w14:textId="77777777" w:rsidR="003B56CC" w:rsidRPr="004224CE" w:rsidRDefault="003B56CC" w:rsidP="003B7799">
            <w:pPr>
              <w:spacing w:after="0" w:line="240" w:lineRule="auto"/>
              <w:jc w:val="center"/>
              <w:rPr>
                <w:rFonts w:ascii="Calibri" w:eastAsia="Times New Roman" w:hAnsi="Calibri" w:cs="Calibri"/>
                <w:b/>
                <w:bCs/>
                <w:color w:val="000000"/>
                <w:sz w:val="16"/>
                <w:szCs w:val="16"/>
                <w:lang w:eastAsia="es-CO"/>
              </w:rPr>
            </w:pPr>
            <w:r w:rsidRPr="004224CE">
              <w:rPr>
                <w:rFonts w:ascii="Calibri" w:eastAsia="Times New Roman" w:hAnsi="Calibri" w:cs="Calibri"/>
                <w:b/>
                <w:bCs/>
                <w:color w:val="000000"/>
                <w:sz w:val="16"/>
                <w:szCs w:val="16"/>
                <w:lang w:eastAsia="es-CO"/>
              </w:rPr>
              <w:t>Total</w:t>
            </w:r>
          </w:p>
        </w:tc>
        <w:tc>
          <w:tcPr>
            <w:tcW w:w="1177" w:type="dxa"/>
            <w:tcBorders>
              <w:top w:val="single" w:sz="4" w:space="0" w:color="auto"/>
              <w:left w:val="nil"/>
              <w:bottom w:val="single" w:sz="8" w:space="0" w:color="auto"/>
              <w:right w:val="nil"/>
            </w:tcBorders>
            <w:shd w:val="clear" w:color="000000" w:fill="A9D08E"/>
            <w:noWrap/>
            <w:vAlign w:val="center"/>
            <w:hideMark/>
          </w:tcPr>
          <w:p w14:paraId="72A31629" w14:textId="77777777" w:rsidR="003B56CC" w:rsidRPr="004224CE" w:rsidRDefault="003B56CC" w:rsidP="003B7799">
            <w:pPr>
              <w:spacing w:after="0" w:line="240" w:lineRule="auto"/>
              <w:jc w:val="right"/>
              <w:rPr>
                <w:rFonts w:ascii="Calibri" w:eastAsia="Times New Roman" w:hAnsi="Calibri" w:cs="Calibri"/>
                <w:b/>
                <w:bCs/>
                <w:color w:val="000000"/>
                <w:sz w:val="16"/>
                <w:szCs w:val="16"/>
                <w:lang w:eastAsia="es-CO"/>
              </w:rPr>
            </w:pPr>
            <w:r w:rsidRPr="004224CE">
              <w:rPr>
                <w:rFonts w:ascii="Calibri" w:eastAsia="Times New Roman" w:hAnsi="Calibri" w:cs="Calibri"/>
                <w:b/>
                <w:bCs/>
                <w:color w:val="000000"/>
                <w:sz w:val="16"/>
                <w:szCs w:val="16"/>
                <w:lang w:eastAsia="es-CO"/>
              </w:rPr>
              <w:t>8.787.096</w:t>
            </w:r>
          </w:p>
        </w:tc>
        <w:tc>
          <w:tcPr>
            <w:tcW w:w="1176" w:type="dxa"/>
            <w:tcBorders>
              <w:top w:val="single" w:sz="4" w:space="0" w:color="auto"/>
              <w:left w:val="nil"/>
              <w:bottom w:val="single" w:sz="8" w:space="0" w:color="auto"/>
              <w:right w:val="nil"/>
            </w:tcBorders>
            <w:shd w:val="clear" w:color="000000" w:fill="A9D08E"/>
            <w:noWrap/>
            <w:vAlign w:val="center"/>
            <w:hideMark/>
          </w:tcPr>
          <w:p w14:paraId="75961E60" w14:textId="77777777" w:rsidR="003B56CC" w:rsidRPr="004224CE" w:rsidRDefault="003B56CC" w:rsidP="003B7799">
            <w:pPr>
              <w:spacing w:after="0" w:line="240" w:lineRule="auto"/>
              <w:jc w:val="right"/>
              <w:rPr>
                <w:rFonts w:ascii="Calibri" w:eastAsia="Times New Roman" w:hAnsi="Calibri" w:cs="Calibri"/>
                <w:b/>
                <w:bCs/>
                <w:color w:val="000000"/>
                <w:sz w:val="16"/>
                <w:szCs w:val="16"/>
                <w:lang w:eastAsia="es-CO"/>
              </w:rPr>
            </w:pPr>
            <w:r w:rsidRPr="004224CE">
              <w:rPr>
                <w:rFonts w:ascii="Calibri" w:eastAsia="Times New Roman" w:hAnsi="Calibri" w:cs="Calibri"/>
                <w:b/>
                <w:bCs/>
                <w:color w:val="000000"/>
                <w:sz w:val="16"/>
                <w:szCs w:val="16"/>
                <w:lang w:eastAsia="es-CO"/>
              </w:rPr>
              <w:t>3.323.019</w:t>
            </w:r>
          </w:p>
        </w:tc>
        <w:tc>
          <w:tcPr>
            <w:tcW w:w="1389" w:type="dxa"/>
            <w:tcBorders>
              <w:top w:val="single" w:sz="4" w:space="0" w:color="auto"/>
              <w:left w:val="nil"/>
              <w:bottom w:val="single" w:sz="8" w:space="0" w:color="auto"/>
              <w:right w:val="nil"/>
            </w:tcBorders>
            <w:shd w:val="clear" w:color="000000" w:fill="A9D08E"/>
            <w:noWrap/>
            <w:vAlign w:val="center"/>
            <w:hideMark/>
          </w:tcPr>
          <w:p w14:paraId="1B182FE7" w14:textId="77777777" w:rsidR="003B56CC" w:rsidRPr="004224CE" w:rsidRDefault="003B56CC" w:rsidP="003B7799">
            <w:pPr>
              <w:spacing w:after="0" w:line="240" w:lineRule="auto"/>
              <w:jc w:val="center"/>
              <w:rPr>
                <w:rFonts w:ascii="Calibri" w:eastAsia="Times New Roman" w:hAnsi="Calibri" w:cs="Calibri"/>
                <w:b/>
                <w:bCs/>
                <w:color w:val="000000"/>
                <w:sz w:val="16"/>
                <w:szCs w:val="16"/>
                <w:lang w:eastAsia="es-CO"/>
              </w:rPr>
            </w:pPr>
            <w:r w:rsidRPr="004224CE">
              <w:rPr>
                <w:rFonts w:ascii="Calibri" w:eastAsia="Times New Roman" w:hAnsi="Calibri" w:cs="Calibri"/>
                <w:b/>
                <w:bCs/>
                <w:color w:val="000000"/>
                <w:sz w:val="16"/>
                <w:szCs w:val="16"/>
                <w:lang w:eastAsia="es-CO"/>
              </w:rPr>
              <w:t>38%</w:t>
            </w:r>
          </w:p>
        </w:tc>
        <w:tc>
          <w:tcPr>
            <w:tcW w:w="1176" w:type="dxa"/>
            <w:tcBorders>
              <w:top w:val="single" w:sz="4" w:space="0" w:color="auto"/>
              <w:left w:val="nil"/>
              <w:bottom w:val="single" w:sz="8" w:space="0" w:color="auto"/>
              <w:right w:val="nil"/>
            </w:tcBorders>
            <w:shd w:val="clear" w:color="000000" w:fill="A9D08E"/>
            <w:noWrap/>
            <w:vAlign w:val="center"/>
            <w:hideMark/>
          </w:tcPr>
          <w:p w14:paraId="09F28178" w14:textId="77777777" w:rsidR="003B56CC" w:rsidRPr="004224CE" w:rsidRDefault="003B56CC" w:rsidP="003B7799">
            <w:pPr>
              <w:spacing w:after="0" w:line="240" w:lineRule="auto"/>
              <w:jc w:val="right"/>
              <w:rPr>
                <w:rFonts w:ascii="Calibri" w:eastAsia="Times New Roman" w:hAnsi="Calibri" w:cs="Calibri"/>
                <w:b/>
                <w:bCs/>
                <w:color w:val="000000"/>
                <w:sz w:val="16"/>
                <w:szCs w:val="16"/>
                <w:lang w:eastAsia="es-CO"/>
              </w:rPr>
            </w:pPr>
            <w:r w:rsidRPr="004224CE">
              <w:rPr>
                <w:rFonts w:ascii="Calibri" w:eastAsia="Times New Roman" w:hAnsi="Calibri" w:cs="Calibri"/>
                <w:b/>
                <w:bCs/>
                <w:color w:val="000000"/>
                <w:sz w:val="16"/>
                <w:szCs w:val="16"/>
                <w:lang w:eastAsia="es-CO"/>
              </w:rPr>
              <w:t>646.249</w:t>
            </w:r>
          </w:p>
        </w:tc>
        <w:tc>
          <w:tcPr>
            <w:tcW w:w="1176" w:type="dxa"/>
            <w:tcBorders>
              <w:top w:val="single" w:sz="4" w:space="0" w:color="auto"/>
              <w:left w:val="nil"/>
              <w:bottom w:val="single" w:sz="8" w:space="0" w:color="auto"/>
              <w:right w:val="nil"/>
            </w:tcBorders>
            <w:shd w:val="clear" w:color="000000" w:fill="A9D08E"/>
            <w:noWrap/>
            <w:vAlign w:val="center"/>
            <w:hideMark/>
          </w:tcPr>
          <w:p w14:paraId="375D9630" w14:textId="77777777" w:rsidR="003B56CC" w:rsidRPr="004224CE" w:rsidRDefault="003B56CC" w:rsidP="003B7799">
            <w:pPr>
              <w:spacing w:after="0" w:line="240" w:lineRule="auto"/>
              <w:jc w:val="right"/>
              <w:rPr>
                <w:rFonts w:ascii="Calibri" w:eastAsia="Times New Roman" w:hAnsi="Calibri" w:cs="Calibri"/>
                <w:b/>
                <w:bCs/>
                <w:color w:val="000000"/>
                <w:sz w:val="16"/>
                <w:szCs w:val="16"/>
                <w:lang w:eastAsia="es-CO"/>
              </w:rPr>
            </w:pPr>
            <w:r w:rsidRPr="004224CE">
              <w:rPr>
                <w:rFonts w:ascii="Calibri" w:eastAsia="Times New Roman" w:hAnsi="Calibri" w:cs="Calibri"/>
                <w:b/>
                <w:bCs/>
                <w:color w:val="000000"/>
                <w:sz w:val="16"/>
                <w:szCs w:val="16"/>
                <w:lang w:eastAsia="es-CO"/>
              </w:rPr>
              <w:t>19%</w:t>
            </w:r>
          </w:p>
        </w:tc>
      </w:tr>
    </w:tbl>
    <w:p w14:paraId="5C2F6EF3" w14:textId="203B01F7" w:rsidR="00BB5BA3" w:rsidRPr="00BB5BA3" w:rsidRDefault="00BB5BA3" w:rsidP="00BB5BA3">
      <w:pPr>
        <w:spacing w:after="0" w:line="240" w:lineRule="auto"/>
        <w:jc w:val="center"/>
        <w:rPr>
          <w:rFonts w:ascii="Calibri" w:hAnsi="Calibri" w:cs="Calibri"/>
          <w:sz w:val="16"/>
          <w:szCs w:val="16"/>
          <w:lang w:val="es-ES" w:eastAsia="es-CO"/>
        </w:rPr>
      </w:pPr>
      <w:r w:rsidRPr="00BB5BA3">
        <w:rPr>
          <w:rFonts w:ascii="Calibri" w:hAnsi="Calibri" w:cs="Calibri"/>
          <w:sz w:val="16"/>
          <w:szCs w:val="16"/>
          <w:lang w:eastAsia="es-CO"/>
        </w:rPr>
        <w:t>Fuente: Delegada de Medidas Especiales SNS</w:t>
      </w:r>
      <w:r w:rsidR="00EA0CAE">
        <w:rPr>
          <w:rFonts w:ascii="Calibri" w:hAnsi="Calibri" w:cs="Calibri"/>
          <w:sz w:val="16"/>
          <w:szCs w:val="16"/>
          <w:lang w:eastAsia="es-CO"/>
        </w:rPr>
        <w:t>.</w:t>
      </w:r>
    </w:p>
    <w:p w14:paraId="2D9F5B34" w14:textId="77777777" w:rsidR="000E26BF" w:rsidRDefault="000E26BF" w:rsidP="00BB5BA3">
      <w:pPr>
        <w:spacing w:after="0" w:line="240" w:lineRule="auto"/>
        <w:jc w:val="both"/>
        <w:rPr>
          <w:rFonts w:ascii="Calibri" w:hAnsi="Calibri" w:cs="Calibri"/>
          <w:lang w:val="es-ES" w:eastAsia="es-CO"/>
        </w:rPr>
      </w:pPr>
    </w:p>
    <w:p w14:paraId="22C034E0" w14:textId="67A8E45B" w:rsidR="00BB5BA3" w:rsidRPr="00BB5BA3" w:rsidRDefault="00BB5BA3" w:rsidP="00BB5BA3">
      <w:pPr>
        <w:spacing w:after="0" w:line="240" w:lineRule="auto"/>
        <w:jc w:val="both"/>
        <w:rPr>
          <w:rFonts w:ascii="Arial" w:hAnsi="Arial" w:cs="Arial"/>
          <w:lang w:val="es-ES" w:eastAsia="es-CO"/>
        </w:rPr>
      </w:pPr>
      <w:r w:rsidRPr="00BB5BA3">
        <w:rPr>
          <w:rFonts w:ascii="Arial" w:hAnsi="Arial" w:cs="Arial"/>
          <w:lang w:val="es-ES" w:eastAsia="es-CO"/>
        </w:rPr>
        <w:t xml:space="preserve">Como se puede advertir en la </w:t>
      </w:r>
      <w:r w:rsidR="00797DA4">
        <w:rPr>
          <w:rFonts w:ascii="Arial" w:hAnsi="Arial" w:cs="Arial"/>
          <w:lang w:val="es-ES" w:eastAsia="es-CO"/>
        </w:rPr>
        <w:t>tabla</w:t>
      </w:r>
      <w:r w:rsidR="00797DA4" w:rsidRPr="00BB5BA3">
        <w:rPr>
          <w:rFonts w:ascii="Arial" w:hAnsi="Arial" w:cs="Arial"/>
          <w:lang w:val="es-ES" w:eastAsia="es-CO"/>
        </w:rPr>
        <w:t xml:space="preserve"> </w:t>
      </w:r>
      <w:r w:rsidRPr="00BB5BA3">
        <w:rPr>
          <w:rFonts w:ascii="Arial" w:hAnsi="Arial" w:cs="Arial"/>
          <w:lang w:val="es-ES" w:eastAsia="es-CO"/>
        </w:rPr>
        <w:t xml:space="preserve">que precede, la EPS se encuentra actualmente cancelando las acreencias de clase B (prestación de servicios de salud), manteniendo la regla de prelación de pagos, según lo establecido por el artículo 12 de la Ley 1797 de 2016. Sobre estas, de </w:t>
      </w:r>
      <w:r w:rsidR="000E26BF">
        <w:rPr>
          <w:rFonts w:ascii="Arial" w:hAnsi="Arial" w:cs="Arial"/>
          <w:lang w:val="es-ES" w:eastAsia="es-CO"/>
        </w:rPr>
        <w:t>$</w:t>
      </w:r>
      <w:r w:rsidRPr="00BB5BA3">
        <w:rPr>
          <w:rFonts w:ascii="Arial" w:hAnsi="Arial" w:cs="Arial"/>
          <w:lang w:val="es-ES" w:eastAsia="es-CO"/>
        </w:rPr>
        <w:t xml:space="preserve">1.348.494 millones reconocidos, ha pagado </w:t>
      </w:r>
      <w:r w:rsidR="000E26BF">
        <w:rPr>
          <w:rFonts w:ascii="Arial" w:hAnsi="Arial" w:cs="Arial"/>
          <w:lang w:val="es-ES" w:eastAsia="es-CO"/>
        </w:rPr>
        <w:t>$</w:t>
      </w:r>
      <w:r w:rsidRPr="00BB5BA3">
        <w:rPr>
          <w:rFonts w:ascii="Arial" w:hAnsi="Arial" w:cs="Arial"/>
          <w:lang w:val="es-ES" w:eastAsia="es-CO"/>
        </w:rPr>
        <w:t xml:space="preserve">431.676 millones, </w:t>
      </w:r>
      <w:r w:rsidR="00EA0CAE">
        <w:rPr>
          <w:rFonts w:ascii="Arial" w:hAnsi="Arial" w:cs="Arial"/>
          <w:lang w:val="es-ES" w:eastAsia="es-CO"/>
        </w:rPr>
        <w:t xml:space="preserve">equivalente </w:t>
      </w:r>
      <w:r w:rsidR="00F75836">
        <w:rPr>
          <w:rFonts w:ascii="Arial" w:hAnsi="Arial" w:cs="Arial"/>
          <w:lang w:val="es-ES" w:eastAsia="es-CO"/>
        </w:rPr>
        <w:t>a</w:t>
      </w:r>
      <w:r w:rsidRPr="00BB5BA3">
        <w:rPr>
          <w:rFonts w:ascii="Arial" w:hAnsi="Arial" w:cs="Arial"/>
          <w:lang w:val="es-ES" w:eastAsia="es-CO"/>
        </w:rPr>
        <w:t>l 32% del total de reconocimiento por esta clase de créditos.</w:t>
      </w:r>
    </w:p>
    <w:p w14:paraId="42B92BA0" w14:textId="77777777" w:rsidR="00BB5BA3" w:rsidRPr="00BB5BA3" w:rsidRDefault="00BB5BA3" w:rsidP="00BB5BA3">
      <w:pPr>
        <w:spacing w:after="0" w:line="240" w:lineRule="auto"/>
        <w:jc w:val="both"/>
        <w:rPr>
          <w:rFonts w:ascii="Arial" w:hAnsi="Arial" w:cs="Arial"/>
          <w:lang w:val="es-ES" w:eastAsia="es-CO"/>
        </w:rPr>
      </w:pPr>
    </w:p>
    <w:p w14:paraId="54CB6015" w14:textId="7EC4FAF3" w:rsidR="00BB5BA3" w:rsidRPr="00BB5BA3" w:rsidRDefault="00BB5BA3" w:rsidP="00BB5BA3">
      <w:pPr>
        <w:spacing w:after="0" w:line="240" w:lineRule="auto"/>
        <w:jc w:val="both"/>
        <w:rPr>
          <w:rFonts w:ascii="Arial" w:hAnsi="Arial" w:cs="Arial"/>
          <w:lang w:val="es-ES" w:eastAsia="es-CO"/>
        </w:rPr>
      </w:pPr>
      <w:r w:rsidRPr="00BB5BA3">
        <w:rPr>
          <w:rFonts w:ascii="Arial" w:hAnsi="Arial" w:cs="Arial"/>
          <w:lang w:val="es-ES" w:eastAsia="es-CO"/>
        </w:rPr>
        <w:t>Ahora bien, a fin de tener una idea aproximada del alcance del pago total de acreencias de la EPS, conviene señalar a cuánto ascienden los activos</w:t>
      </w:r>
      <w:r w:rsidR="00EA0CAE">
        <w:rPr>
          <w:rFonts w:ascii="Arial" w:hAnsi="Arial" w:cs="Arial"/>
          <w:lang w:val="es-ES" w:eastAsia="es-CO"/>
        </w:rPr>
        <w:t>,</w:t>
      </w:r>
      <w:r w:rsidR="000E26BF">
        <w:rPr>
          <w:rFonts w:ascii="Arial" w:hAnsi="Arial" w:cs="Arial"/>
          <w:lang w:val="es-ES" w:eastAsia="es-CO"/>
        </w:rPr>
        <w:t xml:space="preserve"> </w:t>
      </w:r>
      <w:r w:rsidRPr="00BB5BA3">
        <w:rPr>
          <w:rFonts w:ascii="Arial" w:hAnsi="Arial" w:cs="Arial"/>
          <w:lang w:val="es-ES" w:eastAsia="es-CO"/>
        </w:rPr>
        <w:t xml:space="preserve">actualmente en proceso de enajenación y recaudo por parte del Liquidador. Como se observa en la siguiente tabla, </w:t>
      </w:r>
      <w:r w:rsidRPr="00BB5BA3">
        <w:rPr>
          <w:rFonts w:ascii="Arial" w:hAnsi="Arial" w:cs="Arial"/>
          <w:lang w:val="es-ES" w:eastAsia="es-CO"/>
        </w:rPr>
        <w:lastRenderedPageBreak/>
        <w:t xml:space="preserve">estos ascienden a </w:t>
      </w:r>
      <w:r w:rsidR="000E26BF">
        <w:rPr>
          <w:rFonts w:ascii="Arial" w:hAnsi="Arial" w:cs="Arial"/>
          <w:lang w:val="es-ES" w:eastAsia="es-CO"/>
        </w:rPr>
        <w:t>$</w:t>
      </w:r>
      <w:r w:rsidRPr="00BB5BA3">
        <w:rPr>
          <w:rFonts w:ascii="Arial" w:hAnsi="Arial" w:cs="Arial"/>
          <w:lang w:val="es-ES" w:eastAsia="es-CO"/>
        </w:rPr>
        <w:t xml:space="preserve">483.117 millones, de los que se destacan los bienes inmuebles por valor comercial de $325.415 millones, </w:t>
      </w:r>
      <w:r w:rsidR="00EA0CAE">
        <w:rPr>
          <w:rFonts w:ascii="Arial" w:hAnsi="Arial" w:cs="Arial"/>
          <w:lang w:val="es-ES" w:eastAsia="es-CO"/>
        </w:rPr>
        <w:t xml:space="preserve">es decir </w:t>
      </w:r>
      <w:r w:rsidRPr="00BB5BA3">
        <w:rPr>
          <w:rFonts w:ascii="Arial" w:hAnsi="Arial" w:cs="Arial"/>
          <w:lang w:val="es-ES" w:eastAsia="es-CO"/>
        </w:rPr>
        <w:t>el 67% del total de activos.</w:t>
      </w:r>
    </w:p>
    <w:p w14:paraId="1931DFFF" w14:textId="77777777" w:rsidR="00BB5BA3" w:rsidRPr="00BB5BA3" w:rsidRDefault="00BB5BA3" w:rsidP="00BB5BA3">
      <w:pPr>
        <w:spacing w:after="0" w:line="240" w:lineRule="auto"/>
        <w:jc w:val="both"/>
        <w:rPr>
          <w:rFonts w:ascii="Calibri" w:hAnsi="Calibri" w:cs="Calibri"/>
          <w:lang w:val="es-ES" w:eastAsia="es-CO"/>
        </w:rPr>
      </w:pPr>
    </w:p>
    <w:p w14:paraId="296AEF5D" w14:textId="77777777" w:rsidR="00BB5BA3" w:rsidRPr="00BB5BA3" w:rsidRDefault="00BB5BA3" w:rsidP="00BB5BA3">
      <w:pPr>
        <w:spacing w:after="0" w:line="240" w:lineRule="auto"/>
        <w:jc w:val="center"/>
        <w:rPr>
          <w:rFonts w:ascii="Arial" w:hAnsi="Arial" w:cs="Arial"/>
          <w:b/>
          <w:bCs/>
          <w:lang w:val="es-ES" w:eastAsia="es-CO"/>
        </w:rPr>
      </w:pPr>
      <w:r w:rsidRPr="00BB5BA3">
        <w:rPr>
          <w:rFonts w:ascii="Arial" w:hAnsi="Arial" w:cs="Arial"/>
          <w:b/>
          <w:bCs/>
          <w:lang w:val="es-ES" w:eastAsia="es-CO"/>
        </w:rPr>
        <w:t>Activos disponibles para recaudo y enajenación</w:t>
      </w:r>
    </w:p>
    <w:p w14:paraId="066D7F55" w14:textId="75BC93AA" w:rsidR="00BB5BA3" w:rsidRPr="00BB5BA3" w:rsidRDefault="000E26BF" w:rsidP="00BB5BA3">
      <w:pPr>
        <w:spacing w:after="0" w:line="240" w:lineRule="auto"/>
        <w:jc w:val="center"/>
        <w:rPr>
          <w:rFonts w:ascii="Arial" w:hAnsi="Arial" w:cs="Arial"/>
          <w:b/>
          <w:bCs/>
          <w:sz w:val="16"/>
          <w:szCs w:val="16"/>
          <w:lang w:val="es-ES" w:eastAsia="es-CO"/>
        </w:rPr>
      </w:pPr>
      <w:r>
        <w:rPr>
          <w:rFonts w:ascii="Arial" w:hAnsi="Arial" w:cs="Arial"/>
          <w:b/>
          <w:bCs/>
          <w:sz w:val="16"/>
          <w:szCs w:val="16"/>
          <w:lang w:val="es-ES" w:eastAsia="es-CO"/>
        </w:rPr>
        <w:t xml:space="preserve">                                                                                                                                     </w:t>
      </w:r>
      <w:r w:rsidR="00BB5BA3" w:rsidRPr="00BB5BA3">
        <w:rPr>
          <w:rFonts w:ascii="Arial" w:hAnsi="Arial" w:cs="Arial"/>
          <w:b/>
          <w:bCs/>
          <w:sz w:val="16"/>
          <w:szCs w:val="16"/>
          <w:lang w:val="es-ES" w:eastAsia="es-CO"/>
        </w:rPr>
        <w:t>(Millones de pesos)</w:t>
      </w:r>
    </w:p>
    <w:tbl>
      <w:tblPr>
        <w:tblW w:w="7273" w:type="dxa"/>
        <w:jc w:val="center"/>
        <w:tblCellMar>
          <w:left w:w="70" w:type="dxa"/>
          <w:right w:w="70" w:type="dxa"/>
        </w:tblCellMar>
        <w:tblLook w:val="04A0" w:firstRow="1" w:lastRow="0" w:firstColumn="1" w:lastColumn="0" w:noHBand="0" w:noVBand="1"/>
      </w:tblPr>
      <w:tblGrid>
        <w:gridCol w:w="2636"/>
        <w:gridCol w:w="2319"/>
        <w:gridCol w:w="2318"/>
      </w:tblGrid>
      <w:tr w:rsidR="00263C0B" w:rsidRPr="00BB5BA3" w14:paraId="3E2C9C0C" w14:textId="77777777" w:rsidTr="003D53F5">
        <w:trPr>
          <w:trHeight w:val="263"/>
          <w:jc w:val="center"/>
        </w:trPr>
        <w:tc>
          <w:tcPr>
            <w:tcW w:w="0" w:type="auto"/>
            <w:tcBorders>
              <w:top w:val="single" w:sz="12" w:space="0" w:color="auto"/>
              <w:left w:val="single" w:sz="12" w:space="0" w:color="auto"/>
              <w:bottom w:val="nil"/>
              <w:right w:val="nil"/>
            </w:tcBorders>
            <w:shd w:val="clear" w:color="000000" w:fill="BDD7EE"/>
            <w:noWrap/>
            <w:vAlign w:val="bottom"/>
            <w:hideMark/>
          </w:tcPr>
          <w:p w14:paraId="31BA8A5D" w14:textId="77777777" w:rsidR="00BB5BA3" w:rsidRPr="00BB5BA3" w:rsidRDefault="00BB5BA3" w:rsidP="00BB5BA3">
            <w:pPr>
              <w:spacing w:after="0" w:line="240" w:lineRule="auto"/>
              <w:jc w:val="center"/>
              <w:rPr>
                <w:rFonts w:ascii="Calibri" w:eastAsia="Times New Roman" w:hAnsi="Calibri" w:cs="Calibri"/>
                <w:b/>
                <w:bCs/>
                <w:color w:val="000000"/>
                <w:sz w:val="20"/>
                <w:szCs w:val="20"/>
                <w:lang w:eastAsia="es-CO"/>
              </w:rPr>
            </w:pPr>
            <w:r w:rsidRPr="00BB5BA3">
              <w:rPr>
                <w:rFonts w:ascii="Calibri" w:eastAsia="Times New Roman" w:hAnsi="Calibri" w:cs="Calibri"/>
                <w:b/>
                <w:bCs/>
                <w:color w:val="000000"/>
                <w:sz w:val="20"/>
                <w:szCs w:val="20"/>
                <w:lang w:eastAsia="es-CO"/>
              </w:rPr>
              <w:t>Activo</w:t>
            </w:r>
          </w:p>
        </w:tc>
        <w:tc>
          <w:tcPr>
            <w:tcW w:w="0" w:type="auto"/>
            <w:tcBorders>
              <w:top w:val="single" w:sz="12" w:space="0" w:color="auto"/>
              <w:left w:val="nil"/>
              <w:bottom w:val="nil"/>
              <w:right w:val="nil"/>
            </w:tcBorders>
            <w:shd w:val="clear" w:color="000000" w:fill="BDD7EE"/>
            <w:noWrap/>
            <w:vAlign w:val="bottom"/>
            <w:hideMark/>
          </w:tcPr>
          <w:p w14:paraId="5C5AEB40" w14:textId="65DC2C12" w:rsidR="00BB5BA3" w:rsidRPr="00BB5BA3" w:rsidRDefault="00EA0CAE" w:rsidP="00BB5BA3">
            <w:pPr>
              <w:spacing w:after="0" w:line="240" w:lineRule="auto"/>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 xml:space="preserve">Valor </w:t>
            </w:r>
            <w:r w:rsidR="00263C0B">
              <w:rPr>
                <w:rFonts w:ascii="Calibri" w:eastAsia="Times New Roman" w:hAnsi="Calibri" w:cs="Calibri"/>
                <w:b/>
                <w:bCs/>
                <w:color w:val="000000"/>
                <w:sz w:val="20"/>
                <w:szCs w:val="20"/>
                <w:lang w:eastAsia="es-CO"/>
              </w:rPr>
              <w:t>disponible</w:t>
            </w:r>
          </w:p>
        </w:tc>
        <w:tc>
          <w:tcPr>
            <w:tcW w:w="0" w:type="auto"/>
            <w:tcBorders>
              <w:top w:val="single" w:sz="12" w:space="0" w:color="auto"/>
              <w:left w:val="nil"/>
              <w:bottom w:val="nil"/>
              <w:right w:val="single" w:sz="12" w:space="0" w:color="auto"/>
            </w:tcBorders>
            <w:shd w:val="clear" w:color="000000" w:fill="BDD7EE"/>
            <w:noWrap/>
            <w:vAlign w:val="bottom"/>
            <w:hideMark/>
          </w:tcPr>
          <w:p w14:paraId="26FFCB72" w14:textId="4A9388AD" w:rsidR="00BB5BA3" w:rsidRPr="00BB5BA3" w:rsidRDefault="00BB5BA3" w:rsidP="00BB5BA3">
            <w:pPr>
              <w:spacing w:after="0" w:line="240" w:lineRule="auto"/>
              <w:jc w:val="center"/>
              <w:rPr>
                <w:rFonts w:ascii="Calibri" w:eastAsia="Times New Roman" w:hAnsi="Calibri" w:cs="Calibri"/>
                <w:b/>
                <w:bCs/>
                <w:color w:val="000000"/>
                <w:sz w:val="20"/>
                <w:szCs w:val="20"/>
                <w:lang w:eastAsia="es-CO"/>
              </w:rPr>
            </w:pPr>
            <w:r w:rsidRPr="00BB5BA3">
              <w:rPr>
                <w:rFonts w:ascii="Calibri" w:eastAsia="Times New Roman" w:hAnsi="Calibri" w:cs="Calibri"/>
                <w:b/>
                <w:bCs/>
                <w:color w:val="000000"/>
                <w:sz w:val="20"/>
                <w:szCs w:val="20"/>
                <w:lang w:eastAsia="es-CO"/>
              </w:rPr>
              <w:t xml:space="preserve">% </w:t>
            </w:r>
            <w:r w:rsidR="00EA0CAE">
              <w:rPr>
                <w:rFonts w:ascii="Calibri" w:eastAsia="Times New Roman" w:hAnsi="Calibri" w:cs="Calibri"/>
                <w:b/>
                <w:bCs/>
                <w:color w:val="000000"/>
                <w:sz w:val="20"/>
                <w:szCs w:val="20"/>
                <w:lang w:eastAsia="es-CO"/>
              </w:rPr>
              <w:t>del valor total</w:t>
            </w:r>
          </w:p>
        </w:tc>
      </w:tr>
      <w:tr w:rsidR="00263C0B" w:rsidRPr="00BB5BA3" w14:paraId="12DE4A1A" w14:textId="77777777" w:rsidTr="003D53F5">
        <w:trPr>
          <w:trHeight w:val="255"/>
          <w:jc w:val="center"/>
        </w:trPr>
        <w:tc>
          <w:tcPr>
            <w:tcW w:w="0" w:type="auto"/>
            <w:tcBorders>
              <w:top w:val="nil"/>
              <w:left w:val="single" w:sz="12" w:space="0" w:color="auto"/>
              <w:bottom w:val="nil"/>
              <w:right w:val="nil"/>
            </w:tcBorders>
            <w:shd w:val="clear" w:color="000000" w:fill="E2EFDA"/>
            <w:noWrap/>
            <w:vAlign w:val="bottom"/>
            <w:hideMark/>
          </w:tcPr>
          <w:p w14:paraId="506B44B6" w14:textId="77777777" w:rsidR="00BB5BA3" w:rsidRPr="00BB5BA3" w:rsidRDefault="00BB5BA3" w:rsidP="00BB5BA3">
            <w:pPr>
              <w:spacing w:after="0" w:line="240" w:lineRule="auto"/>
              <w:rPr>
                <w:rFonts w:ascii="Calibri" w:eastAsia="Times New Roman" w:hAnsi="Calibri" w:cs="Calibri"/>
                <w:color w:val="000000"/>
                <w:sz w:val="20"/>
                <w:szCs w:val="20"/>
                <w:lang w:eastAsia="es-CO"/>
              </w:rPr>
            </w:pPr>
            <w:r w:rsidRPr="00BB5BA3">
              <w:rPr>
                <w:rFonts w:ascii="Calibri" w:eastAsia="Times New Roman" w:hAnsi="Calibri" w:cs="Calibri"/>
                <w:color w:val="000000"/>
                <w:sz w:val="20"/>
                <w:szCs w:val="20"/>
                <w:lang w:eastAsia="es-CO"/>
              </w:rPr>
              <w:t>Disponible</w:t>
            </w:r>
          </w:p>
        </w:tc>
        <w:tc>
          <w:tcPr>
            <w:tcW w:w="0" w:type="auto"/>
            <w:tcBorders>
              <w:top w:val="nil"/>
              <w:left w:val="nil"/>
              <w:bottom w:val="nil"/>
              <w:right w:val="nil"/>
            </w:tcBorders>
            <w:shd w:val="clear" w:color="000000" w:fill="E2EFDA"/>
            <w:vAlign w:val="center"/>
            <w:hideMark/>
          </w:tcPr>
          <w:p w14:paraId="3E37D77A" w14:textId="77777777" w:rsidR="00BB5BA3" w:rsidRPr="00BB5BA3" w:rsidRDefault="00BB5BA3" w:rsidP="00BB5BA3">
            <w:pPr>
              <w:spacing w:after="0" w:line="240" w:lineRule="auto"/>
              <w:ind w:firstLineChars="100" w:firstLine="200"/>
              <w:jc w:val="right"/>
              <w:rPr>
                <w:rFonts w:ascii="Calibri" w:eastAsia="Times New Roman" w:hAnsi="Calibri" w:cs="Calibri"/>
                <w:color w:val="000000"/>
                <w:sz w:val="20"/>
                <w:szCs w:val="20"/>
                <w:lang w:eastAsia="es-CO"/>
              </w:rPr>
            </w:pPr>
            <w:r w:rsidRPr="00BB5BA3">
              <w:rPr>
                <w:rFonts w:ascii="Calibri" w:eastAsia="Times New Roman" w:hAnsi="Calibri" w:cs="Calibri"/>
                <w:color w:val="000000"/>
                <w:sz w:val="20"/>
                <w:szCs w:val="20"/>
                <w:lang w:eastAsia="es-CO"/>
              </w:rPr>
              <w:t>13.210</w:t>
            </w:r>
          </w:p>
        </w:tc>
        <w:tc>
          <w:tcPr>
            <w:tcW w:w="0" w:type="auto"/>
            <w:tcBorders>
              <w:top w:val="nil"/>
              <w:left w:val="nil"/>
              <w:bottom w:val="nil"/>
              <w:right w:val="single" w:sz="12" w:space="0" w:color="auto"/>
            </w:tcBorders>
            <w:shd w:val="clear" w:color="000000" w:fill="E2EFDA"/>
            <w:vAlign w:val="center"/>
            <w:hideMark/>
          </w:tcPr>
          <w:p w14:paraId="7F524998" w14:textId="77777777" w:rsidR="00BB5BA3" w:rsidRPr="00BB5BA3" w:rsidRDefault="00BB5BA3" w:rsidP="00BB5BA3">
            <w:pPr>
              <w:spacing w:after="0" w:line="240" w:lineRule="auto"/>
              <w:jc w:val="center"/>
              <w:rPr>
                <w:rFonts w:ascii="Calibri" w:eastAsia="Times New Roman" w:hAnsi="Calibri" w:cs="Calibri"/>
                <w:color w:val="000000"/>
                <w:sz w:val="20"/>
                <w:szCs w:val="20"/>
                <w:lang w:eastAsia="es-CO"/>
              </w:rPr>
            </w:pPr>
            <w:r w:rsidRPr="00BB5BA3">
              <w:rPr>
                <w:rFonts w:ascii="Calibri" w:eastAsia="Times New Roman" w:hAnsi="Calibri" w:cs="Calibri"/>
                <w:color w:val="000000"/>
                <w:sz w:val="20"/>
                <w:szCs w:val="20"/>
                <w:lang w:eastAsia="es-CO"/>
              </w:rPr>
              <w:t>3%</w:t>
            </w:r>
          </w:p>
        </w:tc>
      </w:tr>
      <w:tr w:rsidR="00263C0B" w:rsidRPr="00BB5BA3" w14:paraId="0E9BD22D" w14:textId="77777777" w:rsidTr="003D53F5">
        <w:trPr>
          <w:trHeight w:val="255"/>
          <w:jc w:val="center"/>
        </w:trPr>
        <w:tc>
          <w:tcPr>
            <w:tcW w:w="0" w:type="auto"/>
            <w:tcBorders>
              <w:top w:val="nil"/>
              <w:left w:val="single" w:sz="12" w:space="0" w:color="auto"/>
              <w:bottom w:val="nil"/>
              <w:right w:val="nil"/>
            </w:tcBorders>
            <w:shd w:val="clear" w:color="auto" w:fill="auto"/>
            <w:noWrap/>
            <w:vAlign w:val="bottom"/>
            <w:hideMark/>
          </w:tcPr>
          <w:p w14:paraId="74CD80EA" w14:textId="77777777" w:rsidR="00BB5BA3" w:rsidRPr="00BB5BA3" w:rsidRDefault="00BB5BA3" w:rsidP="00BB5BA3">
            <w:pPr>
              <w:spacing w:after="0" w:line="240" w:lineRule="auto"/>
              <w:rPr>
                <w:rFonts w:ascii="Calibri" w:eastAsia="Times New Roman" w:hAnsi="Calibri" w:cs="Calibri"/>
                <w:color w:val="000000"/>
                <w:sz w:val="20"/>
                <w:szCs w:val="20"/>
                <w:lang w:eastAsia="es-CO"/>
              </w:rPr>
            </w:pPr>
            <w:r w:rsidRPr="00BB5BA3">
              <w:rPr>
                <w:rFonts w:ascii="Calibri" w:eastAsia="Times New Roman" w:hAnsi="Calibri" w:cs="Calibri"/>
                <w:color w:val="000000"/>
                <w:sz w:val="20"/>
                <w:szCs w:val="20"/>
                <w:lang w:eastAsia="es-CO"/>
              </w:rPr>
              <w:t>Cuentas por cobrar</w:t>
            </w:r>
          </w:p>
        </w:tc>
        <w:tc>
          <w:tcPr>
            <w:tcW w:w="0" w:type="auto"/>
            <w:tcBorders>
              <w:top w:val="nil"/>
              <w:left w:val="nil"/>
              <w:bottom w:val="nil"/>
              <w:right w:val="nil"/>
            </w:tcBorders>
            <w:shd w:val="clear" w:color="auto" w:fill="auto"/>
            <w:vAlign w:val="center"/>
            <w:hideMark/>
          </w:tcPr>
          <w:p w14:paraId="0AD77710" w14:textId="77777777" w:rsidR="00BB5BA3" w:rsidRPr="00BB5BA3" w:rsidRDefault="00BB5BA3" w:rsidP="00BB5BA3">
            <w:pPr>
              <w:spacing w:after="0" w:line="240" w:lineRule="auto"/>
              <w:ind w:firstLineChars="100" w:firstLine="200"/>
              <w:jc w:val="right"/>
              <w:rPr>
                <w:rFonts w:ascii="Calibri" w:eastAsia="Times New Roman" w:hAnsi="Calibri" w:cs="Calibri"/>
                <w:color w:val="000000"/>
                <w:sz w:val="20"/>
                <w:szCs w:val="20"/>
                <w:lang w:eastAsia="es-CO"/>
              </w:rPr>
            </w:pPr>
            <w:r w:rsidRPr="00BB5BA3">
              <w:rPr>
                <w:rFonts w:ascii="Calibri" w:eastAsia="Times New Roman" w:hAnsi="Calibri" w:cs="Calibri"/>
                <w:color w:val="000000"/>
                <w:sz w:val="20"/>
                <w:szCs w:val="20"/>
                <w:lang w:eastAsia="es-CO"/>
              </w:rPr>
              <w:t>97.184</w:t>
            </w:r>
          </w:p>
        </w:tc>
        <w:tc>
          <w:tcPr>
            <w:tcW w:w="0" w:type="auto"/>
            <w:tcBorders>
              <w:top w:val="nil"/>
              <w:left w:val="nil"/>
              <w:bottom w:val="nil"/>
              <w:right w:val="single" w:sz="12" w:space="0" w:color="auto"/>
            </w:tcBorders>
            <w:shd w:val="clear" w:color="auto" w:fill="auto"/>
            <w:vAlign w:val="center"/>
            <w:hideMark/>
          </w:tcPr>
          <w:p w14:paraId="06FF6394" w14:textId="77777777" w:rsidR="00BB5BA3" w:rsidRPr="00BB5BA3" w:rsidRDefault="00BB5BA3" w:rsidP="00BB5BA3">
            <w:pPr>
              <w:spacing w:after="0" w:line="240" w:lineRule="auto"/>
              <w:jc w:val="center"/>
              <w:rPr>
                <w:rFonts w:ascii="Calibri" w:eastAsia="Times New Roman" w:hAnsi="Calibri" w:cs="Calibri"/>
                <w:color w:val="000000"/>
                <w:sz w:val="20"/>
                <w:szCs w:val="20"/>
                <w:lang w:eastAsia="es-CO"/>
              </w:rPr>
            </w:pPr>
            <w:r w:rsidRPr="00BB5BA3">
              <w:rPr>
                <w:rFonts w:ascii="Calibri" w:eastAsia="Times New Roman" w:hAnsi="Calibri" w:cs="Calibri"/>
                <w:color w:val="000000"/>
                <w:sz w:val="20"/>
                <w:szCs w:val="20"/>
                <w:lang w:eastAsia="es-CO"/>
              </w:rPr>
              <w:t>20%</w:t>
            </w:r>
          </w:p>
        </w:tc>
      </w:tr>
      <w:tr w:rsidR="00263C0B" w:rsidRPr="00BB5BA3" w14:paraId="1F6CA66E" w14:textId="77777777" w:rsidTr="003D53F5">
        <w:trPr>
          <w:trHeight w:val="255"/>
          <w:jc w:val="center"/>
        </w:trPr>
        <w:tc>
          <w:tcPr>
            <w:tcW w:w="0" w:type="auto"/>
            <w:tcBorders>
              <w:top w:val="nil"/>
              <w:left w:val="single" w:sz="12" w:space="0" w:color="auto"/>
              <w:bottom w:val="nil"/>
              <w:right w:val="nil"/>
            </w:tcBorders>
            <w:shd w:val="clear" w:color="000000" w:fill="E2EFDA"/>
            <w:noWrap/>
            <w:vAlign w:val="bottom"/>
            <w:hideMark/>
          </w:tcPr>
          <w:p w14:paraId="0ADABEAD" w14:textId="77777777" w:rsidR="00BB5BA3" w:rsidRPr="00BB5BA3" w:rsidRDefault="00BB5BA3" w:rsidP="00BB5BA3">
            <w:pPr>
              <w:spacing w:after="0" w:line="240" w:lineRule="auto"/>
              <w:rPr>
                <w:rFonts w:ascii="Calibri" w:eastAsia="Times New Roman" w:hAnsi="Calibri" w:cs="Calibri"/>
                <w:color w:val="000000"/>
                <w:sz w:val="20"/>
                <w:szCs w:val="20"/>
                <w:lang w:eastAsia="es-CO"/>
              </w:rPr>
            </w:pPr>
            <w:r w:rsidRPr="00BB5BA3">
              <w:rPr>
                <w:rFonts w:ascii="Calibri" w:eastAsia="Times New Roman" w:hAnsi="Calibri" w:cs="Calibri"/>
                <w:color w:val="000000"/>
                <w:sz w:val="20"/>
                <w:szCs w:val="20"/>
                <w:lang w:eastAsia="es-CO"/>
              </w:rPr>
              <w:t>Inversiones</w:t>
            </w:r>
          </w:p>
        </w:tc>
        <w:tc>
          <w:tcPr>
            <w:tcW w:w="0" w:type="auto"/>
            <w:tcBorders>
              <w:top w:val="nil"/>
              <w:left w:val="nil"/>
              <w:bottom w:val="nil"/>
              <w:right w:val="nil"/>
            </w:tcBorders>
            <w:shd w:val="clear" w:color="000000" w:fill="E2EFDA"/>
            <w:vAlign w:val="center"/>
            <w:hideMark/>
          </w:tcPr>
          <w:p w14:paraId="04D19A6A" w14:textId="77777777" w:rsidR="00BB5BA3" w:rsidRPr="00BB5BA3" w:rsidRDefault="00BB5BA3" w:rsidP="00BB5BA3">
            <w:pPr>
              <w:spacing w:after="0" w:line="240" w:lineRule="auto"/>
              <w:ind w:firstLineChars="100" w:firstLine="200"/>
              <w:jc w:val="right"/>
              <w:rPr>
                <w:rFonts w:ascii="Calibri" w:eastAsia="Times New Roman" w:hAnsi="Calibri" w:cs="Calibri"/>
                <w:color w:val="000000"/>
                <w:sz w:val="20"/>
                <w:szCs w:val="20"/>
                <w:lang w:eastAsia="es-CO"/>
              </w:rPr>
            </w:pPr>
            <w:r w:rsidRPr="00BB5BA3">
              <w:rPr>
                <w:rFonts w:ascii="Calibri" w:eastAsia="Times New Roman" w:hAnsi="Calibri" w:cs="Calibri"/>
                <w:color w:val="000000"/>
                <w:sz w:val="20"/>
                <w:szCs w:val="20"/>
                <w:lang w:eastAsia="es-CO"/>
              </w:rPr>
              <w:t>47.276</w:t>
            </w:r>
          </w:p>
        </w:tc>
        <w:tc>
          <w:tcPr>
            <w:tcW w:w="0" w:type="auto"/>
            <w:tcBorders>
              <w:top w:val="nil"/>
              <w:left w:val="nil"/>
              <w:bottom w:val="nil"/>
              <w:right w:val="single" w:sz="12" w:space="0" w:color="auto"/>
            </w:tcBorders>
            <w:shd w:val="clear" w:color="000000" w:fill="E2EFDA"/>
            <w:vAlign w:val="center"/>
            <w:hideMark/>
          </w:tcPr>
          <w:p w14:paraId="781D8462" w14:textId="77777777" w:rsidR="00BB5BA3" w:rsidRPr="00BB5BA3" w:rsidRDefault="00BB5BA3" w:rsidP="00BB5BA3">
            <w:pPr>
              <w:spacing w:after="0" w:line="240" w:lineRule="auto"/>
              <w:jc w:val="center"/>
              <w:rPr>
                <w:rFonts w:ascii="Calibri" w:eastAsia="Times New Roman" w:hAnsi="Calibri" w:cs="Calibri"/>
                <w:color w:val="000000"/>
                <w:sz w:val="20"/>
                <w:szCs w:val="20"/>
                <w:lang w:eastAsia="es-CO"/>
              </w:rPr>
            </w:pPr>
            <w:r w:rsidRPr="00BB5BA3">
              <w:rPr>
                <w:rFonts w:ascii="Calibri" w:eastAsia="Times New Roman" w:hAnsi="Calibri" w:cs="Calibri"/>
                <w:color w:val="000000"/>
                <w:sz w:val="20"/>
                <w:szCs w:val="20"/>
                <w:lang w:eastAsia="es-CO"/>
              </w:rPr>
              <w:t>10%</w:t>
            </w:r>
          </w:p>
        </w:tc>
      </w:tr>
      <w:tr w:rsidR="00263C0B" w:rsidRPr="00BB5BA3" w14:paraId="1D43FE33" w14:textId="77777777" w:rsidTr="003D53F5">
        <w:trPr>
          <w:trHeight w:val="255"/>
          <w:jc w:val="center"/>
        </w:trPr>
        <w:tc>
          <w:tcPr>
            <w:tcW w:w="0" w:type="auto"/>
            <w:tcBorders>
              <w:top w:val="nil"/>
              <w:left w:val="single" w:sz="12" w:space="0" w:color="auto"/>
              <w:bottom w:val="nil"/>
              <w:right w:val="nil"/>
            </w:tcBorders>
            <w:shd w:val="clear" w:color="auto" w:fill="auto"/>
            <w:noWrap/>
            <w:vAlign w:val="bottom"/>
            <w:hideMark/>
          </w:tcPr>
          <w:p w14:paraId="26398322" w14:textId="77777777" w:rsidR="00BB5BA3" w:rsidRPr="00BB5BA3" w:rsidRDefault="00BB5BA3" w:rsidP="00BB5BA3">
            <w:pPr>
              <w:spacing w:after="0" w:line="240" w:lineRule="auto"/>
              <w:rPr>
                <w:rFonts w:ascii="Calibri" w:eastAsia="Times New Roman" w:hAnsi="Calibri" w:cs="Calibri"/>
                <w:color w:val="000000"/>
                <w:sz w:val="20"/>
                <w:szCs w:val="20"/>
                <w:lang w:eastAsia="es-CO"/>
              </w:rPr>
            </w:pPr>
            <w:r w:rsidRPr="00BB5BA3">
              <w:rPr>
                <w:rFonts w:ascii="Calibri" w:eastAsia="Times New Roman" w:hAnsi="Calibri" w:cs="Calibri"/>
                <w:color w:val="000000"/>
                <w:sz w:val="20"/>
                <w:szCs w:val="20"/>
                <w:lang w:eastAsia="es-CO"/>
              </w:rPr>
              <w:t>Bienes muebles</w:t>
            </w:r>
          </w:p>
        </w:tc>
        <w:tc>
          <w:tcPr>
            <w:tcW w:w="0" w:type="auto"/>
            <w:tcBorders>
              <w:top w:val="nil"/>
              <w:left w:val="nil"/>
              <w:bottom w:val="nil"/>
              <w:right w:val="nil"/>
            </w:tcBorders>
            <w:shd w:val="clear" w:color="auto" w:fill="auto"/>
            <w:vAlign w:val="center"/>
            <w:hideMark/>
          </w:tcPr>
          <w:p w14:paraId="07687989" w14:textId="77777777" w:rsidR="00BB5BA3" w:rsidRPr="00BB5BA3" w:rsidRDefault="00BB5BA3" w:rsidP="00BB5BA3">
            <w:pPr>
              <w:spacing w:after="0" w:line="240" w:lineRule="auto"/>
              <w:ind w:firstLineChars="100" w:firstLine="200"/>
              <w:jc w:val="right"/>
              <w:rPr>
                <w:rFonts w:ascii="Calibri" w:eastAsia="Times New Roman" w:hAnsi="Calibri" w:cs="Calibri"/>
                <w:color w:val="000000"/>
                <w:sz w:val="20"/>
                <w:szCs w:val="20"/>
                <w:lang w:eastAsia="es-CO"/>
              </w:rPr>
            </w:pPr>
            <w:r w:rsidRPr="00BB5BA3">
              <w:rPr>
                <w:rFonts w:ascii="Calibri" w:eastAsia="Times New Roman" w:hAnsi="Calibri" w:cs="Calibri"/>
                <w:color w:val="000000"/>
                <w:sz w:val="20"/>
                <w:szCs w:val="20"/>
                <w:lang w:eastAsia="es-CO"/>
              </w:rPr>
              <w:t>32</w:t>
            </w:r>
          </w:p>
        </w:tc>
        <w:tc>
          <w:tcPr>
            <w:tcW w:w="0" w:type="auto"/>
            <w:tcBorders>
              <w:top w:val="nil"/>
              <w:left w:val="nil"/>
              <w:bottom w:val="nil"/>
              <w:right w:val="single" w:sz="12" w:space="0" w:color="auto"/>
            </w:tcBorders>
            <w:shd w:val="clear" w:color="auto" w:fill="auto"/>
            <w:vAlign w:val="center"/>
            <w:hideMark/>
          </w:tcPr>
          <w:p w14:paraId="4E0B2980" w14:textId="77777777" w:rsidR="00BB5BA3" w:rsidRPr="00BB5BA3" w:rsidRDefault="00BB5BA3" w:rsidP="00BB5BA3">
            <w:pPr>
              <w:spacing w:after="0" w:line="240" w:lineRule="auto"/>
              <w:jc w:val="center"/>
              <w:rPr>
                <w:rFonts w:ascii="Calibri" w:eastAsia="Times New Roman" w:hAnsi="Calibri" w:cs="Calibri"/>
                <w:color w:val="000000"/>
                <w:sz w:val="20"/>
                <w:szCs w:val="20"/>
                <w:lang w:eastAsia="es-CO"/>
              </w:rPr>
            </w:pPr>
            <w:r w:rsidRPr="00BB5BA3">
              <w:rPr>
                <w:rFonts w:ascii="Calibri" w:eastAsia="Times New Roman" w:hAnsi="Calibri" w:cs="Calibri"/>
                <w:color w:val="000000"/>
                <w:sz w:val="20"/>
                <w:szCs w:val="20"/>
                <w:lang w:eastAsia="es-CO"/>
              </w:rPr>
              <w:t>0%</w:t>
            </w:r>
          </w:p>
        </w:tc>
      </w:tr>
      <w:tr w:rsidR="00263C0B" w:rsidRPr="00BB5BA3" w14:paraId="2B045DC0" w14:textId="77777777" w:rsidTr="003D53F5">
        <w:trPr>
          <w:trHeight w:val="255"/>
          <w:jc w:val="center"/>
        </w:trPr>
        <w:tc>
          <w:tcPr>
            <w:tcW w:w="0" w:type="auto"/>
            <w:tcBorders>
              <w:top w:val="nil"/>
              <w:left w:val="single" w:sz="12" w:space="0" w:color="auto"/>
              <w:bottom w:val="nil"/>
              <w:right w:val="nil"/>
            </w:tcBorders>
            <w:shd w:val="clear" w:color="000000" w:fill="E2EFDA"/>
            <w:noWrap/>
            <w:vAlign w:val="bottom"/>
            <w:hideMark/>
          </w:tcPr>
          <w:p w14:paraId="547BB72E" w14:textId="77777777" w:rsidR="00BB5BA3" w:rsidRPr="00BB5BA3" w:rsidRDefault="00BB5BA3" w:rsidP="00BB5BA3">
            <w:pPr>
              <w:spacing w:after="0" w:line="240" w:lineRule="auto"/>
              <w:rPr>
                <w:rFonts w:ascii="Calibri" w:eastAsia="Times New Roman" w:hAnsi="Calibri" w:cs="Calibri"/>
                <w:color w:val="000000"/>
                <w:sz w:val="20"/>
                <w:szCs w:val="20"/>
                <w:lang w:eastAsia="es-CO"/>
              </w:rPr>
            </w:pPr>
            <w:r w:rsidRPr="00BB5BA3">
              <w:rPr>
                <w:rFonts w:ascii="Calibri" w:eastAsia="Times New Roman" w:hAnsi="Calibri" w:cs="Calibri"/>
                <w:color w:val="000000"/>
                <w:sz w:val="20"/>
                <w:szCs w:val="20"/>
                <w:lang w:eastAsia="es-CO"/>
              </w:rPr>
              <w:t>Bienes inmuebles</w:t>
            </w:r>
          </w:p>
        </w:tc>
        <w:tc>
          <w:tcPr>
            <w:tcW w:w="0" w:type="auto"/>
            <w:tcBorders>
              <w:top w:val="nil"/>
              <w:left w:val="nil"/>
              <w:bottom w:val="nil"/>
              <w:right w:val="nil"/>
            </w:tcBorders>
            <w:shd w:val="clear" w:color="000000" w:fill="E2EFDA"/>
            <w:vAlign w:val="center"/>
            <w:hideMark/>
          </w:tcPr>
          <w:p w14:paraId="292F3295" w14:textId="77777777" w:rsidR="00BB5BA3" w:rsidRPr="00BB5BA3" w:rsidRDefault="00BB5BA3" w:rsidP="00BB5BA3">
            <w:pPr>
              <w:spacing w:after="0" w:line="240" w:lineRule="auto"/>
              <w:ind w:firstLineChars="100" w:firstLine="200"/>
              <w:jc w:val="right"/>
              <w:rPr>
                <w:rFonts w:ascii="Calibri" w:eastAsia="Times New Roman" w:hAnsi="Calibri" w:cs="Calibri"/>
                <w:color w:val="000000"/>
                <w:sz w:val="20"/>
                <w:szCs w:val="20"/>
                <w:lang w:eastAsia="es-CO"/>
              </w:rPr>
            </w:pPr>
            <w:r w:rsidRPr="00BB5BA3">
              <w:rPr>
                <w:rFonts w:ascii="Calibri" w:eastAsia="Times New Roman" w:hAnsi="Calibri" w:cs="Calibri"/>
                <w:color w:val="000000"/>
                <w:sz w:val="20"/>
                <w:szCs w:val="20"/>
                <w:lang w:eastAsia="es-CO"/>
              </w:rPr>
              <w:t>325.415</w:t>
            </w:r>
          </w:p>
        </w:tc>
        <w:tc>
          <w:tcPr>
            <w:tcW w:w="0" w:type="auto"/>
            <w:tcBorders>
              <w:top w:val="nil"/>
              <w:left w:val="nil"/>
              <w:bottom w:val="nil"/>
              <w:right w:val="single" w:sz="12" w:space="0" w:color="auto"/>
            </w:tcBorders>
            <w:shd w:val="clear" w:color="000000" w:fill="E2EFDA"/>
            <w:vAlign w:val="center"/>
            <w:hideMark/>
          </w:tcPr>
          <w:p w14:paraId="12B453ED" w14:textId="77777777" w:rsidR="00BB5BA3" w:rsidRPr="00BB5BA3" w:rsidRDefault="00BB5BA3" w:rsidP="00BB5BA3">
            <w:pPr>
              <w:spacing w:after="0" w:line="240" w:lineRule="auto"/>
              <w:jc w:val="center"/>
              <w:rPr>
                <w:rFonts w:ascii="Calibri" w:eastAsia="Times New Roman" w:hAnsi="Calibri" w:cs="Calibri"/>
                <w:color w:val="000000"/>
                <w:sz w:val="20"/>
                <w:szCs w:val="20"/>
                <w:lang w:eastAsia="es-CO"/>
              </w:rPr>
            </w:pPr>
            <w:r w:rsidRPr="00BB5BA3">
              <w:rPr>
                <w:rFonts w:ascii="Calibri" w:eastAsia="Times New Roman" w:hAnsi="Calibri" w:cs="Calibri"/>
                <w:color w:val="000000"/>
                <w:sz w:val="20"/>
                <w:szCs w:val="20"/>
                <w:lang w:eastAsia="es-CO"/>
              </w:rPr>
              <w:t>67%</w:t>
            </w:r>
          </w:p>
        </w:tc>
      </w:tr>
      <w:tr w:rsidR="00263C0B" w:rsidRPr="00BB5BA3" w14:paraId="1BE968A7" w14:textId="77777777" w:rsidTr="003D53F5">
        <w:trPr>
          <w:trHeight w:val="99"/>
          <w:jc w:val="center"/>
        </w:trPr>
        <w:tc>
          <w:tcPr>
            <w:tcW w:w="0" w:type="auto"/>
            <w:tcBorders>
              <w:top w:val="nil"/>
              <w:left w:val="single" w:sz="12" w:space="0" w:color="auto"/>
              <w:bottom w:val="single" w:sz="12" w:space="0" w:color="auto"/>
              <w:right w:val="nil"/>
            </w:tcBorders>
            <w:shd w:val="clear" w:color="000000" w:fill="A9D08E"/>
            <w:noWrap/>
            <w:vAlign w:val="bottom"/>
            <w:hideMark/>
          </w:tcPr>
          <w:p w14:paraId="618D607F" w14:textId="77777777" w:rsidR="00BB5BA3" w:rsidRPr="00BB5BA3" w:rsidRDefault="00BB5BA3" w:rsidP="00BB5BA3">
            <w:pPr>
              <w:spacing w:after="0" w:line="240" w:lineRule="auto"/>
              <w:jc w:val="center"/>
              <w:rPr>
                <w:rFonts w:ascii="Calibri" w:eastAsia="Times New Roman" w:hAnsi="Calibri" w:cs="Calibri"/>
                <w:b/>
                <w:bCs/>
                <w:color w:val="000000"/>
                <w:sz w:val="20"/>
                <w:szCs w:val="20"/>
                <w:lang w:eastAsia="es-CO"/>
              </w:rPr>
            </w:pPr>
            <w:r w:rsidRPr="00BB5BA3">
              <w:rPr>
                <w:rFonts w:ascii="Calibri" w:eastAsia="Times New Roman" w:hAnsi="Calibri" w:cs="Calibri"/>
                <w:b/>
                <w:bCs/>
                <w:color w:val="000000"/>
                <w:sz w:val="20"/>
                <w:szCs w:val="20"/>
                <w:lang w:eastAsia="es-CO"/>
              </w:rPr>
              <w:t>Total</w:t>
            </w:r>
          </w:p>
        </w:tc>
        <w:tc>
          <w:tcPr>
            <w:tcW w:w="0" w:type="auto"/>
            <w:tcBorders>
              <w:top w:val="nil"/>
              <w:left w:val="nil"/>
              <w:bottom w:val="single" w:sz="12" w:space="0" w:color="auto"/>
              <w:right w:val="nil"/>
            </w:tcBorders>
            <w:shd w:val="clear" w:color="000000" w:fill="A9D08E"/>
            <w:noWrap/>
            <w:vAlign w:val="bottom"/>
            <w:hideMark/>
          </w:tcPr>
          <w:p w14:paraId="07BBC880" w14:textId="77777777" w:rsidR="00BB5BA3" w:rsidRPr="00BB5BA3" w:rsidRDefault="00BB5BA3" w:rsidP="00BB5BA3">
            <w:pPr>
              <w:spacing w:after="0" w:line="240" w:lineRule="auto"/>
              <w:jc w:val="right"/>
              <w:rPr>
                <w:rFonts w:ascii="Calibri" w:eastAsia="Times New Roman" w:hAnsi="Calibri" w:cs="Calibri"/>
                <w:b/>
                <w:bCs/>
                <w:color w:val="000000"/>
                <w:sz w:val="20"/>
                <w:szCs w:val="20"/>
                <w:lang w:eastAsia="es-CO"/>
              </w:rPr>
            </w:pPr>
            <w:r w:rsidRPr="00BB5BA3">
              <w:rPr>
                <w:rFonts w:ascii="Calibri" w:eastAsia="Times New Roman" w:hAnsi="Calibri" w:cs="Calibri"/>
                <w:b/>
                <w:bCs/>
                <w:color w:val="000000"/>
                <w:sz w:val="20"/>
                <w:szCs w:val="20"/>
                <w:lang w:eastAsia="es-CO"/>
              </w:rPr>
              <w:t>483.117</w:t>
            </w:r>
          </w:p>
        </w:tc>
        <w:tc>
          <w:tcPr>
            <w:tcW w:w="0" w:type="auto"/>
            <w:tcBorders>
              <w:top w:val="nil"/>
              <w:left w:val="nil"/>
              <w:bottom w:val="single" w:sz="12" w:space="0" w:color="auto"/>
              <w:right w:val="single" w:sz="12" w:space="0" w:color="auto"/>
            </w:tcBorders>
            <w:shd w:val="clear" w:color="000000" w:fill="A9D08E"/>
            <w:noWrap/>
            <w:vAlign w:val="bottom"/>
            <w:hideMark/>
          </w:tcPr>
          <w:p w14:paraId="4A077A3E" w14:textId="77777777" w:rsidR="00BB5BA3" w:rsidRPr="00BB5BA3" w:rsidRDefault="00BB5BA3" w:rsidP="00BB5BA3">
            <w:pPr>
              <w:spacing w:after="0" w:line="240" w:lineRule="auto"/>
              <w:rPr>
                <w:rFonts w:ascii="Calibri" w:eastAsia="Times New Roman" w:hAnsi="Calibri" w:cs="Calibri"/>
                <w:b/>
                <w:bCs/>
                <w:color w:val="000000"/>
                <w:sz w:val="20"/>
                <w:szCs w:val="20"/>
                <w:lang w:eastAsia="es-CO"/>
              </w:rPr>
            </w:pPr>
            <w:r w:rsidRPr="00BB5BA3">
              <w:rPr>
                <w:rFonts w:ascii="Calibri" w:eastAsia="Times New Roman" w:hAnsi="Calibri" w:cs="Calibri"/>
                <w:b/>
                <w:bCs/>
                <w:color w:val="000000"/>
                <w:sz w:val="20"/>
                <w:szCs w:val="20"/>
                <w:lang w:eastAsia="es-CO"/>
              </w:rPr>
              <w:t> </w:t>
            </w:r>
          </w:p>
        </w:tc>
      </w:tr>
    </w:tbl>
    <w:p w14:paraId="6460971F" w14:textId="3A3FF4FE" w:rsidR="00BB5BA3" w:rsidRDefault="00BB5BA3" w:rsidP="00BB5BA3">
      <w:pPr>
        <w:spacing w:after="0" w:line="240" w:lineRule="auto"/>
        <w:jc w:val="center"/>
        <w:rPr>
          <w:rFonts w:ascii="Arial" w:hAnsi="Arial" w:cs="Arial"/>
          <w:sz w:val="16"/>
          <w:szCs w:val="16"/>
          <w:lang w:eastAsia="es-CO"/>
        </w:rPr>
      </w:pPr>
      <w:r w:rsidRPr="00BB5BA3">
        <w:rPr>
          <w:rFonts w:ascii="Arial" w:hAnsi="Arial" w:cs="Arial"/>
          <w:sz w:val="16"/>
          <w:szCs w:val="16"/>
          <w:lang w:eastAsia="es-CO"/>
        </w:rPr>
        <w:t>Fuente: Delegada de Medidas Especiales SNS</w:t>
      </w:r>
      <w:r w:rsidR="00EA0CAE">
        <w:rPr>
          <w:rFonts w:ascii="Arial" w:hAnsi="Arial" w:cs="Arial"/>
          <w:sz w:val="16"/>
          <w:szCs w:val="16"/>
          <w:lang w:eastAsia="es-CO"/>
        </w:rPr>
        <w:t>.</w:t>
      </w:r>
    </w:p>
    <w:p w14:paraId="42A687D2" w14:textId="77777777" w:rsidR="00EA0CAE" w:rsidRPr="00BB5BA3" w:rsidRDefault="00EA0CAE" w:rsidP="00BB5BA3">
      <w:pPr>
        <w:spacing w:after="0" w:line="240" w:lineRule="auto"/>
        <w:jc w:val="center"/>
        <w:rPr>
          <w:rFonts w:ascii="Arial" w:hAnsi="Arial" w:cs="Arial"/>
          <w:sz w:val="16"/>
          <w:szCs w:val="16"/>
          <w:lang w:eastAsia="es-CO"/>
        </w:rPr>
      </w:pPr>
    </w:p>
    <w:p w14:paraId="08F8E635" w14:textId="5E995537" w:rsidR="001B0240" w:rsidRPr="00C31D64"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t>10. En igual sentido, señale qué ha ocurrido con la liquidación de las EPS Cafesalud y Cruz Blanca.</w:t>
      </w:r>
    </w:p>
    <w:p w14:paraId="03E078BE" w14:textId="18EF4265" w:rsidR="000E26BF"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bdr w:val="none" w:sz="0" w:space="0" w:color="auto" w:frame="1"/>
          <w:shd w:val="clear" w:color="auto" w:fill="FFFF00"/>
          <w:lang w:val="es-ES"/>
        </w:rPr>
      </w:pPr>
      <w:r w:rsidRPr="001B0240">
        <w:rPr>
          <w:rFonts w:ascii="Arial" w:hAnsi="Arial" w:cs="Arial"/>
          <w:color w:val="201F1E"/>
          <w:sz w:val="22"/>
          <w:szCs w:val="22"/>
          <w:bdr w:val="none" w:sz="0" w:space="0" w:color="auto" w:frame="1"/>
          <w:lang w:val="es-ES"/>
        </w:rPr>
        <w:t> </w:t>
      </w:r>
    </w:p>
    <w:p w14:paraId="3CB33CAF" w14:textId="54C774B3" w:rsidR="00DE75B1" w:rsidRDefault="00DE75B1" w:rsidP="00DE75B1">
      <w:pPr>
        <w:spacing w:after="0" w:line="240" w:lineRule="auto"/>
        <w:jc w:val="both"/>
        <w:rPr>
          <w:rFonts w:ascii="Arial" w:hAnsi="Arial" w:cs="Arial"/>
          <w:lang w:val="es-ES" w:eastAsia="es-CO"/>
        </w:rPr>
      </w:pPr>
      <w:r w:rsidRPr="00DE75B1">
        <w:rPr>
          <w:rFonts w:ascii="Arial" w:hAnsi="Arial" w:cs="Arial"/>
          <w:lang w:val="es-ES" w:eastAsia="es-CO"/>
        </w:rPr>
        <w:t xml:space="preserve">Con respecto a </w:t>
      </w:r>
      <w:r>
        <w:rPr>
          <w:rFonts w:ascii="Arial" w:hAnsi="Arial" w:cs="Arial"/>
          <w:lang w:val="es-ES" w:eastAsia="es-CO"/>
        </w:rPr>
        <w:t xml:space="preserve">Cafesalud y Cruz Blanca </w:t>
      </w:r>
      <w:r w:rsidRPr="00DE75B1">
        <w:rPr>
          <w:rFonts w:ascii="Arial" w:hAnsi="Arial" w:cs="Arial"/>
          <w:lang w:val="es-ES" w:eastAsia="es-CO"/>
        </w:rPr>
        <w:t>EPS</w:t>
      </w:r>
      <w:r w:rsidR="003D53F5">
        <w:rPr>
          <w:rFonts w:ascii="Arial" w:hAnsi="Arial" w:cs="Arial"/>
          <w:lang w:val="es-ES" w:eastAsia="es-CO"/>
        </w:rPr>
        <w:t xml:space="preserve"> en liquidación</w:t>
      </w:r>
      <w:r w:rsidRPr="00DE75B1">
        <w:rPr>
          <w:rFonts w:ascii="Arial" w:hAnsi="Arial" w:cs="Arial"/>
          <w:lang w:val="es-ES" w:eastAsia="es-CO"/>
        </w:rPr>
        <w:t xml:space="preserve">, vale afirmar que en la actualidad se encuentran en plena actividad de realización de activos y con ellos el pago de acreencias. </w:t>
      </w:r>
    </w:p>
    <w:p w14:paraId="021E9A1A" w14:textId="77777777" w:rsidR="00DE75B1" w:rsidRDefault="00DE75B1" w:rsidP="00DE75B1">
      <w:pPr>
        <w:spacing w:after="0" w:line="240" w:lineRule="auto"/>
        <w:jc w:val="both"/>
        <w:rPr>
          <w:rFonts w:ascii="Arial" w:hAnsi="Arial" w:cs="Arial"/>
          <w:lang w:val="es-ES" w:eastAsia="es-CO"/>
        </w:rPr>
      </w:pPr>
    </w:p>
    <w:p w14:paraId="7963DA32" w14:textId="2DD2E599" w:rsidR="00DE75B1" w:rsidRPr="00DE75B1" w:rsidRDefault="00DE75B1" w:rsidP="003B7799">
      <w:pPr>
        <w:spacing w:after="0" w:line="240" w:lineRule="auto"/>
        <w:jc w:val="both"/>
        <w:rPr>
          <w:rFonts w:ascii="Arial" w:hAnsi="Arial" w:cs="Arial"/>
          <w:lang w:val="es-ES" w:eastAsia="es-CO"/>
        </w:rPr>
      </w:pPr>
      <w:r w:rsidRPr="00DE75B1">
        <w:rPr>
          <w:rFonts w:ascii="Arial" w:hAnsi="Arial" w:cs="Arial"/>
          <w:lang w:val="es-ES" w:eastAsia="es-CO"/>
        </w:rPr>
        <w:t>Para tener un panorama más preciso sobre el estado de cada una de ellas, a continuación, se indica el estado de determinación, calificación y pago de acreencias y los activos en proceso de gestión por parte del Agente Liquidador:</w:t>
      </w:r>
    </w:p>
    <w:p w14:paraId="24FC7C98" w14:textId="77777777" w:rsidR="003D53F5" w:rsidRDefault="003D53F5" w:rsidP="00DE75B1">
      <w:pPr>
        <w:spacing w:after="0" w:line="240" w:lineRule="auto"/>
        <w:rPr>
          <w:rFonts w:ascii="Arial" w:hAnsi="Arial" w:cs="Arial"/>
          <w:u w:val="single"/>
          <w:lang w:val="es-ES" w:eastAsia="es-CO"/>
        </w:rPr>
      </w:pPr>
    </w:p>
    <w:p w14:paraId="06B6BB03" w14:textId="0D663499" w:rsidR="00DE75B1" w:rsidRPr="00DE75B1" w:rsidRDefault="00DE75B1" w:rsidP="00DE75B1">
      <w:pPr>
        <w:spacing w:after="0" w:line="240" w:lineRule="auto"/>
        <w:rPr>
          <w:rFonts w:ascii="Arial" w:hAnsi="Arial" w:cs="Arial"/>
          <w:u w:val="single"/>
          <w:lang w:val="es-ES" w:eastAsia="es-CO"/>
        </w:rPr>
      </w:pPr>
      <w:r w:rsidRPr="00DE75B1">
        <w:rPr>
          <w:rFonts w:ascii="Arial" w:hAnsi="Arial" w:cs="Arial"/>
          <w:u w:val="single"/>
          <w:lang w:val="es-ES" w:eastAsia="es-CO"/>
        </w:rPr>
        <w:t>Cafesalud EPS SA en liquidación</w:t>
      </w:r>
    </w:p>
    <w:p w14:paraId="2B310588" w14:textId="77777777" w:rsidR="00DE75B1" w:rsidRPr="00DE75B1" w:rsidRDefault="00DE75B1" w:rsidP="00DE75B1">
      <w:pPr>
        <w:spacing w:after="0" w:line="240" w:lineRule="auto"/>
        <w:rPr>
          <w:rFonts w:ascii="Arial" w:hAnsi="Arial" w:cs="Arial"/>
          <w:b/>
          <w:bCs/>
          <w:lang w:val="es-ES" w:eastAsia="es-CO"/>
        </w:rPr>
      </w:pPr>
    </w:p>
    <w:p w14:paraId="12AE0907" w14:textId="6E4EF1B6" w:rsidR="00DE75B1" w:rsidRPr="00DE75B1" w:rsidRDefault="00DE75B1" w:rsidP="00DE75B1">
      <w:pPr>
        <w:spacing w:after="0" w:line="240" w:lineRule="auto"/>
        <w:jc w:val="both"/>
        <w:rPr>
          <w:rFonts w:ascii="Arial" w:hAnsi="Arial" w:cs="Arial"/>
          <w:lang w:val="es-ES" w:eastAsia="es-CO"/>
        </w:rPr>
      </w:pPr>
      <w:r w:rsidRPr="00DE75B1">
        <w:rPr>
          <w:rFonts w:ascii="Arial" w:hAnsi="Arial" w:cs="Arial"/>
          <w:lang w:val="es-ES" w:eastAsia="es-CO"/>
        </w:rPr>
        <w:t>La Superintendencia Nacional de Salud ante la salida del aseguramiento de la EPS Cafesalud S.A</w:t>
      </w:r>
      <w:r w:rsidR="004B310C">
        <w:rPr>
          <w:rFonts w:ascii="Arial" w:hAnsi="Arial" w:cs="Arial"/>
          <w:lang w:val="es-ES" w:eastAsia="es-CO"/>
        </w:rPr>
        <w:t>.</w:t>
      </w:r>
      <w:r w:rsidRPr="00DE75B1">
        <w:rPr>
          <w:rFonts w:ascii="Arial" w:hAnsi="Arial" w:cs="Arial"/>
          <w:lang w:val="es-ES" w:eastAsia="es-CO"/>
        </w:rPr>
        <w:t xml:space="preserve">, después de la venta de sus derechos </w:t>
      </w:r>
      <w:r w:rsidR="004B310C">
        <w:rPr>
          <w:rFonts w:ascii="Arial" w:hAnsi="Arial" w:cs="Arial"/>
          <w:lang w:val="es-ES" w:eastAsia="es-CO"/>
        </w:rPr>
        <w:t xml:space="preserve">y la cesión de su habilitación a través de un proceso de reorganización </w:t>
      </w:r>
      <w:r w:rsidRPr="00DE75B1">
        <w:rPr>
          <w:rFonts w:ascii="Arial" w:hAnsi="Arial" w:cs="Arial"/>
          <w:lang w:val="es-ES" w:eastAsia="es-CO"/>
        </w:rPr>
        <w:t>que dio origen a Medimás SAS</w:t>
      </w:r>
      <w:r w:rsidR="00CB37FE">
        <w:rPr>
          <w:rFonts w:ascii="Arial" w:hAnsi="Arial" w:cs="Arial"/>
          <w:lang w:val="es-ES" w:eastAsia="es-CO"/>
        </w:rPr>
        <w:t>, c</w:t>
      </w:r>
      <w:r w:rsidR="004B310C">
        <w:rPr>
          <w:rFonts w:ascii="Arial" w:hAnsi="Arial" w:cs="Arial"/>
          <w:lang w:val="es-ES" w:eastAsia="es-CO"/>
        </w:rPr>
        <w:t>omo consecuencia del mismo</w:t>
      </w:r>
      <w:r w:rsidR="00CB37FE">
        <w:rPr>
          <w:rFonts w:ascii="Arial" w:hAnsi="Arial" w:cs="Arial"/>
          <w:lang w:val="es-ES" w:eastAsia="es-CO"/>
        </w:rPr>
        <w:t>,</w:t>
      </w:r>
      <w:r w:rsidR="004B310C">
        <w:rPr>
          <w:rFonts w:ascii="Arial" w:hAnsi="Arial" w:cs="Arial"/>
          <w:lang w:val="es-ES" w:eastAsia="es-CO"/>
        </w:rPr>
        <w:t xml:space="preserve"> </w:t>
      </w:r>
      <w:r w:rsidRPr="00DE75B1">
        <w:rPr>
          <w:rFonts w:ascii="Arial" w:hAnsi="Arial" w:cs="Arial"/>
          <w:lang w:val="es-ES" w:eastAsia="es-CO"/>
        </w:rPr>
        <w:t>decidió ordenar la liquidación de dicha sociedad en razón al incumplimiento con los acuerdos de pagos con terceros, para tal efecto, emitió la Resolución 7172 del 22 de julio de 2019, mediante la cual se ordenó dar inicio al proceso de liquidación forzosa</w:t>
      </w:r>
      <w:r w:rsidR="00CB37FE">
        <w:rPr>
          <w:rFonts w:ascii="Arial" w:hAnsi="Arial" w:cs="Arial"/>
          <w:lang w:val="es-ES" w:eastAsia="es-CO"/>
        </w:rPr>
        <w:t>.</w:t>
      </w:r>
    </w:p>
    <w:p w14:paraId="399D041F" w14:textId="77777777" w:rsidR="00DE75B1" w:rsidRPr="00DE75B1" w:rsidRDefault="00DE75B1" w:rsidP="00DE75B1">
      <w:pPr>
        <w:spacing w:after="0" w:line="240" w:lineRule="auto"/>
        <w:rPr>
          <w:rFonts w:ascii="Arial" w:hAnsi="Arial" w:cs="Arial"/>
          <w:lang w:val="es-ES" w:eastAsia="es-CO"/>
        </w:rPr>
      </w:pPr>
    </w:p>
    <w:p w14:paraId="2B40381D" w14:textId="2B87652A" w:rsidR="00DE75B1" w:rsidRPr="00DE75B1" w:rsidRDefault="00DE75B1" w:rsidP="003D53F5">
      <w:pPr>
        <w:spacing w:after="0" w:line="240" w:lineRule="auto"/>
        <w:jc w:val="center"/>
        <w:rPr>
          <w:rFonts w:ascii="Arial" w:hAnsi="Arial" w:cs="Arial"/>
          <w:b/>
          <w:bCs/>
          <w:lang w:val="es-ES" w:eastAsia="es-CO"/>
        </w:rPr>
      </w:pPr>
      <w:r w:rsidRPr="00DE75B1">
        <w:rPr>
          <w:rFonts w:ascii="Arial" w:hAnsi="Arial" w:cs="Arial"/>
          <w:b/>
          <w:bCs/>
          <w:lang w:val="es-ES" w:eastAsia="es-CO"/>
        </w:rPr>
        <w:t>Estado de acreencias de Cafesalud EPS en liquidación</w:t>
      </w:r>
      <w:r w:rsidR="003D53F5">
        <w:rPr>
          <w:rFonts w:ascii="Arial" w:hAnsi="Arial" w:cs="Arial"/>
          <w:b/>
          <w:bCs/>
          <w:lang w:val="es-ES" w:eastAsia="es-CO"/>
        </w:rPr>
        <w:t xml:space="preserve"> c</w:t>
      </w:r>
      <w:r w:rsidRPr="00DE75B1">
        <w:rPr>
          <w:rFonts w:ascii="Arial" w:hAnsi="Arial" w:cs="Arial"/>
          <w:b/>
          <w:bCs/>
          <w:lang w:val="es-ES" w:eastAsia="es-CO"/>
        </w:rPr>
        <w:t>orte junio de 2021</w:t>
      </w:r>
    </w:p>
    <w:p w14:paraId="59B57A43" w14:textId="251B0D24" w:rsidR="00DE75B1" w:rsidRPr="00DE75B1" w:rsidRDefault="00DE75B1" w:rsidP="00DE75B1">
      <w:pPr>
        <w:spacing w:after="0" w:line="240" w:lineRule="auto"/>
        <w:jc w:val="center"/>
        <w:rPr>
          <w:rFonts w:ascii="Arial" w:hAnsi="Arial" w:cs="Arial"/>
          <w:b/>
          <w:bCs/>
          <w:sz w:val="16"/>
          <w:szCs w:val="16"/>
          <w:lang w:val="es-ES" w:eastAsia="es-CO"/>
        </w:rPr>
      </w:pPr>
      <w:r>
        <w:rPr>
          <w:rFonts w:ascii="Arial" w:hAnsi="Arial" w:cs="Arial"/>
          <w:b/>
          <w:bCs/>
          <w:sz w:val="16"/>
          <w:szCs w:val="16"/>
          <w:lang w:val="es-ES" w:eastAsia="es-CO"/>
        </w:rPr>
        <w:t xml:space="preserve">                                                                                                                                    </w:t>
      </w:r>
      <w:r w:rsidR="00263C0B">
        <w:rPr>
          <w:rFonts w:ascii="Arial" w:hAnsi="Arial" w:cs="Arial"/>
          <w:b/>
          <w:bCs/>
          <w:sz w:val="16"/>
          <w:szCs w:val="16"/>
          <w:lang w:val="es-ES" w:eastAsia="es-CO"/>
        </w:rPr>
        <w:t xml:space="preserve">                      </w:t>
      </w:r>
      <w:r>
        <w:rPr>
          <w:rFonts w:ascii="Arial" w:hAnsi="Arial" w:cs="Arial"/>
          <w:b/>
          <w:bCs/>
          <w:sz w:val="16"/>
          <w:szCs w:val="16"/>
          <w:lang w:val="es-ES" w:eastAsia="es-CO"/>
        </w:rPr>
        <w:t xml:space="preserve">   </w:t>
      </w:r>
      <w:r w:rsidRPr="00DE75B1">
        <w:rPr>
          <w:rFonts w:ascii="Arial" w:hAnsi="Arial" w:cs="Arial"/>
          <w:b/>
          <w:bCs/>
          <w:sz w:val="16"/>
          <w:szCs w:val="16"/>
          <w:lang w:val="es-ES" w:eastAsia="es-CO"/>
        </w:rPr>
        <w:t>(</w:t>
      </w:r>
      <w:r w:rsidR="00263C0B">
        <w:rPr>
          <w:rFonts w:ascii="Arial" w:hAnsi="Arial" w:cs="Arial"/>
          <w:b/>
          <w:bCs/>
          <w:sz w:val="16"/>
          <w:szCs w:val="16"/>
          <w:lang w:val="es-ES" w:eastAsia="es-CO"/>
        </w:rPr>
        <w:t>M</w:t>
      </w:r>
      <w:r w:rsidRPr="00DE75B1">
        <w:rPr>
          <w:rFonts w:ascii="Arial" w:hAnsi="Arial" w:cs="Arial"/>
          <w:b/>
          <w:bCs/>
          <w:sz w:val="16"/>
          <w:szCs w:val="16"/>
          <w:lang w:val="es-ES" w:eastAsia="es-CO"/>
        </w:rPr>
        <w:t>illones de pesos)</w:t>
      </w:r>
    </w:p>
    <w:tbl>
      <w:tblPr>
        <w:tblW w:w="8320" w:type="dxa"/>
        <w:jc w:val="center"/>
        <w:tblCellMar>
          <w:left w:w="70" w:type="dxa"/>
          <w:right w:w="70" w:type="dxa"/>
        </w:tblCellMar>
        <w:tblLook w:val="04A0" w:firstRow="1" w:lastRow="0" w:firstColumn="1" w:lastColumn="0" w:noHBand="0" w:noVBand="1"/>
      </w:tblPr>
      <w:tblGrid>
        <w:gridCol w:w="2260"/>
        <w:gridCol w:w="1720"/>
        <w:gridCol w:w="1280"/>
        <w:gridCol w:w="1280"/>
        <w:gridCol w:w="1160"/>
        <w:gridCol w:w="631"/>
      </w:tblGrid>
      <w:tr w:rsidR="00DE75B1" w:rsidRPr="00DE75B1" w14:paraId="415DECD0" w14:textId="77777777" w:rsidTr="003D53F5">
        <w:trPr>
          <w:trHeight w:val="188"/>
          <w:jc w:val="center"/>
        </w:trPr>
        <w:tc>
          <w:tcPr>
            <w:tcW w:w="2260" w:type="dxa"/>
            <w:tcBorders>
              <w:top w:val="single" w:sz="12" w:space="0" w:color="auto"/>
              <w:left w:val="single" w:sz="12" w:space="0" w:color="auto"/>
              <w:bottom w:val="nil"/>
              <w:right w:val="nil"/>
            </w:tcBorders>
            <w:shd w:val="clear" w:color="000000" w:fill="BDD7EE"/>
            <w:noWrap/>
            <w:vAlign w:val="bottom"/>
            <w:hideMark/>
          </w:tcPr>
          <w:p w14:paraId="2220525B" w14:textId="77777777" w:rsidR="00DE75B1" w:rsidRPr="00DE75B1" w:rsidRDefault="00DE75B1" w:rsidP="00DE75B1">
            <w:pPr>
              <w:spacing w:after="0" w:line="240" w:lineRule="auto"/>
              <w:jc w:val="center"/>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Clase de acreencias</w:t>
            </w:r>
          </w:p>
        </w:tc>
        <w:tc>
          <w:tcPr>
            <w:tcW w:w="1720" w:type="dxa"/>
            <w:tcBorders>
              <w:top w:val="single" w:sz="12" w:space="0" w:color="auto"/>
              <w:left w:val="nil"/>
              <w:bottom w:val="nil"/>
              <w:right w:val="nil"/>
            </w:tcBorders>
            <w:shd w:val="clear" w:color="000000" w:fill="BDD7EE"/>
            <w:noWrap/>
            <w:vAlign w:val="bottom"/>
            <w:hideMark/>
          </w:tcPr>
          <w:p w14:paraId="4D0423C1" w14:textId="0139EF9D" w:rsidR="00DE75B1" w:rsidRPr="00DE75B1" w:rsidRDefault="00DE75B1" w:rsidP="00DE75B1">
            <w:pPr>
              <w:spacing w:after="0" w:line="240" w:lineRule="auto"/>
              <w:jc w:val="center"/>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V</w:t>
            </w:r>
            <w:r w:rsidR="00CB37FE">
              <w:rPr>
                <w:rFonts w:ascii="Calibri" w:eastAsia="Times New Roman" w:hAnsi="Calibri" w:cs="Calibri"/>
                <w:b/>
                <w:bCs/>
                <w:color w:val="000000"/>
                <w:sz w:val="16"/>
                <w:szCs w:val="16"/>
                <w:lang w:eastAsia="es-CO"/>
              </w:rPr>
              <w:t>alo</w:t>
            </w:r>
            <w:r w:rsidRPr="00DE75B1">
              <w:rPr>
                <w:rFonts w:ascii="Calibri" w:eastAsia="Times New Roman" w:hAnsi="Calibri" w:cs="Calibri"/>
                <w:b/>
                <w:bCs/>
                <w:color w:val="000000"/>
                <w:sz w:val="16"/>
                <w:szCs w:val="16"/>
                <w:lang w:eastAsia="es-CO"/>
              </w:rPr>
              <w:t>r reclamado</w:t>
            </w:r>
          </w:p>
        </w:tc>
        <w:tc>
          <w:tcPr>
            <w:tcW w:w="1280" w:type="dxa"/>
            <w:tcBorders>
              <w:top w:val="single" w:sz="12" w:space="0" w:color="auto"/>
              <w:left w:val="nil"/>
              <w:bottom w:val="nil"/>
              <w:right w:val="nil"/>
            </w:tcBorders>
            <w:shd w:val="clear" w:color="000000" w:fill="BDD7EE"/>
            <w:noWrap/>
            <w:vAlign w:val="bottom"/>
            <w:hideMark/>
          </w:tcPr>
          <w:p w14:paraId="32DC93E2" w14:textId="1DF97725" w:rsidR="00DE75B1" w:rsidRPr="00DE75B1" w:rsidRDefault="00DE75B1" w:rsidP="00DE75B1">
            <w:pPr>
              <w:spacing w:after="0" w:line="240" w:lineRule="auto"/>
              <w:jc w:val="center"/>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V</w:t>
            </w:r>
            <w:r w:rsidR="00CB37FE">
              <w:rPr>
                <w:rFonts w:ascii="Calibri" w:eastAsia="Times New Roman" w:hAnsi="Calibri" w:cs="Calibri"/>
                <w:b/>
                <w:bCs/>
                <w:color w:val="000000"/>
                <w:sz w:val="16"/>
                <w:szCs w:val="16"/>
                <w:lang w:eastAsia="es-CO"/>
              </w:rPr>
              <w:t>alo</w:t>
            </w:r>
            <w:r w:rsidRPr="00DE75B1">
              <w:rPr>
                <w:rFonts w:ascii="Calibri" w:eastAsia="Times New Roman" w:hAnsi="Calibri" w:cs="Calibri"/>
                <w:b/>
                <w:bCs/>
                <w:color w:val="000000"/>
                <w:sz w:val="16"/>
                <w:szCs w:val="16"/>
                <w:lang w:eastAsia="es-CO"/>
              </w:rPr>
              <w:t>r reconocido</w:t>
            </w:r>
          </w:p>
        </w:tc>
        <w:tc>
          <w:tcPr>
            <w:tcW w:w="1280" w:type="dxa"/>
            <w:tcBorders>
              <w:top w:val="single" w:sz="12" w:space="0" w:color="auto"/>
              <w:left w:val="nil"/>
              <w:bottom w:val="nil"/>
              <w:right w:val="nil"/>
            </w:tcBorders>
            <w:shd w:val="clear" w:color="000000" w:fill="BDD7EE"/>
            <w:noWrap/>
            <w:vAlign w:val="bottom"/>
            <w:hideMark/>
          </w:tcPr>
          <w:p w14:paraId="532206BD" w14:textId="77777777" w:rsidR="00DE75B1" w:rsidRPr="00DE75B1" w:rsidRDefault="00DE75B1" w:rsidP="00DE75B1">
            <w:pPr>
              <w:spacing w:after="0" w:line="240" w:lineRule="auto"/>
              <w:jc w:val="center"/>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 Reconocimiento</w:t>
            </w:r>
          </w:p>
        </w:tc>
        <w:tc>
          <w:tcPr>
            <w:tcW w:w="1160" w:type="dxa"/>
            <w:tcBorders>
              <w:top w:val="single" w:sz="12" w:space="0" w:color="auto"/>
              <w:left w:val="nil"/>
              <w:bottom w:val="nil"/>
              <w:right w:val="nil"/>
            </w:tcBorders>
            <w:shd w:val="clear" w:color="000000" w:fill="BDD7EE"/>
            <w:noWrap/>
            <w:vAlign w:val="bottom"/>
            <w:hideMark/>
          </w:tcPr>
          <w:p w14:paraId="5B695EFE" w14:textId="73BB2576" w:rsidR="00DE75B1" w:rsidRPr="00DE75B1" w:rsidRDefault="00DE75B1" w:rsidP="00DE75B1">
            <w:pPr>
              <w:spacing w:after="0" w:line="240" w:lineRule="auto"/>
              <w:jc w:val="center"/>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V</w:t>
            </w:r>
            <w:r w:rsidR="00CB37FE">
              <w:rPr>
                <w:rFonts w:ascii="Calibri" w:eastAsia="Times New Roman" w:hAnsi="Calibri" w:cs="Calibri"/>
                <w:b/>
                <w:bCs/>
                <w:color w:val="000000"/>
                <w:sz w:val="16"/>
                <w:szCs w:val="16"/>
                <w:lang w:eastAsia="es-CO"/>
              </w:rPr>
              <w:t xml:space="preserve">alor </w:t>
            </w:r>
            <w:r w:rsidRPr="00DE75B1">
              <w:rPr>
                <w:rFonts w:ascii="Calibri" w:eastAsia="Times New Roman" w:hAnsi="Calibri" w:cs="Calibri"/>
                <w:b/>
                <w:bCs/>
                <w:color w:val="000000"/>
                <w:sz w:val="16"/>
                <w:szCs w:val="16"/>
                <w:lang w:eastAsia="es-CO"/>
              </w:rPr>
              <w:t>Pag</w:t>
            </w:r>
            <w:r w:rsidR="00CB37FE">
              <w:rPr>
                <w:rFonts w:ascii="Calibri" w:eastAsia="Times New Roman" w:hAnsi="Calibri" w:cs="Calibri"/>
                <w:b/>
                <w:bCs/>
                <w:color w:val="000000"/>
                <w:sz w:val="16"/>
                <w:szCs w:val="16"/>
                <w:lang w:eastAsia="es-CO"/>
              </w:rPr>
              <w:t>ado</w:t>
            </w:r>
          </w:p>
        </w:tc>
        <w:tc>
          <w:tcPr>
            <w:tcW w:w="620" w:type="dxa"/>
            <w:tcBorders>
              <w:top w:val="single" w:sz="12" w:space="0" w:color="auto"/>
              <w:left w:val="nil"/>
              <w:bottom w:val="nil"/>
              <w:right w:val="single" w:sz="12" w:space="0" w:color="auto"/>
            </w:tcBorders>
            <w:shd w:val="clear" w:color="000000" w:fill="BDD7EE"/>
            <w:noWrap/>
            <w:vAlign w:val="bottom"/>
            <w:hideMark/>
          </w:tcPr>
          <w:p w14:paraId="746E2A69" w14:textId="6D992696" w:rsidR="00DE75B1" w:rsidRPr="00DE75B1" w:rsidRDefault="00DE75B1" w:rsidP="00DE75B1">
            <w:pPr>
              <w:spacing w:after="0" w:line="240" w:lineRule="auto"/>
              <w:jc w:val="center"/>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 xml:space="preserve">% </w:t>
            </w:r>
            <w:r w:rsidR="00CB37FE">
              <w:rPr>
                <w:rFonts w:ascii="Calibri" w:eastAsia="Times New Roman" w:hAnsi="Calibri" w:cs="Calibri"/>
                <w:b/>
                <w:bCs/>
                <w:color w:val="000000"/>
                <w:sz w:val="16"/>
                <w:szCs w:val="16"/>
                <w:lang w:eastAsia="es-CO"/>
              </w:rPr>
              <w:t>Pagado</w:t>
            </w:r>
          </w:p>
        </w:tc>
      </w:tr>
      <w:tr w:rsidR="00DE75B1" w:rsidRPr="00DE75B1" w14:paraId="046431DC" w14:textId="77777777" w:rsidTr="00BB6EF9">
        <w:trPr>
          <w:trHeight w:val="290"/>
          <w:jc w:val="center"/>
        </w:trPr>
        <w:tc>
          <w:tcPr>
            <w:tcW w:w="2260" w:type="dxa"/>
            <w:tcBorders>
              <w:top w:val="nil"/>
              <w:left w:val="single" w:sz="12" w:space="0" w:color="auto"/>
              <w:bottom w:val="nil"/>
              <w:right w:val="nil"/>
            </w:tcBorders>
            <w:shd w:val="clear" w:color="auto" w:fill="auto"/>
            <w:noWrap/>
            <w:vAlign w:val="bottom"/>
            <w:hideMark/>
          </w:tcPr>
          <w:p w14:paraId="4B52CC57" w14:textId="77777777" w:rsidR="00DE75B1" w:rsidRPr="00DE75B1" w:rsidRDefault="00DE75B1" w:rsidP="00DE75B1">
            <w:pPr>
              <w:spacing w:after="0" w:line="240" w:lineRule="auto"/>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Sumas excluidas de la masa</w:t>
            </w:r>
          </w:p>
        </w:tc>
        <w:tc>
          <w:tcPr>
            <w:tcW w:w="1720" w:type="dxa"/>
            <w:tcBorders>
              <w:top w:val="nil"/>
              <w:left w:val="nil"/>
              <w:bottom w:val="nil"/>
              <w:right w:val="nil"/>
            </w:tcBorders>
            <w:shd w:val="clear" w:color="auto" w:fill="auto"/>
            <w:vAlign w:val="center"/>
            <w:hideMark/>
          </w:tcPr>
          <w:p w14:paraId="42760B35"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17.072</w:t>
            </w:r>
          </w:p>
        </w:tc>
        <w:tc>
          <w:tcPr>
            <w:tcW w:w="1280" w:type="dxa"/>
            <w:tcBorders>
              <w:top w:val="nil"/>
              <w:left w:val="nil"/>
              <w:bottom w:val="nil"/>
              <w:right w:val="nil"/>
            </w:tcBorders>
            <w:shd w:val="clear" w:color="auto" w:fill="auto"/>
            <w:vAlign w:val="center"/>
            <w:hideMark/>
          </w:tcPr>
          <w:p w14:paraId="4598D5C8"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9.096</w:t>
            </w:r>
          </w:p>
        </w:tc>
        <w:tc>
          <w:tcPr>
            <w:tcW w:w="1280" w:type="dxa"/>
            <w:tcBorders>
              <w:top w:val="nil"/>
              <w:left w:val="nil"/>
              <w:bottom w:val="nil"/>
              <w:right w:val="nil"/>
            </w:tcBorders>
            <w:shd w:val="clear" w:color="auto" w:fill="auto"/>
            <w:vAlign w:val="center"/>
            <w:hideMark/>
          </w:tcPr>
          <w:p w14:paraId="134E3838"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53%</w:t>
            </w:r>
          </w:p>
        </w:tc>
        <w:tc>
          <w:tcPr>
            <w:tcW w:w="1160" w:type="dxa"/>
            <w:tcBorders>
              <w:top w:val="nil"/>
              <w:left w:val="nil"/>
              <w:bottom w:val="nil"/>
              <w:right w:val="nil"/>
            </w:tcBorders>
            <w:shd w:val="clear" w:color="auto" w:fill="auto"/>
            <w:vAlign w:val="center"/>
            <w:hideMark/>
          </w:tcPr>
          <w:p w14:paraId="3ACF78A9"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7.388</w:t>
            </w:r>
          </w:p>
        </w:tc>
        <w:tc>
          <w:tcPr>
            <w:tcW w:w="620" w:type="dxa"/>
            <w:tcBorders>
              <w:top w:val="nil"/>
              <w:left w:val="nil"/>
              <w:bottom w:val="nil"/>
              <w:right w:val="single" w:sz="12" w:space="0" w:color="auto"/>
            </w:tcBorders>
            <w:shd w:val="clear" w:color="auto" w:fill="auto"/>
            <w:noWrap/>
            <w:vAlign w:val="bottom"/>
            <w:hideMark/>
          </w:tcPr>
          <w:p w14:paraId="4454CDB3"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81%</w:t>
            </w:r>
          </w:p>
        </w:tc>
      </w:tr>
      <w:tr w:rsidR="00DE75B1" w:rsidRPr="00DE75B1" w14:paraId="04A2DE51" w14:textId="77777777" w:rsidTr="00BB6EF9">
        <w:trPr>
          <w:trHeight w:val="290"/>
          <w:jc w:val="center"/>
        </w:trPr>
        <w:tc>
          <w:tcPr>
            <w:tcW w:w="2260" w:type="dxa"/>
            <w:tcBorders>
              <w:top w:val="nil"/>
              <w:left w:val="single" w:sz="12" w:space="0" w:color="auto"/>
              <w:bottom w:val="nil"/>
              <w:right w:val="nil"/>
            </w:tcBorders>
            <w:shd w:val="clear" w:color="000000" w:fill="E2EFDA"/>
            <w:noWrap/>
            <w:vAlign w:val="bottom"/>
            <w:hideMark/>
          </w:tcPr>
          <w:p w14:paraId="12D972A2" w14:textId="77777777" w:rsidR="00DE75B1" w:rsidRPr="00DE75B1" w:rsidRDefault="00DE75B1" w:rsidP="00DE75B1">
            <w:pPr>
              <w:spacing w:after="0" w:line="240" w:lineRule="auto"/>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Laborales</w:t>
            </w:r>
          </w:p>
        </w:tc>
        <w:tc>
          <w:tcPr>
            <w:tcW w:w="1720" w:type="dxa"/>
            <w:tcBorders>
              <w:top w:val="nil"/>
              <w:left w:val="nil"/>
              <w:bottom w:val="nil"/>
              <w:right w:val="nil"/>
            </w:tcBorders>
            <w:shd w:val="clear" w:color="000000" w:fill="E2EFDA"/>
            <w:vAlign w:val="center"/>
            <w:hideMark/>
          </w:tcPr>
          <w:p w14:paraId="3B0F5CAF"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7.240</w:t>
            </w:r>
          </w:p>
        </w:tc>
        <w:tc>
          <w:tcPr>
            <w:tcW w:w="1280" w:type="dxa"/>
            <w:tcBorders>
              <w:top w:val="nil"/>
              <w:left w:val="nil"/>
              <w:bottom w:val="nil"/>
              <w:right w:val="nil"/>
            </w:tcBorders>
            <w:shd w:val="clear" w:color="000000" w:fill="E2EFDA"/>
            <w:vAlign w:val="center"/>
            <w:hideMark/>
          </w:tcPr>
          <w:p w14:paraId="57638961"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c>
          <w:tcPr>
            <w:tcW w:w="1280" w:type="dxa"/>
            <w:tcBorders>
              <w:top w:val="nil"/>
              <w:left w:val="nil"/>
              <w:bottom w:val="nil"/>
              <w:right w:val="nil"/>
            </w:tcBorders>
            <w:shd w:val="clear" w:color="000000" w:fill="E2EFDA"/>
            <w:vAlign w:val="center"/>
            <w:hideMark/>
          </w:tcPr>
          <w:p w14:paraId="209A25FB"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c>
          <w:tcPr>
            <w:tcW w:w="1160" w:type="dxa"/>
            <w:tcBorders>
              <w:top w:val="nil"/>
              <w:left w:val="nil"/>
              <w:bottom w:val="nil"/>
              <w:right w:val="nil"/>
            </w:tcBorders>
            <w:shd w:val="clear" w:color="000000" w:fill="E2EFDA"/>
            <w:vAlign w:val="center"/>
            <w:hideMark/>
          </w:tcPr>
          <w:p w14:paraId="54AFDC8F"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 </w:t>
            </w:r>
          </w:p>
        </w:tc>
        <w:tc>
          <w:tcPr>
            <w:tcW w:w="620" w:type="dxa"/>
            <w:tcBorders>
              <w:top w:val="nil"/>
              <w:left w:val="nil"/>
              <w:bottom w:val="nil"/>
              <w:right w:val="single" w:sz="12" w:space="0" w:color="auto"/>
            </w:tcBorders>
            <w:shd w:val="clear" w:color="000000" w:fill="E2EFDA"/>
            <w:noWrap/>
            <w:vAlign w:val="bottom"/>
            <w:hideMark/>
          </w:tcPr>
          <w:p w14:paraId="79AD33A3" w14:textId="77777777" w:rsidR="00DE75B1" w:rsidRPr="00DE75B1" w:rsidRDefault="00DE75B1" w:rsidP="00DE75B1">
            <w:pPr>
              <w:spacing w:after="0" w:line="240" w:lineRule="auto"/>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 </w:t>
            </w:r>
          </w:p>
        </w:tc>
      </w:tr>
      <w:tr w:rsidR="00DE75B1" w:rsidRPr="00DE75B1" w14:paraId="6B6CA99A" w14:textId="77777777" w:rsidTr="003D53F5">
        <w:trPr>
          <w:trHeight w:val="360"/>
          <w:jc w:val="center"/>
        </w:trPr>
        <w:tc>
          <w:tcPr>
            <w:tcW w:w="2260" w:type="dxa"/>
            <w:tcBorders>
              <w:top w:val="nil"/>
              <w:left w:val="single" w:sz="12" w:space="0" w:color="auto"/>
              <w:bottom w:val="nil"/>
              <w:right w:val="nil"/>
            </w:tcBorders>
            <w:shd w:val="clear" w:color="auto" w:fill="auto"/>
            <w:noWrap/>
            <w:vAlign w:val="bottom"/>
            <w:hideMark/>
          </w:tcPr>
          <w:p w14:paraId="773784B1" w14:textId="77777777" w:rsidR="00DE75B1" w:rsidRPr="00DE75B1" w:rsidRDefault="00DE75B1" w:rsidP="00DE75B1">
            <w:pPr>
              <w:spacing w:after="0" w:line="240" w:lineRule="auto"/>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Prestadores de servicios de salud</w:t>
            </w:r>
          </w:p>
        </w:tc>
        <w:tc>
          <w:tcPr>
            <w:tcW w:w="1720" w:type="dxa"/>
            <w:tcBorders>
              <w:top w:val="nil"/>
              <w:left w:val="nil"/>
              <w:bottom w:val="nil"/>
              <w:right w:val="nil"/>
            </w:tcBorders>
            <w:shd w:val="clear" w:color="auto" w:fill="auto"/>
            <w:noWrap/>
            <w:vAlign w:val="bottom"/>
            <w:hideMark/>
          </w:tcPr>
          <w:p w14:paraId="27EA6E24"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2.778.826</w:t>
            </w:r>
          </w:p>
        </w:tc>
        <w:tc>
          <w:tcPr>
            <w:tcW w:w="1280" w:type="dxa"/>
            <w:tcBorders>
              <w:top w:val="nil"/>
              <w:left w:val="nil"/>
              <w:bottom w:val="nil"/>
              <w:right w:val="nil"/>
            </w:tcBorders>
            <w:shd w:val="clear" w:color="auto" w:fill="auto"/>
            <w:vAlign w:val="center"/>
            <w:hideMark/>
          </w:tcPr>
          <w:p w14:paraId="67902E06"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808.930</w:t>
            </w:r>
          </w:p>
        </w:tc>
        <w:tc>
          <w:tcPr>
            <w:tcW w:w="1280" w:type="dxa"/>
            <w:tcBorders>
              <w:top w:val="nil"/>
              <w:left w:val="nil"/>
              <w:bottom w:val="nil"/>
              <w:right w:val="nil"/>
            </w:tcBorders>
            <w:shd w:val="clear" w:color="auto" w:fill="auto"/>
            <w:vAlign w:val="center"/>
            <w:hideMark/>
          </w:tcPr>
          <w:p w14:paraId="214278F1"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29%</w:t>
            </w:r>
          </w:p>
        </w:tc>
        <w:tc>
          <w:tcPr>
            <w:tcW w:w="1160" w:type="dxa"/>
            <w:tcBorders>
              <w:top w:val="nil"/>
              <w:left w:val="nil"/>
              <w:bottom w:val="nil"/>
              <w:right w:val="nil"/>
            </w:tcBorders>
            <w:shd w:val="clear" w:color="auto" w:fill="auto"/>
            <w:vAlign w:val="center"/>
            <w:hideMark/>
          </w:tcPr>
          <w:p w14:paraId="0E268A73"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c>
          <w:tcPr>
            <w:tcW w:w="620" w:type="dxa"/>
            <w:tcBorders>
              <w:top w:val="nil"/>
              <w:left w:val="nil"/>
              <w:bottom w:val="nil"/>
              <w:right w:val="single" w:sz="12" w:space="0" w:color="auto"/>
            </w:tcBorders>
            <w:shd w:val="clear" w:color="auto" w:fill="auto"/>
            <w:noWrap/>
            <w:vAlign w:val="bottom"/>
            <w:hideMark/>
          </w:tcPr>
          <w:p w14:paraId="779A0988"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r>
      <w:tr w:rsidR="00DE75B1" w:rsidRPr="00DE75B1" w14:paraId="7FCAA497" w14:textId="77777777" w:rsidTr="00BB6EF9">
        <w:trPr>
          <w:trHeight w:val="290"/>
          <w:jc w:val="center"/>
        </w:trPr>
        <w:tc>
          <w:tcPr>
            <w:tcW w:w="2260" w:type="dxa"/>
            <w:tcBorders>
              <w:top w:val="nil"/>
              <w:left w:val="single" w:sz="12" w:space="0" w:color="auto"/>
              <w:bottom w:val="nil"/>
              <w:right w:val="nil"/>
            </w:tcBorders>
            <w:shd w:val="clear" w:color="000000" w:fill="E2EFDA"/>
            <w:noWrap/>
            <w:vAlign w:val="bottom"/>
            <w:hideMark/>
          </w:tcPr>
          <w:p w14:paraId="42B37B3F" w14:textId="77777777" w:rsidR="00DE75B1" w:rsidRPr="00DE75B1" w:rsidRDefault="00DE75B1" w:rsidP="00DE75B1">
            <w:pPr>
              <w:spacing w:after="0" w:line="240" w:lineRule="auto"/>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Otras acreencias oportunas</w:t>
            </w:r>
          </w:p>
        </w:tc>
        <w:tc>
          <w:tcPr>
            <w:tcW w:w="1720" w:type="dxa"/>
            <w:tcBorders>
              <w:top w:val="nil"/>
              <w:left w:val="nil"/>
              <w:bottom w:val="nil"/>
              <w:right w:val="nil"/>
            </w:tcBorders>
            <w:shd w:val="clear" w:color="000000" w:fill="E2EFDA"/>
            <w:noWrap/>
            <w:vAlign w:val="bottom"/>
            <w:hideMark/>
          </w:tcPr>
          <w:p w14:paraId="7A8BF4ED"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5.810.985</w:t>
            </w:r>
          </w:p>
        </w:tc>
        <w:tc>
          <w:tcPr>
            <w:tcW w:w="1280" w:type="dxa"/>
            <w:tcBorders>
              <w:top w:val="nil"/>
              <w:left w:val="nil"/>
              <w:bottom w:val="nil"/>
              <w:right w:val="nil"/>
            </w:tcBorders>
            <w:shd w:val="clear" w:color="000000" w:fill="E2EFDA"/>
            <w:vAlign w:val="center"/>
            <w:hideMark/>
          </w:tcPr>
          <w:p w14:paraId="66402E84"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515.981</w:t>
            </w:r>
          </w:p>
        </w:tc>
        <w:tc>
          <w:tcPr>
            <w:tcW w:w="1280" w:type="dxa"/>
            <w:tcBorders>
              <w:top w:val="nil"/>
              <w:left w:val="nil"/>
              <w:bottom w:val="nil"/>
              <w:right w:val="nil"/>
            </w:tcBorders>
            <w:shd w:val="clear" w:color="000000" w:fill="E2EFDA"/>
            <w:vAlign w:val="center"/>
            <w:hideMark/>
          </w:tcPr>
          <w:p w14:paraId="4745790F"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9%</w:t>
            </w:r>
          </w:p>
        </w:tc>
        <w:tc>
          <w:tcPr>
            <w:tcW w:w="1160" w:type="dxa"/>
            <w:tcBorders>
              <w:top w:val="nil"/>
              <w:left w:val="nil"/>
              <w:bottom w:val="nil"/>
              <w:right w:val="nil"/>
            </w:tcBorders>
            <w:shd w:val="clear" w:color="000000" w:fill="E2EFDA"/>
            <w:vAlign w:val="center"/>
            <w:hideMark/>
          </w:tcPr>
          <w:p w14:paraId="4F421EFF"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c>
          <w:tcPr>
            <w:tcW w:w="620" w:type="dxa"/>
            <w:tcBorders>
              <w:top w:val="nil"/>
              <w:left w:val="nil"/>
              <w:bottom w:val="nil"/>
              <w:right w:val="single" w:sz="12" w:space="0" w:color="auto"/>
            </w:tcBorders>
            <w:shd w:val="clear" w:color="000000" w:fill="E2EFDA"/>
            <w:noWrap/>
            <w:vAlign w:val="bottom"/>
            <w:hideMark/>
          </w:tcPr>
          <w:p w14:paraId="36AC01B7"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r>
      <w:tr w:rsidR="00DE75B1" w:rsidRPr="00DE75B1" w14:paraId="6D669FBB" w14:textId="77777777" w:rsidTr="00BB6EF9">
        <w:trPr>
          <w:trHeight w:val="290"/>
          <w:jc w:val="center"/>
        </w:trPr>
        <w:tc>
          <w:tcPr>
            <w:tcW w:w="2260" w:type="dxa"/>
            <w:tcBorders>
              <w:top w:val="nil"/>
              <w:left w:val="single" w:sz="12" w:space="0" w:color="auto"/>
              <w:bottom w:val="nil"/>
              <w:right w:val="nil"/>
            </w:tcBorders>
            <w:shd w:val="clear" w:color="auto" w:fill="auto"/>
            <w:noWrap/>
            <w:vAlign w:val="bottom"/>
            <w:hideMark/>
          </w:tcPr>
          <w:p w14:paraId="1C193044" w14:textId="77777777" w:rsidR="00DE75B1" w:rsidRPr="00DE75B1" w:rsidRDefault="00DE75B1" w:rsidP="00DE75B1">
            <w:pPr>
              <w:spacing w:after="0" w:line="240" w:lineRule="auto"/>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Acreencias extemporáneas</w:t>
            </w:r>
          </w:p>
        </w:tc>
        <w:tc>
          <w:tcPr>
            <w:tcW w:w="1720" w:type="dxa"/>
            <w:tcBorders>
              <w:top w:val="nil"/>
              <w:left w:val="nil"/>
              <w:bottom w:val="nil"/>
              <w:right w:val="nil"/>
            </w:tcBorders>
            <w:shd w:val="clear" w:color="auto" w:fill="auto"/>
            <w:noWrap/>
            <w:vAlign w:val="bottom"/>
            <w:hideMark/>
          </w:tcPr>
          <w:p w14:paraId="0D5D5A7A"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2.822</w:t>
            </w:r>
          </w:p>
        </w:tc>
        <w:tc>
          <w:tcPr>
            <w:tcW w:w="1280" w:type="dxa"/>
            <w:tcBorders>
              <w:top w:val="nil"/>
              <w:left w:val="nil"/>
              <w:bottom w:val="nil"/>
              <w:right w:val="nil"/>
            </w:tcBorders>
            <w:shd w:val="clear" w:color="auto" w:fill="auto"/>
            <w:vAlign w:val="center"/>
            <w:hideMark/>
          </w:tcPr>
          <w:p w14:paraId="5164AF85"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1.863</w:t>
            </w:r>
          </w:p>
        </w:tc>
        <w:tc>
          <w:tcPr>
            <w:tcW w:w="1280" w:type="dxa"/>
            <w:tcBorders>
              <w:top w:val="nil"/>
              <w:left w:val="nil"/>
              <w:bottom w:val="nil"/>
              <w:right w:val="nil"/>
            </w:tcBorders>
            <w:shd w:val="clear" w:color="auto" w:fill="auto"/>
            <w:vAlign w:val="center"/>
            <w:hideMark/>
          </w:tcPr>
          <w:p w14:paraId="1EAE59CF"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66%</w:t>
            </w:r>
          </w:p>
        </w:tc>
        <w:tc>
          <w:tcPr>
            <w:tcW w:w="1160" w:type="dxa"/>
            <w:tcBorders>
              <w:top w:val="nil"/>
              <w:left w:val="nil"/>
              <w:bottom w:val="nil"/>
              <w:right w:val="nil"/>
            </w:tcBorders>
            <w:shd w:val="clear" w:color="auto" w:fill="auto"/>
            <w:vAlign w:val="center"/>
            <w:hideMark/>
          </w:tcPr>
          <w:p w14:paraId="21B82188"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1.412</w:t>
            </w:r>
          </w:p>
        </w:tc>
        <w:tc>
          <w:tcPr>
            <w:tcW w:w="620" w:type="dxa"/>
            <w:tcBorders>
              <w:top w:val="nil"/>
              <w:left w:val="nil"/>
              <w:bottom w:val="nil"/>
              <w:right w:val="single" w:sz="12" w:space="0" w:color="auto"/>
            </w:tcBorders>
            <w:shd w:val="clear" w:color="auto" w:fill="auto"/>
            <w:noWrap/>
            <w:vAlign w:val="bottom"/>
            <w:hideMark/>
          </w:tcPr>
          <w:p w14:paraId="2FEB3540"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76%</w:t>
            </w:r>
          </w:p>
        </w:tc>
      </w:tr>
      <w:tr w:rsidR="00DE75B1" w:rsidRPr="00DE75B1" w14:paraId="3137A70A" w14:textId="77777777" w:rsidTr="003D53F5">
        <w:trPr>
          <w:trHeight w:val="104"/>
          <w:jc w:val="center"/>
        </w:trPr>
        <w:tc>
          <w:tcPr>
            <w:tcW w:w="2260" w:type="dxa"/>
            <w:tcBorders>
              <w:top w:val="nil"/>
              <w:left w:val="single" w:sz="12" w:space="0" w:color="auto"/>
              <w:bottom w:val="single" w:sz="12" w:space="0" w:color="auto"/>
              <w:right w:val="nil"/>
            </w:tcBorders>
            <w:shd w:val="clear" w:color="000000" w:fill="A9D08E"/>
            <w:noWrap/>
            <w:vAlign w:val="bottom"/>
            <w:hideMark/>
          </w:tcPr>
          <w:p w14:paraId="150AADB7" w14:textId="77777777" w:rsidR="00DE75B1" w:rsidRPr="00DE75B1" w:rsidRDefault="00DE75B1" w:rsidP="00DE75B1">
            <w:pPr>
              <w:spacing w:after="0" w:line="240" w:lineRule="auto"/>
              <w:jc w:val="center"/>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Total</w:t>
            </w:r>
          </w:p>
        </w:tc>
        <w:tc>
          <w:tcPr>
            <w:tcW w:w="1720" w:type="dxa"/>
            <w:tcBorders>
              <w:top w:val="nil"/>
              <w:left w:val="nil"/>
              <w:bottom w:val="single" w:sz="12" w:space="0" w:color="auto"/>
              <w:right w:val="nil"/>
            </w:tcBorders>
            <w:shd w:val="clear" w:color="000000" w:fill="A9D08E"/>
            <w:noWrap/>
            <w:vAlign w:val="bottom"/>
            <w:hideMark/>
          </w:tcPr>
          <w:p w14:paraId="55B704CB" w14:textId="77777777" w:rsidR="00DE75B1" w:rsidRPr="00DE75B1" w:rsidRDefault="00DE75B1" w:rsidP="00DE75B1">
            <w:pPr>
              <w:spacing w:after="0" w:line="240" w:lineRule="auto"/>
              <w:jc w:val="right"/>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8.616.945</w:t>
            </w:r>
          </w:p>
        </w:tc>
        <w:tc>
          <w:tcPr>
            <w:tcW w:w="1280" w:type="dxa"/>
            <w:tcBorders>
              <w:top w:val="nil"/>
              <w:left w:val="nil"/>
              <w:bottom w:val="single" w:sz="12" w:space="0" w:color="auto"/>
              <w:right w:val="nil"/>
            </w:tcBorders>
            <w:shd w:val="clear" w:color="000000" w:fill="A9D08E"/>
            <w:noWrap/>
            <w:vAlign w:val="bottom"/>
            <w:hideMark/>
          </w:tcPr>
          <w:p w14:paraId="693FCC3D" w14:textId="77777777" w:rsidR="00DE75B1" w:rsidRPr="00DE75B1" w:rsidRDefault="00DE75B1" w:rsidP="00DE75B1">
            <w:pPr>
              <w:spacing w:after="0" w:line="240" w:lineRule="auto"/>
              <w:jc w:val="right"/>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1.335.871</w:t>
            </w:r>
          </w:p>
        </w:tc>
        <w:tc>
          <w:tcPr>
            <w:tcW w:w="1280" w:type="dxa"/>
            <w:tcBorders>
              <w:top w:val="nil"/>
              <w:left w:val="nil"/>
              <w:bottom w:val="single" w:sz="12" w:space="0" w:color="auto"/>
              <w:right w:val="nil"/>
            </w:tcBorders>
            <w:shd w:val="clear" w:color="000000" w:fill="A9D08E"/>
            <w:noWrap/>
            <w:vAlign w:val="bottom"/>
            <w:hideMark/>
          </w:tcPr>
          <w:p w14:paraId="4F8B40F6" w14:textId="77777777" w:rsidR="00DE75B1" w:rsidRPr="00DE75B1" w:rsidRDefault="00DE75B1" w:rsidP="00DE75B1">
            <w:pPr>
              <w:spacing w:after="0" w:line="240" w:lineRule="auto"/>
              <w:jc w:val="right"/>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16%</w:t>
            </w:r>
          </w:p>
        </w:tc>
        <w:tc>
          <w:tcPr>
            <w:tcW w:w="1160" w:type="dxa"/>
            <w:tcBorders>
              <w:top w:val="nil"/>
              <w:left w:val="nil"/>
              <w:bottom w:val="single" w:sz="12" w:space="0" w:color="auto"/>
              <w:right w:val="nil"/>
            </w:tcBorders>
            <w:shd w:val="clear" w:color="000000" w:fill="A9D08E"/>
            <w:noWrap/>
            <w:vAlign w:val="bottom"/>
            <w:hideMark/>
          </w:tcPr>
          <w:p w14:paraId="2C48006D" w14:textId="77777777" w:rsidR="00DE75B1" w:rsidRPr="00DE75B1" w:rsidRDefault="00DE75B1" w:rsidP="00DE75B1">
            <w:pPr>
              <w:spacing w:after="0" w:line="240" w:lineRule="auto"/>
              <w:jc w:val="right"/>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8.800</w:t>
            </w:r>
          </w:p>
        </w:tc>
        <w:tc>
          <w:tcPr>
            <w:tcW w:w="620" w:type="dxa"/>
            <w:tcBorders>
              <w:top w:val="nil"/>
              <w:left w:val="nil"/>
              <w:bottom w:val="single" w:sz="12" w:space="0" w:color="auto"/>
              <w:right w:val="single" w:sz="12" w:space="0" w:color="auto"/>
            </w:tcBorders>
            <w:shd w:val="clear" w:color="000000" w:fill="A9D08E"/>
            <w:noWrap/>
            <w:vAlign w:val="bottom"/>
            <w:hideMark/>
          </w:tcPr>
          <w:p w14:paraId="61450E04" w14:textId="77777777" w:rsidR="00DE75B1" w:rsidRPr="00DE75B1" w:rsidRDefault="00DE75B1" w:rsidP="00DE75B1">
            <w:pPr>
              <w:spacing w:after="0" w:line="240" w:lineRule="auto"/>
              <w:jc w:val="right"/>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0,7%</w:t>
            </w:r>
          </w:p>
        </w:tc>
      </w:tr>
    </w:tbl>
    <w:p w14:paraId="3F100093" w14:textId="77777777" w:rsidR="00DE75B1" w:rsidRPr="00DE75B1" w:rsidRDefault="00DE75B1" w:rsidP="00DE75B1">
      <w:pPr>
        <w:spacing w:after="0" w:line="240" w:lineRule="auto"/>
        <w:jc w:val="center"/>
        <w:rPr>
          <w:rFonts w:ascii="Arial" w:hAnsi="Arial" w:cs="Arial"/>
          <w:sz w:val="16"/>
          <w:szCs w:val="16"/>
          <w:lang w:eastAsia="es-CO"/>
        </w:rPr>
      </w:pPr>
      <w:r w:rsidRPr="00DE75B1">
        <w:rPr>
          <w:rFonts w:ascii="Arial" w:hAnsi="Arial" w:cs="Arial"/>
          <w:sz w:val="16"/>
          <w:szCs w:val="16"/>
          <w:lang w:eastAsia="es-CO"/>
        </w:rPr>
        <w:t>Fuente: Delegada de Medidas Especiales SNS</w:t>
      </w:r>
    </w:p>
    <w:p w14:paraId="172D1F4B" w14:textId="77777777" w:rsidR="00F75836" w:rsidRDefault="00F75836" w:rsidP="00DE75B1">
      <w:pPr>
        <w:spacing w:after="0" w:line="240" w:lineRule="auto"/>
        <w:jc w:val="both"/>
        <w:rPr>
          <w:rFonts w:ascii="Arial" w:hAnsi="Arial" w:cs="Arial"/>
          <w:lang w:val="es-ES" w:eastAsia="es-CO"/>
        </w:rPr>
      </w:pPr>
    </w:p>
    <w:p w14:paraId="79AEE28F" w14:textId="554D7277" w:rsidR="00DE75B1" w:rsidRPr="00DE75B1" w:rsidRDefault="00DE75B1" w:rsidP="00DE75B1">
      <w:pPr>
        <w:spacing w:after="0" w:line="240" w:lineRule="auto"/>
        <w:jc w:val="both"/>
        <w:rPr>
          <w:rFonts w:ascii="Arial" w:hAnsi="Arial" w:cs="Arial"/>
          <w:lang w:val="es-ES" w:eastAsia="es-CO"/>
        </w:rPr>
      </w:pPr>
      <w:r w:rsidRPr="00DE75B1">
        <w:rPr>
          <w:rFonts w:ascii="Arial" w:hAnsi="Arial" w:cs="Arial"/>
          <w:lang w:val="es-ES" w:eastAsia="es-CO"/>
        </w:rPr>
        <w:t xml:space="preserve">Tal como se puede observar en la tabla anterior, Cafesalud EPS en liquidación ha recibido reclamaciones por </w:t>
      </w:r>
      <w:r>
        <w:rPr>
          <w:rFonts w:ascii="Arial" w:hAnsi="Arial" w:cs="Arial"/>
          <w:lang w:val="es-ES" w:eastAsia="es-CO"/>
        </w:rPr>
        <w:t>$</w:t>
      </w:r>
      <w:r w:rsidRPr="00DE75B1">
        <w:rPr>
          <w:rFonts w:ascii="Arial" w:hAnsi="Arial" w:cs="Arial"/>
          <w:lang w:val="es-ES" w:eastAsia="es-CO"/>
        </w:rPr>
        <w:t xml:space="preserve">8.616.945 millones, de los cuales reconoció </w:t>
      </w:r>
      <w:r>
        <w:rPr>
          <w:rFonts w:ascii="Arial" w:hAnsi="Arial" w:cs="Arial"/>
          <w:lang w:val="es-ES" w:eastAsia="es-CO"/>
        </w:rPr>
        <w:t>$</w:t>
      </w:r>
      <w:r w:rsidRPr="00DE75B1">
        <w:rPr>
          <w:rFonts w:ascii="Arial" w:hAnsi="Arial" w:cs="Arial"/>
          <w:lang w:val="es-ES" w:eastAsia="es-CO"/>
        </w:rPr>
        <w:t xml:space="preserve">1.335.871 millones, esto es el 16%, y ha pagado </w:t>
      </w:r>
      <w:r>
        <w:rPr>
          <w:rFonts w:ascii="Arial" w:hAnsi="Arial" w:cs="Arial"/>
          <w:lang w:val="es-ES" w:eastAsia="es-CO"/>
        </w:rPr>
        <w:t>$</w:t>
      </w:r>
      <w:r w:rsidRPr="00DE75B1">
        <w:rPr>
          <w:rFonts w:ascii="Arial" w:hAnsi="Arial" w:cs="Arial"/>
          <w:lang w:val="es-ES" w:eastAsia="es-CO"/>
        </w:rPr>
        <w:t>8.800 millones. Lo anterior</w:t>
      </w:r>
      <w:r>
        <w:rPr>
          <w:rFonts w:ascii="Arial" w:hAnsi="Arial" w:cs="Arial"/>
          <w:lang w:val="es-ES" w:eastAsia="es-CO"/>
        </w:rPr>
        <w:t>,</w:t>
      </w:r>
      <w:r w:rsidRPr="00DE75B1">
        <w:rPr>
          <w:rFonts w:ascii="Arial" w:hAnsi="Arial" w:cs="Arial"/>
          <w:lang w:val="es-ES" w:eastAsia="es-CO"/>
        </w:rPr>
        <w:t xml:space="preserve"> permite inferir que aún no inicia el pago de acreencias de clase B), o a Instituciones Prestadoras de Servicios de Salud (IPS).</w:t>
      </w:r>
    </w:p>
    <w:p w14:paraId="45368F6B" w14:textId="77777777" w:rsidR="00DE75B1" w:rsidRPr="00DE75B1" w:rsidRDefault="00DE75B1" w:rsidP="00DE75B1">
      <w:pPr>
        <w:spacing w:after="0" w:line="240" w:lineRule="auto"/>
        <w:jc w:val="both"/>
        <w:rPr>
          <w:rFonts w:ascii="Arial" w:hAnsi="Arial" w:cs="Arial"/>
          <w:lang w:val="es-ES" w:eastAsia="es-CO"/>
        </w:rPr>
      </w:pPr>
    </w:p>
    <w:p w14:paraId="16ABC008" w14:textId="7DC4F60D" w:rsidR="00DE75B1" w:rsidRPr="00DE75B1" w:rsidRDefault="00DE75B1" w:rsidP="005D37EC">
      <w:pPr>
        <w:spacing w:after="0" w:line="240" w:lineRule="auto"/>
        <w:jc w:val="both"/>
        <w:rPr>
          <w:rFonts w:ascii="Arial" w:hAnsi="Arial" w:cs="Arial"/>
          <w:lang w:val="es-ES" w:eastAsia="es-CO"/>
        </w:rPr>
      </w:pPr>
      <w:r w:rsidRPr="00DE75B1">
        <w:rPr>
          <w:rFonts w:ascii="Arial" w:hAnsi="Arial" w:cs="Arial"/>
          <w:lang w:val="es-ES" w:eastAsia="es-CO"/>
        </w:rPr>
        <w:lastRenderedPageBreak/>
        <w:t>Para el pago de acreencias y la continuidad del proceso liquidatorio, la EPS cuenta con los siguientes recursos financieros, sobre los cuales el Agente Liquidador realiza proceso de depuración, conciliación, recaudo y enajenación</w:t>
      </w:r>
      <w:r w:rsidR="00FF3790">
        <w:rPr>
          <w:rFonts w:ascii="Arial" w:hAnsi="Arial" w:cs="Arial"/>
          <w:lang w:val="es-ES" w:eastAsia="es-CO"/>
        </w:rPr>
        <w:t>:</w:t>
      </w:r>
    </w:p>
    <w:p w14:paraId="55F2C254" w14:textId="77777777" w:rsidR="00DE75B1" w:rsidRPr="00DE75B1" w:rsidRDefault="00DE75B1" w:rsidP="00DE75B1">
      <w:pPr>
        <w:spacing w:after="0" w:line="240" w:lineRule="auto"/>
        <w:jc w:val="both"/>
        <w:rPr>
          <w:rFonts w:ascii="Arial" w:hAnsi="Arial" w:cs="Arial"/>
          <w:lang w:val="es-ES" w:eastAsia="es-CO"/>
        </w:rPr>
      </w:pPr>
    </w:p>
    <w:p w14:paraId="5D15FF09" w14:textId="77777777" w:rsidR="00DE75B1" w:rsidRPr="00DE75B1" w:rsidRDefault="00DE75B1" w:rsidP="00DE75B1">
      <w:pPr>
        <w:spacing w:after="0" w:line="240" w:lineRule="auto"/>
        <w:jc w:val="center"/>
        <w:rPr>
          <w:rFonts w:ascii="Arial" w:hAnsi="Arial" w:cs="Arial"/>
          <w:b/>
          <w:bCs/>
          <w:lang w:val="es-ES" w:eastAsia="es-CO"/>
        </w:rPr>
      </w:pPr>
      <w:r w:rsidRPr="00DE75B1">
        <w:rPr>
          <w:rFonts w:ascii="Arial" w:hAnsi="Arial" w:cs="Arial"/>
          <w:b/>
          <w:bCs/>
          <w:lang w:val="es-ES" w:eastAsia="es-CO"/>
        </w:rPr>
        <w:t>Activos disponibles para recaudo y enajenación</w:t>
      </w:r>
    </w:p>
    <w:p w14:paraId="2FE5D30A" w14:textId="3586CD11" w:rsidR="00DE75B1" w:rsidRPr="003B7799" w:rsidRDefault="00DE75B1" w:rsidP="00DE75B1">
      <w:pPr>
        <w:spacing w:after="0" w:line="240" w:lineRule="auto"/>
        <w:jc w:val="center"/>
        <w:rPr>
          <w:rFonts w:ascii="Arial" w:hAnsi="Arial" w:cs="Arial"/>
          <w:b/>
          <w:bCs/>
          <w:sz w:val="16"/>
          <w:szCs w:val="16"/>
          <w:lang w:val="es-ES" w:eastAsia="es-CO"/>
        </w:rPr>
      </w:pPr>
      <w:r w:rsidRPr="00263C0B">
        <w:rPr>
          <w:rFonts w:ascii="Arial" w:hAnsi="Arial" w:cs="Arial"/>
          <w:b/>
          <w:bCs/>
          <w:sz w:val="16"/>
          <w:szCs w:val="16"/>
          <w:lang w:val="es-ES" w:eastAsia="es-CO"/>
        </w:rPr>
        <w:t xml:space="preserve">                                                                                                                             </w:t>
      </w:r>
      <w:r w:rsidRPr="003B7799">
        <w:rPr>
          <w:rFonts w:ascii="Arial" w:hAnsi="Arial" w:cs="Arial"/>
          <w:b/>
          <w:bCs/>
          <w:sz w:val="16"/>
          <w:szCs w:val="16"/>
          <w:lang w:val="es-ES" w:eastAsia="es-CO"/>
        </w:rPr>
        <w:t>(Millones de pesos)</w:t>
      </w:r>
    </w:p>
    <w:tbl>
      <w:tblPr>
        <w:tblW w:w="6421" w:type="dxa"/>
        <w:jc w:val="center"/>
        <w:tblCellMar>
          <w:left w:w="70" w:type="dxa"/>
          <w:right w:w="70" w:type="dxa"/>
        </w:tblCellMar>
        <w:tblLook w:val="04A0" w:firstRow="1" w:lastRow="0" w:firstColumn="1" w:lastColumn="0" w:noHBand="0" w:noVBand="1"/>
      </w:tblPr>
      <w:tblGrid>
        <w:gridCol w:w="2486"/>
        <w:gridCol w:w="2189"/>
        <w:gridCol w:w="1746"/>
      </w:tblGrid>
      <w:tr w:rsidR="00DE75B1" w:rsidRPr="00DE75B1" w14:paraId="15DAE16E" w14:textId="77777777" w:rsidTr="00F75836">
        <w:trPr>
          <w:trHeight w:val="411"/>
          <w:jc w:val="center"/>
        </w:trPr>
        <w:tc>
          <w:tcPr>
            <w:tcW w:w="2486" w:type="dxa"/>
            <w:tcBorders>
              <w:top w:val="single" w:sz="12" w:space="0" w:color="auto"/>
              <w:left w:val="single" w:sz="12" w:space="0" w:color="auto"/>
              <w:bottom w:val="nil"/>
              <w:right w:val="nil"/>
            </w:tcBorders>
            <w:shd w:val="clear" w:color="000000" w:fill="BDD7EE"/>
            <w:noWrap/>
            <w:vAlign w:val="bottom"/>
            <w:hideMark/>
          </w:tcPr>
          <w:p w14:paraId="1EDDE726" w14:textId="77777777" w:rsidR="00DE75B1" w:rsidRPr="00DE75B1" w:rsidRDefault="00DE75B1" w:rsidP="00DE75B1">
            <w:pPr>
              <w:spacing w:after="0" w:line="240" w:lineRule="auto"/>
              <w:jc w:val="center"/>
              <w:rPr>
                <w:rFonts w:ascii="Calibri" w:eastAsia="Times New Roman" w:hAnsi="Calibri" w:cs="Calibri"/>
                <w:b/>
                <w:bCs/>
                <w:color w:val="000000"/>
                <w:sz w:val="20"/>
                <w:szCs w:val="20"/>
                <w:lang w:eastAsia="es-CO"/>
              </w:rPr>
            </w:pPr>
            <w:r w:rsidRPr="00DE75B1">
              <w:rPr>
                <w:rFonts w:ascii="Calibri" w:eastAsia="Times New Roman" w:hAnsi="Calibri" w:cs="Calibri"/>
                <w:b/>
                <w:bCs/>
                <w:color w:val="000000"/>
                <w:sz w:val="20"/>
                <w:szCs w:val="20"/>
                <w:lang w:eastAsia="es-CO"/>
              </w:rPr>
              <w:t>Activo</w:t>
            </w:r>
          </w:p>
        </w:tc>
        <w:tc>
          <w:tcPr>
            <w:tcW w:w="2189" w:type="dxa"/>
            <w:tcBorders>
              <w:top w:val="single" w:sz="12" w:space="0" w:color="auto"/>
              <w:left w:val="nil"/>
              <w:bottom w:val="nil"/>
              <w:right w:val="nil"/>
            </w:tcBorders>
            <w:shd w:val="clear" w:color="000000" w:fill="BDD7EE"/>
            <w:noWrap/>
            <w:vAlign w:val="bottom"/>
            <w:hideMark/>
          </w:tcPr>
          <w:p w14:paraId="41F95F57" w14:textId="276A391C" w:rsidR="00DE75B1" w:rsidRPr="00DE75B1" w:rsidRDefault="00263C0B" w:rsidP="00DE75B1">
            <w:pPr>
              <w:spacing w:after="0" w:line="240" w:lineRule="auto"/>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Valor</w:t>
            </w:r>
            <w:r w:rsidRPr="00DE75B1">
              <w:rPr>
                <w:rFonts w:ascii="Calibri" w:eastAsia="Times New Roman" w:hAnsi="Calibri" w:cs="Calibri"/>
                <w:b/>
                <w:bCs/>
                <w:color w:val="000000"/>
                <w:sz w:val="20"/>
                <w:szCs w:val="20"/>
                <w:lang w:eastAsia="es-CO"/>
              </w:rPr>
              <w:t xml:space="preserve"> </w:t>
            </w:r>
            <w:r w:rsidR="00DE75B1" w:rsidRPr="00DE75B1">
              <w:rPr>
                <w:rFonts w:ascii="Calibri" w:eastAsia="Times New Roman" w:hAnsi="Calibri" w:cs="Calibri"/>
                <w:b/>
                <w:bCs/>
                <w:color w:val="000000"/>
                <w:sz w:val="20"/>
                <w:szCs w:val="20"/>
                <w:lang w:eastAsia="es-CO"/>
              </w:rPr>
              <w:t>disponible</w:t>
            </w:r>
          </w:p>
        </w:tc>
        <w:tc>
          <w:tcPr>
            <w:tcW w:w="1746" w:type="dxa"/>
            <w:tcBorders>
              <w:top w:val="single" w:sz="12" w:space="0" w:color="auto"/>
              <w:left w:val="nil"/>
              <w:bottom w:val="nil"/>
              <w:right w:val="single" w:sz="12" w:space="0" w:color="auto"/>
            </w:tcBorders>
            <w:shd w:val="clear" w:color="000000" w:fill="BDD7EE"/>
            <w:noWrap/>
            <w:vAlign w:val="bottom"/>
            <w:hideMark/>
          </w:tcPr>
          <w:p w14:paraId="16CB71D6" w14:textId="77777777" w:rsidR="00DE75B1" w:rsidRPr="00DE75B1" w:rsidRDefault="00DE75B1" w:rsidP="00DE75B1">
            <w:pPr>
              <w:spacing w:after="0" w:line="240" w:lineRule="auto"/>
              <w:jc w:val="center"/>
              <w:rPr>
                <w:rFonts w:ascii="Calibri" w:eastAsia="Times New Roman" w:hAnsi="Calibri" w:cs="Calibri"/>
                <w:b/>
                <w:bCs/>
                <w:color w:val="000000"/>
                <w:sz w:val="20"/>
                <w:szCs w:val="20"/>
                <w:lang w:eastAsia="es-CO"/>
              </w:rPr>
            </w:pPr>
            <w:r w:rsidRPr="00DE75B1">
              <w:rPr>
                <w:rFonts w:ascii="Calibri" w:eastAsia="Times New Roman" w:hAnsi="Calibri" w:cs="Calibri"/>
                <w:b/>
                <w:bCs/>
                <w:color w:val="000000"/>
                <w:sz w:val="20"/>
                <w:szCs w:val="20"/>
                <w:lang w:eastAsia="es-CO"/>
              </w:rPr>
              <w:t>% disponible</w:t>
            </w:r>
          </w:p>
        </w:tc>
      </w:tr>
      <w:tr w:rsidR="00DE75B1" w:rsidRPr="00DE75B1" w14:paraId="67193E65" w14:textId="77777777" w:rsidTr="00F75836">
        <w:trPr>
          <w:trHeight w:val="399"/>
          <w:jc w:val="center"/>
        </w:trPr>
        <w:tc>
          <w:tcPr>
            <w:tcW w:w="2486" w:type="dxa"/>
            <w:tcBorders>
              <w:top w:val="nil"/>
              <w:left w:val="single" w:sz="12" w:space="0" w:color="auto"/>
              <w:bottom w:val="nil"/>
              <w:right w:val="nil"/>
            </w:tcBorders>
            <w:shd w:val="clear" w:color="000000" w:fill="E2EFDA"/>
            <w:noWrap/>
            <w:vAlign w:val="bottom"/>
            <w:hideMark/>
          </w:tcPr>
          <w:p w14:paraId="090705C4" w14:textId="77777777" w:rsidR="00DE75B1" w:rsidRPr="00DE75B1" w:rsidRDefault="00DE75B1" w:rsidP="00DE75B1">
            <w:pPr>
              <w:spacing w:after="0" w:line="240" w:lineRule="auto"/>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Disponible</w:t>
            </w:r>
          </w:p>
        </w:tc>
        <w:tc>
          <w:tcPr>
            <w:tcW w:w="2189" w:type="dxa"/>
            <w:tcBorders>
              <w:top w:val="nil"/>
              <w:left w:val="nil"/>
              <w:bottom w:val="nil"/>
              <w:right w:val="nil"/>
            </w:tcBorders>
            <w:shd w:val="clear" w:color="000000" w:fill="E2EFDA"/>
            <w:noWrap/>
            <w:vAlign w:val="bottom"/>
            <w:hideMark/>
          </w:tcPr>
          <w:p w14:paraId="6D74EAA5" w14:textId="77777777" w:rsidR="00DE75B1" w:rsidRPr="00DE75B1" w:rsidRDefault="00DE75B1" w:rsidP="00DE75B1">
            <w:pPr>
              <w:spacing w:after="0" w:line="240" w:lineRule="auto"/>
              <w:jc w:val="right"/>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62.205</w:t>
            </w:r>
          </w:p>
        </w:tc>
        <w:tc>
          <w:tcPr>
            <w:tcW w:w="1746" w:type="dxa"/>
            <w:tcBorders>
              <w:top w:val="nil"/>
              <w:left w:val="nil"/>
              <w:bottom w:val="nil"/>
              <w:right w:val="single" w:sz="12" w:space="0" w:color="auto"/>
            </w:tcBorders>
            <w:shd w:val="clear" w:color="000000" w:fill="E2EFDA"/>
            <w:noWrap/>
            <w:vAlign w:val="bottom"/>
            <w:hideMark/>
          </w:tcPr>
          <w:p w14:paraId="395AAFDB" w14:textId="77777777" w:rsidR="00DE75B1" w:rsidRPr="00DE75B1" w:rsidRDefault="00DE75B1" w:rsidP="00DE75B1">
            <w:pPr>
              <w:spacing w:after="0" w:line="240" w:lineRule="auto"/>
              <w:jc w:val="center"/>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4%</w:t>
            </w:r>
          </w:p>
        </w:tc>
      </w:tr>
      <w:tr w:rsidR="00DE75B1" w:rsidRPr="00DE75B1" w14:paraId="03CB49FA" w14:textId="77777777" w:rsidTr="00F75836">
        <w:trPr>
          <w:trHeight w:val="399"/>
          <w:jc w:val="center"/>
        </w:trPr>
        <w:tc>
          <w:tcPr>
            <w:tcW w:w="2486" w:type="dxa"/>
            <w:tcBorders>
              <w:top w:val="nil"/>
              <w:left w:val="single" w:sz="12" w:space="0" w:color="auto"/>
              <w:bottom w:val="nil"/>
              <w:right w:val="nil"/>
            </w:tcBorders>
            <w:shd w:val="clear" w:color="auto" w:fill="auto"/>
            <w:noWrap/>
            <w:vAlign w:val="bottom"/>
            <w:hideMark/>
          </w:tcPr>
          <w:p w14:paraId="4E7BA0BA" w14:textId="77777777" w:rsidR="00DE75B1" w:rsidRPr="00DE75B1" w:rsidRDefault="00DE75B1" w:rsidP="00DE75B1">
            <w:pPr>
              <w:spacing w:after="0" w:line="240" w:lineRule="auto"/>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Cuentas por cobrar</w:t>
            </w:r>
          </w:p>
        </w:tc>
        <w:tc>
          <w:tcPr>
            <w:tcW w:w="2189" w:type="dxa"/>
            <w:tcBorders>
              <w:top w:val="nil"/>
              <w:left w:val="nil"/>
              <w:bottom w:val="nil"/>
              <w:right w:val="nil"/>
            </w:tcBorders>
            <w:shd w:val="clear" w:color="auto" w:fill="auto"/>
            <w:vAlign w:val="center"/>
            <w:hideMark/>
          </w:tcPr>
          <w:p w14:paraId="77D1D8F5" w14:textId="607397C7" w:rsidR="00DE75B1" w:rsidRPr="00DE75B1" w:rsidRDefault="00F75836" w:rsidP="00DE75B1">
            <w:pPr>
              <w:spacing w:after="0" w:line="240" w:lineRule="auto"/>
              <w:ind w:firstLineChars="100" w:firstLine="200"/>
              <w:jc w:val="right"/>
              <w:rPr>
                <w:rFonts w:ascii="Calibri" w:eastAsia="Times New Roman" w:hAnsi="Calibri" w:cs="Calibri"/>
                <w:color w:val="000000"/>
                <w:sz w:val="20"/>
                <w:szCs w:val="20"/>
                <w:lang w:eastAsia="es-CO"/>
              </w:rPr>
            </w:pPr>
            <w:r>
              <w:rPr>
                <w:rFonts w:ascii="Calibri" w:eastAsia="Times New Roman" w:hAnsi="Calibri" w:cs="Calibri"/>
                <w:color w:val="000000"/>
                <w:sz w:val="20"/>
                <w:szCs w:val="20"/>
                <w:lang w:eastAsia="es-CO"/>
              </w:rPr>
              <w:t xml:space="preserve"> </w:t>
            </w:r>
            <w:r w:rsidR="00DE75B1" w:rsidRPr="00DE75B1">
              <w:rPr>
                <w:rFonts w:ascii="Calibri" w:eastAsia="Times New Roman" w:hAnsi="Calibri" w:cs="Calibri"/>
                <w:color w:val="000000"/>
                <w:sz w:val="20"/>
                <w:szCs w:val="20"/>
                <w:lang w:eastAsia="es-CO"/>
              </w:rPr>
              <w:t>1.408.315</w:t>
            </w:r>
          </w:p>
        </w:tc>
        <w:tc>
          <w:tcPr>
            <w:tcW w:w="1746" w:type="dxa"/>
            <w:tcBorders>
              <w:top w:val="nil"/>
              <w:left w:val="nil"/>
              <w:bottom w:val="nil"/>
              <w:right w:val="single" w:sz="12" w:space="0" w:color="auto"/>
            </w:tcBorders>
            <w:shd w:val="clear" w:color="auto" w:fill="auto"/>
            <w:vAlign w:val="center"/>
            <w:hideMark/>
          </w:tcPr>
          <w:p w14:paraId="487D2398" w14:textId="77777777" w:rsidR="00DE75B1" w:rsidRPr="00DE75B1" w:rsidRDefault="00DE75B1" w:rsidP="00DE75B1">
            <w:pPr>
              <w:spacing w:after="0" w:line="240" w:lineRule="auto"/>
              <w:jc w:val="center"/>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96%</w:t>
            </w:r>
          </w:p>
        </w:tc>
      </w:tr>
      <w:tr w:rsidR="00DE75B1" w:rsidRPr="00DE75B1" w14:paraId="1D071293" w14:textId="77777777" w:rsidTr="00F75836">
        <w:trPr>
          <w:trHeight w:val="399"/>
          <w:jc w:val="center"/>
        </w:trPr>
        <w:tc>
          <w:tcPr>
            <w:tcW w:w="2486" w:type="dxa"/>
            <w:tcBorders>
              <w:top w:val="nil"/>
              <w:left w:val="single" w:sz="12" w:space="0" w:color="auto"/>
              <w:bottom w:val="nil"/>
              <w:right w:val="nil"/>
            </w:tcBorders>
            <w:shd w:val="clear" w:color="000000" w:fill="E2EFDA"/>
            <w:noWrap/>
            <w:vAlign w:val="bottom"/>
            <w:hideMark/>
          </w:tcPr>
          <w:p w14:paraId="28E1A170" w14:textId="77777777" w:rsidR="00DE75B1" w:rsidRPr="00DE75B1" w:rsidRDefault="00DE75B1" w:rsidP="00DE75B1">
            <w:pPr>
              <w:spacing w:after="0" w:line="240" w:lineRule="auto"/>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Inversiones</w:t>
            </w:r>
          </w:p>
        </w:tc>
        <w:tc>
          <w:tcPr>
            <w:tcW w:w="2189" w:type="dxa"/>
            <w:tcBorders>
              <w:top w:val="nil"/>
              <w:left w:val="nil"/>
              <w:bottom w:val="nil"/>
              <w:right w:val="nil"/>
            </w:tcBorders>
            <w:shd w:val="clear" w:color="000000" w:fill="E2EFDA"/>
            <w:vAlign w:val="center"/>
            <w:hideMark/>
          </w:tcPr>
          <w:p w14:paraId="72FB0034" w14:textId="77777777" w:rsidR="00DE75B1" w:rsidRPr="00DE75B1" w:rsidRDefault="00DE75B1" w:rsidP="00DE75B1">
            <w:pPr>
              <w:spacing w:after="0" w:line="240" w:lineRule="auto"/>
              <w:ind w:firstLineChars="100" w:firstLine="200"/>
              <w:jc w:val="right"/>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407</w:t>
            </w:r>
          </w:p>
        </w:tc>
        <w:tc>
          <w:tcPr>
            <w:tcW w:w="1746" w:type="dxa"/>
            <w:tcBorders>
              <w:top w:val="nil"/>
              <w:left w:val="nil"/>
              <w:bottom w:val="nil"/>
              <w:right w:val="single" w:sz="12" w:space="0" w:color="auto"/>
            </w:tcBorders>
            <w:shd w:val="clear" w:color="000000" w:fill="E2EFDA"/>
            <w:noWrap/>
            <w:vAlign w:val="bottom"/>
            <w:hideMark/>
          </w:tcPr>
          <w:p w14:paraId="2243C5C6" w14:textId="77777777" w:rsidR="00DE75B1" w:rsidRPr="00DE75B1" w:rsidRDefault="00DE75B1" w:rsidP="00DE75B1">
            <w:pPr>
              <w:spacing w:after="0" w:line="240" w:lineRule="auto"/>
              <w:jc w:val="center"/>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0,03%</w:t>
            </w:r>
          </w:p>
        </w:tc>
      </w:tr>
      <w:tr w:rsidR="00DE75B1" w:rsidRPr="00DE75B1" w14:paraId="6D380BDD" w14:textId="77777777" w:rsidTr="00F75836">
        <w:trPr>
          <w:trHeight w:val="399"/>
          <w:jc w:val="center"/>
        </w:trPr>
        <w:tc>
          <w:tcPr>
            <w:tcW w:w="2486" w:type="dxa"/>
            <w:tcBorders>
              <w:top w:val="nil"/>
              <w:left w:val="single" w:sz="12" w:space="0" w:color="auto"/>
              <w:bottom w:val="nil"/>
              <w:right w:val="nil"/>
            </w:tcBorders>
            <w:shd w:val="clear" w:color="auto" w:fill="auto"/>
            <w:noWrap/>
            <w:vAlign w:val="bottom"/>
            <w:hideMark/>
          </w:tcPr>
          <w:p w14:paraId="33605C7B" w14:textId="77777777" w:rsidR="00DE75B1" w:rsidRPr="00DE75B1" w:rsidRDefault="00DE75B1" w:rsidP="00DE75B1">
            <w:pPr>
              <w:spacing w:after="0" w:line="240" w:lineRule="auto"/>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Bienes muebles</w:t>
            </w:r>
          </w:p>
        </w:tc>
        <w:tc>
          <w:tcPr>
            <w:tcW w:w="2189" w:type="dxa"/>
            <w:tcBorders>
              <w:top w:val="nil"/>
              <w:left w:val="nil"/>
              <w:bottom w:val="nil"/>
              <w:right w:val="nil"/>
            </w:tcBorders>
            <w:shd w:val="clear" w:color="auto" w:fill="auto"/>
            <w:vAlign w:val="center"/>
            <w:hideMark/>
          </w:tcPr>
          <w:p w14:paraId="12C8B4AD" w14:textId="77777777" w:rsidR="00DE75B1" w:rsidRPr="00DE75B1" w:rsidRDefault="00DE75B1" w:rsidP="00DE75B1">
            <w:pPr>
              <w:spacing w:after="0" w:line="240" w:lineRule="auto"/>
              <w:ind w:firstLineChars="100" w:firstLine="200"/>
              <w:jc w:val="right"/>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98</w:t>
            </w:r>
          </w:p>
        </w:tc>
        <w:tc>
          <w:tcPr>
            <w:tcW w:w="1746" w:type="dxa"/>
            <w:tcBorders>
              <w:top w:val="nil"/>
              <w:left w:val="nil"/>
              <w:bottom w:val="nil"/>
              <w:right w:val="single" w:sz="12" w:space="0" w:color="auto"/>
            </w:tcBorders>
            <w:shd w:val="clear" w:color="auto" w:fill="auto"/>
            <w:vAlign w:val="center"/>
            <w:hideMark/>
          </w:tcPr>
          <w:p w14:paraId="38C80A18" w14:textId="77777777" w:rsidR="00DE75B1" w:rsidRPr="00DE75B1" w:rsidRDefault="00DE75B1" w:rsidP="00DE75B1">
            <w:pPr>
              <w:spacing w:after="0" w:line="240" w:lineRule="auto"/>
              <w:jc w:val="center"/>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0,01%</w:t>
            </w:r>
          </w:p>
        </w:tc>
      </w:tr>
      <w:tr w:rsidR="00DE75B1" w:rsidRPr="00DE75B1" w14:paraId="786DDD6B" w14:textId="77777777" w:rsidTr="00F75836">
        <w:trPr>
          <w:trHeight w:val="399"/>
          <w:jc w:val="center"/>
        </w:trPr>
        <w:tc>
          <w:tcPr>
            <w:tcW w:w="2486" w:type="dxa"/>
            <w:tcBorders>
              <w:top w:val="nil"/>
              <w:left w:val="single" w:sz="12" w:space="0" w:color="auto"/>
              <w:bottom w:val="nil"/>
              <w:right w:val="nil"/>
            </w:tcBorders>
            <w:shd w:val="clear" w:color="000000" w:fill="E2EFDA"/>
            <w:noWrap/>
            <w:vAlign w:val="bottom"/>
            <w:hideMark/>
          </w:tcPr>
          <w:p w14:paraId="1A2C12A0" w14:textId="77777777" w:rsidR="00DE75B1" w:rsidRPr="00DE75B1" w:rsidRDefault="00DE75B1" w:rsidP="00DE75B1">
            <w:pPr>
              <w:spacing w:after="0" w:line="240" w:lineRule="auto"/>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Bienes inmuebles</w:t>
            </w:r>
          </w:p>
        </w:tc>
        <w:tc>
          <w:tcPr>
            <w:tcW w:w="2189" w:type="dxa"/>
            <w:tcBorders>
              <w:top w:val="nil"/>
              <w:left w:val="nil"/>
              <w:bottom w:val="nil"/>
              <w:right w:val="nil"/>
            </w:tcBorders>
            <w:shd w:val="clear" w:color="000000" w:fill="E2EFDA"/>
            <w:vAlign w:val="center"/>
            <w:hideMark/>
          </w:tcPr>
          <w:p w14:paraId="27D348FC" w14:textId="77777777" w:rsidR="00DE75B1" w:rsidRPr="00DE75B1" w:rsidRDefault="00DE75B1" w:rsidP="00DE75B1">
            <w:pPr>
              <w:spacing w:after="0" w:line="240" w:lineRule="auto"/>
              <w:ind w:firstLineChars="100" w:firstLine="200"/>
              <w:jc w:val="right"/>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2.180</w:t>
            </w:r>
          </w:p>
        </w:tc>
        <w:tc>
          <w:tcPr>
            <w:tcW w:w="1746" w:type="dxa"/>
            <w:tcBorders>
              <w:top w:val="nil"/>
              <w:left w:val="nil"/>
              <w:bottom w:val="nil"/>
              <w:right w:val="single" w:sz="12" w:space="0" w:color="auto"/>
            </w:tcBorders>
            <w:shd w:val="clear" w:color="000000" w:fill="E2EFDA"/>
            <w:vAlign w:val="center"/>
            <w:hideMark/>
          </w:tcPr>
          <w:p w14:paraId="6FA3C29C" w14:textId="77777777" w:rsidR="00DE75B1" w:rsidRPr="00DE75B1" w:rsidRDefault="00DE75B1" w:rsidP="00DE75B1">
            <w:pPr>
              <w:spacing w:after="0" w:line="240" w:lineRule="auto"/>
              <w:jc w:val="center"/>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0,1%</w:t>
            </w:r>
          </w:p>
        </w:tc>
      </w:tr>
      <w:tr w:rsidR="00DE75B1" w:rsidRPr="00DE75B1" w14:paraId="44037436" w14:textId="77777777" w:rsidTr="00F75836">
        <w:trPr>
          <w:trHeight w:val="411"/>
          <w:jc w:val="center"/>
        </w:trPr>
        <w:tc>
          <w:tcPr>
            <w:tcW w:w="2486" w:type="dxa"/>
            <w:tcBorders>
              <w:top w:val="nil"/>
              <w:left w:val="single" w:sz="12" w:space="0" w:color="auto"/>
              <w:bottom w:val="single" w:sz="12" w:space="0" w:color="auto"/>
              <w:right w:val="nil"/>
            </w:tcBorders>
            <w:shd w:val="clear" w:color="000000" w:fill="A9D08E"/>
            <w:noWrap/>
            <w:vAlign w:val="bottom"/>
            <w:hideMark/>
          </w:tcPr>
          <w:p w14:paraId="29D450BA" w14:textId="77777777" w:rsidR="00DE75B1" w:rsidRPr="00DE75B1" w:rsidRDefault="00DE75B1" w:rsidP="00DE75B1">
            <w:pPr>
              <w:spacing w:after="0" w:line="240" w:lineRule="auto"/>
              <w:jc w:val="center"/>
              <w:rPr>
                <w:rFonts w:ascii="Calibri" w:eastAsia="Times New Roman" w:hAnsi="Calibri" w:cs="Calibri"/>
                <w:b/>
                <w:bCs/>
                <w:color w:val="000000"/>
                <w:sz w:val="20"/>
                <w:szCs w:val="20"/>
                <w:lang w:eastAsia="es-CO"/>
              </w:rPr>
            </w:pPr>
            <w:r w:rsidRPr="00DE75B1">
              <w:rPr>
                <w:rFonts w:ascii="Calibri" w:eastAsia="Times New Roman" w:hAnsi="Calibri" w:cs="Calibri"/>
                <w:b/>
                <w:bCs/>
                <w:color w:val="000000"/>
                <w:sz w:val="20"/>
                <w:szCs w:val="20"/>
                <w:lang w:eastAsia="es-CO"/>
              </w:rPr>
              <w:t>Total</w:t>
            </w:r>
          </w:p>
        </w:tc>
        <w:tc>
          <w:tcPr>
            <w:tcW w:w="2189" w:type="dxa"/>
            <w:tcBorders>
              <w:top w:val="nil"/>
              <w:left w:val="nil"/>
              <w:bottom w:val="single" w:sz="12" w:space="0" w:color="auto"/>
              <w:right w:val="nil"/>
            </w:tcBorders>
            <w:shd w:val="clear" w:color="000000" w:fill="A9D08E"/>
            <w:noWrap/>
            <w:vAlign w:val="bottom"/>
            <w:hideMark/>
          </w:tcPr>
          <w:p w14:paraId="5129B6FA" w14:textId="77777777" w:rsidR="00DE75B1" w:rsidRPr="00DE75B1" w:rsidRDefault="00DE75B1" w:rsidP="00DE75B1">
            <w:pPr>
              <w:spacing w:after="0" w:line="240" w:lineRule="auto"/>
              <w:jc w:val="right"/>
              <w:rPr>
                <w:rFonts w:ascii="Calibri" w:eastAsia="Times New Roman" w:hAnsi="Calibri" w:cs="Calibri"/>
                <w:b/>
                <w:bCs/>
                <w:color w:val="000000"/>
                <w:sz w:val="20"/>
                <w:szCs w:val="20"/>
                <w:lang w:eastAsia="es-CO"/>
              </w:rPr>
            </w:pPr>
            <w:r w:rsidRPr="00DE75B1">
              <w:rPr>
                <w:rFonts w:ascii="Calibri" w:eastAsia="Times New Roman" w:hAnsi="Calibri" w:cs="Calibri"/>
                <w:b/>
                <w:bCs/>
                <w:color w:val="000000"/>
                <w:sz w:val="20"/>
                <w:szCs w:val="20"/>
                <w:lang w:eastAsia="es-CO"/>
              </w:rPr>
              <w:t>1.473.205</w:t>
            </w:r>
          </w:p>
        </w:tc>
        <w:tc>
          <w:tcPr>
            <w:tcW w:w="1746" w:type="dxa"/>
            <w:tcBorders>
              <w:top w:val="nil"/>
              <w:left w:val="nil"/>
              <w:bottom w:val="single" w:sz="12" w:space="0" w:color="auto"/>
              <w:right w:val="single" w:sz="12" w:space="0" w:color="auto"/>
            </w:tcBorders>
            <w:shd w:val="clear" w:color="000000" w:fill="A9D08E"/>
            <w:noWrap/>
            <w:vAlign w:val="bottom"/>
            <w:hideMark/>
          </w:tcPr>
          <w:p w14:paraId="485D72A1" w14:textId="77777777" w:rsidR="00DE75B1" w:rsidRPr="00DE75B1" w:rsidRDefault="00DE75B1" w:rsidP="00DE75B1">
            <w:pPr>
              <w:spacing w:after="0" w:line="240" w:lineRule="auto"/>
              <w:rPr>
                <w:rFonts w:ascii="Calibri" w:eastAsia="Times New Roman" w:hAnsi="Calibri" w:cs="Calibri"/>
                <w:b/>
                <w:bCs/>
                <w:color w:val="000000"/>
                <w:sz w:val="20"/>
                <w:szCs w:val="20"/>
                <w:lang w:eastAsia="es-CO"/>
              </w:rPr>
            </w:pPr>
            <w:r w:rsidRPr="00DE75B1">
              <w:rPr>
                <w:rFonts w:ascii="Calibri" w:eastAsia="Times New Roman" w:hAnsi="Calibri" w:cs="Calibri"/>
                <w:b/>
                <w:bCs/>
                <w:color w:val="000000"/>
                <w:sz w:val="20"/>
                <w:szCs w:val="20"/>
                <w:lang w:eastAsia="es-CO"/>
              </w:rPr>
              <w:t> </w:t>
            </w:r>
          </w:p>
        </w:tc>
      </w:tr>
    </w:tbl>
    <w:p w14:paraId="0E8C07A7" w14:textId="77777777" w:rsidR="00DE75B1" w:rsidRPr="00DE75B1" w:rsidRDefault="00DE75B1" w:rsidP="00DE75B1">
      <w:pPr>
        <w:spacing w:after="0" w:line="240" w:lineRule="auto"/>
        <w:jc w:val="center"/>
        <w:rPr>
          <w:rFonts w:ascii="Arial" w:hAnsi="Arial" w:cs="Arial"/>
          <w:sz w:val="16"/>
          <w:szCs w:val="16"/>
          <w:lang w:eastAsia="es-CO"/>
        </w:rPr>
      </w:pPr>
      <w:r w:rsidRPr="00DE75B1">
        <w:rPr>
          <w:rFonts w:ascii="Arial" w:hAnsi="Arial" w:cs="Arial"/>
          <w:sz w:val="16"/>
          <w:szCs w:val="16"/>
          <w:lang w:eastAsia="es-CO"/>
        </w:rPr>
        <w:t>Fuente: Delegada de Medidas Especiales SNS</w:t>
      </w:r>
    </w:p>
    <w:p w14:paraId="2D0E3C3B" w14:textId="77777777" w:rsidR="00DE75B1" w:rsidRPr="00DE75B1" w:rsidRDefault="00DE75B1" w:rsidP="00DE75B1">
      <w:pPr>
        <w:spacing w:after="0" w:line="240" w:lineRule="auto"/>
        <w:jc w:val="both"/>
        <w:rPr>
          <w:rFonts w:ascii="Calibri" w:hAnsi="Calibri" w:cs="Calibri"/>
          <w:lang w:val="es-ES" w:eastAsia="es-CO"/>
        </w:rPr>
      </w:pPr>
    </w:p>
    <w:p w14:paraId="16295D82" w14:textId="5D8DE13E" w:rsidR="00DE75B1" w:rsidRPr="00DE75B1" w:rsidRDefault="00DE75B1" w:rsidP="00DE75B1">
      <w:pPr>
        <w:spacing w:after="0" w:line="240" w:lineRule="auto"/>
        <w:jc w:val="both"/>
        <w:rPr>
          <w:rFonts w:ascii="Arial" w:hAnsi="Arial" w:cs="Arial"/>
          <w:lang w:val="es-ES" w:eastAsia="es-CO"/>
        </w:rPr>
      </w:pPr>
      <w:r w:rsidRPr="00DE75B1">
        <w:rPr>
          <w:rFonts w:ascii="Arial" w:hAnsi="Arial" w:cs="Arial"/>
          <w:lang w:val="es-ES" w:eastAsia="es-CO"/>
        </w:rPr>
        <w:t>La tabla anterior</w:t>
      </w:r>
      <w:r>
        <w:rPr>
          <w:rFonts w:ascii="Arial" w:hAnsi="Arial" w:cs="Arial"/>
          <w:lang w:val="es-ES" w:eastAsia="es-CO"/>
        </w:rPr>
        <w:t xml:space="preserve"> </w:t>
      </w:r>
      <w:r w:rsidRPr="00DE75B1">
        <w:rPr>
          <w:rFonts w:ascii="Arial" w:hAnsi="Arial" w:cs="Arial"/>
          <w:lang w:val="es-ES" w:eastAsia="es-CO"/>
        </w:rPr>
        <w:t xml:space="preserve">indica que Cafesalud EPS cuenta con activos por </w:t>
      </w:r>
      <w:r>
        <w:rPr>
          <w:rFonts w:ascii="Arial" w:hAnsi="Arial" w:cs="Arial"/>
          <w:lang w:val="es-ES" w:eastAsia="es-CO"/>
        </w:rPr>
        <w:t>$</w:t>
      </w:r>
      <w:r w:rsidRPr="00DE75B1">
        <w:rPr>
          <w:rFonts w:ascii="Arial" w:hAnsi="Arial" w:cs="Arial"/>
          <w:lang w:val="es-ES" w:eastAsia="es-CO"/>
        </w:rPr>
        <w:t>1.473.205 millones</w:t>
      </w:r>
      <w:r w:rsidR="00263C0B">
        <w:rPr>
          <w:rFonts w:ascii="Arial" w:hAnsi="Arial" w:cs="Arial"/>
          <w:lang w:val="es-ES" w:eastAsia="es-CO"/>
        </w:rPr>
        <w:t xml:space="preserve">, de los cuales el 96% </w:t>
      </w:r>
      <w:r w:rsidRPr="00DE75B1">
        <w:rPr>
          <w:rFonts w:ascii="Arial" w:hAnsi="Arial" w:cs="Arial"/>
          <w:lang w:val="es-ES" w:eastAsia="es-CO"/>
        </w:rPr>
        <w:t>están representados en cu</w:t>
      </w:r>
      <w:r w:rsidR="00263C0B">
        <w:rPr>
          <w:rFonts w:ascii="Arial" w:hAnsi="Arial" w:cs="Arial"/>
          <w:lang w:val="es-ES" w:eastAsia="es-CO"/>
        </w:rPr>
        <w:t>e</w:t>
      </w:r>
      <w:r w:rsidRPr="00DE75B1">
        <w:rPr>
          <w:rFonts w:ascii="Arial" w:hAnsi="Arial" w:cs="Arial"/>
          <w:lang w:val="es-ES" w:eastAsia="es-CO"/>
        </w:rPr>
        <w:t xml:space="preserve">ntas por cobrar. </w:t>
      </w:r>
    </w:p>
    <w:p w14:paraId="4BF4EEEF" w14:textId="77777777" w:rsidR="00DE75B1" w:rsidRPr="00DE75B1" w:rsidRDefault="00DE75B1" w:rsidP="00DE75B1">
      <w:pPr>
        <w:spacing w:after="0" w:line="240" w:lineRule="auto"/>
        <w:jc w:val="both"/>
        <w:rPr>
          <w:rFonts w:ascii="Arial" w:hAnsi="Arial" w:cs="Arial"/>
          <w:lang w:val="es-ES" w:eastAsia="es-CO"/>
        </w:rPr>
      </w:pPr>
    </w:p>
    <w:p w14:paraId="0E7F3532" w14:textId="77777777" w:rsidR="00DE75B1" w:rsidRPr="00DE75B1" w:rsidRDefault="00DE75B1" w:rsidP="00DE75B1">
      <w:pPr>
        <w:spacing w:after="0" w:line="240" w:lineRule="auto"/>
        <w:rPr>
          <w:rFonts w:ascii="Arial" w:hAnsi="Arial" w:cs="Arial"/>
          <w:u w:val="single"/>
          <w:lang w:val="es-ES" w:eastAsia="es-CO"/>
        </w:rPr>
      </w:pPr>
      <w:r w:rsidRPr="00DE75B1">
        <w:rPr>
          <w:rFonts w:ascii="Arial" w:hAnsi="Arial" w:cs="Arial"/>
          <w:u w:val="single"/>
          <w:lang w:val="es-ES" w:eastAsia="es-CO"/>
        </w:rPr>
        <w:t>Cruz Blanca EPS SA en liquidación</w:t>
      </w:r>
    </w:p>
    <w:p w14:paraId="412887FF" w14:textId="77777777" w:rsidR="00DE75B1" w:rsidRPr="00DE75B1" w:rsidRDefault="00DE75B1" w:rsidP="00DE75B1">
      <w:pPr>
        <w:spacing w:after="0" w:line="240" w:lineRule="auto"/>
        <w:rPr>
          <w:rFonts w:ascii="Arial" w:hAnsi="Arial" w:cs="Arial"/>
          <w:b/>
          <w:bCs/>
          <w:lang w:val="es-ES" w:eastAsia="es-CO"/>
        </w:rPr>
      </w:pPr>
    </w:p>
    <w:p w14:paraId="2C2FBD93" w14:textId="38AFA358" w:rsidR="00263C0B" w:rsidRDefault="00DE75B1">
      <w:pPr>
        <w:spacing w:after="0" w:line="240" w:lineRule="auto"/>
        <w:jc w:val="both"/>
        <w:rPr>
          <w:rFonts w:ascii="Arial" w:hAnsi="Arial" w:cs="Arial"/>
          <w:lang w:val="es-ES" w:eastAsia="es-CO"/>
        </w:rPr>
      </w:pPr>
      <w:r w:rsidRPr="00DE75B1">
        <w:rPr>
          <w:rFonts w:ascii="Arial" w:hAnsi="Arial" w:cs="Arial"/>
          <w:lang w:val="es-ES" w:eastAsia="es-CO"/>
        </w:rPr>
        <w:t>El proceso liquidatorio de Cruz Blanca EPS SA en liquidación inició</w:t>
      </w:r>
      <w:r>
        <w:rPr>
          <w:rFonts w:ascii="Arial" w:hAnsi="Arial" w:cs="Arial"/>
          <w:lang w:val="es-ES" w:eastAsia="es-CO"/>
        </w:rPr>
        <w:t xml:space="preserve"> </w:t>
      </w:r>
      <w:r w:rsidRPr="00DE75B1">
        <w:rPr>
          <w:rFonts w:ascii="Arial" w:hAnsi="Arial" w:cs="Arial"/>
          <w:lang w:val="es-ES" w:eastAsia="es-CO"/>
        </w:rPr>
        <w:t>mediante Resolución 008939 del 09 de octubre de 2019</w:t>
      </w:r>
      <w:r w:rsidR="00263C0B">
        <w:rPr>
          <w:rFonts w:ascii="Arial" w:hAnsi="Arial" w:cs="Arial"/>
          <w:lang w:val="es-ES" w:eastAsia="es-CO"/>
        </w:rPr>
        <w:t>, cuyo estado de acreencias es el siguiente:</w:t>
      </w:r>
    </w:p>
    <w:p w14:paraId="5BF9867A" w14:textId="77777777" w:rsidR="00DE75B1" w:rsidRPr="00DE75B1" w:rsidRDefault="00DE75B1" w:rsidP="00DE75B1">
      <w:pPr>
        <w:spacing w:after="0" w:line="240" w:lineRule="auto"/>
        <w:jc w:val="both"/>
        <w:rPr>
          <w:rFonts w:ascii="Arial" w:hAnsi="Arial" w:cs="Arial"/>
          <w:lang w:val="es-ES" w:eastAsia="es-CO"/>
        </w:rPr>
      </w:pPr>
    </w:p>
    <w:p w14:paraId="0009A6C2" w14:textId="42626D8E" w:rsidR="00DE75B1" w:rsidRPr="00DE75B1" w:rsidRDefault="00DE75B1" w:rsidP="00DE75B1">
      <w:pPr>
        <w:spacing w:after="0" w:line="240" w:lineRule="auto"/>
        <w:jc w:val="center"/>
        <w:rPr>
          <w:rFonts w:ascii="Arial" w:hAnsi="Arial" w:cs="Arial"/>
          <w:b/>
          <w:bCs/>
          <w:lang w:val="es-ES" w:eastAsia="es-CO"/>
        </w:rPr>
      </w:pPr>
      <w:r w:rsidRPr="00DE75B1">
        <w:rPr>
          <w:rFonts w:ascii="Arial" w:hAnsi="Arial" w:cs="Arial"/>
          <w:b/>
          <w:bCs/>
          <w:lang w:val="es-ES" w:eastAsia="es-CO"/>
        </w:rPr>
        <w:t>Estado de acreencias de Cruz Blanca EPS en liquidación</w:t>
      </w:r>
      <w:r>
        <w:rPr>
          <w:rFonts w:ascii="Arial" w:hAnsi="Arial" w:cs="Arial"/>
          <w:b/>
          <w:bCs/>
          <w:lang w:val="es-ES" w:eastAsia="es-CO"/>
        </w:rPr>
        <w:t xml:space="preserve"> c</w:t>
      </w:r>
      <w:r w:rsidRPr="00DE75B1">
        <w:rPr>
          <w:rFonts w:ascii="Arial" w:hAnsi="Arial" w:cs="Arial"/>
          <w:b/>
          <w:bCs/>
          <w:lang w:val="es-ES" w:eastAsia="es-CO"/>
        </w:rPr>
        <w:t>orte junio de 2021</w:t>
      </w:r>
    </w:p>
    <w:p w14:paraId="2B396649" w14:textId="4F25D824" w:rsidR="00DE75B1" w:rsidRDefault="00DE75B1" w:rsidP="00DE75B1">
      <w:pPr>
        <w:spacing w:after="0" w:line="240" w:lineRule="auto"/>
        <w:jc w:val="right"/>
        <w:rPr>
          <w:rFonts w:ascii="Arial" w:hAnsi="Arial" w:cs="Arial"/>
          <w:b/>
          <w:bCs/>
          <w:sz w:val="16"/>
          <w:szCs w:val="16"/>
          <w:lang w:val="es-ES" w:eastAsia="es-CO"/>
        </w:rPr>
      </w:pPr>
      <w:r w:rsidRPr="00DE75B1">
        <w:rPr>
          <w:rFonts w:ascii="Arial" w:hAnsi="Arial" w:cs="Arial"/>
          <w:b/>
          <w:bCs/>
          <w:sz w:val="16"/>
          <w:szCs w:val="16"/>
          <w:lang w:val="es-ES" w:eastAsia="es-CO"/>
        </w:rPr>
        <w:t>(Cifras en millones de pesos)</w:t>
      </w:r>
    </w:p>
    <w:p w14:paraId="79E1AAED" w14:textId="77777777" w:rsidR="00DE75B1" w:rsidRPr="00DE75B1" w:rsidRDefault="00DE75B1" w:rsidP="00DE75B1">
      <w:pPr>
        <w:spacing w:after="0" w:line="240" w:lineRule="auto"/>
        <w:jc w:val="right"/>
        <w:rPr>
          <w:rFonts w:ascii="Arial" w:hAnsi="Arial" w:cs="Arial"/>
          <w:b/>
          <w:bCs/>
          <w:sz w:val="16"/>
          <w:szCs w:val="16"/>
          <w:lang w:val="es-ES" w:eastAsia="es-CO"/>
        </w:rPr>
      </w:pPr>
    </w:p>
    <w:tbl>
      <w:tblPr>
        <w:tblW w:w="7702" w:type="dxa"/>
        <w:jc w:val="center"/>
        <w:tblCellMar>
          <w:left w:w="70" w:type="dxa"/>
          <w:right w:w="70" w:type="dxa"/>
        </w:tblCellMar>
        <w:tblLook w:val="04A0" w:firstRow="1" w:lastRow="0" w:firstColumn="1" w:lastColumn="0" w:noHBand="0" w:noVBand="1"/>
      </w:tblPr>
      <w:tblGrid>
        <w:gridCol w:w="2093"/>
        <w:gridCol w:w="1593"/>
        <w:gridCol w:w="1185"/>
        <w:gridCol w:w="1220"/>
        <w:gridCol w:w="1073"/>
        <w:gridCol w:w="573"/>
      </w:tblGrid>
      <w:tr w:rsidR="00DE75B1" w:rsidRPr="00DE75B1" w14:paraId="7D935995" w14:textId="77777777" w:rsidTr="00F75836">
        <w:trPr>
          <w:trHeight w:val="430"/>
          <w:jc w:val="center"/>
        </w:trPr>
        <w:tc>
          <w:tcPr>
            <w:tcW w:w="2093" w:type="dxa"/>
            <w:tcBorders>
              <w:top w:val="single" w:sz="12" w:space="0" w:color="auto"/>
              <w:left w:val="single" w:sz="12" w:space="0" w:color="auto"/>
              <w:bottom w:val="nil"/>
              <w:right w:val="nil"/>
            </w:tcBorders>
            <w:shd w:val="clear" w:color="000000" w:fill="BDD7EE"/>
            <w:noWrap/>
            <w:vAlign w:val="bottom"/>
            <w:hideMark/>
          </w:tcPr>
          <w:p w14:paraId="5415C199" w14:textId="77777777" w:rsidR="00DE75B1" w:rsidRPr="00DE75B1" w:rsidRDefault="00DE75B1" w:rsidP="00DE75B1">
            <w:pPr>
              <w:spacing w:after="0" w:line="240" w:lineRule="auto"/>
              <w:jc w:val="center"/>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Clase de acreencias</w:t>
            </w:r>
          </w:p>
        </w:tc>
        <w:tc>
          <w:tcPr>
            <w:tcW w:w="1593" w:type="dxa"/>
            <w:tcBorders>
              <w:top w:val="single" w:sz="12" w:space="0" w:color="auto"/>
              <w:left w:val="nil"/>
              <w:bottom w:val="nil"/>
              <w:right w:val="nil"/>
            </w:tcBorders>
            <w:shd w:val="clear" w:color="000000" w:fill="BDD7EE"/>
            <w:noWrap/>
            <w:vAlign w:val="bottom"/>
            <w:hideMark/>
          </w:tcPr>
          <w:p w14:paraId="61B0F25B" w14:textId="09F03466" w:rsidR="00DE75B1" w:rsidRPr="00DE75B1" w:rsidRDefault="00DE75B1" w:rsidP="00DE75B1">
            <w:pPr>
              <w:spacing w:after="0" w:line="240" w:lineRule="auto"/>
              <w:jc w:val="center"/>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V</w:t>
            </w:r>
            <w:r w:rsidR="00115030">
              <w:rPr>
                <w:rFonts w:ascii="Calibri" w:eastAsia="Times New Roman" w:hAnsi="Calibri" w:cs="Calibri"/>
                <w:b/>
                <w:bCs/>
                <w:color w:val="000000"/>
                <w:sz w:val="16"/>
                <w:szCs w:val="16"/>
                <w:lang w:eastAsia="es-CO"/>
              </w:rPr>
              <w:t>alo</w:t>
            </w:r>
            <w:r w:rsidRPr="00DE75B1">
              <w:rPr>
                <w:rFonts w:ascii="Calibri" w:eastAsia="Times New Roman" w:hAnsi="Calibri" w:cs="Calibri"/>
                <w:b/>
                <w:bCs/>
                <w:color w:val="000000"/>
                <w:sz w:val="16"/>
                <w:szCs w:val="16"/>
                <w:lang w:eastAsia="es-CO"/>
              </w:rPr>
              <w:t>r reclamado</w:t>
            </w:r>
          </w:p>
        </w:tc>
        <w:tc>
          <w:tcPr>
            <w:tcW w:w="1185" w:type="dxa"/>
            <w:tcBorders>
              <w:top w:val="single" w:sz="12" w:space="0" w:color="auto"/>
              <w:left w:val="nil"/>
              <w:bottom w:val="nil"/>
              <w:right w:val="nil"/>
            </w:tcBorders>
            <w:shd w:val="clear" w:color="000000" w:fill="BDD7EE"/>
            <w:noWrap/>
            <w:vAlign w:val="bottom"/>
            <w:hideMark/>
          </w:tcPr>
          <w:p w14:paraId="5C4E7CDA" w14:textId="36CC9E85" w:rsidR="00DE75B1" w:rsidRPr="00DE75B1" w:rsidRDefault="00DE75B1" w:rsidP="00DE75B1">
            <w:pPr>
              <w:spacing w:after="0" w:line="240" w:lineRule="auto"/>
              <w:jc w:val="center"/>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V</w:t>
            </w:r>
            <w:r w:rsidR="00115030">
              <w:rPr>
                <w:rFonts w:ascii="Calibri" w:eastAsia="Times New Roman" w:hAnsi="Calibri" w:cs="Calibri"/>
                <w:b/>
                <w:bCs/>
                <w:color w:val="000000"/>
                <w:sz w:val="16"/>
                <w:szCs w:val="16"/>
                <w:lang w:eastAsia="es-CO"/>
              </w:rPr>
              <w:t>alo</w:t>
            </w:r>
            <w:r w:rsidRPr="00DE75B1">
              <w:rPr>
                <w:rFonts w:ascii="Calibri" w:eastAsia="Times New Roman" w:hAnsi="Calibri" w:cs="Calibri"/>
                <w:b/>
                <w:bCs/>
                <w:color w:val="000000"/>
                <w:sz w:val="16"/>
                <w:szCs w:val="16"/>
                <w:lang w:eastAsia="es-CO"/>
              </w:rPr>
              <w:t>r reconocido</w:t>
            </w:r>
          </w:p>
        </w:tc>
        <w:tc>
          <w:tcPr>
            <w:tcW w:w="1185" w:type="dxa"/>
            <w:tcBorders>
              <w:top w:val="single" w:sz="12" w:space="0" w:color="auto"/>
              <w:left w:val="nil"/>
              <w:bottom w:val="nil"/>
              <w:right w:val="nil"/>
            </w:tcBorders>
            <w:shd w:val="clear" w:color="000000" w:fill="BDD7EE"/>
            <w:noWrap/>
            <w:vAlign w:val="bottom"/>
            <w:hideMark/>
          </w:tcPr>
          <w:p w14:paraId="4A189155" w14:textId="77777777" w:rsidR="00DE75B1" w:rsidRPr="00DE75B1" w:rsidRDefault="00DE75B1" w:rsidP="00DE75B1">
            <w:pPr>
              <w:spacing w:after="0" w:line="240" w:lineRule="auto"/>
              <w:jc w:val="center"/>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 Reconocimiento</w:t>
            </w:r>
          </w:p>
        </w:tc>
        <w:tc>
          <w:tcPr>
            <w:tcW w:w="1073" w:type="dxa"/>
            <w:tcBorders>
              <w:top w:val="single" w:sz="12" w:space="0" w:color="auto"/>
              <w:left w:val="nil"/>
              <w:bottom w:val="nil"/>
              <w:right w:val="nil"/>
            </w:tcBorders>
            <w:shd w:val="clear" w:color="000000" w:fill="BDD7EE"/>
            <w:noWrap/>
            <w:vAlign w:val="bottom"/>
            <w:hideMark/>
          </w:tcPr>
          <w:p w14:paraId="2B8C576D" w14:textId="1BA2B218" w:rsidR="00DE75B1" w:rsidRPr="00DE75B1" w:rsidRDefault="00DE75B1" w:rsidP="00DE75B1">
            <w:pPr>
              <w:spacing w:after="0" w:line="240" w:lineRule="auto"/>
              <w:jc w:val="center"/>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V</w:t>
            </w:r>
            <w:r w:rsidR="00115030">
              <w:rPr>
                <w:rFonts w:ascii="Calibri" w:eastAsia="Times New Roman" w:hAnsi="Calibri" w:cs="Calibri"/>
                <w:b/>
                <w:bCs/>
                <w:color w:val="000000"/>
                <w:sz w:val="16"/>
                <w:szCs w:val="16"/>
                <w:lang w:eastAsia="es-CO"/>
              </w:rPr>
              <w:t>alo</w:t>
            </w:r>
            <w:r w:rsidRPr="00DE75B1">
              <w:rPr>
                <w:rFonts w:ascii="Calibri" w:eastAsia="Times New Roman" w:hAnsi="Calibri" w:cs="Calibri"/>
                <w:b/>
                <w:bCs/>
                <w:color w:val="000000"/>
                <w:sz w:val="16"/>
                <w:szCs w:val="16"/>
                <w:lang w:eastAsia="es-CO"/>
              </w:rPr>
              <w:t>r Pag</w:t>
            </w:r>
            <w:r w:rsidR="00115030">
              <w:rPr>
                <w:rFonts w:ascii="Calibri" w:eastAsia="Times New Roman" w:hAnsi="Calibri" w:cs="Calibri"/>
                <w:b/>
                <w:bCs/>
                <w:color w:val="000000"/>
                <w:sz w:val="16"/>
                <w:szCs w:val="16"/>
                <w:lang w:eastAsia="es-CO"/>
              </w:rPr>
              <w:t>ado</w:t>
            </w:r>
          </w:p>
        </w:tc>
        <w:tc>
          <w:tcPr>
            <w:tcW w:w="573" w:type="dxa"/>
            <w:tcBorders>
              <w:top w:val="single" w:sz="12" w:space="0" w:color="auto"/>
              <w:left w:val="nil"/>
              <w:bottom w:val="nil"/>
              <w:right w:val="single" w:sz="12" w:space="0" w:color="auto"/>
            </w:tcBorders>
            <w:shd w:val="clear" w:color="000000" w:fill="BDD7EE"/>
            <w:noWrap/>
            <w:vAlign w:val="bottom"/>
            <w:hideMark/>
          </w:tcPr>
          <w:p w14:paraId="4202B981" w14:textId="4B97070E" w:rsidR="00DE75B1" w:rsidRPr="00DE75B1" w:rsidRDefault="00DE75B1" w:rsidP="00DE75B1">
            <w:pPr>
              <w:spacing w:after="0" w:line="240" w:lineRule="auto"/>
              <w:jc w:val="center"/>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 xml:space="preserve">% </w:t>
            </w:r>
            <w:r w:rsidR="00115030">
              <w:rPr>
                <w:rFonts w:ascii="Calibri" w:eastAsia="Times New Roman" w:hAnsi="Calibri" w:cs="Calibri"/>
                <w:b/>
                <w:bCs/>
                <w:color w:val="000000"/>
                <w:sz w:val="16"/>
                <w:szCs w:val="16"/>
                <w:lang w:eastAsia="es-CO"/>
              </w:rPr>
              <w:t>p</w:t>
            </w:r>
            <w:r w:rsidRPr="00DE75B1">
              <w:rPr>
                <w:rFonts w:ascii="Calibri" w:eastAsia="Times New Roman" w:hAnsi="Calibri" w:cs="Calibri"/>
                <w:b/>
                <w:bCs/>
                <w:color w:val="000000"/>
                <w:sz w:val="16"/>
                <w:szCs w:val="16"/>
                <w:lang w:eastAsia="es-CO"/>
              </w:rPr>
              <w:t>ago</w:t>
            </w:r>
          </w:p>
        </w:tc>
      </w:tr>
      <w:tr w:rsidR="00DE75B1" w:rsidRPr="00DE75B1" w14:paraId="0A8699DE" w14:textId="77777777" w:rsidTr="00F75836">
        <w:trPr>
          <w:trHeight w:val="416"/>
          <w:jc w:val="center"/>
        </w:trPr>
        <w:tc>
          <w:tcPr>
            <w:tcW w:w="2093" w:type="dxa"/>
            <w:tcBorders>
              <w:top w:val="nil"/>
              <w:left w:val="single" w:sz="12" w:space="0" w:color="auto"/>
              <w:bottom w:val="nil"/>
              <w:right w:val="nil"/>
            </w:tcBorders>
            <w:shd w:val="clear" w:color="auto" w:fill="auto"/>
            <w:noWrap/>
            <w:vAlign w:val="bottom"/>
            <w:hideMark/>
          </w:tcPr>
          <w:p w14:paraId="18E0B386" w14:textId="77777777" w:rsidR="00DE75B1" w:rsidRPr="00DE75B1" w:rsidRDefault="00DE75B1" w:rsidP="00DE75B1">
            <w:pPr>
              <w:spacing w:after="0" w:line="240" w:lineRule="auto"/>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Sumas excluidas de la masa</w:t>
            </w:r>
          </w:p>
        </w:tc>
        <w:tc>
          <w:tcPr>
            <w:tcW w:w="1593" w:type="dxa"/>
            <w:tcBorders>
              <w:top w:val="nil"/>
              <w:left w:val="nil"/>
              <w:bottom w:val="nil"/>
              <w:right w:val="nil"/>
            </w:tcBorders>
            <w:shd w:val="clear" w:color="auto" w:fill="auto"/>
            <w:vAlign w:val="center"/>
            <w:hideMark/>
          </w:tcPr>
          <w:p w14:paraId="7F53E209"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24.502</w:t>
            </w:r>
          </w:p>
        </w:tc>
        <w:tc>
          <w:tcPr>
            <w:tcW w:w="1185" w:type="dxa"/>
            <w:tcBorders>
              <w:top w:val="nil"/>
              <w:left w:val="nil"/>
              <w:bottom w:val="nil"/>
              <w:right w:val="nil"/>
            </w:tcBorders>
            <w:shd w:val="clear" w:color="auto" w:fill="auto"/>
            <w:vAlign w:val="center"/>
            <w:hideMark/>
          </w:tcPr>
          <w:p w14:paraId="5013629D"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2.925</w:t>
            </w:r>
          </w:p>
        </w:tc>
        <w:tc>
          <w:tcPr>
            <w:tcW w:w="1185" w:type="dxa"/>
            <w:tcBorders>
              <w:top w:val="nil"/>
              <w:left w:val="nil"/>
              <w:bottom w:val="nil"/>
              <w:right w:val="nil"/>
            </w:tcBorders>
            <w:shd w:val="clear" w:color="auto" w:fill="auto"/>
            <w:vAlign w:val="center"/>
            <w:hideMark/>
          </w:tcPr>
          <w:p w14:paraId="12BAF7E1"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12%</w:t>
            </w:r>
          </w:p>
        </w:tc>
        <w:tc>
          <w:tcPr>
            <w:tcW w:w="1073" w:type="dxa"/>
            <w:tcBorders>
              <w:top w:val="nil"/>
              <w:left w:val="nil"/>
              <w:bottom w:val="nil"/>
              <w:right w:val="nil"/>
            </w:tcBorders>
            <w:shd w:val="clear" w:color="auto" w:fill="auto"/>
            <w:vAlign w:val="center"/>
            <w:hideMark/>
          </w:tcPr>
          <w:p w14:paraId="29C43A39"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c>
          <w:tcPr>
            <w:tcW w:w="573" w:type="dxa"/>
            <w:tcBorders>
              <w:top w:val="nil"/>
              <w:left w:val="nil"/>
              <w:bottom w:val="nil"/>
              <w:right w:val="single" w:sz="12" w:space="0" w:color="auto"/>
            </w:tcBorders>
            <w:shd w:val="clear" w:color="auto" w:fill="auto"/>
            <w:noWrap/>
            <w:vAlign w:val="bottom"/>
            <w:hideMark/>
          </w:tcPr>
          <w:p w14:paraId="67FA5B1F"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r>
      <w:tr w:rsidR="00DE75B1" w:rsidRPr="00DE75B1" w14:paraId="7C70E877" w14:textId="77777777" w:rsidTr="00F75836">
        <w:trPr>
          <w:trHeight w:val="416"/>
          <w:jc w:val="center"/>
        </w:trPr>
        <w:tc>
          <w:tcPr>
            <w:tcW w:w="2093" w:type="dxa"/>
            <w:tcBorders>
              <w:top w:val="nil"/>
              <w:left w:val="single" w:sz="12" w:space="0" w:color="auto"/>
              <w:bottom w:val="nil"/>
              <w:right w:val="nil"/>
            </w:tcBorders>
            <w:shd w:val="clear" w:color="000000" w:fill="E2EFDA"/>
            <w:noWrap/>
            <w:vAlign w:val="bottom"/>
            <w:hideMark/>
          </w:tcPr>
          <w:p w14:paraId="68C998D0" w14:textId="77777777" w:rsidR="00DE75B1" w:rsidRPr="00DE75B1" w:rsidRDefault="00DE75B1" w:rsidP="00DE75B1">
            <w:pPr>
              <w:spacing w:after="0" w:line="240" w:lineRule="auto"/>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Laborales</w:t>
            </w:r>
          </w:p>
        </w:tc>
        <w:tc>
          <w:tcPr>
            <w:tcW w:w="1593" w:type="dxa"/>
            <w:tcBorders>
              <w:top w:val="nil"/>
              <w:left w:val="nil"/>
              <w:bottom w:val="nil"/>
              <w:right w:val="nil"/>
            </w:tcBorders>
            <w:shd w:val="clear" w:color="000000" w:fill="E2EFDA"/>
            <w:vAlign w:val="center"/>
            <w:hideMark/>
          </w:tcPr>
          <w:p w14:paraId="18F84220"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1.064</w:t>
            </w:r>
          </w:p>
        </w:tc>
        <w:tc>
          <w:tcPr>
            <w:tcW w:w="1185" w:type="dxa"/>
            <w:tcBorders>
              <w:top w:val="nil"/>
              <w:left w:val="nil"/>
              <w:bottom w:val="nil"/>
              <w:right w:val="nil"/>
            </w:tcBorders>
            <w:shd w:val="clear" w:color="000000" w:fill="E2EFDA"/>
            <w:vAlign w:val="center"/>
            <w:hideMark/>
          </w:tcPr>
          <w:p w14:paraId="070D81F2"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11</w:t>
            </w:r>
          </w:p>
        </w:tc>
        <w:tc>
          <w:tcPr>
            <w:tcW w:w="1185" w:type="dxa"/>
            <w:tcBorders>
              <w:top w:val="nil"/>
              <w:left w:val="nil"/>
              <w:bottom w:val="nil"/>
              <w:right w:val="nil"/>
            </w:tcBorders>
            <w:shd w:val="clear" w:color="000000" w:fill="E2EFDA"/>
            <w:vAlign w:val="center"/>
            <w:hideMark/>
          </w:tcPr>
          <w:p w14:paraId="2C3EDCDC"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1%</w:t>
            </w:r>
          </w:p>
        </w:tc>
        <w:tc>
          <w:tcPr>
            <w:tcW w:w="1073" w:type="dxa"/>
            <w:tcBorders>
              <w:top w:val="nil"/>
              <w:left w:val="nil"/>
              <w:bottom w:val="nil"/>
              <w:right w:val="nil"/>
            </w:tcBorders>
            <w:shd w:val="clear" w:color="000000" w:fill="E2EFDA"/>
            <w:vAlign w:val="center"/>
            <w:hideMark/>
          </w:tcPr>
          <w:p w14:paraId="02ABA364"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 </w:t>
            </w:r>
          </w:p>
        </w:tc>
        <w:tc>
          <w:tcPr>
            <w:tcW w:w="573" w:type="dxa"/>
            <w:tcBorders>
              <w:top w:val="nil"/>
              <w:left w:val="nil"/>
              <w:bottom w:val="nil"/>
              <w:right w:val="single" w:sz="12" w:space="0" w:color="auto"/>
            </w:tcBorders>
            <w:shd w:val="clear" w:color="000000" w:fill="E2EFDA"/>
            <w:noWrap/>
            <w:vAlign w:val="bottom"/>
            <w:hideMark/>
          </w:tcPr>
          <w:p w14:paraId="0DA7E10A"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r>
      <w:tr w:rsidR="00DE75B1" w:rsidRPr="00DE75B1" w14:paraId="6D564FF2" w14:textId="77777777" w:rsidTr="00F75836">
        <w:trPr>
          <w:trHeight w:val="416"/>
          <w:jc w:val="center"/>
        </w:trPr>
        <w:tc>
          <w:tcPr>
            <w:tcW w:w="2093" w:type="dxa"/>
            <w:tcBorders>
              <w:top w:val="nil"/>
              <w:left w:val="single" w:sz="12" w:space="0" w:color="auto"/>
              <w:bottom w:val="nil"/>
              <w:right w:val="nil"/>
            </w:tcBorders>
            <w:shd w:val="clear" w:color="auto" w:fill="auto"/>
            <w:noWrap/>
            <w:vAlign w:val="bottom"/>
            <w:hideMark/>
          </w:tcPr>
          <w:p w14:paraId="1293180B" w14:textId="77777777" w:rsidR="00DE75B1" w:rsidRPr="00DE75B1" w:rsidRDefault="00DE75B1" w:rsidP="00DE75B1">
            <w:pPr>
              <w:spacing w:after="0" w:line="240" w:lineRule="auto"/>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Prestadores de servicios de salud</w:t>
            </w:r>
          </w:p>
        </w:tc>
        <w:tc>
          <w:tcPr>
            <w:tcW w:w="1593" w:type="dxa"/>
            <w:tcBorders>
              <w:top w:val="nil"/>
              <w:left w:val="nil"/>
              <w:bottom w:val="nil"/>
              <w:right w:val="nil"/>
            </w:tcBorders>
            <w:shd w:val="clear" w:color="auto" w:fill="auto"/>
            <w:noWrap/>
            <w:vAlign w:val="bottom"/>
            <w:hideMark/>
          </w:tcPr>
          <w:p w14:paraId="300E0662"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738.773</w:t>
            </w:r>
          </w:p>
        </w:tc>
        <w:tc>
          <w:tcPr>
            <w:tcW w:w="1185" w:type="dxa"/>
            <w:tcBorders>
              <w:top w:val="nil"/>
              <w:left w:val="nil"/>
              <w:bottom w:val="nil"/>
              <w:right w:val="nil"/>
            </w:tcBorders>
            <w:shd w:val="clear" w:color="auto" w:fill="auto"/>
            <w:vAlign w:val="center"/>
            <w:hideMark/>
          </w:tcPr>
          <w:p w14:paraId="2517B3C5"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228.928</w:t>
            </w:r>
          </w:p>
        </w:tc>
        <w:tc>
          <w:tcPr>
            <w:tcW w:w="1185" w:type="dxa"/>
            <w:tcBorders>
              <w:top w:val="nil"/>
              <w:left w:val="nil"/>
              <w:bottom w:val="nil"/>
              <w:right w:val="nil"/>
            </w:tcBorders>
            <w:shd w:val="clear" w:color="auto" w:fill="auto"/>
            <w:vAlign w:val="center"/>
            <w:hideMark/>
          </w:tcPr>
          <w:p w14:paraId="19586210"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31%</w:t>
            </w:r>
          </w:p>
        </w:tc>
        <w:tc>
          <w:tcPr>
            <w:tcW w:w="1073" w:type="dxa"/>
            <w:tcBorders>
              <w:top w:val="nil"/>
              <w:left w:val="nil"/>
              <w:bottom w:val="nil"/>
              <w:right w:val="nil"/>
            </w:tcBorders>
            <w:shd w:val="clear" w:color="auto" w:fill="auto"/>
            <w:vAlign w:val="center"/>
            <w:hideMark/>
          </w:tcPr>
          <w:p w14:paraId="6EB6BCF4"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c>
          <w:tcPr>
            <w:tcW w:w="573" w:type="dxa"/>
            <w:tcBorders>
              <w:top w:val="nil"/>
              <w:left w:val="nil"/>
              <w:bottom w:val="nil"/>
              <w:right w:val="single" w:sz="12" w:space="0" w:color="auto"/>
            </w:tcBorders>
            <w:shd w:val="clear" w:color="auto" w:fill="auto"/>
            <w:noWrap/>
            <w:vAlign w:val="bottom"/>
            <w:hideMark/>
          </w:tcPr>
          <w:p w14:paraId="737BBEDE"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r>
      <w:tr w:rsidR="00DE75B1" w:rsidRPr="00DE75B1" w14:paraId="7DC28931" w14:textId="77777777" w:rsidTr="00F75836">
        <w:trPr>
          <w:trHeight w:val="416"/>
          <w:jc w:val="center"/>
        </w:trPr>
        <w:tc>
          <w:tcPr>
            <w:tcW w:w="2093" w:type="dxa"/>
            <w:tcBorders>
              <w:top w:val="nil"/>
              <w:left w:val="single" w:sz="12" w:space="0" w:color="auto"/>
              <w:bottom w:val="nil"/>
              <w:right w:val="nil"/>
            </w:tcBorders>
            <w:shd w:val="clear" w:color="000000" w:fill="E2EFDA"/>
            <w:noWrap/>
            <w:vAlign w:val="bottom"/>
            <w:hideMark/>
          </w:tcPr>
          <w:p w14:paraId="2345D626" w14:textId="77777777" w:rsidR="00DE75B1" w:rsidRPr="00DE75B1" w:rsidRDefault="00DE75B1" w:rsidP="00DE75B1">
            <w:pPr>
              <w:spacing w:after="0" w:line="240" w:lineRule="auto"/>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Otras acreencias oportunas</w:t>
            </w:r>
          </w:p>
        </w:tc>
        <w:tc>
          <w:tcPr>
            <w:tcW w:w="1593" w:type="dxa"/>
            <w:tcBorders>
              <w:top w:val="nil"/>
              <w:left w:val="nil"/>
              <w:bottom w:val="nil"/>
              <w:right w:val="nil"/>
            </w:tcBorders>
            <w:shd w:val="clear" w:color="000000" w:fill="E2EFDA"/>
            <w:noWrap/>
            <w:vAlign w:val="bottom"/>
            <w:hideMark/>
          </w:tcPr>
          <w:p w14:paraId="4935448C"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427.033</w:t>
            </w:r>
          </w:p>
        </w:tc>
        <w:tc>
          <w:tcPr>
            <w:tcW w:w="1185" w:type="dxa"/>
            <w:tcBorders>
              <w:top w:val="nil"/>
              <w:left w:val="nil"/>
              <w:bottom w:val="nil"/>
              <w:right w:val="nil"/>
            </w:tcBorders>
            <w:shd w:val="clear" w:color="000000" w:fill="E2EFDA"/>
            <w:vAlign w:val="center"/>
            <w:hideMark/>
          </w:tcPr>
          <w:p w14:paraId="1B939969"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11.240</w:t>
            </w:r>
          </w:p>
        </w:tc>
        <w:tc>
          <w:tcPr>
            <w:tcW w:w="1185" w:type="dxa"/>
            <w:tcBorders>
              <w:top w:val="nil"/>
              <w:left w:val="nil"/>
              <w:bottom w:val="nil"/>
              <w:right w:val="nil"/>
            </w:tcBorders>
            <w:shd w:val="clear" w:color="000000" w:fill="E2EFDA"/>
            <w:vAlign w:val="center"/>
            <w:hideMark/>
          </w:tcPr>
          <w:p w14:paraId="08710FDD"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3%</w:t>
            </w:r>
          </w:p>
        </w:tc>
        <w:tc>
          <w:tcPr>
            <w:tcW w:w="1073" w:type="dxa"/>
            <w:tcBorders>
              <w:top w:val="nil"/>
              <w:left w:val="nil"/>
              <w:bottom w:val="nil"/>
              <w:right w:val="nil"/>
            </w:tcBorders>
            <w:shd w:val="clear" w:color="000000" w:fill="E2EFDA"/>
            <w:vAlign w:val="center"/>
            <w:hideMark/>
          </w:tcPr>
          <w:p w14:paraId="747A4608"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c>
          <w:tcPr>
            <w:tcW w:w="573" w:type="dxa"/>
            <w:tcBorders>
              <w:top w:val="nil"/>
              <w:left w:val="nil"/>
              <w:bottom w:val="nil"/>
              <w:right w:val="single" w:sz="12" w:space="0" w:color="auto"/>
            </w:tcBorders>
            <w:shd w:val="clear" w:color="000000" w:fill="E2EFDA"/>
            <w:noWrap/>
            <w:vAlign w:val="bottom"/>
            <w:hideMark/>
          </w:tcPr>
          <w:p w14:paraId="11DD9C51"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r>
      <w:tr w:rsidR="00DE75B1" w:rsidRPr="00DE75B1" w14:paraId="55BB76B5" w14:textId="77777777" w:rsidTr="00F75836">
        <w:trPr>
          <w:trHeight w:val="416"/>
          <w:jc w:val="center"/>
        </w:trPr>
        <w:tc>
          <w:tcPr>
            <w:tcW w:w="2093" w:type="dxa"/>
            <w:tcBorders>
              <w:top w:val="nil"/>
              <w:left w:val="single" w:sz="12" w:space="0" w:color="auto"/>
              <w:bottom w:val="nil"/>
              <w:right w:val="nil"/>
            </w:tcBorders>
            <w:shd w:val="clear" w:color="auto" w:fill="auto"/>
            <w:noWrap/>
            <w:vAlign w:val="bottom"/>
            <w:hideMark/>
          </w:tcPr>
          <w:p w14:paraId="2B161EBA" w14:textId="77777777" w:rsidR="00DE75B1" w:rsidRPr="00DE75B1" w:rsidRDefault="00DE75B1" w:rsidP="00DE75B1">
            <w:pPr>
              <w:spacing w:after="0" w:line="240" w:lineRule="auto"/>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Acreencias extemporáneas</w:t>
            </w:r>
          </w:p>
        </w:tc>
        <w:tc>
          <w:tcPr>
            <w:tcW w:w="1593" w:type="dxa"/>
            <w:tcBorders>
              <w:top w:val="nil"/>
              <w:left w:val="nil"/>
              <w:bottom w:val="nil"/>
              <w:right w:val="nil"/>
            </w:tcBorders>
            <w:shd w:val="clear" w:color="auto" w:fill="auto"/>
            <w:noWrap/>
            <w:vAlign w:val="bottom"/>
            <w:hideMark/>
          </w:tcPr>
          <w:p w14:paraId="0AA59E37"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288</w:t>
            </w:r>
          </w:p>
        </w:tc>
        <w:tc>
          <w:tcPr>
            <w:tcW w:w="1185" w:type="dxa"/>
            <w:tcBorders>
              <w:top w:val="nil"/>
              <w:left w:val="nil"/>
              <w:bottom w:val="nil"/>
              <w:right w:val="nil"/>
            </w:tcBorders>
            <w:shd w:val="clear" w:color="auto" w:fill="auto"/>
            <w:vAlign w:val="center"/>
            <w:hideMark/>
          </w:tcPr>
          <w:p w14:paraId="0EB352E4"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c>
          <w:tcPr>
            <w:tcW w:w="1185" w:type="dxa"/>
            <w:tcBorders>
              <w:top w:val="nil"/>
              <w:left w:val="nil"/>
              <w:bottom w:val="nil"/>
              <w:right w:val="nil"/>
            </w:tcBorders>
            <w:shd w:val="clear" w:color="auto" w:fill="auto"/>
            <w:vAlign w:val="center"/>
            <w:hideMark/>
          </w:tcPr>
          <w:p w14:paraId="107F9D11"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c>
          <w:tcPr>
            <w:tcW w:w="1073" w:type="dxa"/>
            <w:tcBorders>
              <w:top w:val="nil"/>
              <w:left w:val="nil"/>
              <w:bottom w:val="nil"/>
              <w:right w:val="nil"/>
            </w:tcBorders>
            <w:shd w:val="clear" w:color="auto" w:fill="auto"/>
            <w:vAlign w:val="center"/>
            <w:hideMark/>
          </w:tcPr>
          <w:p w14:paraId="0AB95D69"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c>
          <w:tcPr>
            <w:tcW w:w="573" w:type="dxa"/>
            <w:tcBorders>
              <w:top w:val="nil"/>
              <w:left w:val="nil"/>
              <w:bottom w:val="nil"/>
              <w:right w:val="single" w:sz="12" w:space="0" w:color="auto"/>
            </w:tcBorders>
            <w:shd w:val="clear" w:color="auto" w:fill="auto"/>
            <w:noWrap/>
            <w:vAlign w:val="bottom"/>
            <w:hideMark/>
          </w:tcPr>
          <w:p w14:paraId="04413C85" w14:textId="77777777" w:rsidR="00DE75B1" w:rsidRPr="00DE75B1" w:rsidRDefault="00DE75B1" w:rsidP="00DE75B1">
            <w:pPr>
              <w:spacing w:after="0" w:line="240" w:lineRule="auto"/>
              <w:jc w:val="right"/>
              <w:rPr>
                <w:rFonts w:ascii="Calibri" w:eastAsia="Times New Roman" w:hAnsi="Calibri" w:cs="Calibri"/>
                <w:color w:val="000000"/>
                <w:sz w:val="16"/>
                <w:szCs w:val="16"/>
                <w:lang w:eastAsia="es-CO"/>
              </w:rPr>
            </w:pPr>
            <w:r w:rsidRPr="00DE75B1">
              <w:rPr>
                <w:rFonts w:ascii="Calibri" w:eastAsia="Times New Roman" w:hAnsi="Calibri" w:cs="Calibri"/>
                <w:color w:val="000000"/>
                <w:sz w:val="16"/>
                <w:szCs w:val="16"/>
                <w:lang w:eastAsia="es-CO"/>
              </w:rPr>
              <w:t>0%</w:t>
            </w:r>
          </w:p>
        </w:tc>
      </w:tr>
      <w:tr w:rsidR="00DE75B1" w:rsidRPr="00DE75B1" w14:paraId="628809B0" w14:textId="77777777" w:rsidTr="00F75836">
        <w:trPr>
          <w:trHeight w:val="430"/>
          <w:jc w:val="center"/>
        </w:trPr>
        <w:tc>
          <w:tcPr>
            <w:tcW w:w="2093" w:type="dxa"/>
            <w:tcBorders>
              <w:top w:val="nil"/>
              <w:left w:val="single" w:sz="12" w:space="0" w:color="auto"/>
              <w:bottom w:val="single" w:sz="12" w:space="0" w:color="auto"/>
              <w:right w:val="nil"/>
            </w:tcBorders>
            <w:shd w:val="clear" w:color="000000" w:fill="A9D08E"/>
            <w:noWrap/>
            <w:vAlign w:val="bottom"/>
            <w:hideMark/>
          </w:tcPr>
          <w:p w14:paraId="13C5E708" w14:textId="77777777" w:rsidR="00DE75B1" w:rsidRPr="00DE75B1" w:rsidRDefault="00DE75B1" w:rsidP="00DE75B1">
            <w:pPr>
              <w:spacing w:after="0" w:line="240" w:lineRule="auto"/>
              <w:jc w:val="center"/>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Total</w:t>
            </w:r>
          </w:p>
        </w:tc>
        <w:tc>
          <w:tcPr>
            <w:tcW w:w="1593" w:type="dxa"/>
            <w:tcBorders>
              <w:top w:val="nil"/>
              <w:left w:val="nil"/>
              <w:bottom w:val="single" w:sz="12" w:space="0" w:color="auto"/>
              <w:right w:val="nil"/>
            </w:tcBorders>
            <w:shd w:val="clear" w:color="000000" w:fill="A9D08E"/>
            <w:noWrap/>
            <w:vAlign w:val="bottom"/>
            <w:hideMark/>
          </w:tcPr>
          <w:p w14:paraId="2A3CD940" w14:textId="77777777" w:rsidR="00DE75B1" w:rsidRPr="00DE75B1" w:rsidRDefault="00DE75B1" w:rsidP="00DE75B1">
            <w:pPr>
              <w:spacing w:after="0" w:line="240" w:lineRule="auto"/>
              <w:jc w:val="right"/>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1.191.660</w:t>
            </w:r>
          </w:p>
        </w:tc>
        <w:tc>
          <w:tcPr>
            <w:tcW w:w="1185" w:type="dxa"/>
            <w:tcBorders>
              <w:top w:val="nil"/>
              <w:left w:val="nil"/>
              <w:bottom w:val="single" w:sz="12" w:space="0" w:color="auto"/>
              <w:right w:val="nil"/>
            </w:tcBorders>
            <w:shd w:val="clear" w:color="000000" w:fill="A9D08E"/>
            <w:noWrap/>
            <w:vAlign w:val="bottom"/>
            <w:hideMark/>
          </w:tcPr>
          <w:p w14:paraId="7B6740B1" w14:textId="77777777" w:rsidR="00DE75B1" w:rsidRPr="00DE75B1" w:rsidRDefault="00DE75B1" w:rsidP="00DE75B1">
            <w:pPr>
              <w:spacing w:after="0" w:line="240" w:lineRule="auto"/>
              <w:jc w:val="right"/>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243.104</w:t>
            </w:r>
          </w:p>
        </w:tc>
        <w:tc>
          <w:tcPr>
            <w:tcW w:w="1185" w:type="dxa"/>
            <w:tcBorders>
              <w:top w:val="nil"/>
              <w:left w:val="nil"/>
              <w:bottom w:val="single" w:sz="12" w:space="0" w:color="auto"/>
              <w:right w:val="nil"/>
            </w:tcBorders>
            <w:shd w:val="clear" w:color="000000" w:fill="A9D08E"/>
            <w:noWrap/>
            <w:vAlign w:val="bottom"/>
            <w:hideMark/>
          </w:tcPr>
          <w:p w14:paraId="4329BB57" w14:textId="77777777" w:rsidR="00DE75B1" w:rsidRPr="00DE75B1" w:rsidRDefault="00DE75B1" w:rsidP="00DE75B1">
            <w:pPr>
              <w:spacing w:after="0" w:line="240" w:lineRule="auto"/>
              <w:jc w:val="right"/>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20%</w:t>
            </w:r>
          </w:p>
        </w:tc>
        <w:tc>
          <w:tcPr>
            <w:tcW w:w="1073" w:type="dxa"/>
            <w:tcBorders>
              <w:top w:val="nil"/>
              <w:left w:val="nil"/>
              <w:bottom w:val="single" w:sz="12" w:space="0" w:color="auto"/>
              <w:right w:val="nil"/>
            </w:tcBorders>
            <w:shd w:val="clear" w:color="000000" w:fill="A9D08E"/>
            <w:noWrap/>
            <w:vAlign w:val="bottom"/>
            <w:hideMark/>
          </w:tcPr>
          <w:p w14:paraId="3304C7F5" w14:textId="77777777" w:rsidR="00DE75B1" w:rsidRPr="00DE75B1" w:rsidRDefault="00DE75B1" w:rsidP="00DE75B1">
            <w:pPr>
              <w:spacing w:after="0" w:line="240" w:lineRule="auto"/>
              <w:jc w:val="right"/>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0</w:t>
            </w:r>
          </w:p>
        </w:tc>
        <w:tc>
          <w:tcPr>
            <w:tcW w:w="573" w:type="dxa"/>
            <w:tcBorders>
              <w:top w:val="nil"/>
              <w:left w:val="nil"/>
              <w:bottom w:val="single" w:sz="12" w:space="0" w:color="auto"/>
              <w:right w:val="single" w:sz="12" w:space="0" w:color="auto"/>
            </w:tcBorders>
            <w:shd w:val="clear" w:color="000000" w:fill="A9D08E"/>
            <w:noWrap/>
            <w:vAlign w:val="bottom"/>
            <w:hideMark/>
          </w:tcPr>
          <w:p w14:paraId="5977C331" w14:textId="77777777" w:rsidR="00DE75B1" w:rsidRPr="00DE75B1" w:rsidRDefault="00DE75B1" w:rsidP="00DE75B1">
            <w:pPr>
              <w:spacing w:after="0" w:line="240" w:lineRule="auto"/>
              <w:jc w:val="right"/>
              <w:rPr>
                <w:rFonts w:ascii="Calibri" w:eastAsia="Times New Roman" w:hAnsi="Calibri" w:cs="Calibri"/>
                <w:b/>
                <w:bCs/>
                <w:color w:val="000000"/>
                <w:sz w:val="16"/>
                <w:szCs w:val="16"/>
                <w:lang w:eastAsia="es-CO"/>
              </w:rPr>
            </w:pPr>
            <w:r w:rsidRPr="00DE75B1">
              <w:rPr>
                <w:rFonts w:ascii="Calibri" w:eastAsia="Times New Roman" w:hAnsi="Calibri" w:cs="Calibri"/>
                <w:b/>
                <w:bCs/>
                <w:color w:val="000000"/>
                <w:sz w:val="16"/>
                <w:szCs w:val="16"/>
                <w:lang w:eastAsia="es-CO"/>
              </w:rPr>
              <w:t>0,0%</w:t>
            </w:r>
          </w:p>
        </w:tc>
      </w:tr>
    </w:tbl>
    <w:p w14:paraId="17E88B71" w14:textId="7AE3312F" w:rsidR="00DE75B1" w:rsidRPr="00DE75B1" w:rsidRDefault="00DE75B1" w:rsidP="00DE75B1">
      <w:pPr>
        <w:spacing w:after="0" w:line="240" w:lineRule="auto"/>
        <w:jc w:val="center"/>
        <w:rPr>
          <w:rFonts w:ascii="Arial" w:hAnsi="Arial" w:cs="Arial"/>
          <w:sz w:val="16"/>
          <w:szCs w:val="16"/>
          <w:lang w:eastAsia="es-CO"/>
        </w:rPr>
      </w:pPr>
      <w:r w:rsidRPr="00DE75B1">
        <w:rPr>
          <w:rFonts w:ascii="Arial" w:hAnsi="Arial" w:cs="Arial"/>
          <w:sz w:val="16"/>
          <w:szCs w:val="16"/>
          <w:lang w:eastAsia="es-CO"/>
        </w:rPr>
        <w:t>Fuente: Delegada de Medidas Especiales SNS</w:t>
      </w:r>
      <w:r w:rsidR="00115030">
        <w:rPr>
          <w:rFonts w:ascii="Arial" w:hAnsi="Arial" w:cs="Arial"/>
          <w:sz w:val="16"/>
          <w:szCs w:val="16"/>
          <w:lang w:eastAsia="es-CO"/>
        </w:rPr>
        <w:t>.</w:t>
      </w:r>
    </w:p>
    <w:p w14:paraId="4F3A341C" w14:textId="77777777" w:rsidR="00DE75B1" w:rsidRPr="00DE75B1" w:rsidRDefault="00DE75B1" w:rsidP="00DE75B1">
      <w:pPr>
        <w:spacing w:after="0" w:line="240" w:lineRule="auto"/>
        <w:jc w:val="both"/>
        <w:rPr>
          <w:rFonts w:ascii="Arial" w:hAnsi="Arial" w:cs="Arial"/>
          <w:lang w:val="es-ES" w:eastAsia="es-CO"/>
        </w:rPr>
      </w:pPr>
    </w:p>
    <w:p w14:paraId="12869369" w14:textId="384FD588" w:rsidR="00DE75B1" w:rsidRDefault="00DE75B1" w:rsidP="006E2526">
      <w:pPr>
        <w:spacing w:after="0" w:line="240" w:lineRule="auto"/>
        <w:jc w:val="both"/>
        <w:rPr>
          <w:rFonts w:ascii="Arial" w:hAnsi="Arial" w:cs="Arial"/>
          <w:lang w:val="es-ES" w:eastAsia="es-CO"/>
        </w:rPr>
      </w:pPr>
      <w:r w:rsidRPr="00DE75B1">
        <w:rPr>
          <w:rFonts w:ascii="Arial" w:hAnsi="Arial" w:cs="Arial"/>
          <w:lang w:val="es-ES" w:eastAsia="es-CO"/>
        </w:rPr>
        <w:t>Como se observa, Cruz Blanca EPS en Liquidación, recibió reclamaciones por 1.191.660 millones</w:t>
      </w:r>
      <w:r w:rsidR="00115030">
        <w:rPr>
          <w:rFonts w:ascii="Arial" w:hAnsi="Arial" w:cs="Arial"/>
          <w:lang w:val="es-ES" w:eastAsia="es-CO"/>
        </w:rPr>
        <w:t xml:space="preserve">, de los cuales </w:t>
      </w:r>
      <w:r w:rsidRPr="00DE75B1">
        <w:rPr>
          <w:rFonts w:ascii="Arial" w:hAnsi="Arial" w:cs="Arial"/>
          <w:lang w:val="es-ES" w:eastAsia="es-CO"/>
        </w:rPr>
        <w:t xml:space="preserve">reconoció el 20% por $248.104 millones, que se encuentran pendientes por pagar en su totalidad. </w:t>
      </w:r>
    </w:p>
    <w:p w14:paraId="430EC1CF" w14:textId="77777777" w:rsidR="00DE75B1" w:rsidRDefault="00DE75B1" w:rsidP="00DE75B1">
      <w:pPr>
        <w:spacing w:after="0" w:line="240" w:lineRule="auto"/>
        <w:rPr>
          <w:rFonts w:ascii="Arial" w:hAnsi="Arial" w:cs="Arial"/>
          <w:lang w:val="es-ES" w:eastAsia="es-CO"/>
        </w:rPr>
      </w:pPr>
    </w:p>
    <w:p w14:paraId="74B40D85" w14:textId="4FD1EA1A" w:rsidR="00DE75B1" w:rsidRPr="00DE75B1" w:rsidRDefault="00DE75B1" w:rsidP="003B7799">
      <w:pPr>
        <w:spacing w:after="0" w:line="240" w:lineRule="auto"/>
        <w:jc w:val="both"/>
        <w:rPr>
          <w:rFonts w:ascii="Arial" w:hAnsi="Arial" w:cs="Arial"/>
          <w:lang w:val="es-ES" w:eastAsia="es-CO"/>
        </w:rPr>
      </w:pPr>
      <w:r w:rsidRPr="00DE75B1">
        <w:rPr>
          <w:rFonts w:ascii="Arial" w:hAnsi="Arial" w:cs="Arial"/>
          <w:lang w:val="es-ES" w:eastAsia="es-CO"/>
        </w:rPr>
        <w:t>Con respecto a los activos con que cuenta el Liquidador para el pago de obligaciones y sobre los que realiza gestión para de depuración, recaudo y enajenación, se encuentran:</w:t>
      </w:r>
    </w:p>
    <w:p w14:paraId="5EFE049B" w14:textId="77777777" w:rsidR="00DE75B1" w:rsidRPr="00DE75B1" w:rsidRDefault="00DE75B1" w:rsidP="00DE75B1">
      <w:pPr>
        <w:spacing w:after="0" w:line="240" w:lineRule="auto"/>
        <w:jc w:val="center"/>
        <w:rPr>
          <w:rFonts w:ascii="Arial" w:hAnsi="Arial" w:cs="Arial"/>
          <w:b/>
          <w:bCs/>
          <w:lang w:val="es-ES" w:eastAsia="es-CO"/>
        </w:rPr>
      </w:pPr>
    </w:p>
    <w:p w14:paraId="5B2389AE" w14:textId="77777777" w:rsidR="00F75836" w:rsidRDefault="00F75836" w:rsidP="00DE75B1">
      <w:pPr>
        <w:spacing w:after="0" w:line="240" w:lineRule="auto"/>
        <w:jc w:val="center"/>
        <w:rPr>
          <w:rFonts w:ascii="Arial" w:hAnsi="Arial" w:cs="Arial"/>
          <w:b/>
          <w:bCs/>
          <w:lang w:val="es-ES" w:eastAsia="es-CO"/>
        </w:rPr>
      </w:pPr>
    </w:p>
    <w:p w14:paraId="5203854D" w14:textId="1E02592B" w:rsidR="00DE75B1" w:rsidRPr="00DE75B1" w:rsidRDefault="00DE75B1" w:rsidP="00DE75B1">
      <w:pPr>
        <w:spacing w:after="0" w:line="240" w:lineRule="auto"/>
        <w:jc w:val="center"/>
        <w:rPr>
          <w:rFonts w:ascii="Arial" w:hAnsi="Arial" w:cs="Arial"/>
          <w:b/>
          <w:bCs/>
          <w:lang w:val="es-ES" w:eastAsia="es-CO"/>
        </w:rPr>
      </w:pPr>
      <w:r w:rsidRPr="00DE75B1">
        <w:rPr>
          <w:rFonts w:ascii="Arial" w:hAnsi="Arial" w:cs="Arial"/>
          <w:b/>
          <w:bCs/>
          <w:lang w:val="es-ES" w:eastAsia="es-CO"/>
        </w:rPr>
        <w:lastRenderedPageBreak/>
        <w:t>Activos disponibles para recaudo y enajenación</w:t>
      </w:r>
    </w:p>
    <w:p w14:paraId="6C1DB063" w14:textId="77777777" w:rsidR="00DE75B1" w:rsidRPr="00DE75B1" w:rsidRDefault="00DE75B1" w:rsidP="00DE75B1">
      <w:pPr>
        <w:spacing w:after="0" w:line="240" w:lineRule="auto"/>
        <w:jc w:val="center"/>
        <w:rPr>
          <w:rFonts w:ascii="Arial" w:hAnsi="Arial" w:cs="Arial"/>
          <w:b/>
          <w:bCs/>
          <w:sz w:val="16"/>
          <w:szCs w:val="16"/>
          <w:lang w:val="es-ES" w:eastAsia="es-CO"/>
        </w:rPr>
      </w:pPr>
      <w:r w:rsidRPr="00DE75B1">
        <w:rPr>
          <w:rFonts w:ascii="Arial" w:hAnsi="Arial" w:cs="Arial"/>
          <w:b/>
          <w:bCs/>
          <w:sz w:val="16"/>
          <w:szCs w:val="16"/>
          <w:lang w:val="es-ES" w:eastAsia="es-CO"/>
        </w:rPr>
        <w:t>(Millones de pesos)</w:t>
      </w:r>
    </w:p>
    <w:p w14:paraId="4A04C8DD" w14:textId="77777777" w:rsidR="00DE75B1" w:rsidRPr="00DE75B1" w:rsidRDefault="00DE75B1" w:rsidP="00DE75B1">
      <w:pPr>
        <w:spacing w:after="0" w:line="240" w:lineRule="auto"/>
        <w:jc w:val="center"/>
        <w:rPr>
          <w:rFonts w:ascii="Calibri" w:hAnsi="Calibri" w:cs="Calibri"/>
          <w:b/>
          <w:bCs/>
          <w:sz w:val="16"/>
          <w:szCs w:val="16"/>
          <w:lang w:val="es-ES" w:eastAsia="es-CO"/>
        </w:rPr>
      </w:pPr>
    </w:p>
    <w:tbl>
      <w:tblPr>
        <w:tblW w:w="6894" w:type="dxa"/>
        <w:jc w:val="center"/>
        <w:tblCellMar>
          <w:left w:w="70" w:type="dxa"/>
          <w:right w:w="70" w:type="dxa"/>
        </w:tblCellMar>
        <w:tblLook w:val="04A0" w:firstRow="1" w:lastRow="0" w:firstColumn="1" w:lastColumn="0" w:noHBand="0" w:noVBand="1"/>
      </w:tblPr>
      <w:tblGrid>
        <w:gridCol w:w="2669"/>
        <w:gridCol w:w="2351"/>
        <w:gridCol w:w="1874"/>
      </w:tblGrid>
      <w:tr w:rsidR="00DE75B1" w:rsidRPr="00DE75B1" w14:paraId="4EBFFE4A" w14:textId="77777777" w:rsidTr="00DE75B1">
        <w:trPr>
          <w:trHeight w:val="451"/>
          <w:jc w:val="center"/>
        </w:trPr>
        <w:tc>
          <w:tcPr>
            <w:tcW w:w="2669" w:type="dxa"/>
            <w:tcBorders>
              <w:top w:val="single" w:sz="12" w:space="0" w:color="auto"/>
              <w:left w:val="single" w:sz="12" w:space="0" w:color="auto"/>
              <w:bottom w:val="nil"/>
              <w:right w:val="nil"/>
            </w:tcBorders>
            <w:shd w:val="clear" w:color="000000" w:fill="BDD7EE"/>
            <w:noWrap/>
            <w:vAlign w:val="bottom"/>
            <w:hideMark/>
          </w:tcPr>
          <w:p w14:paraId="349AACB7" w14:textId="77777777" w:rsidR="00DE75B1" w:rsidRPr="00DE75B1" w:rsidRDefault="00DE75B1" w:rsidP="00DE75B1">
            <w:pPr>
              <w:spacing w:after="0" w:line="240" w:lineRule="auto"/>
              <w:jc w:val="center"/>
              <w:rPr>
                <w:rFonts w:ascii="Calibri" w:eastAsia="Times New Roman" w:hAnsi="Calibri" w:cs="Calibri"/>
                <w:b/>
                <w:bCs/>
                <w:color w:val="000000"/>
                <w:sz w:val="20"/>
                <w:szCs w:val="20"/>
                <w:lang w:eastAsia="es-CO"/>
              </w:rPr>
            </w:pPr>
            <w:r w:rsidRPr="00DE75B1">
              <w:rPr>
                <w:rFonts w:ascii="Calibri" w:eastAsia="Times New Roman" w:hAnsi="Calibri" w:cs="Calibri"/>
                <w:b/>
                <w:bCs/>
                <w:color w:val="000000"/>
                <w:sz w:val="20"/>
                <w:szCs w:val="20"/>
                <w:lang w:eastAsia="es-CO"/>
              </w:rPr>
              <w:t>Activo</w:t>
            </w:r>
          </w:p>
        </w:tc>
        <w:tc>
          <w:tcPr>
            <w:tcW w:w="2351" w:type="dxa"/>
            <w:tcBorders>
              <w:top w:val="single" w:sz="12" w:space="0" w:color="auto"/>
              <w:left w:val="nil"/>
              <w:bottom w:val="nil"/>
              <w:right w:val="nil"/>
            </w:tcBorders>
            <w:shd w:val="clear" w:color="000000" w:fill="BDD7EE"/>
            <w:noWrap/>
            <w:vAlign w:val="bottom"/>
            <w:hideMark/>
          </w:tcPr>
          <w:p w14:paraId="2CE0A792" w14:textId="69BF9859" w:rsidR="00DE75B1" w:rsidRPr="00DE75B1" w:rsidRDefault="00115030" w:rsidP="00DE75B1">
            <w:pPr>
              <w:spacing w:after="0" w:line="240" w:lineRule="auto"/>
              <w:jc w:val="center"/>
              <w:rPr>
                <w:rFonts w:ascii="Calibri" w:eastAsia="Times New Roman" w:hAnsi="Calibri" w:cs="Calibri"/>
                <w:b/>
                <w:bCs/>
                <w:color w:val="000000"/>
                <w:sz w:val="20"/>
                <w:szCs w:val="20"/>
                <w:lang w:eastAsia="es-CO"/>
              </w:rPr>
            </w:pPr>
            <w:r>
              <w:rPr>
                <w:rFonts w:ascii="Calibri" w:eastAsia="Times New Roman" w:hAnsi="Calibri" w:cs="Calibri"/>
                <w:b/>
                <w:bCs/>
                <w:color w:val="000000"/>
                <w:sz w:val="20"/>
                <w:szCs w:val="20"/>
                <w:lang w:eastAsia="es-CO"/>
              </w:rPr>
              <w:t xml:space="preserve">Valor </w:t>
            </w:r>
            <w:r w:rsidR="00DE75B1" w:rsidRPr="00DE75B1">
              <w:rPr>
                <w:rFonts w:ascii="Calibri" w:eastAsia="Times New Roman" w:hAnsi="Calibri" w:cs="Calibri"/>
                <w:b/>
                <w:bCs/>
                <w:color w:val="000000"/>
                <w:sz w:val="20"/>
                <w:szCs w:val="20"/>
                <w:lang w:eastAsia="es-CO"/>
              </w:rPr>
              <w:t>disponible</w:t>
            </w:r>
          </w:p>
        </w:tc>
        <w:tc>
          <w:tcPr>
            <w:tcW w:w="1874" w:type="dxa"/>
            <w:tcBorders>
              <w:top w:val="single" w:sz="12" w:space="0" w:color="auto"/>
              <w:left w:val="nil"/>
              <w:bottom w:val="nil"/>
              <w:right w:val="single" w:sz="12" w:space="0" w:color="auto"/>
            </w:tcBorders>
            <w:shd w:val="clear" w:color="000000" w:fill="BDD7EE"/>
            <w:noWrap/>
            <w:vAlign w:val="bottom"/>
            <w:hideMark/>
          </w:tcPr>
          <w:p w14:paraId="418963A1" w14:textId="77777777" w:rsidR="00DE75B1" w:rsidRPr="00DE75B1" w:rsidRDefault="00DE75B1" w:rsidP="00DE75B1">
            <w:pPr>
              <w:spacing w:after="0" w:line="240" w:lineRule="auto"/>
              <w:jc w:val="center"/>
              <w:rPr>
                <w:rFonts w:ascii="Calibri" w:eastAsia="Times New Roman" w:hAnsi="Calibri" w:cs="Calibri"/>
                <w:b/>
                <w:bCs/>
                <w:color w:val="000000"/>
                <w:sz w:val="20"/>
                <w:szCs w:val="20"/>
                <w:lang w:eastAsia="es-CO"/>
              </w:rPr>
            </w:pPr>
            <w:r w:rsidRPr="00DE75B1">
              <w:rPr>
                <w:rFonts w:ascii="Calibri" w:eastAsia="Times New Roman" w:hAnsi="Calibri" w:cs="Calibri"/>
                <w:b/>
                <w:bCs/>
                <w:color w:val="000000"/>
                <w:sz w:val="20"/>
                <w:szCs w:val="20"/>
                <w:lang w:eastAsia="es-CO"/>
              </w:rPr>
              <w:t>% disponible</w:t>
            </w:r>
          </w:p>
        </w:tc>
      </w:tr>
      <w:tr w:rsidR="00DE75B1" w:rsidRPr="00DE75B1" w14:paraId="5452AB1C" w14:textId="77777777" w:rsidTr="00DE75B1">
        <w:trPr>
          <w:trHeight w:val="436"/>
          <w:jc w:val="center"/>
        </w:trPr>
        <w:tc>
          <w:tcPr>
            <w:tcW w:w="2669" w:type="dxa"/>
            <w:tcBorders>
              <w:top w:val="nil"/>
              <w:left w:val="single" w:sz="12" w:space="0" w:color="auto"/>
              <w:bottom w:val="nil"/>
              <w:right w:val="nil"/>
            </w:tcBorders>
            <w:shd w:val="clear" w:color="auto" w:fill="E2EFD9" w:themeFill="accent6" w:themeFillTint="33"/>
            <w:noWrap/>
            <w:vAlign w:val="bottom"/>
            <w:hideMark/>
          </w:tcPr>
          <w:p w14:paraId="368B3ED1" w14:textId="77777777" w:rsidR="00DE75B1" w:rsidRPr="00DE75B1" w:rsidRDefault="00DE75B1" w:rsidP="00DE75B1">
            <w:pPr>
              <w:spacing w:after="0" w:line="240" w:lineRule="auto"/>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Cuentas por cobrar</w:t>
            </w:r>
          </w:p>
        </w:tc>
        <w:tc>
          <w:tcPr>
            <w:tcW w:w="2351" w:type="dxa"/>
            <w:tcBorders>
              <w:top w:val="nil"/>
              <w:left w:val="nil"/>
              <w:bottom w:val="nil"/>
              <w:right w:val="nil"/>
            </w:tcBorders>
            <w:shd w:val="clear" w:color="auto" w:fill="E2EFD9" w:themeFill="accent6" w:themeFillTint="33"/>
            <w:vAlign w:val="center"/>
            <w:hideMark/>
          </w:tcPr>
          <w:p w14:paraId="16F59AEA" w14:textId="77777777" w:rsidR="00DE75B1" w:rsidRPr="00DE75B1" w:rsidRDefault="00DE75B1" w:rsidP="00DE75B1">
            <w:pPr>
              <w:spacing w:after="0" w:line="240" w:lineRule="auto"/>
              <w:ind w:firstLineChars="100" w:firstLine="200"/>
              <w:jc w:val="right"/>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100.517</w:t>
            </w:r>
          </w:p>
        </w:tc>
        <w:tc>
          <w:tcPr>
            <w:tcW w:w="1874" w:type="dxa"/>
            <w:tcBorders>
              <w:top w:val="nil"/>
              <w:left w:val="nil"/>
              <w:bottom w:val="nil"/>
              <w:right w:val="single" w:sz="12" w:space="0" w:color="auto"/>
            </w:tcBorders>
            <w:shd w:val="clear" w:color="auto" w:fill="E2EFD9" w:themeFill="accent6" w:themeFillTint="33"/>
            <w:vAlign w:val="center"/>
            <w:hideMark/>
          </w:tcPr>
          <w:p w14:paraId="6744C551" w14:textId="77777777" w:rsidR="00DE75B1" w:rsidRPr="00DE75B1" w:rsidRDefault="00DE75B1" w:rsidP="00DE75B1">
            <w:pPr>
              <w:spacing w:after="0" w:line="240" w:lineRule="auto"/>
              <w:jc w:val="center"/>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99%</w:t>
            </w:r>
          </w:p>
        </w:tc>
      </w:tr>
      <w:tr w:rsidR="00DE75B1" w:rsidRPr="00DE75B1" w14:paraId="715BCC47" w14:textId="77777777" w:rsidTr="00DE75B1">
        <w:trPr>
          <w:trHeight w:val="436"/>
          <w:jc w:val="center"/>
        </w:trPr>
        <w:tc>
          <w:tcPr>
            <w:tcW w:w="2669" w:type="dxa"/>
            <w:tcBorders>
              <w:top w:val="nil"/>
              <w:left w:val="single" w:sz="12" w:space="0" w:color="auto"/>
              <w:bottom w:val="nil"/>
              <w:right w:val="nil"/>
            </w:tcBorders>
            <w:shd w:val="clear" w:color="auto" w:fill="auto"/>
            <w:noWrap/>
            <w:vAlign w:val="bottom"/>
            <w:hideMark/>
          </w:tcPr>
          <w:p w14:paraId="027B4697" w14:textId="77777777" w:rsidR="00DE75B1" w:rsidRPr="00DE75B1" w:rsidRDefault="00DE75B1" w:rsidP="00DE75B1">
            <w:pPr>
              <w:spacing w:after="0" w:line="240" w:lineRule="auto"/>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Bienes muebles</w:t>
            </w:r>
          </w:p>
        </w:tc>
        <w:tc>
          <w:tcPr>
            <w:tcW w:w="2351" w:type="dxa"/>
            <w:tcBorders>
              <w:top w:val="nil"/>
              <w:left w:val="nil"/>
              <w:bottom w:val="nil"/>
              <w:right w:val="nil"/>
            </w:tcBorders>
            <w:shd w:val="clear" w:color="auto" w:fill="auto"/>
            <w:vAlign w:val="center"/>
            <w:hideMark/>
          </w:tcPr>
          <w:p w14:paraId="4E4FB42B" w14:textId="77777777" w:rsidR="00DE75B1" w:rsidRPr="00DE75B1" w:rsidRDefault="00DE75B1" w:rsidP="00DE75B1">
            <w:pPr>
              <w:spacing w:after="0" w:line="240" w:lineRule="auto"/>
              <w:ind w:firstLineChars="100" w:firstLine="200"/>
              <w:jc w:val="right"/>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74</w:t>
            </w:r>
          </w:p>
        </w:tc>
        <w:tc>
          <w:tcPr>
            <w:tcW w:w="1874" w:type="dxa"/>
            <w:tcBorders>
              <w:top w:val="nil"/>
              <w:left w:val="nil"/>
              <w:bottom w:val="nil"/>
              <w:right w:val="single" w:sz="12" w:space="0" w:color="auto"/>
            </w:tcBorders>
            <w:shd w:val="clear" w:color="auto" w:fill="auto"/>
            <w:vAlign w:val="center"/>
            <w:hideMark/>
          </w:tcPr>
          <w:p w14:paraId="62BFC0FE" w14:textId="77777777" w:rsidR="00DE75B1" w:rsidRPr="00DE75B1" w:rsidRDefault="00DE75B1" w:rsidP="00DE75B1">
            <w:pPr>
              <w:spacing w:after="0" w:line="240" w:lineRule="auto"/>
              <w:jc w:val="center"/>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0,07%</w:t>
            </w:r>
          </w:p>
        </w:tc>
      </w:tr>
      <w:tr w:rsidR="00DE75B1" w:rsidRPr="00DE75B1" w14:paraId="42C84F91" w14:textId="77777777" w:rsidTr="00DE75B1">
        <w:trPr>
          <w:trHeight w:val="436"/>
          <w:jc w:val="center"/>
        </w:trPr>
        <w:tc>
          <w:tcPr>
            <w:tcW w:w="2669" w:type="dxa"/>
            <w:tcBorders>
              <w:top w:val="nil"/>
              <w:left w:val="single" w:sz="12" w:space="0" w:color="auto"/>
              <w:bottom w:val="nil"/>
              <w:right w:val="nil"/>
            </w:tcBorders>
            <w:shd w:val="clear" w:color="000000" w:fill="E2EFDA"/>
            <w:noWrap/>
            <w:vAlign w:val="bottom"/>
            <w:hideMark/>
          </w:tcPr>
          <w:p w14:paraId="69B8B13B" w14:textId="77777777" w:rsidR="00DE75B1" w:rsidRPr="00DE75B1" w:rsidRDefault="00DE75B1" w:rsidP="00DE75B1">
            <w:pPr>
              <w:spacing w:after="0" w:line="240" w:lineRule="auto"/>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Bienes inmuebles</w:t>
            </w:r>
          </w:p>
        </w:tc>
        <w:tc>
          <w:tcPr>
            <w:tcW w:w="2351" w:type="dxa"/>
            <w:tcBorders>
              <w:top w:val="nil"/>
              <w:left w:val="nil"/>
              <w:bottom w:val="nil"/>
              <w:right w:val="nil"/>
            </w:tcBorders>
            <w:shd w:val="clear" w:color="000000" w:fill="E2EFDA"/>
            <w:vAlign w:val="center"/>
            <w:hideMark/>
          </w:tcPr>
          <w:p w14:paraId="6D7424EF" w14:textId="77777777" w:rsidR="00DE75B1" w:rsidRPr="00DE75B1" w:rsidRDefault="00DE75B1" w:rsidP="00DE75B1">
            <w:pPr>
              <w:spacing w:after="0" w:line="240" w:lineRule="auto"/>
              <w:ind w:firstLineChars="100" w:firstLine="200"/>
              <w:jc w:val="right"/>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621</w:t>
            </w:r>
          </w:p>
        </w:tc>
        <w:tc>
          <w:tcPr>
            <w:tcW w:w="1874" w:type="dxa"/>
            <w:tcBorders>
              <w:top w:val="nil"/>
              <w:left w:val="nil"/>
              <w:bottom w:val="nil"/>
              <w:right w:val="single" w:sz="12" w:space="0" w:color="auto"/>
            </w:tcBorders>
            <w:shd w:val="clear" w:color="000000" w:fill="E2EFDA"/>
            <w:vAlign w:val="center"/>
            <w:hideMark/>
          </w:tcPr>
          <w:p w14:paraId="1BB9D25F" w14:textId="77777777" w:rsidR="00DE75B1" w:rsidRPr="00DE75B1" w:rsidRDefault="00DE75B1" w:rsidP="00DE75B1">
            <w:pPr>
              <w:spacing w:after="0" w:line="240" w:lineRule="auto"/>
              <w:jc w:val="center"/>
              <w:rPr>
                <w:rFonts w:ascii="Calibri" w:eastAsia="Times New Roman" w:hAnsi="Calibri" w:cs="Calibri"/>
                <w:color w:val="000000"/>
                <w:sz w:val="20"/>
                <w:szCs w:val="20"/>
                <w:lang w:eastAsia="es-CO"/>
              </w:rPr>
            </w:pPr>
            <w:r w:rsidRPr="00DE75B1">
              <w:rPr>
                <w:rFonts w:ascii="Calibri" w:eastAsia="Times New Roman" w:hAnsi="Calibri" w:cs="Calibri"/>
                <w:color w:val="000000"/>
                <w:sz w:val="20"/>
                <w:szCs w:val="20"/>
                <w:lang w:eastAsia="es-CO"/>
              </w:rPr>
              <w:t>0,6%</w:t>
            </w:r>
          </w:p>
        </w:tc>
      </w:tr>
      <w:tr w:rsidR="00DE75B1" w:rsidRPr="00DE75B1" w14:paraId="2032BB86" w14:textId="77777777" w:rsidTr="00DE75B1">
        <w:trPr>
          <w:trHeight w:val="451"/>
          <w:jc w:val="center"/>
        </w:trPr>
        <w:tc>
          <w:tcPr>
            <w:tcW w:w="2669" w:type="dxa"/>
            <w:tcBorders>
              <w:top w:val="nil"/>
              <w:left w:val="single" w:sz="12" w:space="0" w:color="auto"/>
              <w:bottom w:val="single" w:sz="12" w:space="0" w:color="auto"/>
              <w:right w:val="nil"/>
            </w:tcBorders>
            <w:shd w:val="clear" w:color="000000" w:fill="A9D08E"/>
            <w:noWrap/>
            <w:vAlign w:val="bottom"/>
            <w:hideMark/>
          </w:tcPr>
          <w:p w14:paraId="19A14B57" w14:textId="77777777" w:rsidR="00DE75B1" w:rsidRPr="00DE75B1" w:rsidRDefault="00DE75B1" w:rsidP="00DE75B1">
            <w:pPr>
              <w:spacing w:after="0" w:line="240" w:lineRule="auto"/>
              <w:jc w:val="center"/>
              <w:rPr>
                <w:rFonts w:ascii="Calibri" w:eastAsia="Times New Roman" w:hAnsi="Calibri" w:cs="Calibri"/>
                <w:b/>
                <w:bCs/>
                <w:color w:val="000000"/>
                <w:sz w:val="20"/>
                <w:szCs w:val="20"/>
                <w:lang w:eastAsia="es-CO"/>
              </w:rPr>
            </w:pPr>
            <w:r w:rsidRPr="00DE75B1">
              <w:rPr>
                <w:rFonts w:ascii="Calibri" w:eastAsia="Times New Roman" w:hAnsi="Calibri" w:cs="Calibri"/>
                <w:b/>
                <w:bCs/>
                <w:color w:val="000000"/>
                <w:sz w:val="20"/>
                <w:szCs w:val="20"/>
                <w:lang w:eastAsia="es-CO"/>
              </w:rPr>
              <w:t>Total</w:t>
            </w:r>
          </w:p>
        </w:tc>
        <w:tc>
          <w:tcPr>
            <w:tcW w:w="2351" w:type="dxa"/>
            <w:tcBorders>
              <w:top w:val="nil"/>
              <w:left w:val="nil"/>
              <w:bottom w:val="single" w:sz="12" w:space="0" w:color="auto"/>
              <w:right w:val="nil"/>
            </w:tcBorders>
            <w:shd w:val="clear" w:color="000000" w:fill="A9D08E"/>
            <w:noWrap/>
            <w:vAlign w:val="bottom"/>
            <w:hideMark/>
          </w:tcPr>
          <w:p w14:paraId="5BD3FE07" w14:textId="77777777" w:rsidR="00DE75B1" w:rsidRPr="00DE75B1" w:rsidRDefault="00DE75B1" w:rsidP="00DE75B1">
            <w:pPr>
              <w:spacing w:after="0" w:line="240" w:lineRule="auto"/>
              <w:jc w:val="right"/>
              <w:rPr>
                <w:rFonts w:ascii="Calibri" w:eastAsia="Times New Roman" w:hAnsi="Calibri" w:cs="Calibri"/>
                <w:b/>
                <w:bCs/>
                <w:color w:val="000000"/>
                <w:sz w:val="20"/>
                <w:szCs w:val="20"/>
                <w:lang w:eastAsia="es-CO"/>
              </w:rPr>
            </w:pPr>
            <w:r w:rsidRPr="00DE75B1">
              <w:rPr>
                <w:rFonts w:ascii="Calibri" w:eastAsia="Times New Roman" w:hAnsi="Calibri" w:cs="Calibri"/>
                <w:b/>
                <w:bCs/>
                <w:color w:val="000000"/>
                <w:sz w:val="20"/>
                <w:szCs w:val="20"/>
                <w:lang w:eastAsia="es-CO"/>
              </w:rPr>
              <w:t>101.212</w:t>
            </w:r>
          </w:p>
        </w:tc>
        <w:tc>
          <w:tcPr>
            <w:tcW w:w="1874" w:type="dxa"/>
            <w:tcBorders>
              <w:top w:val="nil"/>
              <w:left w:val="nil"/>
              <w:bottom w:val="single" w:sz="12" w:space="0" w:color="auto"/>
              <w:right w:val="single" w:sz="12" w:space="0" w:color="auto"/>
            </w:tcBorders>
            <w:shd w:val="clear" w:color="000000" w:fill="A9D08E"/>
            <w:noWrap/>
            <w:vAlign w:val="bottom"/>
            <w:hideMark/>
          </w:tcPr>
          <w:p w14:paraId="6EC53FF0" w14:textId="77777777" w:rsidR="00DE75B1" w:rsidRPr="00DE75B1" w:rsidRDefault="00DE75B1" w:rsidP="00DE75B1">
            <w:pPr>
              <w:spacing w:after="0" w:line="240" w:lineRule="auto"/>
              <w:rPr>
                <w:rFonts w:ascii="Calibri" w:eastAsia="Times New Roman" w:hAnsi="Calibri" w:cs="Calibri"/>
                <w:b/>
                <w:bCs/>
                <w:color w:val="000000"/>
                <w:sz w:val="20"/>
                <w:szCs w:val="20"/>
                <w:lang w:eastAsia="es-CO"/>
              </w:rPr>
            </w:pPr>
            <w:r w:rsidRPr="00DE75B1">
              <w:rPr>
                <w:rFonts w:ascii="Calibri" w:eastAsia="Times New Roman" w:hAnsi="Calibri" w:cs="Calibri"/>
                <w:b/>
                <w:bCs/>
                <w:color w:val="000000"/>
                <w:sz w:val="20"/>
                <w:szCs w:val="20"/>
                <w:lang w:eastAsia="es-CO"/>
              </w:rPr>
              <w:t> </w:t>
            </w:r>
          </w:p>
        </w:tc>
      </w:tr>
    </w:tbl>
    <w:p w14:paraId="5550B55B" w14:textId="7964D62E" w:rsidR="00DE75B1" w:rsidRPr="00DE75B1" w:rsidRDefault="00DE75B1" w:rsidP="00DE75B1">
      <w:pPr>
        <w:spacing w:after="0" w:line="240" w:lineRule="auto"/>
        <w:jc w:val="center"/>
        <w:rPr>
          <w:rFonts w:ascii="Arial" w:hAnsi="Arial" w:cs="Arial"/>
          <w:sz w:val="16"/>
          <w:szCs w:val="16"/>
          <w:lang w:eastAsia="es-CO"/>
        </w:rPr>
      </w:pPr>
      <w:r w:rsidRPr="00DE75B1">
        <w:rPr>
          <w:rFonts w:ascii="Arial" w:hAnsi="Arial" w:cs="Arial"/>
          <w:sz w:val="16"/>
          <w:szCs w:val="16"/>
          <w:lang w:eastAsia="es-CO"/>
        </w:rPr>
        <w:t>Fuente: Delegada de Medidas Especiales SNS</w:t>
      </w:r>
      <w:r w:rsidR="00115030">
        <w:rPr>
          <w:rFonts w:ascii="Arial" w:hAnsi="Arial" w:cs="Arial"/>
          <w:sz w:val="16"/>
          <w:szCs w:val="16"/>
          <w:lang w:eastAsia="es-CO"/>
        </w:rPr>
        <w:t>.</w:t>
      </w:r>
    </w:p>
    <w:p w14:paraId="144A4E4F" w14:textId="77777777" w:rsidR="00DE75B1" w:rsidRPr="00DE75B1" w:rsidRDefault="00DE75B1" w:rsidP="00DE75B1">
      <w:pPr>
        <w:spacing w:after="0" w:line="240" w:lineRule="auto"/>
        <w:jc w:val="both"/>
        <w:rPr>
          <w:rFonts w:ascii="Arial" w:hAnsi="Arial" w:cs="Arial"/>
          <w:lang w:val="es-ES" w:eastAsia="es-CO"/>
        </w:rPr>
      </w:pPr>
    </w:p>
    <w:p w14:paraId="01AAF5E9" w14:textId="5E211761" w:rsidR="00DE75B1" w:rsidRPr="00DE75B1" w:rsidRDefault="00DE75B1" w:rsidP="00DE75B1">
      <w:pPr>
        <w:spacing w:after="0" w:line="240" w:lineRule="auto"/>
        <w:jc w:val="both"/>
        <w:rPr>
          <w:rFonts w:ascii="Arial" w:hAnsi="Arial" w:cs="Arial"/>
          <w:lang w:val="es-ES" w:eastAsia="es-CO"/>
        </w:rPr>
      </w:pPr>
      <w:r w:rsidRPr="00DE75B1">
        <w:rPr>
          <w:rFonts w:ascii="Arial" w:hAnsi="Arial" w:cs="Arial"/>
          <w:lang w:val="es-ES" w:eastAsia="es-CO"/>
        </w:rPr>
        <w:t xml:space="preserve">De acuerdo con los estados financieros revelados por la EPS con corte a junio de 2021, cuenta con </w:t>
      </w:r>
      <w:r>
        <w:rPr>
          <w:rFonts w:ascii="Arial" w:hAnsi="Arial" w:cs="Arial"/>
          <w:lang w:val="es-ES" w:eastAsia="es-CO"/>
        </w:rPr>
        <w:t>$</w:t>
      </w:r>
      <w:r w:rsidRPr="00DE75B1">
        <w:rPr>
          <w:rFonts w:ascii="Arial" w:hAnsi="Arial" w:cs="Arial"/>
          <w:lang w:val="es-ES" w:eastAsia="es-CO"/>
        </w:rPr>
        <w:t>101.212 millones, de los cuales el 99% están representados en cuentas por cobrar.</w:t>
      </w:r>
    </w:p>
    <w:p w14:paraId="61B55132" w14:textId="03F8D8DD" w:rsidR="000E26BF" w:rsidRPr="00DE75B1" w:rsidRDefault="000E26BF" w:rsidP="001B0240">
      <w:pPr>
        <w:pStyle w:val="xxmsonormal"/>
        <w:shd w:val="clear" w:color="auto" w:fill="FFFFFF"/>
        <w:spacing w:before="0" w:beforeAutospacing="0" w:after="0" w:afterAutospacing="0"/>
        <w:jc w:val="both"/>
        <w:rPr>
          <w:rFonts w:ascii="Arial" w:hAnsi="Arial" w:cs="Arial"/>
          <w:b/>
          <w:bCs/>
          <w:color w:val="201F1E"/>
          <w:sz w:val="22"/>
          <w:szCs w:val="22"/>
          <w:bdr w:val="none" w:sz="0" w:space="0" w:color="auto" w:frame="1"/>
          <w:shd w:val="clear" w:color="auto" w:fill="FFFF00"/>
          <w:lang w:val="es-ES"/>
        </w:rPr>
      </w:pPr>
    </w:p>
    <w:p w14:paraId="0F4CD61F" w14:textId="65688E24" w:rsidR="001B0240" w:rsidRPr="00C31D64" w:rsidRDefault="001B0240" w:rsidP="00F75836">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t xml:space="preserve">11. Si bien </w:t>
      </w:r>
      <w:proofErr w:type="gramStart"/>
      <w:r w:rsidRPr="00C31D64">
        <w:rPr>
          <w:rFonts w:ascii="Arial" w:hAnsi="Arial" w:cs="Arial"/>
          <w:b/>
          <w:bCs/>
          <w:color w:val="201F1E"/>
          <w:sz w:val="22"/>
          <w:szCs w:val="22"/>
          <w:bdr w:val="none" w:sz="0" w:space="0" w:color="auto" w:frame="1"/>
          <w:lang w:val="es-ES"/>
        </w:rPr>
        <w:t>al día de hoy</w:t>
      </w:r>
      <w:proofErr w:type="gramEnd"/>
      <w:r w:rsidRPr="00C31D64">
        <w:rPr>
          <w:rFonts w:ascii="Arial" w:hAnsi="Arial" w:cs="Arial"/>
          <w:b/>
          <w:bCs/>
          <w:color w:val="201F1E"/>
          <w:sz w:val="22"/>
          <w:szCs w:val="22"/>
          <w:bdr w:val="none" w:sz="0" w:space="0" w:color="auto" w:frame="1"/>
          <w:lang w:val="es-ES"/>
        </w:rPr>
        <w:t xml:space="preserve"> se encuentra reglamentada la integración vertical, y muchas EPS se cuidan de no reportarla de forma directa ¿De qué forma se va a proteger la estabilidad económica de las demás IPS, dado que para las EPS siempre prima la red propia?</w:t>
      </w:r>
    </w:p>
    <w:p w14:paraId="44A3B504" w14:textId="77777777" w:rsidR="00F75836" w:rsidRDefault="00F75836" w:rsidP="00F75836">
      <w:pPr>
        <w:spacing w:after="0" w:line="240" w:lineRule="auto"/>
        <w:jc w:val="both"/>
        <w:rPr>
          <w:rFonts w:ascii="Arial" w:hAnsi="Arial" w:cs="Arial"/>
        </w:rPr>
      </w:pPr>
    </w:p>
    <w:p w14:paraId="7A543110" w14:textId="7DCEBBC0" w:rsidR="00E10486" w:rsidRDefault="00E10486" w:rsidP="00F75836">
      <w:pPr>
        <w:spacing w:after="0" w:line="240" w:lineRule="auto"/>
        <w:jc w:val="both"/>
        <w:rPr>
          <w:rFonts w:ascii="Arial" w:hAnsi="Arial" w:cs="Arial"/>
        </w:rPr>
      </w:pPr>
      <w:r w:rsidRPr="006E2526">
        <w:rPr>
          <w:rFonts w:ascii="Arial" w:hAnsi="Arial" w:cs="Arial"/>
        </w:rPr>
        <w:t>En cuanto a la integración vertical en el sector, específicamente de la relación contractual de una EPS con IPS, es relevante realizar algunas aclaraciones conceptuales sobre la integración vertical</w:t>
      </w:r>
      <w:r w:rsidR="002A483A">
        <w:rPr>
          <w:rFonts w:ascii="Arial" w:hAnsi="Arial" w:cs="Arial"/>
        </w:rPr>
        <w:t>, el cual es</w:t>
      </w:r>
      <w:r w:rsidRPr="006E2526">
        <w:rPr>
          <w:rFonts w:ascii="Arial" w:hAnsi="Arial" w:cs="Arial"/>
        </w:rPr>
        <w:t xml:space="preserve"> </w:t>
      </w:r>
      <w:r w:rsidR="002A483A">
        <w:rPr>
          <w:rFonts w:ascii="Arial" w:hAnsi="Arial" w:cs="Arial"/>
        </w:rPr>
        <w:t xml:space="preserve">el </w:t>
      </w:r>
      <w:r w:rsidRPr="006E2526">
        <w:rPr>
          <w:rFonts w:ascii="Arial" w:hAnsi="Arial" w:cs="Arial"/>
        </w:rPr>
        <w:t xml:space="preserve">proceso mediante el cual dos eslabones de una cadena productiva se integran en una sola empresa. </w:t>
      </w:r>
    </w:p>
    <w:p w14:paraId="7F05B21A" w14:textId="77777777" w:rsidR="00F75836" w:rsidRPr="006E2526" w:rsidRDefault="00F75836" w:rsidP="00F75836">
      <w:pPr>
        <w:spacing w:after="0" w:line="240" w:lineRule="auto"/>
        <w:jc w:val="both"/>
        <w:rPr>
          <w:rFonts w:ascii="Arial" w:hAnsi="Arial" w:cs="Arial"/>
        </w:rPr>
      </w:pPr>
    </w:p>
    <w:p w14:paraId="78569D22" w14:textId="665AE195" w:rsidR="00E10486" w:rsidRPr="006E2526" w:rsidRDefault="00E10486" w:rsidP="00E10486">
      <w:pPr>
        <w:jc w:val="both"/>
        <w:rPr>
          <w:rFonts w:ascii="Arial" w:hAnsi="Arial" w:cs="Arial"/>
        </w:rPr>
      </w:pPr>
      <w:r w:rsidRPr="006E2526">
        <w:rPr>
          <w:rFonts w:ascii="Arial" w:hAnsi="Arial" w:cs="Arial"/>
        </w:rPr>
        <w:t xml:space="preserve">La literatura teórica y empírica </w:t>
      </w:r>
      <w:r w:rsidR="005D37EC">
        <w:rPr>
          <w:rFonts w:ascii="Arial" w:hAnsi="Arial" w:cs="Arial"/>
        </w:rPr>
        <w:t xml:space="preserve">sobre el tema </w:t>
      </w:r>
      <w:r w:rsidRPr="006E2526">
        <w:rPr>
          <w:rFonts w:ascii="Arial" w:hAnsi="Arial" w:cs="Arial"/>
        </w:rPr>
        <w:t>revela que la integración vertical entre aseguradores y prestadores en salud puede traer ganancias de eficiencia importantes, entre otros por la reducción de los costos de transacción y un proceso de negociación de precios más eficaz para obtener descuentos significativos</w:t>
      </w:r>
      <w:r w:rsidRPr="006E2526">
        <w:rPr>
          <w:rStyle w:val="Refdenotaalpie"/>
          <w:rFonts w:ascii="Arial" w:hAnsi="Arial" w:cs="Arial"/>
        </w:rPr>
        <w:footnoteReference w:id="5"/>
      </w:r>
      <w:r w:rsidRPr="006E2526">
        <w:rPr>
          <w:rFonts w:ascii="Arial" w:hAnsi="Arial" w:cs="Arial"/>
        </w:rPr>
        <w:t>. En consecuencia, se puede llegar a tener ganancias en calidad ya que facilita la gestión del riesgo en los niveles de promoción y prevención de salud.</w:t>
      </w:r>
    </w:p>
    <w:p w14:paraId="303AC167" w14:textId="399A0FBF" w:rsidR="00E10486" w:rsidRPr="006E2526" w:rsidRDefault="00E10486" w:rsidP="00E10486">
      <w:pPr>
        <w:jc w:val="both"/>
        <w:rPr>
          <w:rFonts w:ascii="Arial" w:hAnsi="Arial" w:cs="Arial"/>
        </w:rPr>
      </w:pPr>
      <w:r w:rsidRPr="006E2526">
        <w:rPr>
          <w:rFonts w:ascii="Arial" w:hAnsi="Arial" w:cs="Arial"/>
        </w:rPr>
        <w:t>Por otro lado, la integración vertical puede también traer distorsiones de competencia importantes, o porque aumenta el costo de los competidores que no integran verticalmente a prestadores en salud, o porque lleva a colación estrategias de forclusión que impiden directamente el funcionamiento de la competencia. Autores como Gaynor, M. (2006), y Cuellar y Gertler (2005) destacan los posibles efectos nocivos para la competencia y la calidad del servicio en el sector.</w:t>
      </w:r>
    </w:p>
    <w:p w14:paraId="3D741263" w14:textId="188E8B4E" w:rsidR="002A483A" w:rsidRDefault="00E10486" w:rsidP="00E10486">
      <w:pPr>
        <w:jc w:val="both"/>
        <w:rPr>
          <w:rFonts w:ascii="Arial" w:hAnsi="Arial" w:cs="Arial"/>
        </w:rPr>
      </w:pPr>
      <w:r w:rsidRPr="006E2526">
        <w:rPr>
          <w:rFonts w:ascii="Arial" w:hAnsi="Arial" w:cs="Arial"/>
        </w:rPr>
        <w:t xml:space="preserve">En este sentido, y de acuerdo con al artículo 15 de la Ley 1122 de 2006, la </w:t>
      </w:r>
      <w:r w:rsidR="002A483A">
        <w:rPr>
          <w:rFonts w:ascii="Arial" w:hAnsi="Arial" w:cs="Arial"/>
        </w:rPr>
        <w:t>S</w:t>
      </w:r>
      <w:r w:rsidRPr="006E2526">
        <w:rPr>
          <w:rFonts w:ascii="Arial" w:hAnsi="Arial" w:cs="Arial"/>
        </w:rPr>
        <w:t xml:space="preserve">uperintendencia hace seguimiento al cumplimiento de la misma, a partir del análisis de la información disponible y la priorización de acciones de verificación sobre las EPS e IPS. Para tal fin, se identifican las relaciones directas de relación patrimonial de las EPS con las IPS, y se realiza el análisis a los costos que causan las EPS con sus propias IPS. Esto con el debido análisis </w:t>
      </w:r>
      <w:r w:rsidRPr="006E2526">
        <w:rPr>
          <w:rFonts w:ascii="Arial" w:hAnsi="Arial" w:cs="Arial"/>
        </w:rPr>
        <w:lastRenderedPageBreak/>
        <w:t>al reporte información, de calidad y veracidad. Vale la pena resaltar que para este seguimiento se tienen en cuenta diferentes fuentes de información de ambos actores, relacionada con facturación, pagos, causación, contratación, prestación de servicios, reportada a la Supersalud y al MSPS. A su vez, en este marco se realizan acciones de inspección para realizar seguimiento a posibles gastos indirectos, que no se pueden identificar fácilmente a partir de la información disponible en las bases de datos y sistemas de información del sector salud. Estas acciones de verificación se realizan no solo sobre la EPS sino IPS que son priorizadas a partir de concentraciones del gasto, pagos, atenciones u otras variables relevantes para el análisis.</w:t>
      </w:r>
    </w:p>
    <w:p w14:paraId="591A5266" w14:textId="445757D0" w:rsidR="00E10486" w:rsidRDefault="00180234" w:rsidP="00E10486">
      <w:pPr>
        <w:jc w:val="both"/>
        <w:rPr>
          <w:rFonts w:ascii="Arial" w:hAnsi="Arial" w:cs="Arial"/>
        </w:rPr>
      </w:pPr>
      <w:r w:rsidRPr="00180234">
        <w:rPr>
          <w:rFonts w:ascii="Arial" w:hAnsi="Arial" w:cs="Arial"/>
        </w:rPr>
        <w:t>Para ejemplificar lo anterior, como resultado del análisis de la información remitida por la ADRES sobre la autorización de giro realizada por SALUDVIDA EPS, esta Superintendencia evidenció en primera instancia una concentración de giros a prestadores de servicios de salud vinculados a la EPS, situación que contradice lo establecido en el Decreto 682 de 2018, incorporado en el Decreto 780 de 2016. Así las cosas y al solicitar a la EPS revisar las autorizaciones de giros, se evidenciaron aspectos adicionales que no tenían antecedente en esta EPS o en otras. Estas situaciones prendieron alarmas a este órgano de control, dado que había indicios sobre un uso inadecuado de los recursos de la UPC. Ante esto y como medida preventiva se informó a la ADRES y se solicitó que no se realizaran los giros hasta que las situaciones observadas se aclarasen por parte de la EPS. Así mismo se emitió una medida cautelar mediante las Resoluciones 00230, 00427 y 000660 de 2019, tendiente a proteger los recursos del sistema respecto a los giros a IPS vinculadas y otras que tienen comportamiento “atípico” en los giros, según información de la Contraloría con funciones de Revisoría Fiscal que tenía esta entidad en el marco de la medida de vigilancia especial ordenada por la SNS.</w:t>
      </w:r>
    </w:p>
    <w:p w14:paraId="0EE5D5E7" w14:textId="7B7B5A37" w:rsidR="00E10486" w:rsidRPr="006E2526" w:rsidRDefault="00E10486" w:rsidP="00E10486">
      <w:pPr>
        <w:jc w:val="both"/>
        <w:rPr>
          <w:rFonts w:ascii="Arial" w:hAnsi="Arial" w:cs="Arial"/>
        </w:rPr>
      </w:pPr>
      <w:r w:rsidRPr="006E2526">
        <w:rPr>
          <w:rFonts w:ascii="Arial" w:hAnsi="Arial" w:cs="Arial"/>
        </w:rPr>
        <w:t xml:space="preserve">Por otra parte, se resalta que esta superintendencia reconoce que la integración </w:t>
      </w:r>
      <w:r w:rsidR="00394AFE" w:rsidRPr="005D37EC">
        <w:rPr>
          <w:rFonts w:ascii="Arial" w:hAnsi="Arial" w:cs="Arial"/>
        </w:rPr>
        <w:t>va</w:t>
      </w:r>
      <w:r w:rsidRPr="006E2526">
        <w:rPr>
          <w:rFonts w:ascii="Arial" w:hAnsi="Arial" w:cs="Arial"/>
        </w:rPr>
        <w:t xml:space="preserve"> </w:t>
      </w:r>
      <w:r w:rsidR="00684060" w:rsidRPr="005D37EC">
        <w:rPr>
          <w:rFonts w:ascii="Arial" w:hAnsi="Arial" w:cs="Arial"/>
        </w:rPr>
        <w:t>más</w:t>
      </w:r>
      <w:r w:rsidRPr="006E2526">
        <w:rPr>
          <w:rFonts w:ascii="Arial" w:hAnsi="Arial" w:cs="Arial"/>
        </w:rPr>
        <w:t xml:space="preserve"> allá de la relación de integración vertical de orden descendente, asegurador prestador, y por lo tanto, esta superintendencia realiza análisis y estudios teniendo en cuenta, entre otros, que:</w:t>
      </w:r>
    </w:p>
    <w:p w14:paraId="224BBBC3" w14:textId="65D0B215" w:rsidR="00E10486" w:rsidRPr="003B7799" w:rsidRDefault="00E10486" w:rsidP="003B7799">
      <w:pPr>
        <w:pStyle w:val="Prrafodelista"/>
        <w:numPr>
          <w:ilvl w:val="0"/>
          <w:numId w:val="19"/>
        </w:numPr>
        <w:jc w:val="both"/>
        <w:rPr>
          <w:rFonts w:ascii="Arial" w:hAnsi="Arial" w:cs="Arial"/>
        </w:rPr>
      </w:pPr>
      <w:r w:rsidRPr="003B7799">
        <w:rPr>
          <w:rFonts w:ascii="Arial" w:hAnsi="Arial" w:cs="Arial"/>
        </w:rPr>
        <w:t>La integración de las entidades en el sector salud es dinámica en el tiempo y tiene implicaciones diferentes según región.</w:t>
      </w:r>
    </w:p>
    <w:p w14:paraId="4E6EEE32" w14:textId="124CC292" w:rsidR="00E10486" w:rsidRPr="003B7799" w:rsidRDefault="00E10486" w:rsidP="003B7799">
      <w:pPr>
        <w:pStyle w:val="Prrafodelista"/>
        <w:numPr>
          <w:ilvl w:val="0"/>
          <w:numId w:val="19"/>
        </w:numPr>
        <w:jc w:val="both"/>
        <w:rPr>
          <w:rFonts w:ascii="Arial" w:hAnsi="Arial" w:cs="Arial"/>
        </w:rPr>
      </w:pPr>
      <w:r w:rsidRPr="003B7799">
        <w:rPr>
          <w:rFonts w:ascii="Arial" w:hAnsi="Arial" w:cs="Arial"/>
        </w:rPr>
        <w:t>La integración no se da únicamente por control directo sino indirecto (ej. Contratación exclusiva-alta dependencia económica).</w:t>
      </w:r>
    </w:p>
    <w:p w14:paraId="10B4E383" w14:textId="25D126F1" w:rsidR="00E10486" w:rsidRPr="003B7799" w:rsidRDefault="00E10486" w:rsidP="003B7799">
      <w:pPr>
        <w:pStyle w:val="Prrafodelista"/>
        <w:numPr>
          <w:ilvl w:val="0"/>
          <w:numId w:val="19"/>
        </w:numPr>
        <w:jc w:val="both"/>
        <w:rPr>
          <w:rFonts w:ascii="Arial" w:hAnsi="Arial" w:cs="Arial"/>
        </w:rPr>
      </w:pPr>
      <w:r w:rsidRPr="003B7799">
        <w:rPr>
          <w:rFonts w:ascii="Arial" w:hAnsi="Arial" w:cs="Arial"/>
        </w:rPr>
        <w:t>La integración en el sector no se presenta únicamente de forma descendente de la cadena (EPS con sus IPS) sino en multiplicidad de formas y entre los diversos eslabones de la cadena: De forma ascendente; Socios Comunes; Entidades intermedias; Compartir negocios</w:t>
      </w:r>
    </w:p>
    <w:p w14:paraId="0688C8EC" w14:textId="63CFC576" w:rsidR="00E10486" w:rsidRPr="003B7799" w:rsidRDefault="00E10486" w:rsidP="003B7799">
      <w:pPr>
        <w:pStyle w:val="Prrafodelista"/>
        <w:numPr>
          <w:ilvl w:val="0"/>
          <w:numId w:val="19"/>
        </w:numPr>
        <w:jc w:val="both"/>
        <w:rPr>
          <w:rFonts w:ascii="Arial" w:hAnsi="Arial" w:cs="Arial"/>
        </w:rPr>
      </w:pPr>
      <w:r w:rsidRPr="003B7799">
        <w:rPr>
          <w:rFonts w:ascii="Arial" w:hAnsi="Arial" w:cs="Arial"/>
        </w:rPr>
        <w:t>Los grupos empresariales no son únicamente los que se encuentran declarados y registrados, sino a su vez aquellos que no lo están, incluyendo vinculados económicos, y control individual o conjunto de personas jurídicas y naturales.</w:t>
      </w:r>
    </w:p>
    <w:p w14:paraId="7406F3D0" w14:textId="34D73EDF" w:rsidR="00E10486" w:rsidRPr="003B7799" w:rsidRDefault="00E10486" w:rsidP="003B7799">
      <w:pPr>
        <w:pStyle w:val="Prrafodelista"/>
        <w:numPr>
          <w:ilvl w:val="0"/>
          <w:numId w:val="19"/>
        </w:numPr>
        <w:jc w:val="both"/>
        <w:rPr>
          <w:rFonts w:ascii="Arial" w:hAnsi="Arial" w:cs="Arial"/>
        </w:rPr>
      </w:pPr>
      <w:r w:rsidRPr="003B7799">
        <w:rPr>
          <w:rFonts w:ascii="Arial" w:hAnsi="Arial" w:cs="Arial"/>
        </w:rPr>
        <w:t>Tener propiedad accionaria no implica el control sobre las decisiones de la entidad.</w:t>
      </w:r>
    </w:p>
    <w:p w14:paraId="3C208151" w14:textId="77777777" w:rsidR="00486146" w:rsidRDefault="00486146" w:rsidP="003B7799">
      <w:pPr>
        <w:spacing w:after="0" w:line="240" w:lineRule="auto"/>
        <w:jc w:val="both"/>
        <w:rPr>
          <w:rFonts w:ascii="Arial" w:hAnsi="Arial" w:cs="Arial"/>
        </w:rPr>
      </w:pPr>
    </w:p>
    <w:p w14:paraId="0C5A6A3B" w14:textId="4093C648" w:rsidR="00E10486" w:rsidRPr="006E2526" w:rsidRDefault="00E10486" w:rsidP="003B7799">
      <w:pPr>
        <w:spacing w:after="0" w:line="240" w:lineRule="auto"/>
        <w:jc w:val="both"/>
        <w:rPr>
          <w:rFonts w:ascii="Arial" w:hAnsi="Arial" w:cs="Arial"/>
        </w:rPr>
      </w:pPr>
      <w:r w:rsidRPr="006E2526">
        <w:rPr>
          <w:rFonts w:ascii="Arial" w:hAnsi="Arial" w:cs="Arial"/>
        </w:rPr>
        <w:t xml:space="preserve">Teniendo en cuenta lo anterior, y dado que hace falta mayores estudios académicos sobre el efecto de la integración vertical en el sector salud, se reconoce que “el reto del sector de la salud y a ello debe apuntar la supervisión es a verificar que las relaciones establecidas entre los prestadores y los aseguradores no vayan a conducir ni a una desmedida asunción </w:t>
      </w:r>
      <w:r w:rsidRPr="006E2526">
        <w:rPr>
          <w:rFonts w:ascii="Arial" w:hAnsi="Arial" w:cs="Arial"/>
        </w:rPr>
        <w:lastRenderedPageBreak/>
        <w:t>de riesgos por parte de ninguno de los dos agentes, ni a provocar desmejoramientos en los niveles y en la calidad de atención a los consumidores”</w:t>
      </w:r>
      <w:r w:rsidRPr="006E2526">
        <w:rPr>
          <w:rStyle w:val="Refdenotaalpie"/>
          <w:rFonts w:ascii="Arial" w:hAnsi="Arial" w:cs="Arial"/>
        </w:rPr>
        <w:footnoteReference w:id="6"/>
      </w:r>
      <w:r w:rsidRPr="006E2526">
        <w:rPr>
          <w:rFonts w:ascii="Arial" w:hAnsi="Arial" w:cs="Arial"/>
        </w:rPr>
        <w:t>. Es así como de forma permanente, esta superintendencia encamina acciones de supervisión, no solo a la verificación del cumplimiento de la normatividad vigente relacionada con integración vertical entre EPS e IPS, sino a su vez sobre las relaciones contractuales y condiciones que se dan alrededor de estas. Reconociendo tanto los posibles riesgos para el mercado y el gasto en salud, por posibles acciones irregulares que atenten contra la competencia o se consoliden como extracción de rentas; así como los beneficios en eficiencia que se reflejan en una mejor gestión de salud especialmente en los servicios para la promoción y prevención de la salud.</w:t>
      </w:r>
    </w:p>
    <w:p w14:paraId="30F71333" w14:textId="002A86C3" w:rsidR="00E10486" w:rsidRPr="006E2526" w:rsidRDefault="00E10486" w:rsidP="00E10486">
      <w:pPr>
        <w:jc w:val="both"/>
        <w:rPr>
          <w:rFonts w:ascii="Arial" w:hAnsi="Arial" w:cs="Arial"/>
        </w:rPr>
      </w:pPr>
      <w:r w:rsidRPr="006E2526">
        <w:rPr>
          <w:rFonts w:ascii="Arial" w:hAnsi="Arial" w:cs="Arial"/>
        </w:rPr>
        <w:t xml:space="preserve">En esta línea, y en búsqueda de generar incentivos para evitar las prácticas riesgosas que surgen de la integración en todo sentido entre las EPS y sus proveedores, </w:t>
      </w:r>
      <w:r w:rsidR="00486146">
        <w:rPr>
          <w:rFonts w:ascii="Arial" w:hAnsi="Arial" w:cs="Arial"/>
        </w:rPr>
        <w:t>la</w:t>
      </w:r>
      <w:r w:rsidR="00486146" w:rsidRPr="006E2526">
        <w:rPr>
          <w:rFonts w:ascii="Arial" w:hAnsi="Arial" w:cs="Arial"/>
        </w:rPr>
        <w:t xml:space="preserve"> </w:t>
      </w:r>
      <w:r w:rsidRPr="006E2526">
        <w:rPr>
          <w:rFonts w:ascii="Arial" w:hAnsi="Arial" w:cs="Arial"/>
        </w:rPr>
        <w:t>superintendencia emitió lineamientos en la gestión de riesgos de grupos empresariales, y de gobierno corporativo. De acuerdo con esto, se han realizado acciones para el seguimiento a la adopción de políticas que ayudan al tratamiento y control de los riesgos inherentes a la existencia de grupos empresariales.</w:t>
      </w:r>
    </w:p>
    <w:p w14:paraId="052E6E59" w14:textId="73875DA0" w:rsidR="00E10486" w:rsidRDefault="00E10486" w:rsidP="00E10486">
      <w:pPr>
        <w:jc w:val="both"/>
        <w:rPr>
          <w:rFonts w:ascii="Arial" w:hAnsi="Arial" w:cs="Arial"/>
        </w:rPr>
      </w:pPr>
      <w:r w:rsidRPr="006E2526">
        <w:rPr>
          <w:rFonts w:ascii="Arial" w:hAnsi="Arial" w:cs="Arial"/>
        </w:rPr>
        <w:t>Por otra parte, y con el fin de velar por el buen uso de los recursos y la sostenibilidad del sistema,</w:t>
      </w:r>
      <w:r w:rsidR="00486146">
        <w:rPr>
          <w:rFonts w:ascii="Arial" w:hAnsi="Arial" w:cs="Arial"/>
        </w:rPr>
        <w:t xml:space="preserve"> la</w:t>
      </w:r>
      <w:r w:rsidRPr="006E2526">
        <w:rPr>
          <w:rFonts w:ascii="Arial" w:hAnsi="Arial" w:cs="Arial"/>
        </w:rPr>
        <w:t xml:space="preserve"> </w:t>
      </w:r>
      <w:r w:rsidR="00486146">
        <w:rPr>
          <w:rFonts w:ascii="Arial" w:hAnsi="Arial" w:cs="Arial"/>
        </w:rPr>
        <w:t>S</w:t>
      </w:r>
      <w:r w:rsidRPr="006E2526">
        <w:rPr>
          <w:rFonts w:ascii="Arial" w:hAnsi="Arial" w:cs="Arial"/>
        </w:rPr>
        <w:t xml:space="preserve">uperintendencia ha trabajado fortaleciendo su sistema de analítica para la identificación y caracterización de las diferentes figuras de organización industrial y de los vinculados económicos a las EPS. A partir de ello, se ha trabajado de forma articulada con </w:t>
      </w:r>
      <w:r w:rsidR="00394AFE">
        <w:rPr>
          <w:rFonts w:ascii="Arial" w:hAnsi="Arial" w:cs="Arial"/>
        </w:rPr>
        <w:t xml:space="preserve">la Superintendencia de Sociedades </w:t>
      </w:r>
      <w:r w:rsidRPr="006E2526">
        <w:rPr>
          <w:rFonts w:ascii="Arial" w:hAnsi="Arial" w:cs="Arial"/>
        </w:rPr>
        <w:t xml:space="preserve">para la investigación de grupos empresariales, buscando la correcta revelación de acuerdo con las normas vigentes. Aunado a esto, a partir de los resultados de los análisis de la información y de las acciones de inspección, se han priorizado acciones de control preventivas como medidas cautelares sobre los giros directos de las EPS a proveedores vinculados. Con dichas acciones se procura evitar que se consoliden prácticas de trato preferencial en la contratación y pagos.  </w:t>
      </w:r>
    </w:p>
    <w:p w14:paraId="44B72498" w14:textId="47759735" w:rsidR="005D156C" w:rsidRDefault="00E10486" w:rsidP="006E2526">
      <w:pPr>
        <w:jc w:val="both"/>
        <w:rPr>
          <w:rFonts w:ascii="Arial" w:eastAsia="Times New Roman" w:hAnsi="Arial" w:cs="Arial"/>
          <w:color w:val="323130"/>
          <w:lang w:eastAsia="es-CO"/>
        </w:rPr>
      </w:pPr>
      <w:r w:rsidRPr="006E2526">
        <w:rPr>
          <w:rFonts w:ascii="Arial" w:hAnsi="Arial" w:cs="Arial"/>
        </w:rPr>
        <w:t>Así mismo, cabe reiterar los esfuerzos en vigilancia que realiza esta Superintendencia para velar por el flujo de recursos en el sector, tales como las: i) las instrucciones para mejorar la calidad y transparencia de las cifras de pagos de las EPS a IPS</w:t>
      </w:r>
      <w:r w:rsidR="00486146">
        <w:rPr>
          <w:rFonts w:ascii="Arial" w:hAnsi="Arial" w:cs="Arial"/>
        </w:rPr>
        <w:t>;</w:t>
      </w:r>
      <w:r w:rsidRPr="006E2526">
        <w:rPr>
          <w:rFonts w:ascii="Arial" w:hAnsi="Arial" w:cs="Arial"/>
        </w:rPr>
        <w:t xml:space="preserve"> ii) Mesas de flujo de Recursos y seguimiento a los compromisos de pago</w:t>
      </w:r>
      <w:r w:rsidR="00486146">
        <w:rPr>
          <w:rFonts w:ascii="Arial" w:hAnsi="Arial" w:cs="Arial"/>
        </w:rPr>
        <w:t>;</w:t>
      </w:r>
      <w:r w:rsidRPr="006E2526">
        <w:rPr>
          <w:rFonts w:ascii="Arial" w:hAnsi="Arial" w:cs="Arial"/>
        </w:rPr>
        <w:t xml:space="preserve"> iii) la articulación con entidades </w:t>
      </w:r>
      <w:r w:rsidRPr="00EB028B">
        <w:rPr>
          <w:rFonts w:ascii="Arial" w:hAnsi="Arial" w:cs="Arial"/>
        </w:rPr>
        <w:t>territoriales e implementación de instrumento para seguimiento a malas prácticas</w:t>
      </w:r>
      <w:r w:rsidR="00486146">
        <w:rPr>
          <w:rFonts w:ascii="Arial" w:hAnsi="Arial" w:cs="Arial"/>
        </w:rPr>
        <w:t>;</w:t>
      </w:r>
      <w:r w:rsidRPr="00EB028B">
        <w:rPr>
          <w:rFonts w:ascii="Arial" w:hAnsi="Arial" w:cs="Arial"/>
        </w:rPr>
        <w:t xml:space="preserve"> iv) publicación de información e informes para fortalecer el control </w:t>
      </w:r>
      <w:r w:rsidR="00EB028B" w:rsidRPr="00EB028B">
        <w:rPr>
          <w:rFonts w:ascii="Arial" w:hAnsi="Arial" w:cs="Arial"/>
        </w:rPr>
        <w:t>social; adicionalmente</w:t>
      </w:r>
      <w:r w:rsidR="00486146">
        <w:rPr>
          <w:rFonts w:ascii="Arial" w:hAnsi="Arial" w:cs="Arial"/>
        </w:rPr>
        <w:t>;</w:t>
      </w:r>
      <w:r w:rsidR="00EB028B" w:rsidRPr="00EB028B">
        <w:rPr>
          <w:rFonts w:ascii="Arial" w:hAnsi="Arial" w:cs="Arial"/>
        </w:rPr>
        <w:t xml:space="preserve"> v) </w:t>
      </w:r>
      <w:r w:rsidR="00EB028B" w:rsidRPr="00EB028B">
        <w:rPr>
          <w:rFonts w:ascii="Arial" w:eastAsia="Times New Roman" w:hAnsi="Arial" w:cs="Arial"/>
          <w:color w:val="323130"/>
          <w:lang w:eastAsia="es-CO"/>
        </w:rPr>
        <w:t>se efectúan seguimientos que evalúan</w:t>
      </w:r>
      <w:r w:rsidR="00486146">
        <w:rPr>
          <w:rFonts w:ascii="Arial" w:eastAsia="Times New Roman" w:hAnsi="Arial" w:cs="Arial"/>
          <w:color w:val="323130"/>
          <w:lang w:eastAsia="es-CO"/>
        </w:rPr>
        <w:t>,</w:t>
      </w:r>
      <w:r w:rsidR="00EB028B" w:rsidRPr="00EB028B">
        <w:rPr>
          <w:rFonts w:ascii="Arial" w:eastAsia="Times New Roman" w:hAnsi="Arial" w:cs="Arial"/>
          <w:color w:val="323130"/>
          <w:lang w:eastAsia="es-CO"/>
        </w:rPr>
        <w:t xml:space="preserve"> entre otros aspectos, la relación y nivel de concentración entre EPS e IPS cuando esa relación no es directa y, por lo tanto, no se enmarca en el artículo 15 de la Ley 1122 de 2007, con el fin de identificar todas las figuras de integración que se puedan presentar en el SGSSS.</w:t>
      </w:r>
    </w:p>
    <w:p w14:paraId="4AA5E864" w14:textId="77777777" w:rsidR="008271D2" w:rsidRPr="008271D2" w:rsidRDefault="008271D2" w:rsidP="008271D2">
      <w:pPr>
        <w:shd w:val="clear" w:color="auto" w:fill="FFFFFF"/>
        <w:spacing w:after="0" w:line="240" w:lineRule="auto"/>
        <w:jc w:val="both"/>
        <w:rPr>
          <w:rFonts w:ascii="Arial" w:eastAsia="Times New Roman" w:hAnsi="Arial" w:cs="Arial"/>
          <w:color w:val="323130"/>
          <w:lang w:eastAsia="es-CO"/>
        </w:rPr>
      </w:pPr>
      <w:r w:rsidRPr="008271D2">
        <w:rPr>
          <w:rFonts w:ascii="Arial" w:eastAsia="Times New Roman" w:hAnsi="Arial" w:cs="Arial"/>
          <w:color w:val="323130"/>
          <w:lang w:eastAsia="es-CO"/>
        </w:rPr>
        <w:t>Dentro de esos seguimientos se evalúa la dependencia económica, contractual y de flujo de recursos entre EPS e IPS, así como las posibles triangulaciones de recursos que vinculen alguna relación entre EPS e IPS con entidades en común, buscando identificar además posibles desvíos de recursos.</w:t>
      </w:r>
    </w:p>
    <w:p w14:paraId="59D1218A" w14:textId="77777777" w:rsidR="008271D2" w:rsidRPr="008271D2" w:rsidRDefault="008271D2" w:rsidP="008271D2">
      <w:pPr>
        <w:shd w:val="clear" w:color="auto" w:fill="FFFFFF"/>
        <w:spacing w:after="0" w:line="240" w:lineRule="auto"/>
        <w:jc w:val="both"/>
        <w:rPr>
          <w:rFonts w:ascii="Arial" w:eastAsia="Times New Roman" w:hAnsi="Arial" w:cs="Arial"/>
          <w:color w:val="323130"/>
          <w:lang w:eastAsia="es-CO"/>
        </w:rPr>
      </w:pPr>
      <w:r w:rsidRPr="008271D2">
        <w:rPr>
          <w:rFonts w:ascii="Arial" w:eastAsia="Times New Roman" w:hAnsi="Arial" w:cs="Arial"/>
          <w:color w:val="323130"/>
          <w:lang w:eastAsia="es-CO"/>
        </w:rPr>
        <w:t> </w:t>
      </w:r>
    </w:p>
    <w:p w14:paraId="47008379" w14:textId="3F31B3BD" w:rsidR="008271D2" w:rsidRPr="008271D2" w:rsidRDefault="008271D2" w:rsidP="008271D2">
      <w:pPr>
        <w:shd w:val="clear" w:color="auto" w:fill="FFFFFF"/>
        <w:spacing w:after="0" w:line="240" w:lineRule="auto"/>
        <w:jc w:val="both"/>
        <w:rPr>
          <w:rFonts w:ascii="Arial" w:eastAsia="Times New Roman" w:hAnsi="Arial" w:cs="Arial"/>
          <w:color w:val="323130"/>
          <w:lang w:eastAsia="es-CO"/>
        </w:rPr>
      </w:pPr>
      <w:r w:rsidRPr="008271D2">
        <w:rPr>
          <w:rFonts w:ascii="Arial" w:eastAsia="Times New Roman" w:hAnsi="Arial" w:cs="Arial"/>
          <w:color w:val="323130"/>
          <w:lang w:eastAsia="es-CO"/>
        </w:rPr>
        <w:t xml:space="preserve">Producto de estos seguimientos, la Superintendencia ha desarrollado acciones de inspección y vigilancia a través de visitas inspectivas y auditorías documentales, que han generado indicios de la conformación algunos grupos económicos, sobre los cuales se ha </w:t>
      </w:r>
      <w:r w:rsidRPr="008271D2">
        <w:rPr>
          <w:rFonts w:ascii="Arial" w:eastAsia="Times New Roman" w:hAnsi="Arial" w:cs="Arial"/>
          <w:color w:val="323130"/>
          <w:lang w:eastAsia="es-CO"/>
        </w:rPr>
        <w:lastRenderedPageBreak/>
        <w:t xml:space="preserve">dado traslado, en este caso, a la Superintendencia de Sociedades para </w:t>
      </w:r>
      <w:r w:rsidR="003D53F5" w:rsidRPr="008271D2">
        <w:rPr>
          <w:rFonts w:ascii="Arial" w:eastAsia="Times New Roman" w:hAnsi="Arial" w:cs="Arial"/>
          <w:color w:val="323130"/>
          <w:lang w:eastAsia="es-CO"/>
        </w:rPr>
        <w:t>que,</w:t>
      </w:r>
      <w:r w:rsidRPr="008271D2">
        <w:rPr>
          <w:rFonts w:ascii="Arial" w:eastAsia="Times New Roman" w:hAnsi="Arial" w:cs="Arial"/>
          <w:color w:val="323130"/>
          <w:lang w:eastAsia="es-CO"/>
        </w:rPr>
        <w:t xml:space="preserve"> en los análisis propios de dicha Superintendencia, proceda a la respectiva declaratoria del grupo económico</w:t>
      </w:r>
      <w:r w:rsidR="00E016FE">
        <w:rPr>
          <w:rFonts w:ascii="Arial" w:eastAsia="Times New Roman" w:hAnsi="Arial" w:cs="Arial"/>
          <w:color w:val="323130"/>
          <w:lang w:eastAsia="es-CO"/>
        </w:rPr>
        <w:t xml:space="preserve">. Un antecedente relevante se dio </w:t>
      </w:r>
      <w:r w:rsidRPr="008271D2">
        <w:rPr>
          <w:rFonts w:ascii="Arial" w:eastAsia="Times New Roman" w:hAnsi="Arial" w:cs="Arial"/>
          <w:color w:val="323130"/>
          <w:lang w:eastAsia="es-CO"/>
        </w:rPr>
        <w:t>con la declaración del grupo conformado alrededor de la EPS Saludvida, hoy en liquidación.</w:t>
      </w:r>
    </w:p>
    <w:p w14:paraId="4CB9C66C" w14:textId="77777777" w:rsidR="00F75836" w:rsidRDefault="00F75836" w:rsidP="001B0240">
      <w:pPr>
        <w:pStyle w:val="xxmsonormal"/>
        <w:shd w:val="clear" w:color="auto" w:fill="FFFFFF"/>
        <w:spacing w:before="0" w:beforeAutospacing="0" w:after="0" w:afterAutospacing="0"/>
        <w:jc w:val="both"/>
        <w:rPr>
          <w:rFonts w:ascii="Arial" w:hAnsi="Arial" w:cs="Arial"/>
          <w:b/>
          <w:bCs/>
          <w:color w:val="201F1E"/>
          <w:sz w:val="22"/>
          <w:szCs w:val="22"/>
          <w:bdr w:val="none" w:sz="0" w:space="0" w:color="auto" w:frame="1"/>
          <w:lang w:val="es-ES"/>
        </w:rPr>
      </w:pPr>
    </w:p>
    <w:p w14:paraId="680841F9" w14:textId="2F82EC8E" w:rsidR="001B0240" w:rsidRPr="00C31D64"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t xml:space="preserve">12. Por qué razón la intervención de giros realizada por los contralores designados por la Superintendencia Nacional de Salud </w:t>
      </w:r>
      <w:bookmarkStart w:id="4" w:name="_Hlk81679418"/>
      <w:r w:rsidRPr="00C31D64">
        <w:rPr>
          <w:rFonts w:ascii="Arial" w:hAnsi="Arial" w:cs="Arial"/>
          <w:b/>
          <w:bCs/>
          <w:color w:val="201F1E"/>
          <w:sz w:val="22"/>
          <w:szCs w:val="22"/>
          <w:bdr w:val="none" w:sz="0" w:space="0" w:color="auto" w:frame="1"/>
          <w:lang w:val="es-ES"/>
        </w:rPr>
        <w:t>solo afecta a las IPS privadas y no a la red pública</w:t>
      </w:r>
      <w:bookmarkEnd w:id="4"/>
      <w:r w:rsidRPr="00C31D64">
        <w:rPr>
          <w:rFonts w:ascii="Arial" w:hAnsi="Arial" w:cs="Arial"/>
          <w:b/>
          <w:bCs/>
          <w:color w:val="201F1E"/>
          <w:sz w:val="22"/>
          <w:szCs w:val="22"/>
          <w:bdr w:val="none" w:sz="0" w:space="0" w:color="auto" w:frame="1"/>
          <w:lang w:val="es-ES"/>
        </w:rPr>
        <w:t>, siendo que el sesenta por ciento (60%) de la red de prestadores a nivel nacional es privada.</w:t>
      </w:r>
    </w:p>
    <w:p w14:paraId="5F4842E2" w14:textId="32DB9FC1" w:rsidR="001B0240" w:rsidRPr="001B0240" w:rsidRDefault="001B0240" w:rsidP="001B0240">
      <w:pPr>
        <w:pStyle w:val="xxmsonormal"/>
        <w:shd w:val="clear" w:color="auto" w:fill="FFFFFF"/>
        <w:spacing w:before="0" w:beforeAutospacing="0" w:after="0" w:afterAutospacing="0"/>
        <w:jc w:val="both"/>
        <w:rPr>
          <w:rFonts w:ascii="Arial" w:hAnsi="Arial" w:cs="Arial"/>
          <w:color w:val="201F1E"/>
          <w:sz w:val="22"/>
          <w:szCs w:val="22"/>
        </w:rPr>
      </w:pPr>
      <w:r w:rsidRPr="001B0240">
        <w:rPr>
          <w:rFonts w:ascii="Arial" w:hAnsi="Arial" w:cs="Arial"/>
          <w:color w:val="201F1E"/>
          <w:sz w:val="22"/>
          <w:szCs w:val="22"/>
          <w:bdr w:val="none" w:sz="0" w:space="0" w:color="auto" w:frame="1"/>
          <w:lang w:val="es-ES"/>
        </w:rPr>
        <w:t> </w:t>
      </w:r>
    </w:p>
    <w:p w14:paraId="137D8A42" w14:textId="4E4EC2E8" w:rsidR="000A2DB0" w:rsidRDefault="005D156C" w:rsidP="005D156C">
      <w:pPr>
        <w:pStyle w:val="xmsonormal"/>
        <w:jc w:val="both"/>
        <w:rPr>
          <w:rFonts w:ascii="Arial" w:hAnsi="Arial" w:cs="Arial"/>
        </w:rPr>
      </w:pPr>
      <w:r w:rsidRPr="001652A2">
        <w:rPr>
          <w:rFonts w:ascii="Arial" w:hAnsi="Arial" w:cs="Arial"/>
        </w:rPr>
        <w:t>La Superintendencia Nacional de Salud en el marco de sus funciones de inspección, vigilancia y control</w:t>
      </w:r>
      <w:r w:rsidR="00B96A52">
        <w:rPr>
          <w:rFonts w:ascii="Arial" w:hAnsi="Arial" w:cs="Arial"/>
        </w:rPr>
        <w:t xml:space="preserve"> ha realizado </w:t>
      </w:r>
      <w:r w:rsidR="00722509">
        <w:rPr>
          <w:rFonts w:ascii="Arial" w:hAnsi="Arial" w:cs="Arial"/>
        </w:rPr>
        <w:t>análisis del flujo de recursos</w:t>
      </w:r>
      <w:r w:rsidR="00120A0F">
        <w:rPr>
          <w:rFonts w:ascii="Arial" w:hAnsi="Arial" w:cs="Arial"/>
        </w:rPr>
        <w:t xml:space="preserve"> del sistema</w:t>
      </w:r>
      <w:r w:rsidR="00D3042F">
        <w:rPr>
          <w:rFonts w:ascii="Arial" w:hAnsi="Arial" w:cs="Arial"/>
        </w:rPr>
        <w:t xml:space="preserve"> en </w:t>
      </w:r>
      <w:r w:rsidR="009E258F">
        <w:rPr>
          <w:rFonts w:ascii="Arial" w:hAnsi="Arial" w:cs="Arial"/>
        </w:rPr>
        <w:t xml:space="preserve">IPS </w:t>
      </w:r>
      <w:r w:rsidR="00F977E0">
        <w:rPr>
          <w:rFonts w:ascii="Arial" w:hAnsi="Arial" w:cs="Arial"/>
        </w:rPr>
        <w:t>públicas</w:t>
      </w:r>
      <w:r w:rsidR="009E258F">
        <w:rPr>
          <w:rFonts w:ascii="Arial" w:hAnsi="Arial" w:cs="Arial"/>
        </w:rPr>
        <w:t xml:space="preserve"> y privadas, así como </w:t>
      </w:r>
      <w:r w:rsidR="00F977E0">
        <w:rPr>
          <w:rFonts w:ascii="Arial" w:hAnsi="Arial" w:cs="Arial"/>
        </w:rPr>
        <w:t xml:space="preserve">a los proveedores de tecnologías en salud </w:t>
      </w:r>
      <w:r w:rsidR="00AF1621">
        <w:rPr>
          <w:rFonts w:ascii="Arial" w:hAnsi="Arial" w:cs="Arial"/>
        </w:rPr>
        <w:t xml:space="preserve">frente a diferentes componentes </w:t>
      </w:r>
      <w:r w:rsidR="007E3DAD">
        <w:rPr>
          <w:rFonts w:ascii="Arial" w:hAnsi="Arial" w:cs="Arial"/>
        </w:rPr>
        <w:t>tales como</w:t>
      </w:r>
      <w:r w:rsidR="0014446A">
        <w:rPr>
          <w:rFonts w:ascii="Arial" w:hAnsi="Arial" w:cs="Arial"/>
        </w:rPr>
        <w:t xml:space="preserve">, pagos por parte de las EPS, </w:t>
      </w:r>
      <w:r w:rsidR="002A5C92">
        <w:rPr>
          <w:rFonts w:ascii="Arial" w:hAnsi="Arial" w:cs="Arial"/>
        </w:rPr>
        <w:t>facturación</w:t>
      </w:r>
      <w:r w:rsidR="009C6B4A">
        <w:rPr>
          <w:rFonts w:ascii="Arial" w:hAnsi="Arial" w:cs="Arial"/>
        </w:rPr>
        <w:t xml:space="preserve"> </w:t>
      </w:r>
      <w:r w:rsidR="00E30FDC">
        <w:rPr>
          <w:rFonts w:ascii="Arial" w:hAnsi="Arial" w:cs="Arial"/>
        </w:rPr>
        <w:t>radicada</w:t>
      </w:r>
      <w:r w:rsidR="002E73F6">
        <w:rPr>
          <w:rFonts w:ascii="Arial" w:hAnsi="Arial" w:cs="Arial"/>
        </w:rPr>
        <w:t>, factores de atención</w:t>
      </w:r>
      <w:r w:rsidR="00E30FDC">
        <w:rPr>
          <w:rFonts w:ascii="Arial" w:hAnsi="Arial" w:cs="Arial"/>
        </w:rPr>
        <w:t xml:space="preserve"> </w:t>
      </w:r>
      <w:r w:rsidR="009C6B4A">
        <w:rPr>
          <w:rFonts w:ascii="Arial" w:hAnsi="Arial" w:cs="Arial"/>
        </w:rPr>
        <w:t xml:space="preserve">y </w:t>
      </w:r>
      <w:r w:rsidR="004D1AE1">
        <w:rPr>
          <w:rFonts w:ascii="Arial" w:hAnsi="Arial" w:cs="Arial"/>
        </w:rPr>
        <w:t>relación de vinculación entre prestado</w:t>
      </w:r>
      <w:r w:rsidR="00E30FDC">
        <w:rPr>
          <w:rFonts w:ascii="Arial" w:hAnsi="Arial" w:cs="Arial"/>
        </w:rPr>
        <w:t>re</w:t>
      </w:r>
      <w:r w:rsidR="004D1AE1">
        <w:rPr>
          <w:rFonts w:ascii="Arial" w:hAnsi="Arial" w:cs="Arial"/>
        </w:rPr>
        <w:t>s y EPS.</w:t>
      </w:r>
      <w:r w:rsidR="00765A75">
        <w:rPr>
          <w:rFonts w:ascii="Arial" w:hAnsi="Arial" w:cs="Arial"/>
        </w:rPr>
        <w:t xml:space="preserve"> Es así como la adopción de las medidas cautelares de cesación provisional de las acciones que ponen en riesgo la destinación de los recursos del </w:t>
      </w:r>
      <w:r w:rsidR="00240AA2">
        <w:rPr>
          <w:rFonts w:ascii="Arial" w:hAnsi="Arial" w:cs="Arial"/>
        </w:rPr>
        <w:t>S</w:t>
      </w:r>
      <w:r w:rsidR="00765A75">
        <w:rPr>
          <w:rFonts w:ascii="Arial" w:hAnsi="Arial" w:cs="Arial"/>
        </w:rPr>
        <w:t>istema es una competencia exclusiva de la Superintendencia Nacional de Salud (art. 125 L. 1438 de 2011) y los contralores tienen</w:t>
      </w:r>
      <w:r w:rsidR="00EF5141">
        <w:rPr>
          <w:rFonts w:ascii="Arial" w:hAnsi="Arial" w:cs="Arial"/>
        </w:rPr>
        <w:t xml:space="preserve"> solo</w:t>
      </w:r>
      <w:r w:rsidR="00765A75">
        <w:rPr>
          <w:rFonts w:ascii="Arial" w:hAnsi="Arial" w:cs="Arial"/>
        </w:rPr>
        <w:t xml:space="preserve"> la función de realizar seguimiento a las </w:t>
      </w:r>
      <w:r w:rsidR="00283939">
        <w:rPr>
          <w:rFonts w:ascii="Arial" w:hAnsi="Arial" w:cs="Arial"/>
        </w:rPr>
        <w:t>actuaciones derivadas de esta medida. Y no son competentes para su imposición.</w:t>
      </w:r>
    </w:p>
    <w:p w14:paraId="76E621D5" w14:textId="77777777" w:rsidR="000A2DB0" w:rsidRDefault="000A2DB0" w:rsidP="005D156C">
      <w:pPr>
        <w:pStyle w:val="xmsonormal"/>
        <w:jc w:val="both"/>
        <w:rPr>
          <w:rFonts w:ascii="Arial" w:hAnsi="Arial" w:cs="Arial"/>
        </w:rPr>
      </w:pPr>
    </w:p>
    <w:p w14:paraId="17138F71" w14:textId="6E04565C" w:rsidR="005D156C" w:rsidRPr="001652A2" w:rsidRDefault="00CF7E14" w:rsidP="005D156C">
      <w:pPr>
        <w:pStyle w:val="xmsonormal"/>
        <w:jc w:val="both"/>
        <w:rPr>
          <w:rFonts w:ascii="Arial" w:hAnsi="Arial" w:cs="Arial"/>
          <w:lang w:val="es-MX"/>
        </w:rPr>
      </w:pPr>
      <w:r>
        <w:rPr>
          <w:rFonts w:ascii="Arial" w:hAnsi="Arial" w:cs="Arial"/>
        </w:rPr>
        <w:t xml:space="preserve">Por lo anterior, cuando esta Superintendencia </w:t>
      </w:r>
      <w:r w:rsidR="009C07CF" w:rsidRPr="001652A2">
        <w:rPr>
          <w:rFonts w:ascii="Arial" w:hAnsi="Arial" w:cs="Arial"/>
        </w:rPr>
        <w:t>evidencia situaciones que generan incertidumbre frente al manejo de los recursos del Sistema por parte de las EPS</w:t>
      </w:r>
      <w:r w:rsidR="00367652">
        <w:rPr>
          <w:rFonts w:ascii="Arial" w:hAnsi="Arial" w:cs="Arial"/>
        </w:rPr>
        <w:t>,</w:t>
      </w:r>
      <w:r w:rsidR="009C07CF" w:rsidRPr="001652A2">
        <w:rPr>
          <w:rFonts w:ascii="Arial" w:hAnsi="Arial" w:cs="Arial"/>
        </w:rPr>
        <w:t xml:space="preserve"> </w:t>
      </w:r>
      <w:r w:rsidR="005D156C" w:rsidRPr="001652A2">
        <w:rPr>
          <w:rFonts w:ascii="Arial" w:hAnsi="Arial" w:cs="Arial"/>
        </w:rPr>
        <w:t xml:space="preserve">ha ordenado la cesación provisional de las acciones que ponen en riesgo </w:t>
      </w:r>
      <w:r w:rsidR="00240AA2">
        <w:rPr>
          <w:rFonts w:ascii="Arial" w:hAnsi="Arial" w:cs="Arial"/>
        </w:rPr>
        <w:t xml:space="preserve">dichos recursos </w:t>
      </w:r>
      <w:r w:rsidR="005D156C" w:rsidRPr="001652A2">
        <w:rPr>
          <w:rFonts w:ascii="Arial" w:hAnsi="Arial" w:cs="Arial"/>
        </w:rPr>
        <w:t>y en consecuencia suspender los giros directos a las entidades vinculadas y no vinculadas de las EPS.</w:t>
      </w:r>
    </w:p>
    <w:p w14:paraId="6472A988" w14:textId="77777777" w:rsidR="005D156C" w:rsidRPr="001652A2" w:rsidRDefault="005D156C" w:rsidP="005D156C">
      <w:pPr>
        <w:pStyle w:val="xmsonormal"/>
        <w:jc w:val="both"/>
        <w:rPr>
          <w:rFonts w:ascii="Arial" w:hAnsi="Arial" w:cs="Arial"/>
        </w:rPr>
      </w:pPr>
    </w:p>
    <w:p w14:paraId="1DDEAB30" w14:textId="77777777" w:rsidR="005D156C" w:rsidRDefault="005D156C" w:rsidP="005D156C">
      <w:pPr>
        <w:spacing w:after="0" w:line="240" w:lineRule="atLeast"/>
        <w:jc w:val="both"/>
        <w:rPr>
          <w:rFonts w:ascii="Arial" w:hAnsi="Arial" w:cs="Arial"/>
        </w:rPr>
      </w:pPr>
      <w:r w:rsidRPr="001652A2">
        <w:rPr>
          <w:rFonts w:ascii="Arial" w:hAnsi="Arial" w:cs="Arial"/>
        </w:rPr>
        <w:t>Estos actos administrativos están enfocados en proteger los recursos del sector salud y se fundamentan en la motivación expuesta en dichos actos administrativos.</w:t>
      </w:r>
    </w:p>
    <w:p w14:paraId="3DBF57AB" w14:textId="77777777" w:rsidR="00EC0666" w:rsidRDefault="00EC0666" w:rsidP="005D156C">
      <w:pPr>
        <w:spacing w:after="0" w:line="240" w:lineRule="atLeast"/>
        <w:jc w:val="both"/>
        <w:rPr>
          <w:rFonts w:ascii="Arial" w:hAnsi="Arial" w:cs="Arial"/>
        </w:rPr>
      </w:pPr>
    </w:p>
    <w:p w14:paraId="6CA96601" w14:textId="60BB5D64" w:rsidR="005D156C" w:rsidRPr="001652A2" w:rsidRDefault="005D156C" w:rsidP="005D156C">
      <w:pPr>
        <w:pStyle w:val="paragraph"/>
        <w:spacing w:before="0" w:beforeAutospacing="0" w:after="0" w:afterAutospacing="0"/>
        <w:jc w:val="both"/>
        <w:textAlignment w:val="baseline"/>
        <w:rPr>
          <w:rFonts w:ascii="Arial" w:hAnsi="Arial" w:cs="Arial"/>
          <w:sz w:val="22"/>
          <w:szCs w:val="22"/>
        </w:rPr>
      </w:pPr>
      <w:r w:rsidRPr="001652A2">
        <w:rPr>
          <w:rFonts w:ascii="Arial" w:hAnsi="Arial" w:cs="Arial"/>
          <w:sz w:val="22"/>
          <w:szCs w:val="22"/>
          <w:lang w:eastAsia="en-US"/>
        </w:rPr>
        <w:t xml:space="preserve">Lo anterior, ha permitido que las EPS realicen ajustes a los montos autorizados ante la ADRES y que se pueda realizar </w:t>
      </w:r>
      <w:r w:rsidRPr="00B63111">
        <w:rPr>
          <w:rFonts w:ascii="Arial" w:hAnsi="Arial" w:cs="Arial"/>
          <w:sz w:val="22"/>
          <w:szCs w:val="22"/>
          <w:lang w:eastAsia="en-US"/>
        </w:rPr>
        <w:t xml:space="preserve">redistribución de recursos a las ESE y otras IPS privadas no vinculadas. </w:t>
      </w:r>
      <w:r w:rsidR="00B63111" w:rsidRPr="00B63111">
        <w:rPr>
          <w:rFonts w:ascii="Arial" w:hAnsi="Arial" w:cs="Arial"/>
          <w:sz w:val="22"/>
          <w:szCs w:val="22"/>
          <w:lang w:eastAsia="en-US"/>
        </w:rPr>
        <w:t>Es importante indicar que</w:t>
      </w:r>
      <w:r w:rsidR="00B63111">
        <w:rPr>
          <w:rFonts w:ascii="Arial" w:hAnsi="Arial" w:cs="Arial"/>
          <w:sz w:val="22"/>
          <w:szCs w:val="22"/>
          <w:lang w:eastAsia="en-US"/>
        </w:rPr>
        <w:t xml:space="preserve"> antes de la adopción de medidas</w:t>
      </w:r>
      <w:r w:rsidR="00B63111" w:rsidRPr="00B63111">
        <w:rPr>
          <w:rFonts w:ascii="Arial" w:hAnsi="Arial" w:cs="Arial"/>
          <w:sz w:val="22"/>
          <w:szCs w:val="22"/>
          <w:lang w:eastAsia="en-US"/>
        </w:rPr>
        <w:t xml:space="preserve"> </w:t>
      </w:r>
      <w:r w:rsidR="00B63111" w:rsidRPr="00B63111">
        <w:rPr>
          <w:rFonts w:ascii="Arial" w:hAnsi="Arial" w:cs="Arial"/>
          <w:sz w:val="22"/>
          <w:szCs w:val="22"/>
        </w:rPr>
        <w:t>cautelares sobre el giro directo a</w:t>
      </w:r>
      <w:r w:rsidR="00B63111">
        <w:rPr>
          <w:rFonts w:ascii="Arial" w:hAnsi="Arial" w:cs="Arial"/>
          <w:sz w:val="22"/>
          <w:szCs w:val="22"/>
        </w:rPr>
        <w:t xml:space="preserve"> las</w:t>
      </w:r>
      <w:r w:rsidR="00B63111" w:rsidRPr="00B63111">
        <w:rPr>
          <w:rFonts w:ascii="Arial" w:hAnsi="Arial" w:cs="Arial"/>
          <w:sz w:val="22"/>
          <w:szCs w:val="22"/>
        </w:rPr>
        <w:t xml:space="preserve"> vinculadas, se realiza un análisis de flujo de recursos, indistintamente la naturaleza, y se tiene</w:t>
      </w:r>
      <w:r w:rsidR="00611E8A">
        <w:rPr>
          <w:rFonts w:ascii="Arial" w:hAnsi="Arial" w:cs="Arial"/>
          <w:sz w:val="22"/>
          <w:szCs w:val="22"/>
        </w:rPr>
        <w:t>n</w:t>
      </w:r>
      <w:r w:rsidR="00B63111" w:rsidRPr="00B63111">
        <w:rPr>
          <w:rFonts w:ascii="Arial" w:hAnsi="Arial" w:cs="Arial"/>
          <w:sz w:val="22"/>
          <w:szCs w:val="22"/>
        </w:rPr>
        <w:t xml:space="preserve"> en cuenta factores como </w:t>
      </w:r>
      <w:r w:rsidR="00611E8A">
        <w:rPr>
          <w:rFonts w:ascii="Arial" w:hAnsi="Arial" w:cs="Arial"/>
          <w:sz w:val="22"/>
          <w:szCs w:val="22"/>
        </w:rPr>
        <w:t>la prestación de servicios</w:t>
      </w:r>
      <w:r w:rsidR="00B63111" w:rsidRPr="00B63111">
        <w:rPr>
          <w:rFonts w:ascii="Arial" w:hAnsi="Arial" w:cs="Arial"/>
          <w:sz w:val="22"/>
          <w:szCs w:val="22"/>
        </w:rPr>
        <w:t xml:space="preserve">, los pagos, la facturación y </w:t>
      </w:r>
      <w:r w:rsidR="005E03BB">
        <w:rPr>
          <w:rFonts w:ascii="Arial" w:hAnsi="Arial" w:cs="Arial"/>
          <w:sz w:val="22"/>
          <w:szCs w:val="22"/>
        </w:rPr>
        <w:t xml:space="preserve">las </w:t>
      </w:r>
      <w:r w:rsidR="00B63111" w:rsidRPr="00B63111">
        <w:rPr>
          <w:rFonts w:ascii="Arial" w:hAnsi="Arial" w:cs="Arial"/>
          <w:sz w:val="22"/>
          <w:szCs w:val="22"/>
        </w:rPr>
        <w:t>relaciones de vinculación</w:t>
      </w:r>
      <w:r w:rsidR="00B66C4C">
        <w:rPr>
          <w:rFonts w:ascii="Arial" w:hAnsi="Arial" w:cs="Arial"/>
          <w:sz w:val="22"/>
          <w:szCs w:val="22"/>
        </w:rPr>
        <w:t xml:space="preserve"> entre prestadores y aseguradores</w:t>
      </w:r>
      <w:r w:rsidR="00B63111" w:rsidRPr="00B63111">
        <w:rPr>
          <w:rFonts w:ascii="Arial" w:hAnsi="Arial" w:cs="Arial"/>
          <w:sz w:val="22"/>
          <w:szCs w:val="22"/>
        </w:rPr>
        <w:t>.</w:t>
      </w:r>
    </w:p>
    <w:p w14:paraId="710389D2" w14:textId="3771F771" w:rsidR="002F34CC" w:rsidRPr="001652A2" w:rsidRDefault="00100211" w:rsidP="002F34CC">
      <w:pPr>
        <w:pStyle w:val="paragraph"/>
        <w:spacing w:after="0"/>
        <w:jc w:val="both"/>
        <w:textAlignment w:val="baseline"/>
        <w:rPr>
          <w:rFonts w:ascii="Arial" w:hAnsi="Arial" w:cs="Arial"/>
          <w:sz w:val="22"/>
          <w:szCs w:val="22"/>
          <w:lang w:eastAsia="en-US"/>
        </w:rPr>
      </w:pPr>
      <w:r w:rsidRPr="00100211">
        <w:rPr>
          <w:rFonts w:ascii="Arial" w:hAnsi="Arial" w:cs="Arial"/>
          <w:sz w:val="22"/>
          <w:szCs w:val="22"/>
          <w:lang w:eastAsia="en-US"/>
        </w:rPr>
        <w:t>Es preciso señalar</w:t>
      </w:r>
      <w:r w:rsidR="002F34CC" w:rsidRPr="001652A2">
        <w:rPr>
          <w:rFonts w:ascii="Arial" w:hAnsi="Arial" w:cs="Arial"/>
          <w:sz w:val="22"/>
          <w:szCs w:val="22"/>
          <w:lang w:eastAsia="en-US"/>
        </w:rPr>
        <w:t xml:space="preserve">, </w:t>
      </w:r>
      <w:r w:rsidR="007F03E7">
        <w:rPr>
          <w:rFonts w:ascii="Arial" w:hAnsi="Arial" w:cs="Arial"/>
          <w:sz w:val="22"/>
          <w:szCs w:val="22"/>
          <w:lang w:eastAsia="en-US"/>
        </w:rPr>
        <w:t>que</w:t>
      </w:r>
      <w:r w:rsidR="002F34CC" w:rsidRPr="001652A2">
        <w:rPr>
          <w:rFonts w:ascii="Arial" w:hAnsi="Arial" w:cs="Arial"/>
          <w:sz w:val="22"/>
          <w:szCs w:val="22"/>
          <w:lang w:eastAsia="en-US"/>
        </w:rPr>
        <w:t xml:space="preserve"> las funciones de inspección, vigilancia y control </w:t>
      </w:r>
      <w:r w:rsidR="002E73F6">
        <w:rPr>
          <w:rFonts w:ascii="Arial" w:hAnsi="Arial" w:cs="Arial"/>
          <w:sz w:val="22"/>
          <w:szCs w:val="22"/>
          <w:lang w:eastAsia="en-US"/>
        </w:rPr>
        <w:t xml:space="preserve">de </w:t>
      </w:r>
      <w:r w:rsidR="002F34CC" w:rsidRPr="001652A2">
        <w:rPr>
          <w:rFonts w:ascii="Arial" w:hAnsi="Arial" w:cs="Arial"/>
          <w:sz w:val="22"/>
          <w:szCs w:val="22"/>
          <w:lang w:eastAsia="en-US"/>
        </w:rPr>
        <w:t>esta Superintendencia tiene</w:t>
      </w:r>
      <w:r w:rsidR="002E73F6">
        <w:rPr>
          <w:rFonts w:ascii="Arial" w:hAnsi="Arial" w:cs="Arial"/>
          <w:sz w:val="22"/>
          <w:szCs w:val="22"/>
          <w:lang w:eastAsia="en-US"/>
        </w:rPr>
        <w:t>n</w:t>
      </w:r>
      <w:r w:rsidR="002F34CC" w:rsidRPr="001652A2">
        <w:rPr>
          <w:rFonts w:ascii="Arial" w:hAnsi="Arial" w:cs="Arial"/>
          <w:sz w:val="22"/>
          <w:szCs w:val="22"/>
          <w:lang w:eastAsia="en-US"/>
        </w:rPr>
        <w:t xml:space="preserve"> la competencia de ejercer la intervención forzosa administrativa para administrar o liquidar las entidades vigiladas, por tal motivo, los Contralores con funciones de Revisoría Fiscal no tienen competencias para realizar intervenciones a las entidades, estos tienen funciones especiales como el seguimiento a las entid</w:t>
      </w:r>
      <w:r w:rsidR="002E73F6">
        <w:rPr>
          <w:rFonts w:ascii="Arial" w:hAnsi="Arial" w:cs="Arial"/>
          <w:sz w:val="22"/>
          <w:szCs w:val="22"/>
          <w:lang w:eastAsia="en-US"/>
        </w:rPr>
        <w:t>ades</w:t>
      </w:r>
      <w:r w:rsidR="002F34CC" w:rsidRPr="001652A2">
        <w:rPr>
          <w:rFonts w:ascii="Arial" w:hAnsi="Arial" w:cs="Arial"/>
          <w:sz w:val="22"/>
          <w:szCs w:val="22"/>
          <w:lang w:eastAsia="en-US"/>
        </w:rPr>
        <w:t xml:space="preserve"> objeto de medidas especiales.</w:t>
      </w:r>
    </w:p>
    <w:p w14:paraId="18903894" w14:textId="42E05921" w:rsidR="009512D9" w:rsidRPr="002E73F6" w:rsidRDefault="00FF1FDE" w:rsidP="001B0240">
      <w:pPr>
        <w:pStyle w:val="xxmsonormal"/>
        <w:shd w:val="clear" w:color="auto" w:fill="FFFFFF"/>
        <w:spacing w:before="0" w:beforeAutospacing="0" w:after="0" w:afterAutospacing="0"/>
        <w:jc w:val="both"/>
        <w:rPr>
          <w:rFonts w:ascii="Arial" w:eastAsiaTheme="minorHAnsi" w:hAnsi="Arial" w:cs="Arial"/>
          <w:sz w:val="22"/>
          <w:szCs w:val="22"/>
          <w:lang w:eastAsia="en-US"/>
        </w:rPr>
      </w:pPr>
      <w:r w:rsidRPr="002E73F6">
        <w:rPr>
          <w:rFonts w:ascii="Arial" w:eastAsiaTheme="minorHAnsi" w:hAnsi="Arial" w:cs="Arial"/>
          <w:sz w:val="22"/>
          <w:szCs w:val="22"/>
          <w:lang w:eastAsia="en-US"/>
        </w:rPr>
        <w:t xml:space="preserve">Finalmente, es importante aclarar que la </w:t>
      </w:r>
      <w:r w:rsidR="00110ADB" w:rsidRPr="002E73F6">
        <w:rPr>
          <w:rFonts w:ascii="Arial" w:eastAsiaTheme="minorHAnsi" w:hAnsi="Arial" w:cs="Arial"/>
          <w:sz w:val="22"/>
          <w:szCs w:val="22"/>
          <w:lang w:eastAsia="en-US"/>
        </w:rPr>
        <w:t>red privada nacional corresponde cerca al 90%</w:t>
      </w:r>
      <w:r w:rsidR="0011256F" w:rsidRPr="002E73F6">
        <w:rPr>
          <w:rFonts w:ascii="Arial" w:eastAsiaTheme="minorHAnsi" w:hAnsi="Arial" w:cs="Arial"/>
          <w:sz w:val="22"/>
          <w:szCs w:val="22"/>
          <w:lang w:eastAsia="en-US"/>
        </w:rPr>
        <w:t xml:space="preserve">, </w:t>
      </w:r>
      <w:r w:rsidR="00C06788" w:rsidRPr="002E73F6">
        <w:rPr>
          <w:rFonts w:ascii="Arial" w:eastAsiaTheme="minorHAnsi" w:hAnsi="Arial" w:cs="Arial"/>
          <w:sz w:val="22"/>
          <w:szCs w:val="22"/>
          <w:lang w:eastAsia="en-US"/>
        </w:rPr>
        <w:t xml:space="preserve">y que </w:t>
      </w:r>
      <w:r w:rsidR="004A061B" w:rsidRPr="002E73F6">
        <w:rPr>
          <w:rFonts w:ascii="Arial" w:eastAsiaTheme="minorHAnsi" w:hAnsi="Arial" w:cs="Arial"/>
          <w:sz w:val="22"/>
          <w:szCs w:val="22"/>
          <w:lang w:eastAsia="en-US"/>
        </w:rPr>
        <w:t xml:space="preserve">este tipo de </w:t>
      </w:r>
      <w:r w:rsidR="0020222C" w:rsidRPr="002E73F6">
        <w:rPr>
          <w:rFonts w:ascii="Arial" w:eastAsiaTheme="minorHAnsi" w:hAnsi="Arial" w:cs="Arial"/>
          <w:sz w:val="22"/>
          <w:szCs w:val="22"/>
          <w:lang w:eastAsia="en-US"/>
        </w:rPr>
        <w:t xml:space="preserve">medidas se emite </w:t>
      </w:r>
      <w:r w:rsidR="002E73F6">
        <w:rPr>
          <w:rFonts w:ascii="Arial" w:eastAsiaTheme="minorHAnsi" w:hAnsi="Arial" w:cs="Arial"/>
          <w:sz w:val="22"/>
          <w:szCs w:val="22"/>
          <w:lang w:eastAsia="en-US"/>
        </w:rPr>
        <w:t>cuando se</w:t>
      </w:r>
      <w:r w:rsidR="0020222C" w:rsidRPr="002E73F6">
        <w:rPr>
          <w:rFonts w:ascii="Arial" w:eastAsiaTheme="minorHAnsi" w:hAnsi="Arial" w:cs="Arial"/>
          <w:sz w:val="22"/>
          <w:szCs w:val="22"/>
          <w:lang w:eastAsia="en-US"/>
        </w:rPr>
        <w:t xml:space="preserve"> identifican </w:t>
      </w:r>
      <w:r w:rsidR="002E73F6">
        <w:rPr>
          <w:rFonts w:ascii="Arial" w:eastAsiaTheme="minorHAnsi" w:hAnsi="Arial" w:cs="Arial"/>
          <w:sz w:val="22"/>
          <w:szCs w:val="22"/>
          <w:lang w:eastAsia="en-US"/>
        </w:rPr>
        <w:t>r</w:t>
      </w:r>
      <w:r w:rsidR="0020222C" w:rsidRPr="002E73F6">
        <w:rPr>
          <w:rFonts w:ascii="Arial" w:eastAsiaTheme="minorHAnsi" w:hAnsi="Arial" w:cs="Arial"/>
          <w:sz w:val="22"/>
          <w:szCs w:val="22"/>
          <w:lang w:eastAsia="en-US"/>
        </w:rPr>
        <w:t xml:space="preserve">iesgos </w:t>
      </w:r>
      <w:r w:rsidR="002E73F6">
        <w:rPr>
          <w:rFonts w:ascii="Arial" w:eastAsiaTheme="minorHAnsi" w:hAnsi="Arial" w:cs="Arial"/>
          <w:sz w:val="22"/>
          <w:szCs w:val="22"/>
          <w:lang w:eastAsia="en-US"/>
        </w:rPr>
        <w:t xml:space="preserve">relacionados con </w:t>
      </w:r>
      <w:r w:rsidR="0020222C" w:rsidRPr="002E73F6">
        <w:rPr>
          <w:rFonts w:ascii="Arial" w:eastAsiaTheme="minorHAnsi" w:hAnsi="Arial" w:cs="Arial"/>
          <w:sz w:val="22"/>
          <w:szCs w:val="22"/>
          <w:lang w:eastAsia="en-US"/>
        </w:rPr>
        <w:t>e</w:t>
      </w:r>
      <w:r w:rsidR="002E73F6">
        <w:rPr>
          <w:rFonts w:ascii="Arial" w:eastAsiaTheme="minorHAnsi" w:hAnsi="Arial" w:cs="Arial"/>
          <w:sz w:val="22"/>
          <w:szCs w:val="22"/>
          <w:lang w:eastAsia="en-US"/>
        </w:rPr>
        <w:t>l</w:t>
      </w:r>
      <w:r w:rsidR="0020222C" w:rsidRPr="002E73F6">
        <w:rPr>
          <w:rFonts w:ascii="Arial" w:eastAsiaTheme="minorHAnsi" w:hAnsi="Arial" w:cs="Arial"/>
          <w:sz w:val="22"/>
          <w:szCs w:val="22"/>
          <w:lang w:eastAsia="en-US"/>
        </w:rPr>
        <w:t xml:space="preserve"> uso eficiente de los recursos del Sistema General de Seguridad Social en Salud.</w:t>
      </w:r>
    </w:p>
    <w:p w14:paraId="3591537A" w14:textId="77777777" w:rsidR="00CA32BF" w:rsidRDefault="00CA32BF" w:rsidP="001B0240">
      <w:pPr>
        <w:pStyle w:val="xxmsonormal"/>
        <w:shd w:val="clear" w:color="auto" w:fill="FFFFFF"/>
        <w:spacing w:before="0" w:beforeAutospacing="0" w:after="0" w:afterAutospacing="0"/>
        <w:jc w:val="both"/>
        <w:rPr>
          <w:rFonts w:ascii="Arial" w:hAnsi="Arial" w:cs="Arial"/>
          <w:color w:val="201F1E"/>
          <w:sz w:val="22"/>
          <w:szCs w:val="22"/>
          <w:bdr w:val="none" w:sz="0" w:space="0" w:color="auto" w:frame="1"/>
          <w:lang w:val="es-ES"/>
        </w:rPr>
      </w:pPr>
    </w:p>
    <w:p w14:paraId="723AD05C" w14:textId="54336CC2" w:rsidR="001B0240" w:rsidRPr="00240AA2"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t xml:space="preserve">13. ¿Qué intervención realiza la Superintendencia Nacional de Salud para controlar los escasos recursos que subsisten en los procesos de liquidación, considerando que el proceso de calificación puede tener una duración de hasta 2 años, y que como </w:t>
      </w:r>
      <w:r w:rsidRPr="00C31D64">
        <w:rPr>
          <w:rFonts w:ascii="Arial" w:hAnsi="Arial" w:cs="Arial"/>
          <w:b/>
          <w:bCs/>
          <w:color w:val="201F1E"/>
          <w:sz w:val="22"/>
          <w:szCs w:val="22"/>
          <w:bdr w:val="none" w:sz="0" w:space="0" w:color="auto" w:frame="1"/>
          <w:lang w:val="es-ES"/>
        </w:rPr>
        <w:lastRenderedPageBreak/>
        <w:t xml:space="preserve">se observa con frecuencia, la mayoría de estos recursos son destinados al pago de altos salarios y </w:t>
      </w:r>
      <w:r w:rsidRPr="00240AA2">
        <w:rPr>
          <w:rFonts w:ascii="Arial" w:hAnsi="Arial" w:cs="Arial"/>
          <w:b/>
          <w:bCs/>
          <w:color w:val="201F1E"/>
          <w:sz w:val="22"/>
          <w:szCs w:val="22"/>
          <w:bdr w:val="none" w:sz="0" w:space="0" w:color="auto" w:frame="1"/>
          <w:lang w:val="es-ES"/>
        </w:rPr>
        <w:t>honorarios?</w:t>
      </w:r>
    </w:p>
    <w:p w14:paraId="2B91B859" w14:textId="2A2E72CF" w:rsidR="00240AA2" w:rsidRPr="00240AA2" w:rsidRDefault="001B0240" w:rsidP="001B0240">
      <w:pPr>
        <w:pStyle w:val="xxmsonormal"/>
        <w:shd w:val="clear" w:color="auto" w:fill="FFFFFF"/>
        <w:spacing w:before="0" w:beforeAutospacing="0" w:after="0" w:afterAutospacing="0"/>
        <w:jc w:val="both"/>
        <w:rPr>
          <w:rFonts w:ascii="Arial" w:hAnsi="Arial" w:cs="Arial"/>
          <w:color w:val="201F1E"/>
          <w:sz w:val="22"/>
          <w:szCs w:val="22"/>
        </w:rPr>
      </w:pPr>
      <w:r w:rsidRPr="00240AA2">
        <w:rPr>
          <w:rFonts w:ascii="Arial" w:hAnsi="Arial" w:cs="Arial"/>
          <w:color w:val="201F1E"/>
          <w:bdr w:val="none" w:sz="0" w:space="0" w:color="auto" w:frame="1"/>
          <w:lang w:val="es-ES"/>
        </w:rPr>
        <w:t> </w:t>
      </w:r>
    </w:p>
    <w:p w14:paraId="32B7C8A5" w14:textId="52F730FC" w:rsidR="005E36C9" w:rsidRPr="003B7799" w:rsidRDefault="005E36C9" w:rsidP="003B7799">
      <w:pPr>
        <w:pStyle w:val="xxmsonormal"/>
        <w:shd w:val="clear" w:color="auto" w:fill="FFFFFF"/>
        <w:spacing w:before="0" w:beforeAutospacing="0" w:after="0" w:afterAutospacing="0"/>
        <w:jc w:val="both"/>
        <w:rPr>
          <w:rFonts w:ascii="Arial" w:hAnsi="Arial" w:cs="Arial"/>
          <w:sz w:val="22"/>
          <w:szCs w:val="22"/>
          <w:lang w:val="es-ES"/>
        </w:rPr>
      </w:pPr>
      <w:r w:rsidRPr="003B7799">
        <w:rPr>
          <w:rFonts w:ascii="Arial" w:hAnsi="Arial" w:cs="Arial"/>
          <w:sz w:val="22"/>
          <w:szCs w:val="22"/>
          <w:lang w:val="es-ES"/>
        </w:rPr>
        <w:t>Como se dijo ya con ocasión de</w:t>
      </w:r>
      <w:r w:rsidR="00BE2BEE" w:rsidRPr="003B7799">
        <w:rPr>
          <w:rFonts w:ascii="Arial" w:hAnsi="Arial" w:cs="Arial"/>
          <w:sz w:val="22"/>
          <w:szCs w:val="22"/>
          <w:lang w:val="es-ES"/>
        </w:rPr>
        <w:t xml:space="preserve"> la pregunta número 3</w:t>
      </w:r>
      <w:r w:rsidR="00240AA2">
        <w:rPr>
          <w:rFonts w:ascii="Arial" w:hAnsi="Arial" w:cs="Arial"/>
          <w:sz w:val="22"/>
          <w:szCs w:val="22"/>
          <w:lang w:val="es-ES"/>
        </w:rPr>
        <w:t>,</w:t>
      </w:r>
      <w:r w:rsidR="00BE2BEE" w:rsidRPr="003B7799">
        <w:rPr>
          <w:rFonts w:ascii="Arial" w:hAnsi="Arial" w:cs="Arial"/>
          <w:sz w:val="22"/>
          <w:szCs w:val="22"/>
          <w:lang w:val="es-ES"/>
        </w:rPr>
        <w:t xml:space="preserve"> el proceso de revisión sobre l</w:t>
      </w:r>
      <w:r w:rsidR="00240AA2">
        <w:rPr>
          <w:rFonts w:ascii="Arial" w:hAnsi="Arial" w:cs="Arial"/>
          <w:sz w:val="22"/>
          <w:szCs w:val="22"/>
          <w:lang w:val="es-ES"/>
        </w:rPr>
        <w:t>a</w:t>
      </w:r>
      <w:r w:rsidR="00BE2BEE" w:rsidRPr="003B7799">
        <w:rPr>
          <w:rFonts w:ascii="Arial" w:hAnsi="Arial" w:cs="Arial"/>
          <w:sz w:val="22"/>
          <w:szCs w:val="22"/>
          <w:lang w:val="es-ES"/>
        </w:rPr>
        <w:t xml:space="preserve">s liquidaciones corresponde a un seguimiento sobre la actividad de los liquidadores preservando, en todo caso, su autonomía para decidir en cada una de las etapas que integran el proceso. </w:t>
      </w:r>
    </w:p>
    <w:p w14:paraId="3F6EBDEC" w14:textId="0E0C77B4" w:rsidR="00C45519" w:rsidRDefault="00077B9A" w:rsidP="00794699">
      <w:pPr>
        <w:pStyle w:val="NormalWeb"/>
        <w:jc w:val="both"/>
        <w:rPr>
          <w:rFonts w:ascii="Arial" w:hAnsi="Arial" w:cs="Arial"/>
          <w:sz w:val="22"/>
          <w:szCs w:val="22"/>
        </w:rPr>
      </w:pPr>
      <w:r w:rsidRPr="00240AA2">
        <w:rPr>
          <w:rFonts w:ascii="Arial" w:hAnsi="Arial" w:cs="Arial"/>
          <w:sz w:val="22"/>
          <w:szCs w:val="22"/>
          <w:lang w:val="es-ES"/>
        </w:rPr>
        <w:t>Esta conclusión se desprende, entre otras normas, d</w:t>
      </w:r>
      <w:r w:rsidR="00794699" w:rsidRPr="00240AA2">
        <w:rPr>
          <w:rFonts w:ascii="Arial" w:hAnsi="Arial" w:cs="Arial"/>
          <w:sz w:val="22"/>
          <w:szCs w:val="22"/>
        </w:rPr>
        <w:t>el artículo 233 de la Ley 100 de 1993, artículo 68 de la Ley 715 de 2001, numeral 5 del artículo 37 de la Ley 1122 de 2007, modificado por el artículo 124 de la Ley 1438 de 2011; el artículo 68 de la Ley 1753 de 2016. En</w:t>
      </w:r>
      <w:r w:rsidR="00794699" w:rsidRPr="00794699">
        <w:rPr>
          <w:rFonts w:ascii="Arial" w:hAnsi="Arial" w:cs="Arial"/>
          <w:sz w:val="22"/>
          <w:szCs w:val="22"/>
        </w:rPr>
        <w:t xml:space="preserve"> orden reglamentario, los artículos 2.5.5.1.1 y 2.5.5.1.2 del Decreto 780 de 2016 y el artículo 26 del Decreto 2462 de 2013, mediante el cual se fija la estructura de la Superintendencia Nacional de Salud. </w:t>
      </w:r>
    </w:p>
    <w:p w14:paraId="702CCD3B" w14:textId="0883A4AD" w:rsidR="00794699" w:rsidRPr="00794699" w:rsidRDefault="00794699" w:rsidP="00794699">
      <w:pPr>
        <w:pStyle w:val="NormalWeb"/>
        <w:jc w:val="both"/>
        <w:rPr>
          <w:rFonts w:ascii="Arial" w:hAnsi="Arial" w:cs="Arial"/>
          <w:sz w:val="22"/>
          <w:szCs w:val="22"/>
        </w:rPr>
      </w:pPr>
      <w:r w:rsidRPr="00794699">
        <w:rPr>
          <w:rFonts w:ascii="Arial" w:hAnsi="Arial" w:cs="Arial"/>
          <w:sz w:val="22"/>
          <w:szCs w:val="22"/>
        </w:rPr>
        <w:t xml:space="preserve">Frente a la designación de los </w:t>
      </w:r>
      <w:r w:rsidR="00C45519">
        <w:rPr>
          <w:rFonts w:ascii="Arial" w:hAnsi="Arial" w:cs="Arial"/>
          <w:sz w:val="22"/>
          <w:szCs w:val="22"/>
        </w:rPr>
        <w:t>A</w:t>
      </w:r>
      <w:r w:rsidRPr="00794699">
        <w:rPr>
          <w:rFonts w:ascii="Arial" w:hAnsi="Arial" w:cs="Arial"/>
          <w:sz w:val="22"/>
          <w:szCs w:val="22"/>
        </w:rPr>
        <w:t xml:space="preserve">gentes </w:t>
      </w:r>
      <w:r w:rsidR="00C45519">
        <w:rPr>
          <w:rFonts w:ascii="Arial" w:hAnsi="Arial" w:cs="Arial"/>
          <w:sz w:val="22"/>
          <w:szCs w:val="22"/>
        </w:rPr>
        <w:t>L</w:t>
      </w:r>
      <w:r w:rsidRPr="00794699">
        <w:rPr>
          <w:rFonts w:ascii="Arial" w:hAnsi="Arial" w:cs="Arial"/>
          <w:sz w:val="22"/>
          <w:szCs w:val="22"/>
        </w:rPr>
        <w:t xml:space="preserve">iquidadores </w:t>
      </w:r>
      <w:r w:rsidR="00C45519">
        <w:rPr>
          <w:rFonts w:ascii="Arial" w:hAnsi="Arial" w:cs="Arial"/>
          <w:sz w:val="22"/>
          <w:szCs w:val="22"/>
        </w:rPr>
        <w:t xml:space="preserve">para el proceso de escogencia y designación se aplica lo dispuesto en la </w:t>
      </w:r>
      <w:r w:rsidRPr="00794699">
        <w:rPr>
          <w:rFonts w:ascii="Arial" w:hAnsi="Arial" w:cs="Arial"/>
          <w:sz w:val="22"/>
          <w:szCs w:val="22"/>
        </w:rPr>
        <w:t>Resolución 2599 de 2016</w:t>
      </w:r>
      <w:r w:rsidR="00C45519">
        <w:rPr>
          <w:rFonts w:ascii="Arial" w:hAnsi="Arial" w:cs="Arial"/>
          <w:sz w:val="22"/>
          <w:szCs w:val="22"/>
        </w:rPr>
        <w:t>, expedida por esta superintendencia</w:t>
      </w:r>
      <w:r w:rsidRPr="00794699">
        <w:rPr>
          <w:rFonts w:ascii="Arial" w:hAnsi="Arial" w:cs="Arial"/>
          <w:sz w:val="22"/>
          <w:szCs w:val="22"/>
        </w:rPr>
        <w:t xml:space="preserve">. </w:t>
      </w:r>
      <w:r w:rsidR="00C45519">
        <w:rPr>
          <w:rFonts w:ascii="Arial" w:hAnsi="Arial" w:cs="Arial"/>
          <w:sz w:val="22"/>
          <w:szCs w:val="22"/>
        </w:rPr>
        <w:t>C</w:t>
      </w:r>
      <w:r w:rsidRPr="00794699">
        <w:rPr>
          <w:rFonts w:ascii="Arial" w:hAnsi="Arial" w:cs="Arial"/>
          <w:sz w:val="22"/>
          <w:szCs w:val="22"/>
        </w:rPr>
        <w:t xml:space="preserve">on respecto al régimen jurídico especial para las medidas especiales de intervención forzosa administrativa para liquidar, se adopta las reglas y principios del </w:t>
      </w:r>
      <w:r w:rsidRPr="00C45519">
        <w:rPr>
          <w:rFonts w:ascii="Arial" w:hAnsi="Arial" w:cs="Arial"/>
          <w:sz w:val="22"/>
          <w:szCs w:val="22"/>
        </w:rPr>
        <w:t>Estatuto Orgánico del Sector Financiero.</w:t>
      </w:r>
    </w:p>
    <w:p w14:paraId="01CA46D3" w14:textId="6D9FB94F" w:rsidR="00794699" w:rsidRPr="00794699" w:rsidRDefault="00794699" w:rsidP="00794699">
      <w:pPr>
        <w:pStyle w:val="NormalWeb"/>
        <w:jc w:val="both"/>
        <w:rPr>
          <w:rFonts w:ascii="Arial" w:hAnsi="Arial" w:cs="Arial"/>
          <w:sz w:val="22"/>
          <w:szCs w:val="22"/>
        </w:rPr>
      </w:pPr>
      <w:r w:rsidRPr="00794699">
        <w:rPr>
          <w:rFonts w:ascii="Arial" w:hAnsi="Arial" w:cs="Arial"/>
          <w:sz w:val="22"/>
          <w:szCs w:val="22"/>
        </w:rPr>
        <w:t xml:space="preserve">En virtud del marco legal citado, corresponde a la Superintendencia Nacional de Salud llevar a cabo el seguimiento de la actividad de los </w:t>
      </w:r>
      <w:r w:rsidR="00C45519">
        <w:rPr>
          <w:rFonts w:ascii="Arial" w:hAnsi="Arial" w:cs="Arial"/>
          <w:sz w:val="22"/>
          <w:szCs w:val="22"/>
        </w:rPr>
        <w:t>L</w:t>
      </w:r>
      <w:r w:rsidRPr="00794699">
        <w:rPr>
          <w:rFonts w:ascii="Arial" w:hAnsi="Arial" w:cs="Arial"/>
          <w:sz w:val="22"/>
          <w:szCs w:val="22"/>
        </w:rPr>
        <w:t xml:space="preserve">iquidadores observando las normas que regulan los diversos procesos liquidatorios y con sujeción a las reglas que, mediante normas de carácter especial, han sido establecidas por el Gobierno Nacional. Para el desarrollo del seguimiento mencionado, la Superintendencia Nacional de Salud observa las normas que regulan los procesos de liquidación, según la modalidad adoptada, y ejerce el seguimiento hasta que termine la existencia legal de la entidad o, de ser el caso, hasta que se cumpla con el objeto de la toma de posesión y de la liquidación. </w:t>
      </w:r>
    </w:p>
    <w:p w14:paraId="480BBFD4" w14:textId="701F1FD1" w:rsidR="00794699" w:rsidRPr="00794699" w:rsidRDefault="00794699" w:rsidP="00794699">
      <w:pPr>
        <w:pStyle w:val="NormalWeb"/>
        <w:jc w:val="both"/>
        <w:rPr>
          <w:rFonts w:ascii="Arial" w:hAnsi="Arial" w:cs="Arial"/>
          <w:sz w:val="22"/>
          <w:szCs w:val="22"/>
        </w:rPr>
      </w:pPr>
      <w:r w:rsidRPr="00794699">
        <w:rPr>
          <w:rFonts w:ascii="Arial" w:hAnsi="Arial" w:cs="Arial"/>
          <w:sz w:val="22"/>
          <w:szCs w:val="22"/>
        </w:rPr>
        <w:t xml:space="preserve">En el ejercicio de la facultad de seguimiento, se evalúa la gestión del liquidador, para lo cual la </w:t>
      </w:r>
      <w:r w:rsidR="00240AA2">
        <w:rPr>
          <w:rFonts w:ascii="Arial" w:hAnsi="Arial" w:cs="Arial"/>
          <w:sz w:val="22"/>
          <w:szCs w:val="22"/>
        </w:rPr>
        <w:t>S</w:t>
      </w:r>
      <w:r w:rsidRPr="00794699">
        <w:rPr>
          <w:rFonts w:ascii="Arial" w:hAnsi="Arial" w:cs="Arial"/>
          <w:sz w:val="22"/>
          <w:szCs w:val="22"/>
        </w:rPr>
        <w:t>uperintendencia podrá solicitar la información que estime necesaria, que le permita identificar el cumplimiento los objetivos estratégicos del proceso liquidatorio</w:t>
      </w:r>
      <w:r w:rsidR="00C45519">
        <w:rPr>
          <w:rFonts w:ascii="Arial" w:hAnsi="Arial" w:cs="Arial"/>
          <w:sz w:val="22"/>
          <w:szCs w:val="22"/>
        </w:rPr>
        <w:t xml:space="preserve">, </w:t>
      </w:r>
      <w:r w:rsidRPr="00794699">
        <w:rPr>
          <w:rFonts w:ascii="Arial" w:hAnsi="Arial" w:cs="Arial"/>
          <w:sz w:val="22"/>
          <w:szCs w:val="22"/>
        </w:rPr>
        <w:t xml:space="preserve">de acuerdo con la naturaleza y complejidad de la entidad objeto de la liquidación, y podrá adoptar las medidas a que hubiere lugar para que el liquidador logre cumplir los objetivos de acuerdo con las normas que rigen el proceso liquidatorio. </w:t>
      </w:r>
    </w:p>
    <w:p w14:paraId="05CB042F" w14:textId="751480D2" w:rsidR="00794699" w:rsidRPr="00794699" w:rsidRDefault="00794699" w:rsidP="00794699">
      <w:pPr>
        <w:pStyle w:val="NormalWeb"/>
        <w:jc w:val="both"/>
        <w:rPr>
          <w:rFonts w:ascii="Arial" w:hAnsi="Arial" w:cs="Arial"/>
          <w:sz w:val="22"/>
          <w:szCs w:val="22"/>
        </w:rPr>
      </w:pPr>
      <w:r w:rsidRPr="00794699">
        <w:rPr>
          <w:rFonts w:ascii="Arial" w:hAnsi="Arial" w:cs="Arial"/>
          <w:sz w:val="22"/>
          <w:szCs w:val="22"/>
        </w:rPr>
        <w:t xml:space="preserve">La </w:t>
      </w:r>
      <w:r w:rsidR="00240AA2">
        <w:rPr>
          <w:rFonts w:ascii="Arial" w:hAnsi="Arial" w:cs="Arial"/>
          <w:sz w:val="22"/>
          <w:szCs w:val="22"/>
        </w:rPr>
        <w:t>S</w:t>
      </w:r>
      <w:r w:rsidRPr="00794699">
        <w:rPr>
          <w:rFonts w:ascii="Arial" w:hAnsi="Arial" w:cs="Arial"/>
          <w:sz w:val="22"/>
          <w:szCs w:val="22"/>
        </w:rPr>
        <w:t xml:space="preserve">uperintendencia tendrá acceso a los libros y papeles de la entidad y a los documentos y actuaciones de la liquidación, sin que le sea oponible reserva alguna, así como exigir la presentación de planes de trabajo, presupuesto, cronograma, informes de ejecución y demás documentación que considere pertinente. </w:t>
      </w:r>
    </w:p>
    <w:p w14:paraId="586C3339" w14:textId="631EE405" w:rsidR="00794699" w:rsidRPr="000669B1" w:rsidRDefault="00794699" w:rsidP="00794699">
      <w:pPr>
        <w:pStyle w:val="NormalWeb"/>
        <w:jc w:val="both"/>
        <w:rPr>
          <w:rFonts w:ascii="Arial" w:hAnsi="Arial" w:cs="Arial"/>
          <w:b/>
          <w:bCs/>
          <w:sz w:val="22"/>
          <w:szCs w:val="22"/>
        </w:rPr>
      </w:pPr>
      <w:r w:rsidRPr="00C45519">
        <w:rPr>
          <w:rFonts w:ascii="Arial" w:hAnsi="Arial" w:cs="Arial"/>
          <w:sz w:val="22"/>
          <w:szCs w:val="22"/>
        </w:rPr>
        <w:t>Es de advertir que, no obstante, las amplias facultades de seguimiento que ejerce la Superintendencia Nacional de Salud, sus actividades</w:t>
      </w:r>
      <w:r w:rsidR="00F75836" w:rsidRPr="00F75836">
        <w:rPr>
          <w:rFonts w:ascii="Arial" w:hAnsi="Arial" w:cs="Arial"/>
          <w:sz w:val="22"/>
          <w:szCs w:val="22"/>
        </w:rPr>
        <w:t xml:space="preserve"> </w:t>
      </w:r>
      <w:r w:rsidRPr="006E2526">
        <w:rPr>
          <w:rStyle w:val="Textoennegrita"/>
          <w:rFonts w:ascii="Arial" w:hAnsi="Arial" w:cs="Arial"/>
          <w:b w:val="0"/>
          <w:bCs w:val="0"/>
          <w:sz w:val="22"/>
          <w:szCs w:val="22"/>
        </w:rPr>
        <w:t>no se identifican ni confunden con las responsabilidades propias del liquidador</w:t>
      </w:r>
      <w:r w:rsidRPr="000669B1">
        <w:rPr>
          <w:rStyle w:val="Textoennegrita"/>
          <w:rFonts w:ascii="Arial" w:hAnsi="Arial" w:cs="Arial"/>
          <w:b w:val="0"/>
          <w:bCs w:val="0"/>
          <w:sz w:val="22"/>
          <w:szCs w:val="22"/>
        </w:rPr>
        <w:t xml:space="preserve">. </w:t>
      </w:r>
    </w:p>
    <w:p w14:paraId="49F5FBBB" w14:textId="3566A968" w:rsidR="00794699" w:rsidRPr="00794699" w:rsidRDefault="00794699" w:rsidP="00794699">
      <w:pPr>
        <w:pStyle w:val="NormalWeb"/>
        <w:jc w:val="both"/>
        <w:rPr>
          <w:rFonts w:ascii="Arial" w:hAnsi="Arial" w:cs="Arial"/>
          <w:sz w:val="22"/>
          <w:szCs w:val="22"/>
        </w:rPr>
      </w:pPr>
      <w:r w:rsidRPr="006E2526">
        <w:rPr>
          <w:rFonts w:ascii="Arial" w:hAnsi="Arial" w:cs="Arial"/>
          <w:sz w:val="22"/>
          <w:szCs w:val="22"/>
        </w:rPr>
        <w:t xml:space="preserve">El seguimiento efectuado no exonera al </w:t>
      </w:r>
      <w:r w:rsidR="00F75836">
        <w:rPr>
          <w:rFonts w:ascii="Arial" w:hAnsi="Arial" w:cs="Arial"/>
          <w:sz w:val="22"/>
          <w:szCs w:val="22"/>
        </w:rPr>
        <w:t>L</w:t>
      </w:r>
      <w:r w:rsidRPr="006E2526">
        <w:rPr>
          <w:rFonts w:ascii="Arial" w:hAnsi="Arial" w:cs="Arial"/>
          <w:sz w:val="22"/>
          <w:szCs w:val="22"/>
        </w:rPr>
        <w:t>iquidador de sus responsabilidades</w:t>
      </w:r>
      <w:r w:rsidRPr="00794699">
        <w:rPr>
          <w:rFonts w:ascii="Arial" w:hAnsi="Arial" w:cs="Arial"/>
          <w:sz w:val="22"/>
          <w:szCs w:val="22"/>
        </w:rPr>
        <w:t xml:space="preserve">, la Superintendencia no puede participar ni intervenir en las actividades propias del liquidador ni en la administración de la entidad en liquidación; en tal sentido, la Superintendencia no realiza actividades que impliquen cogestión o coadministración con el liquidador. </w:t>
      </w:r>
    </w:p>
    <w:p w14:paraId="7CC70F98" w14:textId="4552646E" w:rsidR="00794699" w:rsidRPr="00C45519" w:rsidRDefault="00794699" w:rsidP="00794699">
      <w:pPr>
        <w:pStyle w:val="NormalWeb"/>
        <w:jc w:val="both"/>
        <w:rPr>
          <w:rFonts w:ascii="Arial" w:hAnsi="Arial" w:cs="Arial"/>
          <w:sz w:val="22"/>
          <w:szCs w:val="22"/>
          <w:u w:val="single"/>
        </w:rPr>
      </w:pPr>
      <w:r w:rsidRPr="00794699">
        <w:rPr>
          <w:rFonts w:ascii="Arial" w:hAnsi="Arial" w:cs="Arial"/>
          <w:sz w:val="22"/>
          <w:szCs w:val="22"/>
        </w:rPr>
        <w:lastRenderedPageBreak/>
        <w:t xml:space="preserve">Con respecto a la entendible preocupación del manejo de los escasos recursos con que terminan las EPS que son sometidas a procesos liquidatorio, la Superintendencia Nacional de Salud enfoca sus competencias y facultades legales para que estos reciban el trato adecuado por parte del agente liquidador, bajo el principio de economía y austeridad, y puedan ser destinados al pago de las obligaciones con terceros hasta que las posibilidades materiales lo permitan. </w:t>
      </w:r>
    </w:p>
    <w:p w14:paraId="7BAE322D" w14:textId="7FB0E8B4" w:rsidR="00794699" w:rsidRPr="00794699" w:rsidRDefault="00794699" w:rsidP="00794699">
      <w:pPr>
        <w:pStyle w:val="NormalWeb"/>
        <w:jc w:val="both"/>
        <w:rPr>
          <w:rFonts w:ascii="Arial" w:hAnsi="Arial" w:cs="Arial"/>
          <w:sz w:val="22"/>
          <w:szCs w:val="22"/>
        </w:rPr>
      </w:pPr>
      <w:r w:rsidRPr="00794699">
        <w:rPr>
          <w:rFonts w:ascii="Arial" w:hAnsi="Arial" w:cs="Arial"/>
          <w:sz w:val="22"/>
          <w:szCs w:val="22"/>
        </w:rPr>
        <w:t xml:space="preserve">En conclusión, es por lo anterior, que la Superintendencia Nacional de Salud, como organismo de inspección, vigilancia y control del sector salud, orienta sus mayores esfuerzos para </w:t>
      </w:r>
      <w:r w:rsidR="007A4073" w:rsidRPr="00794699">
        <w:rPr>
          <w:rFonts w:ascii="Arial" w:hAnsi="Arial" w:cs="Arial"/>
          <w:sz w:val="22"/>
          <w:szCs w:val="22"/>
        </w:rPr>
        <w:t>que</w:t>
      </w:r>
      <w:r w:rsidRPr="00794699">
        <w:rPr>
          <w:rFonts w:ascii="Arial" w:hAnsi="Arial" w:cs="Arial"/>
          <w:sz w:val="22"/>
          <w:szCs w:val="22"/>
        </w:rPr>
        <w:t xml:space="preserve"> los agentes liquidadores cumplan sus deberes y obligaciones legales bajo los principios de legalidad, moralidad, economía y eficiencia en procura de salvaguardar los bienes jurídicos de los interesados. Ante la circunstancia fáctica de que un actor directo del proceso liquidatorio incumpla con sus deberes, inmediatamente se procede adelantar las actuaciones administrativas sancionatorias y a efectuar los respectivos traslados a los organismos de control e investigación fiscal, disciplinario</w:t>
      </w:r>
      <w:r w:rsidR="00810F3B">
        <w:rPr>
          <w:rFonts w:ascii="Arial" w:hAnsi="Arial" w:cs="Arial"/>
          <w:sz w:val="22"/>
          <w:szCs w:val="22"/>
        </w:rPr>
        <w:t xml:space="preserve">, </w:t>
      </w:r>
      <w:r w:rsidRPr="00794699">
        <w:rPr>
          <w:rFonts w:ascii="Arial" w:hAnsi="Arial" w:cs="Arial"/>
          <w:sz w:val="22"/>
          <w:szCs w:val="22"/>
        </w:rPr>
        <w:t>penal</w:t>
      </w:r>
      <w:r w:rsidR="00810F3B">
        <w:rPr>
          <w:rFonts w:ascii="Arial" w:hAnsi="Arial" w:cs="Arial"/>
          <w:sz w:val="22"/>
          <w:szCs w:val="22"/>
        </w:rPr>
        <w:t xml:space="preserve"> y hasta puede adelantar acciones de responsabilidad en su contra,</w:t>
      </w:r>
      <w:r w:rsidRPr="00794699">
        <w:rPr>
          <w:rFonts w:ascii="Arial" w:hAnsi="Arial" w:cs="Arial"/>
          <w:sz w:val="22"/>
          <w:szCs w:val="22"/>
        </w:rPr>
        <w:t xml:space="preserve"> de ser necesario. </w:t>
      </w:r>
    </w:p>
    <w:p w14:paraId="518D1B43" w14:textId="47EFBE49" w:rsidR="001B0240" w:rsidRPr="00C31D64"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t>14. A la fecha ¿Cuantas son las acreencias radicadas y reconocidas? Y en ese mismo sentido, informe con qué recursos y activos cuentan para cubrir dichas obligaciones.</w:t>
      </w:r>
    </w:p>
    <w:p w14:paraId="5121C58C" w14:textId="17A45BF6" w:rsidR="00C45519" w:rsidRDefault="00C45519" w:rsidP="001B0240">
      <w:pPr>
        <w:pStyle w:val="xxmsonormal"/>
        <w:shd w:val="clear" w:color="auto" w:fill="FFFFFF"/>
        <w:spacing w:before="0" w:beforeAutospacing="0" w:after="0" w:afterAutospacing="0"/>
        <w:jc w:val="both"/>
        <w:rPr>
          <w:rFonts w:ascii="Arial" w:hAnsi="Arial" w:cs="Arial"/>
          <w:b/>
          <w:bCs/>
          <w:color w:val="201F1E"/>
          <w:sz w:val="22"/>
          <w:szCs w:val="22"/>
          <w:bdr w:val="none" w:sz="0" w:space="0" w:color="auto" w:frame="1"/>
          <w:shd w:val="clear" w:color="auto" w:fill="FFFF00"/>
          <w:lang w:val="es-ES"/>
        </w:rPr>
      </w:pPr>
    </w:p>
    <w:p w14:paraId="291AF8D1" w14:textId="77777777" w:rsidR="00C45519" w:rsidRDefault="00C45519" w:rsidP="00C45519">
      <w:pPr>
        <w:spacing w:after="0" w:line="240" w:lineRule="auto"/>
        <w:jc w:val="both"/>
        <w:rPr>
          <w:rFonts w:ascii="Arial" w:hAnsi="Arial" w:cs="Arial"/>
          <w:lang w:val="es-ES" w:eastAsia="es-CO"/>
        </w:rPr>
      </w:pPr>
      <w:r w:rsidRPr="00C45519">
        <w:rPr>
          <w:rFonts w:ascii="Arial" w:hAnsi="Arial" w:cs="Arial"/>
          <w:lang w:val="es-ES" w:eastAsia="es-CO"/>
        </w:rPr>
        <w:t xml:space="preserve">Para responder este punto, a continuación, se revela el estado de acreencias de las Entidades Promotoras de Salud que actualmente se encuentran en liquidación, haciendo salvedad que para el caso de las EPS Comparta y Ambuq, aún no se tiene registros de dichas obligaciones, dado que recién inician el proceso de determinación de acreencias. </w:t>
      </w:r>
    </w:p>
    <w:p w14:paraId="3BC35714" w14:textId="77777777" w:rsidR="00C45519" w:rsidRDefault="00C45519" w:rsidP="00C45519">
      <w:pPr>
        <w:spacing w:after="0" w:line="240" w:lineRule="auto"/>
        <w:jc w:val="both"/>
        <w:rPr>
          <w:rFonts w:ascii="Arial" w:hAnsi="Arial" w:cs="Arial"/>
          <w:lang w:val="es-ES" w:eastAsia="es-CO"/>
        </w:rPr>
      </w:pPr>
    </w:p>
    <w:p w14:paraId="0ABB868E" w14:textId="0AC8286B" w:rsidR="00C45519" w:rsidRPr="00C45519" w:rsidRDefault="00C45519" w:rsidP="00C45519">
      <w:pPr>
        <w:spacing w:after="0" w:line="240" w:lineRule="auto"/>
        <w:jc w:val="both"/>
        <w:rPr>
          <w:rFonts w:ascii="Arial" w:hAnsi="Arial" w:cs="Arial"/>
          <w:lang w:val="es-ES" w:eastAsia="es-CO"/>
        </w:rPr>
      </w:pPr>
      <w:r w:rsidRPr="00C45519">
        <w:rPr>
          <w:rFonts w:ascii="Arial" w:hAnsi="Arial" w:cs="Arial"/>
          <w:lang w:val="es-ES" w:eastAsia="es-CO"/>
        </w:rPr>
        <w:t>Del mismo modo, se presenta el estado de los recursos con que cuentan, según los estados financieros reportados a esta Superintendencia:</w:t>
      </w:r>
    </w:p>
    <w:p w14:paraId="57259BF3" w14:textId="77777777" w:rsidR="00C45519" w:rsidRPr="00C45519" w:rsidRDefault="00C45519" w:rsidP="00C45519">
      <w:pPr>
        <w:spacing w:after="0" w:line="240" w:lineRule="auto"/>
        <w:jc w:val="both"/>
        <w:rPr>
          <w:rFonts w:ascii="Arial" w:hAnsi="Arial" w:cs="Arial"/>
          <w:lang w:val="es-ES" w:eastAsia="es-CO"/>
        </w:rPr>
      </w:pPr>
    </w:p>
    <w:p w14:paraId="58AEEE02" w14:textId="40DC32FB" w:rsidR="00C45519" w:rsidRDefault="00C45519" w:rsidP="003D53F5">
      <w:pPr>
        <w:spacing w:after="0" w:line="240" w:lineRule="auto"/>
        <w:jc w:val="center"/>
        <w:rPr>
          <w:rFonts w:ascii="Arial" w:hAnsi="Arial" w:cs="Arial"/>
          <w:b/>
          <w:bCs/>
          <w:lang w:val="es-ES" w:eastAsia="es-CO"/>
        </w:rPr>
      </w:pPr>
      <w:r w:rsidRPr="00C45519">
        <w:rPr>
          <w:rFonts w:ascii="Arial" w:hAnsi="Arial" w:cs="Arial"/>
          <w:b/>
          <w:bCs/>
          <w:lang w:val="es-ES" w:eastAsia="es-CO"/>
        </w:rPr>
        <w:t>Acreencias de EPS en liquidación forzosa corte junio de 2021</w:t>
      </w:r>
    </w:p>
    <w:p w14:paraId="0F258B30" w14:textId="2E9EE7B5" w:rsidR="00C45519" w:rsidRPr="00C45519" w:rsidRDefault="00C45519" w:rsidP="003D53F5">
      <w:pPr>
        <w:spacing w:after="0" w:line="240" w:lineRule="auto"/>
        <w:jc w:val="center"/>
        <w:rPr>
          <w:rFonts w:ascii="Arial" w:hAnsi="Arial" w:cs="Arial"/>
          <w:b/>
          <w:bCs/>
          <w:sz w:val="16"/>
          <w:szCs w:val="16"/>
          <w:lang w:val="es-ES" w:eastAsia="es-CO"/>
        </w:rPr>
      </w:pPr>
      <w:r>
        <w:rPr>
          <w:rFonts w:ascii="Arial" w:hAnsi="Arial" w:cs="Arial"/>
          <w:b/>
          <w:bCs/>
          <w:sz w:val="16"/>
          <w:szCs w:val="16"/>
          <w:lang w:val="es-ES" w:eastAsia="es-CO"/>
        </w:rPr>
        <w:t xml:space="preserve">                                                                                                                                           </w:t>
      </w:r>
      <w:r w:rsidR="00240AA2">
        <w:rPr>
          <w:rFonts w:ascii="Arial" w:hAnsi="Arial" w:cs="Arial"/>
          <w:b/>
          <w:bCs/>
          <w:sz w:val="16"/>
          <w:szCs w:val="16"/>
          <w:lang w:val="es-ES" w:eastAsia="es-CO"/>
        </w:rPr>
        <w:t xml:space="preserve">           </w:t>
      </w:r>
      <w:r>
        <w:rPr>
          <w:rFonts w:ascii="Arial" w:hAnsi="Arial" w:cs="Arial"/>
          <w:b/>
          <w:bCs/>
          <w:sz w:val="16"/>
          <w:szCs w:val="16"/>
          <w:lang w:val="es-ES" w:eastAsia="es-CO"/>
        </w:rPr>
        <w:t xml:space="preserve">  </w:t>
      </w:r>
      <w:r w:rsidRPr="00C45519">
        <w:rPr>
          <w:rFonts w:ascii="Arial" w:hAnsi="Arial" w:cs="Arial"/>
          <w:b/>
          <w:bCs/>
          <w:sz w:val="16"/>
          <w:szCs w:val="16"/>
          <w:lang w:val="es-ES" w:eastAsia="es-CO"/>
        </w:rPr>
        <w:t>(</w:t>
      </w:r>
      <w:r w:rsidR="00240AA2">
        <w:rPr>
          <w:rFonts w:ascii="Arial" w:hAnsi="Arial" w:cs="Arial"/>
          <w:b/>
          <w:bCs/>
          <w:sz w:val="16"/>
          <w:szCs w:val="16"/>
          <w:lang w:val="es-ES" w:eastAsia="es-CO"/>
        </w:rPr>
        <w:t>M</w:t>
      </w:r>
      <w:r w:rsidRPr="00C45519">
        <w:rPr>
          <w:rFonts w:ascii="Arial" w:hAnsi="Arial" w:cs="Arial"/>
          <w:b/>
          <w:bCs/>
          <w:sz w:val="16"/>
          <w:szCs w:val="16"/>
          <w:lang w:val="es-ES" w:eastAsia="es-CO"/>
        </w:rPr>
        <w:t>illones de pesos)</w:t>
      </w:r>
    </w:p>
    <w:tbl>
      <w:tblPr>
        <w:tblW w:w="8464" w:type="dxa"/>
        <w:jc w:val="center"/>
        <w:tblCellMar>
          <w:left w:w="70" w:type="dxa"/>
          <w:right w:w="70" w:type="dxa"/>
        </w:tblCellMar>
        <w:tblLook w:val="04A0" w:firstRow="1" w:lastRow="0" w:firstColumn="1" w:lastColumn="0" w:noHBand="0" w:noVBand="1"/>
      </w:tblPr>
      <w:tblGrid>
        <w:gridCol w:w="375"/>
        <w:gridCol w:w="1292"/>
        <w:gridCol w:w="1091"/>
        <w:gridCol w:w="990"/>
        <w:gridCol w:w="1030"/>
        <w:gridCol w:w="641"/>
        <w:gridCol w:w="951"/>
        <w:gridCol w:w="621"/>
        <w:gridCol w:w="893"/>
        <w:gridCol w:w="602"/>
      </w:tblGrid>
      <w:tr w:rsidR="00C45519" w:rsidRPr="00C45519" w14:paraId="6F1109CD" w14:textId="77777777" w:rsidTr="003D53F5">
        <w:trPr>
          <w:trHeight w:val="237"/>
          <w:jc w:val="center"/>
        </w:trPr>
        <w:tc>
          <w:tcPr>
            <w:tcW w:w="372" w:type="dxa"/>
            <w:tcBorders>
              <w:top w:val="single" w:sz="4" w:space="0" w:color="auto"/>
              <w:left w:val="single" w:sz="4" w:space="0" w:color="auto"/>
              <w:bottom w:val="single" w:sz="4" w:space="0" w:color="auto"/>
              <w:right w:val="single" w:sz="4" w:space="0" w:color="auto"/>
            </w:tcBorders>
            <w:shd w:val="clear" w:color="70AD47" w:fill="70AD47"/>
            <w:vAlign w:val="center"/>
            <w:hideMark/>
          </w:tcPr>
          <w:p w14:paraId="2E597C31" w14:textId="77777777" w:rsidR="00C45519" w:rsidRPr="00C45519" w:rsidRDefault="00C45519" w:rsidP="00C45519">
            <w:pPr>
              <w:spacing w:after="0" w:line="240" w:lineRule="auto"/>
              <w:jc w:val="center"/>
              <w:rPr>
                <w:rFonts w:eastAsia="Times New Roman" w:cstheme="minorHAnsi"/>
                <w:b/>
                <w:bCs/>
                <w:color w:val="FFFFFF"/>
                <w:sz w:val="16"/>
                <w:szCs w:val="16"/>
                <w:lang w:eastAsia="es-CO"/>
              </w:rPr>
            </w:pPr>
            <w:r w:rsidRPr="00C45519">
              <w:rPr>
                <w:rFonts w:eastAsia="Times New Roman" w:cstheme="minorHAnsi"/>
                <w:b/>
                <w:bCs/>
                <w:color w:val="FFFFFF"/>
                <w:sz w:val="16"/>
                <w:szCs w:val="16"/>
                <w:lang w:eastAsia="es-CO"/>
              </w:rPr>
              <w:t>No.</w:t>
            </w:r>
          </w:p>
        </w:tc>
        <w:tc>
          <w:tcPr>
            <w:tcW w:w="1282" w:type="dxa"/>
            <w:tcBorders>
              <w:top w:val="single" w:sz="4" w:space="0" w:color="auto"/>
              <w:left w:val="nil"/>
              <w:bottom w:val="single" w:sz="4" w:space="0" w:color="auto"/>
              <w:right w:val="single" w:sz="4" w:space="0" w:color="auto"/>
            </w:tcBorders>
            <w:shd w:val="clear" w:color="70AD47" w:fill="70AD47"/>
            <w:vAlign w:val="center"/>
            <w:hideMark/>
          </w:tcPr>
          <w:p w14:paraId="39FE2FC7" w14:textId="77777777" w:rsidR="00C45519" w:rsidRPr="00C45519" w:rsidRDefault="00C45519" w:rsidP="00C45519">
            <w:pPr>
              <w:spacing w:after="0" w:line="240" w:lineRule="auto"/>
              <w:jc w:val="center"/>
              <w:rPr>
                <w:rFonts w:eastAsia="Times New Roman" w:cstheme="minorHAnsi"/>
                <w:b/>
                <w:bCs/>
                <w:color w:val="FFFFFF"/>
                <w:sz w:val="16"/>
                <w:szCs w:val="16"/>
                <w:lang w:eastAsia="es-CO"/>
              </w:rPr>
            </w:pPr>
            <w:r w:rsidRPr="00C45519">
              <w:rPr>
                <w:rFonts w:eastAsia="Times New Roman" w:cstheme="minorHAnsi"/>
                <w:b/>
                <w:bCs/>
                <w:color w:val="FFFFFF"/>
                <w:sz w:val="16"/>
                <w:szCs w:val="16"/>
                <w:lang w:eastAsia="es-CO"/>
              </w:rPr>
              <w:t>EPS</w:t>
            </w:r>
          </w:p>
        </w:tc>
        <w:tc>
          <w:tcPr>
            <w:tcW w:w="1082" w:type="dxa"/>
            <w:tcBorders>
              <w:top w:val="single" w:sz="4" w:space="0" w:color="auto"/>
              <w:left w:val="nil"/>
              <w:bottom w:val="single" w:sz="4" w:space="0" w:color="auto"/>
              <w:right w:val="single" w:sz="4" w:space="0" w:color="auto"/>
            </w:tcBorders>
            <w:shd w:val="clear" w:color="70AD47" w:fill="70AD47"/>
            <w:vAlign w:val="center"/>
            <w:hideMark/>
          </w:tcPr>
          <w:p w14:paraId="677BC62C" w14:textId="2FA36D0C" w:rsidR="00C45519" w:rsidRPr="00C45519" w:rsidRDefault="00C45519" w:rsidP="00C45519">
            <w:pPr>
              <w:spacing w:after="0" w:line="240" w:lineRule="auto"/>
              <w:jc w:val="center"/>
              <w:rPr>
                <w:rFonts w:eastAsia="Times New Roman" w:cstheme="minorHAnsi"/>
                <w:b/>
                <w:bCs/>
                <w:color w:val="FFFFFF"/>
                <w:sz w:val="16"/>
                <w:szCs w:val="16"/>
                <w:lang w:eastAsia="es-CO"/>
              </w:rPr>
            </w:pPr>
            <w:r w:rsidRPr="00C45519">
              <w:rPr>
                <w:rFonts w:eastAsia="Times New Roman" w:cstheme="minorHAnsi"/>
                <w:b/>
                <w:bCs/>
                <w:color w:val="FFFFFF"/>
                <w:sz w:val="16"/>
                <w:szCs w:val="16"/>
                <w:lang w:eastAsia="es-CO"/>
              </w:rPr>
              <w:t>No. Acree</w:t>
            </w:r>
            <w:r w:rsidR="008C7FFB">
              <w:rPr>
                <w:rFonts w:eastAsia="Times New Roman" w:cstheme="minorHAnsi"/>
                <w:b/>
                <w:bCs/>
                <w:color w:val="FFFFFF"/>
                <w:sz w:val="16"/>
                <w:szCs w:val="16"/>
                <w:lang w:eastAsia="es-CO"/>
              </w:rPr>
              <w:t>ncias</w:t>
            </w:r>
          </w:p>
        </w:tc>
        <w:tc>
          <w:tcPr>
            <w:tcW w:w="990" w:type="dxa"/>
            <w:tcBorders>
              <w:top w:val="single" w:sz="4" w:space="0" w:color="auto"/>
              <w:left w:val="nil"/>
              <w:bottom w:val="single" w:sz="4" w:space="0" w:color="auto"/>
              <w:right w:val="single" w:sz="4" w:space="0" w:color="auto"/>
            </w:tcBorders>
            <w:shd w:val="clear" w:color="70AD47" w:fill="70AD47"/>
            <w:vAlign w:val="center"/>
            <w:hideMark/>
          </w:tcPr>
          <w:p w14:paraId="126E80DF" w14:textId="212BE87E" w:rsidR="00C45519" w:rsidRPr="00C45519" w:rsidRDefault="00C45519" w:rsidP="00C45519">
            <w:pPr>
              <w:spacing w:after="0" w:line="240" w:lineRule="auto"/>
              <w:jc w:val="center"/>
              <w:rPr>
                <w:rFonts w:eastAsia="Times New Roman" w:cstheme="minorHAnsi"/>
                <w:b/>
                <w:bCs/>
                <w:color w:val="FFFFFF"/>
                <w:sz w:val="16"/>
                <w:szCs w:val="16"/>
                <w:lang w:eastAsia="es-CO"/>
              </w:rPr>
            </w:pPr>
            <w:r w:rsidRPr="00C45519">
              <w:rPr>
                <w:rFonts w:eastAsia="Times New Roman" w:cstheme="minorHAnsi"/>
                <w:b/>
                <w:bCs/>
                <w:color w:val="FFFFFF"/>
                <w:sz w:val="16"/>
                <w:szCs w:val="16"/>
                <w:lang w:eastAsia="es-CO"/>
              </w:rPr>
              <w:t>V</w:t>
            </w:r>
            <w:r w:rsidR="00240AA2">
              <w:rPr>
                <w:rFonts w:eastAsia="Times New Roman" w:cstheme="minorHAnsi"/>
                <w:b/>
                <w:bCs/>
                <w:color w:val="FFFFFF"/>
                <w:sz w:val="16"/>
                <w:szCs w:val="16"/>
                <w:lang w:eastAsia="es-CO"/>
              </w:rPr>
              <w:t xml:space="preserve">alor </w:t>
            </w:r>
            <w:r w:rsidRPr="00C45519">
              <w:rPr>
                <w:rFonts w:eastAsia="Times New Roman" w:cstheme="minorHAnsi"/>
                <w:b/>
                <w:bCs/>
                <w:color w:val="FFFFFF"/>
                <w:sz w:val="16"/>
                <w:szCs w:val="16"/>
                <w:lang w:eastAsia="es-CO"/>
              </w:rPr>
              <w:t>Reclamado</w:t>
            </w:r>
          </w:p>
        </w:tc>
        <w:tc>
          <w:tcPr>
            <w:tcW w:w="1030" w:type="dxa"/>
            <w:tcBorders>
              <w:top w:val="single" w:sz="4" w:space="0" w:color="auto"/>
              <w:left w:val="nil"/>
              <w:bottom w:val="single" w:sz="4" w:space="0" w:color="auto"/>
              <w:right w:val="single" w:sz="4" w:space="0" w:color="auto"/>
            </w:tcBorders>
            <w:shd w:val="clear" w:color="70AD47" w:fill="70AD47"/>
            <w:vAlign w:val="center"/>
            <w:hideMark/>
          </w:tcPr>
          <w:p w14:paraId="34529A4B" w14:textId="2C82E62B" w:rsidR="00C45519" w:rsidRPr="00C45519" w:rsidRDefault="00C45519" w:rsidP="00C45519">
            <w:pPr>
              <w:spacing w:after="0" w:line="240" w:lineRule="auto"/>
              <w:jc w:val="center"/>
              <w:rPr>
                <w:rFonts w:eastAsia="Times New Roman" w:cstheme="minorHAnsi"/>
                <w:b/>
                <w:bCs/>
                <w:color w:val="FFFFFF"/>
                <w:sz w:val="16"/>
                <w:szCs w:val="16"/>
                <w:lang w:eastAsia="es-CO"/>
              </w:rPr>
            </w:pPr>
            <w:r w:rsidRPr="00C45519">
              <w:rPr>
                <w:rFonts w:eastAsia="Times New Roman" w:cstheme="minorHAnsi"/>
                <w:b/>
                <w:bCs/>
                <w:color w:val="FFFFFF"/>
                <w:sz w:val="16"/>
                <w:szCs w:val="16"/>
                <w:lang w:eastAsia="es-CO"/>
              </w:rPr>
              <w:t>V</w:t>
            </w:r>
            <w:r w:rsidR="00240AA2">
              <w:rPr>
                <w:rFonts w:eastAsia="Times New Roman" w:cstheme="minorHAnsi"/>
                <w:b/>
                <w:bCs/>
                <w:color w:val="FFFFFF"/>
                <w:sz w:val="16"/>
                <w:szCs w:val="16"/>
                <w:lang w:eastAsia="es-CO"/>
              </w:rPr>
              <w:t xml:space="preserve">alor </w:t>
            </w:r>
            <w:r w:rsidRPr="00C45519">
              <w:rPr>
                <w:rFonts w:eastAsia="Times New Roman" w:cstheme="minorHAnsi"/>
                <w:b/>
                <w:bCs/>
                <w:color w:val="FFFFFF"/>
                <w:sz w:val="16"/>
                <w:szCs w:val="16"/>
                <w:lang w:eastAsia="es-CO"/>
              </w:rPr>
              <w:t>Reconocido</w:t>
            </w:r>
          </w:p>
        </w:tc>
        <w:tc>
          <w:tcPr>
            <w:tcW w:w="641" w:type="dxa"/>
            <w:tcBorders>
              <w:top w:val="single" w:sz="4" w:space="0" w:color="auto"/>
              <w:left w:val="nil"/>
              <w:bottom w:val="single" w:sz="4" w:space="0" w:color="auto"/>
              <w:right w:val="single" w:sz="4" w:space="0" w:color="auto"/>
            </w:tcBorders>
            <w:shd w:val="clear" w:color="70AD47" w:fill="70AD47"/>
            <w:vAlign w:val="center"/>
            <w:hideMark/>
          </w:tcPr>
          <w:p w14:paraId="5FF5FA53" w14:textId="77777777" w:rsidR="00C45519" w:rsidRPr="00C45519" w:rsidRDefault="00C45519" w:rsidP="00C45519">
            <w:pPr>
              <w:spacing w:after="0" w:line="240" w:lineRule="auto"/>
              <w:jc w:val="center"/>
              <w:rPr>
                <w:rFonts w:eastAsia="Times New Roman" w:cstheme="minorHAnsi"/>
                <w:b/>
                <w:bCs/>
                <w:color w:val="FFFFFF"/>
                <w:sz w:val="16"/>
                <w:szCs w:val="16"/>
                <w:lang w:eastAsia="es-CO"/>
              </w:rPr>
            </w:pPr>
            <w:r w:rsidRPr="00C45519">
              <w:rPr>
                <w:rFonts w:eastAsia="Times New Roman" w:cstheme="minorHAnsi"/>
                <w:b/>
                <w:bCs/>
                <w:color w:val="FFFFFF"/>
                <w:sz w:val="16"/>
                <w:szCs w:val="16"/>
                <w:lang w:eastAsia="es-CO"/>
              </w:rPr>
              <w:t>% Recon</w:t>
            </w:r>
          </w:p>
        </w:tc>
        <w:tc>
          <w:tcPr>
            <w:tcW w:w="951" w:type="dxa"/>
            <w:tcBorders>
              <w:top w:val="single" w:sz="4" w:space="0" w:color="auto"/>
              <w:left w:val="nil"/>
              <w:bottom w:val="single" w:sz="4" w:space="0" w:color="auto"/>
              <w:right w:val="single" w:sz="4" w:space="0" w:color="auto"/>
            </w:tcBorders>
            <w:shd w:val="clear" w:color="70AD47" w:fill="70AD47"/>
            <w:vAlign w:val="center"/>
            <w:hideMark/>
          </w:tcPr>
          <w:p w14:paraId="7A911C23" w14:textId="77777777" w:rsidR="00C45519" w:rsidRPr="00C45519" w:rsidRDefault="00C45519" w:rsidP="00C45519">
            <w:pPr>
              <w:spacing w:after="0" w:line="240" w:lineRule="auto"/>
              <w:jc w:val="center"/>
              <w:rPr>
                <w:rFonts w:eastAsia="Times New Roman" w:cstheme="minorHAnsi"/>
                <w:b/>
                <w:bCs/>
                <w:color w:val="FFFFFF"/>
                <w:sz w:val="16"/>
                <w:szCs w:val="16"/>
                <w:lang w:eastAsia="es-CO"/>
              </w:rPr>
            </w:pPr>
            <w:r w:rsidRPr="00C45519">
              <w:rPr>
                <w:rFonts w:eastAsia="Times New Roman" w:cstheme="minorHAnsi"/>
                <w:b/>
                <w:bCs/>
                <w:color w:val="FFFFFF"/>
                <w:sz w:val="16"/>
                <w:szCs w:val="16"/>
                <w:lang w:eastAsia="es-CO"/>
              </w:rPr>
              <w:t>Total pagado</w:t>
            </w:r>
          </w:p>
        </w:tc>
        <w:tc>
          <w:tcPr>
            <w:tcW w:w="621" w:type="dxa"/>
            <w:tcBorders>
              <w:top w:val="single" w:sz="4" w:space="0" w:color="auto"/>
              <w:left w:val="nil"/>
              <w:bottom w:val="single" w:sz="4" w:space="0" w:color="auto"/>
              <w:right w:val="single" w:sz="4" w:space="0" w:color="auto"/>
            </w:tcBorders>
            <w:shd w:val="clear" w:color="70AD47" w:fill="70AD47"/>
            <w:vAlign w:val="center"/>
            <w:hideMark/>
          </w:tcPr>
          <w:p w14:paraId="2BF170B0" w14:textId="77777777" w:rsidR="00C45519" w:rsidRPr="00C45519" w:rsidRDefault="00C45519" w:rsidP="00C45519">
            <w:pPr>
              <w:spacing w:after="0" w:line="240" w:lineRule="auto"/>
              <w:jc w:val="center"/>
              <w:rPr>
                <w:rFonts w:eastAsia="Times New Roman" w:cstheme="minorHAnsi"/>
                <w:b/>
                <w:bCs/>
                <w:color w:val="FFFFFF"/>
                <w:sz w:val="16"/>
                <w:szCs w:val="16"/>
                <w:lang w:eastAsia="es-CO"/>
              </w:rPr>
            </w:pPr>
            <w:r w:rsidRPr="00C45519">
              <w:rPr>
                <w:rFonts w:eastAsia="Times New Roman" w:cstheme="minorHAnsi"/>
                <w:b/>
                <w:bCs/>
                <w:color w:val="FFFFFF"/>
                <w:sz w:val="16"/>
                <w:szCs w:val="16"/>
                <w:lang w:eastAsia="es-CO"/>
              </w:rPr>
              <w:t>% Pagos</w:t>
            </w:r>
          </w:p>
        </w:tc>
        <w:tc>
          <w:tcPr>
            <w:tcW w:w="893" w:type="dxa"/>
            <w:tcBorders>
              <w:top w:val="single" w:sz="4" w:space="0" w:color="auto"/>
              <w:left w:val="nil"/>
              <w:bottom w:val="single" w:sz="4" w:space="0" w:color="auto"/>
              <w:right w:val="single" w:sz="4" w:space="0" w:color="auto"/>
            </w:tcBorders>
            <w:shd w:val="clear" w:color="70AD47" w:fill="70AD47"/>
            <w:vAlign w:val="center"/>
            <w:hideMark/>
          </w:tcPr>
          <w:p w14:paraId="687CE115" w14:textId="7B67BD1C" w:rsidR="00C45519" w:rsidRPr="00C45519" w:rsidRDefault="00C45519" w:rsidP="00C45519">
            <w:pPr>
              <w:spacing w:after="0" w:line="240" w:lineRule="auto"/>
              <w:jc w:val="center"/>
              <w:rPr>
                <w:rFonts w:eastAsia="Times New Roman" w:cstheme="minorHAnsi"/>
                <w:b/>
                <w:bCs/>
                <w:color w:val="FFFFFF"/>
                <w:sz w:val="16"/>
                <w:szCs w:val="16"/>
                <w:lang w:eastAsia="es-CO"/>
              </w:rPr>
            </w:pPr>
            <w:r w:rsidRPr="00C45519">
              <w:rPr>
                <w:rFonts w:eastAsia="Times New Roman" w:cstheme="minorHAnsi"/>
                <w:b/>
                <w:bCs/>
                <w:color w:val="FFFFFF"/>
                <w:sz w:val="16"/>
                <w:szCs w:val="16"/>
                <w:lang w:eastAsia="es-CO"/>
              </w:rPr>
              <w:t>V</w:t>
            </w:r>
            <w:r w:rsidR="008C7FFB">
              <w:rPr>
                <w:rFonts w:eastAsia="Times New Roman" w:cstheme="minorHAnsi"/>
                <w:b/>
                <w:bCs/>
                <w:color w:val="FFFFFF"/>
                <w:sz w:val="16"/>
                <w:szCs w:val="16"/>
                <w:lang w:eastAsia="es-CO"/>
              </w:rPr>
              <w:t>alor s</w:t>
            </w:r>
            <w:r w:rsidRPr="00C45519">
              <w:rPr>
                <w:rFonts w:eastAsia="Times New Roman" w:cstheme="minorHAnsi"/>
                <w:b/>
                <w:bCs/>
                <w:color w:val="FFFFFF"/>
                <w:sz w:val="16"/>
                <w:szCs w:val="16"/>
                <w:lang w:eastAsia="es-CO"/>
              </w:rPr>
              <w:t>aldo por pagar</w:t>
            </w:r>
          </w:p>
        </w:tc>
        <w:tc>
          <w:tcPr>
            <w:tcW w:w="602" w:type="dxa"/>
            <w:tcBorders>
              <w:top w:val="single" w:sz="4" w:space="0" w:color="auto"/>
              <w:left w:val="nil"/>
              <w:bottom w:val="single" w:sz="4" w:space="0" w:color="auto"/>
              <w:right w:val="single" w:sz="4" w:space="0" w:color="auto"/>
            </w:tcBorders>
            <w:shd w:val="clear" w:color="70AD47" w:fill="70AD47"/>
            <w:vAlign w:val="center"/>
            <w:hideMark/>
          </w:tcPr>
          <w:p w14:paraId="19D3D7F8" w14:textId="77777777" w:rsidR="00C45519" w:rsidRPr="00C45519" w:rsidRDefault="00C45519" w:rsidP="00C45519">
            <w:pPr>
              <w:spacing w:after="0" w:line="240" w:lineRule="auto"/>
              <w:jc w:val="center"/>
              <w:rPr>
                <w:rFonts w:eastAsia="Times New Roman" w:cstheme="minorHAnsi"/>
                <w:b/>
                <w:bCs/>
                <w:color w:val="FFFFFF"/>
                <w:sz w:val="16"/>
                <w:szCs w:val="16"/>
                <w:lang w:eastAsia="es-CO"/>
              </w:rPr>
            </w:pPr>
            <w:r w:rsidRPr="00C45519">
              <w:rPr>
                <w:rFonts w:eastAsia="Times New Roman" w:cstheme="minorHAnsi"/>
                <w:b/>
                <w:bCs/>
                <w:color w:val="FFFFFF"/>
                <w:sz w:val="16"/>
                <w:szCs w:val="16"/>
                <w:lang w:eastAsia="es-CO"/>
              </w:rPr>
              <w:t>% Saldo</w:t>
            </w:r>
          </w:p>
        </w:tc>
      </w:tr>
      <w:tr w:rsidR="00C45519" w:rsidRPr="00C45519" w14:paraId="0EEE584D" w14:textId="77777777" w:rsidTr="003D53F5">
        <w:trPr>
          <w:trHeight w:val="163"/>
          <w:jc w:val="center"/>
        </w:trPr>
        <w:tc>
          <w:tcPr>
            <w:tcW w:w="372" w:type="dxa"/>
            <w:tcBorders>
              <w:top w:val="nil"/>
              <w:left w:val="single" w:sz="4" w:space="0" w:color="auto"/>
              <w:bottom w:val="single" w:sz="4" w:space="0" w:color="auto"/>
              <w:right w:val="single" w:sz="4" w:space="0" w:color="auto"/>
            </w:tcBorders>
            <w:shd w:val="clear" w:color="E2EFDA" w:fill="E2EFDA"/>
            <w:vAlign w:val="center"/>
            <w:hideMark/>
          </w:tcPr>
          <w:p w14:paraId="7BB1ECF6" w14:textId="77777777" w:rsidR="00C45519" w:rsidRPr="00C45519" w:rsidRDefault="00C45519" w:rsidP="00C45519">
            <w:pPr>
              <w:spacing w:after="0" w:line="240" w:lineRule="auto"/>
              <w:jc w:val="center"/>
              <w:rPr>
                <w:rFonts w:eastAsia="Times New Roman" w:cstheme="minorHAnsi"/>
                <w:color w:val="000000"/>
                <w:sz w:val="16"/>
                <w:szCs w:val="16"/>
                <w:lang w:eastAsia="es-CO"/>
              </w:rPr>
            </w:pPr>
            <w:r w:rsidRPr="00C45519">
              <w:rPr>
                <w:rFonts w:eastAsia="Times New Roman" w:cstheme="minorHAnsi"/>
                <w:color w:val="000000"/>
                <w:sz w:val="16"/>
                <w:szCs w:val="16"/>
                <w:lang w:eastAsia="es-CO"/>
              </w:rPr>
              <w:t>1</w:t>
            </w:r>
          </w:p>
        </w:tc>
        <w:tc>
          <w:tcPr>
            <w:tcW w:w="1282" w:type="dxa"/>
            <w:tcBorders>
              <w:top w:val="nil"/>
              <w:left w:val="nil"/>
              <w:bottom w:val="single" w:sz="4" w:space="0" w:color="auto"/>
              <w:right w:val="single" w:sz="4" w:space="0" w:color="auto"/>
            </w:tcBorders>
            <w:shd w:val="clear" w:color="E2EFDA" w:fill="E2EFDA"/>
            <w:vAlign w:val="center"/>
            <w:hideMark/>
          </w:tcPr>
          <w:p w14:paraId="73DCA45B" w14:textId="77777777" w:rsidR="00C45519" w:rsidRPr="00C45519" w:rsidRDefault="00C45519" w:rsidP="00C45519">
            <w:pPr>
              <w:spacing w:after="0" w:line="240" w:lineRule="auto"/>
              <w:rPr>
                <w:rFonts w:eastAsia="Times New Roman" w:cstheme="minorHAnsi"/>
                <w:color w:val="000000"/>
                <w:sz w:val="16"/>
                <w:szCs w:val="16"/>
                <w:lang w:eastAsia="es-CO"/>
              </w:rPr>
            </w:pPr>
            <w:r w:rsidRPr="00C45519">
              <w:rPr>
                <w:rFonts w:eastAsia="Times New Roman" w:cstheme="minorHAnsi"/>
                <w:color w:val="000000"/>
                <w:sz w:val="16"/>
                <w:szCs w:val="16"/>
                <w:lang w:eastAsia="es-CO"/>
              </w:rPr>
              <w:t>COMPARTA</w:t>
            </w:r>
          </w:p>
        </w:tc>
        <w:tc>
          <w:tcPr>
            <w:tcW w:w="1082" w:type="dxa"/>
            <w:tcBorders>
              <w:top w:val="nil"/>
              <w:left w:val="nil"/>
              <w:bottom w:val="single" w:sz="4" w:space="0" w:color="auto"/>
              <w:right w:val="single" w:sz="4" w:space="0" w:color="auto"/>
            </w:tcBorders>
            <w:shd w:val="clear" w:color="E2EFDA" w:fill="E2EFDA"/>
            <w:vAlign w:val="center"/>
            <w:hideMark/>
          </w:tcPr>
          <w:p w14:paraId="729A3529"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En proceso de determinación acreencias  </w:t>
            </w:r>
          </w:p>
        </w:tc>
        <w:tc>
          <w:tcPr>
            <w:tcW w:w="990" w:type="dxa"/>
            <w:tcBorders>
              <w:top w:val="nil"/>
              <w:left w:val="nil"/>
              <w:bottom w:val="single" w:sz="4" w:space="0" w:color="auto"/>
              <w:right w:val="single" w:sz="4" w:space="0" w:color="auto"/>
            </w:tcBorders>
            <w:shd w:val="clear" w:color="E2EFDA" w:fill="E2EFDA"/>
            <w:vAlign w:val="center"/>
            <w:hideMark/>
          </w:tcPr>
          <w:p w14:paraId="20F65AB6"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 </w:t>
            </w:r>
          </w:p>
        </w:tc>
        <w:tc>
          <w:tcPr>
            <w:tcW w:w="1030" w:type="dxa"/>
            <w:tcBorders>
              <w:top w:val="nil"/>
              <w:left w:val="nil"/>
              <w:bottom w:val="single" w:sz="4" w:space="0" w:color="auto"/>
              <w:right w:val="single" w:sz="4" w:space="0" w:color="auto"/>
            </w:tcBorders>
            <w:shd w:val="clear" w:color="E2EFDA" w:fill="E2EFDA"/>
            <w:vAlign w:val="center"/>
          </w:tcPr>
          <w:p w14:paraId="2602B27D" w14:textId="77777777" w:rsidR="00C45519" w:rsidRPr="00C45519" w:rsidRDefault="00C45519" w:rsidP="00C45519">
            <w:pPr>
              <w:spacing w:after="0" w:line="240" w:lineRule="auto"/>
              <w:jc w:val="right"/>
              <w:rPr>
                <w:rFonts w:eastAsia="Times New Roman" w:cstheme="minorHAnsi"/>
                <w:color w:val="000000"/>
                <w:sz w:val="16"/>
                <w:szCs w:val="16"/>
                <w:lang w:eastAsia="es-CO"/>
              </w:rPr>
            </w:pPr>
          </w:p>
        </w:tc>
        <w:tc>
          <w:tcPr>
            <w:tcW w:w="641" w:type="dxa"/>
            <w:tcBorders>
              <w:top w:val="nil"/>
              <w:left w:val="nil"/>
              <w:bottom w:val="single" w:sz="4" w:space="0" w:color="auto"/>
              <w:right w:val="single" w:sz="4" w:space="0" w:color="auto"/>
            </w:tcBorders>
            <w:shd w:val="clear" w:color="E2EFDA" w:fill="E2EFDA"/>
            <w:vAlign w:val="center"/>
          </w:tcPr>
          <w:p w14:paraId="50862BFE" w14:textId="77777777" w:rsidR="00C45519" w:rsidRPr="00C45519" w:rsidRDefault="00C45519" w:rsidP="00C45519">
            <w:pPr>
              <w:spacing w:after="0" w:line="240" w:lineRule="auto"/>
              <w:jc w:val="right"/>
              <w:rPr>
                <w:rFonts w:eastAsia="Times New Roman" w:cstheme="minorHAnsi"/>
                <w:color w:val="000000"/>
                <w:sz w:val="16"/>
                <w:szCs w:val="16"/>
                <w:lang w:eastAsia="es-CO"/>
              </w:rPr>
            </w:pPr>
          </w:p>
        </w:tc>
        <w:tc>
          <w:tcPr>
            <w:tcW w:w="951" w:type="dxa"/>
            <w:tcBorders>
              <w:top w:val="nil"/>
              <w:left w:val="nil"/>
              <w:bottom w:val="single" w:sz="4" w:space="0" w:color="auto"/>
              <w:right w:val="single" w:sz="4" w:space="0" w:color="auto"/>
            </w:tcBorders>
            <w:shd w:val="clear" w:color="E2EFDA" w:fill="E2EFDA"/>
            <w:vAlign w:val="center"/>
          </w:tcPr>
          <w:p w14:paraId="46528D29" w14:textId="77777777" w:rsidR="00C45519" w:rsidRPr="00C45519" w:rsidRDefault="00C45519" w:rsidP="00C45519">
            <w:pPr>
              <w:spacing w:after="0" w:line="240" w:lineRule="auto"/>
              <w:jc w:val="right"/>
              <w:rPr>
                <w:rFonts w:eastAsia="Times New Roman" w:cstheme="minorHAnsi"/>
                <w:color w:val="000000"/>
                <w:sz w:val="16"/>
                <w:szCs w:val="16"/>
                <w:lang w:eastAsia="es-CO"/>
              </w:rPr>
            </w:pPr>
          </w:p>
        </w:tc>
        <w:tc>
          <w:tcPr>
            <w:tcW w:w="621" w:type="dxa"/>
            <w:tcBorders>
              <w:top w:val="nil"/>
              <w:left w:val="nil"/>
              <w:bottom w:val="single" w:sz="4" w:space="0" w:color="auto"/>
              <w:right w:val="single" w:sz="4" w:space="0" w:color="auto"/>
            </w:tcBorders>
            <w:shd w:val="clear" w:color="000000" w:fill="E2EFDA"/>
            <w:vAlign w:val="center"/>
          </w:tcPr>
          <w:p w14:paraId="67FE2839" w14:textId="77777777" w:rsidR="00C45519" w:rsidRPr="00C45519" w:rsidRDefault="00C45519" w:rsidP="00C45519">
            <w:pPr>
              <w:spacing w:after="0" w:line="240" w:lineRule="auto"/>
              <w:jc w:val="right"/>
              <w:rPr>
                <w:rFonts w:eastAsia="Times New Roman" w:cstheme="minorHAnsi"/>
                <w:color w:val="000000"/>
                <w:sz w:val="16"/>
                <w:szCs w:val="16"/>
                <w:lang w:eastAsia="es-CO"/>
              </w:rPr>
            </w:pPr>
          </w:p>
        </w:tc>
        <w:tc>
          <w:tcPr>
            <w:tcW w:w="893" w:type="dxa"/>
            <w:tcBorders>
              <w:top w:val="nil"/>
              <w:left w:val="nil"/>
              <w:bottom w:val="single" w:sz="4" w:space="0" w:color="auto"/>
              <w:right w:val="single" w:sz="4" w:space="0" w:color="auto"/>
            </w:tcBorders>
            <w:shd w:val="clear" w:color="E2EFDA" w:fill="E2EFDA"/>
            <w:vAlign w:val="center"/>
          </w:tcPr>
          <w:p w14:paraId="1C59F3BE" w14:textId="77777777" w:rsidR="00C45519" w:rsidRPr="00C45519" w:rsidRDefault="00C45519" w:rsidP="00C45519">
            <w:pPr>
              <w:spacing w:after="0" w:line="240" w:lineRule="auto"/>
              <w:jc w:val="right"/>
              <w:rPr>
                <w:rFonts w:eastAsia="Times New Roman" w:cstheme="minorHAnsi"/>
                <w:color w:val="000000"/>
                <w:sz w:val="16"/>
                <w:szCs w:val="16"/>
                <w:lang w:eastAsia="es-CO"/>
              </w:rPr>
            </w:pPr>
          </w:p>
        </w:tc>
        <w:tc>
          <w:tcPr>
            <w:tcW w:w="602" w:type="dxa"/>
            <w:tcBorders>
              <w:top w:val="nil"/>
              <w:left w:val="nil"/>
              <w:bottom w:val="single" w:sz="4" w:space="0" w:color="auto"/>
              <w:right w:val="single" w:sz="4" w:space="0" w:color="auto"/>
            </w:tcBorders>
            <w:shd w:val="clear" w:color="E2EFDA" w:fill="E2EFDA"/>
            <w:vAlign w:val="center"/>
          </w:tcPr>
          <w:p w14:paraId="41E87C1E" w14:textId="77777777" w:rsidR="00C45519" w:rsidRPr="00C45519" w:rsidRDefault="00C45519" w:rsidP="00C45519">
            <w:pPr>
              <w:spacing w:after="0" w:line="240" w:lineRule="auto"/>
              <w:jc w:val="right"/>
              <w:rPr>
                <w:rFonts w:eastAsia="Times New Roman" w:cstheme="minorHAnsi"/>
                <w:color w:val="000000"/>
                <w:sz w:val="16"/>
                <w:szCs w:val="16"/>
                <w:lang w:eastAsia="es-CO"/>
              </w:rPr>
            </w:pPr>
          </w:p>
        </w:tc>
      </w:tr>
      <w:tr w:rsidR="00C45519" w:rsidRPr="00C45519" w14:paraId="1B73FF69" w14:textId="77777777" w:rsidTr="003D53F5">
        <w:trPr>
          <w:trHeight w:val="163"/>
          <w:jc w:val="center"/>
        </w:trPr>
        <w:tc>
          <w:tcPr>
            <w:tcW w:w="372" w:type="dxa"/>
            <w:tcBorders>
              <w:top w:val="nil"/>
              <w:left w:val="single" w:sz="4" w:space="0" w:color="auto"/>
              <w:bottom w:val="single" w:sz="4" w:space="0" w:color="auto"/>
              <w:right w:val="single" w:sz="4" w:space="0" w:color="auto"/>
            </w:tcBorders>
            <w:shd w:val="clear" w:color="auto" w:fill="auto"/>
            <w:vAlign w:val="center"/>
            <w:hideMark/>
          </w:tcPr>
          <w:p w14:paraId="68BE4DCC" w14:textId="77777777" w:rsidR="00C45519" w:rsidRPr="00C45519" w:rsidRDefault="00C45519" w:rsidP="00C45519">
            <w:pPr>
              <w:spacing w:after="0" w:line="240" w:lineRule="auto"/>
              <w:jc w:val="center"/>
              <w:rPr>
                <w:rFonts w:eastAsia="Times New Roman" w:cstheme="minorHAnsi"/>
                <w:color w:val="000000"/>
                <w:sz w:val="16"/>
                <w:szCs w:val="16"/>
                <w:lang w:eastAsia="es-CO"/>
              </w:rPr>
            </w:pPr>
            <w:r w:rsidRPr="00C45519">
              <w:rPr>
                <w:rFonts w:eastAsia="Times New Roman" w:cstheme="minorHAnsi"/>
                <w:color w:val="000000"/>
                <w:sz w:val="16"/>
                <w:szCs w:val="16"/>
                <w:lang w:eastAsia="es-CO"/>
              </w:rPr>
              <w:t>2</w:t>
            </w:r>
          </w:p>
        </w:tc>
        <w:tc>
          <w:tcPr>
            <w:tcW w:w="1282" w:type="dxa"/>
            <w:tcBorders>
              <w:top w:val="nil"/>
              <w:left w:val="nil"/>
              <w:bottom w:val="single" w:sz="4" w:space="0" w:color="auto"/>
              <w:right w:val="single" w:sz="4" w:space="0" w:color="auto"/>
            </w:tcBorders>
            <w:shd w:val="clear" w:color="auto" w:fill="auto"/>
            <w:vAlign w:val="center"/>
            <w:hideMark/>
          </w:tcPr>
          <w:p w14:paraId="67BB846B" w14:textId="77777777" w:rsidR="00C45519" w:rsidRPr="00C45519" w:rsidRDefault="00C45519" w:rsidP="00C45519">
            <w:pPr>
              <w:spacing w:after="0" w:line="240" w:lineRule="auto"/>
              <w:rPr>
                <w:rFonts w:eastAsia="Times New Roman" w:cstheme="minorHAnsi"/>
                <w:color w:val="000000"/>
                <w:sz w:val="16"/>
                <w:szCs w:val="16"/>
                <w:lang w:eastAsia="es-CO"/>
              </w:rPr>
            </w:pPr>
            <w:r w:rsidRPr="00C45519">
              <w:rPr>
                <w:rFonts w:eastAsia="Times New Roman" w:cstheme="minorHAnsi"/>
                <w:color w:val="000000"/>
                <w:sz w:val="16"/>
                <w:szCs w:val="16"/>
                <w:lang w:eastAsia="es-CO"/>
              </w:rPr>
              <w:t>AMBUQ</w:t>
            </w:r>
          </w:p>
        </w:tc>
        <w:tc>
          <w:tcPr>
            <w:tcW w:w="1082" w:type="dxa"/>
            <w:tcBorders>
              <w:top w:val="nil"/>
              <w:left w:val="nil"/>
              <w:bottom w:val="single" w:sz="4" w:space="0" w:color="auto"/>
              <w:right w:val="single" w:sz="4" w:space="0" w:color="auto"/>
            </w:tcBorders>
            <w:shd w:val="clear" w:color="auto" w:fill="auto"/>
            <w:vAlign w:val="center"/>
            <w:hideMark/>
          </w:tcPr>
          <w:p w14:paraId="1FD3D9A2"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En proceso de determinación acreencias   </w:t>
            </w:r>
          </w:p>
        </w:tc>
        <w:tc>
          <w:tcPr>
            <w:tcW w:w="990" w:type="dxa"/>
            <w:tcBorders>
              <w:top w:val="nil"/>
              <w:left w:val="nil"/>
              <w:bottom w:val="single" w:sz="4" w:space="0" w:color="auto"/>
              <w:right w:val="single" w:sz="4" w:space="0" w:color="auto"/>
            </w:tcBorders>
            <w:shd w:val="clear" w:color="auto" w:fill="auto"/>
            <w:vAlign w:val="center"/>
          </w:tcPr>
          <w:p w14:paraId="1D50F0BF" w14:textId="77777777" w:rsidR="00C45519" w:rsidRPr="00C45519" w:rsidRDefault="00C45519" w:rsidP="00C45519">
            <w:pPr>
              <w:spacing w:after="0" w:line="240" w:lineRule="auto"/>
              <w:jc w:val="right"/>
              <w:rPr>
                <w:rFonts w:eastAsia="Times New Roman" w:cstheme="minorHAnsi"/>
                <w:color w:val="000000"/>
                <w:sz w:val="16"/>
                <w:szCs w:val="16"/>
                <w:lang w:eastAsia="es-CO"/>
              </w:rPr>
            </w:pPr>
          </w:p>
        </w:tc>
        <w:tc>
          <w:tcPr>
            <w:tcW w:w="1030" w:type="dxa"/>
            <w:tcBorders>
              <w:top w:val="nil"/>
              <w:left w:val="nil"/>
              <w:bottom w:val="single" w:sz="4" w:space="0" w:color="auto"/>
              <w:right w:val="single" w:sz="4" w:space="0" w:color="auto"/>
            </w:tcBorders>
            <w:shd w:val="clear" w:color="auto" w:fill="auto"/>
            <w:vAlign w:val="center"/>
          </w:tcPr>
          <w:p w14:paraId="4530A182" w14:textId="77777777" w:rsidR="00C45519" w:rsidRPr="00C45519" w:rsidRDefault="00C45519" w:rsidP="00C45519">
            <w:pPr>
              <w:spacing w:after="0" w:line="240" w:lineRule="auto"/>
              <w:jc w:val="right"/>
              <w:rPr>
                <w:rFonts w:eastAsia="Times New Roman" w:cstheme="minorHAnsi"/>
                <w:color w:val="000000"/>
                <w:sz w:val="16"/>
                <w:szCs w:val="16"/>
                <w:lang w:eastAsia="es-CO"/>
              </w:rPr>
            </w:pPr>
          </w:p>
        </w:tc>
        <w:tc>
          <w:tcPr>
            <w:tcW w:w="641" w:type="dxa"/>
            <w:tcBorders>
              <w:top w:val="nil"/>
              <w:left w:val="nil"/>
              <w:bottom w:val="single" w:sz="4" w:space="0" w:color="auto"/>
              <w:right w:val="single" w:sz="4" w:space="0" w:color="auto"/>
            </w:tcBorders>
            <w:shd w:val="clear" w:color="auto" w:fill="auto"/>
            <w:vAlign w:val="center"/>
          </w:tcPr>
          <w:p w14:paraId="75B0D50F" w14:textId="77777777" w:rsidR="00C45519" w:rsidRPr="00C45519" w:rsidRDefault="00C45519" w:rsidP="00C45519">
            <w:pPr>
              <w:spacing w:after="0" w:line="240" w:lineRule="auto"/>
              <w:jc w:val="right"/>
              <w:rPr>
                <w:rFonts w:eastAsia="Times New Roman" w:cstheme="minorHAnsi"/>
                <w:color w:val="000000"/>
                <w:sz w:val="16"/>
                <w:szCs w:val="16"/>
                <w:lang w:eastAsia="es-CO"/>
              </w:rPr>
            </w:pPr>
          </w:p>
        </w:tc>
        <w:tc>
          <w:tcPr>
            <w:tcW w:w="951" w:type="dxa"/>
            <w:tcBorders>
              <w:top w:val="nil"/>
              <w:left w:val="nil"/>
              <w:bottom w:val="single" w:sz="4" w:space="0" w:color="auto"/>
              <w:right w:val="single" w:sz="4" w:space="0" w:color="auto"/>
            </w:tcBorders>
            <w:shd w:val="clear" w:color="auto" w:fill="auto"/>
            <w:vAlign w:val="center"/>
          </w:tcPr>
          <w:p w14:paraId="1BEAA2AD" w14:textId="77777777" w:rsidR="00C45519" w:rsidRPr="00C45519" w:rsidRDefault="00C45519" w:rsidP="00C45519">
            <w:pPr>
              <w:spacing w:after="0" w:line="240" w:lineRule="auto"/>
              <w:jc w:val="right"/>
              <w:rPr>
                <w:rFonts w:eastAsia="Times New Roman" w:cstheme="minorHAnsi"/>
                <w:color w:val="000000"/>
                <w:sz w:val="16"/>
                <w:szCs w:val="16"/>
                <w:lang w:eastAsia="es-CO"/>
              </w:rPr>
            </w:pPr>
          </w:p>
        </w:tc>
        <w:tc>
          <w:tcPr>
            <w:tcW w:w="621" w:type="dxa"/>
            <w:tcBorders>
              <w:top w:val="nil"/>
              <w:left w:val="nil"/>
              <w:bottom w:val="single" w:sz="4" w:space="0" w:color="auto"/>
              <w:right w:val="single" w:sz="4" w:space="0" w:color="auto"/>
            </w:tcBorders>
            <w:shd w:val="clear" w:color="auto" w:fill="auto"/>
            <w:vAlign w:val="center"/>
          </w:tcPr>
          <w:p w14:paraId="136F9500" w14:textId="77777777" w:rsidR="00C45519" w:rsidRPr="00C45519" w:rsidRDefault="00C45519" w:rsidP="00C45519">
            <w:pPr>
              <w:spacing w:after="0" w:line="240" w:lineRule="auto"/>
              <w:jc w:val="right"/>
              <w:rPr>
                <w:rFonts w:eastAsia="Times New Roman" w:cstheme="minorHAnsi"/>
                <w:color w:val="000000"/>
                <w:sz w:val="16"/>
                <w:szCs w:val="16"/>
                <w:lang w:eastAsia="es-CO"/>
              </w:rPr>
            </w:pPr>
          </w:p>
        </w:tc>
        <w:tc>
          <w:tcPr>
            <w:tcW w:w="893" w:type="dxa"/>
            <w:tcBorders>
              <w:top w:val="nil"/>
              <w:left w:val="nil"/>
              <w:bottom w:val="single" w:sz="4" w:space="0" w:color="auto"/>
              <w:right w:val="single" w:sz="4" w:space="0" w:color="auto"/>
            </w:tcBorders>
            <w:shd w:val="clear" w:color="auto" w:fill="auto"/>
            <w:vAlign w:val="center"/>
          </w:tcPr>
          <w:p w14:paraId="3AB3E5C9" w14:textId="77777777" w:rsidR="00C45519" w:rsidRPr="00C45519" w:rsidRDefault="00C45519" w:rsidP="00C45519">
            <w:pPr>
              <w:spacing w:after="0" w:line="240" w:lineRule="auto"/>
              <w:jc w:val="right"/>
              <w:rPr>
                <w:rFonts w:eastAsia="Times New Roman" w:cstheme="minorHAnsi"/>
                <w:color w:val="000000"/>
                <w:sz w:val="16"/>
                <w:szCs w:val="16"/>
                <w:lang w:eastAsia="es-CO"/>
              </w:rPr>
            </w:pPr>
          </w:p>
        </w:tc>
        <w:tc>
          <w:tcPr>
            <w:tcW w:w="602" w:type="dxa"/>
            <w:tcBorders>
              <w:top w:val="nil"/>
              <w:left w:val="nil"/>
              <w:bottom w:val="single" w:sz="4" w:space="0" w:color="auto"/>
              <w:right w:val="single" w:sz="4" w:space="0" w:color="auto"/>
            </w:tcBorders>
            <w:shd w:val="clear" w:color="auto" w:fill="auto"/>
            <w:vAlign w:val="center"/>
          </w:tcPr>
          <w:p w14:paraId="2283201F" w14:textId="77777777" w:rsidR="00C45519" w:rsidRPr="00C45519" w:rsidRDefault="00C45519" w:rsidP="00C45519">
            <w:pPr>
              <w:spacing w:after="0" w:line="240" w:lineRule="auto"/>
              <w:jc w:val="right"/>
              <w:rPr>
                <w:rFonts w:eastAsia="Times New Roman" w:cstheme="minorHAnsi"/>
                <w:color w:val="000000"/>
                <w:sz w:val="16"/>
                <w:szCs w:val="16"/>
                <w:lang w:eastAsia="es-CO"/>
              </w:rPr>
            </w:pPr>
          </w:p>
        </w:tc>
      </w:tr>
      <w:tr w:rsidR="00C45519" w:rsidRPr="00C45519" w14:paraId="5D9982E7" w14:textId="77777777" w:rsidTr="003D53F5">
        <w:trPr>
          <w:trHeight w:val="237"/>
          <w:jc w:val="center"/>
        </w:trPr>
        <w:tc>
          <w:tcPr>
            <w:tcW w:w="372" w:type="dxa"/>
            <w:tcBorders>
              <w:top w:val="nil"/>
              <w:left w:val="single" w:sz="4" w:space="0" w:color="auto"/>
              <w:bottom w:val="single" w:sz="4" w:space="0" w:color="auto"/>
              <w:right w:val="single" w:sz="4" w:space="0" w:color="auto"/>
            </w:tcBorders>
            <w:shd w:val="clear" w:color="E2EFDA" w:fill="E2EFDA"/>
            <w:vAlign w:val="center"/>
            <w:hideMark/>
          </w:tcPr>
          <w:p w14:paraId="4C1A10D2" w14:textId="77777777" w:rsidR="00C45519" w:rsidRPr="00C45519" w:rsidRDefault="00C45519" w:rsidP="00C45519">
            <w:pPr>
              <w:spacing w:after="0" w:line="240" w:lineRule="auto"/>
              <w:jc w:val="center"/>
              <w:rPr>
                <w:rFonts w:eastAsia="Times New Roman" w:cstheme="minorHAnsi"/>
                <w:color w:val="000000"/>
                <w:sz w:val="16"/>
                <w:szCs w:val="16"/>
                <w:lang w:eastAsia="es-CO"/>
              </w:rPr>
            </w:pPr>
            <w:r w:rsidRPr="00C45519">
              <w:rPr>
                <w:rFonts w:eastAsia="Times New Roman" w:cstheme="minorHAnsi"/>
                <w:color w:val="000000"/>
                <w:sz w:val="16"/>
                <w:szCs w:val="16"/>
                <w:lang w:eastAsia="es-CO"/>
              </w:rPr>
              <w:t>3</w:t>
            </w:r>
          </w:p>
        </w:tc>
        <w:tc>
          <w:tcPr>
            <w:tcW w:w="1282" w:type="dxa"/>
            <w:tcBorders>
              <w:top w:val="nil"/>
              <w:left w:val="nil"/>
              <w:bottom w:val="single" w:sz="4" w:space="0" w:color="auto"/>
              <w:right w:val="single" w:sz="4" w:space="0" w:color="auto"/>
            </w:tcBorders>
            <w:shd w:val="clear" w:color="E2EFDA" w:fill="E2EFDA"/>
            <w:vAlign w:val="center"/>
            <w:hideMark/>
          </w:tcPr>
          <w:p w14:paraId="1F04328A" w14:textId="77777777" w:rsidR="00C45519" w:rsidRPr="00C45519" w:rsidRDefault="00C45519" w:rsidP="00C45519">
            <w:pPr>
              <w:spacing w:after="0" w:line="240" w:lineRule="auto"/>
              <w:rPr>
                <w:rFonts w:eastAsia="Times New Roman" w:cstheme="minorHAnsi"/>
                <w:color w:val="000000"/>
                <w:sz w:val="16"/>
                <w:szCs w:val="16"/>
                <w:lang w:eastAsia="es-CO"/>
              </w:rPr>
            </w:pPr>
            <w:r w:rsidRPr="00C45519">
              <w:rPr>
                <w:rFonts w:eastAsia="Times New Roman" w:cstheme="minorHAnsi"/>
                <w:color w:val="000000"/>
                <w:sz w:val="16"/>
                <w:szCs w:val="16"/>
                <w:lang w:eastAsia="es-CO"/>
              </w:rPr>
              <w:t>COMFAMILIAR CARTAGENA</w:t>
            </w:r>
          </w:p>
        </w:tc>
        <w:tc>
          <w:tcPr>
            <w:tcW w:w="1082" w:type="dxa"/>
            <w:tcBorders>
              <w:top w:val="nil"/>
              <w:left w:val="nil"/>
              <w:bottom w:val="single" w:sz="4" w:space="0" w:color="auto"/>
              <w:right w:val="single" w:sz="4" w:space="0" w:color="auto"/>
            </w:tcBorders>
            <w:shd w:val="clear" w:color="E2EFDA" w:fill="E2EFDA"/>
            <w:vAlign w:val="center"/>
            <w:hideMark/>
          </w:tcPr>
          <w:p w14:paraId="7F13A156"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449</w:t>
            </w:r>
          </w:p>
        </w:tc>
        <w:tc>
          <w:tcPr>
            <w:tcW w:w="990" w:type="dxa"/>
            <w:tcBorders>
              <w:top w:val="nil"/>
              <w:left w:val="nil"/>
              <w:bottom w:val="single" w:sz="4" w:space="0" w:color="auto"/>
              <w:right w:val="single" w:sz="4" w:space="0" w:color="auto"/>
            </w:tcBorders>
            <w:shd w:val="clear" w:color="E2EFDA" w:fill="E2EFDA"/>
            <w:vAlign w:val="center"/>
            <w:hideMark/>
          </w:tcPr>
          <w:p w14:paraId="2F214BD7"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395.930</w:t>
            </w:r>
          </w:p>
        </w:tc>
        <w:tc>
          <w:tcPr>
            <w:tcW w:w="1030" w:type="dxa"/>
            <w:tcBorders>
              <w:top w:val="nil"/>
              <w:left w:val="nil"/>
              <w:bottom w:val="single" w:sz="4" w:space="0" w:color="auto"/>
              <w:right w:val="single" w:sz="4" w:space="0" w:color="auto"/>
            </w:tcBorders>
            <w:shd w:val="clear" w:color="E2EFDA" w:fill="E2EFDA"/>
            <w:vAlign w:val="center"/>
            <w:hideMark/>
          </w:tcPr>
          <w:p w14:paraId="2B674AA7"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24.831</w:t>
            </w:r>
          </w:p>
        </w:tc>
        <w:tc>
          <w:tcPr>
            <w:tcW w:w="641" w:type="dxa"/>
            <w:tcBorders>
              <w:top w:val="nil"/>
              <w:left w:val="nil"/>
              <w:bottom w:val="single" w:sz="4" w:space="0" w:color="auto"/>
              <w:right w:val="single" w:sz="4" w:space="0" w:color="auto"/>
            </w:tcBorders>
            <w:shd w:val="clear" w:color="E2EFDA" w:fill="E2EFDA"/>
            <w:vAlign w:val="center"/>
            <w:hideMark/>
          </w:tcPr>
          <w:p w14:paraId="34A7B073"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6%</w:t>
            </w:r>
          </w:p>
        </w:tc>
        <w:tc>
          <w:tcPr>
            <w:tcW w:w="951" w:type="dxa"/>
            <w:tcBorders>
              <w:top w:val="nil"/>
              <w:left w:val="nil"/>
              <w:bottom w:val="single" w:sz="4" w:space="0" w:color="auto"/>
              <w:right w:val="single" w:sz="4" w:space="0" w:color="auto"/>
            </w:tcBorders>
            <w:shd w:val="clear" w:color="E2EFDA" w:fill="E2EFDA"/>
            <w:vAlign w:val="center"/>
            <w:hideMark/>
          </w:tcPr>
          <w:p w14:paraId="20290611"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0</w:t>
            </w:r>
          </w:p>
        </w:tc>
        <w:tc>
          <w:tcPr>
            <w:tcW w:w="621" w:type="dxa"/>
            <w:tcBorders>
              <w:top w:val="nil"/>
              <w:left w:val="nil"/>
              <w:bottom w:val="single" w:sz="4" w:space="0" w:color="auto"/>
              <w:right w:val="single" w:sz="4" w:space="0" w:color="auto"/>
            </w:tcBorders>
            <w:shd w:val="clear" w:color="000000" w:fill="E2EFDA"/>
            <w:vAlign w:val="center"/>
            <w:hideMark/>
          </w:tcPr>
          <w:p w14:paraId="60DA8F4B"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0%</w:t>
            </w:r>
          </w:p>
        </w:tc>
        <w:tc>
          <w:tcPr>
            <w:tcW w:w="893" w:type="dxa"/>
            <w:tcBorders>
              <w:top w:val="nil"/>
              <w:left w:val="nil"/>
              <w:bottom w:val="single" w:sz="4" w:space="0" w:color="auto"/>
              <w:right w:val="single" w:sz="4" w:space="0" w:color="auto"/>
            </w:tcBorders>
            <w:shd w:val="clear" w:color="E2EFDA" w:fill="E2EFDA"/>
            <w:vAlign w:val="center"/>
            <w:hideMark/>
          </w:tcPr>
          <w:p w14:paraId="3BB81746"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24.831</w:t>
            </w:r>
          </w:p>
        </w:tc>
        <w:tc>
          <w:tcPr>
            <w:tcW w:w="602" w:type="dxa"/>
            <w:tcBorders>
              <w:top w:val="nil"/>
              <w:left w:val="nil"/>
              <w:bottom w:val="single" w:sz="4" w:space="0" w:color="auto"/>
              <w:right w:val="single" w:sz="4" w:space="0" w:color="auto"/>
            </w:tcBorders>
            <w:shd w:val="clear" w:color="E2EFDA" w:fill="E2EFDA"/>
            <w:vAlign w:val="center"/>
            <w:hideMark/>
          </w:tcPr>
          <w:p w14:paraId="2061A8E8"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100%</w:t>
            </w:r>
          </w:p>
        </w:tc>
      </w:tr>
      <w:tr w:rsidR="00C45519" w:rsidRPr="00C45519" w14:paraId="306767B7" w14:textId="77777777" w:rsidTr="003D53F5">
        <w:trPr>
          <w:trHeight w:val="163"/>
          <w:jc w:val="center"/>
        </w:trPr>
        <w:tc>
          <w:tcPr>
            <w:tcW w:w="372" w:type="dxa"/>
            <w:tcBorders>
              <w:top w:val="nil"/>
              <w:left w:val="single" w:sz="4" w:space="0" w:color="auto"/>
              <w:bottom w:val="single" w:sz="4" w:space="0" w:color="auto"/>
              <w:right w:val="single" w:sz="4" w:space="0" w:color="auto"/>
            </w:tcBorders>
            <w:shd w:val="clear" w:color="auto" w:fill="auto"/>
            <w:vAlign w:val="center"/>
            <w:hideMark/>
          </w:tcPr>
          <w:p w14:paraId="653FC1B7" w14:textId="77777777" w:rsidR="00C45519" w:rsidRPr="00C45519" w:rsidRDefault="00C45519" w:rsidP="00C45519">
            <w:pPr>
              <w:spacing w:after="0" w:line="240" w:lineRule="auto"/>
              <w:jc w:val="center"/>
              <w:rPr>
                <w:rFonts w:eastAsia="Times New Roman" w:cstheme="minorHAnsi"/>
                <w:color w:val="000000"/>
                <w:sz w:val="16"/>
                <w:szCs w:val="16"/>
                <w:lang w:eastAsia="es-CO"/>
              </w:rPr>
            </w:pPr>
            <w:r w:rsidRPr="00C45519">
              <w:rPr>
                <w:rFonts w:eastAsia="Times New Roman" w:cstheme="minorHAnsi"/>
                <w:color w:val="000000"/>
                <w:sz w:val="16"/>
                <w:szCs w:val="16"/>
                <w:lang w:eastAsia="es-CO"/>
              </w:rPr>
              <w:t>4</w:t>
            </w:r>
          </w:p>
        </w:tc>
        <w:tc>
          <w:tcPr>
            <w:tcW w:w="1282" w:type="dxa"/>
            <w:tcBorders>
              <w:top w:val="nil"/>
              <w:left w:val="nil"/>
              <w:bottom w:val="single" w:sz="4" w:space="0" w:color="auto"/>
              <w:right w:val="single" w:sz="4" w:space="0" w:color="auto"/>
            </w:tcBorders>
            <w:shd w:val="clear" w:color="auto" w:fill="auto"/>
            <w:vAlign w:val="center"/>
            <w:hideMark/>
          </w:tcPr>
          <w:p w14:paraId="59F7759A" w14:textId="77777777" w:rsidR="00C45519" w:rsidRPr="00C45519" w:rsidRDefault="00C45519" w:rsidP="00C45519">
            <w:pPr>
              <w:spacing w:after="0" w:line="240" w:lineRule="auto"/>
              <w:rPr>
                <w:rFonts w:eastAsia="Times New Roman" w:cstheme="minorHAnsi"/>
                <w:color w:val="000000"/>
                <w:sz w:val="16"/>
                <w:szCs w:val="16"/>
                <w:lang w:eastAsia="es-CO"/>
              </w:rPr>
            </w:pPr>
            <w:r w:rsidRPr="00C45519">
              <w:rPr>
                <w:rFonts w:eastAsia="Times New Roman" w:cstheme="minorHAnsi"/>
                <w:color w:val="000000"/>
                <w:sz w:val="16"/>
                <w:szCs w:val="16"/>
                <w:lang w:eastAsia="es-CO"/>
              </w:rPr>
              <w:t>COMFACUNDI</w:t>
            </w:r>
          </w:p>
        </w:tc>
        <w:tc>
          <w:tcPr>
            <w:tcW w:w="1082" w:type="dxa"/>
            <w:tcBorders>
              <w:top w:val="nil"/>
              <w:left w:val="nil"/>
              <w:bottom w:val="single" w:sz="4" w:space="0" w:color="auto"/>
              <w:right w:val="single" w:sz="4" w:space="0" w:color="auto"/>
            </w:tcBorders>
            <w:shd w:val="clear" w:color="auto" w:fill="auto"/>
            <w:vAlign w:val="center"/>
            <w:hideMark/>
          </w:tcPr>
          <w:p w14:paraId="056772E9" w14:textId="77777777" w:rsidR="00C45519" w:rsidRPr="00C45519" w:rsidRDefault="00C45519" w:rsidP="00C45519">
            <w:pPr>
              <w:spacing w:after="0" w:line="240" w:lineRule="auto"/>
              <w:jc w:val="right"/>
              <w:rPr>
                <w:rFonts w:eastAsia="Times New Roman" w:cstheme="minorHAnsi"/>
                <w:sz w:val="16"/>
                <w:szCs w:val="16"/>
                <w:lang w:eastAsia="es-CO"/>
              </w:rPr>
            </w:pPr>
            <w:r w:rsidRPr="00C45519">
              <w:rPr>
                <w:rFonts w:eastAsia="Times New Roman" w:cstheme="minorHAnsi"/>
                <w:sz w:val="16"/>
                <w:szCs w:val="16"/>
                <w:lang w:eastAsia="es-CO"/>
              </w:rPr>
              <w:t>620</w:t>
            </w:r>
          </w:p>
        </w:tc>
        <w:tc>
          <w:tcPr>
            <w:tcW w:w="990" w:type="dxa"/>
            <w:tcBorders>
              <w:top w:val="nil"/>
              <w:left w:val="nil"/>
              <w:bottom w:val="single" w:sz="4" w:space="0" w:color="auto"/>
              <w:right w:val="single" w:sz="4" w:space="0" w:color="auto"/>
            </w:tcBorders>
            <w:shd w:val="clear" w:color="auto" w:fill="auto"/>
            <w:vAlign w:val="center"/>
            <w:hideMark/>
          </w:tcPr>
          <w:p w14:paraId="6CAFFF93"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178.917</w:t>
            </w:r>
          </w:p>
        </w:tc>
        <w:tc>
          <w:tcPr>
            <w:tcW w:w="1030" w:type="dxa"/>
            <w:tcBorders>
              <w:top w:val="nil"/>
              <w:left w:val="nil"/>
              <w:bottom w:val="single" w:sz="4" w:space="0" w:color="auto"/>
              <w:right w:val="single" w:sz="4" w:space="0" w:color="auto"/>
            </w:tcBorders>
            <w:shd w:val="clear" w:color="auto" w:fill="auto"/>
            <w:vAlign w:val="center"/>
            <w:hideMark/>
          </w:tcPr>
          <w:p w14:paraId="36ECADAD"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13.955</w:t>
            </w:r>
          </w:p>
        </w:tc>
        <w:tc>
          <w:tcPr>
            <w:tcW w:w="641" w:type="dxa"/>
            <w:tcBorders>
              <w:top w:val="nil"/>
              <w:left w:val="nil"/>
              <w:bottom w:val="single" w:sz="4" w:space="0" w:color="auto"/>
              <w:right w:val="single" w:sz="4" w:space="0" w:color="auto"/>
            </w:tcBorders>
            <w:shd w:val="clear" w:color="auto" w:fill="auto"/>
            <w:vAlign w:val="center"/>
            <w:hideMark/>
          </w:tcPr>
          <w:p w14:paraId="30CFA8AE" w14:textId="77777777" w:rsidR="00C45519" w:rsidRPr="00C45519" w:rsidRDefault="00C45519" w:rsidP="00C45519">
            <w:pPr>
              <w:spacing w:after="0" w:line="240" w:lineRule="auto"/>
              <w:jc w:val="right"/>
              <w:rPr>
                <w:rFonts w:eastAsia="Times New Roman" w:cstheme="minorHAnsi"/>
                <w:sz w:val="16"/>
                <w:szCs w:val="16"/>
                <w:lang w:eastAsia="es-CO"/>
              </w:rPr>
            </w:pPr>
            <w:r w:rsidRPr="00C45519">
              <w:rPr>
                <w:rFonts w:eastAsia="Times New Roman" w:cstheme="minorHAnsi"/>
                <w:sz w:val="16"/>
                <w:szCs w:val="16"/>
                <w:lang w:eastAsia="es-CO"/>
              </w:rPr>
              <w:t>8%</w:t>
            </w:r>
          </w:p>
        </w:tc>
        <w:tc>
          <w:tcPr>
            <w:tcW w:w="951" w:type="dxa"/>
            <w:tcBorders>
              <w:top w:val="nil"/>
              <w:left w:val="nil"/>
              <w:bottom w:val="single" w:sz="4" w:space="0" w:color="auto"/>
              <w:right w:val="single" w:sz="4" w:space="0" w:color="auto"/>
            </w:tcBorders>
            <w:shd w:val="clear" w:color="auto" w:fill="auto"/>
            <w:vAlign w:val="center"/>
            <w:hideMark/>
          </w:tcPr>
          <w:p w14:paraId="2986E518"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13.049</w:t>
            </w:r>
          </w:p>
        </w:tc>
        <w:tc>
          <w:tcPr>
            <w:tcW w:w="621" w:type="dxa"/>
            <w:tcBorders>
              <w:top w:val="nil"/>
              <w:left w:val="nil"/>
              <w:bottom w:val="single" w:sz="4" w:space="0" w:color="auto"/>
              <w:right w:val="single" w:sz="4" w:space="0" w:color="auto"/>
            </w:tcBorders>
            <w:shd w:val="clear" w:color="auto" w:fill="auto"/>
            <w:vAlign w:val="center"/>
            <w:hideMark/>
          </w:tcPr>
          <w:p w14:paraId="370F80F1"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94%</w:t>
            </w:r>
          </w:p>
        </w:tc>
        <w:tc>
          <w:tcPr>
            <w:tcW w:w="893" w:type="dxa"/>
            <w:tcBorders>
              <w:top w:val="nil"/>
              <w:left w:val="nil"/>
              <w:bottom w:val="single" w:sz="4" w:space="0" w:color="auto"/>
              <w:right w:val="single" w:sz="4" w:space="0" w:color="auto"/>
            </w:tcBorders>
            <w:shd w:val="clear" w:color="auto" w:fill="auto"/>
            <w:vAlign w:val="center"/>
            <w:hideMark/>
          </w:tcPr>
          <w:p w14:paraId="68D2725E"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906</w:t>
            </w:r>
          </w:p>
        </w:tc>
        <w:tc>
          <w:tcPr>
            <w:tcW w:w="602" w:type="dxa"/>
            <w:tcBorders>
              <w:top w:val="nil"/>
              <w:left w:val="nil"/>
              <w:bottom w:val="single" w:sz="4" w:space="0" w:color="auto"/>
              <w:right w:val="single" w:sz="4" w:space="0" w:color="auto"/>
            </w:tcBorders>
            <w:shd w:val="clear" w:color="auto" w:fill="auto"/>
            <w:vAlign w:val="center"/>
            <w:hideMark/>
          </w:tcPr>
          <w:p w14:paraId="6C7A71AA"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6%</w:t>
            </w:r>
          </w:p>
        </w:tc>
      </w:tr>
      <w:tr w:rsidR="00C45519" w:rsidRPr="00C45519" w14:paraId="61F57685" w14:textId="77777777" w:rsidTr="003D53F5">
        <w:trPr>
          <w:trHeight w:val="163"/>
          <w:jc w:val="center"/>
        </w:trPr>
        <w:tc>
          <w:tcPr>
            <w:tcW w:w="372" w:type="dxa"/>
            <w:tcBorders>
              <w:top w:val="nil"/>
              <w:left w:val="single" w:sz="4" w:space="0" w:color="auto"/>
              <w:bottom w:val="single" w:sz="4" w:space="0" w:color="auto"/>
              <w:right w:val="single" w:sz="4" w:space="0" w:color="auto"/>
            </w:tcBorders>
            <w:shd w:val="clear" w:color="E2EFDA" w:fill="E2EFDA"/>
            <w:vAlign w:val="center"/>
            <w:hideMark/>
          </w:tcPr>
          <w:p w14:paraId="0A02B31F" w14:textId="77777777" w:rsidR="00C45519" w:rsidRPr="00C45519" w:rsidRDefault="00C45519" w:rsidP="00C45519">
            <w:pPr>
              <w:spacing w:after="0" w:line="240" w:lineRule="auto"/>
              <w:jc w:val="center"/>
              <w:rPr>
                <w:rFonts w:eastAsia="Times New Roman" w:cstheme="minorHAnsi"/>
                <w:color w:val="000000"/>
                <w:sz w:val="16"/>
                <w:szCs w:val="16"/>
                <w:lang w:eastAsia="es-CO"/>
              </w:rPr>
            </w:pPr>
            <w:r w:rsidRPr="00C45519">
              <w:rPr>
                <w:rFonts w:eastAsia="Times New Roman" w:cstheme="minorHAnsi"/>
                <w:color w:val="000000"/>
                <w:sz w:val="16"/>
                <w:szCs w:val="16"/>
                <w:lang w:eastAsia="es-CO"/>
              </w:rPr>
              <w:t>5</w:t>
            </w:r>
          </w:p>
        </w:tc>
        <w:tc>
          <w:tcPr>
            <w:tcW w:w="1282" w:type="dxa"/>
            <w:tcBorders>
              <w:top w:val="nil"/>
              <w:left w:val="nil"/>
              <w:bottom w:val="single" w:sz="4" w:space="0" w:color="auto"/>
              <w:right w:val="single" w:sz="4" w:space="0" w:color="auto"/>
            </w:tcBorders>
            <w:shd w:val="clear" w:color="E2EFDA" w:fill="E2EFDA"/>
            <w:noWrap/>
            <w:vAlign w:val="bottom"/>
            <w:hideMark/>
          </w:tcPr>
          <w:p w14:paraId="249E655C" w14:textId="77777777" w:rsidR="00C45519" w:rsidRPr="00C45519" w:rsidRDefault="00C45519" w:rsidP="00C45519">
            <w:pPr>
              <w:spacing w:after="0" w:line="240" w:lineRule="auto"/>
              <w:rPr>
                <w:rFonts w:eastAsia="Times New Roman" w:cstheme="minorHAnsi"/>
                <w:color w:val="000000"/>
                <w:sz w:val="16"/>
                <w:szCs w:val="16"/>
                <w:lang w:eastAsia="es-CO"/>
              </w:rPr>
            </w:pPr>
            <w:r w:rsidRPr="00C45519">
              <w:rPr>
                <w:rFonts w:eastAsia="Times New Roman" w:cstheme="minorHAnsi"/>
                <w:color w:val="000000"/>
                <w:sz w:val="16"/>
                <w:szCs w:val="16"/>
                <w:lang w:eastAsia="es-CO"/>
              </w:rPr>
              <w:t>SALUDCOOP</w:t>
            </w:r>
          </w:p>
        </w:tc>
        <w:tc>
          <w:tcPr>
            <w:tcW w:w="1082" w:type="dxa"/>
            <w:tcBorders>
              <w:top w:val="nil"/>
              <w:left w:val="nil"/>
              <w:bottom w:val="single" w:sz="4" w:space="0" w:color="auto"/>
              <w:right w:val="single" w:sz="4" w:space="0" w:color="auto"/>
            </w:tcBorders>
            <w:shd w:val="clear" w:color="E2EFDA" w:fill="E2EFDA"/>
            <w:noWrap/>
            <w:vAlign w:val="bottom"/>
            <w:hideMark/>
          </w:tcPr>
          <w:p w14:paraId="6BA33DA1" w14:textId="77777777" w:rsidR="00C45519" w:rsidRPr="00C45519" w:rsidRDefault="00C45519" w:rsidP="00C45519">
            <w:pPr>
              <w:spacing w:after="0" w:line="240" w:lineRule="auto"/>
              <w:jc w:val="right"/>
              <w:rPr>
                <w:rFonts w:eastAsia="Times New Roman" w:cstheme="minorHAnsi"/>
                <w:sz w:val="16"/>
                <w:szCs w:val="16"/>
                <w:lang w:eastAsia="es-CO"/>
              </w:rPr>
            </w:pPr>
            <w:r w:rsidRPr="00C45519">
              <w:rPr>
                <w:rFonts w:eastAsia="Times New Roman" w:cstheme="minorHAnsi"/>
                <w:sz w:val="16"/>
                <w:szCs w:val="16"/>
                <w:lang w:eastAsia="es-CO"/>
              </w:rPr>
              <w:t>39.472</w:t>
            </w:r>
          </w:p>
        </w:tc>
        <w:tc>
          <w:tcPr>
            <w:tcW w:w="990" w:type="dxa"/>
            <w:tcBorders>
              <w:top w:val="nil"/>
              <w:left w:val="nil"/>
              <w:bottom w:val="single" w:sz="4" w:space="0" w:color="auto"/>
              <w:right w:val="single" w:sz="4" w:space="0" w:color="auto"/>
            </w:tcBorders>
            <w:shd w:val="clear" w:color="E2EFDA" w:fill="E2EFDA"/>
            <w:vAlign w:val="center"/>
            <w:hideMark/>
          </w:tcPr>
          <w:p w14:paraId="70804711"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8.787.099</w:t>
            </w:r>
          </w:p>
        </w:tc>
        <w:tc>
          <w:tcPr>
            <w:tcW w:w="1030" w:type="dxa"/>
            <w:tcBorders>
              <w:top w:val="nil"/>
              <w:left w:val="nil"/>
              <w:bottom w:val="single" w:sz="4" w:space="0" w:color="auto"/>
              <w:right w:val="single" w:sz="4" w:space="0" w:color="auto"/>
            </w:tcBorders>
            <w:shd w:val="clear" w:color="E2EFDA" w:fill="E2EFDA"/>
            <w:vAlign w:val="center"/>
            <w:hideMark/>
          </w:tcPr>
          <w:p w14:paraId="04334181"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3.323.020</w:t>
            </w:r>
          </w:p>
        </w:tc>
        <w:tc>
          <w:tcPr>
            <w:tcW w:w="641" w:type="dxa"/>
            <w:tcBorders>
              <w:top w:val="nil"/>
              <w:left w:val="nil"/>
              <w:bottom w:val="single" w:sz="4" w:space="0" w:color="auto"/>
              <w:right w:val="single" w:sz="4" w:space="0" w:color="auto"/>
            </w:tcBorders>
            <w:shd w:val="clear" w:color="E2EFDA" w:fill="E2EFDA"/>
            <w:vAlign w:val="center"/>
            <w:hideMark/>
          </w:tcPr>
          <w:p w14:paraId="3D649BC0" w14:textId="77777777" w:rsidR="00C45519" w:rsidRPr="00C45519" w:rsidRDefault="00C45519" w:rsidP="00C45519">
            <w:pPr>
              <w:spacing w:after="0" w:line="240" w:lineRule="auto"/>
              <w:jc w:val="right"/>
              <w:rPr>
                <w:rFonts w:eastAsia="Times New Roman" w:cstheme="minorHAnsi"/>
                <w:b/>
                <w:bCs/>
                <w:sz w:val="16"/>
                <w:szCs w:val="16"/>
                <w:lang w:eastAsia="es-CO"/>
              </w:rPr>
            </w:pPr>
            <w:r w:rsidRPr="00C45519">
              <w:rPr>
                <w:rFonts w:eastAsia="Times New Roman" w:cstheme="minorHAnsi"/>
                <w:b/>
                <w:bCs/>
                <w:sz w:val="16"/>
                <w:szCs w:val="16"/>
                <w:lang w:eastAsia="es-CO"/>
              </w:rPr>
              <w:t>38%</w:t>
            </w:r>
          </w:p>
        </w:tc>
        <w:tc>
          <w:tcPr>
            <w:tcW w:w="951" w:type="dxa"/>
            <w:tcBorders>
              <w:top w:val="nil"/>
              <w:left w:val="nil"/>
              <w:bottom w:val="single" w:sz="4" w:space="0" w:color="auto"/>
              <w:right w:val="single" w:sz="4" w:space="0" w:color="auto"/>
            </w:tcBorders>
            <w:shd w:val="clear" w:color="E2EFDA" w:fill="E2EFDA"/>
            <w:vAlign w:val="center"/>
            <w:hideMark/>
          </w:tcPr>
          <w:p w14:paraId="57B7DCD4"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646.249</w:t>
            </w:r>
          </w:p>
        </w:tc>
        <w:tc>
          <w:tcPr>
            <w:tcW w:w="621" w:type="dxa"/>
            <w:tcBorders>
              <w:top w:val="nil"/>
              <w:left w:val="nil"/>
              <w:bottom w:val="single" w:sz="4" w:space="0" w:color="auto"/>
              <w:right w:val="single" w:sz="4" w:space="0" w:color="auto"/>
            </w:tcBorders>
            <w:shd w:val="clear" w:color="000000" w:fill="E2EFDA"/>
            <w:noWrap/>
            <w:vAlign w:val="bottom"/>
            <w:hideMark/>
          </w:tcPr>
          <w:p w14:paraId="439FA72D"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19%</w:t>
            </w:r>
          </w:p>
        </w:tc>
        <w:tc>
          <w:tcPr>
            <w:tcW w:w="893" w:type="dxa"/>
            <w:tcBorders>
              <w:top w:val="nil"/>
              <w:left w:val="nil"/>
              <w:bottom w:val="single" w:sz="4" w:space="0" w:color="auto"/>
              <w:right w:val="single" w:sz="4" w:space="0" w:color="auto"/>
            </w:tcBorders>
            <w:shd w:val="clear" w:color="E2EFDA" w:fill="E2EFDA"/>
            <w:vAlign w:val="center"/>
            <w:hideMark/>
          </w:tcPr>
          <w:p w14:paraId="5EDD5458"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2.676.771</w:t>
            </w:r>
          </w:p>
        </w:tc>
        <w:tc>
          <w:tcPr>
            <w:tcW w:w="602" w:type="dxa"/>
            <w:tcBorders>
              <w:top w:val="nil"/>
              <w:left w:val="nil"/>
              <w:bottom w:val="single" w:sz="4" w:space="0" w:color="auto"/>
              <w:right w:val="single" w:sz="4" w:space="0" w:color="auto"/>
            </w:tcBorders>
            <w:shd w:val="clear" w:color="E2EFDA" w:fill="E2EFDA"/>
            <w:noWrap/>
            <w:vAlign w:val="bottom"/>
            <w:hideMark/>
          </w:tcPr>
          <w:p w14:paraId="6BF99C7E"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81%</w:t>
            </w:r>
          </w:p>
        </w:tc>
      </w:tr>
      <w:tr w:rsidR="00C45519" w:rsidRPr="00C45519" w14:paraId="685C8F2C" w14:textId="77777777" w:rsidTr="003D53F5">
        <w:trPr>
          <w:trHeight w:val="163"/>
          <w:jc w:val="center"/>
        </w:trPr>
        <w:tc>
          <w:tcPr>
            <w:tcW w:w="372" w:type="dxa"/>
            <w:tcBorders>
              <w:top w:val="nil"/>
              <w:left w:val="single" w:sz="4" w:space="0" w:color="auto"/>
              <w:bottom w:val="single" w:sz="4" w:space="0" w:color="auto"/>
              <w:right w:val="single" w:sz="4" w:space="0" w:color="auto"/>
            </w:tcBorders>
            <w:shd w:val="clear" w:color="auto" w:fill="auto"/>
            <w:vAlign w:val="center"/>
            <w:hideMark/>
          </w:tcPr>
          <w:p w14:paraId="20D0CA20" w14:textId="77777777" w:rsidR="00C45519" w:rsidRPr="00C45519" w:rsidRDefault="00C45519" w:rsidP="00C45519">
            <w:pPr>
              <w:spacing w:after="0" w:line="240" w:lineRule="auto"/>
              <w:jc w:val="center"/>
              <w:rPr>
                <w:rFonts w:eastAsia="Times New Roman" w:cstheme="minorHAnsi"/>
                <w:color w:val="000000"/>
                <w:sz w:val="16"/>
                <w:szCs w:val="16"/>
                <w:lang w:eastAsia="es-CO"/>
              </w:rPr>
            </w:pPr>
            <w:r w:rsidRPr="00C45519">
              <w:rPr>
                <w:rFonts w:eastAsia="Times New Roman" w:cstheme="minorHAnsi"/>
                <w:color w:val="000000"/>
                <w:sz w:val="16"/>
                <w:szCs w:val="16"/>
                <w:lang w:eastAsia="es-CO"/>
              </w:rPr>
              <w:t>6</w:t>
            </w:r>
          </w:p>
        </w:tc>
        <w:tc>
          <w:tcPr>
            <w:tcW w:w="1282" w:type="dxa"/>
            <w:tcBorders>
              <w:top w:val="nil"/>
              <w:left w:val="nil"/>
              <w:bottom w:val="single" w:sz="4" w:space="0" w:color="auto"/>
              <w:right w:val="single" w:sz="4" w:space="0" w:color="auto"/>
            </w:tcBorders>
            <w:shd w:val="clear" w:color="auto" w:fill="auto"/>
            <w:vAlign w:val="center"/>
            <w:hideMark/>
          </w:tcPr>
          <w:p w14:paraId="04E6E021" w14:textId="77777777" w:rsidR="00C45519" w:rsidRPr="00C45519" w:rsidRDefault="00C45519" w:rsidP="00C45519">
            <w:pPr>
              <w:spacing w:after="0" w:line="240" w:lineRule="auto"/>
              <w:rPr>
                <w:rFonts w:eastAsia="Times New Roman" w:cstheme="minorHAnsi"/>
                <w:color w:val="000000"/>
                <w:sz w:val="16"/>
                <w:szCs w:val="16"/>
                <w:lang w:eastAsia="es-CO"/>
              </w:rPr>
            </w:pPr>
            <w:r w:rsidRPr="00C45519">
              <w:rPr>
                <w:rFonts w:eastAsia="Times New Roman" w:cstheme="minorHAnsi"/>
                <w:color w:val="000000"/>
                <w:sz w:val="16"/>
                <w:szCs w:val="16"/>
                <w:lang w:eastAsia="es-CO"/>
              </w:rPr>
              <w:t>CAFESALUD</w:t>
            </w:r>
          </w:p>
        </w:tc>
        <w:tc>
          <w:tcPr>
            <w:tcW w:w="1082" w:type="dxa"/>
            <w:tcBorders>
              <w:top w:val="nil"/>
              <w:left w:val="nil"/>
              <w:bottom w:val="single" w:sz="4" w:space="0" w:color="auto"/>
              <w:right w:val="single" w:sz="4" w:space="0" w:color="auto"/>
            </w:tcBorders>
            <w:shd w:val="clear" w:color="auto" w:fill="auto"/>
            <w:vAlign w:val="center"/>
            <w:hideMark/>
          </w:tcPr>
          <w:p w14:paraId="283115CD" w14:textId="5E383583" w:rsidR="00C45519" w:rsidRPr="00C45519" w:rsidRDefault="00C45519" w:rsidP="00C45519">
            <w:pPr>
              <w:spacing w:after="0" w:line="240" w:lineRule="auto"/>
              <w:jc w:val="right"/>
              <w:rPr>
                <w:rFonts w:eastAsia="Times New Roman" w:cstheme="minorHAnsi"/>
                <w:sz w:val="16"/>
                <w:szCs w:val="16"/>
                <w:lang w:eastAsia="es-CO"/>
              </w:rPr>
            </w:pPr>
            <w:r w:rsidRPr="00C45519">
              <w:rPr>
                <w:rFonts w:eastAsia="Times New Roman" w:cstheme="minorHAnsi"/>
                <w:sz w:val="16"/>
                <w:szCs w:val="16"/>
                <w:lang w:eastAsia="es-CO"/>
              </w:rPr>
              <w:t>4</w:t>
            </w:r>
            <w:r w:rsidR="008C7FFB">
              <w:rPr>
                <w:rFonts w:eastAsia="Times New Roman" w:cstheme="minorHAnsi"/>
                <w:sz w:val="16"/>
                <w:szCs w:val="16"/>
                <w:lang w:eastAsia="es-CO"/>
              </w:rPr>
              <w:t>.</w:t>
            </w:r>
            <w:r w:rsidRPr="00C45519">
              <w:rPr>
                <w:rFonts w:eastAsia="Times New Roman" w:cstheme="minorHAnsi"/>
                <w:sz w:val="16"/>
                <w:szCs w:val="16"/>
                <w:lang w:eastAsia="es-CO"/>
              </w:rPr>
              <w:t>258</w:t>
            </w:r>
          </w:p>
        </w:tc>
        <w:tc>
          <w:tcPr>
            <w:tcW w:w="990" w:type="dxa"/>
            <w:tcBorders>
              <w:top w:val="nil"/>
              <w:left w:val="nil"/>
              <w:bottom w:val="single" w:sz="4" w:space="0" w:color="auto"/>
              <w:right w:val="single" w:sz="4" w:space="0" w:color="auto"/>
            </w:tcBorders>
            <w:shd w:val="clear" w:color="auto" w:fill="auto"/>
            <w:vAlign w:val="center"/>
            <w:hideMark/>
          </w:tcPr>
          <w:p w14:paraId="7E1E1BB5"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8.616.945</w:t>
            </w:r>
          </w:p>
        </w:tc>
        <w:tc>
          <w:tcPr>
            <w:tcW w:w="1030" w:type="dxa"/>
            <w:tcBorders>
              <w:top w:val="nil"/>
              <w:left w:val="nil"/>
              <w:bottom w:val="single" w:sz="4" w:space="0" w:color="auto"/>
              <w:right w:val="single" w:sz="4" w:space="0" w:color="auto"/>
            </w:tcBorders>
            <w:shd w:val="clear" w:color="auto" w:fill="auto"/>
            <w:vAlign w:val="center"/>
            <w:hideMark/>
          </w:tcPr>
          <w:p w14:paraId="6419DE78"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1.335.871</w:t>
            </w:r>
          </w:p>
        </w:tc>
        <w:tc>
          <w:tcPr>
            <w:tcW w:w="641" w:type="dxa"/>
            <w:tcBorders>
              <w:top w:val="nil"/>
              <w:left w:val="nil"/>
              <w:bottom w:val="single" w:sz="4" w:space="0" w:color="auto"/>
              <w:right w:val="single" w:sz="4" w:space="0" w:color="auto"/>
            </w:tcBorders>
            <w:shd w:val="clear" w:color="auto" w:fill="auto"/>
            <w:vAlign w:val="center"/>
            <w:hideMark/>
          </w:tcPr>
          <w:p w14:paraId="4F789B34" w14:textId="77777777" w:rsidR="00C45519" w:rsidRPr="00C45519" w:rsidRDefault="00C45519" w:rsidP="00C45519">
            <w:pPr>
              <w:spacing w:after="0" w:line="240" w:lineRule="auto"/>
              <w:jc w:val="right"/>
              <w:rPr>
                <w:rFonts w:eastAsia="Times New Roman" w:cstheme="minorHAnsi"/>
                <w:b/>
                <w:bCs/>
                <w:sz w:val="16"/>
                <w:szCs w:val="16"/>
                <w:lang w:eastAsia="es-CO"/>
              </w:rPr>
            </w:pPr>
            <w:r w:rsidRPr="00C45519">
              <w:rPr>
                <w:rFonts w:eastAsia="Times New Roman" w:cstheme="minorHAnsi"/>
                <w:b/>
                <w:bCs/>
                <w:sz w:val="16"/>
                <w:szCs w:val="16"/>
                <w:lang w:eastAsia="es-CO"/>
              </w:rPr>
              <w:t>16%</w:t>
            </w:r>
          </w:p>
        </w:tc>
        <w:tc>
          <w:tcPr>
            <w:tcW w:w="951" w:type="dxa"/>
            <w:tcBorders>
              <w:top w:val="nil"/>
              <w:left w:val="nil"/>
              <w:bottom w:val="single" w:sz="4" w:space="0" w:color="auto"/>
              <w:right w:val="single" w:sz="4" w:space="0" w:color="auto"/>
            </w:tcBorders>
            <w:shd w:val="clear" w:color="auto" w:fill="auto"/>
            <w:vAlign w:val="center"/>
            <w:hideMark/>
          </w:tcPr>
          <w:p w14:paraId="60E6EC29"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8.800</w:t>
            </w:r>
          </w:p>
        </w:tc>
        <w:tc>
          <w:tcPr>
            <w:tcW w:w="621" w:type="dxa"/>
            <w:tcBorders>
              <w:top w:val="nil"/>
              <w:left w:val="nil"/>
              <w:bottom w:val="single" w:sz="4" w:space="0" w:color="auto"/>
              <w:right w:val="single" w:sz="4" w:space="0" w:color="auto"/>
            </w:tcBorders>
            <w:shd w:val="clear" w:color="auto" w:fill="auto"/>
            <w:noWrap/>
            <w:vAlign w:val="bottom"/>
            <w:hideMark/>
          </w:tcPr>
          <w:p w14:paraId="15FECBAC"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0%</w:t>
            </w:r>
          </w:p>
        </w:tc>
        <w:tc>
          <w:tcPr>
            <w:tcW w:w="893" w:type="dxa"/>
            <w:tcBorders>
              <w:top w:val="nil"/>
              <w:left w:val="nil"/>
              <w:bottom w:val="single" w:sz="4" w:space="0" w:color="auto"/>
              <w:right w:val="single" w:sz="4" w:space="0" w:color="auto"/>
            </w:tcBorders>
            <w:shd w:val="clear" w:color="auto" w:fill="auto"/>
            <w:vAlign w:val="center"/>
            <w:hideMark/>
          </w:tcPr>
          <w:p w14:paraId="6AD832BD"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1.327.071</w:t>
            </w:r>
          </w:p>
        </w:tc>
        <w:tc>
          <w:tcPr>
            <w:tcW w:w="602" w:type="dxa"/>
            <w:tcBorders>
              <w:top w:val="nil"/>
              <w:left w:val="nil"/>
              <w:bottom w:val="single" w:sz="4" w:space="0" w:color="auto"/>
              <w:right w:val="single" w:sz="4" w:space="0" w:color="auto"/>
            </w:tcBorders>
            <w:shd w:val="clear" w:color="auto" w:fill="auto"/>
            <w:noWrap/>
            <w:vAlign w:val="bottom"/>
            <w:hideMark/>
          </w:tcPr>
          <w:p w14:paraId="031F71C7"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99%</w:t>
            </w:r>
          </w:p>
        </w:tc>
      </w:tr>
      <w:tr w:rsidR="00C45519" w:rsidRPr="00C45519" w14:paraId="4C994F8C" w14:textId="77777777" w:rsidTr="003D53F5">
        <w:trPr>
          <w:trHeight w:val="163"/>
          <w:jc w:val="center"/>
        </w:trPr>
        <w:tc>
          <w:tcPr>
            <w:tcW w:w="372" w:type="dxa"/>
            <w:tcBorders>
              <w:top w:val="nil"/>
              <w:left w:val="single" w:sz="4" w:space="0" w:color="auto"/>
              <w:bottom w:val="single" w:sz="4" w:space="0" w:color="auto"/>
              <w:right w:val="single" w:sz="4" w:space="0" w:color="auto"/>
            </w:tcBorders>
            <w:shd w:val="clear" w:color="E2EFDA" w:fill="E2EFDA"/>
            <w:vAlign w:val="center"/>
            <w:hideMark/>
          </w:tcPr>
          <w:p w14:paraId="41ED6773" w14:textId="77777777" w:rsidR="00C45519" w:rsidRPr="00C45519" w:rsidRDefault="00C45519" w:rsidP="00C45519">
            <w:pPr>
              <w:spacing w:after="0" w:line="240" w:lineRule="auto"/>
              <w:jc w:val="center"/>
              <w:rPr>
                <w:rFonts w:eastAsia="Times New Roman" w:cstheme="minorHAnsi"/>
                <w:color w:val="000000"/>
                <w:sz w:val="16"/>
                <w:szCs w:val="16"/>
                <w:lang w:eastAsia="es-CO"/>
              </w:rPr>
            </w:pPr>
            <w:r w:rsidRPr="00C45519">
              <w:rPr>
                <w:rFonts w:eastAsia="Times New Roman" w:cstheme="minorHAnsi"/>
                <w:color w:val="000000"/>
                <w:sz w:val="16"/>
                <w:szCs w:val="16"/>
                <w:lang w:eastAsia="es-CO"/>
              </w:rPr>
              <w:t>7</w:t>
            </w:r>
          </w:p>
        </w:tc>
        <w:tc>
          <w:tcPr>
            <w:tcW w:w="1282" w:type="dxa"/>
            <w:tcBorders>
              <w:top w:val="nil"/>
              <w:left w:val="nil"/>
              <w:bottom w:val="single" w:sz="4" w:space="0" w:color="auto"/>
              <w:right w:val="single" w:sz="4" w:space="0" w:color="auto"/>
            </w:tcBorders>
            <w:shd w:val="clear" w:color="E2EFDA" w:fill="E2EFDA"/>
            <w:vAlign w:val="center"/>
            <w:hideMark/>
          </w:tcPr>
          <w:p w14:paraId="4BA676CD" w14:textId="77777777" w:rsidR="00C45519" w:rsidRPr="00C45519" w:rsidRDefault="00C45519" w:rsidP="00C45519">
            <w:pPr>
              <w:spacing w:after="0" w:line="240" w:lineRule="auto"/>
              <w:rPr>
                <w:rFonts w:eastAsia="Times New Roman" w:cstheme="minorHAnsi"/>
                <w:color w:val="000000"/>
                <w:sz w:val="16"/>
                <w:szCs w:val="16"/>
                <w:lang w:eastAsia="es-CO"/>
              </w:rPr>
            </w:pPr>
            <w:r w:rsidRPr="00C45519">
              <w:rPr>
                <w:rFonts w:eastAsia="Times New Roman" w:cstheme="minorHAnsi"/>
                <w:color w:val="000000"/>
                <w:sz w:val="16"/>
                <w:szCs w:val="16"/>
                <w:lang w:eastAsia="es-CO"/>
              </w:rPr>
              <w:t>CRUZ BLANCA</w:t>
            </w:r>
          </w:p>
        </w:tc>
        <w:tc>
          <w:tcPr>
            <w:tcW w:w="1082" w:type="dxa"/>
            <w:tcBorders>
              <w:top w:val="nil"/>
              <w:left w:val="nil"/>
              <w:bottom w:val="single" w:sz="4" w:space="0" w:color="auto"/>
              <w:right w:val="single" w:sz="4" w:space="0" w:color="auto"/>
            </w:tcBorders>
            <w:shd w:val="clear" w:color="E2EFDA" w:fill="E2EFDA"/>
            <w:vAlign w:val="center"/>
            <w:hideMark/>
          </w:tcPr>
          <w:p w14:paraId="4C287003" w14:textId="2D69C3A0" w:rsidR="00C45519" w:rsidRPr="00C45519" w:rsidRDefault="00C45519" w:rsidP="00C45519">
            <w:pPr>
              <w:spacing w:after="0" w:line="240" w:lineRule="auto"/>
              <w:jc w:val="right"/>
              <w:rPr>
                <w:rFonts w:eastAsia="Times New Roman" w:cstheme="minorHAnsi"/>
                <w:sz w:val="16"/>
                <w:szCs w:val="16"/>
                <w:lang w:eastAsia="es-CO"/>
              </w:rPr>
            </w:pPr>
            <w:r w:rsidRPr="00C45519">
              <w:rPr>
                <w:rFonts w:eastAsia="Times New Roman" w:cstheme="minorHAnsi"/>
                <w:sz w:val="16"/>
                <w:szCs w:val="16"/>
                <w:lang w:eastAsia="es-CO"/>
              </w:rPr>
              <w:t>3</w:t>
            </w:r>
            <w:r w:rsidR="008C7FFB">
              <w:rPr>
                <w:rFonts w:eastAsia="Times New Roman" w:cstheme="minorHAnsi"/>
                <w:sz w:val="16"/>
                <w:szCs w:val="16"/>
                <w:lang w:eastAsia="es-CO"/>
              </w:rPr>
              <w:t>.</w:t>
            </w:r>
            <w:r w:rsidRPr="00C45519">
              <w:rPr>
                <w:rFonts w:eastAsia="Times New Roman" w:cstheme="minorHAnsi"/>
                <w:sz w:val="16"/>
                <w:szCs w:val="16"/>
                <w:lang w:eastAsia="es-CO"/>
              </w:rPr>
              <w:t>042</w:t>
            </w:r>
          </w:p>
        </w:tc>
        <w:tc>
          <w:tcPr>
            <w:tcW w:w="990" w:type="dxa"/>
            <w:tcBorders>
              <w:top w:val="nil"/>
              <w:left w:val="nil"/>
              <w:bottom w:val="single" w:sz="4" w:space="0" w:color="auto"/>
              <w:right w:val="single" w:sz="4" w:space="0" w:color="auto"/>
            </w:tcBorders>
            <w:shd w:val="clear" w:color="E2EFDA" w:fill="E2EFDA"/>
            <w:vAlign w:val="center"/>
            <w:hideMark/>
          </w:tcPr>
          <w:p w14:paraId="465DFF40"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1.195.450</w:t>
            </w:r>
          </w:p>
        </w:tc>
        <w:tc>
          <w:tcPr>
            <w:tcW w:w="1030" w:type="dxa"/>
            <w:tcBorders>
              <w:top w:val="nil"/>
              <w:left w:val="nil"/>
              <w:bottom w:val="single" w:sz="4" w:space="0" w:color="auto"/>
              <w:right w:val="single" w:sz="4" w:space="0" w:color="auto"/>
            </w:tcBorders>
            <w:shd w:val="clear" w:color="E2EFDA" w:fill="E2EFDA"/>
            <w:vAlign w:val="center"/>
            <w:hideMark/>
          </w:tcPr>
          <w:p w14:paraId="1F162420"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243.392</w:t>
            </w:r>
          </w:p>
        </w:tc>
        <w:tc>
          <w:tcPr>
            <w:tcW w:w="641" w:type="dxa"/>
            <w:tcBorders>
              <w:top w:val="nil"/>
              <w:left w:val="nil"/>
              <w:bottom w:val="single" w:sz="4" w:space="0" w:color="auto"/>
              <w:right w:val="single" w:sz="4" w:space="0" w:color="auto"/>
            </w:tcBorders>
            <w:shd w:val="clear" w:color="E2EFDA" w:fill="E2EFDA"/>
            <w:vAlign w:val="center"/>
            <w:hideMark/>
          </w:tcPr>
          <w:p w14:paraId="2F74AC5A" w14:textId="77777777" w:rsidR="00C45519" w:rsidRPr="00C45519" w:rsidRDefault="00C45519" w:rsidP="00C45519">
            <w:pPr>
              <w:spacing w:after="0" w:line="240" w:lineRule="auto"/>
              <w:jc w:val="right"/>
              <w:rPr>
                <w:rFonts w:eastAsia="Times New Roman" w:cstheme="minorHAnsi"/>
                <w:b/>
                <w:bCs/>
                <w:sz w:val="16"/>
                <w:szCs w:val="16"/>
                <w:lang w:eastAsia="es-CO"/>
              </w:rPr>
            </w:pPr>
            <w:r w:rsidRPr="00C45519">
              <w:rPr>
                <w:rFonts w:eastAsia="Times New Roman" w:cstheme="minorHAnsi"/>
                <w:b/>
                <w:bCs/>
                <w:sz w:val="16"/>
                <w:szCs w:val="16"/>
                <w:lang w:eastAsia="es-CO"/>
              </w:rPr>
              <w:t>0,2%</w:t>
            </w:r>
          </w:p>
        </w:tc>
        <w:tc>
          <w:tcPr>
            <w:tcW w:w="951" w:type="dxa"/>
            <w:tcBorders>
              <w:top w:val="nil"/>
              <w:left w:val="nil"/>
              <w:bottom w:val="single" w:sz="4" w:space="0" w:color="auto"/>
              <w:right w:val="single" w:sz="4" w:space="0" w:color="auto"/>
            </w:tcBorders>
            <w:shd w:val="clear" w:color="E2EFDA" w:fill="E2EFDA"/>
            <w:vAlign w:val="center"/>
            <w:hideMark/>
          </w:tcPr>
          <w:p w14:paraId="2A04D289"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0</w:t>
            </w:r>
          </w:p>
        </w:tc>
        <w:tc>
          <w:tcPr>
            <w:tcW w:w="621" w:type="dxa"/>
            <w:tcBorders>
              <w:top w:val="nil"/>
              <w:left w:val="nil"/>
              <w:bottom w:val="single" w:sz="4" w:space="0" w:color="auto"/>
              <w:right w:val="single" w:sz="4" w:space="0" w:color="auto"/>
            </w:tcBorders>
            <w:shd w:val="clear" w:color="000000" w:fill="E2EFDA"/>
            <w:noWrap/>
            <w:vAlign w:val="bottom"/>
            <w:hideMark/>
          </w:tcPr>
          <w:p w14:paraId="160DA372"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0%</w:t>
            </w:r>
          </w:p>
        </w:tc>
        <w:tc>
          <w:tcPr>
            <w:tcW w:w="893" w:type="dxa"/>
            <w:tcBorders>
              <w:top w:val="nil"/>
              <w:left w:val="nil"/>
              <w:bottom w:val="single" w:sz="4" w:space="0" w:color="auto"/>
              <w:right w:val="single" w:sz="4" w:space="0" w:color="auto"/>
            </w:tcBorders>
            <w:shd w:val="clear" w:color="E2EFDA" w:fill="E2EFDA"/>
            <w:vAlign w:val="center"/>
            <w:hideMark/>
          </w:tcPr>
          <w:p w14:paraId="2443FF71"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243.392</w:t>
            </w:r>
          </w:p>
        </w:tc>
        <w:tc>
          <w:tcPr>
            <w:tcW w:w="602" w:type="dxa"/>
            <w:tcBorders>
              <w:top w:val="nil"/>
              <w:left w:val="nil"/>
              <w:bottom w:val="single" w:sz="4" w:space="0" w:color="auto"/>
              <w:right w:val="single" w:sz="4" w:space="0" w:color="auto"/>
            </w:tcBorders>
            <w:shd w:val="clear" w:color="E2EFDA" w:fill="E2EFDA"/>
            <w:noWrap/>
            <w:vAlign w:val="bottom"/>
            <w:hideMark/>
          </w:tcPr>
          <w:p w14:paraId="5FAB6046"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100%</w:t>
            </w:r>
          </w:p>
        </w:tc>
      </w:tr>
      <w:tr w:rsidR="00C45519" w:rsidRPr="00C45519" w14:paraId="41447886" w14:textId="77777777" w:rsidTr="003D53F5">
        <w:trPr>
          <w:trHeight w:val="163"/>
          <w:jc w:val="center"/>
        </w:trPr>
        <w:tc>
          <w:tcPr>
            <w:tcW w:w="372" w:type="dxa"/>
            <w:tcBorders>
              <w:top w:val="nil"/>
              <w:left w:val="single" w:sz="4" w:space="0" w:color="auto"/>
              <w:bottom w:val="single" w:sz="4" w:space="0" w:color="auto"/>
              <w:right w:val="single" w:sz="4" w:space="0" w:color="auto"/>
            </w:tcBorders>
            <w:shd w:val="clear" w:color="auto" w:fill="auto"/>
            <w:vAlign w:val="center"/>
            <w:hideMark/>
          </w:tcPr>
          <w:p w14:paraId="308D79D7" w14:textId="77777777" w:rsidR="00C45519" w:rsidRPr="00C45519" w:rsidRDefault="00C45519" w:rsidP="00C45519">
            <w:pPr>
              <w:spacing w:after="0" w:line="240" w:lineRule="auto"/>
              <w:jc w:val="center"/>
              <w:rPr>
                <w:rFonts w:eastAsia="Times New Roman" w:cstheme="minorHAnsi"/>
                <w:color w:val="000000"/>
                <w:sz w:val="16"/>
                <w:szCs w:val="16"/>
                <w:lang w:eastAsia="es-CO"/>
              </w:rPr>
            </w:pPr>
            <w:r w:rsidRPr="00C45519">
              <w:rPr>
                <w:rFonts w:eastAsia="Times New Roman" w:cstheme="minorHAnsi"/>
                <w:color w:val="000000"/>
                <w:sz w:val="16"/>
                <w:szCs w:val="16"/>
                <w:lang w:eastAsia="es-CO"/>
              </w:rPr>
              <w:t>8</w:t>
            </w:r>
          </w:p>
        </w:tc>
        <w:tc>
          <w:tcPr>
            <w:tcW w:w="1282" w:type="dxa"/>
            <w:tcBorders>
              <w:top w:val="nil"/>
              <w:left w:val="nil"/>
              <w:bottom w:val="single" w:sz="4" w:space="0" w:color="auto"/>
              <w:right w:val="single" w:sz="4" w:space="0" w:color="auto"/>
            </w:tcBorders>
            <w:shd w:val="clear" w:color="auto" w:fill="auto"/>
            <w:vAlign w:val="center"/>
            <w:hideMark/>
          </w:tcPr>
          <w:p w14:paraId="3E87E7A0" w14:textId="77777777" w:rsidR="00C45519" w:rsidRPr="00C45519" w:rsidRDefault="00C45519" w:rsidP="00C45519">
            <w:pPr>
              <w:spacing w:after="0" w:line="240" w:lineRule="auto"/>
              <w:rPr>
                <w:rFonts w:eastAsia="Times New Roman" w:cstheme="minorHAnsi"/>
                <w:color w:val="000000"/>
                <w:sz w:val="16"/>
                <w:szCs w:val="16"/>
                <w:lang w:eastAsia="es-CO"/>
              </w:rPr>
            </w:pPr>
            <w:r w:rsidRPr="00C45519">
              <w:rPr>
                <w:rFonts w:eastAsia="Times New Roman" w:cstheme="minorHAnsi"/>
                <w:color w:val="000000"/>
                <w:sz w:val="16"/>
                <w:szCs w:val="16"/>
                <w:lang w:eastAsia="es-CO"/>
              </w:rPr>
              <w:t>EMDISALUD</w:t>
            </w:r>
          </w:p>
        </w:tc>
        <w:tc>
          <w:tcPr>
            <w:tcW w:w="1082" w:type="dxa"/>
            <w:tcBorders>
              <w:top w:val="nil"/>
              <w:left w:val="nil"/>
              <w:bottom w:val="single" w:sz="4" w:space="0" w:color="auto"/>
              <w:right w:val="single" w:sz="4" w:space="0" w:color="auto"/>
            </w:tcBorders>
            <w:shd w:val="clear" w:color="auto" w:fill="auto"/>
            <w:vAlign w:val="center"/>
            <w:hideMark/>
          </w:tcPr>
          <w:p w14:paraId="7ECDB9A4" w14:textId="4D828D38" w:rsidR="00C45519" w:rsidRPr="00C45519" w:rsidRDefault="00C45519" w:rsidP="00C45519">
            <w:pPr>
              <w:spacing w:after="0" w:line="240" w:lineRule="auto"/>
              <w:jc w:val="right"/>
              <w:rPr>
                <w:rFonts w:eastAsia="Times New Roman" w:cstheme="minorHAnsi"/>
                <w:sz w:val="16"/>
                <w:szCs w:val="16"/>
                <w:lang w:eastAsia="es-CO"/>
              </w:rPr>
            </w:pPr>
            <w:r w:rsidRPr="00C45519">
              <w:rPr>
                <w:rFonts w:eastAsia="Times New Roman" w:cstheme="minorHAnsi"/>
                <w:sz w:val="16"/>
                <w:szCs w:val="16"/>
                <w:lang w:eastAsia="es-CO"/>
              </w:rPr>
              <w:t>1</w:t>
            </w:r>
            <w:r w:rsidR="008C7FFB">
              <w:rPr>
                <w:rFonts w:eastAsia="Times New Roman" w:cstheme="minorHAnsi"/>
                <w:sz w:val="16"/>
                <w:szCs w:val="16"/>
                <w:lang w:eastAsia="es-CO"/>
              </w:rPr>
              <w:t>.</w:t>
            </w:r>
            <w:r w:rsidRPr="00C45519">
              <w:rPr>
                <w:rFonts w:eastAsia="Times New Roman" w:cstheme="minorHAnsi"/>
                <w:sz w:val="16"/>
                <w:szCs w:val="16"/>
                <w:lang w:eastAsia="es-CO"/>
              </w:rPr>
              <w:t>835</w:t>
            </w:r>
          </w:p>
        </w:tc>
        <w:tc>
          <w:tcPr>
            <w:tcW w:w="990" w:type="dxa"/>
            <w:tcBorders>
              <w:top w:val="nil"/>
              <w:left w:val="nil"/>
              <w:bottom w:val="single" w:sz="4" w:space="0" w:color="auto"/>
              <w:right w:val="single" w:sz="4" w:space="0" w:color="auto"/>
            </w:tcBorders>
            <w:shd w:val="clear" w:color="auto" w:fill="auto"/>
            <w:vAlign w:val="center"/>
            <w:hideMark/>
          </w:tcPr>
          <w:p w14:paraId="3557C496"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1.071.679</w:t>
            </w:r>
          </w:p>
        </w:tc>
        <w:tc>
          <w:tcPr>
            <w:tcW w:w="1030" w:type="dxa"/>
            <w:tcBorders>
              <w:top w:val="nil"/>
              <w:left w:val="nil"/>
              <w:bottom w:val="single" w:sz="4" w:space="0" w:color="auto"/>
              <w:right w:val="single" w:sz="4" w:space="0" w:color="auto"/>
            </w:tcBorders>
            <w:shd w:val="clear" w:color="auto" w:fill="auto"/>
            <w:vAlign w:val="center"/>
            <w:hideMark/>
          </w:tcPr>
          <w:p w14:paraId="031D79A6"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0</w:t>
            </w:r>
          </w:p>
        </w:tc>
        <w:tc>
          <w:tcPr>
            <w:tcW w:w="641" w:type="dxa"/>
            <w:tcBorders>
              <w:top w:val="nil"/>
              <w:left w:val="nil"/>
              <w:bottom w:val="single" w:sz="4" w:space="0" w:color="auto"/>
              <w:right w:val="single" w:sz="4" w:space="0" w:color="auto"/>
            </w:tcBorders>
            <w:shd w:val="clear" w:color="auto" w:fill="auto"/>
            <w:vAlign w:val="center"/>
            <w:hideMark/>
          </w:tcPr>
          <w:p w14:paraId="1CD08FE7" w14:textId="77777777" w:rsidR="00C45519" w:rsidRPr="00C45519" w:rsidRDefault="00C45519" w:rsidP="00C45519">
            <w:pPr>
              <w:spacing w:after="0" w:line="240" w:lineRule="auto"/>
              <w:jc w:val="right"/>
              <w:rPr>
                <w:rFonts w:eastAsia="Times New Roman" w:cstheme="minorHAnsi"/>
                <w:b/>
                <w:bCs/>
                <w:sz w:val="16"/>
                <w:szCs w:val="16"/>
                <w:lang w:eastAsia="es-CO"/>
              </w:rPr>
            </w:pPr>
            <w:r w:rsidRPr="00C45519">
              <w:rPr>
                <w:rFonts w:eastAsia="Times New Roman" w:cstheme="minorHAnsi"/>
                <w:b/>
                <w:bCs/>
                <w:sz w:val="16"/>
                <w:szCs w:val="16"/>
                <w:lang w:eastAsia="es-CO"/>
              </w:rPr>
              <w:t>0%</w:t>
            </w:r>
          </w:p>
        </w:tc>
        <w:tc>
          <w:tcPr>
            <w:tcW w:w="951" w:type="dxa"/>
            <w:tcBorders>
              <w:top w:val="nil"/>
              <w:left w:val="nil"/>
              <w:bottom w:val="single" w:sz="4" w:space="0" w:color="auto"/>
              <w:right w:val="single" w:sz="4" w:space="0" w:color="auto"/>
            </w:tcBorders>
            <w:shd w:val="clear" w:color="auto" w:fill="auto"/>
            <w:vAlign w:val="center"/>
            <w:hideMark/>
          </w:tcPr>
          <w:p w14:paraId="082D460C"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0</w:t>
            </w:r>
          </w:p>
        </w:tc>
        <w:tc>
          <w:tcPr>
            <w:tcW w:w="621" w:type="dxa"/>
            <w:tcBorders>
              <w:top w:val="nil"/>
              <w:left w:val="nil"/>
              <w:bottom w:val="single" w:sz="4" w:space="0" w:color="auto"/>
              <w:right w:val="single" w:sz="4" w:space="0" w:color="auto"/>
            </w:tcBorders>
            <w:shd w:val="clear" w:color="auto" w:fill="auto"/>
            <w:noWrap/>
            <w:vAlign w:val="bottom"/>
            <w:hideMark/>
          </w:tcPr>
          <w:p w14:paraId="4BE4FC85"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0%</w:t>
            </w:r>
          </w:p>
        </w:tc>
        <w:tc>
          <w:tcPr>
            <w:tcW w:w="893" w:type="dxa"/>
            <w:tcBorders>
              <w:top w:val="nil"/>
              <w:left w:val="nil"/>
              <w:bottom w:val="single" w:sz="4" w:space="0" w:color="auto"/>
              <w:right w:val="single" w:sz="4" w:space="0" w:color="auto"/>
            </w:tcBorders>
            <w:shd w:val="clear" w:color="auto" w:fill="auto"/>
            <w:vAlign w:val="center"/>
            <w:hideMark/>
          </w:tcPr>
          <w:p w14:paraId="2AB86311"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0</w:t>
            </w:r>
          </w:p>
        </w:tc>
        <w:tc>
          <w:tcPr>
            <w:tcW w:w="602" w:type="dxa"/>
            <w:tcBorders>
              <w:top w:val="nil"/>
              <w:left w:val="nil"/>
              <w:bottom w:val="single" w:sz="4" w:space="0" w:color="auto"/>
              <w:right w:val="single" w:sz="4" w:space="0" w:color="auto"/>
            </w:tcBorders>
            <w:shd w:val="clear" w:color="auto" w:fill="auto"/>
            <w:noWrap/>
            <w:vAlign w:val="bottom"/>
            <w:hideMark/>
          </w:tcPr>
          <w:p w14:paraId="7EBD5A77"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0%</w:t>
            </w:r>
          </w:p>
        </w:tc>
      </w:tr>
      <w:tr w:rsidR="00C45519" w:rsidRPr="00C45519" w14:paraId="21A768CD" w14:textId="77777777" w:rsidTr="003D53F5">
        <w:trPr>
          <w:trHeight w:val="163"/>
          <w:jc w:val="center"/>
        </w:trPr>
        <w:tc>
          <w:tcPr>
            <w:tcW w:w="372" w:type="dxa"/>
            <w:tcBorders>
              <w:top w:val="nil"/>
              <w:left w:val="single" w:sz="4" w:space="0" w:color="auto"/>
              <w:bottom w:val="single" w:sz="4" w:space="0" w:color="auto"/>
              <w:right w:val="single" w:sz="4" w:space="0" w:color="auto"/>
            </w:tcBorders>
            <w:shd w:val="clear" w:color="E2EFDA" w:fill="E2EFDA"/>
            <w:vAlign w:val="center"/>
            <w:hideMark/>
          </w:tcPr>
          <w:p w14:paraId="7AD078BB" w14:textId="77777777" w:rsidR="00C45519" w:rsidRPr="00C45519" w:rsidRDefault="00C45519" w:rsidP="00C45519">
            <w:pPr>
              <w:spacing w:after="0" w:line="240" w:lineRule="auto"/>
              <w:jc w:val="center"/>
              <w:rPr>
                <w:rFonts w:eastAsia="Times New Roman" w:cstheme="minorHAnsi"/>
                <w:color w:val="000000"/>
                <w:sz w:val="16"/>
                <w:szCs w:val="16"/>
                <w:lang w:eastAsia="es-CO"/>
              </w:rPr>
            </w:pPr>
            <w:r w:rsidRPr="00C45519">
              <w:rPr>
                <w:rFonts w:eastAsia="Times New Roman" w:cstheme="minorHAnsi"/>
                <w:color w:val="000000"/>
                <w:sz w:val="16"/>
                <w:szCs w:val="16"/>
                <w:lang w:eastAsia="es-CO"/>
              </w:rPr>
              <w:t>9</w:t>
            </w:r>
          </w:p>
        </w:tc>
        <w:tc>
          <w:tcPr>
            <w:tcW w:w="1282" w:type="dxa"/>
            <w:tcBorders>
              <w:top w:val="nil"/>
              <w:left w:val="nil"/>
              <w:bottom w:val="single" w:sz="4" w:space="0" w:color="auto"/>
              <w:right w:val="single" w:sz="4" w:space="0" w:color="auto"/>
            </w:tcBorders>
            <w:shd w:val="clear" w:color="E2EFDA" w:fill="E2EFDA"/>
            <w:vAlign w:val="center"/>
            <w:hideMark/>
          </w:tcPr>
          <w:p w14:paraId="2AB485C9" w14:textId="77777777" w:rsidR="00C45519" w:rsidRPr="00C45519" w:rsidRDefault="00C45519" w:rsidP="00C45519">
            <w:pPr>
              <w:spacing w:after="0" w:line="240" w:lineRule="auto"/>
              <w:rPr>
                <w:rFonts w:eastAsia="Times New Roman" w:cstheme="minorHAnsi"/>
                <w:color w:val="000000"/>
                <w:sz w:val="16"/>
                <w:szCs w:val="16"/>
                <w:lang w:eastAsia="es-CO"/>
              </w:rPr>
            </w:pPr>
            <w:r w:rsidRPr="00C45519">
              <w:rPr>
                <w:rFonts w:eastAsia="Times New Roman" w:cstheme="minorHAnsi"/>
                <w:color w:val="000000"/>
                <w:sz w:val="16"/>
                <w:szCs w:val="16"/>
                <w:lang w:eastAsia="es-CO"/>
              </w:rPr>
              <w:t>SALUDVIDA</w:t>
            </w:r>
          </w:p>
        </w:tc>
        <w:tc>
          <w:tcPr>
            <w:tcW w:w="1082" w:type="dxa"/>
            <w:tcBorders>
              <w:top w:val="nil"/>
              <w:left w:val="nil"/>
              <w:bottom w:val="single" w:sz="4" w:space="0" w:color="auto"/>
              <w:right w:val="single" w:sz="4" w:space="0" w:color="auto"/>
            </w:tcBorders>
            <w:shd w:val="clear" w:color="E2EFDA" w:fill="E2EFDA"/>
            <w:vAlign w:val="center"/>
            <w:hideMark/>
          </w:tcPr>
          <w:p w14:paraId="6A7D4091" w14:textId="77777777" w:rsidR="00C45519" w:rsidRPr="00C45519" w:rsidRDefault="00C45519" w:rsidP="00C45519">
            <w:pPr>
              <w:spacing w:after="0" w:line="240" w:lineRule="auto"/>
              <w:jc w:val="right"/>
              <w:rPr>
                <w:rFonts w:eastAsia="Times New Roman" w:cstheme="minorHAnsi"/>
                <w:sz w:val="16"/>
                <w:szCs w:val="16"/>
                <w:lang w:eastAsia="es-CO"/>
              </w:rPr>
            </w:pPr>
            <w:r w:rsidRPr="00C45519">
              <w:rPr>
                <w:rFonts w:eastAsia="Times New Roman" w:cstheme="minorHAnsi"/>
                <w:sz w:val="16"/>
                <w:szCs w:val="16"/>
                <w:lang w:eastAsia="es-CO"/>
              </w:rPr>
              <w:t>314</w:t>
            </w:r>
          </w:p>
        </w:tc>
        <w:tc>
          <w:tcPr>
            <w:tcW w:w="990" w:type="dxa"/>
            <w:tcBorders>
              <w:top w:val="nil"/>
              <w:left w:val="nil"/>
              <w:bottom w:val="single" w:sz="4" w:space="0" w:color="auto"/>
              <w:right w:val="single" w:sz="4" w:space="0" w:color="auto"/>
            </w:tcBorders>
            <w:shd w:val="clear" w:color="E2EFDA" w:fill="E2EFDA"/>
            <w:vAlign w:val="center"/>
            <w:hideMark/>
          </w:tcPr>
          <w:p w14:paraId="6222DEA1"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1.535</w:t>
            </w:r>
          </w:p>
        </w:tc>
        <w:tc>
          <w:tcPr>
            <w:tcW w:w="1030" w:type="dxa"/>
            <w:tcBorders>
              <w:top w:val="nil"/>
              <w:left w:val="nil"/>
              <w:bottom w:val="single" w:sz="4" w:space="0" w:color="auto"/>
              <w:right w:val="single" w:sz="4" w:space="0" w:color="auto"/>
            </w:tcBorders>
            <w:shd w:val="clear" w:color="E2EFDA" w:fill="E2EFDA"/>
            <w:vAlign w:val="center"/>
            <w:hideMark/>
          </w:tcPr>
          <w:p w14:paraId="6EC3AC2A"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413</w:t>
            </w:r>
          </w:p>
        </w:tc>
        <w:tc>
          <w:tcPr>
            <w:tcW w:w="641" w:type="dxa"/>
            <w:tcBorders>
              <w:top w:val="nil"/>
              <w:left w:val="nil"/>
              <w:bottom w:val="single" w:sz="4" w:space="0" w:color="auto"/>
              <w:right w:val="single" w:sz="4" w:space="0" w:color="auto"/>
            </w:tcBorders>
            <w:shd w:val="clear" w:color="E2EFDA" w:fill="E2EFDA"/>
            <w:vAlign w:val="center"/>
            <w:hideMark/>
          </w:tcPr>
          <w:p w14:paraId="63B0B3C1" w14:textId="77777777" w:rsidR="00C45519" w:rsidRPr="00C45519" w:rsidRDefault="00C45519" w:rsidP="00C45519">
            <w:pPr>
              <w:spacing w:after="0" w:line="240" w:lineRule="auto"/>
              <w:jc w:val="right"/>
              <w:rPr>
                <w:rFonts w:eastAsia="Times New Roman" w:cstheme="minorHAnsi"/>
                <w:b/>
                <w:bCs/>
                <w:sz w:val="16"/>
                <w:szCs w:val="16"/>
                <w:lang w:eastAsia="es-CO"/>
              </w:rPr>
            </w:pPr>
            <w:r w:rsidRPr="00C45519">
              <w:rPr>
                <w:rFonts w:eastAsia="Times New Roman" w:cstheme="minorHAnsi"/>
                <w:b/>
                <w:bCs/>
                <w:sz w:val="16"/>
                <w:szCs w:val="16"/>
                <w:lang w:eastAsia="es-CO"/>
              </w:rPr>
              <w:t>27%</w:t>
            </w:r>
          </w:p>
        </w:tc>
        <w:tc>
          <w:tcPr>
            <w:tcW w:w="951" w:type="dxa"/>
            <w:tcBorders>
              <w:top w:val="nil"/>
              <w:left w:val="nil"/>
              <w:bottom w:val="single" w:sz="4" w:space="0" w:color="auto"/>
              <w:right w:val="single" w:sz="4" w:space="0" w:color="auto"/>
            </w:tcBorders>
            <w:shd w:val="clear" w:color="E2EFDA" w:fill="E2EFDA"/>
            <w:vAlign w:val="center"/>
            <w:hideMark/>
          </w:tcPr>
          <w:p w14:paraId="0CECCD8E"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0</w:t>
            </w:r>
          </w:p>
        </w:tc>
        <w:tc>
          <w:tcPr>
            <w:tcW w:w="621" w:type="dxa"/>
            <w:tcBorders>
              <w:top w:val="nil"/>
              <w:left w:val="nil"/>
              <w:bottom w:val="single" w:sz="4" w:space="0" w:color="auto"/>
              <w:right w:val="single" w:sz="4" w:space="0" w:color="auto"/>
            </w:tcBorders>
            <w:shd w:val="clear" w:color="000000" w:fill="E2EFDA"/>
            <w:noWrap/>
            <w:vAlign w:val="bottom"/>
            <w:hideMark/>
          </w:tcPr>
          <w:p w14:paraId="73967D46"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0%</w:t>
            </w:r>
          </w:p>
        </w:tc>
        <w:tc>
          <w:tcPr>
            <w:tcW w:w="893" w:type="dxa"/>
            <w:tcBorders>
              <w:top w:val="nil"/>
              <w:left w:val="nil"/>
              <w:bottom w:val="single" w:sz="4" w:space="0" w:color="auto"/>
              <w:right w:val="single" w:sz="4" w:space="0" w:color="auto"/>
            </w:tcBorders>
            <w:shd w:val="clear" w:color="E2EFDA" w:fill="E2EFDA"/>
            <w:vAlign w:val="center"/>
            <w:hideMark/>
          </w:tcPr>
          <w:p w14:paraId="6F50EB93"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413</w:t>
            </w:r>
          </w:p>
        </w:tc>
        <w:tc>
          <w:tcPr>
            <w:tcW w:w="602" w:type="dxa"/>
            <w:tcBorders>
              <w:top w:val="nil"/>
              <w:left w:val="nil"/>
              <w:bottom w:val="single" w:sz="4" w:space="0" w:color="auto"/>
              <w:right w:val="single" w:sz="4" w:space="0" w:color="auto"/>
            </w:tcBorders>
            <w:shd w:val="clear" w:color="E2EFDA" w:fill="E2EFDA"/>
            <w:noWrap/>
            <w:vAlign w:val="bottom"/>
            <w:hideMark/>
          </w:tcPr>
          <w:p w14:paraId="0E6A5E11"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100%</w:t>
            </w:r>
          </w:p>
        </w:tc>
      </w:tr>
      <w:tr w:rsidR="00C45519" w:rsidRPr="00C45519" w14:paraId="426A10F8" w14:textId="77777777" w:rsidTr="003D53F5">
        <w:trPr>
          <w:trHeight w:val="163"/>
          <w:jc w:val="center"/>
        </w:trPr>
        <w:tc>
          <w:tcPr>
            <w:tcW w:w="372" w:type="dxa"/>
            <w:tcBorders>
              <w:top w:val="nil"/>
              <w:left w:val="single" w:sz="4" w:space="0" w:color="auto"/>
              <w:bottom w:val="single" w:sz="4" w:space="0" w:color="auto"/>
              <w:right w:val="single" w:sz="4" w:space="0" w:color="auto"/>
            </w:tcBorders>
            <w:shd w:val="clear" w:color="auto" w:fill="auto"/>
            <w:vAlign w:val="center"/>
            <w:hideMark/>
          </w:tcPr>
          <w:p w14:paraId="2E6C43E9" w14:textId="77777777" w:rsidR="00C45519" w:rsidRPr="00C45519" w:rsidRDefault="00C45519" w:rsidP="00C45519">
            <w:pPr>
              <w:spacing w:after="0" w:line="240" w:lineRule="auto"/>
              <w:jc w:val="center"/>
              <w:rPr>
                <w:rFonts w:eastAsia="Times New Roman" w:cstheme="minorHAnsi"/>
                <w:color w:val="000000"/>
                <w:sz w:val="16"/>
                <w:szCs w:val="16"/>
                <w:lang w:eastAsia="es-CO"/>
              </w:rPr>
            </w:pPr>
            <w:r w:rsidRPr="00C45519">
              <w:rPr>
                <w:rFonts w:eastAsia="Times New Roman" w:cstheme="minorHAnsi"/>
                <w:color w:val="000000"/>
                <w:sz w:val="16"/>
                <w:szCs w:val="16"/>
                <w:lang w:eastAsia="es-CO"/>
              </w:rPr>
              <w:t>10</w:t>
            </w:r>
          </w:p>
        </w:tc>
        <w:tc>
          <w:tcPr>
            <w:tcW w:w="1282" w:type="dxa"/>
            <w:tcBorders>
              <w:top w:val="nil"/>
              <w:left w:val="nil"/>
              <w:bottom w:val="single" w:sz="4" w:space="0" w:color="auto"/>
              <w:right w:val="single" w:sz="4" w:space="0" w:color="auto"/>
            </w:tcBorders>
            <w:shd w:val="clear" w:color="auto" w:fill="auto"/>
            <w:vAlign w:val="center"/>
            <w:hideMark/>
          </w:tcPr>
          <w:p w14:paraId="0A760768" w14:textId="77777777" w:rsidR="00C45519" w:rsidRPr="00C45519" w:rsidRDefault="00C45519" w:rsidP="00C45519">
            <w:pPr>
              <w:spacing w:after="0" w:line="240" w:lineRule="auto"/>
              <w:rPr>
                <w:rFonts w:eastAsia="Times New Roman" w:cstheme="minorHAnsi"/>
                <w:color w:val="000000"/>
                <w:sz w:val="16"/>
                <w:szCs w:val="16"/>
                <w:lang w:eastAsia="es-CO"/>
              </w:rPr>
            </w:pPr>
            <w:r w:rsidRPr="00C45519">
              <w:rPr>
                <w:rFonts w:eastAsia="Times New Roman" w:cstheme="minorHAnsi"/>
                <w:color w:val="000000"/>
                <w:sz w:val="16"/>
                <w:szCs w:val="16"/>
                <w:lang w:eastAsia="es-CO"/>
              </w:rPr>
              <w:t>*CAPRECOM</w:t>
            </w:r>
            <w:r w:rsidRPr="00C45519">
              <w:rPr>
                <w:rFonts w:eastAsia="Times New Roman" w:cstheme="minorHAnsi"/>
                <w:sz w:val="16"/>
                <w:szCs w:val="16"/>
                <w:lang w:eastAsia="es-CO"/>
              </w:rPr>
              <w:t> </w:t>
            </w:r>
            <w:r w:rsidRPr="00C45519">
              <w:rPr>
                <w:rFonts w:eastAsia="Times New Roman" w:cstheme="minorHAnsi"/>
                <w:color w:val="000000"/>
                <w:sz w:val="16"/>
                <w:szCs w:val="16"/>
                <w:lang w:eastAsia="es-CO"/>
              </w:rPr>
              <w:t xml:space="preserve">EICE </w:t>
            </w:r>
          </w:p>
        </w:tc>
        <w:tc>
          <w:tcPr>
            <w:tcW w:w="1082" w:type="dxa"/>
            <w:tcBorders>
              <w:top w:val="nil"/>
              <w:left w:val="nil"/>
              <w:bottom w:val="single" w:sz="4" w:space="0" w:color="auto"/>
              <w:right w:val="single" w:sz="4" w:space="0" w:color="auto"/>
            </w:tcBorders>
            <w:shd w:val="clear" w:color="auto" w:fill="auto"/>
            <w:vAlign w:val="center"/>
            <w:hideMark/>
          </w:tcPr>
          <w:p w14:paraId="6D06D860" w14:textId="24706ABF" w:rsidR="00C45519" w:rsidRPr="00C45519" w:rsidRDefault="00C45519" w:rsidP="00C45519">
            <w:pPr>
              <w:spacing w:after="0" w:line="240" w:lineRule="auto"/>
              <w:jc w:val="right"/>
              <w:rPr>
                <w:rFonts w:eastAsia="Times New Roman" w:cstheme="minorHAnsi"/>
                <w:sz w:val="16"/>
                <w:szCs w:val="16"/>
                <w:lang w:eastAsia="es-CO"/>
              </w:rPr>
            </w:pPr>
            <w:r w:rsidRPr="00C45519">
              <w:rPr>
                <w:rFonts w:eastAsia="Times New Roman" w:cstheme="minorHAnsi"/>
                <w:sz w:val="16"/>
                <w:szCs w:val="16"/>
                <w:lang w:eastAsia="es-CO"/>
              </w:rPr>
              <w:t>7</w:t>
            </w:r>
            <w:r w:rsidR="008C7FFB">
              <w:rPr>
                <w:rFonts w:eastAsia="Times New Roman" w:cstheme="minorHAnsi"/>
                <w:sz w:val="16"/>
                <w:szCs w:val="16"/>
                <w:lang w:eastAsia="es-CO"/>
              </w:rPr>
              <w:t>.</w:t>
            </w:r>
            <w:r w:rsidRPr="00C45519">
              <w:rPr>
                <w:rFonts w:eastAsia="Times New Roman" w:cstheme="minorHAnsi"/>
                <w:sz w:val="16"/>
                <w:szCs w:val="16"/>
                <w:lang w:eastAsia="es-CO"/>
              </w:rPr>
              <w:t>696</w:t>
            </w:r>
          </w:p>
        </w:tc>
        <w:tc>
          <w:tcPr>
            <w:tcW w:w="990" w:type="dxa"/>
            <w:tcBorders>
              <w:top w:val="nil"/>
              <w:left w:val="nil"/>
              <w:bottom w:val="single" w:sz="4" w:space="0" w:color="auto"/>
              <w:right w:val="single" w:sz="4" w:space="0" w:color="auto"/>
            </w:tcBorders>
            <w:shd w:val="clear" w:color="auto" w:fill="auto"/>
            <w:vAlign w:val="center"/>
            <w:hideMark/>
          </w:tcPr>
          <w:p w14:paraId="3AA7D289"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4.919.178</w:t>
            </w:r>
          </w:p>
        </w:tc>
        <w:tc>
          <w:tcPr>
            <w:tcW w:w="1030" w:type="dxa"/>
            <w:tcBorders>
              <w:top w:val="nil"/>
              <w:left w:val="nil"/>
              <w:bottom w:val="single" w:sz="4" w:space="0" w:color="auto"/>
              <w:right w:val="single" w:sz="4" w:space="0" w:color="auto"/>
            </w:tcBorders>
            <w:shd w:val="clear" w:color="auto" w:fill="auto"/>
            <w:vAlign w:val="center"/>
            <w:hideMark/>
          </w:tcPr>
          <w:p w14:paraId="5344AEC1"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1.743.541</w:t>
            </w:r>
          </w:p>
        </w:tc>
        <w:tc>
          <w:tcPr>
            <w:tcW w:w="641" w:type="dxa"/>
            <w:tcBorders>
              <w:top w:val="nil"/>
              <w:left w:val="nil"/>
              <w:bottom w:val="single" w:sz="4" w:space="0" w:color="auto"/>
              <w:right w:val="single" w:sz="4" w:space="0" w:color="auto"/>
            </w:tcBorders>
            <w:shd w:val="clear" w:color="auto" w:fill="auto"/>
            <w:vAlign w:val="center"/>
            <w:hideMark/>
          </w:tcPr>
          <w:p w14:paraId="0CF10BEA" w14:textId="77777777" w:rsidR="00C45519" w:rsidRPr="00C45519" w:rsidRDefault="00C45519" w:rsidP="00C45519">
            <w:pPr>
              <w:spacing w:after="0" w:line="240" w:lineRule="auto"/>
              <w:jc w:val="right"/>
              <w:rPr>
                <w:rFonts w:eastAsia="Times New Roman" w:cstheme="minorHAnsi"/>
                <w:b/>
                <w:bCs/>
                <w:sz w:val="16"/>
                <w:szCs w:val="16"/>
                <w:lang w:eastAsia="es-CO"/>
              </w:rPr>
            </w:pPr>
            <w:r w:rsidRPr="00C45519">
              <w:rPr>
                <w:rFonts w:eastAsia="Times New Roman" w:cstheme="minorHAnsi"/>
                <w:b/>
                <w:bCs/>
                <w:sz w:val="16"/>
                <w:szCs w:val="16"/>
                <w:lang w:eastAsia="es-CO"/>
              </w:rPr>
              <w:t>0%</w:t>
            </w:r>
          </w:p>
        </w:tc>
        <w:tc>
          <w:tcPr>
            <w:tcW w:w="951" w:type="dxa"/>
            <w:tcBorders>
              <w:top w:val="nil"/>
              <w:left w:val="nil"/>
              <w:bottom w:val="single" w:sz="4" w:space="0" w:color="auto"/>
              <w:right w:val="single" w:sz="4" w:space="0" w:color="auto"/>
            </w:tcBorders>
            <w:shd w:val="clear" w:color="auto" w:fill="auto"/>
            <w:vAlign w:val="center"/>
            <w:hideMark/>
          </w:tcPr>
          <w:p w14:paraId="1662D5C5"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1.683.358</w:t>
            </w:r>
          </w:p>
        </w:tc>
        <w:tc>
          <w:tcPr>
            <w:tcW w:w="621" w:type="dxa"/>
            <w:tcBorders>
              <w:top w:val="nil"/>
              <w:left w:val="nil"/>
              <w:bottom w:val="single" w:sz="4" w:space="0" w:color="auto"/>
              <w:right w:val="single" w:sz="4" w:space="0" w:color="auto"/>
            </w:tcBorders>
            <w:shd w:val="clear" w:color="auto" w:fill="auto"/>
            <w:noWrap/>
            <w:vAlign w:val="bottom"/>
            <w:hideMark/>
          </w:tcPr>
          <w:p w14:paraId="68AF9E29"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97%</w:t>
            </w:r>
          </w:p>
        </w:tc>
        <w:tc>
          <w:tcPr>
            <w:tcW w:w="893" w:type="dxa"/>
            <w:tcBorders>
              <w:top w:val="nil"/>
              <w:left w:val="nil"/>
              <w:bottom w:val="single" w:sz="4" w:space="0" w:color="auto"/>
              <w:right w:val="single" w:sz="4" w:space="0" w:color="auto"/>
            </w:tcBorders>
            <w:shd w:val="clear" w:color="auto" w:fill="auto"/>
            <w:vAlign w:val="center"/>
            <w:hideMark/>
          </w:tcPr>
          <w:p w14:paraId="3453828E"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60.183</w:t>
            </w:r>
          </w:p>
        </w:tc>
        <w:tc>
          <w:tcPr>
            <w:tcW w:w="602" w:type="dxa"/>
            <w:tcBorders>
              <w:top w:val="nil"/>
              <w:left w:val="nil"/>
              <w:bottom w:val="single" w:sz="4" w:space="0" w:color="auto"/>
              <w:right w:val="single" w:sz="4" w:space="0" w:color="auto"/>
            </w:tcBorders>
            <w:shd w:val="clear" w:color="auto" w:fill="auto"/>
            <w:noWrap/>
            <w:vAlign w:val="bottom"/>
            <w:hideMark/>
          </w:tcPr>
          <w:p w14:paraId="02C45E80" w14:textId="77777777" w:rsidR="00C45519" w:rsidRPr="00C45519" w:rsidRDefault="00C45519" w:rsidP="00C45519">
            <w:pPr>
              <w:spacing w:after="0" w:line="240" w:lineRule="auto"/>
              <w:jc w:val="right"/>
              <w:rPr>
                <w:rFonts w:eastAsia="Times New Roman" w:cstheme="minorHAnsi"/>
                <w:color w:val="000000"/>
                <w:sz w:val="16"/>
                <w:szCs w:val="16"/>
                <w:lang w:eastAsia="es-CO"/>
              </w:rPr>
            </w:pPr>
            <w:r w:rsidRPr="00C45519">
              <w:rPr>
                <w:rFonts w:eastAsia="Times New Roman" w:cstheme="minorHAnsi"/>
                <w:color w:val="000000"/>
                <w:sz w:val="16"/>
                <w:szCs w:val="16"/>
                <w:lang w:eastAsia="es-CO"/>
              </w:rPr>
              <w:t>3%</w:t>
            </w:r>
          </w:p>
        </w:tc>
      </w:tr>
      <w:tr w:rsidR="00C45519" w:rsidRPr="00C45519" w14:paraId="080D277C" w14:textId="77777777" w:rsidTr="003D53F5">
        <w:trPr>
          <w:trHeight w:val="163"/>
          <w:jc w:val="center"/>
        </w:trPr>
        <w:tc>
          <w:tcPr>
            <w:tcW w:w="1654"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A19C3F9" w14:textId="77777777" w:rsidR="00C45519" w:rsidRPr="00C45519" w:rsidRDefault="00C45519" w:rsidP="00C45519">
            <w:pPr>
              <w:spacing w:after="0" w:line="240" w:lineRule="auto"/>
              <w:jc w:val="center"/>
              <w:rPr>
                <w:rFonts w:eastAsia="Times New Roman" w:cstheme="minorHAnsi"/>
                <w:b/>
                <w:bCs/>
                <w:color w:val="000000"/>
                <w:sz w:val="16"/>
                <w:szCs w:val="16"/>
                <w:lang w:eastAsia="es-CO"/>
              </w:rPr>
            </w:pPr>
            <w:r w:rsidRPr="00C45519">
              <w:rPr>
                <w:rFonts w:eastAsia="Times New Roman" w:cstheme="minorHAnsi"/>
                <w:b/>
                <w:bCs/>
                <w:color w:val="000000"/>
                <w:sz w:val="16"/>
                <w:szCs w:val="16"/>
                <w:lang w:eastAsia="es-CO"/>
              </w:rPr>
              <w:t>Total</w:t>
            </w:r>
          </w:p>
        </w:tc>
        <w:tc>
          <w:tcPr>
            <w:tcW w:w="1082" w:type="dxa"/>
            <w:tcBorders>
              <w:top w:val="nil"/>
              <w:left w:val="nil"/>
              <w:bottom w:val="single" w:sz="4" w:space="0" w:color="auto"/>
              <w:right w:val="single" w:sz="4" w:space="0" w:color="auto"/>
            </w:tcBorders>
            <w:shd w:val="clear" w:color="000000" w:fill="D9E1F2"/>
            <w:noWrap/>
            <w:vAlign w:val="bottom"/>
            <w:hideMark/>
          </w:tcPr>
          <w:p w14:paraId="49801C0C" w14:textId="77777777" w:rsidR="00C45519" w:rsidRPr="00C45519" w:rsidRDefault="00C45519" w:rsidP="00C45519">
            <w:pPr>
              <w:spacing w:after="0" w:line="240" w:lineRule="auto"/>
              <w:jc w:val="right"/>
              <w:rPr>
                <w:rFonts w:eastAsia="Times New Roman" w:cstheme="minorHAnsi"/>
                <w:b/>
                <w:bCs/>
                <w:color w:val="000000"/>
                <w:sz w:val="16"/>
                <w:szCs w:val="16"/>
                <w:lang w:eastAsia="es-CO"/>
              </w:rPr>
            </w:pPr>
            <w:r w:rsidRPr="00C45519">
              <w:rPr>
                <w:rFonts w:eastAsia="Times New Roman" w:cstheme="minorHAnsi"/>
                <w:b/>
                <w:bCs/>
                <w:color w:val="000000"/>
                <w:sz w:val="16"/>
                <w:szCs w:val="16"/>
                <w:lang w:eastAsia="es-CO"/>
              </w:rPr>
              <w:t>57.686</w:t>
            </w:r>
          </w:p>
        </w:tc>
        <w:tc>
          <w:tcPr>
            <w:tcW w:w="990" w:type="dxa"/>
            <w:tcBorders>
              <w:top w:val="nil"/>
              <w:left w:val="nil"/>
              <w:bottom w:val="single" w:sz="4" w:space="0" w:color="auto"/>
              <w:right w:val="single" w:sz="4" w:space="0" w:color="auto"/>
            </w:tcBorders>
            <w:shd w:val="clear" w:color="000000" w:fill="D9E1F2"/>
            <w:noWrap/>
            <w:vAlign w:val="bottom"/>
            <w:hideMark/>
          </w:tcPr>
          <w:p w14:paraId="52C0C41C" w14:textId="77777777" w:rsidR="00C45519" w:rsidRPr="00C45519" w:rsidRDefault="00C45519" w:rsidP="00C45519">
            <w:pPr>
              <w:spacing w:after="0" w:line="240" w:lineRule="auto"/>
              <w:jc w:val="right"/>
              <w:rPr>
                <w:rFonts w:eastAsia="Times New Roman" w:cstheme="minorHAnsi"/>
                <w:b/>
                <w:bCs/>
                <w:color w:val="000000"/>
                <w:sz w:val="16"/>
                <w:szCs w:val="16"/>
                <w:lang w:eastAsia="es-CO"/>
              </w:rPr>
            </w:pPr>
            <w:r w:rsidRPr="00C45519">
              <w:rPr>
                <w:rFonts w:eastAsia="Times New Roman" w:cstheme="minorHAnsi"/>
                <w:b/>
                <w:bCs/>
                <w:color w:val="000000"/>
                <w:sz w:val="16"/>
                <w:szCs w:val="16"/>
                <w:lang w:eastAsia="es-CO"/>
              </w:rPr>
              <w:t>25.166.735</w:t>
            </w:r>
          </w:p>
        </w:tc>
        <w:tc>
          <w:tcPr>
            <w:tcW w:w="1030" w:type="dxa"/>
            <w:tcBorders>
              <w:top w:val="nil"/>
              <w:left w:val="nil"/>
              <w:bottom w:val="single" w:sz="4" w:space="0" w:color="auto"/>
              <w:right w:val="single" w:sz="4" w:space="0" w:color="auto"/>
            </w:tcBorders>
            <w:shd w:val="clear" w:color="000000" w:fill="D9E1F2"/>
            <w:noWrap/>
            <w:vAlign w:val="bottom"/>
            <w:hideMark/>
          </w:tcPr>
          <w:p w14:paraId="48305883" w14:textId="77777777" w:rsidR="00C45519" w:rsidRPr="00C45519" w:rsidRDefault="00C45519" w:rsidP="00C45519">
            <w:pPr>
              <w:spacing w:after="0" w:line="240" w:lineRule="auto"/>
              <w:jc w:val="right"/>
              <w:rPr>
                <w:rFonts w:eastAsia="Times New Roman" w:cstheme="minorHAnsi"/>
                <w:b/>
                <w:bCs/>
                <w:color w:val="000000"/>
                <w:sz w:val="16"/>
                <w:szCs w:val="16"/>
                <w:lang w:eastAsia="es-CO"/>
              </w:rPr>
            </w:pPr>
            <w:r w:rsidRPr="00C45519">
              <w:rPr>
                <w:rFonts w:eastAsia="Times New Roman" w:cstheme="minorHAnsi"/>
                <w:b/>
                <w:bCs/>
                <w:color w:val="000000"/>
                <w:sz w:val="16"/>
                <w:szCs w:val="16"/>
                <w:lang w:eastAsia="es-CO"/>
              </w:rPr>
              <w:t>6.685.023</w:t>
            </w:r>
          </w:p>
        </w:tc>
        <w:tc>
          <w:tcPr>
            <w:tcW w:w="641" w:type="dxa"/>
            <w:tcBorders>
              <w:top w:val="nil"/>
              <w:left w:val="nil"/>
              <w:bottom w:val="single" w:sz="4" w:space="0" w:color="auto"/>
              <w:right w:val="single" w:sz="4" w:space="0" w:color="auto"/>
            </w:tcBorders>
            <w:shd w:val="clear" w:color="000000" w:fill="D9E1F2"/>
            <w:noWrap/>
            <w:vAlign w:val="bottom"/>
            <w:hideMark/>
          </w:tcPr>
          <w:p w14:paraId="01C07A7A" w14:textId="77777777" w:rsidR="00C45519" w:rsidRPr="00C45519" w:rsidRDefault="00C45519" w:rsidP="00C45519">
            <w:pPr>
              <w:spacing w:after="0" w:line="240" w:lineRule="auto"/>
              <w:jc w:val="right"/>
              <w:rPr>
                <w:rFonts w:eastAsia="Times New Roman" w:cstheme="minorHAnsi"/>
                <w:b/>
                <w:bCs/>
                <w:color w:val="000000"/>
                <w:sz w:val="16"/>
                <w:szCs w:val="16"/>
                <w:lang w:eastAsia="es-CO"/>
              </w:rPr>
            </w:pPr>
            <w:r w:rsidRPr="00C45519">
              <w:rPr>
                <w:rFonts w:eastAsia="Times New Roman" w:cstheme="minorHAnsi"/>
                <w:b/>
                <w:bCs/>
                <w:color w:val="000000"/>
                <w:sz w:val="16"/>
                <w:szCs w:val="16"/>
                <w:lang w:eastAsia="es-CO"/>
              </w:rPr>
              <w:t>27%</w:t>
            </w:r>
          </w:p>
        </w:tc>
        <w:tc>
          <w:tcPr>
            <w:tcW w:w="951" w:type="dxa"/>
            <w:tcBorders>
              <w:top w:val="nil"/>
              <w:left w:val="nil"/>
              <w:bottom w:val="single" w:sz="4" w:space="0" w:color="auto"/>
              <w:right w:val="single" w:sz="4" w:space="0" w:color="auto"/>
            </w:tcBorders>
            <w:shd w:val="clear" w:color="000000" w:fill="D9E1F2"/>
            <w:noWrap/>
            <w:vAlign w:val="bottom"/>
            <w:hideMark/>
          </w:tcPr>
          <w:p w14:paraId="5027487A" w14:textId="77777777" w:rsidR="00C45519" w:rsidRPr="00C45519" w:rsidRDefault="00C45519" w:rsidP="00C45519">
            <w:pPr>
              <w:spacing w:after="0" w:line="240" w:lineRule="auto"/>
              <w:jc w:val="right"/>
              <w:rPr>
                <w:rFonts w:eastAsia="Times New Roman" w:cstheme="minorHAnsi"/>
                <w:b/>
                <w:bCs/>
                <w:color w:val="000000"/>
                <w:sz w:val="16"/>
                <w:szCs w:val="16"/>
                <w:lang w:eastAsia="es-CO"/>
              </w:rPr>
            </w:pPr>
            <w:r w:rsidRPr="00C45519">
              <w:rPr>
                <w:rFonts w:eastAsia="Times New Roman" w:cstheme="minorHAnsi"/>
                <w:b/>
                <w:bCs/>
                <w:color w:val="000000"/>
                <w:sz w:val="16"/>
                <w:szCs w:val="16"/>
                <w:lang w:eastAsia="es-CO"/>
              </w:rPr>
              <w:t>2.351.457</w:t>
            </w:r>
          </w:p>
        </w:tc>
        <w:tc>
          <w:tcPr>
            <w:tcW w:w="621" w:type="dxa"/>
            <w:tcBorders>
              <w:top w:val="nil"/>
              <w:left w:val="nil"/>
              <w:bottom w:val="single" w:sz="4" w:space="0" w:color="auto"/>
              <w:right w:val="single" w:sz="4" w:space="0" w:color="auto"/>
            </w:tcBorders>
            <w:shd w:val="clear" w:color="000000" w:fill="D9E1F2"/>
            <w:noWrap/>
            <w:vAlign w:val="bottom"/>
            <w:hideMark/>
          </w:tcPr>
          <w:p w14:paraId="0E1445F8" w14:textId="77777777" w:rsidR="00C45519" w:rsidRPr="00C45519" w:rsidRDefault="00C45519" w:rsidP="00C45519">
            <w:pPr>
              <w:spacing w:after="0" w:line="240" w:lineRule="auto"/>
              <w:jc w:val="right"/>
              <w:rPr>
                <w:rFonts w:eastAsia="Times New Roman" w:cstheme="minorHAnsi"/>
                <w:b/>
                <w:bCs/>
                <w:color w:val="000000"/>
                <w:sz w:val="16"/>
                <w:szCs w:val="16"/>
                <w:lang w:eastAsia="es-CO"/>
              </w:rPr>
            </w:pPr>
            <w:r w:rsidRPr="00C45519">
              <w:rPr>
                <w:rFonts w:eastAsia="Times New Roman" w:cstheme="minorHAnsi"/>
                <w:b/>
                <w:bCs/>
                <w:color w:val="000000"/>
                <w:sz w:val="16"/>
                <w:szCs w:val="16"/>
                <w:lang w:eastAsia="es-CO"/>
              </w:rPr>
              <w:t>35%</w:t>
            </w:r>
          </w:p>
        </w:tc>
        <w:tc>
          <w:tcPr>
            <w:tcW w:w="893" w:type="dxa"/>
            <w:tcBorders>
              <w:top w:val="nil"/>
              <w:left w:val="nil"/>
              <w:bottom w:val="single" w:sz="4" w:space="0" w:color="auto"/>
              <w:right w:val="single" w:sz="4" w:space="0" w:color="auto"/>
            </w:tcBorders>
            <w:shd w:val="clear" w:color="000000" w:fill="D9E1F2"/>
            <w:noWrap/>
            <w:vAlign w:val="bottom"/>
            <w:hideMark/>
          </w:tcPr>
          <w:p w14:paraId="3ACCF6D0" w14:textId="77777777" w:rsidR="00C45519" w:rsidRPr="00C45519" w:rsidRDefault="00C45519" w:rsidP="00C45519">
            <w:pPr>
              <w:spacing w:after="0" w:line="240" w:lineRule="auto"/>
              <w:jc w:val="right"/>
              <w:rPr>
                <w:rFonts w:eastAsia="Times New Roman" w:cstheme="minorHAnsi"/>
                <w:b/>
                <w:bCs/>
                <w:color w:val="000000"/>
                <w:sz w:val="16"/>
                <w:szCs w:val="16"/>
                <w:lang w:eastAsia="es-CO"/>
              </w:rPr>
            </w:pPr>
            <w:r w:rsidRPr="00C45519">
              <w:rPr>
                <w:rFonts w:eastAsia="Times New Roman" w:cstheme="minorHAnsi"/>
                <w:b/>
                <w:bCs/>
                <w:color w:val="000000"/>
                <w:sz w:val="16"/>
                <w:szCs w:val="16"/>
                <w:lang w:eastAsia="es-CO"/>
              </w:rPr>
              <w:t>4.333.566</w:t>
            </w:r>
          </w:p>
        </w:tc>
        <w:tc>
          <w:tcPr>
            <w:tcW w:w="602" w:type="dxa"/>
            <w:tcBorders>
              <w:top w:val="nil"/>
              <w:left w:val="nil"/>
              <w:bottom w:val="single" w:sz="4" w:space="0" w:color="auto"/>
              <w:right w:val="single" w:sz="4" w:space="0" w:color="auto"/>
            </w:tcBorders>
            <w:shd w:val="clear" w:color="000000" w:fill="D9E1F2"/>
            <w:noWrap/>
            <w:vAlign w:val="bottom"/>
            <w:hideMark/>
          </w:tcPr>
          <w:p w14:paraId="64255A7C" w14:textId="77777777" w:rsidR="00C45519" w:rsidRPr="00C45519" w:rsidRDefault="00C45519" w:rsidP="00C45519">
            <w:pPr>
              <w:spacing w:after="0" w:line="240" w:lineRule="auto"/>
              <w:jc w:val="right"/>
              <w:rPr>
                <w:rFonts w:eastAsia="Times New Roman" w:cstheme="minorHAnsi"/>
                <w:b/>
                <w:bCs/>
                <w:color w:val="000000"/>
                <w:sz w:val="16"/>
                <w:szCs w:val="16"/>
                <w:lang w:eastAsia="es-CO"/>
              </w:rPr>
            </w:pPr>
            <w:r w:rsidRPr="00C45519">
              <w:rPr>
                <w:rFonts w:eastAsia="Times New Roman" w:cstheme="minorHAnsi"/>
                <w:b/>
                <w:bCs/>
                <w:color w:val="000000"/>
                <w:sz w:val="16"/>
                <w:szCs w:val="16"/>
                <w:lang w:eastAsia="es-CO"/>
              </w:rPr>
              <w:t>65%</w:t>
            </w:r>
          </w:p>
        </w:tc>
      </w:tr>
    </w:tbl>
    <w:p w14:paraId="7BB06AC1" w14:textId="68D8AAB7" w:rsidR="00C45519" w:rsidRPr="00C45519" w:rsidRDefault="00C45519" w:rsidP="00C45519">
      <w:pPr>
        <w:spacing w:after="0" w:line="240" w:lineRule="auto"/>
        <w:jc w:val="center"/>
        <w:rPr>
          <w:rFonts w:ascii="Arial" w:hAnsi="Arial" w:cs="Arial"/>
          <w:sz w:val="16"/>
          <w:szCs w:val="16"/>
          <w:lang w:val="es-ES" w:eastAsia="es-CO"/>
        </w:rPr>
      </w:pPr>
      <w:r w:rsidRPr="00C45519">
        <w:rPr>
          <w:rFonts w:ascii="Arial" w:hAnsi="Arial" w:cs="Arial"/>
          <w:sz w:val="16"/>
          <w:szCs w:val="16"/>
          <w:lang w:val="es-ES" w:eastAsia="es-CO"/>
        </w:rPr>
        <w:t>Fuente: Delegada de Medidas Especiales SNS</w:t>
      </w:r>
      <w:r w:rsidR="00240AA2">
        <w:rPr>
          <w:rFonts w:ascii="Arial" w:hAnsi="Arial" w:cs="Arial"/>
          <w:sz w:val="16"/>
          <w:szCs w:val="16"/>
          <w:lang w:val="es-ES" w:eastAsia="es-CO"/>
        </w:rPr>
        <w:t>.</w:t>
      </w:r>
    </w:p>
    <w:p w14:paraId="7A0D2176" w14:textId="77777777" w:rsidR="00C45519" w:rsidRDefault="00C45519" w:rsidP="00C45519">
      <w:pPr>
        <w:spacing w:after="0" w:line="240" w:lineRule="auto"/>
        <w:jc w:val="both"/>
        <w:rPr>
          <w:rFonts w:ascii="Arial" w:hAnsi="Arial" w:cs="Arial"/>
          <w:sz w:val="16"/>
          <w:szCs w:val="16"/>
          <w:lang w:val="es-ES" w:eastAsia="es-CO"/>
        </w:rPr>
      </w:pPr>
    </w:p>
    <w:p w14:paraId="39FC5C7C" w14:textId="338114F1" w:rsidR="00C45519" w:rsidRPr="00C45519" w:rsidRDefault="00C45519" w:rsidP="00C45519">
      <w:pPr>
        <w:spacing w:after="0" w:line="240" w:lineRule="auto"/>
        <w:jc w:val="both"/>
        <w:rPr>
          <w:rFonts w:ascii="Arial" w:hAnsi="Arial" w:cs="Arial"/>
          <w:sz w:val="16"/>
          <w:szCs w:val="16"/>
          <w:lang w:val="es-ES" w:eastAsia="es-CO"/>
        </w:rPr>
      </w:pPr>
      <w:r w:rsidRPr="00C45519">
        <w:rPr>
          <w:rFonts w:ascii="Arial" w:hAnsi="Arial" w:cs="Arial"/>
          <w:sz w:val="16"/>
          <w:szCs w:val="16"/>
          <w:lang w:val="es-ES" w:eastAsia="es-CO"/>
        </w:rPr>
        <w:t>Nota: * Caprecom EICE Liquidada, se constituyó patrimonio autónomo PAR Caprecom, quien gestiona actualmente pagos.</w:t>
      </w:r>
    </w:p>
    <w:p w14:paraId="2174C9F4" w14:textId="77777777" w:rsidR="00C45519" w:rsidRPr="00C45519" w:rsidRDefault="00C45519" w:rsidP="00C45519">
      <w:pPr>
        <w:spacing w:after="0" w:line="240" w:lineRule="auto"/>
        <w:jc w:val="both"/>
        <w:rPr>
          <w:rFonts w:ascii="Arial" w:hAnsi="Arial" w:cs="Arial"/>
          <w:b/>
          <w:bCs/>
          <w:lang w:val="es-ES" w:eastAsia="es-CO"/>
        </w:rPr>
      </w:pPr>
    </w:p>
    <w:p w14:paraId="1874655E" w14:textId="6F8A5FEA" w:rsidR="00C45519" w:rsidRPr="00C45519" w:rsidRDefault="00C45519" w:rsidP="00C45519">
      <w:pPr>
        <w:spacing w:after="0" w:line="240" w:lineRule="auto"/>
        <w:jc w:val="both"/>
        <w:rPr>
          <w:rFonts w:ascii="Arial" w:hAnsi="Arial" w:cs="Arial"/>
          <w:lang w:val="es-ES" w:eastAsia="es-CO"/>
        </w:rPr>
      </w:pPr>
      <w:r w:rsidRPr="00C45519">
        <w:rPr>
          <w:rFonts w:ascii="Arial" w:hAnsi="Arial" w:cs="Arial"/>
          <w:lang w:val="es-ES" w:eastAsia="es-CO"/>
        </w:rPr>
        <w:t>SaludCoop EPS en liquidación registra el mayor reconocimiento de acreencias con el 37% de estas</w:t>
      </w:r>
      <w:r w:rsidR="008C7FFB">
        <w:rPr>
          <w:rFonts w:ascii="Arial" w:hAnsi="Arial" w:cs="Arial"/>
          <w:lang w:val="es-ES" w:eastAsia="es-CO"/>
        </w:rPr>
        <w:t>, s</w:t>
      </w:r>
      <w:r w:rsidRPr="00C45519">
        <w:rPr>
          <w:rFonts w:ascii="Arial" w:hAnsi="Arial" w:cs="Arial"/>
          <w:lang w:val="es-ES" w:eastAsia="es-CO"/>
        </w:rPr>
        <w:t>eguido de Caprecom con el 27%. Frente a los pagos, Caprecom EICE revela el mejor comportamiento alcanza</w:t>
      </w:r>
      <w:r w:rsidR="008C7FFB">
        <w:rPr>
          <w:rFonts w:ascii="Arial" w:hAnsi="Arial" w:cs="Arial"/>
          <w:lang w:val="es-ES" w:eastAsia="es-CO"/>
        </w:rPr>
        <w:t>n</w:t>
      </w:r>
      <w:r w:rsidRPr="00C45519">
        <w:rPr>
          <w:rFonts w:ascii="Arial" w:hAnsi="Arial" w:cs="Arial"/>
          <w:lang w:val="es-ES" w:eastAsia="es-CO"/>
        </w:rPr>
        <w:t xml:space="preserve">do el 97% por </w:t>
      </w:r>
      <w:r w:rsidR="005601AC">
        <w:rPr>
          <w:rFonts w:ascii="Arial" w:hAnsi="Arial" w:cs="Arial"/>
          <w:lang w:val="es-ES" w:eastAsia="es-CO"/>
        </w:rPr>
        <w:t>$</w:t>
      </w:r>
      <w:r w:rsidRPr="00C45519">
        <w:rPr>
          <w:rFonts w:ascii="Arial" w:hAnsi="Arial" w:cs="Arial"/>
          <w:lang w:val="es-ES" w:eastAsia="es-CO"/>
        </w:rPr>
        <w:t xml:space="preserve">1.683.358 millones, seguido de SaludCoop </w:t>
      </w:r>
      <w:r w:rsidRPr="00C45519">
        <w:rPr>
          <w:rFonts w:ascii="Arial" w:hAnsi="Arial" w:cs="Arial"/>
          <w:lang w:val="es-ES" w:eastAsia="es-CO"/>
        </w:rPr>
        <w:lastRenderedPageBreak/>
        <w:t xml:space="preserve">EPS en liquidación con pagos por </w:t>
      </w:r>
      <w:r w:rsidR="005601AC">
        <w:rPr>
          <w:rFonts w:ascii="Arial" w:hAnsi="Arial" w:cs="Arial"/>
          <w:lang w:val="es-ES" w:eastAsia="es-CO"/>
        </w:rPr>
        <w:t>$</w:t>
      </w:r>
      <w:r w:rsidRPr="00C45519">
        <w:rPr>
          <w:rFonts w:ascii="Arial" w:hAnsi="Arial" w:cs="Arial"/>
          <w:lang w:val="es-ES" w:eastAsia="es-CO"/>
        </w:rPr>
        <w:t>646.249 millones (19%)</w:t>
      </w:r>
      <w:r w:rsidR="008C7FFB">
        <w:rPr>
          <w:rFonts w:ascii="Arial" w:hAnsi="Arial" w:cs="Arial"/>
          <w:lang w:val="es-ES" w:eastAsia="es-CO"/>
        </w:rPr>
        <w:t xml:space="preserve"> y </w:t>
      </w:r>
      <w:r w:rsidRPr="00C45519">
        <w:rPr>
          <w:rFonts w:ascii="Arial" w:hAnsi="Arial" w:cs="Arial"/>
          <w:lang w:val="es-ES" w:eastAsia="es-CO"/>
        </w:rPr>
        <w:t>Cafesalud con pagos por $8.800 millones. Las restantes EPS no registran pagos. Vale precisar que esto en razón a que aún se encuentran en proceso de determinación de obligaciones.</w:t>
      </w:r>
    </w:p>
    <w:p w14:paraId="446184D1" w14:textId="77777777" w:rsidR="00C45519" w:rsidRPr="00C45519" w:rsidRDefault="00C45519" w:rsidP="00C45519">
      <w:pPr>
        <w:spacing w:after="0" w:line="240" w:lineRule="auto"/>
        <w:jc w:val="center"/>
        <w:rPr>
          <w:rFonts w:ascii="Arial" w:hAnsi="Arial" w:cs="Arial"/>
          <w:b/>
          <w:bCs/>
          <w:lang w:val="es-ES" w:eastAsia="es-CO"/>
        </w:rPr>
      </w:pPr>
    </w:p>
    <w:p w14:paraId="30AE35A1" w14:textId="08475F93" w:rsidR="00C45519" w:rsidRPr="00C45519" w:rsidRDefault="00C45519" w:rsidP="00C45519">
      <w:pPr>
        <w:spacing w:after="0" w:line="240" w:lineRule="auto"/>
        <w:jc w:val="center"/>
        <w:rPr>
          <w:rFonts w:ascii="Arial" w:hAnsi="Arial" w:cs="Arial"/>
          <w:b/>
          <w:bCs/>
          <w:lang w:val="es-ES" w:eastAsia="es-CO"/>
        </w:rPr>
      </w:pPr>
      <w:r w:rsidRPr="00C45519">
        <w:rPr>
          <w:rFonts w:ascii="Arial" w:hAnsi="Arial" w:cs="Arial"/>
          <w:b/>
          <w:bCs/>
          <w:lang w:val="es-ES" w:eastAsia="es-CO"/>
        </w:rPr>
        <w:t>Activos de EPS en liquidación forzosa</w:t>
      </w:r>
      <w:r>
        <w:rPr>
          <w:rFonts w:ascii="Arial" w:hAnsi="Arial" w:cs="Arial"/>
          <w:b/>
          <w:bCs/>
          <w:lang w:val="es-ES" w:eastAsia="es-CO"/>
        </w:rPr>
        <w:t xml:space="preserve"> c</w:t>
      </w:r>
      <w:r w:rsidRPr="00C45519">
        <w:rPr>
          <w:rFonts w:ascii="Arial" w:hAnsi="Arial" w:cs="Arial"/>
          <w:b/>
          <w:bCs/>
          <w:lang w:val="es-ES" w:eastAsia="es-CO"/>
        </w:rPr>
        <w:t>orte junio de 2021</w:t>
      </w:r>
    </w:p>
    <w:p w14:paraId="264C3C61" w14:textId="2A8E8587" w:rsidR="00C45519" w:rsidRPr="003B7799" w:rsidRDefault="00C45519" w:rsidP="00C45519">
      <w:pPr>
        <w:spacing w:after="0" w:line="240" w:lineRule="auto"/>
        <w:jc w:val="center"/>
        <w:rPr>
          <w:rFonts w:ascii="Arial" w:hAnsi="Arial" w:cs="Arial"/>
          <w:b/>
          <w:bCs/>
          <w:sz w:val="16"/>
          <w:szCs w:val="16"/>
          <w:lang w:val="es-ES" w:eastAsia="es-CO"/>
        </w:rPr>
      </w:pPr>
      <w:r>
        <w:rPr>
          <w:rFonts w:ascii="Arial" w:hAnsi="Arial" w:cs="Arial"/>
          <w:sz w:val="16"/>
          <w:szCs w:val="16"/>
          <w:lang w:val="es-ES" w:eastAsia="es-CO"/>
        </w:rPr>
        <w:t xml:space="preserve">                                                                                                                                                        </w:t>
      </w:r>
      <w:r w:rsidR="008C7FFB">
        <w:rPr>
          <w:rFonts w:ascii="Arial" w:hAnsi="Arial" w:cs="Arial"/>
          <w:sz w:val="16"/>
          <w:szCs w:val="16"/>
          <w:lang w:val="es-ES" w:eastAsia="es-CO"/>
        </w:rPr>
        <w:t xml:space="preserve">             </w:t>
      </w:r>
      <w:r w:rsidRPr="003B7799">
        <w:rPr>
          <w:rFonts w:ascii="Arial" w:hAnsi="Arial" w:cs="Arial"/>
          <w:b/>
          <w:bCs/>
          <w:sz w:val="16"/>
          <w:szCs w:val="16"/>
          <w:lang w:val="es-ES" w:eastAsia="es-CO"/>
        </w:rPr>
        <w:t>(</w:t>
      </w:r>
      <w:r w:rsidR="008C7FFB" w:rsidRPr="003B7799">
        <w:rPr>
          <w:rFonts w:ascii="Arial" w:hAnsi="Arial" w:cs="Arial"/>
          <w:b/>
          <w:bCs/>
          <w:sz w:val="16"/>
          <w:szCs w:val="16"/>
          <w:lang w:val="es-ES" w:eastAsia="es-CO"/>
        </w:rPr>
        <w:t>M</w:t>
      </w:r>
      <w:r w:rsidRPr="003B7799">
        <w:rPr>
          <w:rFonts w:ascii="Arial" w:hAnsi="Arial" w:cs="Arial"/>
          <w:b/>
          <w:bCs/>
          <w:sz w:val="16"/>
          <w:szCs w:val="16"/>
          <w:lang w:val="es-ES" w:eastAsia="es-CO"/>
        </w:rPr>
        <w:t>illones de pesos)</w:t>
      </w:r>
    </w:p>
    <w:tbl>
      <w:tblPr>
        <w:tblW w:w="8951" w:type="dxa"/>
        <w:tblCellMar>
          <w:left w:w="70" w:type="dxa"/>
          <w:right w:w="70" w:type="dxa"/>
        </w:tblCellMar>
        <w:tblLook w:val="04A0" w:firstRow="1" w:lastRow="0" w:firstColumn="1" w:lastColumn="0" w:noHBand="0" w:noVBand="1"/>
      </w:tblPr>
      <w:tblGrid>
        <w:gridCol w:w="1409"/>
        <w:gridCol w:w="681"/>
        <w:gridCol w:w="1695"/>
        <w:gridCol w:w="951"/>
        <w:gridCol w:w="845"/>
        <w:gridCol w:w="807"/>
        <w:gridCol w:w="922"/>
        <w:gridCol w:w="842"/>
        <w:gridCol w:w="799"/>
      </w:tblGrid>
      <w:tr w:rsidR="00C45519" w:rsidRPr="00C45519" w14:paraId="58E73A60" w14:textId="77777777" w:rsidTr="00BB6EF9">
        <w:trPr>
          <w:trHeight w:val="255"/>
        </w:trPr>
        <w:tc>
          <w:tcPr>
            <w:tcW w:w="0" w:type="auto"/>
            <w:tcBorders>
              <w:top w:val="single" w:sz="8" w:space="0" w:color="auto"/>
              <w:left w:val="single" w:sz="8" w:space="0" w:color="auto"/>
              <w:bottom w:val="nil"/>
              <w:right w:val="single" w:sz="4" w:space="0" w:color="auto"/>
            </w:tcBorders>
            <w:shd w:val="clear" w:color="000000" w:fill="C6E0B4"/>
            <w:noWrap/>
            <w:vAlign w:val="bottom"/>
            <w:hideMark/>
          </w:tcPr>
          <w:p w14:paraId="55B51560" w14:textId="77777777" w:rsidR="00C45519" w:rsidRPr="00C45519" w:rsidRDefault="00C45519" w:rsidP="00C45519">
            <w:pPr>
              <w:spacing w:after="0" w:line="240" w:lineRule="auto"/>
              <w:jc w:val="center"/>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Activo</w:t>
            </w:r>
          </w:p>
        </w:tc>
        <w:tc>
          <w:tcPr>
            <w:tcW w:w="0" w:type="auto"/>
            <w:tcBorders>
              <w:top w:val="single" w:sz="8" w:space="0" w:color="auto"/>
              <w:left w:val="nil"/>
              <w:bottom w:val="nil"/>
              <w:right w:val="nil"/>
            </w:tcBorders>
            <w:shd w:val="clear" w:color="000000" w:fill="C6E0B4"/>
            <w:noWrap/>
            <w:vAlign w:val="bottom"/>
            <w:hideMark/>
          </w:tcPr>
          <w:p w14:paraId="1F01F04C" w14:textId="77777777" w:rsidR="00C45519" w:rsidRPr="00C45519" w:rsidRDefault="00C45519" w:rsidP="00C45519">
            <w:pPr>
              <w:spacing w:after="0" w:line="240" w:lineRule="auto"/>
              <w:jc w:val="center"/>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Ambuq</w:t>
            </w:r>
          </w:p>
        </w:tc>
        <w:tc>
          <w:tcPr>
            <w:tcW w:w="0" w:type="auto"/>
            <w:tcBorders>
              <w:top w:val="single" w:sz="8" w:space="0" w:color="auto"/>
              <w:left w:val="nil"/>
              <w:bottom w:val="nil"/>
              <w:right w:val="nil"/>
            </w:tcBorders>
            <w:shd w:val="clear" w:color="000000" w:fill="C6E0B4"/>
            <w:noWrap/>
            <w:vAlign w:val="bottom"/>
            <w:hideMark/>
          </w:tcPr>
          <w:p w14:paraId="286C6715" w14:textId="77777777" w:rsidR="00C45519" w:rsidRPr="00C45519" w:rsidRDefault="00C45519" w:rsidP="00C45519">
            <w:pPr>
              <w:spacing w:after="0" w:line="240" w:lineRule="auto"/>
              <w:jc w:val="center"/>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Comfamiliar Cartagena</w:t>
            </w:r>
          </w:p>
        </w:tc>
        <w:tc>
          <w:tcPr>
            <w:tcW w:w="0" w:type="auto"/>
            <w:tcBorders>
              <w:top w:val="single" w:sz="8" w:space="0" w:color="auto"/>
              <w:left w:val="nil"/>
              <w:bottom w:val="nil"/>
              <w:right w:val="nil"/>
            </w:tcBorders>
            <w:shd w:val="clear" w:color="000000" w:fill="C6E0B4"/>
            <w:noWrap/>
            <w:vAlign w:val="bottom"/>
            <w:hideMark/>
          </w:tcPr>
          <w:p w14:paraId="61BB5171" w14:textId="77777777" w:rsidR="00C45519" w:rsidRPr="00C45519" w:rsidRDefault="00C45519" w:rsidP="00C45519">
            <w:pPr>
              <w:spacing w:after="0" w:line="240" w:lineRule="auto"/>
              <w:jc w:val="center"/>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Comfacundi</w:t>
            </w:r>
          </w:p>
        </w:tc>
        <w:tc>
          <w:tcPr>
            <w:tcW w:w="0" w:type="auto"/>
            <w:tcBorders>
              <w:top w:val="single" w:sz="8" w:space="0" w:color="auto"/>
              <w:left w:val="nil"/>
              <w:bottom w:val="nil"/>
              <w:right w:val="nil"/>
            </w:tcBorders>
            <w:shd w:val="clear" w:color="000000" w:fill="C6E0B4"/>
            <w:noWrap/>
            <w:vAlign w:val="bottom"/>
            <w:hideMark/>
          </w:tcPr>
          <w:p w14:paraId="6A303A75" w14:textId="77777777" w:rsidR="00C45519" w:rsidRPr="00C45519" w:rsidRDefault="00C45519" w:rsidP="00C45519">
            <w:pPr>
              <w:spacing w:after="0" w:line="240" w:lineRule="auto"/>
              <w:jc w:val="center"/>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Saludcoop</w:t>
            </w:r>
          </w:p>
        </w:tc>
        <w:tc>
          <w:tcPr>
            <w:tcW w:w="0" w:type="auto"/>
            <w:tcBorders>
              <w:top w:val="single" w:sz="8" w:space="0" w:color="auto"/>
              <w:left w:val="nil"/>
              <w:bottom w:val="nil"/>
              <w:right w:val="nil"/>
            </w:tcBorders>
            <w:shd w:val="clear" w:color="000000" w:fill="C6E0B4"/>
            <w:noWrap/>
            <w:vAlign w:val="bottom"/>
            <w:hideMark/>
          </w:tcPr>
          <w:p w14:paraId="573F959C" w14:textId="77777777" w:rsidR="00C45519" w:rsidRPr="00C45519" w:rsidRDefault="00C45519" w:rsidP="00C45519">
            <w:pPr>
              <w:spacing w:after="0" w:line="240" w:lineRule="auto"/>
              <w:jc w:val="center"/>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Cafesalud</w:t>
            </w:r>
          </w:p>
        </w:tc>
        <w:tc>
          <w:tcPr>
            <w:tcW w:w="0" w:type="auto"/>
            <w:tcBorders>
              <w:top w:val="single" w:sz="8" w:space="0" w:color="auto"/>
              <w:left w:val="nil"/>
              <w:bottom w:val="nil"/>
              <w:right w:val="nil"/>
            </w:tcBorders>
            <w:shd w:val="clear" w:color="000000" w:fill="C6E0B4"/>
            <w:noWrap/>
            <w:vAlign w:val="bottom"/>
            <w:hideMark/>
          </w:tcPr>
          <w:p w14:paraId="3D5B6C38" w14:textId="77777777" w:rsidR="00C45519" w:rsidRPr="00C45519" w:rsidRDefault="00C45519" w:rsidP="00C45519">
            <w:pPr>
              <w:spacing w:after="0" w:line="240" w:lineRule="auto"/>
              <w:jc w:val="center"/>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Cruz Blanca</w:t>
            </w:r>
          </w:p>
        </w:tc>
        <w:tc>
          <w:tcPr>
            <w:tcW w:w="0" w:type="auto"/>
            <w:tcBorders>
              <w:top w:val="single" w:sz="8" w:space="0" w:color="auto"/>
              <w:left w:val="nil"/>
              <w:bottom w:val="nil"/>
              <w:right w:val="nil"/>
            </w:tcBorders>
            <w:shd w:val="clear" w:color="000000" w:fill="C6E0B4"/>
            <w:noWrap/>
            <w:vAlign w:val="bottom"/>
            <w:hideMark/>
          </w:tcPr>
          <w:p w14:paraId="7753856B" w14:textId="77777777" w:rsidR="00C45519" w:rsidRPr="00C45519" w:rsidRDefault="00C45519" w:rsidP="00C45519">
            <w:pPr>
              <w:spacing w:after="0" w:line="240" w:lineRule="auto"/>
              <w:jc w:val="center"/>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Emdisalud</w:t>
            </w:r>
          </w:p>
        </w:tc>
        <w:tc>
          <w:tcPr>
            <w:tcW w:w="0" w:type="auto"/>
            <w:tcBorders>
              <w:top w:val="single" w:sz="8" w:space="0" w:color="auto"/>
              <w:left w:val="nil"/>
              <w:bottom w:val="nil"/>
              <w:right w:val="single" w:sz="8" w:space="0" w:color="auto"/>
            </w:tcBorders>
            <w:shd w:val="clear" w:color="000000" w:fill="C6E0B4"/>
            <w:noWrap/>
            <w:vAlign w:val="bottom"/>
            <w:hideMark/>
          </w:tcPr>
          <w:p w14:paraId="5A325B59" w14:textId="77777777" w:rsidR="00C45519" w:rsidRPr="00C45519" w:rsidRDefault="00C45519" w:rsidP="00C45519">
            <w:pPr>
              <w:spacing w:after="0" w:line="240" w:lineRule="auto"/>
              <w:jc w:val="center"/>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Saludvida</w:t>
            </w:r>
          </w:p>
        </w:tc>
      </w:tr>
      <w:tr w:rsidR="00C45519" w:rsidRPr="00C45519" w14:paraId="328C2280" w14:textId="77777777" w:rsidTr="00BB6EF9">
        <w:trPr>
          <w:trHeight w:val="255"/>
        </w:trPr>
        <w:tc>
          <w:tcPr>
            <w:tcW w:w="0" w:type="auto"/>
            <w:tcBorders>
              <w:top w:val="nil"/>
              <w:left w:val="single" w:sz="8" w:space="0" w:color="auto"/>
              <w:bottom w:val="nil"/>
              <w:right w:val="single" w:sz="4" w:space="0" w:color="auto"/>
            </w:tcBorders>
            <w:shd w:val="clear" w:color="auto" w:fill="auto"/>
            <w:noWrap/>
            <w:vAlign w:val="bottom"/>
            <w:hideMark/>
          </w:tcPr>
          <w:p w14:paraId="39B754EF" w14:textId="77777777" w:rsidR="00C45519" w:rsidRPr="00C45519" w:rsidRDefault="00C45519" w:rsidP="00C45519">
            <w:pPr>
              <w:spacing w:after="0" w:line="240" w:lineRule="auto"/>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Disponible</w:t>
            </w:r>
          </w:p>
        </w:tc>
        <w:tc>
          <w:tcPr>
            <w:tcW w:w="0" w:type="auto"/>
            <w:tcBorders>
              <w:top w:val="nil"/>
              <w:left w:val="nil"/>
              <w:bottom w:val="nil"/>
              <w:right w:val="nil"/>
            </w:tcBorders>
            <w:shd w:val="clear" w:color="auto" w:fill="auto"/>
            <w:noWrap/>
            <w:vAlign w:val="bottom"/>
            <w:hideMark/>
          </w:tcPr>
          <w:p w14:paraId="4942296B"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13.210</w:t>
            </w:r>
          </w:p>
        </w:tc>
        <w:tc>
          <w:tcPr>
            <w:tcW w:w="0" w:type="auto"/>
            <w:tcBorders>
              <w:top w:val="nil"/>
              <w:left w:val="nil"/>
              <w:bottom w:val="nil"/>
              <w:right w:val="nil"/>
            </w:tcBorders>
            <w:shd w:val="clear" w:color="auto" w:fill="auto"/>
            <w:noWrap/>
            <w:vAlign w:val="bottom"/>
            <w:hideMark/>
          </w:tcPr>
          <w:p w14:paraId="0A3BCA7C"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4.684</w:t>
            </w:r>
          </w:p>
        </w:tc>
        <w:tc>
          <w:tcPr>
            <w:tcW w:w="0" w:type="auto"/>
            <w:tcBorders>
              <w:top w:val="nil"/>
              <w:left w:val="nil"/>
              <w:bottom w:val="nil"/>
              <w:right w:val="nil"/>
            </w:tcBorders>
            <w:shd w:val="clear" w:color="auto" w:fill="auto"/>
            <w:noWrap/>
            <w:vAlign w:val="bottom"/>
            <w:hideMark/>
          </w:tcPr>
          <w:p w14:paraId="32D3BE01"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3.352</w:t>
            </w:r>
          </w:p>
        </w:tc>
        <w:tc>
          <w:tcPr>
            <w:tcW w:w="0" w:type="auto"/>
            <w:tcBorders>
              <w:top w:val="nil"/>
              <w:left w:val="nil"/>
              <w:bottom w:val="nil"/>
              <w:right w:val="nil"/>
            </w:tcBorders>
            <w:shd w:val="clear" w:color="auto" w:fill="auto"/>
            <w:noWrap/>
            <w:vAlign w:val="bottom"/>
            <w:hideMark/>
          </w:tcPr>
          <w:p w14:paraId="002D06BB"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10.580</w:t>
            </w:r>
          </w:p>
        </w:tc>
        <w:tc>
          <w:tcPr>
            <w:tcW w:w="0" w:type="auto"/>
            <w:tcBorders>
              <w:top w:val="nil"/>
              <w:left w:val="nil"/>
              <w:bottom w:val="nil"/>
              <w:right w:val="nil"/>
            </w:tcBorders>
            <w:shd w:val="clear" w:color="auto" w:fill="auto"/>
            <w:noWrap/>
            <w:vAlign w:val="bottom"/>
            <w:hideMark/>
          </w:tcPr>
          <w:p w14:paraId="5A67E9A8"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62.205</w:t>
            </w:r>
          </w:p>
        </w:tc>
        <w:tc>
          <w:tcPr>
            <w:tcW w:w="0" w:type="auto"/>
            <w:tcBorders>
              <w:top w:val="nil"/>
              <w:left w:val="nil"/>
              <w:bottom w:val="nil"/>
              <w:right w:val="nil"/>
            </w:tcBorders>
            <w:shd w:val="clear" w:color="auto" w:fill="auto"/>
            <w:noWrap/>
            <w:vAlign w:val="bottom"/>
            <w:hideMark/>
          </w:tcPr>
          <w:p w14:paraId="5F7BB4F0"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4.156</w:t>
            </w:r>
          </w:p>
        </w:tc>
        <w:tc>
          <w:tcPr>
            <w:tcW w:w="0" w:type="auto"/>
            <w:tcBorders>
              <w:top w:val="nil"/>
              <w:left w:val="nil"/>
              <w:bottom w:val="nil"/>
              <w:right w:val="nil"/>
            </w:tcBorders>
            <w:shd w:val="clear" w:color="auto" w:fill="auto"/>
            <w:noWrap/>
            <w:vAlign w:val="bottom"/>
            <w:hideMark/>
          </w:tcPr>
          <w:p w14:paraId="27D93A6C"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6.281</w:t>
            </w:r>
          </w:p>
        </w:tc>
        <w:tc>
          <w:tcPr>
            <w:tcW w:w="0" w:type="auto"/>
            <w:tcBorders>
              <w:top w:val="nil"/>
              <w:left w:val="nil"/>
              <w:bottom w:val="nil"/>
              <w:right w:val="single" w:sz="8" w:space="0" w:color="auto"/>
            </w:tcBorders>
            <w:shd w:val="clear" w:color="auto" w:fill="auto"/>
            <w:noWrap/>
            <w:vAlign w:val="bottom"/>
            <w:hideMark/>
          </w:tcPr>
          <w:p w14:paraId="53A315E7"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4.015</w:t>
            </w:r>
          </w:p>
        </w:tc>
      </w:tr>
      <w:tr w:rsidR="00C45519" w:rsidRPr="00C45519" w14:paraId="25430E1D" w14:textId="77777777" w:rsidTr="00BB6EF9">
        <w:trPr>
          <w:trHeight w:val="255"/>
        </w:trPr>
        <w:tc>
          <w:tcPr>
            <w:tcW w:w="0" w:type="auto"/>
            <w:tcBorders>
              <w:top w:val="nil"/>
              <w:left w:val="single" w:sz="8" w:space="0" w:color="auto"/>
              <w:bottom w:val="nil"/>
              <w:right w:val="single" w:sz="4" w:space="0" w:color="auto"/>
            </w:tcBorders>
            <w:shd w:val="clear" w:color="000000" w:fill="E2EFDA"/>
            <w:noWrap/>
            <w:vAlign w:val="bottom"/>
            <w:hideMark/>
          </w:tcPr>
          <w:p w14:paraId="45144B56" w14:textId="77777777" w:rsidR="00C45519" w:rsidRPr="00C45519" w:rsidRDefault="00C45519" w:rsidP="00C45519">
            <w:pPr>
              <w:spacing w:after="0" w:line="240" w:lineRule="auto"/>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Cuentas por cobrar</w:t>
            </w:r>
          </w:p>
        </w:tc>
        <w:tc>
          <w:tcPr>
            <w:tcW w:w="0" w:type="auto"/>
            <w:tcBorders>
              <w:top w:val="nil"/>
              <w:left w:val="nil"/>
              <w:bottom w:val="nil"/>
              <w:right w:val="nil"/>
            </w:tcBorders>
            <w:shd w:val="clear" w:color="000000" w:fill="E2EFDA"/>
            <w:vAlign w:val="center"/>
            <w:hideMark/>
          </w:tcPr>
          <w:p w14:paraId="369AFCFB"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225.109</w:t>
            </w:r>
          </w:p>
        </w:tc>
        <w:tc>
          <w:tcPr>
            <w:tcW w:w="0" w:type="auto"/>
            <w:tcBorders>
              <w:top w:val="nil"/>
              <w:left w:val="nil"/>
              <w:bottom w:val="nil"/>
              <w:right w:val="nil"/>
            </w:tcBorders>
            <w:shd w:val="clear" w:color="000000" w:fill="E2EFDA"/>
            <w:vAlign w:val="bottom"/>
            <w:hideMark/>
          </w:tcPr>
          <w:p w14:paraId="72E801BF"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57.648</w:t>
            </w:r>
          </w:p>
        </w:tc>
        <w:tc>
          <w:tcPr>
            <w:tcW w:w="0" w:type="auto"/>
            <w:tcBorders>
              <w:top w:val="nil"/>
              <w:left w:val="nil"/>
              <w:bottom w:val="nil"/>
              <w:right w:val="nil"/>
            </w:tcBorders>
            <w:shd w:val="clear" w:color="000000" w:fill="E2EFDA"/>
            <w:vAlign w:val="bottom"/>
            <w:hideMark/>
          </w:tcPr>
          <w:p w14:paraId="4997F10D"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58.923</w:t>
            </w:r>
          </w:p>
        </w:tc>
        <w:tc>
          <w:tcPr>
            <w:tcW w:w="0" w:type="auto"/>
            <w:tcBorders>
              <w:top w:val="nil"/>
              <w:left w:val="nil"/>
              <w:bottom w:val="nil"/>
              <w:right w:val="nil"/>
            </w:tcBorders>
            <w:shd w:val="clear" w:color="000000" w:fill="E2EFDA"/>
            <w:vAlign w:val="center"/>
            <w:hideMark/>
          </w:tcPr>
          <w:p w14:paraId="65075284"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97.184</w:t>
            </w:r>
          </w:p>
        </w:tc>
        <w:tc>
          <w:tcPr>
            <w:tcW w:w="0" w:type="auto"/>
            <w:tcBorders>
              <w:top w:val="nil"/>
              <w:left w:val="nil"/>
              <w:bottom w:val="nil"/>
              <w:right w:val="nil"/>
            </w:tcBorders>
            <w:shd w:val="clear" w:color="000000" w:fill="E2EFDA"/>
            <w:vAlign w:val="bottom"/>
            <w:hideMark/>
          </w:tcPr>
          <w:p w14:paraId="64F58724"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1.408.315</w:t>
            </w:r>
          </w:p>
        </w:tc>
        <w:tc>
          <w:tcPr>
            <w:tcW w:w="0" w:type="auto"/>
            <w:tcBorders>
              <w:top w:val="nil"/>
              <w:left w:val="nil"/>
              <w:bottom w:val="nil"/>
              <w:right w:val="nil"/>
            </w:tcBorders>
            <w:shd w:val="clear" w:color="000000" w:fill="E2EFDA"/>
            <w:vAlign w:val="bottom"/>
            <w:hideMark/>
          </w:tcPr>
          <w:p w14:paraId="3A4E4D37"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100.517</w:t>
            </w:r>
          </w:p>
        </w:tc>
        <w:tc>
          <w:tcPr>
            <w:tcW w:w="0" w:type="auto"/>
            <w:tcBorders>
              <w:top w:val="nil"/>
              <w:left w:val="nil"/>
              <w:bottom w:val="nil"/>
              <w:right w:val="nil"/>
            </w:tcBorders>
            <w:shd w:val="clear" w:color="000000" w:fill="E2EFDA"/>
            <w:vAlign w:val="bottom"/>
            <w:hideMark/>
          </w:tcPr>
          <w:p w14:paraId="68F5085A"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119.453</w:t>
            </w:r>
          </w:p>
        </w:tc>
        <w:tc>
          <w:tcPr>
            <w:tcW w:w="0" w:type="auto"/>
            <w:tcBorders>
              <w:top w:val="nil"/>
              <w:left w:val="nil"/>
              <w:bottom w:val="nil"/>
              <w:right w:val="single" w:sz="8" w:space="0" w:color="auto"/>
            </w:tcBorders>
            <w:shd w:val="clear" w:color="000000" w:fill="E2EFDA"/>
            <w:vAlign w:val="bottom"/>
            <w:hideMark/>
          </w:tcPr>
          <w:p w14:paraId="1B4E4894"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376.382</w:t>
            </w:r>
          </w:p>
        </w:tc>
      </w:tr>
      <w:tr w:rsidR="00C45519" w:rsidRPr="00C45519" w14:paraId="105A2913" w14:textId="77777777" w:rsidTr="00BB6EF9">
        <w:trPr>
          <w:trHeight w:val="255"/>
        </w:trPr>
        <w:tc>
          <w:tcPr>
            <w:tcW w:w="0" w:type="auto"/>
            <w:tcBorders>
              <w:top w:val="nil"/>
              <w:left w:val="single" w:sz="8" w:space="0" w:color="auto"/>
              <w:bottom w:val="nil"/>
              <w:right w:val="single" w:sz="4" w:space="0" w:color="auto"/>
            </w:tcBorders>
            <w:shd w:val="clear" w:color="auto" w:fill="auto"/>
            <w:noWrap/>
            <w:vAlign w:val="bottom"/>
            <w:hideMark/>
          </w:tcPr>
          <w:p w14:paraId="188138CB" w14:textId="77777777" w:rsidR="00C45519" w:rsidRPr="00C45519" w:rsidRDefault="00C45519" w:rsidP="00C45519">
            <w:pPr>
              <w:spacing w:after="0" w:line="240" w:lineRule="auto"/>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Inversiones</w:t>
            </w:r>
          </w:p>
        </w:tc>
        <w:tc>
          <w:tcPr>
            <w:tcW w:w="0" w:type="auto"/>
            <w:tcBorders>
              <w:top w:val="nil"/>
              <w:left w:val="nil"/>
              <w:bottom w:val="nil"/>
              <w:right w:val="nil"/>
            </w:tcBorders>
            <w:shd w:val="clear" w:color="auto" w:fill="auto"/>
            <w:vAlign w:val="center"/>
            <w:hideMark/>
          </w:tcPr>
          <w:p w14:paraId="306C7773"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0</w:t>
            </w:r>
          </w:p>
        </w:tc>
        <w:tc>
          <w:tcPr>
            <w:tcW w:w="0" w:type="auto"/>
            <w:tcBorders>
              <w:top w:val="nil"/>
              <w:left w:val="nil"/>
              <w:bottom w:val="nil"/>
              <w:right w:val="nil"/>
            </w:tcBorders>
            <w:shd w:val="clear" w:color="auto" w:fill="auto"/>
            <w:vAlign w:val="bottom"/>
            <w:hideMark/>
          </w:tcPr>
          <w:p w14:paraId="4C2F36FE"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101</w:t>
            </w:r>
          </w:p>
        </w:tc>
        <w:tc>
          <w:tcPr>
            <w:tcW w:w="0" w:type="auto"/>
            <w:tcBorders>
              <w:top w:val="nil"/>
              <w:left w:val="nil"/>
              <w:bottom w:val="nil"/>
              <w:right w:val="nil"/>
            </w:tcBorders>
            <w:shd w:val="clear" w:color="auto" w:fill="auto"/>
            <w:vAlign w:val="bottom"/>
            <w:hideMark/>
          </w:tcPr>
          <w:p w14:paraId="4A5D7B4D"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16.602</w:t>
            </w:r>
          </w:p>
        </w:tc>
        <w:tc>
          <w:tcPr>
            <w:tcW w:w="0" w:type="auto"/>
            <w:tcBorders>
              <w:top w:val="nil"/>
              <w:left w:val="nil"/>
              <w:bottom w:val="nil"/>
              <w:right w:val="nil"/>
            </w:tcBorders>
            <w:shd w:val="clear" w:color="auto" w:fill="auto"/>
            <w:vAlign w:val="center"/>
            <w:hideMark/>
          </w:tcPr>
          <w:p w14:paraId="7F500851"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47.276</w:t>
            </w:r>
          </w:p>
        </w:tc>
        <w:tc>
          <w:tcPr>
            <w:tcW w:w="0" w:type="auto"/>
            <w:tcBorders>
              <w:top w:val="nil"/>
              <w:left w:val="nil"/>
              <w:bottom w:val="nil"/>
              <w:right w:val="nil"/>
            </w:tcBorders>
            <w:shd w:val="clear" w:color="auto" w:fill="auto"/>
            <w:vAlign w:val="bottom"/>
            <w:hideMark/>
          </w:tcPr>
          <w:p w14:paraId="3C5C1957"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407</w:t>
            </w:r>
          </w:p>
        </w:tc>
        <w:tc>
          <w:tcPr>
            <w:tcW w:w="0" w:type="auto"/>
            <w:tcBorders>
              <w:top w:val="nil"/>
              <w:left w:val="nil"/>
              <w:bottom w:val="nil"/>
              <w:right w:val="nil"/>
            </w:tcBorders>
            <w:shd w:val="clear" w:color="auto" w:fill="auto"/>
            <w:vAlign w:val="bottom"/>
            <w:hideMark/>
          </w:tcPr>
          <w:p w14:paraId="3444F9A5"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0</w:t>
            </w:r>
          </w:p>
        </w:tc>
        <w:tc>
          <w:tcPr>
            <w:tcW w:w="0" w:type="auto"/>
            <w:tcBorders>
              <w:top w:val="nil"/>
              <w:left w:val="nil"/>
              <w:bottom w:val="nil"/>
              <w:right w:val="nil"/>
            </w:tcBorders>
            <w:shd w:val="clear" w:color="auto" w:fill="auto"/>
            <w:vAlign w:val="bottom"/>
            <w:hideMark/>
          </w:tcPr>
          <w:p w14:paraId="5529FD04"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0</w:t>
            </w:r>
          </w:p>
        </w:tc>
        <w:tc>
          <w:tcPr>
            <w:tcW w:w="0" w:type="auto"/>
            <w:tcBorders>
              <w:top w:val="nil"/>
              <w:left w:val="nil"/>
              <w:bottom w:val="nil"/>
              <w:right w:val="single" w:sz="8" w:space="0" w:color="auto"/>
            </w:tcBorders>
            <w:shd w:val="clear" w:color="auto" w:fill="auto"/>
            <w:vAlign w:val="bottom"/>
            <w:hideMark/>
          </w:tcPr>
          <w:p w14:paraId="46DC66A2"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1.808</w:t>
            </w:r>
          </w:p>
        </w:tc>
      </w:tr>
      <w:tr w:rsidR="00C45519" w:rsidRPr="00C45519" w14:paraId="16EB40B6" w14:textId="77777777" w:rsidTr="00BB6EF9">
        <w:trPr>
          <w:trHeight w:val="255"/>
        </w:trPr>
        <w:tc>
          <w:tcPr>
            <w:tcW w:w="0" w:type="auto"/>
            <w:tcBorders>
              <w:top w:val="nil"/>
              <w:left w:val="single" w:sz="8" w:space="0" w:color="auto"/>
              <w:bottom w:val="nil"/>
              <w:right w:val="single" w:sz="4" w:space="0" w:color="auto"/>
            </w:tcBorders>
            <w:shd w:val="clear" w:color="000000" w:fill="E2EFDA"/>
            <w:noWrap/>
            <w:vAlign w:val="bottom"/>
            <w:hideMark/>
          </w:tcPr>
          <w:p w14:paraId="6DE677AB" w14:textId="77777777" w:rsidR="00C45519" w:rsidRPr="00C45519" w:rsidRDefault="00C45519" w:rsidP="00C45519">
            <w:pPr>
              <w:spacing w:after="0" w:line="240" w:lineRule="auto"/>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Bienes muebles</w:t>
            </w:r>
          </w:p>
        </w:tc>
        <w:tc>
          <w:tcPr>
            <w:tcW w:w="0" w:type="auto"/>
            <w:tcBorders>
              <w:top w:val="nil"/>
              <w:left w:val="nil"/>
              <w:bottom w:val="nil"/>
              <w:right w:val="nil"/>
            </w:tcBorders>
            <w:shd w:val="clear" w:color="000000" w:fill="E2EFDA"/>
            <w:vAlign w:val="center"/>
            <w:hideMark/>
          </w:tcPr>
          <w:p w14:paraId="3D89DD0C"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5.798</w:t>
            </w:r>
          </w:p>
        </w:tc>
        <w:tc>
          <w:tcPr>
            <w:tcW w:w="0" w:type="auto"/>
            <w:tcBorders>
              <w:top w:val="nil"/>
              <w:left w:val="nil"/>
              <w:bottom w:val="nil"/>
              <w:right w:val="nil"/>
            </w:tcBorders>
            <w:shd w:val="clear" w:color="000000" w:fill="E2EFDA"/>
            <w:vAlign w:val="bottom"/>
            <w:hideMark/>
          </w:tcPr>
          <w:p w14:paraId="6CF1EDFF"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107</w:t>
            </w:r>
          </w:p>
        </w:tc>
        <w:tc>
          <w:tcPr>
            <w:tcW w:w="0" w:type="auto"/>
            <w:tcBorders>
              <w:top w:val="nil"/>
              <w:left w:val="nil"/>
              <w:bottom w:val="nil"/>
              <w:right w:val="nil"/>
            </w:tcBorders>
            <w:shd w:val="clear" w:color="000000" w:fill="E2EFDA"/>
            <w:vAlign w:val="center"/>
            <w:hideMark/>
          </w:tcPr>
          <w:p w14:paraId="18444B45"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2.620</w:t>
            </w:r>
          </w:p>
        </w:tc>
        <w:tc>
          <w:tcPr>
            <w:tcW w:w="0" w:type="auto"/>
            <w:tcBorders>
              <w:top w:val="nil"/>
              <w:left w:val="nil"/>
              <w:bottom w:val="nil"/>
              <w:right w:val="nil"/>
            </w:tcBorders>
            <w:shd w:val="clear" w:color="000000" w:fill="E2EFDA"/>
            <w:vAlign w:val="bottom"/>
            <w:hideMark/>
          </w:tcPr>
          <w:p w14:paraId="0F0864D2"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32</w:t>
            </w:r>
          </w:p>
        </w:tc>
        <w:tc>
          <w:tcPr>
            <w:tcW w:w="0" w:type="auto"/>
            <w:tcBorders>
              <w:top w:val="nil"/>
              <w:left w:val="nil"/>
              <w:bottom w:val="nil"/>
              <w:right w:val="nil"/>
            </w:tcBorders>
            <w:shd w:val="clear" w:color="000000" w:fill="E2EFDA"/>
            <w:vAlign w:val="bottom"/>
            <w:hideMark/>
          </w:tcPr>
          <w:p w14:paraId="50107C18"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98</w:t>
            </w:r>
          </w:p>
        </w:tc>
        <w:tc>
          <w:tcPr>
            <w:tcW w:w="0" w:type="auto"/>
            <w:tcBorders>
              <w:top w:val="nil"/>
              <w:left w:val="nil"/>
              <w:bottom w:val="nil"/>
              <w:right w:val="nil"/>
            </w:tcBorders>
            <w:shd w:val="clear" w:color="000000" w:fill="E2EFDA"/>
            <w:vAlign w:val="bottom"/>
            <w:hideMark/>
          </w:tcPr>
          <w:p w14:paraId="23757A37"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74</w:t>
            </w:r>
          </w:p>
        </w:tc>
        <w:tc>
          <w:tcPr>
            <w:tcW w:w="0" w:type="auto"/>
            <w:tcBorders>
              <w:top w:val="nil"/>
              <w:left w:val="nil"/>
              <w:bottom w:val="nil"/>
              <w:right w:val="nil"/>
            </w:tcBorders>
            <w:shd w:val="clear" w:color="000000" w:fill="E2EFDA"/>
            <w:vAlign w:val="bottom"/>
            <w:hideMark/>
          </w:tcPr>
          <w:p w14:paraId="6CDE4D1F"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207</w:t>
            </w:r>
          </w:p>
        </w:tc>
        <w:tc>
          <w:tcPr>
            <w:tcW w:w="0" w:type="auto"/>
            <w:tcBorders>
              <w:top w:val="nil"/>
              <w:left w:val="nil"/>
              <w:bottom w:val="nil"/>
              <w:right w:val="single" w:sz="8" w:space="0" w:color="auto"/>
            </w:tcBorders>
            <w:shd w:val="clear" w:color="000000" w:fill="E2EFDA"/>
            <w:vAlign w:val="bottom"/>
            <w:hideMark/>
          </w:tcPr>
          <w:p w14:paraId="2741807F"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1.384</w:t>
            </w:r>
          </w:p>
        </w:tc>
      </w:tr>
      <w:tr w:rsidR="00C45519" w:rsidRPr="00C45519" w14:paraId="658F4CF5" w14:textId="77777777" w:rsidTr="00BB6EF9">
        <w:trPr>
          <w:trHeight w:val="255"/>
        </w:trPr>
        <w:tc>
          <w:tcPr>
            <w:tcW w:w="0" w:type="auto"/>
            <w:tcBorders>
              <w:top w:val="nil"/>
              <w:left w:val="single" w:sz="8" w:space="0" w:color="auto"/>
              <w:bottom w:val="nil"/>
              <w:right w:val="single" w:sz="4" w:space="0" w:color="auto"/>
            </w:tcBorders>
            <w:shd w:val="clear" w:color="auto" w:fill="auto"/>
            <w:noWrap/>
            <w:vAlign w:val="bottom"/>
            <w:hideMark/>
          </w:tcPr>
          <w:p w14:paraId="5A1E3EE9" w14:textId="77777777" w:rsidR="00C45519" w:rsidRPr="00C45519" w:rsidRDefault="00C45519" w:rsidP="00C45519">
            <w:pPr>
              <w:spacing w:after="0" w:line="240" w:lineRule="auto"/>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Bienes inmuebles</w:t>
            </w:r>
          </w:p>
        </w:tc>
        <w:tc>
          <w:tcPr>
            <w:tcW w:w="0" w:type="auto"/>
            <w:tcBorders>
              <w:top w:val="nil"/>
              <w:left w:val="nil"/>
              <w:bottom w:val="nil"/>
              <w:right w:val="nil"/>
            </w:tcBorders>
            <w:shd w:val="clear" w:color="auto" w:fill="auto"/>
            <w:vAlign w:val="center"/>
            <w:hideMark/>
          </w:tcPr>
          <w:p w14:paraId="556064B5"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18</w:t>
            </w:r>
          </w:p>
        </w:tc>
        <w:tc>
          <w:tcPr>
            <w:tcW w:w="0" w:type="auto"/>
            <w:tcBorders>
              <w:top w:val="nil"/>
              <w:left w:val="nil"/>
              <w:bottom w:val="nil"/>
              <w:right w:val="nil"/>
            </w:tcBorders>
            <w:shd w:val="clear" w:color="auto" w:fill="auto"/>
            <w:vAlign w:val="bottom"/>
            <w:hideMark/>
          </w:tcPr>
          <w:p w14:paraId="6E045B74"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0</w:t>
            </w:r>
          </w:p>
        </w:tc>
        <w:tc>
          <w:tcPr>
            <w:tcW w:w="0" w:type="auto"/>
            <w:tcBorders>
              <w:top w:val="nil"/>
              <w:left w:val="nil"/>
              <w:bottom w:val="nil"/>
              <w:right w:val="nil"/>
            </w:tcBorders>
            <w:shd w:val="clear" w:color="auto" w:fill="auto"/>
            <w:vAlign w:val="bottom"/>
            <w:hideMark/>
          </w:tcPr>
          <w:p w14:paraId="383559F7"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0</w:t>
            </w:r>
          </w:p>
        </w:tc>
        <w:tc>
          <w:tcPr>
            <w:tcW w:w="0" w:type="auto"/>
            <w:tcBorders>
              <w:top w:val="nil"/>
              <w:left w:val="nil"/>
              <w:bottom w:val="nil"/>
              <w:right w:val="nil"/>
            </w:tcBorders>
            <w:shd w:val="clear" w:color="auto" w:fill="auto"/>
            <w:vAlign w:val="center"/>
            <w:hideMark/>
          </w:tcPr>
          <w:p w14:paraId="71C93710"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325.415</w:t>
            </w:r>
          </w:p>
        </w:tc>
        <w:tc>
          <w:tcPr>
            <w:tcW w:w="0" w:type="auto"/>
            <w:tcBorders>
              <w:top w:val="nil"/>
              <w:left w:val="nil"/>
              <w:bottom w:val="nil"/>
              <w:right w:val="nil"/>
            </w:tcBorders>
            <w:shd w:val="clear" w:color="auto" w:fill="auto"/>
            <w:vAlign w:val="bottom"/>
            <w:hideMark/>
          </w:tcPr>
          <w:p w14:paraId="4F5254F3"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2.180</w:t>
            </w:r>
          </w:p>
        </w:tc>
        <w:tc>
          <w:tcPr>
            <w:tcW w:w="0" w:type="auto"/>
            <w:tcBorders>
              <w:top w:val="nil"/>
              <w:left w:val="nil"/>
              <w:bottom w:val="nil"/>
              <w:right w:val="nil"/>
            </w:tcBorders>
            <w:shd w:val="clear" w:color="auto" w:fill="auto"/>
            <w:vAlign w:val="bottom"/>
            <w:hideMark/>
          </w:tcPr>
          <w:p w14:paraId="2491DD19"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621</w:t>
            </w:r>
          </w:p>
        </w:tc>
        <w:tc>
          <w:tcPr>
            <w:tcW w:w="0" w:type="auto"/>
            <w:tcBorders>
              <w:top w:val="nil"/>
              <w:left w:val="nil"/>
              <w:bottom w:val="nil"/>
              <w:right w:val="nil"/>
            </w:tcBorders>
            <w:shd w:val="clear" w:color="auto" w:fill="auto"/>
            <w:vAlign w:val="bottom"/>
            <w:hideMark/>
          </w:tcPr>
          <w:p w14:paraId="0ADBD45D"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7.412</w:t>
            </w:r>
          </w:p>
        </w:tc>
        <w:tc>
          <w:tcPr>
            <w:tcW w:w="0" w:type="auto"/>
            <w:tcBorders>
              <w:top w:val="nil"/>
              <w:left w:val="nil"/>
              <w:bottom w:val="nil"/>
              <w:right w:val="single" w:sz="8" w:space="0" w:color="auto"/>
            </w:tcBorders>
            <w:shd w:val="clear" w:color="auto" w:fill="auto"/>
            <w:vAlign w:val="bottom"/>
            <w:hideMark/>
          </w:tcPr>
          <w:p w14:paraId="2E6EA3D1"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28.903</w:t>
            </w:r>
          </w:p>
        </w:tc>
      </w:tr>
      <w:tr w:rsidR="00C45519" w:rsidRPr="00C45519" w14:paraId="5034AC70" w14:textId="77777777" w:rsidTr="00BB6EF9">
        <w:trPr>
          <w:trHeight w:val="255"/>
        </w:trPr>
        <w:tc>
          <w:tcPr>
            <w:tcW w:w="0" w:type="auto"/>
            <w:tcBorders>
              <w:top w:val="nil"/>
              <w:left w:val="single" w:sz="8" w:space="0" w:color="auto"/>
              <w:bottom w:val="nil"/>
              <w:right w:val="single" w:sz="4" w:space="0" w:color="auto"/>
            </w:tcBorders>
            <w:shd w:val="clear" w:color="000000" w:fill="E2EFDA"/>
            <w:noWrap/>
            <w:vAlign w:val="bottom"/>
            <w:hideMark/>
          </w:tcPr>
          <w:p w14:paraId="45885082" w14:textId="5A9CAF1C" w:rsidR="00C45519" w:rsidRPr="00C45519" w:rsidRDefault="0016098E" w:rsidP="00C45519">
            <w:pPr>
              <w:spacing w:after="0" w:line="240" w:lineRule="auto"/>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Títulos</w:t>
            </w:r>
            <w:r w:rsidR="00C45519" w:rsidRPr="00C45519">
              <w:rPr>
                <w:rFonts w:ascii="Calibri" w:eastAsia="Times New Roman" w:hAnsi="Calibri" w:cs="Calibri"/>
                <w:sz w:val="16"/>
                <w:szCs w:val="16"/>
                <w:lang w:eastAsia="es-CO"/>
              </w:rPr>
              <w:t xml:space="preserve"> judiciales</w:t>
            </w:r>
          </w:p>
        </w:tc>
        <w:tc>
          <w:tcPr>
            <w:tcW w:w="0" w:type="auto"/>
            <w:tcBorders>
              <w:top w:val="nil"/>
              <w:left w:val="nil"/>
              <w:bottom w:val="nil"/>
              <w:right w:val="nil"/>
            </w:tcBorders>
            <w:shd w:val="clear" w:color="000000" w:fill="E2EFDA"/>
            <w:vAlign w:val="center"/>
            <w:hideMark/>
          </w:tcPr>
          <w:p w14:paraId="19856E96"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0</w:t>
            </w:r>
          </w:p>
        </w:tc>
        <w:tc>
          <w:tcPr>
            <w:tcW w:w="0" w:type="auto"/>
            <w:tcBorders>
              <w:top w:val="nil"/>
              <w:left w:val="nil"/>
              <w:bottom w:val="nil"/>
              <w:right w:val="nil"/>
            </w:tcBorders>
            <w:shd w:val="clear" w:color="000000" w:fill="E2EFDA"/>
            <w:vAlign w:val="bottom"/>
            <w:hideMark/>
          </w:tcPr>
          <w:p w14:paraId="2EF01E6D"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0</w:t>
            </w:r>
          </w:p>
        </w:tc>
        <w:tc>
          <w:tcPr>
            <w:tcW w:w="0" w:type="auto"/>
            <w:tcBorders>
              <w:top w:val="nil"/>
              <w:left w:val="nil"/>
              <w:bottom w:val="nil"/>
              <w:right w:val="nil"/>
            </w:tcBorders>
            <w:shd w:val="clear" w:color="000000" w:fill="E2EFDA"/>
            <w:vAlign w:val="bottom"/>
            <w:hideMark/>
          </w:tcPr>
          <w:p w14:paraId="4CCBFC56"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483</w:t>
            </w:r>
          </w:p>
        </w:tc>
        <w:tc>
          <w:tcPr>
            <w:tcW w:w="0" w:type="auto"/>
            <w:tcBorders>
              <w:top w:val="nil"/>
              <w:left w:val="nil"/>
              <w:bottom w:val="nil"/>
              <w:right w:val="nil"/>
            </w:tcBorders>
            <w:shd w:val="clear" w:color="000000" w:fill="E2EFDA"/>
            <w:vAlign w:val="center"/>
            <w:hideMark/>
          </w:tcPr>
          <w:p w14:paraId="489C46AF"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0</w:t>
            </w:r>
          </w:p>
        </w:tc>
        <w:tc>
          <w:tcPr>
            <w:tcW w:w="0" w:type="auto"/>
            <w:tcBorders>
              <w:top w:val="nil"/>
              <w:left w:val="nil"/>
              <w:bottom w:val="nil"/>
              <w:right w:val="nil"/>
            </w:tcBorders>
            <w:shd w:val="clear" w:color="000000" w:fill="E2EFDA"/>
            <w:vAlign w:val="bottom"/>
            <w:hideMark/>
          </w:tcPr>
          <w:p w14:paraId="2E508071"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0</w:t>
            </w:r>
          </w:p>
        </w:tc>
        <w:tc>
          <w:tcPr>
            <w:tcW w:w="0" w:type="auto"/>
            <w:tcBorders>
              <w:top w:val="nil"/>
              <w:left w:val="nil"/>
              <w:bottom w:val="nil"/>
              <w:right w:val="nil"/>
            </w:tcBorders>
            <w:shd w:val="clear" w:color="000000" w:fill="E2EFDA"/>
            <w:vAlign w:val="bottom"/>
            <w:hideMark/>
          </w:tcPr>
          <w:p w14:paraId="615C32DC"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0</w:t>
            </w:r>
          </w:p>
        </w:tc>
        <w:tc>
          <w:tcPr>
            <w:tcW w:w="0" w:type="auto"/>
            <w:tcBorders>
              <w:top w:val="nil"/>
              <w:left w:val="nil"/>
              <w:bottom w:val="nil"/>
              <w:right w:val="nil"/>
            </w:tcBorders>
            <w:shd w:val="clear" w:color="000000" w:fill="E2EFDA"/>
            <w:vAlign w:val="bottom"/>
            <w:hideMark/>
          </w:tcPr>
          <w:p w14:paraId="29180A86"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0</w:t>
            </w:r>
          </w:p>
        </w:tc>
        <w:tc>
          <w:tcPr>
            <w:tcW w:w="0" w:type="auto"/>
            <w:tcBorders>
              <w:top w:val="nil"/>
              <w:left w:val="nil"/>
              <w:bottom w:val="nil"/>
              <w:right w:val="single" w:sz="8" w:space="0" w:color="auto"/>
            </w:tcBorders>
            <w:shd w:val="clear" w:color="000000" w:fill="E2EFDA"/>
            <w:vAlign w:val="bottom"/>
            <w:hideMark/>
          </w:tcPr>
          <w:p w14:paraId="1A58800A" w14:textId="77777777" w:rsidR="00C45519" w:rsidRPr="00C45519" w:rsidRDefault="00C45519" w:rsidP="00C45519">
            <w:pPr>
              <w:spacing w:after="0" w:line="240" w:lineRule="auto"/>
              <w:jc w:val="right"/>
              <w:rPr>
                <w:rFonts w:ascii="Calibri" w:eastAsia="Times New Roman" w:hAnsi="Calibri" w:cs="Calibri"/>
                <w:sz w:val="16"/>
                <w:szCs w:val="16"/>
                <w:lang w:eastAsia="es-CO"/>
              </w:rPr>
            </w:pPr>
            <w:r w:rsidRPr="00C45519">
              <w:rPr>
                <w:rFonts w:ascii="Calibri" w:eastAsia="Times New Roman" w:hAnsi="Calibri" w:cs="Calibri"/>
                <w:sz w:val="16"/>
                <w:szCs w:val="16"/>
                <w:lang w:eastAsia="es-CO"/>
              </w:rPr>
              <w:t>0</w:t>
            </w:r>
          </w:p>
        </w:tc>
      </w:tr>
      <w:tr w:rsidR="00C45519" w:rsidRPr="00C45519" w14:paraId="040A63C7" w14:textId="77777777" w:rsidTr="00BB6EF9">
        <w:trPr>
          <w:trHeight w:val="255"/>
        </w:trPr>
        <w:tc>
          <w:tcPr>
            <w:tcW w:w="0" w:type="auto"/>
            <w:tcBorders>
              <w:top w:val="nil"/>
              <w:left w:val="single" w:sz="8" w:space="0" w:color="auto"/>
              <w:bottom w:val="nil"/>
              <w:right w:val="single" w:sz="4" w:space="0" w:color="auto"/>
            </w:tcBorders>
            <w:shd w:val="clear" w:color="auto" w:fill="auto"/>
            <w:noWrap/>
            <w:vAlign w:val="bottom"/>
            <w:hideMark/>
          </w:tcPr>
          <w:p w14:paraId="0FC8365B" w14:textId="77777777" w:rsidR="00C45519" w:rsidRPr="00C45519" w:rsidRDefault="00C45519" w:rsidP="00C45519">
            <w:pPr>
              <w:spacing w:after="0" w:line="240" w:lineRule="auto"/>
              <w:jc w:val="center"/>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Total</w:t>
            </w:r>
          </w:p>
        </w:tc>
        <w:tc>
          <w:tcPr>
            <w:tcW w:w="0" w:type="auto"/>
            <w:tcBorders>
              <w:top w:val="nil"/>
              <w:left w:val="nil"/>
              <w:bottom w:val="nil"/>
              <w:right w:val="nil"/>
            </w:tcBorders>
            <w:shd w:val="clear" w:color="auto" w:fill="auto"/>
            <w:vAlign w:val="bottom"/>
            <w:hideMark/>
          </w:tcPr>
          <w:p w14:paraId="0EDA0998" w14:textId="77777777" w:rsidR="00C45519" w:rsidRPr="00C45519" w:rsidRDefault="00C45519" w:rsidP="00C45519">
            <w:pPr>
              <w:spacing w:after="0" w:line="240" w:lineRule="auto"/>
              <w:jc w:val="right"/>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230.925</w:t>
            </w:r>
          </w:p>
        </w:tc>
        <w:tc>
          <w:tcPr>
            <w:tcW w:w="0" w:type="auto"/>
            <w:tcBorders>
              <w:top w:val="nil"/>
              <w:left w:val="nil"/>
              <w:bottom w:val="nil"/>
              <w:right w:val="nil"/>
            </w:tcBorders>
            <w:shd w:val="clear" w:color="auto" w:fill="auto"/>
            <w:vAlign w:val="bottom"/>
            <w:hideMark/>
          </w:tcPr>
          <w:p w14:paraId="5DAEB919" w14:textId="77777777" w:rsidR="00C45519" w:rsidRPr="00C45519" w:rsidRDefault="00C45519" w:rsidP="00C45519">
            <w:pPr>
              <w:spacing w:after="0" w:line="240" w:lineRule="auto"/>
              <w:jc w:val="right"/>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57.856</w:t>
            </w:r>
          </w:p>
        </w:tc>
        <w:tc>
          <w:tcPr>
            <w:tcW w:w="0" w:type="auto"/>
            <w:tcBorders>
              <w:top w:val="nil"/>
              <w:left w:val="nil"/>
              <w:bottom w:val="nil"/>
              <w:right w:val="nil"/>
            </w:tcBorders>
            <w:shd w:val="clear" w:color="auto" w:fill="auto"/>
            <w:vAlign w:val="bottom"/>
            <w:hideMark/>
          </w:tcPr>
          <w:p w14:paraId="12FFECB8" w14:textId="77777777" w:rsidR="00C45519" w:rsidRPr="00C45519" w:rsidRDefault="00C45519" w:rsidP="00C45519">
            <w:pPr>
              <w:spacing w:after="0" w:line="240" w:lineRule="auto"/>
              <w:jc w:val="right"/>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78.145</w:t>
            </w:r>
          </w:p>
        </w:tc>
        <w:tc>
          <w:tcPr>
            <w:tcW w:w="0" w:type="auto"/>
            <w:tcBorders>
              <w:top w:val="nil"/>
              <w:left w:val="nil"/>
              <w:bottom w:val="nil"/>
              <w:right w:val="nil"/>
            </w:tcBorders>
            <w:shd w:val="clear" w:color="auto" w:fill="auto"/>
            <w:vAlign w:val="bottom"/>
            <w:hideMark/>
          </w:tcPr>
          <w:p w14:paraId="7F291340" w14:textId="77777777" w:rsidR="00C45519" w:rsidRPr="00C45519" w:rsidRDefault="00C45519" w:rsidP="00C45519">
            <w:pPr>
              <w:spacing w:after="0" w:line="240" w:lineRule="auto"/>
              <w:jc w:val="right"/>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469.907</w:t>
            </w:r>
          </w:p>
        </w:tc>
        <w:tc>
          <w:tcPr>
            <w:tcW w:w="0" w:type="auto"/>
            <w:tcBorders>
              <w:top w:val="nil"/>
              <w:left w:val="nil"/>
              <w:bottom w:val="nil"/>
              <w:right w:val="nil"/>
            </w:tcBorders>
            <w:shd w:val="clear" w:color="auto" w:fill="auto"/>
            <w:vAlign w:val="bottom"/>
            <w:hideMark/>
          </w:tcPr>
          <w:p w14:paraId="65D4783B" w14:textId="77777777" w:rsidR="00C45519" w:rsidRPr="00C45519" w:rsidRDefault="00C45519" w:rsidP="00C45519">
            <w:pPr>
              <w:spacing w:after="0" w:line="240" w:lineRule="auto"/>
              <w:jc w:val="right"/>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1.411.000</w:t>
            </w:r>
          </w:p>
        </w:tc>
        <w:tc>
          <w:tcPr>
            <w:tcW w:w="0" w:type="auto"/>
            <w:tcBorders>
              <w:top w:val="nil"/>
              <w:left w:val="nil"/>
              <w:bottom w:val="nil"/>
              <w:right w:val="nil"/>
            </w:tcBorders>
            <w:shd w:val="clear" w:color="auto" w:fill="auto"/>
            <w:vAlign w:val="bottom"/>
            <w:hideMark/>
          </w:tcPr>
          <w:p w14:paraId="2315648C" w14:textId="77777777" w:rsidR="00C45519" w:rsidRPr="00C45519" w:rsidRDefault="00C45519" w:rsidP="00C45519">
            <w:pPr>
              <w:spacing w:after="0" w:line="240" w:lineRule="auto"/>
              <w:jc w:val="right"/>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101.212</w:t>
            </w:r>
          </w:p>
        </w:tc>
        <w:tc>
          <w:tcPr>
            <w:tcW w:w="0" w:type="auto"/>
            <w:tcBorders>
              <w:top w:val="nil"/>
              <w:left w:val="nil"/>
              <w:bottom w:val="nil"/>
              <w:right w:val="nil"/>
            </w:tcBorders>
            <w:shd w:val="clear" w:color="auto" w:fill="auto"/>
            <w:vAlign w:val="bottom"/>
            <w:hideMark/>
          </w:tcPr>
          <w:p w14:paraId="06BF2508" w14:textId="77777777" w:rsidR="00C45519" w:rsidRPr="00C45519" w:rsidRDefault="00C45519" w:rsidP="00C45519">
            <w:pPr>
              <w:spacing w:after="0" w:line="240" w:lineRule="auto"/>
              <w:jc w:val="right"/>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127.071</w:t>
            </w:r>
          </w:p>
        </w:tc>
        <w:tc>
          <w:tcPr>
            <w:tcW w:w="0" w:type="auto"/>
            <w:tcBorders>
              <w:top w:val="nil"/>
              <w:left w:val="nil"/>
              <w:bottom w:val="nil"/>
              <w:right w:val="single" w:sz="8" w:space="0" w:color="auto"/>
            </w:tcBorders>
            <w:shd w:val="clear" w:color="auto" w:fill="auto"/>
            <w:vAlign w:val="bottom"/>
            <w:hideMark/>
          </w:tcPr>
          <w:p w14:paraId="6DFC5309" w14:textId="77777777" w:rsidR="00C45519" w:rsidRPr="00C45519" w:rsidRDefault="00C45519" w:rsidP="00C45519">
            <w:pPr>
              <w:spacing w:after="0" w:line="240" w:lineRule="auto"/>
              <w:jc w:val="right"/>
              <w:rPr>
                <w:rFonts w:ascii="Calibri" w:eastAsia="Times New Roman" w:hAnsi="Calibri" w:cs="Calibri"/>
                <w:b/>
                <w:bCs/>
                <w:sz w:val="16"/>
                <w:szCs w:val="16"/>
                <w:lang w:eastAsia="es-CO"/>
              </w:rPr>
            </w:pPr>
            <w:r w:rsidRPr="00C45519">
              <w:rPr>
                <w:rFonts w:ascii="Calibri" w:eastAsia="Times New Roman" w:hAnsi="Calibri" w:cs="Calibri"/>
                <w:b/>
                <w:bCs/>
                <w:sz w:val="16"/>
                <w:szCs w:val="16"/>
                <w:lang w:eastAsia="es-CO"/>
              </w:rPr>
              <w:t>408.478</w:t>
            </w:r>
          </w:p>
        </w:tc>
      </w:tr>
      <w:tr w:rsidR="00C45519" w:rsidRPr="00C45519" w14:paraId="18FF6E45" w14:textId="77777777" w:rsidTr="00BB6EF9">
        <w:trPr>
          <w:trHeight w:val="263"/>
        </w:trPr>
        <w:tc>
          <w:tcPr>
            <w:tcW w:w="0" w:type="auto"/>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DA2852A" w14:textId="38A546B6" w:rsidR="00C45519" w:rsidRPr="00C45519" w:rsidRDefault="00C45519" w:rsidP="00C45519">
            <w:pPr>
              <w:spacing w:after="0" w:line="240" w:lineRule="auto"/>
              <w:rPr>
                <w:rFonts w:ascii="Calibri" w:eastAsia="Times New Roman" w:hAnsi="Calibri" w:cs="Calibri"/>
                <w:b/>
                <w:bCs/>
                <w:color w:val="000000"/>
                <w:sz w:val="16"/>
                <w:szCs w:val="16"/>
                <w:lang w:eastAsia="es-CO"/>
              </w:rPr>
            </w:pPr>
            <w:r w:rsidRPr="00C45519">
              <w:rPr>
                <w:rFonts w:ascii="Calibri" w:eastAsia="Times New Roman" w:hAnsi="Calibri" w:cs="Calibri"/>
                <w:b/>
                <w:bCs/>
                <w:color w:val="000000"/>
                <w:sz w:val="16"/>
                <w:szCs w:val="16"/>
                <w:lang w:eastAsia="es-CO"/>
              </w:rPr>
              <w:t>% EPS</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14:paraId="7EDB54C0" w14:textId="77777777" w:rsidR="00C45519" w:rsidRPr="00C45519" w:rsidRDefault="00C45519" w:rsidP="00C45519">
            <w:pPr>
              <w:spacing w:after="0" w:line="240" w:lineRule="auto"/>
              <w:jc w:val="right"/>
              <w:rPr>
                <w:rFonts w:ascii="Calibri" w:eastAsia="Times New Roman" w:hAnsi="Calibri" w:cs="Calibri"/>
                <w:b/>
                <w:bCs/>
                <w:color w:val="000000"/>
                <w:sz w:val="16"/>
                <w:szCs w:val="16"/>
                <w:lang w:eastAsia="es-CO"/>
              </w:rPr>
            </w:pPr>
            <w:r w:rsidRPr="00C45519">
              <w:rPr>
                <w:rFonts w:ascii="Calibri" w:eastAsia="Times New Roman" w:hAnsi="Calibri" w:cs="Calibri"/>
                <w:b/>
                <w:bCs/>
                <w:color w:val="000000"/>
                <w:sz w:val="16"/>
                <w:szCs w:val="16"/>
                <w:lang w:eastAsia="es-CO"/>
              </w:rPr>
              <w:t>8%</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14:paraId="3F4F484E" w14:textId="77777777" w:rsidR="00C45519" w:rsidRPr="00C45519" w:rsidRDefault="00C45519" w:rsidP="00C45519">
            <w:pPr>
              <w:spacing w:after="0" w:line="240" w:lineRule="auto"/>
              <w:jc w:val="right"/>
              <w:rPr>
                <w:rFonts w:ascii="Calibri" w:eastAsia="Times New Roman" w:hAnsi="Calibri" w:cs="Calibri"/>
                <w:b/>
                <w:bCs/>
                <w:color w:val="000000"/>
                <w:sz w:val="16"/>
                <w:szCs w:val="16"/>
                <w:lang w:eastAsia="es-CO"/>
              </w:rPr>
            </w:pPr>
            <w:r w:rsidRPr="00C45519">
              <w:rPr>
                <w:rFonts w:ascii="Calibri" w:eastAsia="Times New Roman" w:hAnsi="Calibri" w:cs="Calibri"/>
                <w:b/>
                <w:bCs/>
                <w:color w:val="000000"/>
                <w:sz w:val="16"/>
                <w:szCs w:val="16"/>
                <w:lang w:eastAsia="es-CO"/>
              </w:rPr>
              <w:t>2%</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14:paraId="5F95AA3B" w14:textId="77777777" w:rsidR="00C45519" w:rsidRPr="00C45519" w:rsidRDefault="00C45519" w:rsidP="00C45519">
            <w:pPr>
              <w:spacing w:after="0" w:line="240" w:lineRule="auto"/>
              <w:jc w:val="right"/>
              <w:rPr>
                <w:rFonts w:ascii="Calibri" w:eastAsia="Times New Roman" w:hAnsi="Calibri" w:cs="Calibri"/>
                <w:b/>
                <w:bCs/>
                <w:color w:val="000000"/>
                <w:sz w:val="16"/>
                <w:szCs w:val="16"/>
                <w:lang w:eastAsia="es-CO"/>
              </w:rPr>
            </w:pPr>
            <w:r w:rsidRPr="00C45519">
              <w:rPr>
                <w:rFonts w:ascii="Calibri" w:eastAsia="Times New Roman" w:hAnsi="Calibri" w:cs="Calibri"/>
                <w:b/>
                <w:bCs/>
                <w:color w:val="000000"/>
                <w:sz w:val="16"/>
                <w:szCs w:val="16"/>
                <w:lang w:eastAsia="es-CO"/>
              </w:rPr>
              <w:t>3%</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14:paraId="0BB087BB" w14:textId="77777777" w:rsidR="00C45519" w:rsidRPr="00C45519" w:rsidRDefault="00C45519" w:rsidP="00C45519">
            <w:pPr>
              <w:spacing w:after="0" w:line="240" w:lineRule="auto"/>
              <w:jc w:val="right"/>
              <w:rPr>
                <w:rFonts w:ascii="Calibri" w:eastAsia="Times New Roman" w:hAnsi="Calibri" w:cs="Calibri"/>
                <w:b/>
                <w:bCs/>
                <w:color w:val="000000"/>
                <w:sz w:val="16"/>
                <w:szCs w:val="16"/>
                <w:lang w:eastAsia="es-CO"/>
              </w:rPr>
            </w:pPr>
            <w:r w:rsidRPr="00C45519">
              <w:rPr>
                <w:rFonts w:ascii="Calibri" w:eastAsia="Times New Roman" w:hAnsi="Calibri" w:cs="Calibri"/>
                <w:b/>
                <w:bCs/>
                <w:color w:val="000000"/>
                <w:sz w:val="16"/>
                <w:szCs w:val="16"/>
                <w:lang w:eastAsia="es-CO"/>
              </w:rPr>
              <w:t>16%</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14:paraId="0E53D2CD" w14:textId="77777777" w:rsidR="00C45519" w:rsidRPr="00C45519" w:rsidRDefault="00C45519" w:rsidP="00C45519">
            <w:pPr>
              <w:spacing w:after="0" w:line="240" w:lineRule="auto"/>
              <w:jc w:val="right"/>
              <w:rPr>
                <w:rFonts w:ascii="Calibri" w:eastAsia="Times New Roman" w:hAnsi="Calibri" w:cs="Calibri"/>
                <w:b/>
                <w:bCs/>
                <w:color w:val="000000"/>
                <w:sz w:val="16"/>
                <w:szCs w:val="16"/>
                <w:lang w:eastAsia="es-CO"/>
              </w:rPr>
            </w:pPr>
            <w:r w:rsidRPr="00C45519">
              <w:rPr>
                <w:rFonts w:ascii="Calibri" w:eastAsia="Times New Roman" w:hAnsi="Calibri" w:cs="Calibri"/>
                <w:b/>
                <w:bCs/>
                <w:color w:val="000000"/>
                <w:sz w:val="16"/>
                <w:szCs w:val="16"/>
                <w:lang w:eastAsia="es-CO"/>
              </w:rPr>
              <w:t>49%</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14:paraId="40CAA8FC" w14:textId="77777777" w:rsidR="00C45519" w:rsidRPr="00C45519" w:rsidRDefault="00C45519" w:rsidP="00C45519">
            <w:pPr>
              <w:spacing w:after="0" w:line="240" w:lineRule="auto"/>
              <w:jc w:val="right"/>
              <w:rPr>
                <w:rFonts w:ascii="Calibri" w:eastAsia="Times New Roman" w:hAnsi="Calibri" w:cs="Calibri"/>
                <w:b/>
                <w:bCs/>
                <w:color w:val="000000"/>
                <w:sz w:val="16"/>
                <w:szCs w:val="16"/>
                <w:lang w:eastAsia="es-CO"/>
              </w:rPr>
            </w:pPr>
            <w:r w:rsidRPr="00C45519">
              <w:rPr>
                <w:rFonts w:ascii="Calibri" w:eastAsia="Times New Roman" w:hAnsi="Calibri" w:cs="Calibri"/>
                <w:b/>
                <w:bCs/>
                <w:color w:val="000000"/>
                <w:sz w:val="16"/>
                <w:szCs w:val="16"/>
                <w:lang w:eastAsia="es-CO"/>
              </w:rPr>
              <w:t>4%</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14:paraId="39C1B353" w14:textId="77777777" w:rsidR="00C45519" w:rsidRPr="00C45519" w:rsidRDefault="00C45519" w:rsidP="00C45519">
            <w:pPr>
              <w:spacing w:after="0" w:line="240" w:lineRule="auto"/>
              <w:jc w:val="right"/>
              <w:rPr>
                <w:rFonts w:ascii="Calibri" w:eastAsia="Times New Roman" w:hAnsi="Calibri" w:cs="Calibri"/>
                <w:b/>
                <w:bCs/>
                <w:color w:val="000000"/>
                <w:sz w:val="16"/>
                <w:szCs w:val="16"/>
                <w:lang w:eastAsia="es-CO"/>
              </w:rPr>
            </w:pPr>
            <w:r w:rsidRPr="00C45519">
              <w:rPr>
                <w:rFonts w:ascii="Calibri" w:eastAsia="Times New Roman" w:hAnsi="Calibri" w:cs="Calibri"/>
                <w:b/>
                <w:bCs/>
                <w:color w:val="000000"/>
                <w:sz w:val="16"/>
                <w:szCs w:val="16"/>
                <w:lang w:eastAsia="es-CO"/>
              </w:rPr>
              <w:t>4%</w:t>
            </w:r>
          </w:p>
        </w:tc>
        <w:tc>
          <w:tcPr>
            <w:tcW w:w="0" w:type="auto"/>
            <w:tcBorders>
              <w:top w:val="single" w:sz="4" w:space="0" w:color="auto"/>
              <w:left w:val="nil"/>
              <w:bottom w:val="single" w:sz="8" w:space="0" w:color="auto"/>
              <w:right w:val="single" w:sz="4" w:space="0" w:color="auto"/>
            </w:tcBorders>
            <w:shd w:val="clear" w:color="auto" w:fill="auto"/>
            <w:noWrap/>
            <w:vAlign w:val="bottom"/>
            <w:hideMark/>
          </w:tcPr>
          <w:p w14:paraId="57094095" w14:textId="77777777" w:rsidR="00C45519" w:rsidRPr="00C45519" w:rsidRDefault="00C45519" w:rsidP="00C45519">
            <w:pPr>
              <w:spacing w:after="0" w:line="240" w:lineRule="auto"/>
              <w:jc w:val="right"/>
              <w:rPr>
                <w:rFonts w:ascii="Calibri" w:eastAsia="Times New Roman" w:hAnsi="Calibri" w:cs="Calibri"/>
                <w:b/>
                <w:bCs/>
                <w:color w:val="000000"/>
                <w:sz w:val="16"/>
                <w:szCs w:val="16"/>
                <w:lang w:eastAsia="es-CO"/>
              </w:rPr>
            </w:pPr>
            <w:r w:rsidRPr="00C45519">
              <w:rPr>
                <w:rFonts w:ascii="Calibri" w:eastAsia="Times New Roman" w:hAnsi="Calibri" w:cs="Calibri"/>
                <w:b/>
                <w:bCs/>
                <w:color w:val="000000"/>
                <w:sz w:val="16"/>
                <w:szCs w:val="16"/>
                <w:lang w:eastAsia="es-CO"/>
              </w:rPr>
              <w:t>14%</w:t>
            </w:r>
          </w:p>
        </w:tc>
      </w:tr>
    </w:tbl>
    <w:p w14:paraId="1A361440" w14:textId="165D8289" w:rsidR="00C45519" w:rsidRPr="00C45519" w:rsidRDefault="00C45519" w:rsidP="00C45519">
      <w:pPr>
        <w:spacing w:after="0" w:line="240" w:lineRule="auto"/>
        <w:jc w:val="center"/>
        <w:rPr>
          <w:rFonts w:ascii="Arial" w:hAnsi="Arial" w:cs="Arial"/>
          <w:sz w:val="16"/>
          <w:szCs w:val="16"/>
          <w:lang w:val="es-ES" w:eastAsia="es-CO"/>
        </w:rPr>
      </w:pPr>
      <w:r w:rsidRPr="00C45519">
        <w:rPr>
          <w:rFonts w:ascii="Arial" w:hAnsi="Arial" w:cs="Arial"/>
          <w:sz w:val="16"/>
          <w:szCs w:val="16"/>
          <w:lang w:val="es-ES" w:eastAsia="es-CO"/>
        </w:rPr>
        <w:t>Fuente: Delegada de Medidas Especiales SNS</w:t>
      </w:r>
      <w:r w:rsidR="008C7FFB">
        <w:rPr>
          <w:rFonts w:ascii="Arial" w:hAnsi="Arial" w:cs="Arial"/>
          <w:sz w:val="16"/>
          <w:szCs w:val="16"/>
          <w:lang w:val="es-ES" w:eastAsia="es-CO"/>
        </w:rPr>
        <w:t>.</w:t>
      </w:r>
    </w:p>
    <w:p w14:paraId="27B3A428" w14:textId="77777777" w:rsidR="00C45519" w:rsidRPr="00C45519" w:rsidRDefault="00C45519" w:rsidP="00C45519">
      <w:pPr>
        <w:spacing w:after="0" w:line="240" w:lineRule="auto"/>
        <w:jc w:val="both"/>
        <w:rPr>
          <w:rFonts w:ascii="Arial" w:hAnsi="Arial" w:cs="Arial"/>
          <w:lang w:val="es-ES" w:eastAsia="es-CO"/>
        </w:rPr>
      </w:pPr>
    </w:p>
    <w:p w14:paraId="31AD6242" w14:textId="033C70B5" w:rsidR="00C45519" w:rsidRDefault="00C45519" w:rsidP="00C45519">
      <w:pPr>
        <w:spacing w:after="0" w:line="240" w:lineRule="auto"/>
        <w:jc w:val="both"/>
        <w:rPr>
          <w:rFonts w:ascii="Arial" w:hAnsi="Arial" w:cs="Arial"/>
          <w:lang w:val="es-ES" w:eastAsia="es-CO"/>
        </w:rPr>
      </w:pPr>
      <w:r w:rsidRPr="00C45519">
        <w:rPr>
          <w:rFonts w:ascii="Arial" w:hAnsi="Arial" w:cs="Arial"/>
          <w:lang w:val="es-ES" w:eastAsia="es-CO"/>
        </w:rPr>
        <w:t xml:space="preserve">Los activos con los que cuentan las EPS en liquidación, según información reportada por los vigilados, se registran en la tabla anterior. Vale resaltar que Cafesalud revela el mayor activo con la cifra de </w:t>
      </w:r>
      <w:r w:rsidR="005601AC">
        <w:rPr>
          <w:rFonts w:ascii="Arial" w:hAnsi="Arial" w:cs="Arial"/>
          <w:lang w:val="es-ES" w:eastAsia="es-CO"/>
        </w:rPr>
        <w:t>$</w:t>
      </w:r>
      <w:r w:rsidRPr="00C45519">
        <w:rPr>
          <w:rFonts w:ascii="Arial" w:hAnsi="Arial" w:cs="Arial"/>
          <w:lang w:val="es-ES" w:eastAsia="es-CO"/>
        </w:rPr>
        <w:t>1.411.000 millones; sin embargo, estos están representados en su gran mayoría en cuentas por cobrar, donde se incorpora el derecho que tiene sobre la EPS Medim</w:t>
      </w:r>
      <w:r w:rsidR="008C7FFB">
        <w:rPr>
          <w:rFonts w:ascii="Arial" w:hAnsi="Arial" w:cs="Arial"/>
          <w:lang w:val="es-ES" w:eastAsia="es-CO"/>
        </w:rPr>
        <w:t>a</w:t>
      </w:r>
      <w:r w:rsidRPr="00C45519">
        <w:rPr>
          <w:rFonts w:ascii="Arial" w:hAnsi="Arial" w:cs="Arial"/>
          <w:lang w:val="es-ES" w:eastAsia="es-CO"/>
        </w:rPr>
        <w:t>s S.A</w:t>
      </w:r>
      <w:r w:rsidR="00D50825">
        <w:rPr>
          <w:rFonts w:ascii="Arial" w:hAnsi="Arial" w:cs="Arial"/>
          <w:lang w:val="es-ES" w:eastAsia="es-CO"/>
        </w:rPr>
        <w:t>.</w:t>
      </w:r>
      <w:r w:rsidRPr="00C45519">
        <w:rPr>
          <w:rFonts w:ascii="Arial" w:hAnsi="Arial" w:cs="Arial"/>
          <w:lang w:val="es-ES" w:eastAsia="es-CO"/>
        </w:rPr>
        <w:t xml:space="preserve"> a raíz de la venta del intangible y que ha sido motivo de litigio ante</w:t>
      </w:r>
      <w:r w:rsidR="00D50825">
        <w:rPr>
          <w:rFonts w:ascii="Arial" w:hAnsi="Arial" w:cs="Arial"/>
          <w:lang w:val="es-ES" w:eastAsia="es-CO"/>
        </w:rPr>
        <w:t xml:space="preserve"> un </w:t>
      </w:r>
      <w:r w:rsidRPr="00C45519">
        <w:rPr>
          <w:rFonts w:ascii="Arial" w:hAnsi="Arial" w:cs="Arial"/>
          <w:lang w:val="es-ES" w:eastAsia="es-CO"/>
        </w:rPr>
        <w:t xml:space="preserve">Tribunal de Arbitramento de la Cámara de Comercio de Bogotá. </w:t>
      </w:r>
      <w:r w:rsidR="00D50825">
        <w:rPr>
          <w:rFonts w:ascii="Arial" w:hAnsi="Arial" w:cs="Arial"/>
          <w:lang w:val="es-ES" w:eastAsia="es-CO"/>
        </w:rPr>
        <w:t>En caso contrario</w:t>
      </w:r>
      <w:r w:rsidRPr="00C45519">
        <w:rPr>
          <w:rFonts w:ascii="Arial" w:hAnsi="Arial" w:cs="Arial"/>
          <w:lang w:val="es-ES" w:eastAsia="es-CO"/>
        </w:rPr>
        <w:t xml:space="preserve">, </w:t>
      </w:r>
      <w:r w:rsidR="005601AC" w:rsidRPr="00C45519">
        <w:rPr>
          <w:rFonts w:ascii="Arial" w:hAnsi="Arial" w:cs="Arial"/>
          <w:lang w:val="es-ES" w:eastAsia="es-CO"/>
        </w:rPr>
        <w:t>SaludCoop</w:t>
      </w:r>
      <w:r w:rsidRPr="00C45519">
        <w:rPr>
          <w:rFonts w:ascii="Arial" w:hAnsi="Arial" w:cs="Arial"/>
          <w:lang w:val="es-ES" w:eastAsia="es-CO"/>
        </w:rPr>
        <w:t xml:space="preserve"> EP</w:t>
      </w:r>
      <w:r w:rsidR="005601AC">
        <w:rPr>
          <w:rFonts w:ascii="Arial" w:hAnsi="Arial" w:cs="Arial"/>
          <w:lang w:val="es-ES" w:eastAsia="es-CO"/>
        </w:rPr>
        <w:t>S</w:t>
      </w:r>
      <w:r w:rsidRPr="00C45519">
        <w:rPr>
          <w:rFonts w:ascii="Arial" w:hAnsi="Arial" w:cs="Arial"/>
          <w:lang w:val="es-ES" w:eastAsia="es-CO"/>
        </w:rPr>
        <w:t xml:space="preserve"> tiene representados la mayor cantidad de activos en bienes inmuebles, los cuales se encuentran en proceso de enajenación. Frente a las EPS Saludvida, Emdisalud, Comfa</w:t>
      </w:r>
      <w:r w:rsidR="005601AC">
        <w:rPr>
          <w:rFonts w:ascii="Arial" w:hAnsi="Arial" w:cs="Arial"/>
          <w:lang w:val="es-ES" w:eastAsia="es-CO"/>
        </w:rPr>
        <w:t>miliar C</w:t>
      </w:r>
      <w:r w:rsidRPr="00C45519">
        <w:rPr>
          <w:rFonts w:ascii="Arial" w:hAnsi="Arial" w:cs="Arial"/>
          <w:lang w:val="es-ES" w:eastAsia="es-CO"/>
        </w:rPr>
        <w:t xml:space="preserve">artagena, Ambuq y Comfacundi, es </w:t>
      </w:r>
      <w:r w:rsidR="00D50825">
        <w:rPr>
          <w:rFonts w:ascii="Arial" w:hAnsi="Arial" w:cs="Arial"/>
          <w:lang w:val="es-ES" w:eastAsia="es-CO"/>
        </w:rPr>
        <w:t>oportuno</w:t>
      </w:r>
      <w:r w:rsidRPr="00C45519">
        <w:rPr>
          <w:rFonts w:ascii="Arial" w:hAnsi="Arial" w:cs="Arial"/>
          <w:lang w:val="es-ES" w:eastAsia="es-CO"/>
        </w:rPr>
        <w:t xml:space="preserve"> precisar que sus activos por cuentas por cobrar se encuentran en proceso de depuración y conciliación.</w:t>
      </w:r>
    </w:p>
    <w:p w14:paraId="51C1994E" w14:textId="1E90D07E" w:rsidR="003B56CC" w:rsidRDefault="003B56CC" w:rsidP="00C45519">
      <w:pPr>
        <w:spacing w:after="0" w:line="240" w:lineRule="auto"/>
        <w:jc w:val="both"/>
        <w:rPr>
          <w:rFonts w:ascii="Arial" w:hAnsi="Arial" w:cs="Arial"/>
          <w:lang w:val="es-ES" w:eastAsia="es-CO"/>
        </w:rPr>
      </w:pPr>
    </w:p>
    <w:p w14:paraId="349B42B2" w14:textId="50852C2E" w:rsidR="003B56CC" w:rsidRPr="00C45519" w:rsidRDefault="003B56CC" w:rsidP="00C45519">
      <w:pPr>
        <w:spacing w:after="0" w:line="240" w:lineRule="auto"/>
        <w:jc w:val="both"/>
        <w:rPr>
          <w:rFonts w:ascii="Arial" w:hAnsi="Arial" w:cs="Arial"/>
          <w:lang w:val="es-ES" w:eastAsia="es-CO"/>
        </w:rPr>
      </w:pPr>
      <w:r>
        <w:rPr>
          <w:rFonts w:ascii="Arial" w:hAnsi="Arial" w:cs="Arial"/>
          <w:lang w:val="es-ES" w:eastAsia="es-CO"/>
        </w:rPr>
        <w:t xml:space="preserve">Cabe anotar que los activos de Cafesalud representan el 49% del total de activos de las EPS en liquidación, seguido por Saludcoop con el 16% y Saludvida con el 14%. Las EPS con menores activos son: Comfamiliar Cartagena, el 2%; Comfacundi, el 3%; Cruz Blanca y Emdisalud con el 4%, respectivamente; y Ambuq con el 8%. </w:t>
      </w:r>
    </w:p>
    <w:p w14:paraId="720663F4" w14:textId="40BC8627" w:rsidR="001B0240" w:rsidRPr="001B0240" w:rsidRDefault="001B0240" w:rsidP="001B0240">
      <w:pPr>
        <w:pStyle w:val="xxmsonormal"/>
        <w:shd w:val="clear" w:color="auto" w:fill="FFFFFF"/>
        <w:spacing w:before="0" w:beforeAutospacing="0" w:after="0" w:afterAutospacing="0"/>
        <w:jc w:val="both"/>
        <w:rPr>
          <w:rFonts w:ascii="Arial" w:hAnsi="Arial" w:cs="Arial"/>
          <w:color w:val="201F1E"/>
          <w:sz w:val="22"/>
          <w:szCs w:val="22"/>
        </w:rPr>
      </w:pPr>
    </w:p>
    <w:p w14:paraId="7A3576E8" w14:textId="4D022165" w:rsidR="001B0240" w:rsidRPr="00C31D64"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t>15.  ¿Cuál es la estrategia o plan de acción que tiene previsto el Gobierno Nacional para el pago de las acreencias que no fueron cubiertas con los recursos y activos del proceso liquidatorio?</w:t>
      </w:r>
    </w:p>
    <w:p w14:paraId="3ABB5EE1" w14:textId="1B735B11" w:rsidR="005601AC"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bdr w:val="none" w:sz="0" w:space="0" w:color="auto" w:frame="1"/>
          <w:shd w:val="clear" w:color="auto" w:fill="FFFF00"/>
          <w:lang w:val="es-ES"/>
        </w:rPr>
      </w:pPr>
      <w:r w:rsidRPr="001B0240">
        <w:rPr>
          <w:rFonts w:ascii="Arial" w:hAnsi="Arial" w:cs="Arial"/>
          <w:color w:val="201F1E"/>
          <w:sz w:val="22"/>
          <w:szCs w:val="22"/>
          <w:bdr w:val="none" w:sz="0" w:space="0" w:color="auto" w:frame="1"/>
          <w:lang w:val="es-ES"/>
        </w:rPr>
        <w:t> </w:t>
      </w:r>
    </w:p>
    <w:p w14:paraId="6C16CE11" w14:textId="33795DF0" w:rsidR="005601AC" w:rsidRPr="005601AC" w:rsidRDefault="005601AC" w:rsidP="005601AC">
      <w:pPr>
        <w:spacing w:after="0" w:line="240" w:lineRule="auto"/>
        <w:jc w:val="both"/>
        <w:rPr>
          <w:rFonts w:ascii="Arial" w:hAnsi="Arial" w:cs="Arial"/>
          <w:lang w:eastAsia="es-CO"/>
        </w:rPr>
      </w:pPr>
      <w:r w:rsidRPr="005601AC">
        <w:rPr>
          <w:rFonts w:ascii="Arial" w:hAnsi="Arial" w:cs="Arial"/>
          <w:lang w:val="es-ES" w:eastAsia="es-CO"/>
        </w:rPr>
        <w:t>Dentro de los mecanismos dispuestos por el Gobierno Nacional</w:t>
      </w:r>
      <w:r>
        <w:rPr>
          <w:rFonts w:ascii="Arial" w:hAnsi="Arial" w:cs="Arial"/>
          <w:lang w:val="es-ES" w:eastAsia="es-CO"/>
        </w:rPr>
        <w:t xml:space="preserve"> </w:t>
      </w:r>
      <w:r w:rsidRPr="005601AC">
        <w:rPr>
          <w:rFonts w:ascii="Arial" w:hAnsi="Arial" w:cs="Arial"/>
          <w:lang w:val="es-ES" w:eastAsia="es-CO"/>
        </w:rPr>
        <w:t>que posibilitan que la EPS en liquidación puedan acudir a recursos diferentes a los convencionales de la masa de liquidación, se pueden citar los dispuestos por el</w:t>
      </w:r>
      <w:r w:rsidRPr="005601AC">
        <w:rPr>
          <w:rFonts w:ascii="Arial" w:hAnsi="Arial" w:cs="Arial"/>
          <w:lang w:eastAsia="es-CO"/>
        </w:rPr>
        <w:t xml:space="preserve"> Plan Nacional de Desarrollo 2018</w:t>
      </w:r>
      <w:r w:rsidR="008C7FFB">
        <w:rPr>
          <w:rFonts w:ascii="Arial" w:hAnsi="Arial" w:cs="Arial"/>
          <w:lang w:eastAsia="es-CO"/>
        </w:rPr>
        <w:t>-</w:t>
      </w:r>
      <w:r w:rsidRPr="005601AC">
        <w:rPr>
          <w:rFonts w:ascii="Arial" w:hAnsi="Arial" w:cs="Arial"/>
          <w:lang w:eastAsia="es-CO"/>
        </w:rPr>
        <w:t xml:space="preserve">2022, que fijó la política para el saneamiento de las deudas históricas del sector salud y la transformación de los recursos para la prestación de los servicios y tecnologías no financiadas con la UPC (Ley 1955 de 2019, artículos 237, 238, 245). </w:t>
      </w:r>
    </w:p>
    <w:p w14:paraId="41EC4C46" w14:textId="77777777" w:rsidR="005601AC" w:rsidRPr="005601AC" w:rsidRDefault="005601AC" w:rsidP="005601AC">
      <w:pPr>
        <w:spacing w:after="0" w:line="240" w:lineRule="auto"/>
        <w:jc w:val="both"/>
        <w:rPr>
          <w:rFonts w:ascii="Arial" w:hAnsi="Arial" w:cs="Arial"/>
          <w:lang w:eastAsia="es-CO"/>
        </w:rPr>
      </w:pPr>
    </w:p>
    <w:p w14:paraId="2136FB10" w14:textId="521593F5" w:rsidR="005601AC" w:rsidRPr="005601AC" w:rsidRDefault="000A09A2" w:rsidP="005601AC">
      <w:pPr>
        <w:spacing w:after="0" w:line="240" w:lineRule="auto"/>
        <w:jc w:val="both"/>
        <w:rPr>
          <w:rFonts w:ascii="Arial" w:eastAsia="Times New Roman" w:hAnsi="Arial" w:cs="Arial"/>
          <w:color w:val="000000"/>
          <w:lang w:eastAsia="es-CO"/>
        </w:rPr>
      </w:pPr>
      <w:r>
        <w:rPr>
          <w:rFonts w:ascii="Arial" w:hAnsi="Arial" w:cs="Arial"/>
          <w:lang w:eastAsia="es-CO"/>
        </w:rPr>
        <w:t>En cumplimiento de estas normas</w:t>
      </w:r>
      <w:r w:rsidR="005601AC" w:rsidRPr="005601AC">
        <w:rPr>
          <w:rFonts w:ascii="Arial" w:hAnsi="Arial" w:cs="Arial"/>
          <w:lang w:eastAsia="es-CO"/>
        </w:rPr>
        <w:t>, SaludCoop EPS logró el acuerdo de aceptación por parte de la ADRES por $</w:t>
      </w:r>
      <w:r w:rsidR="005601AC" w:rsidRPr="005601AC">
        <w:rPr>
          <w:rFonts w:ascii="Arial" w:eastAsia="Times New Roman" w:hAnsi="Arial" w:cs="Arial"/>
          <w:color w:val="000000"/>
          <w:lang w:eastAsia="es-CO"/>
        </w:rPr>
        <w:t>6.896.238.674</w:t>
      </w:r>
      <w:r>
        <w:rPr>
          <w:rFonts w:ascii="Arial" w:eastAsia="Times New Roman" w:hAnsi="Arial" w:cs="Arial"/>
          <w:color w:val="000000"/>
          <w:lang w:eastAsia="es-CO"/>
        </w:rPr>
        <w:t xml:space="preserve"> </w:t>
      </w:r>
      <w:r>
        <w:rPr>
          <w:rFonts w:ascii="Arial" w:hAnsi="Arial" w:cs="Arial"/>
          <w:lang w:eastAsia="es-CO"/>
        </w:rPr>
        <w:t>correspondiente a</w:t>
      </w:r>
      <w:r w:rsidRPr="005601AC">
        <w:rPr>
          <w:rFonts w:ascii="Arial" w:hAnsi="Arial" w:cs="Arial"/>
          <w:lang w:eastAsia="es-CO"/>
        </w:rPr>
        <w:t xml:space="preserve"> los recursos no financiadas con la UPC del Régimen Contributivo</w:t>
      </w:r>
      <w:r w:rsidR="005601AC" w:rsidRPr="005601AC">
        <w:rPr>
          <w:rFonts w:ascii="Arial" w:eastAsia="Times New Roman" w:hAnsi="Arial" w:cs="Arial"/>
          <w:color w:val="000000"/>
          <w:lang w:eastAsia="es-CO"/>
        </w:rPr>
        <w:t xml:space="preserve">. Con el </w:t>
      </w:r>
      <w:r w:rsidR="00F83D90">
        <w:rPr>
          <w:rFonts w:ascii="Arial" w:eastAsia="Times New Roman" w:hAnsi="Arial" w:cs="Arial"/>
          <w:color w:val="000000"/>
          <w:lang w:eastAsia="es-CO"/>
        </w:rPr>
        <w:t>r</w:t>
      </w:r>
      <w:r w:rsidR="005601AC" w:rsidRPr="005601AC">
        <w:rPr>
          <w:rFonts w:ascii="Arial" w:eastAsia="Times New Roman" w:hAnsi="Arial" w:cs="Arial"/>
          <w:color w:val="000000"/>
          <w:lang w:eastAsia="es-CO"/>
        </w:rPr>
        <w:t xml:space="preserve">égimen </w:t>
      </w:r>
      <w:r w:rsidR="00F83D90">
        <w:rPr>
          <w:rFonts w:ascii="Arial" w:eastAsia="Times New Roman" w:hAnsi="Arial" w:cs="Arial"/>
          <w:color w:val="000000"/>
          <w:lang w:eastAsia="es-CO"/>
        </w:rPr>
        <w:t>s</w:t>
      </w:r>
      <w:r w:rsidR="005601AC" w:rsidRPr="005601AC">
        <w:rPr>
          <w:rFonts w:ascii="Arial" w:eastAsia="Times New Roman" w:hAnsi="Arial" w:cs="Arial"/>
          <w:color w:val="000000"/>
          <w:lang w:eastAsia="es-CO"/>
        </w:rPr>
        <w:t>ubsidiado, Saludvida se encuentra gestionando con las entidades territoriales departamentales la suma de $10.573.738.815.</w:t>
      </w:r>
    </w:p>
    <w:p w14:paraId="554A624A" w14:textId="77777777" w:rsidR="005601AC" w:rsidRPr="005601AC" w:rsidRDefault="005601AC" w:rsidP="005601AC">
      <w:pPr>
        <w:spacing w:after="0" w:line="240" w:lineRule="auto"/>
        <w:jc w:val="both"/>
        <w:rPr>
          <w:rFonts w:ascii="Arial" w:eastAsia="Times New Roman" w:hAnsi="Arial" w:cs="Arial"/>
          <w:color w:val="000000"/>
          <w:lang w:eastAsia="es-CO"/>
        </w:rPr>
      </w:pPr>
    </w:p>
    <w:p w14:paraId="7F2D7908" w14:textId="79A0C878" w:rsidR="005601AC" w:rsidRDefault="005601AC" w:rsidP="00F75836">
      <w:pPr>
        <w:spacing w:after="0" w:line="240" w:lineRule="auto"/>
        <w:jc w:val="both"/>
        <w:rPr>
          <w:rFonts w:ascii="Arial" w:hAnsi="Arial" w:cs="Arial"/>
          <w:lang w:eastAsia="es-CO"/>
        </w:rPr>
      </w:pPr>
      <w:r w:rsidRPr="005601AC">
        <w:rPr>
          <w:rFonts w:ascii="Arial" w:hAnsi="Arial" w:cs="Arial"/>
          <w:lang w:eastAsia="es-CO"/>
        </w:rPr>
        <w:t xml:space="preserve">Adicionalmente, durante la vigencia 2020, </w:t>
      </w:r>
      <w:r w:rsidR="005E6AFB">
        <w:rPr>
          <w:rFonts w:ascii="Arial" w:hAnsi="Arial" w:cs="Arial"/>
          <w:lang w:eastAsia="es-CO"/>
        </w:rPr>
        <w:t xml:space="preserve">el </w:t>
      </w:r>
      <w:r w:rsidR="008C7FFB">
        <w:rPr>
          <w:rFonts w:ascii="Arial" w:hAnsi="Arial" w:cs="Arial"/>
          <w:lang w:eastAsia="es-CO"/>
        </w:rPr>
        <w:t xml:space="preserve">MSPS </w:t>
      </w:r>
      <w:r w:rsidRPr="005601AC">
        <w:rPr>
          <w:rFonts w:ascii="Arial" w:hAnsi="Arial" w:cs="Arial"/>
          <w:lang w:eastAsia="es-CO"/>
        </w:rPr>
        <w:t xml:space="preserve">implementó la Resolución 1514 de 2020, por la cual se fijan los lineamientos para la distribución, asignación y giro de los </w:t>
      </w:r>
      <w:r w:rsidRPr="005601AC">
        <w:rPr>
          <w:rFonts w:ascii="Arial" w:hAnsi="Arial" w:cs="Arial"/>
          <w:lang w:eastAsia="es-CO"/>
        </w:rPr>
        <w:lastRenderedPageBreak/>
        <w:t>recursos del esquema de solidaridad a que refiere el artículo 3 de la Ley 1929 de 2018. Mediante la citada resolución fue posible que el Programa de Empresa Promotora de Salud Comfacor liquidad</w:t>
      </w:r>
      <w:r>
        <w:rPr>
          <w:rFonts w:ascii="Arial" w:hAnsi="Arial" w:cs="Arial"/>
          <w:lang w:eastAsia="es-CO"/>
        </w:rPr>
        <w:t>o</w:t>
      </w:r>
      <w:r w:rsidRPr="005601AC">
        <w:rPr>
          <w:rFonts w:ascii="Arial" w:hAnsi="Arial" w:cs="Arial"/>
          <w:lang w:eastAsia="es-CO"/>
        </w:rPr>
        <w:t xml:space="preserve"> y el Programa de Salud EPS de Comfaboy liquidado voluntariamente, la ADRES le asignara recursos para el pago a la red prestadora de servicios de salud por $6.280 millones, con la siguiente distribución:</w:t>
      </w:r>
    </w:p>
    <w:p w14:paraId="28379AF5" w14:textId="77777777" w:rsidR="00F75836" w:rsidRPr="005601AC" w:rsidRDefault="00F75836" w:rsidP="00F75836">
      <w:pPr>
        <w:spacing w:after="0" w:line="240" w:lineRule="auto"/>
        <w:jc w:val="both"/>
        <w:rPr>
          <w:rFonts w:ascii="Arial" w:hAnsi="Arial" w:cs="Arial"/>
          <w:lang w:eastAsia="es-CO"/>
        </w:rPr>
      </w:pPr>
    </w:p>
    <w:tbl>
      <w:tblPr>
        <w:tblStyle w:val="Tablaconcuadrcula6concolores-nfasis3"/>
        <w:tblW w:w="8941" w:type="dxa"/>
        <w:tblLook w:val="04A0" w:firstRow="1" w:lastRow="0" w:firstColumn="1" w:lastColumn="0" w:noHBand="0" w:noVBand="1"/>
      </w:tblPr>
      <w:tblGrid>
        <w:gridCol w:w="4390"/>
        <w:gridCol w:w="4551"/>
      </w:tblGrid>
      <w:tr w:rsidR="005601AC" w:rsidRPr="005601AC" w14:paraId="24A916F6" w14:textId="77777777" w:rsidTr="00BB6EF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0E892B69" w14:textId="77777777" w:rsidR="005601AC" w:rsidRPr="005601AC" w:rsidRDefault="005601AC" w:rsidP="005601AC">
            <w:pPr>
              <w:jc w:val="center"/>
              <w:rPr>
                <w:rFonts w:ascii="Arial" w:eastAsia="Times New Roman" w:hAnsi="Arial" w:cs="Arial"/>
                <w:i/>
                <w:color w:val="auto"/>
                <w:sz w:val="18"/>
                <w:szCs w:val="18"/>
              </w:rPr>
            </w:pPr>
            <w:r w:rsidRPr="005601AC">
              <w:rPr>
                <w:rFonts w:ascii="Arial" w:eastAsia="Times New Roman" w:hAnsi="Arial" w:cs="Arial"/>
                <w:color w:val="auto"/>
                <w:sz w:val="18"/>
                <w:szCs w:val="18"/>
              </w:rPr>
              <w:t>ENTIDAD</w:t>
            </w:r>
          </w:p>
        </w:tc>
        <w:tc>
          <w:tcPr>
            <w:tcW w:w="4551" w:type="dxa"/>
            <w:noWrap/>
            <w:hideMark/>
          </w:tcPr>
          <w:p w14:paraId="3F53063B" w14:textId="77777777" w:rsidR="005601AC" w:rsidRPr="005601AC" w:rsidRDefault="005601AC" w:rsidP="005601A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rPr>
            </w:pPr>
            <w:r w:rsidRPr="005601AC">
              <w:rPr>
                <w:rFonts w:ascii="Arial" w:eastAsia="Times New Roman" w:hAnsi="Arial" w:cs="Arial"/>
                <w:color w:val="auto"/>
                <w:sz w:val="18"/>
                <w:szCs w:val="18"/>
              </w:rPr>
              <w:t>RECURSOS ASIGNADO POR LA ADRES</w:t>
            </w:r>
          </w:p>
          <w:p w14:paraId="6F22C9EA" w14:textId="77777777" w:rsidR="005601AC" w:rsidRPr="005601AC" w:rsidRDefault="005601AC" w:rsidP="005601AC">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rPr>
            </w:pPr>
            <w:r w:rsidRPr="005601AC">
              <w:rPr>
                <w:rFonts w:ascii="Arial" w:eastAsia="Times New Roman" w:hAnsi="Arial" w:cs="Arial"/>
                <w:color w:val="auto"/>
                <w:sz w:val="18"/>
                <w:szCs w:val="18"/>
              </w:rPr>
              <w:t>(millones de $)</w:t>
            </w:r>
          </w:p>
        </w:tc>
      </w:tr>
      <w:tr w:rsidR="005601AC" w:rsidRPr="005601AC" w14:paraId="0C986694" w14:textId="77777777" w:rsidTr="00BB6EF9">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4390" w:type="dxa"/>
            <w:noWrap/>
            <w:hideMark/>
          </w:tcPr>
          <w:p w14:paraId="05E2A613" w14:textId="77777777" w:rsidR="005601AC" w:rsidRPr="005601AC" w:rsidRDefault="005601AC" w:rsidP="005601AC">
            <w:pPr>
              <w:rPr>
                <w:rFonts w:ascii="Arial" w:eastAsia="Times New Roman" w:hAnsi="Arial" w:cs="Arial"/>
                <w:i/>
                <w:color w:val="auto"/>
                <w:sz w:val="18"/>
                <w:szCs w:val="18"/>
              </w:rPr>
            </w:pPr>
            <w:r w:rsidRPr="005601AC">
              <w:rPr>
                <w:rFonts w:ascii="Arial" w:eastAsia="Times New Roman" w:hAnsi="Arial" w:cs="Arial"/>
                <w:color w:val="auto"/>
                <w:sz w:val="18"/>
                <w:szCs w:val="18"/>
              </w:rPr>
              <w:t>Programa de Empresa Promotora de Salud Comfacor en liquidación</w:t>
            </w:r>
          </w:p>
        </w:tc>
        <w:tc>
          <w:tcPr>
            <w:tcW w:w="4551" w:type="dxa"/>
            <w:noWrap/>
          </w:tcPr>
          <w:p w14:paraId="6309DE0C" w14:textId="77777777" w:rsidR="005601AC" w:rsidRPr="005601AC" w:rsidRDefault="005601AC" w:rsidP="005601A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sz w:val="18"/>
                <w:szCs w:val="18"/>
              </w:rPr>
            </w:pPr>
            <w:r w:rsidRPr="005601AC">
              <w:rPr>
                <w:rFonts w:ascii="Arial" w:eastAsia="Times New Roman" w:hAnsi="Arial" w:cs="Arial"/>
                <w:bCs/>
                <w:color w:val="auto"/>
                <w:sz w:val="18"/>
                <w:szCs w:val="18"/>
              </w:rPr>
              <w:t>4.580</w:t>
            </w:r>
          </w:p>
        </w:tc>
      </w:tr>
      <w:tr w:rsidR="005601AC" w:rsidRPr="005601AC" w14:paraId="4BA5D7F8" w14:textId="77777777" w:rsidTr="00BB6EF9">
        <w:trPr>
          <w:trHeight w:val="154"/>
        </w:trPr>
        <w:tc>
          <w:tcPr>
            <w:cnfStyle w:val="001000000000" w:firstRow="0" w:lastRow="0" w:firstColumn="1" w:lastColumn="0" w:oddVBand="0" w:evenVBand="0" w:oddHBand="0" w:evenHBand="0" w:firstRowFirstColumn="0" w:firstRowLastColumn="0" w:lastRowFirstColumn="0" w:lastRowLastColumn="0"/>
            <w:tcW w:w="4390" w:type="dxa"/>
            <w:noWrap/>
            <w:hideMark/>
          </w:tcPr>
          <w:p w14:paraId="4DA3E4AD" w14:textId="77777777" w:rsidR="005601AC" w:rsidRPr="005601AC" w:rsidRDefault="005601AC" w:rsidP="005601AC">
            <w:pPr>
              <w:rPr>
                <w:rFonts w:ascii="Arial" w:eastAsia="Times New Roman" w:hAnsi="Arial" w:cs="Arial"/>
                <w:i/>
                <w:color w:val="auto"/>
                <w:sz w:val="18"/>
                <w:szCs w:val="18"/>
              </w:rPr>
            </w:pPr>
            <w:r w:rsidRPr="005601AC">
              <w:rPr>
                <w:rFonts w:ascii="Arial" w:eastAsia="Times New Roman" w:hAnsi="Arial" w:cs="Arial"/>
                <w:color w:val="auto"/>
                <w:sz w:val="18"/>
                <w:szCs w:val="18"/>
              </w:rPr>
              <w:t>Programa de Salud EPS de Comfaboy en liquidación voluntaria</w:t>
            </w:r>
          </w:p>
        </w:tc>
        <w:tc>
          <w:tcPr>
            <w:tcW w:w="4551" w:type="dxa"/>
            <w:noWrap/>
          </w:tcPr>
          <w:p w14:paraId="2388A16F" w14:textId="77777777" w:rsidR="005601AC" w:rsidRPr="005601AC" w:rsidRDefault="005601AC" w:rsidP="005601AC">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sz w:val="18"/>
                <w:szCs w:val="18"/>
              </w:rPr>
            </w:pPr>
            <w:r w:rsidRPr="005601AC">
              <w:rPr>
                <w:rFonts w:ascii="Arial" w:eastAsia="Times New Roman" w:hAnsi="Arial" w:cs="Arial"/>
                <w:bCs/>
                <w:color w:val="auto"/>
                <w:sz w:val="18"/>
                <w:szCs w:val="18"/>
              </w:rPr>
              <w:t>1.700</w:t>
            </w:r>
          </w:p>
        </w:tc>
      </w:tr>
      <w:tr w:rsidR="005601AC" w:rsidRPr="005601AC" w14:paraId="1BA31F99" w14:textId="77777777" w:rsidTr="00BB6EF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0" w:type="dxa"/>
            <w:noWrap/>
            <w:hideMark/>
          </w:tcPr>
          <w:p w14:paraId="345B2B39" w14:textId="77777777" w:rsidR="005601AC" w:rsidRPr="005601AC" w:rsidRDefault="005601AC" w:rsidP="005601AC">
            <w:pPr>
              <w:rPr>
                <w:rFonts w:ascii="Arial" w:eastAsia="Times New Roman" w:hAnsi="Arial" w:cs="Arial"/>
                <w:i/>
                <w:color w:val="auto"/>
                <w:sz w:val="18"/>
                <w:szCs w:val="18"/>
              </w:rPr>
            </w:pPr>
            <w:r w:rsidRPr="005601AC">
              <w:rPr>
                <w:rFonts w:ascii="Arial" w:eastAsia="Times New Roman" w:hAnsi="Arial" w:cs="Arial"/>
                <w:color w:val="auto"/>
                <w:sz w:val="18"/>
                <w:szCs w:val="18"/>
              </w:rPr>
              <w:t>TOTAL</w:t>
            </w:r>
          </w:p>
        </w:tc>
        <w:tc>
          <w:tcPr>
            <w:tcW w:w="4551" w:type="dxa"/>
            <w:noWrap/>
          </w:tcPr>
          <w:p w14:paraId="2895F34A" w14:textId="77777777" w:rsidR="005601AC" w:rsidRPr="005601AC" w:rsidRDefault="005601AC" w:rsidP="005601AC">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sz w:val="18"/>
                <w:szCs w:val="18"/>
              </w:rPr>
            </w:pPr>
            <w:r w:rsidRPr="005601AC">
              <w:rPr>
                <w:rFonts w:ascii="Arial" w:eastAsia="Times New Roman" w:hAnsi="Arial" w:cs="Arial"/>
                <w:b/>
                <w:color w:val="auto"/>
                <w:sz w:val="18"/>
                <w:szCs w:val="18"/>
              </w:rPr>
              <w:t>6.280</w:t>
            </w:r>
          </w:p>
        </w:tc>
      </w:tr>
    </w:tbl>
    <w:p w14:paraId="5BFFEF85" w14:textId="1717CCE3" w:rsidR="005601AC" w:rsidRPr="005601AC" w:rsidRDefault="005601AC" w:rsidP="005601AC">
      <w:pPr>
        <w:spacing w:after="0" w:line="240" w:lineRule="auto"/>
        <w:jc w:val="center"/>
        <w:rPr>
          <w:rFonts w:ascii="Arial" w:hAnsi="Arial" w:cs="Arial"/>
          <w:sz w:val="16"/>
          <w:szCs w:val="16"/>
          <w:lang w:eastAsia="es-CO"/>
        </w:rPr>
      </w:pPr>
      <w:r w:rsidRPr="005601AC">
        <w:rPr>
          <w:rFonts w:ascii="Arial" w:hAnsi="Arial" w:cs="Arial"/>
          <w:sz w:val="16"/>
          <w:szCs w:val="16"/>
          <w:lang w:eastAsia="es-CO"/>
        </w:rPr>
        <w:t>Fuente: Superintendencia Nacional de Salud, asignación corte junio de 2020</w:t>
      </w:r>
      <w:r w:rsidR="008C7FFB">
        <w:rPr>
          <w:rFonts w:ascii="Arial" w:hAnsi="Arial" w:cs="Arial"/>
          <w:sz w:val="16"/>
          <w:szCs w:val="16"/>
          <w:lang w:eastAsia="es-CO"/>
        </w:rPr>
        <w:t>.</w:t>
      </w:r>
    </w:p>
    <w:p w14:paraId="0494B157" w14:textId="77777777" w:rsidR="005601AC" w:rsidRPr="005601AC" w:rsidRDefault="005601AC" w:rsidP="005601AC">
      <w:pPr>
        <w:spacing w:after="0" w:line="240" w:lineRule="auto"/>
        <w:jc w:val="both"/>
        <w:rPr>
          <w:rFonts w:ascii="Calibri" w:eastAsia="Times New Roman" w:hAnsi="Calibri" w:cs="Calibri"/>
          <w:color w:val="000000"/>
          <w:lang w:eastAsia="es-CO"/>
        </w:rPr>
      </w:pPr>
    </w:p>
    <w:p w14:paraId="2E47969D" w14:textId="40721745" w:rsidR="001B0240" w:rsidRPr="00C31D64"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t>16. ¿Cuál es el porcentaje de pago y aceptación de las acreencias generadas de los procesos liquidatorios?</w:t>
      </w:r>
    </w:p>
    <w:p w14:paraId="1CA03E4F" w14:textId="4A831A84" w:rsidR="005601AC" w:rsidRDefault="005601AC" w:rsidP="001B0240">
      <w:pPr>
        <w:pStyle w:val="xxmsonormal"/>
        <w:shd w:val="clear" w:color="auto" w:fill="FFFFFF"/>
        <w:spacing w:before="0" w:beforeAutospacing="0" w:after="0" w:afterAutospacing="0"/>
        <w:jc w:val="both"/>
        <w:rPr>
          <w:rFonts w:ascii="Arial" w:hAnsi="Arial" w:cs="Arial"/>
          <w:b/>
          <w:bCs/>
          <w:color w:val="201F1E"/>
          <w:sz w:val="22"/>
          <w:szCs w:val="22"/>
          <w:bdr w:val="none" w:sz="0" w:space="0" w:color="auto" w:frame="1"/>
          <w:shd w:val="clear" w:color="auto" w:fill="FFFF00"/>
          <w:lang w:val="es-ES"/>
        </w:rPr>
      </w:pPr>
    </w:p>
    <w:p w14:paraId="6799F075" w14:textId="27E215C9" w:rsidR="005601AC" w:rsidRPr="005601AC" w:rsidRDefault="005601AC" w:rsidP="005601AC">
      <w:pPr>
        <w:spacing w:after="0" w:line="240" w:lineRule="auto"/>
        <w:rPr>
          <w:rFonts w:ascii="Arial" w:hAnsi="Arial" w:cs="Arial"/>
          <w:lang w:eastAsia="es-CO"/>
        </w:rPr>
      </w:pPr>
      <w:r w:rsidRPr="005601AC">
        <w:rPr>
          <w:rFonts w:ascii="Arial" w:hAnsi="Arial" w:cs="Arial"/>
          <w:lang w:val="es-ES" w:eastAsia="es-CO"/>
        </w:rPr>
        <w:t>La respuesta a est</w:t>
      </w:r>
      <w:r>
        <w:rPr>
          <w:rFonts w:ascii="Arial" w:hAnsi="Arial" w:cs="Arial"/>
          <w:lang w:val="es-ES" w:eastAsia="es-CO"/>
        </w:rPr>
        <w:t>e punto s</w:t>
      </w:r>
      <w:r w:rsidRPr="005601AC">
        <w:rPr>
          <w:rFonts w:ascii="Arial" w:hAnsi="Arial" w:cs="Arial"/>
          <w:lang w:val="es-ES" w:eastAsia="es-CO"/>
        </w:rPr>
        <w:t xml:space="preserve">e </w:t>
      </w:r>
      <w:r w:rsidR="00CC2DBA">
        <w:rPr>
          <w:rFonts w:ascii="Arial" w:hAnsi="Arial" w:cs="Arial"/>
          <w:lang w:val="es-ES" w:eastAsia="es-CO"/>
        </w:rPr>
        <w:t>encuentra en</w:t>
      </w:r>
      <w:r w:rsidRPr="005601AC">
        <w:rPr>
          <w:rFonts w:ascii="Arial" w:hAnsi="Arial" w:cs="Arial"/>
          <w:lang w:val="es-ES" w:eastAsia="es-CO"/>
        </w:rPr>
        <w:t xml:space="preserve"> la matriz de acreencias de EPS en liquidación forzosa </w:t>
      </w:r>
      <w:r w:rsidR="00CC2DBA">
        <w:rPr>
          <w:rFonts w:ascii="Arial" w:hAnsi="Arial" w:cs="Arial"/>
          <w:lang w:val="es-ES" w:eastAsia="es-CO"/>
        </w:rPr>
        <w:t>que se presentó en respuesta al punto 14</w:t>
      </w:r>
      <w:r w:rsidRPr="005601AC">
        <w:rPr>
          <w:rFonts w:ascii="Arial" w:hAnsi="Arial" w:cs="Arial"/>
          <w:lang w:val="es-ES" w:eastAsia="es-CO"/>
        </w:rPr>
        <w:t>.</w:t>
      </w:r>
    </w:p>
    <w:p w14:paraId="6F852BEE" w14:textId="0BF93C8C" w:rsidR="001B0240" w:rsidRPr="001B0240" w:rsidRDefault="001B0240" w:rsidP="001B0240">
      <w:pPr>
        <w:pStyle w:val="xxmsonormal"/>
        <w:shd w:val="clear" w:color="auto" w:fill="FFFFFF"/>
        <w:spacing w:before="0" w:beforeAutospacing="0" w:after="0" w:afterAutospacing="0"/>
        <w:jc w:val="both"/>
        <w:rPr>
          <w:rFonts w:ascii="Arial" w:hAnsi="Arial" w:cs="Arial"/>
          <w:color w:val="201F1E"/>
          <w:sz w:val="22"/>
          <w:szCs w:val="22"/>
        </w:rPr>
      </w:pPr>
    </w:p>
    <w:p w14:paraId="62F34504" w14:textId="6526F66B" w:rsidR="001B0240" w:rsidRPr="00C31D64"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t>17. Informe si la Superintendencia Nacional de Salud, en calidad de ente de inspección, vigilancia y control de las EPS, está elaborando y adoptando planes de seguimiento que le permitan hacer un monitoreo constante para evitar la liquidación de las EPS.</w:t>
      </w:r>
    </w:p>
    <w:p w14:paraId="2763793E" w14:textId="22C84236" w:rsidR="001B0240" w:rsidRPr="001B0240" w:rsidRDefault="001B0240" w:rsidP="001B0240">
      <w:pPr>
        <w:pStyle w:val="xxmsonormal"/>
        <w:shd w:val="clear" w:color="auto" w:fill="FFFFFF"/>
        <w:spacing w:before="0" w:beforeAutospacing="0" w:after="0" w:afterAutospacing="0"/>
        <w:jc w:val="both"/>
        <w:rPr>
          <w:rFonts w:ascii="Arial" w:hAnsi="Arial" w:cs="Arial"/>
          <w:color w:val="201F1E"/>
          <w:sz w:val="22"/>
          <w:szCs w:val="22"/>
        </w:rPr>
      </w:pPr>
    </w:p>
    <w:p w14:paraId="23209BE7" w14:textId="78113FF1" w:rsidR="00C31D64" w:rsidRPr="00BD149C" w:rsidRDefault="00C31D64" w:rsidP="00C31D64">
      <w:pPr>
        <w:pStyle w:val="Sinespaciado"/>
        <w:jc w:val="both"/>
        <w:rPr>
          <w:rFonts w:ascii="Arial" w:hAnsi="Arial" w:cs="Arial"/>
        </w:rPr>
      </w:pPr>
      <w:r w:rsidRPr="00BD149C">
        <w:rPr>
          <w:rFonts w:ascii="Arial" w:hAnsi="Arial" w:cs="Arial"/>
        </w:rPr>
        <w:t xml:space="preserve">En línea con la adopción del Modelo de Supervisión </w:t>
      </w:r>
      <w:r>
        <w:rPr>
          <w:rFonts w:ascii="Arial" w:hAnsi="Arial" w:cs="Arial"/>
        </w:rPr>
        <w:t>B</w:t>
      </w:r>
      <w:r w:rsidRPr="00BD149C">
        <w:rPr>
          <w:rFonts w:ascii="Arial" w:hAnsi="Arial" w:cs="Arial"/>
        </w:rPr>
        <w:t xml:space="preserve">asado en Riesgos, la Superintendencia Nacional de Salud ha orientado sus esfuerzos en desarrollar mecanismos de seguimiento fundamentados en la evaluación de la implementación de Sistemas Integrados de Gestión de Riesgos en las EPS, considerado que dichos sistemas </w:t>
      </w:r>
      <w:r>
        <w:rPr>
          <w:rFonts w:ascii="Arial" w:hAnsi="Arial" w:cs="Arial"/>
        </w:rPr>
        <w:t xml:space="preserve">tienen como objetivo principal la identificación, análisis y cuantificación de los riesgos a los que se encuentran expuestos en el desarrollo de su objeto, así como en la adopción de medidas preventivas que permitan reducir su probabilidad y/o impacto. </w:t>
      </w:r>
    </w:p>
    <w:p w14:paraId="3509B872" w14:textId="77777777" w:rsidR="00C31D64" w:rsidRDefault="00C31D64" w:rsidP="00C31D64">
      <w:pPr>
        <w:pStyle w:val="Sinespaciado"/>
      </w:pPr>
    </w:p>
    <w:p w14:paraId="50F5CAD9" w14:textId="77A0D533" w:rsidR="00C31D64" w:rsidRPr="006C76B6" w:rsidRDefault="00C31D64" w:rsidP="00C31D64">
      <w:pPr>
        <w:jc w:val="both"/>
        <w:rPr>
          <w:rFonts w:ascii="Arial" w:hAnsi="Arial" w:cs="Arial"/>
        </w:rPr>
      </w:pPr>
      <w:r>
        <w:rPr>
          <w:rFonts w:ascii="Arial" w:hAnsi="Arial" w:cs="Arial"/>
        </w:rPr>
        <w:t xml:space="preserve">Es preciso señalar que una adecuada gestión de riesgos permite a las entidades facilitar el cumplimiento de sus objetivos estratégicos y con ello aportar a la estabilidad del sector; razón por la cual la Superintendencia Nacional de Salud a través de la Circular Externa 0004 de 2018 impartió instrucciones a las EPS respecto del diseño e implementación del Sistema Integrado de Gestión de Riesgos; estableciendo como prioritario la gestión de los siguientes riesgos de Salud, Actuarial, Crédito, Liquidez, Mercado de Capitales, Operacional, Fallas de Mercado de Salud, Grupo, Reputacional y Lavado de Activos y Financiación del Terrorismo. </w:t>
      </w:r>
    </w:p>
    <w:p w14:paraId="0073D415" w14:textId="7698991C" w:rsidR="00C31D64" w:rsidRDefault="00C31D64" w:rsidP="00C31D64">
      <w:pPr>
        <w:jc w:val="both"/>
        <w:rPr>
          <w:rFonts w:ascii="Arial" w:hAnsi="Arial" w:cs="Arial"/>
        </w:rPr>
      </w:pPr>
      <w:r>
        <w:rPr>
          <w:rFonts w:ascii="Arial" w:hAnsi="Arial" w:cs="Arial"/>
        </w:rPr>
        <w:t xml:space="preserve">Con la implementación de los sistemas de administración de riesgos se ha buscado fortalecer el aseguramiento </w:t>
      </w:r>
      <w:r w:rsidRPr="002D4A70">
        <w:rPr>
          <w:rFonts w:ascii="Arial" w:hAnsi="Arial" w:cs="Arial"/>
        </w:rPr>
        <w:t xml:space="preserve">y Ia prestación del servicio en salud, así como </w:t>
      </w:r>
      <w:r>
        <w:rPr>
          <w:rFonts w:ascii="Arial" w:hAnsi="Arial" w:cs="Arial"/>
        </w:rPr>
        <w:t>la generación de</w:t>
      </w:r>
      <w:r w:rsidRPr="002D4A70">
        <w:rPr>
          <w:rFonts w:ascii="Arial" w:hAnsi="Arial" w:cs="Arial"/>
        </w:rPr>
        <w:t xml:space="preserve"> condiciones de estabilidad operativa y financiera de las instituciones</w:t>
      </w:r>
      <w:r>
        <w:rPr>
          <w:rFonts w:ascii="Arial" w:hAnsi="Arial" w:cs="Arial"/>
        </w:rPr>
        <w:t>. En este sentido, los planes de seguimiento desarrollados por esta Superintendencia se fundamentan en la evaluación de la gestión de riesgos efectuada por los vigilados, la adopción de medidas preventivas y oportunas, así como la consolidación de una cultura de autocontrol que aporte en el cumplimiento de los objetivos trazados.</w:t>
      </w:r>
    </w:p>
    <w:p w14:paraId="06EBFDEE" w14:textId="6A5D7DE9" w:rsidR="00F913D1" w:rsidRDefault="00B66B81" w:rsidP="00F913D1">
      <w:pPr>
        <w:jc w:val="both"/>
        <w:rPr>
          <w:rFonts w:ascii="Arial" w:hAnsi="Arial" w:cs="Arial"/>
        </w:rPr>
      </w:pPr>
      <w:r>
        <w:rPr>
          <w:rFonts w:ascii="Arial" w:hAnsi="Arial" w:cs="Arial"/>
        </w:rPr>
        <w:lastRenderedPageBreak/>
        <w:t>Por su parte, l</w:t>
      </w:r>
      <w:r w:rsidR="00F913D1" w:rsidRPr="00B0606F">
        <w:rPr>
          <w:rFonts w:ascii="Arial" w:hAnsi="Arial" w:cs="Arial"/>
        </w:rPr>
        <w:t>a</w:t>
      </w:r>
      <w:r w:rsidR="00F913D1" w:rsidRPr="00F913D1">
        <w:rPr>
          <w:rFonts w:ascii="Arial" w:hAnsi="Arial" w:cs="Arial"/>
        </w:rPr>
        <w:t xml:space="preserve"> Delegada de </w:t>
      </w:r>
      <w:r>
        <w:rPr>
          <w:rFonts w:ascii="Arial" w:hAnsi="Arial" w:cs="Arial"/>
        </w:rPr>
        <w:t>M</w:t>
      </w:r>
      <w:r w:rsidR="00F913D1" w:rsidRPr="00F913D1">
        <w:rPr>
          <w:rFonts w:ascii="Arial" w:hAnsi="Arial" w:cs="Arial"/>
        </w:rPr>
        <w:t xml:space="preserve">edidas </w:t>
      </w:r>
      <w:r>
        <w:rPr>
          <w:rFonts w:ascii="Arial" w:hAnsi="Arial" w:cs="Arial"/>
        </w:rPr>
        <w:t>E</w:t>
      </w:r>
      <w:r w:rsidR="00F913D1" w:rsidRPr="00F913D1">
        <w:rPr>
          <w:rFonts w:ascii="Arial" w:hAnsi="Arial" w:cs="Arial"/>
        </w:rPr>
        <w:t xml:space="preserve">speciales a través del Sistema de Gestión y </w:t>
      </w:r>
      <w:r w:rsidR="005E6AFB">
        <w:rPr>
          <w:rFonts w:ascii="Arial" w:hAnsi="Arial" w:cs="Arial"/>
        </w:rPr>
        <w:t>C</w:t>
      </w:r>
      <w:r w:rsidR="00F913D1" w:rsidRPr="00F913D1">
        <w:rPr>
          <w:rFonts w:ascii="Arial" w:hAnsi="Arial" w:cs="Arial"/>
        </w:rPr>
        <w:t xml:space="preserve">ontrol de Medidas Especiales </w:t>
      </w:r>
      <w:r w:rsidR="005E6AFB">
        <w:rPr>
          <w:rFonts w:ascii="Arial" w:hAnsi="Arial" w:cs="Arial"/>
        </w:rPr>
        <w:t xml:space="preserve">- </w:t>
      </w:r>
      <w:r w:rsidR="00F913D1" w:rsidRPr="00F913D1">
        <w:rPr>
          <w:rFonts w:ascii="Arial" w:hAnsi="Arial" w:cs="Arial"/>
        </w:rPr>
        <w:t xml:space="preserve">Fénix realiza el monitoreo y seguimiento constante a las acciones procesos y medidas especiales ordenados a las EAPB, en el marco de este seguimiento se evalúan de manera mensual los planes de acción definidos por cada una de las entidades que se encuentran bajo alguna acción administrativa; como resultado de esta evaluación </w:t>
      </w:r>
      <w:r w:rsidR="005E6AFB">
        <w:rPr>
          <w:rFonts w:ascii="Arial" w:hAnsi="Arial" w:cs="Arial"/>
        </w:rPr>
        <w:t>esta D</w:t>
      </w:r>
      <w:r w:rsidR="00F913D1" w:rsidRPr="00F913D1">
        <w:rPr>
          <w:rFonts w:ascii="Arial" w:hAnsi="Arial" w:cs="Arial"/>
        </w:rPr>
        <w:t>elegada realiza análisis de la calidad, confiabilidad y veracidad de la información reportada por cada EPAB, genera requerimientos de información, solicita a los contralores designados la auditor</w:t>
      </w:r>
      <w:r w:rsidR="005E6AFB">
        <w:rPr>
          <w:rFonts w:ascii="Arial" w:hAnsi="Arial" w:cs="Arial"/>
        </w:rPr>
        <w:t>í</w:t>
      </w:r>
      <w:r w:rsidR="00F913D1" w:rsidRPr="00F913D1">
        <w:rPr>
          <w:rFonts w:ascii="Arial" w:hAnsi="Arial" w:cs="Arial"/>
        </w:rPr>
        <w:t>a en procesos específicos</w:t>
      </w:r>
      <w:r w:rsidR="005E6AFB">
        <w:rPr>
          <w:rFonts w:ascii="Arial" w:hAnsi="Arial" w:cs="Arial"/>
        </w:rPr>
        <w:t>,</w:t>
      </w:r>
      <w:r w:rsidR="00F913D1" w:rsidRPr="00F913D1">
        <w:rPr>
          <w:rFonts w:ascii="Arial" w:hAnsi="Arial" w:cs="Arial"/>
        </w:rPr>
        <w:t xml:space="preserve"> de acuerdo </w:t>
      </w:r>
      <w:r w:rsidR="005E6AFB">
        <w:rPr>
          <w:rFonts w:ascii="Arial" w:hAnsi="Arial" w:cs="Arial"/>
        </w:rPr>
        <w:t>con</w:t>
      </w:r>
      <w:r w:rsidR="00F913D1" w:rsidRPr="00F913D1">
        <w:rPr>
          <w:rFonts w:ascii="Arial" w:hAnsi="Arial" w:cs="Arial"/>
        </w:rPr>
        <w:t xml:space="preserve"> las necesidades identificadas durante el seguimiento e imparte </w:t>
      </w:r>
      <w:r w:rsidR="005E6AFB">
        <w:rPr>
          <w:rFonts w:ascii="Arial" w:hAnsi="Arial" w:cs="Arial"/>
        </w:rPr>
        <w:t>ó</w:t>
      </w:r>
      <w:r w:rsidR="00F913D1" w:rsidRPr="00F913D1">
        <w:rPr>
          <w:rFonts w:ascii="Arial" w:hAnsi="Arial" w:cs="Arial"/>
        </w:rPr>
        <w:t>rdenes específicas a las entidades que se encuentran bajo alguna acción o medida especial para que subsanen las causales</w:t>
      </w:r>
      <w:r w:rsidR="007A4073">
        <w:rPr>
          <w:rFonts w:ascii="Arial" w:hAnsi="Arial" w:cs="Arial"/>
        </w:rPr>
        <w:t xml:space="preserve"> </w:t>
      </w:r>
      <w:r w:rsidR="00F913D1" w:rsidRPr="00F913D1">
        <w:rPr>
          <w:rFonts w:ascii="Arial" w:hAnsi="Arial" w:cs="Arial"/>
        </w:rPr>
        <w:t xml:space="preserve">que dan origen a la imposición o mantenimiento de una acción o medida especial.  </w:t>
      </w:r>
    </w:p>
    <w:p w14:paraId="12673AFF" w14:textId="5EDD22E2" w:rsidR="00B66B81" w:rsidRPr="00B66B81" w:rsidRDefault="00A12767" w:rsidP="00B66B81">
      <w:pPr>
        <w:pStyle w:val="NormalWeb"/>
        <w:spacing w:line="270" w:lineRule="atLeast"/>
        <w:jc w:val="both"/>
        <w:rPr>
          <w:rFonts w:ascii="Arial" w:hAnsi="Arial" w:cs="Arial"/>
          <w:sz w:val="22"/>
          <w:szCs w:val="22"/>
        </w:rPr>
      </w:pPr>
      <w:r>
        <w:rPr>
          <w:rFonts w:ascii="Arial" w:hAnsi="Arial" w:cs="Arial"/>
          <w:sz w:val="22"/>
          <w:szCs w:val="22"/>
        </w:rPr>
        <w:t>De otro lado, c</w:t>
      </w:r>
      <w:r w:rsidR="00B66B81" w:rsidRPr="00B66B81">
        <w:rPr>
          <w:rFonts w:ascii="Arial" w:hAnsi="Arial" w:cs="Arial"/>
          <w:sz w:val="22"/>
          <w:szCs w:val="22"/>
        </w:rPr>
        <w:t>omo resultado de las acciones de inspección y vigilancia al evidenciar situaciones que afecten el desempeño institucional o se transgredan las normas que reglamentan el SGSSS, se solicita</w:t>
      </w:r>
      <w:r>
        <w:rPr>
          <w:rFonts w:ascii="Arial" w:hAnsi="Arial" w:cs="Arial"/>
          <w:sz w:val="22"/>
          <w:szCs w:val="22"/>
        </w:rPr>
        <w:t xml:space="preserve"> a las EPS</w:t>
      </w:r>
      <w:r w:rsidR="00B66B81" w:rsidRPr="00B66B81">
        <w:rPr>
          <w:rFonts w:ascii="Arial" w:hAnsi="Arial" w:cs="Arial"/>
          <w:sz w:val="22"/>
          <w:szCs w:val="22"/>
        </w:rPr>
        <w:t xml:space="preserve"> actividades que permitan subsanar o corregir lo evidenciado a través de un plan de mejoramiento, el cual debe ser aprobado previamente por parte de esta </w:t>
      </w:r>
      <w:r>
        <w:rPr>
          <w:rFonts w:ascii="Arial" w:hAnsi="Arial" w:cs="Arial"/>
          <w:sz w:val="22"/>
          <w:szCs w:val="22"/>
        </w:rPr>
        <w:t>s</w:t>
      </w:r>
      <w:r w:rsidR="00B66B81" w:rsidRPr="00B66B81">
        <w:rPr>
          <w:rFonts w:ascii="Arial" w:hAnsi="Arial" w:cs="Arial"/>
          <w:sz w:val="22"/>
          <w:szCs w:val="22"/>
        </w:rPr>
        <w:t>uperintendencia para la ejecución de este por la entidad.</w:t>
      </w:r>
    </w:p>
    <w:p w14:paraId="636F9AB0" w14:textId="66F628C7" w:rsidR="00B66B81" w:rsidRDefault="00B66B81" w:rsidP="00A12767">
      <w:pPr>
        <w:pStyle w:val="NormalWeb"/>
        <w:spacing w:line="270" w:lineRule="atLeast"/>
        <w:jc w:val="both"/>
        <w:rPr>
          <w:rFonts w:ascii="Arial" w:hAnsi="Arial" w:cs="Arial"/>
          <w:sz w:val="22"/>
          <w:szCs w:val="22"/>
        </w:rPr>
      </w:pPr>
      <w:r w:rsidRPr="00B66B81">
        <w:rPr>
          <w:rFonts w:ascii="Arial" w:hAnsi="Arial" w:cs="Arial"/>
          <w:sz w:val="22"/>
          <w:szCs w:val="22"/>
        </w:rPr>
        <w:t>A estos planes de mejoramiento se le realiza seguimiento de acuerdo con el procedimiento establecido por la Superintendencia Nacional de Salud, con periodicidad semestral, si la entidad no cumple con lo suscrito en el mismo se inician las acciones de control como dar traslado para apertura de investigación administrativa.</w:t>
      </w:r>
    </w:p>
    <w:p w14:paraId="3C910F60" w14:textId="31F47D91" w:rsidR="004D1177" w:rsidRDefault="004D1177" w:rsidP="004D1177">
      <w:pPr>
        <w:pStyle w:val="xxmsonormal"/>
        <w:shd w:val="clear" w:color="auto" w:fill="FFFFFF"/>
        <w:spacing w:before="0" w:beforeAutospacing="0" w:after="0" w:afterAutospacing="0"/>
        <w:jc w:val="both"/>
        <w:rPr>
          <w:rFonts w:ascii="Arial" w:hAnsi="Arial" w:cs="Arial"/>
          <w:b/>
          <w:bCs/>
          <w:color w:val="201F1E"/>
          <w:sz w:val="22"/>
          <w:szCs w:val="22"/>
          <w:bdr w:val="none" w:sz="0" w:space="0" w:color="auto" w:frame="1"/>
          <w:lang w:val="es-ES"/>
        </w:rPr>
      </w:pPr>
      <w:r w:rsidRPr="00C31D64">
        <w:rPr>
          <w:rFonts w:ascii="Arial" w:hAnsi="Arial" w:cs="Arial"/>
          <w:b/>
          <w:bCs/>
          <w:color w:val="201F1E"/>
          <w:sz w:val="22"/>
          <w:szCs w:val="22"/>
          <w:bdr w:val="none" w:sz="0" w:space="0" w:color="auto" w:frame="1"/>
          <w:lang w:val="es-ES"/>
        </w:rPr>
        <w:t>18. ¿Qué gestiones ha implementado la Superintendencia Nacional de Salud ante el Ministerio de Salud y Protección Social, para que se efectúen los pagos de los servicios prestados a las IPS?</w:t>
      </w:r>
    </w:p>
    <w:p w14:paraId="0B820084" w14:textId="77777777" w:rsidR="00CA0FEA" w:rsidRPr="00C31D64" w:rsidRDefault="00CA0FEA" w:rsidP="004D1177">
      <w:pPr>
        <w:pStyle w:val="xxmsonormal"/>
        <w:shd w:val="clear" w:color="auto" w:fill="FFFFFF"/>
        <w:spacing w:before="0" w:beforeAutospacing="0" w:after="0" w:afterAutospacing="0"/>
        <w:jc w:val="both"/>
        <w:rPr>
          <w:rFonts w:ascii="Arial" w:hAnsi="Arial" w:cs="Arial"/>
          <w:b/>
          <w:bCs/>
          <w:color w:val="201F1E"/>
          <w:sz w:val="22"/>
          <w:szCs w:val="22"/>
        </w:rPr>
      </w:pPr>
    </w:p>
    <w:p w14:paraId="3F7015BC" w14:textId="1FB43DE5" w:rsidR="003B06FA" w:rsidRDefault="004D1177" w:rsidP="004D1177">
      <w:pPr>
        <w:pStyle w:val="xxmsonormal"/>
        <w:shd w:val="clear" w:color="auto" w:fill="FFFFFF"/>
        <w:spacing w:before="0" w:beforeAutospacing="0" w:after="0" w:afterAutospacing="0"/>
        <w:jc w:val="both"/>
        <w:rPr>
          <w:rFonts w:ascii="Arial" w:hAnsi="Arial" w:cs="Arial"/>
          <w:color w:val="201F1E"/>
          <w:sz w:val="22"/>
          <w:szCs w:val="22"/>
          <w:bdr w:val="none" w:sz="0" w:space="0" w:color="auto" w:frame="1"/>
          <w:lang w:val="es-ES"/>
        </w:rPr>
      </w:pPr>
      <w:r>
        <w:rPr>
          <w:rFonts w:ascii="Arial" w:hAnsi="Arial" w:cs="Arial"/>
          <w:color w:val="201F1E"/>
          <w:sz w:val="22"/>
          <w:szCs w:val="22"/>
        </w:rPr>
        <w:t xml:space="preserve">En </w:t>
      </w:r>
      <w:r>
        <w:rPr>
          <w:rFonts w:ascii="Arial" w:eastAsia="Calibri" w:hAnsi="Arial" w:cs="Arial"/>
          <w:color w:val="000000"/>
          <w:sz w:val="22"/>
          <w:szCs w:val="22"/>
        </w:rPr>
        <w:t xml:space="preserve">relación con este punto </w:t>
      </w:r>
      <w:r w:rsidRPr="009B668F">
        <w:rPr>
          <w:rFonts w:ascii="Arial" w:hAnsi="Arial" w:cs="Arial"/>
          <w:color w:val="201F1E"/>
          <w:sz w:val="22"/>
          <w:szCs w:val="22"/>
          <w:bdr w:val="none" w:sz="0" w:space="0" w:color="auto" w:frame="1"/>
          <w:lang w:val="es-ES"/>
        </w:rPr>
        <w:t xml:space="preserve">se precisa que </w:t>
      </w:r>
      <w:r w:rsidR="003B06FA" w:rsidRPr="003B06FA">
        <w:rPr>
          <w:rFonts w:ascii="Arial" w:hAnsi="Arial" w:cs="Arial"/>
          <w:color w:val="201F1E"/>
          <w:sz w:val="22"/>
          <w:szCs w:val="22"/>
          <w:bdr w:val="none" w:sz="0" w:space="0" w:color="auto" w:frame="1"/>
          <w:lang w:val="es-ES"/>
        </w:rPr>
        <w:t xml:space="preserve">lo que </w:t>
      </w:r>
      <w:r w:rsidR="003B06FA">
        <w:rPr>
          <w:rFonts w:ascii="Arial" w:hAnsi="Arial" w:cs="Arial"/>
          <w:color w:val="201F1E"/>
          <w:sz w:val="22"/>
          <w:szCs w:val="22"/>
          <w:bdr w:val="none" w:sz="0" w:space="0" w:color="auto" w:frame="1"/>
          <w:lang w:val="es-ES"/>
        </w:rPr>
        <w:t xml:space="preserve">se describe a continuación son las gestiones adelantadas por la Superintendencia </w:t>
      </w:r>
      <w:r w:rsidR="003B06FA" w:rsidRPr="003B06FA">
        <w:rPr>
          <w:rFonts w:ascii="Arial" w:hAnsi="Arial" w:cs="Arial"/>
          <w:color w:val="201F1E"/>
          <w:sz w:val="22"/>
          <w:szCs w:val="22"/>
          <w:bdr w:val="none" w:sz="0" w:space="0" w:color="auto" w:frame="1"/>
          <w:lang w:val="es-ES"/>
        </w:rPr>
        <w:t xml:space="preserve">para que efectúen los pagos a la red, y no </w:t>
      </w:r>
      <w:r w:rsidR="003B06FA">
        <w:rPr>
          <w:rFonts w:ascii="Arial" w:hAnsi="Arial" w:cs="Arial"/>
          <w:color w:val="201F1E"/>
          <w:sz w:val="22"/>
          <w:szCs w:val="22"/>
          <w:bdr w:val="none" w:sz="0" w:space="0" w:color="auto" w:frame="1"/>
          <w:lang w:val="es-ES"/>
        </w:rPr>
        <w:t xml:space="preserve">es una función propia de esta entidad adelantar </w:t>
      </w:r>
      <w:r w:rsidR="003B06FA" w:rsidRPr="003B06FA">
        <w:rPr>
          <w:rFonts w:ascii="Arial" w:hAnsi="Arial" w:cs="Arial"/>
          <w:color w:val="201F1E"/>
          <w:sz w:val="22"/>
          <w:szCs w:val="22"/>
          <w:bdr w:val="none" w:sz="0" w:space="0" w:color="auto" w:frame="1"/>
          <w:lang w:val="es-ES"/>
        </w:rPr>
        <w:t xml:space="preserve">gestiones ante el Ministerio de Salud </w:t>
      </w:r>
      <w:r w:rsidR="003B06FA">
        <w:rPr>
          <w:rFonts w:ascii="Arial" w:hAnsi="Arial" w:cs="Arial"/>
          <w:color w:val="201F1E"/>
          <w:sz w:val="22"/>
          <w:szCs w:val="22"/>
          <w:bdr w:val="none" w:sz="0" w:space="0" w:color="auto" w:frame="1"/>
          <w:lang w:val="es-ES"/>
        </w:rPr>
        <w:t>y Protección Social.</w:t>
      </w:r>
    </w:p>
    <w:p w14:paraId="4708D649" w14:textId="77777777" w:rsidR="003B06FA" w:rsidRDefault="003B06FA" w:rsidP="004D1177">
      <w:pPr>
        <w:pStyle w:val="xxmsonormal"/>
        <w:shd w:val="clear" w:color="auto" w:fill="FFFFFF"/>
        <w:spacing w:before="0" w:beforeAutospacing="0" w:after="0" w:afterAutospacing="0"/>
        <w:jc w:val="both"/>
        <w:rPr>
          <w:rFonts w:ascii="Arial" w:hAnsi="Arial" w:cs="Arial"/>
          <w:color w:val="201F1E"/>
          <w:sz w:val="22"/>
          <w:szCs w:val="22"/>
          <w:bdr w:val="none" w:sz="0" w:space="0" w:color="auto" w:frame="1"/>
          <w:lang w:val="es-ES"/>
        </w:rPr>
      </w:pPr>
    </w:p>
    <w:p w14:paraId="24079DA9" w14:textId="71A16549" w:rsidR="004D1177" w:rsidRPr="005E6AFB" w:rsidRDefault="003B06FA" w:rsidP="004D1177">
      <w:pPr>
        <w:pStyle w:val="xxmsonormal"/>
        <w:shd w:val="clear" w:color="auto" w:fill="FFFFFF"/>
        <w:spacing w:before="0" w:beforeAutospacing="0" w:after="0" w:afterAutospacing="0"/>
        <w:jc w:val="both"/>
        <w:rPr>
          <w:rFonts w:ascii="Arial" w:eastAsia="Calibri" w:hAnsi="Arial" w:cs="Arial"/>
          <w:color w:val="000000"/>
          <w:sz w:val="22"/>
          <w:szCs w:val="22"/>
        </w:rPr>
      </w:pPr>
      <w:r>
        <w:rPr>
          <w:rFonts w:ascii="Arial" w:hAnsi="Arial" w:cs="Arial"/>
          <w:color w:val="201F1E"/>
          <w:sz w:val="22"/>
          <w:szCs w:val="22"/>
          <w:bdr w:val="none" w:sz="0" w:space="0" w:color="auto" w:frame="1"/>
          <w:lang w:val="es-ES"/>
        </w:rPr>
        <w:t xml:space="preserve">Así las cosas, </w:t>
      </w:r>
      <w:r w:rsidR="004D1177" w:rsidRPr="009B668F">
        <w:rPr>
          <w:rFonts w:ascii="Arial" w:hAnsi="Arial" w:cs="Arial"/>
          <w:color w:val="201F1E"/>
          <w:sz w:val="22"/>
          <w:szCs w:val="22"/>
          <w:bdr w:val="none" w:sz="0" w:space="0" w:color="auto" w:frame="1"/>
          <w:lang w:val="es-ES"/>
        </w:rPr>
        <w:t>e</w:t>
      </w:r>
      <w:r w:rsidR="004D1177" w:rsidRPr="009B668F">
        <w:rPr>
          <w:rFonts w:ascii="Arial" w:hAnsi="Arial" w:cs="Arial"/>
          <w:sz w:val="22"/>
          <w:szCs w:val="22"/>
        </w:rPr>
        <w:t>n virtud de las acciones de inspección, vigilancia y control</w:t>
      </w:r>
      <w:r w:rsidR="004D1177">
        <w:rPr>
          <w:rFonts w:ascii="Arial" w:hAnsi="Arial" w:cs="Arial"/>
          <w:sz w:val="22"/>
          <w:szCs w:val="22"/>
        </w:rPr>
        <w:t>,</w:t>
      </w:r>
      <w:r w:rsidR="004D1177" w:rsidRPr="009B668F">
        <w:rPr>
          <w:rFonts w:ascii="Arial" w:hAnsi="Arial" w:cs="Arial"/>
          <w:sz w:val="22"/>
          <w:szCs w:val="22"/>
        </w:rPr>
        <w:t xml:space="preserve"> </w:t>
      </w:r>
      <w:r w:rsidR="004D1177">
        <w:rPr>
          <w:rFonts w:ascii="Arial" w:hAnsi="Arial" w:cs="Arial"/>
          <w:sz w:val="22"/>
          <w:szCs w:val="22"/>
        </w:rPr>
        <w:t>la Dele</w:t>
      </w:r>
      <w:r w:rsidR="004D1177" w:rsidRPr="009B668F">
        <w:rPr>
          <w:rFonts w:ascii="Arial" w:hAnsi="Arial" w:cs="Arial"/>
          <w:sz w:val="22"/>
          <w:szCs w:val="22"/>
        </w:rPr>
        <w:t xml:space="preserve">gada para la Supervisión Institucional </w:t>
      </w:r>
      <w:r w:rsidR="004D1177">
        <w:rPr>
          <w:rFonts w:ascii="Arial" w:hAnsi="Arial" w:cs="Arial"/>
          <w:sz w:val="22"/>
          <w:szCs w:val="22"/>
        </w:rPr>
        <w:t>de esta Superintendencia ha realizado</w:t>
      </w:r>
      <w:r w:rsidR="004D1177" w:rsidRPr="009B668F">
        <w:rPr>
          <w:rFonts w:ascii="Arial" w:hAnsi="Arial" w:cs="Arial"/>
          <w:sz w:val="22"/>
          <w:szCs w:val="22"/>
        </w:rPr>
        <w:t xml:space="preserve"> las siguientes actividades</w:t>
      </w:r>
      <w:r w:rsidR="004D1177">
        <w:rPr>
          <w:rFonts w:ascii="Arial" w:hAnsi="Arial" w:cs="Arial"/>
          <w:sz w:val="22"/>
          <w:szCs w:val="22"/>
        </w:rPr>
        <w:t xml:space="preserve"> dirigidas al cumplimiento de las instrucciones impartidas previamente mediante Circular</w:t>
      </w:r>
      <w:r w:rsidR="00CA0FEA">
        <w:rPr>
          <w:rFonts w:ascii="Arial" w:hAnsi="Arial" w:cs="Arial"/>
          <w:sz w:val="22"/>
          <w:szCs w:val="22"/>
        </w:rPr>
        <w:t xml:space="preserve">es </w:t>
      </w:r>
      <w:r w:rsidR="004D1177">
        <w:rPr>
          <w:rFonts w:ascii="Arial" w:hAnsi="Arial" w:cs="Arial"/>
          <w:sz w:val="22"/>
          <w:szCs w:val="22"/>
        </w:rPr>
        <w:t>Externa</w:t>
      </w:r>
      <w:r w:rsidR="00CA0FEA">
        <w:rPr>
          <w:rFonts w:ascii="Arial" w:hAnsi="Arial" w:cs="Arial"/>
          <w:sz w:val="22"/>
          <w:szCs w:val="22"/>
        </w:rPr>
        <w:t>s</w:t>
      </w:r>
      <w:r w:rsidR="004D1177">
        <w:rPr>
          <w:rFonts w:ascii="Arial" w:hAnsi="Arial" w:cs="Arial"/>
          <w:sz w:val="22"/>
          <w:szCs w:val="22"/>
        </w:rPr>
        <w:t xml:space="preserve"> de la </w:t>
      </w:r>
      <w:r w:rsidR="004D1177" w:rsidRPr="005E6AFB">
        <w:rPr>
          <w:rFonts w:ascii="Arial" w:hAnsi="Arial" w:cs="Arial"/>
          <w:sz w:val="22"/>
          <w:szCs w:val="22"/>
        </w:rPr>
        <w:t>entidad, las normas de punto final contenidas en el Plan Nacional de Desarrollo, los recurso</w:t>
      </w:r>
      <w:r w:rsidR="005E6AFB">
        <w:rPr>
          <w:rFonts w:ascii="Arial" w:hAnsi="Arial" w:cs="Arial"/>
          <w:sz w:val="22"/>
          <w:szCs w:val="22"/>
        </w:rPr>
        <w:t>s</w:t>
      </w:r>
      <w:r w:rsidR="004D1177" w:rsidRPr="005E6AFB">
        <w:rPr>
          <w:rFonts w:ascii="Arial" w:hAnsi="Arial" w:cs="Arial"/>
          <w:sz w:val="22"/>
          <w:szCs w:val="22"/>
        </w:rPr>
        <w:t xml:space="preserve"> del</w:t>
      </w:r>
      <w:r w:rsidR="005E6AFB">
        <w:rPr>
          <w:rFonts w:ascii="Arial" w:hAnsi="Arial" w:cs="Arial"/>
          <w:sz w:val="22"/>
          <w:szCs w:val="22"/>
          <w:u w:val="single"/>
        </w:rPr>
        <w:t xml:space="preserve"> </w:t>
      </w:r>
      <w:r w:rsidR="004D1177" w:rsidRPr="003B7799">
        <w:rPr>
          <w:rFonts w:ascii="Arial" w:hAnsi="Arial" w:cs="Arial"/>
          <w:sz w:val="22"/>
          <w:szCs w:val="22"/>
        </w:rPr>
        <w:t>Fondo de Solidaridad de Fomento al Empleo y Protección al Cesante</w:t>
      </w:r>
      <w:r w:rsidR="005E6AFB" w:rsidRPr="003B7799">
        <w:rPr>
          <w:rFonts w:ascii="Arial" w:hAnsi="Arial" w:cs="Arial"/>
          <w:sz w:val="22"/>
          <w:szCs w:val="22"/>
        </w:rPr>
        <w:t xml:space="preserve"> </w:t>
      </w:r>
      <w:r w:rsidR="004D1177" w:rsidRPr="003B7799">
        <w:rPr>
          <w:rFonts w:ascii="Arial" w:hAnsi="Arial" w:cs="Arial"/>
          <w:sz w:val="22"/>
          <w:szCs w:val="22"/>
        </w:rPr>
        <w:t>-</w:t>
      </w:r>
      <w:r w:rsidR="005E6AFB" w:rsidRPr="003B7799">
        <w:rPr>
          <w:rFonts w:ascii="Arial" w:hAnsi="Arial" w:cs="Arial"/>
          <w:sz w:val="22"/>
          <w:szCs w:val="22"/>
        </w:rPr>
        <w:t xml:space="preserve"> </w:t>
      </w:r>
      <w:r w:rsidR="004D1177" w:rsidRPr="005E6AFB">
        <w:rPr>
          <w:rFonts w:ascii="Arial" w:hAnsi="Arial" w:cs="Arial"/>
          <w:sz w:val="22"/>
          <w:szCs w:val="22"/>
        </w:rPr>
        <w:t>FOSFEC, las medidas de revocatoria de habilitación de las EPS y los traslados a la Delegada de Procesos Administrativos, conforme al siguiente esquema:</w:t>
      </w:r>
    </w:p>
    <w:p w14:paraId="53381052" w14:textId="77777777" w:rsidR="004D1177" w:rsidRPr="009B668F" w:rsidRDefault="004D1177" w:rsidP="004D1177">
      <w:pPr>
        <w:pStyle w:val="Sinespaciado"/>
        <w:jc w:val="both"/>
        <w:rPr>
          <w:rFonts w:ascii="Arial" w:hAnsi="Arial" w:cs="Arial"/>
          <w:b/>
          <w:bCs/>
        </w:rPr>
      </w:pPr>
    </w:p>
    <w:p w14:paraId="28D6EEE9" w14:textId="77777777" w:rsidR="004D1177" w:rsidRPr="009B668F" w:rsidRDefault="004D1177" w:rsidP="004D1177">
      <w:pPr>
        <w:pStyle w:val="Sinespaciado"/>
        <w:numPr>
          <w:ilvl w:val="0"/>
          <w:numId w:val="8"/>
        </w:numPr>
        <w:suppressAutoHyphens/>
        <w:autoSpaceDN w:val="0"/>
        <w:jc w:val="both"/>
        <w:textAlignment w:val="baseline"/>
        <w:rPr>
          <w:rFonts w:ascii="Arial" w:hAnsi="Arial" w:cs="Arial"/>
          <w:bCs/>
          <w:u w:val="single"/>
        </w:rPr>
      </w:pPr>
      <w:r w:rsidRPr="009B668F">
        <w:rPr>
          <w:rFonts w:ascii="Arial" w:hAnsi="Arial" w:cs="Arial"/>
          <w:bCs/>
          <w:u w:val="single"/>
        </w:rPr>
        <w:t>Circular Externa 0011 de 2020</w:t>
      </w:r>
    </w:p>
    <w:p w14:paraId="4A918098" w14:textId="77777777" w:rsidR="00A11672" w:rsidRPr="009B668F" w:rsidRDefault="00A11672" w:rsidP="004D1177">
      <w:pPr>
        <w:pStyle w:val="Sinespaciado"/>
        <w:jc w:val="both"/>
        <w:rPr>
          <w:rFonts w:ascii="Arial" w:hAnsi="Arial" w:cs="Arial"/>
          <w:u w:val="single"/>
        </w:rPr>
      </w:pPr>
    </w:p>
    <w:p w14:paraId="5F42A42C" w14:textId="77777777" w:rsidR="004D1177" w:rsidRPr="007A7F8C" w:rsidRDefault="004D1177" w:rsidP="004D1177">
      <w:pPr>
        <w:pStyle w:val="Sinespaciado"/>
        <w:jc w:val="both"/>
        <w:rPr>
          <w:rFonts w:ascii="Arial" w:hAnsi="Arial" w:cs="Arial"/>
        </w:rPr>
      </w:pPr>
      <w:r>
        <w:rPr>
          <w:rFonts w:ascii="Arial" w:hAnsi="Arial" w:cs="Arial"/>
        </w:rPr>
        <w:t>Fueron emitidas</w:t>
      </w:r>
      <w:r w:rsidRPr="007A7F8C">
        <w:rPr>
          <w:rFonts w:ascii="Arial" w:hAnsi="Arial" w:cs="Arial"/>
        </w:rPr>
        <w:t> instrucciones</w:t>
      </w:r>
      <w:r>
        <w:rPr>
          <w:rFonts w:ascii="Arial" w:hAnsi="Arial" w:cs="Arial"/>
        </w:rPr>
        <w:t xml:space="preserve"> </w:t>
      </w:r>
      <w:r w:rsidRPr="007A7F8C">
        <w:rPr>
          <w:rFonts w:ascii="Arial" w:hAnsi="Arial" w:cs="Arial"/>
        </w:rPr>
        <w:t>con el objeto de que las EPS adelanten el proceso de conciliación, depuración y saneamiento de las cuentas por cobrar y pagar con sus acreedores derivado de las prestaciones de servicios de salud y de servicios y tecnologías en salud.</w:t>
      </w:r>
    </w:p>
    <w:p w14:paraId="1AA108F9" w14:textId="77777777" w:rsidR="004D1177" w:rsidRPr="007A7F8C" w:rsidRDefault="004D1177" w:rsidP="004D1177">
      <w:pPr>
        <w:pStyle w:val="Sinespaciado"/>
        <w:jc w:val="both"/>
        <w:rPr>
          <w:rFonts w:ascii="Arial" w:hAnsi="Arial" w:cs="Arial"/>
        </w:rPr>
      </w:pPr>
    </w:p>
    <w:p w14:paraId="2EE1FBE5" w14:textId="77777777" w:rsidR="004D1177" w:rsidRPr="009B668F" w:rsidRDefault="004D1177" w:rsidP="004D1177">
      <w:pPr>
        <w:pStyle w:val="Sinespaciado"/>
        <w:jc w:val="both"/>
        <w:rPr>
          <w:rFonts w:ascii="Arial" w:hAnsi="Arial" w:cs="Arial"/>
          <w:bCs/>
        </w:rPr>
      </w:pPr>
      <w:r w:rsidRPr="007A7F8C">
        <w:rPr>
          <w:rFonts w:ascii="Arial" w:hAnsi="Arial" w:cs="Arial"/>
        </w:rPr>
        <w:t>Es así como</w:t>
      </w:r>
      <w:r>
        <w:rPr>
          <w:rFonts w:ascii="Arial" w:hAnsi="Arial" w:cs="Arial"/>
        </w:rPr>
        <w:t>,</w:t>
      </w:r>
      <w:r w:rsidRPr="007A7F8C">
        <w:rPr>
          <w:rFonts w:ascii="Arial" w:hAnsi="Arial" w:cs="Arial"/>
        </w:rPr>
        <w:t xml:space="preserve"> en el mes de septiembre de 2020</w:t>
      </w:r>
      <w:r>
        <w:rPr>
          <w:rFonts w:ascii="Arial" w:hAnsi="Arial" w:cs="Arial"/>
        </w:rPr>
        <w:t xml:space="preserve"> y enero de 2021, la Superintendencia Nacional de Salud requirió mediante </w:t>
      </w:r>
      <w:r w:rsidRPr="00955915">
        <w:rPr>
          <w:rFonts w:ascii="Arial" w:hAnsi="Arial" w:cs="Arial"/>
        </w:rPr>
        <w:t>oficio a 34 EPS con</w:t>
      </w:r>
      <w:r>
        <w:rPr>
          <w:rFonts w:ascii="Arial" w:hAnsi="Arial" w:cs="Arial"/>
        </w:rPr>
        <w:t xml:space="preserve"> el fin </w:t>
      </w:r>
      <w:r w:rsidRPr="007A7F8C">
        <w:rPr>
          <w:rFonts w:ascii="Arial" w:hAnsi="Arial" w:cs="Arial"/>
        </w:rPr>
        <w:t xml:space="preserve">de realizar el seguimiento al </w:t>
      </w:r>
      <w:r>
        <w:rPr>
          <w:rFonts w:ascii="Arial" w:hAnsi="Arial" w:cs="Arial"/>
        </w:rPr>
        <w:lastRenderedPageBreak/>
        <w:t>f</w:t>
      </w:r>
      <w:r w:rsidRPr="007A7F8C">
        <w:rPr>
          <w:rFonts w:ascii="Arial" w:hAnsi="Arial" w:cs="Arial"/>
        </w:rPr>
        <w:t xml:space="preserve">lujo de </w:t>
      </w:r>
      <w:r>
        <w:rPr>
          <w:rFonts w:ascii="Arial" w:hAnsi="Arial" w:cs="Arial"/>
        </w:rPr>
        <w:t>r</w:t>
      </w:r>
      <w:r w:rsidRPr="007A7F8C">
        <w:rPr>
          <w:rFonts w:ascii="Arial" w:hAnsi="Arial" w:cs="Arial"/>
        </w:rPr>
        <w:t>ecursos, en especial al proceso de conciliación, saneamiento y pago</w:t>
      </w:r>
      <w:r>
        <w:rPr>
          <w:rFonts w:ascii="Arial" w:hAnsi="Arial" w:cs="Arial"/>
        </w:rPr>
        <w:t xml:space="preserve">, de conformidad con la información reportada en los archivos </w:t>
      </w:r>
      <w:r w:rsidRPr="009B668F">
        <w:rPr>
          <w:rFonts w:ascii="Arial" w:hAnsi="Arial" w:cs="Arial"/>
          <w:bCs/>
        </w:rPr>
        <w:t xml:space="preserve">Tipo FT021 </w:t>
      </w:r>
      <w:r>
        <w:rPr>
          <w:rFonts w:ascii="Arial" w:hAnsi="Arial" w:cs="Arial"/>
          <w:bCs/>
        </w:rPr>
        <w:t xml:space="preserve">- </w:t>
      </w:r>
      <w:r w:rsidRPr="009B668F">
        <w:rPr>
          <w:rFonts w:ascii="Arial" w:hAnsi="Arial" w:cs="Arial"/>
          <w:bCs/>
        </w:rPr>
        <w:t>cronograma de conciliación y depuración y FT023 link de consulta del proceso de las Entidades Administradoras de Beneficios, verificando la consistencia en el reporte de información para estos dos archivos y realizando un análisis por tipo de acreedor, naturaleza jurídica y cantidad de conciliaciones programadas mensualmente.</w:t>
      </w:r>
    </w:p>
    <w:p w14:paraId="2E8945F3" w14:textId="77777777" w:rsidR="004D1177" w:rsidRDefault="004D1177" w:rsidP="004D1177">
      <w:pPr>
        <w:pStyle w:val="Sinespaciado"/>
        <w:jc w:val="both"/>
        <w:rPr>
          <w:rFonts w:ascii="Arial" w:hAnsi="Arial" w:cs="Arial"/>
        </w:rPr>
      </w:pPr>
    </w:p>
    <w:p w14:paraId="634D593C" w14:textId="77777777" w:rsidR="004D1177" w:rsidRPr="009B668F" w:rsidRDefault="004D1177" w:rsidP="004D1177">
      <w:pPr>
        <w:pStyle w:val="Sinespaciado"/>
        <w:jc w:val="both"/>
        <w:rPr>
          <w:rFonts w:ascii="Arial" w:hAnsi="Arial" w:cs="Arial"/>
        </w:rPr>
      </w:pPr>
      <w:r w:rsidRPr="007A7F8C">
        <w:rPr>
          <w:rFonts w:ascii="Arial" w:hAnsi="Arial" w:cs="Arial"/>
        </w:rPr>
        <w:t xml:space="preserve">De acuerdo con el análisis sobre la cantidad prestadores reportados en el </w:t>
      </w:r>
      <w:r w:rsidRPr="009B668F">
        <w:rPr>
          <w:rFonts w:ascii="Arial" w:hAnsi="Arial" w:cs="Arial"/>
        </w:rPr>
        <w:t>archivo FT021</w:t>
      </w:r>
      <w:r>
        <w:rPr>
          <w:rFonts w:ascii="Arial" w:hAnsi="Arial" w:cs="Arial"/>
        </w:rPr>
        <w:t>-</w:t>
      </w:r>
      <w:r w:rsidRPr="009B668F">
        <w:rPr>
          <w:rFonts w:ascii="Arial" w:hAnsi="Arial" w:cs="Arial"/>
        </w:rPr>
        <w:t xml:space="preserve"> cronograma de conciliación y depuración, se realiz</w:t>
      </w:r>
      <w:r>
        <w:rPr>
          <w:rFonts w:ascii="Arial" w:hAnsi="Arial" w:cs="Arial"/>
        </w:rPr>
        <w:t>ó</w:t>
      </w:r>
      <w:r w:rsidRPr="009B668F">
        <w:rPr>
          <w:rFonts w:ascii="Arial" w:hAnsi="Arial" w:cs="Arial"/>
        </w:rPr>
        <w:t xml:space="preserve"> un comparativo con la información reportada en la Circular 030 de 2013 (corte marzo 2020), teniendo en cuenta lo establecido en la instrucción segunda de la Circular 011 de 2020, donde se evidenci</w:t>
      </w:r>
      <w:r>
        <w:rPr>
          <w:rFonts w:ascii="Arial" w:hAnsi="Arial" w:cs="Arial"/>
        </w:rPr>
        <w:t>ó que los</w:t>
      </w:r>
      <w:r w:rsidRPr="009B668F">
        <w:rPr>
          <w:rFonts w:ascii="Arial" w:hAnsi="Arial" w:cs="Arial"/>
        </w:rPr>
        <w:t xml:space="preserve"> prestadores programados para conciliación que reportan cartera pendiente para pago</w:t>
      </w:r>
      <w:r>
        <w:rPr>
          <w:rFonts w:ascii="Arial" w:hAnsi="Arial" w:cs="Arial"/>
        </w:rPr>
        <w:t xml:space="preserve">. No obstante, se ha podido establecer que </w:t>
      </w:r>
      <w:r w:rsidRPr="009B668F">
        <w:rPr>
          <w:rFonts w:ascii="Arial" w:hAnsi="Arial" w:cs="Arial"/>
        </w:rPr>
        <w:t>prestadores con los cuales no se reportó cartera en Circular 030, están citados a conciliación.</w:t>
      </w:r>
    </w:p>
    <w:p w14:paraId="29654A76" w14:textId="77777777" w:rsidR="004D1177" w:rsidRDefault="004D1177" w:rsidP="004D1177">
      <w:pPr>
        <w:pStyle w:val="Sinespaciado"/>
        <w:jc w:val="both"/>
        <w:rPr>
          <w:rFonts w:ascii="Arial" w:hAnsi="Arial" w:cs="Arial"/>
        </w:rPr>
      </w:pPr>
    </w:p>
    <w:p w14:paraId="2DE6476B" w14:textId="77777777" w:rsidR="004D1177" w:rsidRPr="009B668F" w:rsidRDefault="004D1177" w:rsidP="004D1177">
      <w:pPr>
        <w:pStyle w:val="Sinespaciado"/>
        <w:jc w:val="both"/>
        <w:rPr>
          <w:rFonts w:ascii="Arial" w:hAnsi="Arial" w:cs="Arial"/>
        </w:rPr>
      </w:pPr>
      <w:r>
        <w:rPr>
          <w:rFonts w:ascii="Arial" w:hAnsi="Arial" w:cs="Arial"/>
        </w:rPr>
        <w:t>Por otra parte, y t</w:t>
      </w:r>
      <w:r w:rsidRPr="007A7F8C">
        <w:rPr>
          <w:rFonts w:ascii="Arial" w:hAnsi="Arial" w:cs="Arial"/>
        </w:rPr>
        <w:t xml:space="preserve">eniendo en cuenta los acreedores reportados en el archivo </w:t>
      </w:r>
      <w:r w:rsidRPr="009B668F">
        <w:rPr>
          <w:rFonts w:ascii="Arial" w:hAnsi="Arial" w:cs="Arial"/>
        </w:rPr>
        <w:t>FT021</w:t>
      </w:r>
      <w:r>
        <w:rPr>
          <w:rFonts w:ascii="Arial" w:hAnsi="Arial" w:cs="Arial"/>
        </w:rPr>
        <w:t>-</w:t>
      </w:r>
      <w:r w:rsidRPr="009B668F">
        <w:rPr>
          <w:rFonts w:ascii="Arial" w:hAnsi="Arial" w:cs="Arial"/>
        </w:rPr>
        <w:t xml:space="preserve"> cronograma de conciliación y depuración, se realizó un análisis de los saldos de cartera de </w:t>
      </w:r>
      <w:r>
        <w:rPr>
          <w:rFonts w:ascii="Arial" w:hAnsi="Arial" w:cs="Arial"/>
        </w:rPr>
        <w:t xml:space="preserve">las </w:t>
      </w:r>
      <w:r w:rsidRPr="009B668F">
        <w:rPr>
          <w:rFonts w:ascii="Arial" w:hAnsi="Arial" w:cs="Arial"/>
        </w:rPr>
        <w:t>Entidades Responsables de Pago reportados en Circular 030 con corte a marzo de 2020 comparándolos con los saldos de cartera reportados en el archivo tipo FT004 – Cuentas por Pagar – Acreedores de la Circular 016 de 2016, donde se evidencia niveles de consistencia bajos frente a lo reportado entre Circular Externa 016 de 2016 y Circular Conjunta 030 de 2013 por acreencias en el SGSSS y una deficiencia en la calidad de los datos, indicando que la entidad no ha adelantado acciones tendientes a aclaración de la cartera, en virtud de lo establecido en el artículo 9 de la Ley 1797 de 2016, en lo relacionado con el saneamiento contable responsabilidad de las IPS y EPS.</w:t>
      </w:r>
    </w:p>
    <w:p w14:paraId="764E9056" w14:textId="77777777" w:rsidR="004D1177" w:rsidRPr="009B668F" w:rsidRDefault="004D1177" w:rsidP="004D1177">
      <w:pPr>
        <w:pStyle w:val="Sinespaciado"/>
        <w:jc w:val="both"/>
        <w:rPr>
          <w:rFonts w:ascii="Arial" w:hAnsi="Arial" w:cs="Arial"/>
        </w:rPr>
      </w:pPr>
    </w:p>
    <w:p w14:paraId="3F04237C" w14:textId="77777777" w:rsidR="004D1177" w:rsidRDefault="004D1177" w:rsidP="004D1177">
      <w:pPr>
        <w:pStyle w:val="Sinespaciado"/>
        <w:jc w:val="both"/>
        <w:rPr>
          <w:rFonts w:ascii="Arial" w:hAnsi="Arial" w:cs="Arial"/>
        </w:rPr>
      </w:pPr>
      <w:r>
        <w:rPr>
          <w:rFonts w:ascii="Arial" w:hAnsi="Arial" w:cs="Arial"/>
        </w:rPr>
        <w:t>Por lo anterior y c</w:t>
      </w:r>
      <w:r w:rsidRPr="007A7F8C">
        <w:rPr>
          <w:rFonts w:ascii="Arial" w:hAnsi="Arial" w:cs="Arial"/>
        </w:rPr>
        <w:t xml:space="preserve">on base en la información analizada y descrita, </w:t>
      </w:r>
      <w:r>
        <w:rPr>
          <w:rFonts w:ascii="Arial" w:hAnsi="Arial" w:cs="Arial"/>
        </w:rPr>
        <w:t xml:space="preserve">en la que se evidencia </w:t>
      </w:r>
      <w:r w:rsidRPr="007A7F8C">
        <w:rPr>
          <w:rFonts w:ascii="Arial" w:hAnsi="Arial" w:cs="Arial"/>
        </w:rPr>
        <w:t xml:space="preserve">inconsistencias </w:t>
      </w:r>
      <w:r>
        <w:rPr>
          <w:rFonts w:ascii="Arial" w:hAnsi="Arial" w:cs="Arial"/>
        </w:rPr>
        <w:t xml:space="preserve">y en </w:t>
      </w:r>
      <w:r w:rsidRPr="007A7F8C">
        <w:rPr>
          <w:rFonts w:ascii="Arial" w:hAnsi="Arial" w:cs="Arial"/>
        </w:rPr>
        <w:t xml:space="preserve">donde se </w:t>
      </w:r>
      <w:r>
        <w:rPr>
          <w:rFonts w:ascii="Arial" w:hAnsi="Arial" w:cs="Arial"/>
        </w:rPr>
        <w:t>observa</w:t>
      </w:r>
      <w:r w:rsidRPr="007A7F8C">
        <w:rPr>
          <w:rFonts w:ascii="Arial" w:hAnsi="Arial" w:cs="Arial"/>
        </w:rPr>
        <w:t xml:space="preserve"> que la</w:t>
      </w:r>
      <w:r>
        <w:rPr>
          <w:rFonts w:ascii="Arial" w:hAnsi="Arial" w:cs="Arial"/>
        </w:rPr>
        <w:t>s</w:t>
      </w:r>
      <w:r w:rsidRPr="007A7F8C">
        <w:rPr>
          <w:rFonts w:ascii="Arial" w:hAnsi="Arial" w:cs="Arial"/>
        </w:rPr>
        <w:t xml:space="preserve"> entidad</w:t>
      </w:r>
      <w:r>
        <w:rPr>
          <w:rFonts w:ascii="Arial" w:hAnsi="Arial" w:cs="Arial"/>
        </w:rPr>
        <w:t>es</w:t>
      </w:r>
      <w:r w:rsidRPr="007A7F8C">
        <w:rPr>
          <w:rFonts w:ascii="Arial" w:hAnsi="Arial" w:cs="Arial"/>
        </w:rPr>
        <w:t xml:space="preserve"> no adelanta</w:t>
      </w:r>
      <w:r>
        <w:rPr>
          <w:rFonts w:ascii="Arial" w:hAnsi="Arial" w:cs="Arial"/>
        </w:rPr>
        <w:t>n</w:t>
      </w:r>
      <w:r w:rsidRPr="007A7F8C">
        <w:rPr>
          <w:rFonts w:ascii="Arial" w:hAnsi="Arial" w:cs="Arial"/>
        </w:rPr>
        <w:t xml:space="preserve"> las acciones correspondientes para identificar, depurar, conciliar y pagar las obligaciones derivadas de la prestación de los servicios de salud</w:t>
      </w:r>
      <w:r>
        <w:rPr>
          <w:rFonts w:ascii="Arial" w:hAnsi="Arial" w:cs="Arial"/>
        </w:rPr>
        <w:t>;</w:t>
      </w:r>
      <w:r w:rsidRPr="007A7F8C">
        <w:rPr>
          <w:rFonts w:ascii="Arial" w:hAnsi="Arial" w:cs="Arial"/>
        </w:rPr>
        <w:t xml:space="preserve"> </w:t>
      </w:r>
      <w:r>
        <w:rPr>
          <w:rFonts w:ascii="Arial" w:hAnsi="Arial" w:cs="Arial"/>
        </w:rPr>
        <w:t xml:space="preserve">se han venido solicitando las explicaciones y ajustes de la información a las EPS, con el fin de lograr el </w:t>
      </w:r>
      <w:r w:rsidRPr="00577400">
        <w:rPr>
          <w:rFonts w:ascii="Arial" w:hAnsi="Arial" w:cs="Arial"/>
        </w:rPr>
        <w:t>saneamiento de las obligaciones a favor de terceros, así como el mejoramiento del flujo de recursos a la red prestadora de servicios de salud.</w:t>
      </w:r>
      <w:r>
        <w:rPr>
          <w:rFonts w:ascii="Arial" w:hAnsi="Arial" w:cs="Arial"/>
        </w:rPr>
        <w:t xml:space="preserve"> </w:t>
      </w:r>
    </w:p>
    <w:p w14:paraId="1CD229C9" w14:textId="77777777" w:rsidR="004D1177" w:rsidRDefault="004D1177" w:rsidP="004D1177">
      <w:pPr>
        <w:spacing w:after="0" w:line="240" w:lineRule="auto"/>
        <w:jc w:val="both"/>
        <w:rPr>
          <w:rFonts w:ascii="Arial" w:hAnsi="Arial" w:cs="Arial"/>
        </w:rPr>
      </w:pPr>
    </w:p>
    <w:p w14:paraId="4599C069" w14:textId="77777777" w:rsidR="004D1177" w:rsidRPr="009B668F" w:rsidRDefault="004D1177" w:rsidP="004D1177">
      <w:pPr>
        <w:pStyle w:val="Prrafodelista"/>
        <w:numPr>
          <w:ilvl w:val="0"/>
          <w:numId w:val="8"/>
        </w:numPr>
        <w:spacing w:after="0" w:line="240" w:lineRule="auto"/>
        <w:jc w:val="both"/>
        <w:rPr>
          <w:rFonts w:ascii="Arial" w:hAnsi="Arial" w:cs="Arial"/>
          <w:u w:val="single"/>
        </w:rPr>
      </w:pPr>
      <w:r w:rsidRPr="009B668F">
        <w:rPr>
          <w:rFonts w:ascii="Arial" w:hAnsi="Arial" w:cs="Arial"/>
          <w:u w:val="single"/>
        </w:rPr>
        <w:t xml:space="preserve">Punto Final – </w:t>
      </w:r>
      <w:r>
        <w:rPr>
          <w:rFonts w:ascii="Arial" w:hAnsi="Arial" w:cs="Arial"/>
          <w:u w:val="single"/>
        </w:rPr>
        <w:t>a</w:t>
      </w:r>
      <w:r w:rsidRPr="009B668F">
        <w:rPr>
          <w:rFonts w:ascii="Arial" w:hAnsi="Arial" w:cs="Arial"/>
          <w:u w:val="single"/>
        </w:rPr>
        <w:t>rtículo 238 Ley 1955 de 2019</w:t>
      </w:r>
    </w:p>
    <w:p w14:paraId="3677656B" w14:textId="77777777" w:rsidR="004D1177" w:rsidRPr="00AE0C1C" w:rsidRDefault="004D1177" w:rsidP="004D1177">
      <w:pPr>
        <w:pStyle w:val="Prrafodelista"/>
        <w:spacing w:after="0" w:line="240" w:lineRule="auto"/>
        <w:jc w:val="both"/>
        <w:rPr>
          <w:rFonts w:ascii="Arial" w:hAnsi="Arial" w:cs="Arial"/>
        </w:rPr>
      </w:pPr>
    </w:p>
    <w:p w14:paraId="1D7A9B94" w14:textId="77777777" w:rsidR="004D1177" w:rsidRPr="007E6F69" w:rsidRDefault="004D1177" w:rsidP="004D1177">
      <w:pPr>
        <w:spacing w:after="0" w:line="240" w:lineRule="auto"/>
        <w:jc w:val="both"/>
        <w:rPr>
          <w:rFonts w:ascii="Arial" w:hAnsi="Arial" w:cs="Arial"/>
        </w:rPr>
      </w:pPr>
      <w:r w:rsidRPr="007E6F69">
        <w:rPr>
          <w:rFonts w:ascii="Arial" w:hAnsi="Arial" w:cs="Arial"/>
        </w:rPr>
        <w:t>La Superintendencia Nacional de Salud solici</w:t>
      </w:r>
      <w:r>
        <w:rPr>
          <w:rFonts w:ascii="Arial" w:hAnsi="Arial" w:cs="Arial"/>
        </w:rPr>
        <w:t>tó</w:t>
      </w:r>
      <w:r w:rsidRPr="007E6F69">
        <w:rPr>
          <w:rFonts w:ascii="Arial" w:hAnsi="Arial" w:cs="Arial"/>
        </w:rPr>
        <w:t xml:space="preserve"> a las EPS del régimen subsidiado el diligenciamiento y envío trimestral de tres </w:t>
      </w:r>
      <w:r>
        <w:rPr>
          <w:rFonts w:ascii="Arial" w:hAnsi="Arial" w:cs="Arial"/>
        </w:rPr>
        <w:t>a</w:t>
      </w:r>
      <w:r w:rsidRPr="007E6F69">
        <w:rPr>
          <w:rFonts w:ascii="Arial" w:hAnsi="Arial" w:cs="Arial"/>
        </w:rPr>
        <w:t>nexos</w:t>
      </w:r>
      <w:r>
        <w:rPr>
          <w:rFonts w:ascii="Arial" w:hAnsi="Arial" w:cs="Arial"/>
        </w:rPr>
        <w:t xml:space="preserve"> y la certificación que soporta los saldos registrados</w:t>
      </w:r>
      <w:r w:rsidRPr="007E6F69">
        <w:rPr>
          <w:rFonts w:ascii="Arial" w:hAnsi="Arial" w:cs="Arial"/>
        </w:rPr>
        <w:t xml:space="preserve">, con el fin de hacer seguimiento al saneamiento de las deudas por servicios y tecnologías en salud no financiadas por la UPC del régimen subsidiado prestados hasta el 31 de diciembre de 2019 con las </w:t>
      </w:r>
      <w:r>
        <w:rPr>
          <w:rFonts w:ascii="Arial" w:hAnsi="Arial" w:cs="Arial"/>
        </w:rPr>
        <w:t>e</w:t>
      </w:r>
      <w:r w:rsidRPr="007E6F69">
        <w:rPr>
          <w:rFonts w:ascii="Arial" w:hAnsi="Arial" w:cs="Arial"/>
        </w:rPr>
        <w:t xml:space="preserve">ntidades </w:t>
      </w:r>
      <w:r>
        <w:rPr>
          <w:rFonts w:ascii="Arial" w:hAnsi="Arial" w:cs="Arial"/>
        </w:rPr>
        <w:t>t</w:t>
      </w:r>
      <w:r w:rsidRPr="007E6F69">
        <w:rPr>
          <w:rFonts w:ascii="Arial" w:hAnsi="Arial" w:cs="Arial"/>
        </w:rPr>
        <w:t>erritoriales.</w:t>
      </w:r>
    </w:p>
    <w:p w14:paraId="03AF5137" w14:textId="77777777" w:rsidR="004D1177" w:rsidRPr="007E6F69" w:rsidRDefault="004D1177" w:rsidP="004D1177">
      <w:pPr>
        <w:spacing w:after="0" w:line="240" w:lineRule="auto"/>
        <w:jc w:val="both"/>
        <w:rPr>
          <w:rFonts w:ascii="Arial" w:hAnsi="Arial" w:cs="Arial"/>
        </w:rPr>
      </w:pPr>
    </w:p>
    <w:p w14:paraId="77CB534A" w14:textId="77777777" w:rsidR="004D1177" w:rsidRPr="007E6F69" w:rsidRDefault="004D1177" w:rsidP="004D1177">
      <w:pPr>
        <w:spacing w:after="0" w:line="240" w:lineRule="auto"/>
        <w:jc w:val="both"/>
        <w:rPr>
          <w:rFonts w:ascii="Arial" w:hAnsi="Arial" w:cs="Arial"/>
        </w:rPr>
      </w:pPr>
      <w:r w:rsidRPr="007E6F69">
        <w:rPr>
          <w:rFonts w:ascii="Arial" w:hAnsi="Arial" w:cs="Arial"/>
        </w:rPr>
        <w:t xml:space="preserve">Es así que, la Dirección de Inspección y Vigilancia para las EAPB, adscrita a la Superintendencia Delegada para la Supervisión Institucional, definió las estructuras de los anexos y los documentos que las EPS debían diligenciar y enviar a esta </w:t>
      </w:r>
      <w:r>
        <w:rPr>
          <w:rFonts w:ascii="Arial" w:hAnsi="Arial" w:cs="Arial"/>
        </w:rPr>
        <w:t>s</w:t>
      </w:r>
      <w:r w:rsidRPr="007E6F69">
        <w:rPr>
          <w:rFonts w:ascii="Arial" w:hAnsi="Arial" w:cs="Arial"/>
        </w:rPr>
        <w:t>uperintendencia, señalando a su vez cortes, plazos, formatos, registros permitidos y forma de envío, para llevar a cabo la verificación del saneamiento de las deudas por servicios y tecnologías en salud no financiadas por la UPC del régimen subsidiado (denominadas también como “NO PBS”) prestados hasta el 31 de diciembre de 2019 con las Entidades Territoriales, así:</w:t>
      </w:r>
    </w:p>
    <w:p w14:paraId="4E473372" w14:textId="77777777" w:rsidR="004D1177" w:rsidRPr="007E6F69" w:rsidRDefault="004D1177" w:rsidP="004D1177">
      <w:pPr>
        <w:spacing w:after="0" w:line="240" w:lineRule="auto"/>
        <w:jc w:val="both"/>
        <w:rPr>
          <w:rFonts w:ascii="Arial" w:hAnsi="Arial" w:cs="Arial"/>
        </w:rPr>
      </w:pPr>
    </w:p>
    <w:p w14:paraId="1C8D761B" w14:textId="77777777" w:rsidR="004D1177" w:rsidRDefault="004D1177" w:rsidP="004D1177">
      <w:pPr>
        <w:pStyle w:val="Prrafodelista"/>
        <w:numPr>
          <w:ilvl w:val="0"/>
          <w:numId w:val="9"/>
        </w:numPr>
        <w:spacing w:after="0" w:line="240" w:lineRule="auto"/>
        <w:ind w:left="426" w:hanging="421"/>
        <w:jc w:val="both"/>
        <w:rPr>
          <w:rFonts w:ascii="Arial" w:hAnsi="Arial" w:cs="Arial"/>
        </w:rPr>
      </w:pPr>
      <w:r w:rsidRPr="00FF5FD9">
        <w:rPr>
          <w:rFonts w:ascii="Arial" w:hAnsi="Arial" w:cs="Arial"/>
        </w:rPr>
        <w:lastRenderedPageBreak/>
        <w:t>Anexo No 1 - Verificación Cuentas por Cobrar - Entidad Beneficiaria de Pago EPS (SALDOSCXC</w:t>
      </w:r>
      <w:r>
        <w:rPr>
          <w:rFonts w:ascii="Arial" w:hAnsi="Arial" w:cs="Arial"/>
        </w:rPr>
        <w:t>).</w:t>
      </w:r>
    </w:p>
    <w:p w14:paraId="79F8AD8A" w14:textId="77777777" w:rsidR="004D1177" w:rsidRDefault="004D1177" w:rsidP="004D1177">
      <w:pPr>
        <w:pStyle w:val="Prrafodelista"/>
        <w:spacing w:after="0" w:line="240" w:lineRule="auto"/>
        <w:ind w:left="426"/>
        <w:jc w:val="both"/>
        <w:rPr>
          <w:rFonts w:ascii="Arial" w:hAnsi="Arial" w:cs="Arial"/>
        </w:rPr>
      </w:pPr>
    </w:p>
    <w:p w14:paraId="54268F20" w14:textId="77777777" w:rsidR="004D1177" w:rsidRDefault="004D1177" w:rsidP="004D1177">
      <w:pPr>
        <w:pStyle w:val="Prrafodelista"/>
        <w:numPr>
          <w:ilvl w:val="0"/>
          <w:numId w:val="9"/>
        </w:numPr>
        <w:spacing w:after="0" w:line="240" w:lineRule="auto"/>
        <w:ind w:left="426" w:hanging="421"/>
        <w:jc w:val="both"/>
        <w:rPr>
          <w:rFonts w:ascii="Arial" w:hAnsi="Arial" w:cs="Arial"/>
        </w:rPr>
      </w:pPr>
      <w:r w:rsidRPr="00FF5FD9">
        <w:rPr>
          <w:rFonts w:ascii="Arial" w:hAnsi="Arial" w:cs="Arial"/>
        </w:rPr>
        <w:t>Anexo No 2 - Reconocimiento Facturas NO PBS - Entidad Beneficiaria de Pago EPS (FACTURASNOPBS)</w:t>
      </w:r>
      <w:r>
        <w:rPr>
          <w:rFonts w:ascii="Arial" w:hAnsi="Arial" w:cs="Arial"/>
        </w:rPr>
        <w:t>.</w:t>
      </w:r>
    </w:p>
    <w:p w14:paraId="664DB289" w14:textId="77777777" w:rsidR="004D1177" w:rsidRPr="00FF5FD9" w:rsidRDefault="004D1177" w:rsidP="004D1177">
      <w:pPr>
        <w:pStyle w:val="Prrafodelista"/>
        <w:rPr>
          <w:rFonts w:ascii="Arial" w:hAnsi="Arial" w:cs="Arial"/>
        </w:rPr>
      </w:pPr>
    </w:p>
    <w:p w14:paraId="4DC731E5" w14:textId="77777777" w:rsidR="004D1177" w:rsidRDefault="004D1177" w:rsidP="004D1177">
      <w:pPr>
        <w:pStyle w:val="Prrafodelista"/>
        <w:numPr>
          <w:ilvl w:val="0"/>
          <w:numId w:val="9"/>
        </w:numPr>
        <w:spacing w:after="0" w:line="240" w:lineRule="auto"/>
        <w:ind w:left="426" w:hanging="421"/>
        <w:jc w:val="both"/>
        <w:rPr>
          <w:rFonts w:ascii="Arial" w:hAnsi="Arial" w:cs="Arial"/>
        </w:rPr>
      </w:pPr>
      <w:r w:rsidRPr="00FF5FD9">
        <w:rPr>
          <w:rFonts w:ascii="Arial" w:hAnsi="Arial" w:cs="Arial"/>
        </w:rPr>
        <w:t>Anexo No 3- Reconocimiento Pago NO PBS - Entidad Beneficiaria de Pago EPS (PAGOSNOPBS)</w:t>
      </w:r>
      <w:r>
        <w:rPr>
          <w:rFonts w:ascii="Arial" w:hAnsi="Arial" w:cs="Arial"/>
        </w:rPr>
        <w:t>.</w:t>
      </w:r>
    </w:p>
    <w:p w14:paraId="6DD20F41" w14:textId="77777777" w:rsidR="004D1177" w:rsidRPr="00FF5FD9" w:rsidRDefault="004D1177" w:rsidP="004D1177">
      <w:pPr>
        <w:pStyle w:val="Prrafodelista"/>
        <w:rPr>
          <w:rFonts w:ascii="Arial" w:hAnsi="Arial" w:cs="Arial"/>
        </w:rPr>
      </w:pPr>
    </w:p>
    <w:p w14:paraId="2EA0347D" w14:textId="77777777" w:rsidR="004D1177" w:rsidRPr="00FF5FD9" w:rsidRDefault="004D1177" w:rsidP="004D1177">
      <w:pPr>
        <w:pStyle w:val="Prrafodelista"/>
        <w:numPr>
          <w:ilvl w:val="0"/>
          <w:numId w:val="9"/>
        </w:numPr>
        <w:spacing w:after="0" w:line="240" w:lineRule="auto"/>
        <w:ind w:left="426" w:hanging="421"/>
        <w:jc w:val="both"/>
        <w:rPr>
          <w:rFonts w:ascii="Arial" w:hAnsi="Arial" w:cs="Arial"/>
        </w:rPr>
      </w:pPr>
      <w:r w:rsidRPr="00FF5FD9">
        <w:rPr>
          <w:rFonts w:ascii="Arial" w:hAnsi="Arial" w:cs="Arial"/>
        </w:rPr>
        <w:t>Certificación firmada por el representante legal, contador, revisor fiscal, que certifique los saldos e información reportada en los anexos.</w:t>
      </w:r>
    </w:p>
    <w:p w14:paraId="530A6D43" w14:textId="77777777" w:rsidR="004D1177" w:rsidRPr="007E6F69" w:rsidRDefault="004D1177" w:rsidP="004D1177">
      <w:pPr>
        <w:spacing w:after="0" w:line="240" w:lineRule="auto"/>
        <w:jc w:val="both"/>
        <w:rPr>
          <w:rFonts w:ascii="Arial" w:hAnsi="Arial" w:cs="Arial"/>
        </w:rPr>
      </w:pPr>
    </w:p>
    <w:p w14:paraId="520E729D" w14:textId="57B79B6D" w:rsidR="004D1177" w:rsidRPr="00D362DA" w:rsidRDefault="004D1177" w:rsidP="004D1177">
      <w:pPr>
        <w:spacing w:after="0" w:line="240" w:lineRule="auto"/>
        <w:jc w:val="both"/>
        <w:rPr>
          <w:rFonts w:ascii="Arial" w:eastAsia="Times New Roman" w:hAnsi="Arial" w:cs="Arial"/>
          <w:lang w:eastAsia="es-CO"/>
        </w:rPr>
      </w:pPr>
      <w:r w:rsidRPr="00D362DA">
        <w:rPr>
          <w:rFonts w:ascii="Arial" w:eastAsia="Times New Roman" w:hAnsi="Arial" w:cs="Arial"/>
          <w:lang w:eastAsia="es-CO"/>
        </w:rPr>
        <w:t xml:space="preserve">Con el fin de hacer seguimiento al saneamiento definitivo de las deudas asociadas con servicios y tecnologías en salud no financiadas por la UPC del régimen subsidiado prestados hasta el 31 de diciembre de 2019; correspondiente a los reportes de información con corte a diciembre 31 de 2019; así como a marzo y junio de 2020, se llevó a cabo auditoría documental, dando como resultado 35 </w:t>
      </w:r>
      <w:r>
        <w:rPr>
          <w:rFonts w:ascii="Arial" w:eastAsia="Times New Roman" w:hAnsi="Arial" w:cs="Arial"/>
          <w:lang w:eastAsia="es-CO"/>
        </w:rPr>
        <w:t>i</w:t>
      </w:r>
      <w:r w:rsidRPr="00D362DA">
        <w:rPr>
          <w:rFonts w:ascii="Arial" w:eastAsia="Times New Roman" w:hAnsi="Arial" w:cs="Arial"/>
          <w:lang w:eastAsia="es-CO"/>
        </w:rPr>
        <w:t>nformes, de los cuales 31 fueron trasladados a la Delegada de Procesos Administrativo</w:t>
      </w:r>
      <w:r>
        <w:rPr>
          <w:rFonts w:ascii="Arial" w:eastAsia="Times New Roman" w:hAnsi="Arial" w:cs="Arial"/>
          <w:lang w:eastAsia="es-CO"/>
        </w:rPr>
        <w:t xml:space="preserve"> para adelantar las investigaci</w:t>
      </w:r>
      <w:r w:rsidR="00657241">
        <w:rPr>
          <w:rFonts w:ascii="Arial" w:eastAsia="Times New Roman" w:hAnsi="Arial" w:cs="Arial"/>
          <w:lang w:eastAsia="es-CO"/>
        </w:rPr>
        <w:t>ones</w:t>
      </w:r>
      <w:r>
        <w:rPr>
          <w:rFonts w:ascii="Arial" w:eastAsia="Times New Roman" w:hAnsi="Arial" w:cs="Arial"/>
          <w:lang w:eastAsia="es-CO"/>
        </w:rPr>
        <w:t xml:space="preserve"> administrativas, y solo</w:t>
      </w:r>
      <w:r w:rsidRPr="00D362DA">
        <w:rPr>
          <w:rFonts w:ascii="Arial" w:eastAsia="Times New Roman" w:hAnsi="Arial" w:cs="Arial"/>
          <w:lang w:eastAsia="es-CO"/>
        </w:rPr>
        <w:t xml:space="preserve"> 4 no presentaron hallazgos. Así mismo, 26 </w:t>
      </w:r>
      <w:r>
        <w:rPr>
          <w:rFonts w:ascii="Arial" w:eastAsia="Times New Roman" w:hAnsi="Arial" w:cs="Arial"/>
          <w:lang w:eastAsia="es-CO"/>
        </w:rPr>
        <w:t>p</w:t>
      </w:r>
      <w:r w:rsidRPr="00D362DA">
        <w:rPr>
          <w:rFonts w:ascii="Arial" w:eastAsia="Times New Roman" w:hAnsi="Arial" w:cs="Arial"/>
          <w:lang w:eastAsia="es-CO"/>
        </w:rPr>
        <w:t>lanes de mejoramiento fueron aprobados, 1 no se aprobó, de 2 no se obtuvo respuesta, 4 no</w:t>
      </w:r>
      <w:r w:rsidRPr="00D362DA">
        <w:rPr>
          <w:rFonts w:ascii="Arial" w:hAnsi="Arial" w:cs="Arial"/>
        </w:rPr>
        <w:t xml:space="preserve"> presentan hallazgos y </w:t>
      </w:r>
      <w:r>
        <w:rPr>
          <w:rFonts w:ascii="Arial" w:hAnsi="Arial" w:cs="Arial"/>
        </w:rPr>
        <w:t>2</w:t>
      </w:r>
      <w:r w:rsidRPr="00D362DA">
        <w:rPr>
          <w:rFonts w:ascii="Arial" w:hAnsi="Arial" w:cs="Arial"/>
        </w:rPr>
        <w:t xml:space="preserve"> EPS se encuentran en liquidación.</w:t>
      </w:r>
      <w:r>
        <w:rPr>
          <w:rFonts w:ascii="Arial" w:hAnsi="Arial" w:cs="Arial"/>
        </w:rPr>
        <w:t xml:space="preserve"> </w:t>
      </w:r>
    </w:p>
    <w:p w14:paraId="0F4FD19F" w14:textId="77777777" w:rsidR="004D1177" w:rsidRDefault="004D1177" w:rsidP="004D1177">
      <w:pPr>
        <w:spacing w:after="0" w:line="240" w:lineRule="auto"/>
        <w:jc w:val="both"/>
        <w:rPr>
          <w:rFonts w:ascii="Arial" w:eastAsia="Times New Roman" w:hAnsi="Arial" w:cs="Arial"/>
          <w:lang w:eastAsia="es-CO"/>
        </w:rPr>
      </w:pPr>
    </w:p>
    <w:p w14:paraId="04297969" w14:textId="77777777" w:rsidR="004D1177" w:rsidRDefault="004D1177" w:rsidP="004D1177">
      <w:pPr>
        <w:spacing w:after="0" w:line="240" w:lineRule="auto"/>
        <w:jc w:val="both"/>
        <w:rPr>
          <w:rFonts w:ascii="Arial" w:eastAsia="Times New Roman" w:hAnsi="Arial" w:cs="Arial"/>
          <w:lang w:eastAsia="es-CO"/>
        </w:rPr>
      </w:pPr>
      <w:r w:rsidRPr="001F6437">
        <w:rPr>
          <w:rFonts w:ascii="Arial" w:eastAsia="Times New Roman" w:hAnsi="Arial" w:cs="Arial"/>
          <w:lang w:eastAsia="es-CO"/>
        </w:rPr>
        <w:t>De acuerdo con la respuesta dad</w:t>
      </w:r>
      <w:r>
        <w:rPr>
          <w:rFonts w:ascii="Arial" w:eastAsia="Times New Roman" w:hAnsi="Arial" w:cs="Arial"/>
          <w:lang w:eastAsia="es-CO"/>
        </w:rPr>
        <w:t>a</w:t>
      </w:r>
      <w:r w:rsidRPr="001F6437">
        <w:rPr>
          <w:rFonts w:ascii="Arial" w:eastAsia="Times New Roman" w:hAnsi="Arial" w:cs="Arial"/>
          <w:lang w:eastAsia="es-CO"/>
        </w:rPr>
        <w:t xml:space="preserve"> por la</w:t>
      </w:r>
      <w:r>
        <w:rPr>
          <w:rFonts w:ascii="Arial" w:eastAsia="Times New Roman" w:hAnsi="Arial" w:cs="Arial"/>
          <w:lang w:eastAsia="es-CO"/>
        </w:rPr>
        <w:t>s</w:t>
      </w:r>
      <w:r w:rsidRPr="001F6437">
        <w:rPr>
          <w:rFonts w:ascii="Arial" w:eastAsia="Times New Roman" w:hAnsi="Arial" w:cs="Arial"/>
          <w:lang w:eastAsia="es-CO"/>
        </w:rPr>
        <w:t xml:space="preserve"> EPS ante la solicitud del plan de mejoramiento a los hallazgos encontrados en la Auditoría Documental</w:t>
      </w:r>
      <w:r>
        <w:rPr>
          <w:rFonts w:ascii="Arial" w:eastAsia="Times New Roman" w:hAnsi="Arial" w:cs="Arial"/>
          <w:lang w:eastAsia="es-CO"/>
        </w:rPr>
        <w:t xml:space="preserve"> mediante radicado No </w:t>
      </w:r>
      <w:r w:rsidRPr="00B4381E">
        <w:rPr>
          <w:rFonts w:ascii="Arial" w:eastAsia="Times New Roman" w:hAnsi="Arial" w:cs="Arial"/>
          <w:lang w:eastAsia="es-CO"/>
        </w:rPr>
        <w:t>202182300009812</w:t>
      </w:r>
      <w:r w:rsidRPr="001F6437">
        <w:rPr>
          <w:rFonts w:ascii="Arial" w:eastAsia="Times New Roman" w:hAnsi="Arial" w:cs="Arial"/>
          <w:lang w:eastAsia="es-CO"/>
        </w:rPr>
        <w:t>, se tiene que</w:t>
      </w:r>
      <w:r>
        <w:rPr>
          <w:rFonts w:ascii="Arial" w:eastAsia="Times New Roman" w:hAnsi="Arial" w:cs="Arial"/>
          <w:lang w:eastAsia="es-CO"/>
        </w:rPr>
        <w:t xml:space="preserve"> este fue aprobado con radicado No </w:t>
      </w:r>
      <w:r w:rsidRPr="00B4381E">
        <w:rPr>
          <w:rFonts w:ascii="Arial" w:eastAsia="Times New Roman" w:hAnsi="Arial" w:cs="Arial"/>
          <w:lang w:eastAsia="es-CO"/>
        </w:rPr>
        <w:t>202141100141221</w:t>
      </w:r>
      <w:r>
        <w:rPr>
          <w:rFonts w:ascii="Arial" w:eastAsia="Times New Roman" w:hAnsi="Arial" w:cs="Arial"/>
          <w:lang w:eastAsia="es-CO"/>
        </w:rPr>
        <w:t>.</w:t>
      </w:r>
    </w:p>
    <w:p w14:paraId="462370E9" w14:textId="77777777" w:rsidR="004D1177" w:rsidRDefault="004D1177" w:rsidP="004D1177">
      <w:pPr>
        <w:spacing w:after="0" w:line="240" w:lineRule="auto"/>
        <w:jc w:val="both"/>
        <w:rPr>
          <w:rFonts w:ascii="Arial" w:hAnsi="Arial" w:cs="Arial"/>
        </w:rPr>
      </w:pPr>
    </w:p>
    <w:p w14:paraId="58AF6439" w14:textId="6064A009" w:rsidR="004D1177" w:rsidRDefault="004D1177" w:rsidP="004D1177">
      <w:pPr>
        <w:spacing w:after="0" w:line="240" w:lineRule="auto"/>
        <w:jc w:val="both"/>
        <w:rPr>
          <w:rFonts w:ascii="Arial" w:hAnsi="Arial" w:cs="Arial"/>
        </w:rPr>
      </w:pPr>
      <w:r>
        <w:rPr>
          <w:rFonts w:ascii="Arial" w:hAnsi="Arial" w:cs="Arial"/>
        </w:rPr>
        <w:t>Adicionalmente</w:t>
      </w:r>
      <w:r w:rsidRPr="00341528">
        <w:rPr>
          <w:rFonts w:ascii="Arial" w:hAnsi="Arial" w:cs="Arial"/>
        </w:rPr>
        <w:t>, se realiza seguimiento a los pagos reportados</w:t>
      </w:r>
      <w:r>
        <w:rPr>
          <w:rFonts w:ascii="Arial" w:hAnsi="Arial" w:cs="Arial"/>
        </w:rPr>
        <w:t xml:space="preserve"> para los trimestres</w:t>
      </w:r>
      <w:r w:rsidRPr="00341528">
        <w:rPr>
          <w:rFonts w:ascii="Arial" w:hAnsi="Arial" w:cs="Arial"/>
        </w:rPr>
        <w:t xml:space="preserve"> por la</w:t>
      </w:r>
      <w:r>
        <w:rPr>
          <w:rFonts w:ascii="Arial" w:hAnsi="Arial" w:cs="Arial"/>
        </w:rPr>
        <w:t>s</w:t>
      </w:r>
      <w:r w:rsidRPr="00341528">
        <w:rPr>
          <w:rFonts w:ascii="Arial" w:hAnsi="Arial" w:cs="Arial"/>
        </w:rPr>
        <w:t xml:space="preserve"> EPS en el </w:t>
      </w:r>
      <w:r>
        <w:rPr>
          <w:rFonts w:ascii="Arial" w:hAnsi="Arial" w:cs="Arial"/>
        </w:rPr>
        <w:t xml:space="preserve">citado </w:t>
      </w:r>
      <w:r w:rsidRPr="00341528">
        <w:rPr>
          <w:rFonts w:ascii="Arial" w:hAnsi="Arial" w:cs="Arial"/>
        </w:rPr>
        <w:t>Anexo N</w:t>
      </w:r>
      <w:r>
        <w:rPr>
          <w:rFonts w:ascii="Arial" w:hAnsi="Arial" w:cs="Arial"/>
        </w:rPr>
        <w:t>o</w:t>
      </w:r>
      <w:r w:rsidRPr="00341528">
        <w:rPr>
          <w:rFonts w:ascii="Arial" w:hAnsi="Arial" w:cs="Arial"/>
        </w:rPr>
        <w:t xml:space="preserve"> 3 versus la información que remite</w:t>
      </w:r>
      <w:r>
        <w:rPr>
          <w:rFonts w:ascii="Arial" w:hAnsi="Arial" w:cs="Arial"/>
        </w:rPr>
        <w:t>n</w:t>
      </w:r>
      <w:r w:rsidRPr="00341528">
        <w:rPr>
          <w:rFonts w:ascii="Arial" w:hAnsi="Arial" w:cs="Arial"/>
        </w:rPr>
        <w:t xml:space="preserve"> las </w:t>
      </w:r>
      <w:r>
        <w:rPr>
          <w:rFonts w:ascii="Arial" w:hAnsi="Arial" w:cs="Arial"/>
        </w:rPr>
        <w:t>e</w:t>
      </w:r>
      <w:r w:rsidRPr="00341528">
        <w:rPr>
          <w:rFonts w:ascii="Arial" w:hAnsi="Arial" w:cs="Arial"/>
        </w:rPr>
        <w:t xml:space="preserve">ntidades </w:t>
      </w:r>
      <w:r>
        <w:rPr>
          <w:rFonts w:ascii="Arial" w:hAnsi="Arial" w:cs="Arial"/>
        </w:rPr>
        <w:t>t</w:t>
      </w:r>
      <w:r w:rsidRPr="00341528">
        <w:rPr>
          <w:rFonts w:ascii="Arial" w:hAnsi="Arial" w:cs="Arial"/>
        </w:rPr>
        <w:t>erritoriales a la Superintendencia Nacional de Salud</w:t>
      </w:r>
      <w:r>
        <w:rPr>
          <w:rFonts w:ascii="Arial" w:hAnsi="Arial" w:cs="Arial"/>
        </w:rPr>
        <w:t>, con el fin de identificar posibles diferencias y de encontrarse se requiere a la EPS y a la entidad territorial para que remitan los soportes que justifican esas diferencias o el ajuste de los reportes.</w:t>
      </w:r>
    </w:p>
    <w:p w14:paraId="0F5C6D1D" w14:textId="67D29DF7" w:rsidR="00657241" w:rsidRDefault="00657241" w:rsidP="004D1177">
      <w:pPr>
        <w:spacing w:after="0" w:line="240" w:lineRule="auto"/>
        <w:jc w:val="both"/>
        <w:rPr>
          <w:rFonts w:ascii="Arial" w:hAnsi="Arial" w:cs="Arial"/>
        </w:rPr>
      </w:pPr>
    </w:p>
    <w:p w14:paraId="5B6ACBF5" w14:textId="77777777" w:rsidR="004D1177" w:rsidRPr="009B668F" w:rsidRDefault="004D1177" w:rsidP="004D1177">
      <w:pPr>
        <w:pStyle w:val="Sinespaciado"/>
        <w:numPr>
          <w:ilvl w:val="0"/>
          <w:numId w:val="8"/>
        </w:numPr>
        <w:suppressAutoHyphens/>
        <w:autoSpaceDN w:val="0"/>
        <w:jc w:val="both"/>
        <w:textAlignment w:val="baseline"/>
        <w:rPr>
          <w:rFonts w:ascii="Arial" w:hAnsi="Arial" w:cs="Arial"/>
          <w:u w:val="single"/>
        </w:rPr>
      </w:pPr>
      <w:r w:rsidRPr="009B668F">
        <w:rPr>
          <w:rFonts w:ascii="Arial" w:hAnsi="Arial" w:cs="Arial"/>
          <w:u w:val="single"/>
        </w:rPr>
        <w:t>Presupuestos máximos:</w:t>
      </w:r>
    </w:p>
    <w:p w14:paraId="2B1F6606" w14:textId="77777777" w:rsidR="004D1177" w:rsidRDefault="004D1177" w:rsidP="004D1177">
      <w:pPr>
        <w:pStyle w:val="Sinespaciado"/>
        <w:jc w:val="both"/>
        <w:rPr>
          <w:rFonts w:ascii="Arial" w:hAnsi="Arial" w:cs="Arial"/>
          <w:u w:val="single"/>
        </w:rPr>
      </w:pPr>
    </w:p>
    <w:p w14:paraId="6E99BCDC" w14:textId="77777777" w:rsidR="004D1177" w:rsidRPr="007E6F69" w:rsidRDefault="004D1177" w:rsidP="004D1177">
      <w:pPr>
        <w:spacing w:after="0" w:line="240" w:lineRule="auto"/>
        <w:jc w:val="both"/>
        <w:rPr>
          <w:rFonts w:ascii="Arial" w:hAnsi="Arial" w:cs="Arial"/>
        </w:rPr>
      </w:pPr>
      <w:r w:rsidRPr="007E6F69">
        <w:rPr>
          <w:rFonts w:ascii="Arial" w:hAnsi="Arial" w:cs="Arial"/>
        </w:rPr>
        <w:t>La Superintendencia Nacional de Salud solicit</w:t>
      </w:r>
      <w:r>
        <w:rPr>
          <w:rFonts w:ascii="Arial" w:hAnsi="Arial" w:cs="Arial"/>
        </w:rPr>
        <w:t>ó</w:t>
      </w:r>
      <w:r w:rsidRPr="007E6F69">
        <w:rPr>
          <w:rFonts w:ascii="Arial" w:hAnsi="Arial" w:cs="Arial"/>
        </w:rPr>
        <w:t xml:space="preserve"> a las EPS el diligenciamiento y envío </w:t>
      </w:r>
      <w:r>
        <w:rPr>
          <w:rFonts w:ascii="Arial" w:hAnsi="Arial" w:cs="Arial"/>
        </w:rPr>
        <w:t xml:space="preserve">mensual del </w:t>
      </w:r>
      <w:r w:rsidRPr="005C1670">
        <w:rPr>
          <w:rFonts w:ascii="Arial" w:hAnsi="Arial" w:cs="Arial"/>
        </w:rPr>
        <w:t>formulario que contiene la información de IPS y proveedores de servicios y tecnologías en salud beneficiarias de los pagos efectuados por la misma indicando el mecanismo de reconocimiento a través del cual se giraron los recursos a la</w:t>
      </w:r>
      <w:r>
        <w:rPr>
          <w:rFonts w:ascii="Arial" w:hAnsi="Arial" w:cs="Arial"/>
        </w:rPr>
        <w:t>s</w:t>
      </w:r>
      <w:r w:rsidRPr="005C1670">
        <w:rPr>
          <w:rFonts w:ascii="Arial" w:hAnsi="Arial" w:cs="Arial"/>
        </w:rPr>
        <w:t xml:space="preserve"> EPS, de conformidad con lo establecido en la Circular Externa 017 de 2020, expedida por la Administradora de los Recursos del Sistema General de Seguridad Social en Salud </w:t>
      </w:r>
      <w:r>
        <w:rPr>
          <w:rFonts w:ascii="Arial" w:hAnsi="Arial" w:cs="Arial"/>
        </w:rPr>
        <w:t xml:space="preserve">- </w:t>
      </w:r>
      <w:r w:rsidRPr="005C1670">
        <w:rPr>
          <w:rFonts w:ascii="Arial" w:hAnsi="Arial" w:cs="Arial"/>
        </w:rPr>
        <w:t>ADRES.</w:t>
      </w:r>
    </w:p>
    <w:p w14:paraId="1AEF251B" w14:textId="77777777" w:rsidR="004D1177" w:rsidRPr="007E6F69" w:rsidRDefault="004D1177" w:rsidP="004D1177">
      <w:pPr>
        <w:spacing w:after="0" w:line="240" w:lineRule="auto"/>
        <w:jc w:val="both"/>
        <w:rPr>
          <w:rFonts w:ascii="Arial" w:hAnsi="Arial" w:cs="Arial"/>
        </w:rPr>
      </w:pPr>
    </w:p>
    <w:p w14:paraId="636F46E9" w14:textId="77777777" w:rsidR="004D1177" w:rsidRPr="009321C1" w:rsidRDefault="004D1177" w:rsidP="004D1177">
      <w:pPr>
        <w:spacing w:after="0" w:line="240" w:lineRule="auto"/>
        <w:jc w:val="both"/>
        <w:rPr>
          <w:rFonts w:ascii="Arial" w:hAnsi="Arial" w:cs="Arial"/>
          <w:b/>
          <w:bCs/>
        </w:rPr>
      </w:pPr>
      <w:r w:rsidRPr="007E6F69">
        <w:rPr>
          <w:rFonts w:ascii="Arial" w:hAnsi="Arial" w:cs="Arial"/>
        </w:rPr>
        <w:t>Es así como, la Dirección de Inspección y Vigilancia para las EAPB, adscrita a la Superintendencia Delegada para la Supervisión Institucional</w:t>
      </w:r>
      <w:r>
        <w:rPr>
          <w:rFonts w:ascii="Arial" w:hAnsi="Arial" w:cs="Arial"/>
        </w:rPr>
        <w:t xml:space="preserve"> de esta Superintendencia</w:t>
      </w:r>
      <w:r w:rsidRPr="007E6F69">
        <w:rPr>
          <w:rFonts w:ascii="Arial" w:hAnsi="Arial" w:cs="Arial"/>
        </w:rPr>
        <w:t xml:space="preserve">, </w:t>
      </w:r>
      <w:r>
        <w:rPr>
          <w:rFonts w:ascii="Arial" w:hAnsi="Arial" w:cs="Arial"/>
        </w:rPr>
        <w:t>requirió información adicional, relacionada con el déficit o superávit en los saldos asignados Vs los valores girados y la concentración de pagos con terceros específicos</w:t>
      </w:r>
      <w:r w:rsidRPr="007E6F69">
        <w:rPr>
          <w:rFonts w:ascii="Arial" w:hAnsi="Arial" w:cs="Arial"/>
        </w:rPr>
        <w:t xml:space="preserve"> a</w:t>
      </w:r>
      <w:r>
        <w:rPr>
          <w:rFonts w:ascii="Arial" w:hAnsi="Arial" w:cs="Arial"/>
        </w:rPr>
        <w:t xml:space="preserve"> 36 Entidades.</w:t>
      </w:r>
    </w:p>
    <w:p w14:paraId="3F004B23" w14:textId="77777777" w:rsidR="004D1177" w:rsidRDefault="004D1177" w:rsidP="004D1177">
      <w:pPr>
        <w:spacing w:after="0" w:line="240" w:lineRule="auto"/>
        <w:jc w:val="both"/>
        <w:rPr>
          <w:rFonts w:ascii="Arial" w:hAnsi="Arial" w:cs="Arial"/>
        </w:rPr>
      </w:pPr>
    </w:p>
    <w:p w14:paraId="094F462D" w14:textId="77777777" w:rsidR="004D1177" w:rsidRDefault="004D1177" w:rsidP="004D1177">
      <w:pPr>
        <w:pStyle w:val="Sinespaciado"/>
        <w:jc w:val="both"/>
        <w:rPr>
          <w:rFonts w:ascii="Arial" w:hAnsi="Arial" w:cs="Arial"/>
        </w:rPr>
      </w:pPr>
      <w:r>
        <w:rPr>
          <w:rFonts w:ascii="Arial" w:hAnsi="Arial" w:cs="Arial"/>
        </w:rPr>
        <w:t>Obteniendo del análisis efectuado inconsistencias tales como:</w:t>
      </w:r>
    </w:p>
    <w:p w14:paraId="4143D243" w14:textId="77777777" w:rsidR="004D1177" w:rsidRDefault="004D1177" w:rsidP="004D1177">
      <w:pPr>
        <w:pStyle w:val="Sinespaciado"/>
        <w:jc w:val="both"/>
        <w:rPr>
          <w:rFonts w:ascii="Arial" w:hAnsi="Arial" w:cs="Arial"/>
        </w:rPr>
      </w:pPr>
    </w:p>
    <w:p w14:paraId="61E62ABB" w14:textId="2AB4D549" w:rsidR="004D1177" w:rsidRPr="00FF5FD9" w:rsidRDefault="004D1177" w:rsidP="004D1177">
      <w:pPr>
        <w:pStyle w:val="Prrafodelista"/>
        <w:numPr>
          <w:ilvl w:val="2"/>
          <w:numId w:val="11"/>
        </w:numPr>
        <w:spacing w:after="0" w:line="240" w:lineRule="auto"/>
        <w:ind w:left="426" w:hanging="426"/>
        <w:jc w:val="both"/>
        <w:rPr>
          <w:rFonts w:ascii="Arial" w:eastAsia="Arial" w:hAnsi="Arial" w:cs="Arial"/>
          <w:b/>
          <w:bCs/>
          <w:lang w:eastAsia="es-ES"/>
        </w:rPr>
      </w:pPr>
      <w:r>
        <w:rPr>
          <w:rFonts w:ascii="Arial" w:eastAsia="Arial" w:hAnsi="Arial" w:cs="Arial"/>
          <w:lang w:eastAsia="es-ES"/>
        </w:rPr>
        <w:t xml:space="preserve">Cambios en los valores reportados de un período a otro, es decir, algunas EPS remiten los pagos para el mes 1 y en el siguiente período envían nuevamente la información </w:t>
      </w:r>
      <w:r>
        <w:rPr>
          <w:rFonts w:ascii="Arial" w:eastAsia="Arial" w:hAnsi="Arial" w:cs="Arial"/>
          <w:lang w:eastAsia="es-ES"/>
        </w:rPr>
        <w:lastRenderedPageBreak/>
        <w:t xml:space="preserve">de varios </w:t>
      </w:r>
      <w:r w:rsidR="003D53F5">
        <w:rPr>
          <w:rFonts w:ascii="Arial" w:eastAsia="Arial" w:hAnsi="Arial" w:cs="Arial"/>
          <w:lang w:eastAsia="es-ES"/>
        </w:rPr>
        <w:t>meses,</w:t>
      </w:r>
      <w:r>
        <w:rPr>
          <w:rFonts w:ascii="Arial" w:eastAsia="Arial" w:hAnsi="Arial" w:cs="Arial"/>
          <w:lang w:eastAsia="es-ES"/>
        </w:rPr>
        <w:t xml:space="preserve"> pero con diferencias sustanciales con respecto a los reportado anteriormente en el mes 1.</w:t>
      </w:r>
    </w:p>
    <w:p w14:paraId="56023255" w14:textId="77777777" w:rsidR="004D1177" w:rsidRPr="00FF5FD9" w:rsidRDefault="004D1177" w:rsidP="004D1177">
      <w:pPr>
        <w:pStyle w:val="Prrafodelista"/>
        <w:spacing w:after="0" w:line="240" w:lineRule="auto"/>
        <w:ind w:left="426"/>
        <w:jc w:val="both"/>
        <w:rPr>
          <w:rFonts w:ascii="Arial" w:eastAsia="Arial" w:hAnsi="Arial" w:cs="Arial"/>
          <w:b/>
          <w:bCs/>
          <w:lang w:eastAsia="es-ES"/>
        </w:rPr>
      </w:pPr>
    </w:p>
    <w:p w14:paraId="2D51BE06" w14:textId="77777777" w:rsidR="004D1177" w:rsidRPr="00FF5FD9" w:rsidRDefault="004D1177" w:rsidP="004D1177">
      <w:pPr>
        <w:pStyle w:val="Prrafodelista"/>
        <w:numPr>
          <w:ilvl w:val="2"/>
          <w:numId w:val="11"/>
        </w:numPr>
        <w:spacing w:after="0" w:line="240" w:lineRule="auto"/>
        <w:ind w:left="426" w:hanging="426"/>
        <w:jc w:val="both"/>
        <w:rPr>
          <w:rFonts w:ascii="Arial" w:eastAsia="Arial" w:hAnsi="Arial" w:cs="Arial"/>
          <w:b/>
          <w:bCs/>
          <w:lang w:eastAsia="es-ES"/>
        </w:rPr>
      </w:pPr>
      <w:r w:rsidRPr="00FF5FD9">
        <w:rPr>
          <w:rFonts w:ascii="Arial" w:eastAsia="Arial" w:hAnsi="Arial" w:cs="Arial"/>
          <w:lang w:eastAsia="es-ES"/>
        </w:rPr>
        <w:t>Algunas EPS no diligencian de manera correcta los campos del formato, tales como: NIT de la IPS o mecanismo de pago, lo cual impide la verificación de la información reportada.</w:t>
      </w:r>
    </w:p>
    <w:p w14:paraId="33F3A92C" w14:textId="77777777" w:rsidR="004D1177" w:rsidRDefault="004D1177" w:rsidP="004D1177">
      <w:pPr>
        <w:spacing w:after="0" w:line="240" w:lineRule="auto"/>
        <w:jc w:val="both"/>
        <w:rPr>
          <w:rFonts w:ascii="Arial" w:hAnsi="Arial" w:cs="Arial"/>
        </w:rPr>
      </w:pPr>
    </w:p>
    <w:p w14:paraId="25ADD148" w14:textId="77777777" w:rsidR="004D1177" w:rsidRDefault="004D1177" w:rsidP="004D1177">
      <w:pPr>
        <w:pStyle w:val="Sinespaciado"/>
        <w:jc w:val="both"/>
        <w:rPr>
          <w:rFonts w:ascii="Arial" w:hAnsi="Arial" w:cs="Arial"/>
        </w:rPr>
      </w:pPr>
      <w:r>
        <w:rPr>
          <w:rFonts w:ascii="Arial" w:hAnsi="Arial" w:cs="Arial"/>
        </w:rPr>
        <w:t>En consecuencia, se han solicitado a las EPS los ajustes a las observaciones presentadas en el reporte y la justificación de las diferencias y concentración de pagos en proveedores particulares.</w:t>
      </w:r>
    </w:p>
    <w:p w14:paraId="184277E6" w14:textId="77777777" w:rsidR="004D1177" w:rsidRDefault="004D1177" w:rsidP="004D1177">
      <w:pPr>
        <w:pStyle w:val="Sinespaciado"/>
        <w:jc w:val="both"/>
        <w:rPr>
          <w:rFonts w:ascii="Arial" w:hAnsi="Arial" w:cs="Arial"/>
        </w:rPr>
      </w:pPr>
    </w:p>
    <w:p w14:paraId="48FE63A2" w14:textId="5DA85999" w:rsidR="004D1177" w:rsidRPr="00C72033" w:rsidRDefault="004D1177" w:rsidP="004D1177">
      <w:pPr>
        <w:pStyle w:val="Sinespaciado"/>
        <w:numPr>
          <w:ilvl w:val="0"/>
          <w:numId w:val="8"/>
        </w:numPr>
        <w:suppressAutoHyphens/>
        <w:autoSpaceDN w:val="0"/>
        <w:jc w:val="both"/>
        <w:textAlignment w:val="baseline"/>
        <w:rPr>
          <w:rFonts w:ascii="Arial" w:hAnsi="Arial" w:cs="Arial"/>
        </w:rPr>
      </w:pPr>
      <w:r w:rsidRPr="00C72033">
        <w:rPr>
          <w:rFonts w:ascii="Arial" w:hAnsi="Arial" w:cs="Arial"/>
          <w:u w:val="single"/>
        </w:rPr>
        <w:t>F</w:t>
      </w:r>
      <w:r>
        <w:rPr>
          <w:rFonts w:ascii="Arial" w:hAnsi="Arial" w:cs="Arial"/>
          <w:u w:val="single"/>
        </w:rPr>
        <w:t>ondo de Solidaridad de Fomento al Empleo y Protección al Cesante</w:t>
      </w:r>
      <w:r w:rsidR="00657241">
        <w:rPr>
          <w:rFonts w:ascii="Arial" w:hAnsi="Arial" w:cs="Arial"/>
          <w:u w:val="single"/>
        </w:rPr>
        <w:t xml:space="preserve"> </w:t>
      </w:r>
      <w:r>
        <w:rPr>
          <w:rFonts w:ascii="Arial" w:hAnsi="Arial" w:cs="Arial"/>
          <w:u w:val="single"/>
        </w:rPr>
        <w:t>-</w:t>
      </w:r>
      <w:r w:rsidR="00657241">
        <w:rPr>
          <w:rFonts w:ascii="Arial" w:hAnsi="Arial" w:cs="Arial"/>
          <w:u w:val="single"/>
        </w:rPr>
        <w:t xml:space="preserve"> </w:t>
      </w:r>
      <w:r>
        <w:rPr>
          <w:rFonts w:ascii="Arial" w:hAnsi="Arial" w:cs="Arial"/>
          <w:u w:val="single"/>
        </w:rPr>
        <w:t>F</w:t>
      </w:r>
      <w:r w:rsidRPr="00C72033">
        <w:rPr>
          <w:rFonts w:ascii="Arial" w:hAnsi="Arial" w:cs="Arial"/>
          <w:u w:val="single"/>
        </w:rPr>
        <w:t>OSFEC:</w:t>
      </w:r>
    </w:p>
    <w:p w14:paraId="624116B7" w14:textId="77777777" w:rsidR="004D1177" w:rsidRDefault="004D1177" w:rsidP="004D1177">
      <w:pPr>
        <w:pStyle w:val="Sinespaciado"/>
        <w:jc w:val="both"/>
        <w:rPr>
          <w:rFonts w:ascii="Arial" w:hAnsi="Arial" w:cs="Arial"/>
          <w:u w:val="single"/>
        </w:rPr>
      </w:pPr>
    </w:p>
    <w:p w14:paraId="761154A7" w14:textId="42393ECD" w:rsidR="004D1177" w:rsidRDefault="004D1177" w:rsidP="004D1177">
      <w:pPr>
        <w:pStyle w:val="Sinespaciado"/>
        <w:jc w:val="both"/>
        <w:rPr>
          <w:rFonts w:ascii="Arial" w:hAnsi="Arial" w:cs="Arial"/>
        </w:rPr>
      </w:pPr>
      <w:r>
        <w:rPr>
          <w:rFonts w:ascii="Arial" w:hAnsi="Arial" w:cs="Arial"/>
        </w:rPr>
        <w:t>En el marco de lo establecido en la Resolución 1514 de 2020</w:t>
      </w:r>
      <w:r w:rsidR="00657241">
        <w:rPr>
          <w:rFonts w:ascii="Arial" w:hAnsi="Arial" w:cs="Arial"/>
        </w:rPr>
        <w:t xml:space="preserve"> del MSPS</w:t>
      </w:r>
      <w:r>
        <w:rPr>
          <w:rFonts w:ascii="Arial" w:hAnsi="Arial" w:cs="Arial"/>
        </w:rPr>
        <w:t>, establece los términos y condiciones para que las Cajas de Compensación Familiar que administran el régimen subsidiado o, en su defecto que el programa de salud de estas cajas se encuentre en proceso de liquidación o liquidado puedan acceder a los recursos del fondo. A su vez, define las responsabilidades de los diferentes actores en el proceso de validación, asignación y giro de los recursos; de conformidad con el procedimiento indicado en el artículo 4, numeral 4.1 y 4.2 de la citada resolución y conforme las aclaraciones frente a los términos para el reporte de información por parte de las Cajas de Compensación Familiar indicados en la Circular No 46 de 2020, la Superintendencia Nacional de Salud ha verificado la información reportada para tres giros, dos de ellos en la vigencia 2021.</w:t>
      </w:r>
    </w:p>
    <w:p w14:paraId="11E97345" w14:textId="77777777" w:rsidR="004D1177" w:rsidRDefault="004D1177" w:rsidP="004D1177">
      <w:pPr>
        <w:pStyle w:val="Sinespaciado"/>
        <w:jc w:val="both"/>
        <w:rPr>
          <w:rFonts w:ascii="Arial" w:hAnsi="Arial" w:cs="Arial"/>
        </w:rPr>
      </w:pPr>
    </w:p>
    <w:p w14:paraId="43F7E76C" w14:textId="77777777" w:rsidR="004D1177" w:rsidRDefault="004D1177" w:rsidP="004D1177">
      <w:pPr>
        <w:pStyle w:val="Sinespaciado"/>
        <w:jc w:val="both"/>
        <w:rPr>
          <w:rFonts w:ascii="Arial" w:hAnsi="Arial" w:cs="Arial"/>
        </w:rPr>
      </w:pPr>
      <w:r>
        <w:rPr>
          <w:rFonts w:ascii="Arial" w:hAnsi="Arial" w:cs="Arial"/>
        </w:rPr>
        <w:t xml:space="preserve">Los pagos efectuados a las Cajas de Compensación en el primer giro fueron informados a la Dirección de IV para IPS mediante memorando No </w:t>
      </w:r>
      <w:r w:rsidRPr="005A430F">
        <w:rPr>
          <w:rFonts w:ascii="Arial" w:hAnsi="Arial" w:cs="Arial"/>
        </w:rPr>
        <w:t>202141100031513</w:t>
      </w:r>
      <w:r>
        <w:rPr>
          <w:rFonts w:ascii="Arial" w:hAnsi="Arial" w:cs="Arial"/>
        </w:rPr>
        <w:t xml:space="preserve">, </w:t>
      </w:r>
      <w:r w:rsidRPr="00BD4C41">
        <w:rPr>
          <w:rFonts w:ascii="Arial" w:hAnsi="Arial" w:cs="Arial"/>
        </w:rPr>
        <w:t xml:space="preserve">con el fin de realizar las acciones de inspección y vigilancia, de que trata el </w:t>
      </w:r>
      <w:r>
        <w:rPr>
          <w:rFonts w:ascii="Arial" w:hAnsi="Arial" w:cs="Arial"/>
        </w:rPr>
        <w:t>p</w:t>
      </w:r>
      <w:r w:rsidRPr="00BD4C41">
        <w:rPr>
          <w:rFonts w:ascii="Arial" w:hAnsi="Arial" w:cs="Arial"/>
        </w:rPr>
        <w:t xml:space="preserve">arágrafo del </w:t>
      </w:r>
      <w:r>
        <w:rPr>
          <w:rFonts w:ascii="Arial" w:hAnsi="Arial" w:cs="Arial"/>
        </w:rPr>
        <w:t>a</w:t>
      </w:r>
      <w:r w:rsidRPr="00BD4C41">
        <w:rPr>
          <w:rFonts w:ascii="Arial" w:hAnsi="Arial" w:cs="Arial"/>
        </w:rPr>
        <w:t>rtículo 5 de la Resolución 1514 del 1 de septiembre de 2020</w:t>
      </w:r>
      <w:r>
        <w:rPr>
          <w:rFonts w:ascii="Arial" w:hAnsi="Arial" w:cs="Arial"/>
        </w:rPr>
        <w:t>.</w:t>
      </w:r>
    </w:p>
    <w:p w14:paraId="1875ED68" w14:textId="77777777" w:rsidR="004D1177" w:rsidRDefault="004D1177" w:rsidP="004D1177">
      <w:pPr>
        <w:pStyle w:val="Sinespaciado"/>
        <w:jc w:val="both"/>
        <w:rPr>
          <w:rFonts w:ascii="Arial" w:hAnsi="Arial" w:cs="Arial"/>
        </w:rPr>
      </w:pPr>
    </w:p>
    <w:p w14:paraId="42556686" w14:textId="766711CE" w:rsidR="004D1177" w:rsidRDefault="004D1177" w:rsidP="003B7799">
      <w:pPr>
        <w:spacing w:after="0" w:line="240" w:lineRule="auto"/>
        <w:jc w:val="both"/>
        <w:rPr>
          <w:rFonts w:ascii="Arial" w:hAnsi="Arial" w:cs="Arial"/>
        </w:rPr>
      </w:pPr>
      <w:r>
        <w:rPr>
          <w:rFonts w:ascii="Arial" w:hAnsi="Arial" w:cs="Arial"/>
        </w:rPr>
        <w:t>La verificación efectuada por parte de la Superintendencia Nacional de Salud se realiza conforme los datos reportados por las Cajas de Compensación en el Anexo 1 Versus el reporte efectuado para el mismo corte en la Circular 030 de 2013.</w:t>
      </w:r>
    </w:p>
    <w:p w14:paraId="6B230631" w14:textId="77777777" w:rsidR="003D53F5" w:rsidRPr="00C72033" w:rsidRDefault="003D53F5" w:rsidP="003B7799">
      <w:pPr>
        <w:spacing w:after="0" w:line="240" w:lineRule="auto"/>
        <w:jc w:val="both"/>
      </w:pPr>
    </w:p>
    <w:p w14:paraId="614AF5EC" w14:textId="77777777" w:rsidR="004D1177" w:rsidRPr="00C72033" w:rsidRDefault="004D1177" w:rsidP="004D1177">
      <w:pPr>
        <w:pStyle w:val="Sinespaciado"/>
        <w:numPr>
          <w:ilvl w:val="0"/>
          <w:numId w:val="8"/>
        </w:numPr>
        <w:suppressAutoHyphens/>
        <w:autoSpaceDN w:val="0"/>
        <w:jc w:val="both"/>
        <w:textAlignment w:val="baseline"/>
        <w:rPr>
          <w:rFonts w:ascii="Arial" w:hAnsi="Arial" w:cs="Arial"/>
        </w:rPr>
      </w:pPr>
      <w:r w:rsidRPr="00C72033">
        <w:rPr>
          <w:rFonts w:ascii="Arial" w:hAnsi="Arial" w:cs="Arial"/>
          <w:u w:val="single"/>
        </w:rPr>
        <w:t>Revocatorias parciales</w:t>
      </w:r>
    </w:p>
    <w:p w14:paraId="13C9575F" w14:textId="77777777" w:rsidR="004D1177" w:rsidRDefault="004D1177" w:rsidP="004D1177">
      <w:pPr>
        <w:pStyle w:val="Sinespaciado"/>
        <w:jc w:val="both"/>
        <w:rPr>
          <w:rFonts w:ascii="Arial" w:hAnsi="Arial" w:cs="Arial"/>
        </w:rPr>
      </w:pPr>
    </w:p>
    <w:p w14:paraId="2E299BEC" w14:textId="77777777" w:rsidR="004D1177" w:rsidRPr="006E2526" w:rsidRDefault="004D1177" w:rsidP="004D1177">
      <w:pPr>
        <w:spacing w:after="0" w:line="240" w:lineRule="auto"/>
        <w:jc w:val="both"/>
        <w:rPr>
          <w:rFonts w:ascii="Arial" w:hAnsi="Arial" w:cs="Arial"/>
        </w:rPr>
      </w:pPr>
      <w:r w:rsidRPr="00995A80">
        <w:rPr>
          <w:rFonts w:ascii="Arial" w:eastAsia="Calibri Light" w:hAnsi="Arial" w:cs="Arial"/>
        </w:rPr>
        <w:t xml:space="preserve">Las </w:t>
      </w:r>
      <w:r>
        <w:rPr>
          <w:rFonts w:ascii="Arial" w:eastAsia="Calibri Light" w:hAnsi="Arial" w:cs="Arial"/>
        </w:rPr>
        <w:t>r</w:t>
      </w:r>
      <w:r w:rsidRPr="00995A80">
        <w:rPr>
          <w:rFonts w:ascii="Arial" w:eastAsia="Calibri Light" w:hAnsi="Arial" w:cs="Arial"/>
        </w:rPr>
        <w:t xml:space="preserve">esoluciones con las cuales se ha decidido una actuación de revocatoria parcial de </w:t>
      </w:r>
      <w:r w:rsidRPr="004D61DE">
        <w:rPr>
          <w:rFonts w:ascii="Arial" w:eastAsia="Calibri Light" w:hAnsi="Arial" w:cs="Arial"/>
        </w:rPr>
        <w:t>autorización de funcionamiento, en su parte resolutiva indica:</w:t>
      </w:r>
      <w:r>
        <w:rPr>
          <w:rFonts w:ascii="Arial" w:eastAsia="Calibri Light" w:hAnsi="Arial" w:cs="Arial"/>
        </w:rPr>
        <w:t xml:space="preserve"> </w:t>
      </w:r>
      <w:r w:rsidRPr="006E2526">
        <w:rPr>
          <w:rFonts w:ascii="Arial" w:hAnsi="Arial" w:cs="Arial"/>
        </w:rPr>
        <w:t>“Las EPS debe presentar ante la Superintendencia Delegada para la Supervisión Institucional, dentro de los diez días posteriores a la ejecutoria del presente acto administrativo, un cronograma no superior a tres meses para realizar depuración y conciliación de cartera con las IPS que presentaron servicios a los afiliados de los departamentos objeto del retiro, y en un tiempo no mayor a 10 días después de culminado el proceso de depuración y conciliación. (…).”</w:t>
      </w:r>
    </w:p>
    <w:p w14:paraId="0D4F805C" w14:textId="77777777" w:rsidR="004D1177" w:rsidRDefault="004D1177" w:rsidP="004D1177">
      <w:pPr>
        <w:spacing w:after="0" w:line="240" w:lineRule="auto"/>
        <w:jc w:val="both"/>
        <w:rPr>
          <w:rFonts w:ascii="Arial" w:eastAsia="Calibri Light" w:hAnsi="Arial" w:cs="Arial"/>
        </w:rPr>
      </w:pPr>
    </w:p>
    <w:p w14:paraId="3DFBF1CF" w14:textId="53D30512" w:rsidR="004D1177" w:rsidRDefault="004D1177" w:rsidP="004D1177">
      <w:pPr>
        <w:pStyle w:val="Sinespaciado"/>
        <w:jc w:val="both"/>
        <w:rPr>
          <w:rFonts w:ascii="Arial" w:eastAsia="Calibri Light" w:hAnsi="Arial" w:cs="Arial"/>
        </w:rPr>
      </w:pPr>
      <w:r w:rsidRPr="00020A9C">
        <w:rPr>
          <w:rFonts w:ascii="Arial" w:eastAsia="Calibri Light" w:hAnsi="Arial" w:cs="Arial"/>
        </w:rPr>
        <w:t>Por lo cual, se realizó la verificación del avance en la conciliación y saneamiento de la cartera con las IPS de los departamentos donde se realiz</w:t>
      </w:r>
      <w:r>
        <w:rPr>
          <w:rFonts w:ascii="Arial" w:eastAsia="Calibri Light" w:hAnsi="Arial" w:cs="Arial"/>
        </w:rPr>
        <w:t xml:space="preserve">aron </w:t>
      </w:r>
      <w:r w:rsidRPr="00020A9C">
        <w:rPr>
          <w:rFonts w:ascii="Arial" w:eastAsia="Calibri Light" w:hAnsi="Arial" w:cs="Arial"/>
        </w:rPr>
        <w:t>la</w:t>
      </w:r>
      <w:r>
        <w:rPr>
          <w:rFonts w:ascii="Arial" w:eastAsia="Calibri Light" w:hAnsi="Arial" w:cs="Arial"/>
        </w:rPr>
        <w:t>s</w:t>
      </w:r>
      <w:r w:rsidRPr="00020A9C">
        <w:rPr>
          <w:rFonts w:ascii="Arial" w:eastAsia="Calibri Light" w:hAnsi="Arial" w:cs="Arial"/>
        </w:rPr>
        <w:t xml:space="preserve"> revocatoria</w:t>
      </w:r>
      <w:r>
        <w:rPr>
          <w:rFonts w:ascii="Arial" w:eastAsia="Calibri Light" w:hAnsi="Arial" w:cs="Arial"/>
        </w:rPr>
        <w:t>s</w:t>
      </w:r>
      <w:r w:rsidRPr="00020A9C">
        <w:rPr>
          <w:rFonts w:ascii="Arial" w:eastAsia="Calibri Light" w:hAnsi="Arial" w:cs="Arial"/>
        </w:rPr>
        <w:t xml:space="preserve"> parcial</w:t>
      </w:r>
      <w:r>
        <w:rPr>
          <w:rFonts w:ascii="Arial" w:eastAsia="Calibri Light" w:hAnsi="Arial" w:cs="Arial"/>
        </w:rPr>
        <w:t>es</w:t>
      </w:r>
      <w:r w:rsidRPr="00020A9C">
        <w:rPr>
          <w:rFonts w:ascii="Arial" w:eastAsia="Calibri Light" w:hAnsi="Arial" w:cs="Arial"/>
        </w:rPr>
        <w:t>, partiendo del auto</w:t>
      </w:r>
      <w:r>
        <w:rPr>
          <w:rFonts w:ascii="Arial" w:eastAsia="Calibri Light" w:hAnsi="Arial" w:cs="Arial"/>
        </w:rPr>
        <w:t>r</w:t>
      </w:r>
      <w:r w:rsidRPr="00020A9C">
        <w:rPr>
          <w:rFonts w:ascii="Arial" w:eastAsia="Calibri Light" w:hAnsi="Arial" w:cs="Arial"/>
        </w:rPr>
        <w:t>eporte efectuado por las Entidades Beneficiarias de Pago en la Circular 030 de 2013</w:t>
      </w:r>
      <w:r>
        <w:rPr>
          <w:rFonts w:ascii="Arial" w:eastAsia="Calibri Light" w:hAnsi="Arial" w:cs="Arial"/>
        </w:rPr>
        <w:t>,</w:t>
      </w:r>
      <w:r w:rsidRPr="00020A9C">
        <w:rPr>
          <w:rFonts w:ascii="Arial" w:eastAsia="Calibri Light" w:hAnsi="Arial" w:cs="Arial"/>
        </w:rPr>
        <w:t xml:space="preserve"> los saldos reportados por las EPS en el archivo tipo FT004</w:t>
      </w:r>
      <w:r>
        <w:rPr>
          <w:rFonts w:ascii="Arial" w:eastAsia="Calibri Light" w:hAnsi="Arial" w:cs="Arial"/>
        </w:rPr>
        <w:t xml:space="preserve"> y las IPS en el archivo tipo FT003</w:t>
      </w:r>
      <w:r w:rsidRPr="00020A9C">
        <w:rPr>
          <w:rFonts w:ascii="Arial" w:eastAsia="Calibri Light" w:hAnsi="Arial" w:cs="Arial"/>
        </w:rPr>
        <w:t xml:space="preserve"> de la Circular 016 de 2016</w:t>
      </w:r>
      <w:r>
        <w:rPr>
          <w:rFonts w:ascii="Arial" w:eastAsia="Calibri Light" w:hAnsi="Arial" w:cs="Arial"/>
        </w:rPr>
        <w:t>; así como los saldos de cartera reportados por las entidades públicas en SIHO y</w:t>
      </w:r>
      <w:r w:rsidRPr="00020A9C">
        <w:rPr>
          <w:rFonts w:ascii="Arial" w:eastAsia="Calibri Light" w:hAnsi="Arial" w:cs="Arial"/>
        </w:rPr>
        <w:t xml:space="preserve"> las IPS que se encuentran en REPS habilitadas a la fecha de corte del presente informe, con sede principal en el departamento objeto del retiro parcial</w:t>
      </w:r>
      <w:r>
        <w:rPr>
          <w:rFonts w:ascii="Arial" w:eastAsia="Calibri Light" w:hAnsi="Arial" w:cs="Arial"/>
        </w:rPr>
        <w:t>, así:</w:t>
      </w:r>
    </w:p>
    <w:p w14:paraId="0578685F" w14:textId="77777777" w:rsidR="004D1177" w:rsidRDefault="004D1177" w:rsidP="004D1177">
      <w:pPr>
        <w:pStyle w:val="Sinespaciado"/>
        <w:jc w:val="both"/>
        <w:rPr>
          <w:rFonts w:ascii="Arial" w:eastAsia="Calibri Light" w:hAnsi="Arial" w:cs="Arial"/>
        </w:rPr>
      </w:pPr>
    </w:p>
    <w:tbl>
      <w:tblPr>
        <w:tblW w:w="8828" w:type="dxa"/>
        <w:tblCellMar>
          <w:left w:w="0" w:type="dxa"/>
          <w:right w:w="0" w:type="dxa"/>
        </w:tblCellMar>
        <w:tblLook w:val="0600" w:firstRow="0" w:lastRow="0" w:firstColumn="0" w:lastColumn="0" w:noHBand="1" w:noVBand="1"/>
      </w:tblPr>
      <w:tblGrid>
        <w:gridCol w:w="1446"/>
        <w:gridCol w:w="1609"/>
        <w:gridCol w:w="1673"/>
        <w:gridCol w:w="1754"/>
        <w:gridCol w:w="2346"/>
      </w:tblGrid>
      <w:tr w:rsidR="004D1177" w:rsidRPr="00576BEF" w14:paraId="1696EDA8" w14:textId="77777777" w:rsidTr="00BB6EF9">
        <w:trPr>
          <w:trHeight w:val="846"/>
          <w:tblHeader/>
        </w:trPr>
        <w:tc>
          <w:tcPr>
            <w:tcW w:w="1446"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bottom w:w="0" w:type="dxa"/>
              <w:right w:w="15" w:type="dxa"/>
            </w:tcMar>
            <w:vAlign w:val="center"/>
            <w:hideMark/>
          </w:tcPr>
          <w:p w14:paraId="7748B3A3" w14:textId="77777777" w:rsidR="004D1177" w:rsidRPr="00576BEF" w:rsidRDefault="004D1177" w:rsidP="00BB6EF9">
            <w:pPr>
              <w:pStyle w:val="Sinespaciado"/>
              <w:jc w:val="center"/>
              <w:rPr>
                <w:rFonts w:ascii="Arial" w:eastAsia="Calibri Light" w:hAnsi="Arial" w:cs="Arial"/>
                <w:sz w:val="16"/>
                <w:szCs w:val="16"/>
              </w:rPr>
            </w:pPr>
            <w:r w:rsidRPr="00576BEF">
              <w:rPr>
                <w:rFonts w:ascii="Arial" w:eastAsia="Calibri Light" w:hAnsi="Arial" w:cs="Arial"/>
                <w:b/>
                <w:bCs/>
                <w:sz w:val="16"/>
                <w:szCs w:val="16"/>
              </w:rPr>
              <w:t>EPS</w:t>
            </w:r>
          </w:p>
        </w:tc>
        <w:tc>
          <w:tcPr>
            <w:tcW w:w="1609"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bottom w:w="0" w:type="dxa"/>
              <w:right w:w="15" w:type="dxa"/>
            </w:tcMar>
            <w:vAlign w:val="center"/>
            <w:hideMark/>
          </w:tcPr>
          <w:p w14:paraId="3B207E15" w14:textId="77777777" w:rsidR="004D1177" w:rsidRPr="00576BEF" w:rsidRDefault="004D1177" w:rsidP="00BB6EF9">
            <w:pPr>
              <w:pStyle w:val="Sinespaciado"/>
              <w:jc w:val="center"/>
              <w:rPr>
                <w:rFonts w:ascii="Arial" w:eastAsia="Calibri Light" w:hAnsi="Arial" w:cs="Arial"/>
                <w:sz w:val="16"/>
                <w:szCs w:val="16"/>
              </w:rPr>
            </w:pPr>
            <w:r w:rsidRPr="00576BEF">
              <w:rPr>
                <w:rFonts w:ascii="Arial" w:eastAsia="Calibri Light" w:hAnsi="Arial" w:cs="Arial"/>
                <w:b/>
                <w:bCs/>
                <w:sz w:val="16"/>
                <w:szCs w:val="16"/>
              </w:rPr>
              <w:t>Resolución</w:t>
            </w:r>
          </w:p>
        </w:tc>
        <w:tc>
          <w:tcPr>
            <w:tcW w:w="1673"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bottom w:w="0" w:type="dxa"/>
              <w:right w:w="15" w:type="dxa"/>
            </w:tcMar>
            <w:vAlign w:val="center"/>
            <w:hideMark/>
          </w:tcPr>
          <w:p w14:paraId="6891CDDC" w14:textId="77777777" w:rsidR="004D1177" w:rsidRPr="00576BEF" w:rsidRDefault="004D1177" w:rsidP="00BB6EF9">
            <w:pPr>
              <w:pStyle w:val="Sinespaciado"/>
              <w:jc w:val="center"/>
              <w:rPr>
                <w:rFonts w:ascii="Arial" w:eastAsia="Calibri Light" w:hAnsi="Arial" w:cs="Arial"/>
                <w:sz w:val="16"/>
                <w:szCs w:val="16"/>
              </w:rPr>
            </w:pPr>
            <w:r w:rsidRPr="00576BEF">
              <w:rPr>
                <w:rFonts w:ascii="Arial" w:eastAsia="Calibri Light" w:hAnsi="Arial" w:cs="Arial"/>
                <w:b/>
                <w:bCs/>
                <w:sz w:val="16"/>
                <w:szCs w:val="16"/>
              </w:rPr>
              <w:t>Departamentos</w:t>
            </w:r>
          </w:p>
        </w:tc>
        <w:tc>
          <w:tcPr>
            <w:tcW w:w="1754" w:type="dxa"/>
            <w:tcBorders>
              <w:top w:val="single" w:sz="4" w:space="0" w:color="000000"/>
              <w:left w:val="single" w:sz="4" w:space="0" w:color="000000"/>
              <w:bottom w:val="single" w:sz="4" w:space="0" w:color="000000"/>
              <w:right w:val="single" w:sz="4" w:space="0" w:color="000000"/>
            </w:tcBorders>
            <w:shd w:val="clear" w:color="auto" w:fill="C6E0B4"/>
            <w:tcMar>
              <w:top w:w="15" w:type="dxa"/>
              <w:left w:w="15" w:type="dxa"/>
              <w:bottom w:w="0" w:type="dxa"/>
              <w:right w:w="15" w:type="dxa"/>
            </w:tcMar>
            <w:vAlign w:val="center"/>
            <w:hideMark/>
          </w:tcPr>
          <w:p w14:paraId="3C934FC8" w14:textId="77777777" w:rsidR="004D1177" w:rsidRPr="00576BEF" w:rsidRDefault="004D1177" w:rsidP="00BB6EF9">
            <w:pPr>
              <w:pStyle w:val="Sinespaciado"/>
              <w:jc w:val="center"/>
              <w:rPr>
                <w:rFonts w:ascii="Arial" w:eastAsia="Calibri Light" w:hAnsi="Arial" w:cs="Arial"/>
                <w:sz w:val="16"/>
                <w:szCs w:val="16"/>
              </w:rPr>
            </w:pPr>
            <w:r w:rsidRPr="00576BEF">
              <w:rPr>
                <w:rFonts w:ascii="Arial" w:eastAsia="Calibri Light" w:hAnsi="Arial" w:cs="Arial"/>
                <w:b/>
                <w:bCs/>
                <w:sz w:val="16"/>
                <w:szCs w:val="16"/>
              </w:rPr>
              <w:t>Radicado Resolución de liquidación</w:t>
            </w:r>
          </w:p>
        </w:tc>
        <w:tc>
          <w:tcPr>
            <w:tcW w:w="2346" w:type="dxa"/>
            <w:tcBorders>
              <w:top w:val="single" w:sz="4" w:space="0" w:color="000000"/>
              <w:left w:val="single" w:sz="4" w:space="0" w:color="000000"/>
              <w:bottom w:val="single" w:sz="4" w:space="0" w:color="000000"/>
              <w:right w:val="single" w:sz="4" w:space="0" w:color="000000"/>
            </w:tcBorders>
            <w:shd w:val="clear" w:color="auto" w:fill="C6E0B4"/>
            <w:vAlign w:val="center"/>
          </w:tcPr>
          <w:p w14:paraId="7A6883D8" w14:textId="77777777" w:rsidR="004D1177" w:rsidRPr="00576BEF" w:rsidRDefault="004D1177" w:rsidP="00BB6EF9">
            <w:pPr>
              <w:pStyle w:val="Sinespaciado"/>
              <w:jc w:val="center"/>
              <w:rPr>
                <w:rFonts w:ascii="Arial" w:eastAsia="Calibri Light" w:hAnsi="Arial" w:cs="Arial"/>
                <w:b/>
                <w:bCs/>
                <w:sz w:val="16"/>
                <w:szCs w:val="16"/>
              </w:rPr>
            </w:pPr>
            <w:r>
              <w:rPr>
                <w:rFonts w:ascii="Arial" w:eastAsia="Calibri Light" w:hAnsi="Arial" w:cs="Arial"/>
                <w:b/>
                <w:bCs/>
                <w:sz w:val="16"/>
                <w:szCs w:val="16"/>
              </w:rPr>
              <w:t>Radicados de salida por requerimientos de ajuste al cronograma artículo 3 numeral 5</w:t>
            </w:r>
          </w:p>
        </w:tc>
      </w:tr>
      <w:tr w:rsidR="004D1177" w:rsidRPr="00576BEF" w14:paraId="48DC7584" w14:textId="77777777" w:rsidTr="00BB6EF9">
        <w:trPr>
          <w:trHeight w:val="569"/>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2806FF" w14:textId="77777777" w:rsidR="004D1177" w:rsidRPr="00576BEF" w:rsidRDefault="004D1177" w:rsidP="00BB6EF9">
            <w:pPr>
              <w:pStyle w:val="Sinespaciado"/>
              <w:rPr>
                <w:rFonts w:ascii="Arial" w:eastAsia="Calibri Light" w:hAnsi="Arial" w:cs="Arial"/>
                <w:sz w:val="16"/>
                <w:szCs w:val="16"/>
              </w:rPr>
            </w:pPr>
            <w:r w:rsidRPr="00576BEF">
              <w:rPr>
                <w:rFonts w:ascii="Arial" w:eastAsia="Calibri Light" w:hAnsi="Arial" w:cs="Arial"/>
                <w:sz w:val="16"/>
                <w:szCs w:val="16"/>
              </w:rPr>
              <w:t>COMPARTA EPS</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A12A9F" w14:textId="77777777" w:rsidR="004D1177" w:rsidRPr="00576BEF" w:rsidRDefault="004D1177" w:rsidP="00BB6EF9">
            <w:pPr>
              <w:pStyle w:val="Sinespaciado"/>
              <w:rPr>
                <w:rFonts w:ascii="Arial" w:eastAsia="Calibri Light" w:hAnsi="Arial" w:cs="Arial"/>
                <w:sz w:val="16"/>
                <w:szCs w:val="16"/>
              </w:rPr>
            </w:pPr>
            <w:r w:rsidRPr="00576BEF">
              <w:rPr>
                <w:rFonts w:ascii="Arial" w:eastAsia="Calibri Light" w:hAnsi="Arial" w:cs="Arial"/>
                <w:sz w:val="16"/>
                <w:szCs w:val="16"/>
              </w:rPr>
              <w:t>Resolución 3216 de 2019</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ECE243" w14:textId="77777777" w:rsidR="004D1177" w:rsidRPr="00576BEF" w:rsidRDefault="004D1177" w:rsidP="00BB6EF9">
            <w:pPr>
              <w:pStyle w:val="Sinespaciado"/>
              <w:rPr>
                <w:rFonts w:ascii="Arial" w:eastAsia="Calibri Light" w:hAnsi="Arial" w:cs="Arial"/>
                <w:sz w:val="16"/>
                <w:szCs w:val="16"/>
              </w:rPr>
            </w:pPr>
            <w:r w:rsidRPr="00576BEF">
              <w:rPr>
                <w:rFonts w:ascii="Arial" w:eastAsia="Calibri Light" w:hAnsi="Arial" w:cs="Arial"/>
                <w:sz w:val="16"/>
                <w:szCs w:val="16"/>
              </w:rPr>
              <w:t>Cundinamarca, Huila y Bolívar.</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B10FA3" w14:textId="77777777" w:rsidR="004D1177" w:rsidRPr="00576BEF" w:rsidRDefault="004D1177" w:rsidP="00BB6EF9">
            <w:pPr>
              <w:pStyle w:val="Sinespaciado"/>
              <w:jc w:val="center"/>
              <w:rPr>
                <w:rFonts w:ascii="Arial" w:eastAsia="Calibri Light" w:hAnsi="Arial" w:cs="Arial"/>
                <w:sz w:val="16"/>
                <w:szCs w:val="16"/>
              </w:rPr>
            </w:pPr>
            <w:r w:rsidRPr="00576BEF">
              <w:rPr>
                <w:rFonts w:ascii="Arial" w:eastAsia="Calibri Light" w:hAnsi="Arial" w:cs="Arial"/>
                <w:sz w:val="16"/>
                <w:szCs w:val="16"/>
              </w:rPr>
              <w:t>202151000124996</w:t>
            </w:r>
          </w:p>
        </w:tc>
        <w:tc>
          <w:tcPr>
            <w:tcW w:w="2346" w:type="dxa"/>
            <w:tcBorders>
              <w:top w:val="single" w:sz="4" w:space="0" w:color="000000"/>
              <w:left w:val="single" w:sz="4" w:space="0" w:color="000000"/>
              <w:bottom w:val="single" w:sz="4" w:space="0" w:color="000000"/>
              <w:right w:val="single" w:sz="4" w:space="0" w:color="000000"/>
            </w:tcBorders>
            <w:vAlign w:val="center"/>
          </w:tcPr>
          <w:p w14:paraId="07B1BE41" w14:textId="77777777" w:rsidR="004D1177" w:rsidRPr="00576BEF" w:rsidRDefault="004D1177" w:rsidP="00BB6EF9">
            <w:pPr>
              <w:pStyle w:val="Sinespaciado"/>
              <w:jc w:val="center"/>
              <w:rPr>
                <w:rFonts w:ascii="Arial" w:eastAsia="Calibri Light" w:hAnsi="Arial" w:cs="Arial"/>
                <w:sz w:val="16"/>
                <w:szCs w:val="16"/>
              </w:rPr>
            </w:pPr>
            <w:r>
              <w:rPr>
                <w:rFonts w:ascii="Arial" w:eastAsia="Calibri Light" w:hAnsi="Arial" w:cs="Arial"/>
                <w:sz w:val="16"/>
                <w:szCs w:val="16"/>
              </w:rPr>
              <w:t>No aplica</w:t>
            </w:r>
          </w:p>
        </w:tc>
      </w:tr>
      <w:tr w:rsidR="004D1177" w:rsidRPr="00576BEF" w14:paraId="4B89AFB0" w14:textId="77777777" w:rsidTr="00BB6EF9">
        <w:trPr>
          <w:trHeight w:val="569"/>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C9521BE" w14:textId="77777777" w:rsidR="004D1177" w:rsidRPr="00576BEF" w:rsidRDefault="004D1177" w:rsidP="00BB6EF9">
            <w:pPr>
              <w:pStyle w:val="Sinespaciado"/>
              <w:rPr>
                <w:rFonts w:ascii="Arial" w:eastAsia="Calibri Light" w:hAnsi="Arial" w:cs="Arial"/>
                <w:sz w:val="16"/>
                <w:szCs w:val="16"/>
              </w:rPr>
            </w:pPr>
            <w:r w:rsidRPr="001819F9">
              <w:rPr>
                <w:rFonts w:ascii="Arial" w:eastAsia="Calibri Light" w:hAnsi="Arial" w:cs="Arial"/>
                <w:sz w:val="16"/>
                <w:szCs w:val="16"/>
              </w:rPr>
              <w:t>COOMEVA EPS S.A.</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03C593B" w14:textId="77777777" w:rsidR="004D1177" w:rsidRPr="00576BEF" w:rsidRDefault="004D1177" w:rsidP="00BB6EF9">
            <w:pPr>
              <w:pStyle w:val="Sinespaciado"/>
              <w:rPr>
                <w:rFonts w:ascii="Arial" w:eastAsia="Calibri Light" w:hAnsi="Arial" w:cs="Arial"/>
                <w:sz w:val="16"/>
                <w:szCs w:val="16"/>
              </w:rPr>
            </w:pPr>
            <w:r w:rsidRPr="001819F9">
              <w:rPr>
                <w:rFonts w:ascii="Arial" w:eastAsia="Calibri Light" w:hAnsi="Arial" w:cs="Arial"/>
                <w:sz w:val="16"/>
                <w:szCs w:val="16"/>
              </w:rPr>
              <w:t>Resolución 3796 de 2019</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37F2CA" w14:textId="77777777" w:rsidR="004D1177" w:rsidRPr="00576BEF" w:rsidRDefault="004D1177" w:rsidP="00BB6EF9">
            <w:pPr>
              <w:pStyle w:val="Sinespaciado"/>
              <w:rPr>
                <w:rFonts w:ascii="Arial" w:eastAsia="Calibri Light" w:hAnsi="Arial" w:cs="Arial"/>
                <w:sz w:val="16"/>
                <w:szCs w:val="16"/>
              </w:rPr>
            </w:pPr>
            <w:r w:rsidRPr="001819F9">
              <w:rPr>
                <w:rFonts w:ascii="Arial" w:eastAsia="Calibri Light" w:hAnsi="Arial" w:cs="Arial"/>
                <w:sz w:val="16"/>
                <w:szCs w:val="16"/>
              </w:rPr>
              <w:t>Meta, Cauca y Cundinamarca</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6A1EBA" w14:textId="77777777" w:rsidR="004D1177" w:rsidRPr="00576BEF" w:rsidRDefault="004D1177" w:rsidP="00BB6EF9">
            <w:pPr>
              <w:pStyle w:val="Sinespaciado"/>
              <w:jc w:val="center"/>
              <w:rPr>
                <w:rFonts w:ascii="Arial" w:eastAsia="Calibri Light" w:hAnsi="Arial" w:cs="Arial"/>
                <w:sz w:val="16"/>
                <w:szCs w:val="16"/>
              </w:rPr>
            </w:pPr>
            <w:r>
              <w:rPr>
                <w:rFonts w:ascii="Arial" w:eastAsia="Calibri Light" w:hAnsi="Arial" w:cs="Arial"/>
                <w:sz w:val="16"/>
                <w:szCs w:val="16"/>
              </w:rPr>
              <w:t>No Aplica</w:t>
            </w:r>
          </w:p>
        </w:tc>
        <w:tc>
          <w:tcPr>
            <w:tcW w:w="2346" w:type="dxa"/>
            <w:tcBorders>
              <w:top w:val="single" w:sz="4" w:space="0" w:color="000000"/>
              <w:left w:val="single" w:sz="4" w:space="0" w:color="000000"/>
              <w:bottom w:val="single" w:sz="4" w:space="0" w:color="000000"/>
              <w:right w:val="single" w:sz="4" w:space="0" w:color="000000"/>
            </w:tcBorders>
            <w:vAlign w:val="center"/>
          </w:tcPr>
          <w:p w14:paraId="11299C6A" w14:textId="77777777" w:rsidR="004D1177" w:rsidRPr="006E500B" w:rsidRDefault="004D1177" w:rsidP="00BB6EF9">
            <w:pPr>
              <w:pStyle w:val="Sinespaciado"/>
              <w:jc w:val="center"/>
              <w:rPr>
                <w:rFonts w:ascii="Arial" w:eastAsia="Calibri Light" w:hAnsi="Arial" w:cs="Arial"/>
                <w:sz w:val="16"/>
                <w:szCs w:val="16"/>
              </w:rPr>
            </w:pPr>
            <w:r w:rsidRPr="006E500B">
              <w:rPr>
                <w:rFonts w:ascii="Arial" w:eastAsia="Calibri Light" w:hAnsi="Arial" w:cs="Arial"/>
                <w:sz w:val="16"/>
                <w:szCs w:val="16"/>
              </w:rPr>
              <w:t>202041101465121</w:t>
            </w:r>
          </w:p>
          <w:p w14:paraId="046255FE" w14:textId="77777777" w:rsidR="004D1177" w:rsidRPr="00576BEF" w:rsidRDefault="004D1177" w:rsidP="00BB6EF9">
            <w:pPr>
              <w:pStyle w:val="Sinespaciado"/>
              <w:jc w:val="center"/>
              <w:rPr>
                <w:rFonts w:ascii="Arial" w:eastAsia="Calibri Light" w:hAnsi="Arial" w:cs="Arial"/>
                <w:sz w:val="16"/>
                <w:szCs w:val="16"/>
              </w:rPr>
            </w:pPr>
            <w:r w:rsidRPr="006E500B">
              <w:rPr>
                <w:rFonts w:ascii="Arial" w:eastAsia="Calibri Light" w:hAnsi="Arial" w:cs="Arial"/>
                <w:sz w:val="16"/>
                <w:szCs w:val="16"/>
              </w:rPr>
              <w:t>202141100384061</w:t>
            </w:r>
          </w:p>
        </w:tc>
      </w:tr>
      <w:tr w:rsidR="004D1177" w:rsidRPr="00576BEF" w14:paraId="7BA6472A" w14:textId="77777777" w:rsidTr="00BB6EF9">
        <w:trPr>
          <w:trHeight w:val="569"/>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C25D889" w14:textId="77777777" w:rsidR="004D1177" w:rsidRPr="001819F9" w:rsidRDefault="004D1177" w:rsidP="00BB6EF9">
            <w:pPr>
              <w:pStyle w:val="Sinespaciado"/>
              <w:rPr>
                <w:rFonts w:ascii="Arial" w:eastAsia="Calibri Light" w:hAnsi="Arial" w:cs="Arial"/>
                <w:sz w:val="16"/>
                <w:szCs w:val="16"/>
              </w:rPr>
            </w:pPr>
            <w:r w:rsidRPr="00B206D7">
              <w:rPr>
                <w:rFonts w:ascii="Arial" w:eastAsia="Calibri Light" w:hAnsi="Arial" w:cs="Arial"/>
                <w:sz w:val="16"/>
                <w:szCs w:val="16"/>
              </w:rPr>
              <w:t>MEDIMAS EPS</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2F10BA9" w14:textId="77777777" w:rsidR="004D1177" w:rsidRPr="001819F9" w:rsidRDefault="004D1177" w:rsidP="00BB6EF9">
            <w:pPr>
              <w:pStyle w:val="Sinespaciado"/>
              <w:rPr>
                <w:rFonts w:ascii="Arial" w:eastAsia="Calibri Light" w:hAnsi="Arial" w:cs="Arial"/>
                <w:sz w:val="16"/>
                <w:szCs w:val="16"/>
              </w:rPr>
            </w:pPr>
            <w:r w:rsidRPr="00B206D7">
              <w:rPr>
                <w:rFonts w:ascii="Arial" w:eastAsia="Calibri Light" w:hAnsi="Arial" w:cs="Arial"/>
                <w:sz w:val="16"/>
                <w:szCs w:val="16"/>
              </w:rPr>
              <w:t>Resolución 3818 de 2019</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593108" w14:textId="77777777" w:rsidR="004D1177" w:rsidRPr="001819F9" w:rsidRDefault="004D1177" w:rsidP="00BB6EF9">
            <w:pPr>
              <w:pStyle w:val="Sinespaciado"/>
              <w:rPr>
                <w:rFonts w:ascii="Arial" w:eastAsia="Calibri Light" w:hAnsi="Arial" w:cs="Arial"/>
                <w:sz w:val="16"/>
                <w:szCs w:val="16"/>
              </w:rPr>
            </w:pPr>
            <w:r w:rsidRPr="00B206D7">
              <w:rPr>
                <w:rFonts w:ascii="Arial" w:eastAsia="Calibri Light" w:hAnsi="Arial" w:cs="Arial"/>
                <w:sz w:val="16"/>
                <w:szCs w:val="16"/>
              </w:rPr>
              <w:t>Chocó, Sucre y Cesar</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CBAC331" w14:textId="77777777" w:rsidR="004D1177" w:rsidRPr="00576BEF" w:rsidRDefault="004D1177" w:rsidP="00BB6EF9">
            <w:pPr>
              <w:pStyle w:val="Sinespaciado"/>
              <w:jc w:val="center"/>
              <w:rPr>
                <w:rFonts w:ascii="Arial" w:eastAsia="Calibri Light" w:hAnsi="Arial" w:cs="Arial"/>
                <w:sz w:val="16"/>
                <w:szCs w:val="16"/>
              </w:rPr>
            </w:pPr>
            <w:r>
              <w:rPr>
                <w:rFonts w:ascii="Arial" w:eastAsia="Calibri Light" w:hAnsi="Arial" w:cs="Arial"/>
                <w:sz w:val="16"/>
                <w:szCs w:val="16"/>
              </w:rPr>
              <w:t>No Aplica</w:t>
            </w:r>
          </w:p>
        </w:tc>
        <w:tc>
          <w:tcPr>
            <w:tcW w:w="2346" w:type="dxa"/>
            <w:tcBorders>
              <w:top w:val="single" w:sz="4" w:space="0" w:color="000000"/>
              <w:left w:val="single" w:sz="4" w:space="0" w:color="000000"/>
              <w:bottom w:val="single" w:sz="4" w:space="0" w:color="000000"/>
              <w:right w:val="single" w:sz="4" w:space="0" w:color="000000"/>
            </w:tcBorders>
            <w:vAlign w:val="center"/>
          </w:tcPr>
          <w:p w14:paraId="53DF0CFC" w14:textId="77777777" w:rsidR="004D1177" w:rsidRPr="00B206D7" w:rsidRDefault="004D1177" w:rsidP="00BB6EF9">
            <w:pPr>
              <w:pStyle w:val="NormalWeb"/>
              <w:spacing w:before="0" w:beforeAutospacing="0" w:after="0" w:afterAutospacing="0"/>
              <w:jc w:val="center"/>
              <w:textAlignment w:val="center"/>
              <w:rPr>
                <w:rFonts w:ascii="Arial" w:eastAsia="Calibri Light" w:hAnsi="Arial" w:cs="Arial"/>
                <w:sz w:val="16"/>
                <w:szCs w:val="16"/>
                <w:lang w:eastAsia="en-US"/>
              </w:rPr>
            </w:pPr>
            <w:r w:rsidRPr="00B206D7">
              <w:rPr>
                <w:rFonts w:ascii="Arial" w:eastAsia="Calibri Light" w:hAnsi="Arial" w:cs="Arial"/>
                <w:sz w:val="16"/>
                <w:szCs w:val="16"/>
                <w:lang w:eastAsia="en-US"/>
              </w:rPr>
              <w:t>202041101465141</w:t>
            </w:r>
          </w:p>
          <w:p w14:paraId="2F0205D3" w14:textId="77777777" w:rsidR="004D1177" w:rsidRPr="006E500B" w:rsidRDefault="004D1177" w:rsidP="00BB6EF9">
            <w:pPr>
              <w:pStyle w:val="Sinespaciado"/>
              <w:jc w:val="center"/>
              <w:rPr>
                <w:rFonts w:ascii="Arial" w:eastAsia="Calibri Light" w:hAnsi="Arial" w:cs="Arial"/>
                <w:sz w:val="16"/>
                <w:szCs w:val="16"/>
              </w:rPr>
            </w:pPr>
            <w:r w:rsidRPr="00B206D7">
              <w:rPr>
                <w:rFonts w:ascii="Arial" w:eastAsia="Calibri Light" w:hAnsi="Arial" w:cs="Arial"/>
                <w:sz w:val="16"/>
                <w:szCs w:val="16"/>
              </w:rPr>
              <w:t>202141100384091</w:t>
            </w:r>
          </w:p>
        </w:tc>
      </w:tr>
      <w:tr w:rsidR="004D1177" w:rsidRPr="00576BEF" w14:paraId="6DC26908" w14:textId="77777777" w:rsidTr="00BB6EF9">
        <w:trPr>
          <w:trHeight w:val="737"/>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051C75" w14:textId="77777777" w:rsidR="004D1177" w:rsidRPr="00B206D7" w:rsidRDefault="004D1177" w:rsidP="00BB6EF9">
            <w:pPr>
              <w:pStyle w:val="Sinespaciado"/>
              <w:rPr>
                <w:rFonts w:ascii="Arial" w:eastAsia="Calibri Light" w:hAnsi="Arial" w:cs="Arial"/>
                <w:sz w:val="16"/>
                <w:szCs w:val="16"/>
              </w:rPr>
            </w:pPr>
            <w:r w:rsidRPr="00B206D7">
              <w:rPr>
                <w:rFonts w:ascii="Arial" w:eastAsia="Calibri Light" w:hAnsi="Arial" w:cs="Arial"/>
                <w:sz w:val="16"/>
                <w:szCs w:val="16"/>
              </w:rPr>
              <w:t>MEDIMAS EPS</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0217445" w14:textId="77777777" w:rsidR="004D1177" w:rsidRPr="00B206D7" w:rsidRDefault="004D1177" w:rsidP="00BB6EF9">
            <w:pPr>
              <w:pStyle w:val="Sinespaciado"/>
              <w:rPr>
                <w:rFonts w:ascii="Arial" w:eastAsia="Calibri Light" w:hAnsi="Arial" w:cs="Arial"/>
                <w:sz w:val="16"/>
                <w:szCs w:val="16"/>
              </w:rPr>
            </w:pPr>
            <w:r w:rsidRPr="00B206D7">
              <w:rPr>
                <w:rFonts w:ascii="Arial" w:eastAsia="Calibri Light" w:hAnsi="Arial" w:cs="Arial"/>
                <w:sz w:val="16"/>
                <w:szCs w:val="16"/>
              </w:rPr>
              <w:t>Resolución 12877 de 2020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7644A5" w14:textId="77777777" w:rsidR="004D1177" w:rsidRPr="00B206D7" w:rsidRDefault="004D1177" w:rsidP="00BB6EF9">
            <w:pPr>
              <w:pStyle w:val="Sinespaciado"/>
              <w:rPr>
                <w:rFonts w:ascii="Arial" w:eastAsia="Calibri Light" w:hAnsi="Arial" w:cs="Arial"/>
                <w:sz w:val="16"/>
                <w:szCs w:val="16"/>
              </w:rPr>
            </w:pPr>
            <w:r w:rsidRPr="00B206D7">
              <w:rPr>
                <w:rFonts w:ascii="Arial" w:eastAsia="Calibri Light" w:hAnsi="Arial" w:cs="Arial"/>
                <w:sz w:val="16"/>
                <w:szCs w:val="16"/>
              </w:rPr>
              <w:t>Antioquia, Nariño, Santander y Valle del Cauca.</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A345604" w14:textId="77777777" w:rsidR="004D1177" w:rsidRPr="00576BEF" w:rsidRDefault="004D1177" w:rsidP="00BB6EF9">
            <w:pPr>
              <w:pStyle w:val="Sinespaciado"/>
              <w:jc w:val="center"/>
              <w:rPr>
                <w:rFonts w:ascii="Arial" w:eastAsia="Calibri Light" w:hAnsi="Arial" w:cs="Arial"/>
                <w:sz w:val="16"/>
                <w:szCs w:val="16"/>
              </w:rPr>
            </w:pPr>
            <w:r>
              <w:rPr>
                <w:rFonts w:ascii="Arial" w:eastAsia="Calibri Light" w:hAnsi="Arial" w:cs="Arial"/>
                <w:sz w:val="16"/>
                <w:szCs w:val="16"/>
              </w:rPr>
              <w:t>No Aplica</w:t>
            </w:r>
          </w:p>
        </w:tc>
        <w:tc>
          <w:tcPr>
            <w:tcW w:w="2346" w:type="dxa"/>
            <w:tcBorders>
              <w:top w:val="single" w:sz="4" w:space="0" w:color="000000"/>
              <w:left w:val="single" w:sz="4" w:space="0" w:color="000000"/>
              <w:bottom w:val="single" w:sz="4" w:space="0" w:color="000000"/>
              <w:right w:val="single" w:sz="4" w:space="0" w:color="000000"/>
            </w:tcBorders>
            <w:vAlign w:val="center"/>
          </w:tcPr>
          <w:p w14:paraId="24D4BCC2" w14:textId="77777777" w:rsidR="004D1177" w:rsidRPr="00B206D7" w:rsidRDefault="004D1177" w:rsidP="00BB6EF9">
            <w:pPr>
              <w:pStyle w:val="NormalWeb"/>
              <w:spacing w:before="0" w:beforeAutospacing="0" w:after="0" w:afterAutospacing="0"/>
              <w:jc w:val="center"/>
              <w:textAlignment w:val="center"/>
              <w:rPr>
                <w:rFonts w:ascii="Arial" w:eastAsia="Calibri Light" w:hAnsi="Arial" w:cs="Arial"/>
                <w:sz w:val="16"/>
                <w:szCs w:val="16"/>
                <w:lang w:eastAsia="en-US"/>
              </w:rPr>
            </w:pPr>
            <w:r w:rsidRPr="00B206D7">
              <w:rPr>
                <w:rFonts w:ascii="Arial" w:eastAsia="Calibri Light" w:hAnsi="Arial" w:cs="Arial"/>
                <w:sz w:val="16"/>
                <w:szCs w:val="16"/>
                <w:lang w:eastAsia="en-US"/>
              </w:rPr>
              <w:t>202082305454972</w:t>
            </w:r>
          </w:p>
          <w:p w14:paraId="105A2822" w14:textId="77777777" w:rsidR="004D1177" w:rsidRPr="00B206D7" w:rsidRDefault="004D1177" w:rsidP="00BB6EF9">
            <w:pPr>
              <w:pStyle w:val="NormalWeb"/>
              <w:spacing w:before="0" w:beforeAutospacing="0" w:after="0" w:afterAutospacing="0"/>
              <w:jc w:val="center"/>
              <w:textAlignment w:val="center"/>
              <w:rPr>
                <w:rFonts w:ascii="Arial" w:eastAsia="Calibri Light" w:hAnsi="Arial" w:cs="Arial"/>
                <w:sz w:val="16"/>
                <w:szCs w:val="16"/>
                <w:lang w:eastAsia="en-US"/>
              </w:rPr>
            </w:pPr>
            <w:r w:rsidRPr="00B206D7">
              <w:rPr>
                <w:rFonts w:ascii="Arial" w:eastAsia="Calibri Light" w:hAnsi="Arial" w:cs="Arial"/>
                <w:sz w:val="16"/>
                <w:szCs w:val="16"/>
                <w:lang w:eastAsia="en-US"/>
              </w:rPr>
              <w:t>202141100384071</w:t>
            </w:r>
          </w:p>
        </w:tc>
      </w:tr>
      <w:tr w:rsidR="004D1177" w:rsidRPr="00576BEF" w14:paraId="61C32FB3" w14:textId="77777777" w:rsidTr="00BB6EF9">
        <w:trPr>
          <w:trHeight w:val="1015"/>
        </w:trPr>
        <w:tc>
          <w:tcPr>
            <w:tcW w:w="14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443916" w14:textId="77777777" w:rsidR="004D1177" w:rsidRPr="00B206D7" w:rsidRDefault="004D1177" w:rsidP="00BB6EF9">
            <w:pPr>
              <w:pStyle w:val="Sinespaciado"/>
              <w:rPr>
                <w:rFonts w:ascii="Arial" w:eastAsia="Calibri Light" w:hAnsi="Arial" w:cs="Arial"/>
                <w:sz w:val="16"/>
                <w:szCs w:val="16"/>
              </w:rPr>
            </w:pPr>
            <w:r w:rsidRPr="00B206D7">
              <w:rPr>
                <w:rFonts w:ascii="Arial" w:eastAsia="Calibri Light" w:hAnsi="Arial" w:cs="Arial"/>
                <w:sz w:val="16"/>
                <w:szCs w:val="16"/>
              </w:rPr>
              <w:t>MEDIMAS EPS</w:t>
            </w:r>
          </w:p>
        </w:tc>
        <w:tc>
          <w:tcPr>
            <w:tcW w:w="16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24EF176" w14:textId="77777777" w:rsidR="004D1177" w:rsidRPr="00B206D7" w:rsidRDefault="004D1177" w:rsidP="00BB6EF9">
            <w:pPr>
              <w:pStyle w:val="Sinespaciado"/>
              <w:rPr>
                <w:rFonts w:ascii="Arial" w:eastAsia="Calibri Light" w:hAnsi="Arial" w:cs="Arial"/>
                <w:sz w:val="16"/>
                <w:szCs w:val="16"/>
              </w:rPr>
            </w:pPr>
            <w:r w:rsidRPr="00B206D7">
              <w:rPr>
                <w:rFonts w:ascii="Arial" w:eastAsia="Calibri Light" w:hAnsi="Arial" w:cs="Arial"/>
                <w:sz w:val="16"/>
                <w:szCs w:val="16"/>
              </w:rPr>
              <w:t>Resolución 2379 de 2020</w:t>
            </w: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9207FE" w14:textId="77777777" w:rsidR="004D1177" w:rsidRPr="00B206D7" w:rsidRDefault="004D1177" w:rsidP="00BB6EF9">
            <w:pPr>
              <w:pStyle w:val="Sinespaciado"/>
              <w:rPr>
                <w:rFonts w:ascii="Arial" w:eastAsia="Calibri Light" w:hAnsi="Arial" w:cs="Arial"/>
                <w:sz w:val="16"/>
                <w:szCs w:val="16"/>
              </w:rPr>
            </w:pPr>
            <w:r w:rsidRPr="00B206D7">
              <w:rPr>
                <w:rFonts w:ascii="Arial" w:eastAsia="Calibri Light" w:hAnsi="Arial" w:cs="Arial"/>
                <w:sz w:val="16"/>
                <w:szCs w:val="16"/>
              </w:rPr>
              <w:t>Atlántico, Arauca, Bolívar, Cauca, Cundinamarca, Guainía, La Guajira y Magdalena.</w:t>
            </w:r>
          </w:p>
        </w:tc>
        <w:tc>
          <w:tcPr>
            <w:tcW w:w="1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498A17" w14:textId="77777777" w:rsidR="004D1177" w:rsidRPr="00576BEF" w:rsidRDefault="004D1177" w:rsidP="00BB6EF9">
            <w:pPr>
              <w:pStyle w:val="Sinespaciado"/>
              <w:jc w:val="center"/>
              <w:rPr>
                <w:rFonts w:ascii="Arial" w:eastAsia="Calibri Light" w:hAnsi="Arial" w:cs="Arial"/>
                <w:sz w:val="16"/>
                <w:szCs w:val="16"/>
              </w:rPr>
            </w:pPr>
            <w:r>
              <w:rPr>
                <w:rFonts w:ascii="Arial" w:eastAsia="Calibri Light" w:hAnsi="Arial" w:cs="Arial"/>
                <w:sz w:val="16"/>
                <w:szCs w:val="16"/>
              </w:rPr>
              <w:t>No Aplica</w:t>
            </w:r>
          </w:p>
        </w:tc>
        <w:tc>
          <w:tcPr>
            <w:tcW w:w="2346" w:type="dxa"/>
            <w:tcBorders>
              <w:top w:val="single" w:sz="4" w:space="0" w:color="000000"/>
              <w:left w:val="single" w:sz="4" w:space="0" w:color="000000"/>
              <w:bottom w:val="single" w:sz="4" w:space="0" w:color="000000"/>
              <w:right w:val="single" w:sz="4" w:space="0" w:color="000000"/>
            </w:tcBorders>
            <w:vAlign w:val="center"/>
          </w:tcPr>
          <w:p w14:paraId="0A438713" w14:textId="77777777" w:rsidR="004D1177" w:rsidRPr="00B206D7" w:rsidRDefault="004D1177" w:rsidP="00BB6EF9">
            <w:pPr>
              <w:pStyle w:val="NormalWeb"/>
              <w:spacing w:before="0" w:beforeAutospacing="0" w:after="0" w:afterAutospacing="0"/>
              <w:jc w:val="center"/>
              <w:textAlignment w:val="center"/>
              <w:rPr>
                <w:rFonts w:ascii="Arial" w:eastAsia="Calibri Light" w:hAnsi="Arial" w:cs="Arial"/>
                <w:sz w:val="16"/>
                <w:szCs w:val="16"/>
                <w:lang w:eastAsia="en-US"/>
              </w:rPr>
            </w:pPr>
            <w:r w:rsidRPr="00B206D7">
              <w:rPr>
                <w:rFonts w:ascii="Arial" w:eastAsia="Calibri Light" w:hAnsi="Arial" w:cs="Arial"/>
                <w:sz w:val="16"/>
                <w:szCs w:val="16"/>
                <w:lang w:eastAsia="en-US"/>
              </w:rPr>
              <w:t>202041101473621</w:t>
            </w:r>
          </w:p>
          <w:p w14:paraId="5BA19AF9" w14:textId="77777777" w:rsidR="004D1177" w:rsidRPr="00B206D7" w:rsidRDefault="004D1177" w:rsidP="00BB6EF9">
            <w:pPr>
              <w:pStyle w:val="NormalWeb"/>
              <w:spacing w:before="0" w:beforeAutospacing="0" w:after="0" w:afterAutospacing="0"/>
              <w:jc w:val="center"/>
              <w:textAlignment w:val="center"/>
              <w:rPr>
                <w:rFonts w:ascii="Arial" w:eastAsia="Calibri Light" w:hAnsi="Arial" w:cs="Arial"/>
                <w:sz w:val="16"/>
                <w:szCs w:val="16"/>
                <w:lang w:eastAsia="en-US"/>
              </w:rPr>
            </w:pPr>
            <w:r w:rsidRPr="00B206D7">
              <w:rPr>
                <w:rFonts w:ascii="Arial" w:eastAsia="Calibri Light" w:hAnsi="Arial" w:cs="Arial"/>
                <w:sz w:val="16"/>
                <w:szCs w:val="16"/>
                <w:lang w:eastAsia="en-US"/>
              </w:rPr>
              <w:t>202141100384081</w:t>
            </w:r>
          </w:p>
        </w:tc>
      </w:tr>
    </w:tbl>
    <w:p w14:paraId="1809DFCA" w14:textId="13DE7D61" w:rsidR="004D1177" w:rsidRDefault="004D1177" w:rsidP="004D1177">
      <w:pPr>
        <w:pStyle w:val="Sinespaciado"/>
        <w:jc w:val="both"/>
        <w:rPr>
          <w:rFonts w:ascii="Arial" w:hAnsi="Arial" w:cs="Arial"/>
          <w:sz w:val="16"/>
          <w:szCs w:val="16"/>
        </w:rPr>
      </w:pPr>
      <w:r>
        <w:rPr>
          <w:rFonts w:ascii="Arial" w:eastAsia="Calibri Light" w:hAnsi="Arial" w:cs="Arial"/>
          <w:b/>
          <w:bCs/>
          <w:sz w:val="16"/>
          <w:szCs w:val="16"/>
        </w:rPr>
        <w:t xml:space="preserve">Fuente: </w:t>
      </w:r>
      <w:r w:rsidRPr="0047422F">
        <w:rPr>
          <w:rFonts w:ascii="Arial" w:hAnsi="Arial" w:cs="Arial"/>
          <w:sz w:val="16"/>
          <w:szCs w:val="16"/>
        </w:rPr>
        <w:t xml:space="preserve">Sistema de Gestión de Correspondencia – </w:t>
      </w:r>
      <w:r>
        <w:rPr>
          <w:rFonts w:ascii="Arial" w:hAnsi="Arial" w:cs="Arial"/>
          <w:sz w:val="16"/>
          <w:szCs w:val="16"/>
        </w:rPr>
        <w:t>Superargo Superintendencia Delegada para la Supervisión Institucional</w:t>
      </w:r>
      <w:r w:rsidR="00657241">
        <w:rPr>
          <w:rFonts w:ascii="Arial" w:hAnsi="Arial" w:cs="Arial"/>
          <w:sz w:val="16"/>
          <w:szCs w:val="16"/>
        </w:rPr>
        <w:t>.</w:t>
      </w:r>
    </w:p>
    <w:p w14:paraId="4DDB023A" w14:textId="77777777" w:rsidR="004D1177" w:rsidRDefault="004D1177" w:rsidP="004D1177">
      <w:pPr>
        <w:pStyle w:val="Sinespaciado"/>
        <w:jc w:val="both"/>
        <w:rPr>
          <w:rFonts w:ascii="Arial" w:eastAsia="Calibri Light" w:hAnsi="Arial" w:cs="Arial"/>
          <w:b/>
          <w:bCs/>
          <w:sz w:val="16"/>
          <w:szCs w:val="16"/>
        </w:rPr>
      </w:pPr>
    </w:p>
    <w:p w14:paraId="65F14D99" w14:textId="77777777" w:rsidR="004D1177" w:rsidRPr="0041752D" w:rsidRDefault="004D1177" w:rsidP="004D1177">
      <w:pPr>
        <w:pStyle w:val="Sinespaciado"/>
        <w:jc w:val="both"/>
        <w:rPr>
          <w:rFonts w:ascii="Arial" w:hAnsi="Arial" w:cs="Arial"/>
        </w:rPr>
      </w:pPr>
      <w:r>
        <w:rPr>
          <w:rFonts w:ascii="Arial" w:hAnsi="Arial" w:cs="Arial"/>
        </w:rPr>
        <w:t>El radicado de resolución de liquidación para</w:t>
      </w:r>
      <w:r w:rsidRPr="00BC66E1">
        <w:rPr>
          <w:rFonts w:ascii="Arial" w:hAnsi="Arial" w:cs="Arial"/>
        </w:rPr>
        <w:t xml:space="preserve"> </w:t>
      </w:r>
      <w:r>
        <w:rPr>
          <w:rFonts w:ascii="Arial" w:hAnsi="Arial" w:cs="Arial"/>
        </w:rPr>
        <w:t xml:space="preserve">Comparta EPS corresponde al número </w:t>
      </w:r>
      <w:r w:rsidRPr="00576BEF">
        <w:rPr>
          <w:rFonts w:ascii="Arial" w:hAnsi="Arial" w:cs="Arial"/>
        </w:rPr>
        <w:t>202151000124996</w:t>
      </w:r>
      <w:r>
        <w:rPr>
          <w:rFonts w:ascii="Arial" w:hAnsi="Arial" w:cs="Arial"/>
        </w:rPr>
        <w:t>, para las demás EPS, se están realizando los seguimientos a los cronogramas de acuerdo con lo reportado en la Circular 030 de 2013 y los archivos tipo reportados mediante la Circular Externa 016 de 2016.</w:t>
      </w:r>
    </w:p>
    <w:p w14:paraId="753AE150" w14:textId="77777777" w:rsidR="004D1177" w:rsidRDefault="004D1177" w:rsidP="004D1177">
      <w:pPr>
        <w:pStyle w:val="Sinespaciado"/>
        <w:jc w:val="both"/>
        <w:rPr>
          <w:rFonts w:ascii="Arial" w:eastAsia="Calibri Light" w:hAnsi="Arial" w:cs="Arial"/>
          <w:b/>
          <w:bCs/>
          <w:sz w:val="16"/>
          <w:szCs w:val="16"/>
        </w:rPr>
      </w:pPr>
    </w:p>
    <w:p w14:paraId="6EE2A821" w14:textId="77777777" w:rsidR="004D1177" w:rsidRPr="00B66B81" w:rsidRDefault="004D1177" w:rsidP="004D1177">
      <w:pPr>
        <w:pStyle w:val="Sinespaciado"/>
        <w:numPr>
          <w:ilvl w:val="0"/>
          <w:numId w:val="8"/>
        </w:numPr>
        <w:suppressAutoHyphens/>
        <w:autoSpaceDN w:val="0"/>
        <w:jc w:val="both"/>
        <w:textAlignment w:val="baseline"/>
        <w:rPr>
          <w:rFonts w:ascii="Arial" w:hAnsi="Arial" w:cs="Arial"/>
        </w:rPr>
      </w:pPr>
      <w:r w:rsidRPr="00B66B81">
        <w:rPr>
          <w:rFonts w:ascii="Arial" w:hAnsi="Arial" w:cs="Arial"/>
          <w:u w:val="single"/>
        </w:rPr>
        <w:t>Circular Externa 008 de 2020 modificada por la Circular Externa 017 de 2020:</w:t>
      </w:r>
    </w:p>
    <w:p w14:paraId="0858F3C0" w14:textId="77777777" w:rsidR="004D1177" w:rsidRDefault="004D1177" w:rsidP="004D1177">
      <w:pPr>
        <w:pStyle w:val="Sinespaciado"/>
        <w:jc w:val="both"/>
        <w:rPr>
          <w:rFonts w:ascii="Arial" w:hAnsi="Arial" w:cs="Arial"/>
        </w:rPr>
      </w:pPr>
    </w:p>
    <w:p w14:paraId="578BC6AB" w14:textId="77777777" w:rsidR="004D1177" w:rsidRDefault="004D1177" w:rsidP="004D1177">
      <w:pPr>
        <w:pStyle w:val="Sinespaciado"/>
        <w:jc w:val="both"/>
        <w:rPr>
          <w:rFonts w:ascii="Arial" w:hAnsi="Arial" w:cs="Arial"/>
        </w:rPr>
      </w:pPr>
      <w:r>
        <w:rPr>
          <w:rFonts w:ascii="Arial" w:hAnsi="Arial" w:cs="Arial"/>
        </w:rPr>
        <w:t xml:space="preserve">La Superintendencia Nacional de Salud expidió la Circular Externa 017 de 2020, la cual modifica la instrucción tercera del aparte II de la Circular Externa 008 de 2020, con el fin de realizar el correspondiente seguimiento a las fuentes y usos de los recursos percibidos para garantizar la integralidad de los servicios y tecnologías en salud prestados. </w:t>
      </w:r>
    </w:p>
    <w:p w14:paraId="2851779F" w14:textId="77777777" w:rsidR="004D1177" w:rsidRDefault="004D1177" w:rsidP="004D1177">
      <w:pPr>
        <w:pStyle w:val="Sinespaciado"/>
        <w:jc w:val="both"/>
        <w:rPr>
          <w:rFonts w:ascii="Arial" w:hAnsi="Arial" w:cs="Arial"/>
        </w:rPr>
      </w:pPr>
    </w:p>
    <w:p w14:paraId="5866DF02" w14:textId="77777777" w:rsidR="004D1177" w:rsidRDefault="004D1177" w:rsidP="004D1177">
      <w:pPr>
        <w:pStyle w:val="Sinespaciado"/>
        <w:jc w:val="both"/>
        <w:rPr>
          <w:rFonts w:ascii="Arial" w:hAnsi="Arial" w:cs="Arial"/>
        </w:rPr>
      </w:pPr>
      <w:r w:rsidRPr="008E46FF">
        <w:rPr>
          <w:rFonts w:ascii="Arial" w:hAnsi="Arial" w:cs="Arial"/>
        </w:rPr>
        <w:t xml:space="preserve">De esta manera, se realizó </w:t>
      </w:r>
      <w:r>
        <w:rPr>
          <w:rFonts w:ascii="Arial" w:hAnsi="Arial" w:cs="Arial"/>
        </w:rPr>
        <w:t>requerimiento a 37 EPS con el fin de realizar la</w:t>
      </w:r>
      <w:r w:rsidRPr="008E46FF">
        <w:rPr>
          <w:rFonts w:ascii="Arial" w:hAnsi="Arial" w:cs="Arial"/>
        </w:rPr>
        <w:t xml:space="preserve"> verificación frente a los ingresos causados reportados por la operación de la entidad, así como el giro del presupuesto máximo asignado por la ADRES Versus el uso de los recursos publicados en las páginas web de las EPS, evidenciando</w:t>
      </w:r>
      <w:r>
        <w:rPr>
          <w:rFonts w:ascii="Arial" w:hAnsi="Arial" w:cs="Arial"/>
        </w:rPr>
        <w:t xml:space="preserve"> inconsistencias como:</w:t>
      </w:r>
    </w:p>
    <w:p w14:paraId="7D863E2B" w14:textId="77777777" w:rsidR="004D1177" w:rsidRDefault="004D1177" w:rsidP="004D1177">
      <w:pPr>
        <w:pStyle w:val="Sinespaciado"/>
        <w:jc w:val="both"/>
        <w:rPr>
          <w:rFonts w:ascii="Arial" w:hAnsi="Arial" w:cs="Arial"/>
        </w:rPr>
      </w:pPr>
    </w:p>
    <w:p w14:paraId="220BEDC9" w14:textId="77777777" w:rsidR="004D1177" w:rsidRDefault="004D1177" w:rsidP="004D1177">
      <w:pPr>
        <w:pStyle w:val="Sinespaciado"/>
        <w:numPr>
          <w:ilvl w:val="0"/>
          <w:numId w:val="10"/>
        </w:numPr>
        <w:tabs>
          <w:tab w:val="clear" w:pos="720"/>
          <w:tab w:val="num" w:pos="567"/>
        </w:tabs>
        <w:suppressAutoHyphens/>
        <w:autoSpaceDN w:val="0"/>
        <w:ind w:left="567" w:hanging="567"/>
        <w:jc w:val="both"/>
        <w:textAlignment w:val="baseline"/>
        <w:rPr>
          <w:rFonts w:ascii="Arial" w:hAnsi="Arial" w:cs="Arial"/>
        </w:rPr>
      </w:pPr>
      <w:r>
        <w:rPr>
          <w:rFonts w:ascii="Arial" w:hAnsi="Arial" w:cs="Arial"/>
        </w:rPr>
        <w:t>F</w:t>
      </w:r>
      <w:r w:rsidRPr="008E46FF">
        <w:rPr>
          <w:rFonts w:ascii="Arial" w:hAnsi="Arial" w:cs="Arial"/>
        </w:rPr>
        <w:t>uentes por conceptos que no presentan usos</w:t>
      </w:r>
      <w:r>
        <w:rPr>
          <w:rFonts w:ascii="Arial" w:hAnsi="Arial" w:cs="Arial"/>
        </w:rPr>
        <w:t>.</w:t>
      </w:r>
    </w:p>
    <w:p w14:paraId="3EADFCBB" w14:textId="77777777" w:rsidR="004D1177" w:rsidRPr="008E46FF" w:rsidRDefault="004D1177" w:rsidP="004D1177">
      <w:pPr>
        <w:pStyle w:val="Sinespaciado"/>
        <w:numPr>
          <w:ilvl w:val="0"/>
          <w:numId w:val="10"/>
        </w:numPr>
        <w:tabs>
          <w:tab w:val="clear" w:pos="720"/>
          <w:tab w:val="num" w:pos="567"/>
        </w:tabs>
        <w:suppressAutoHyphens/>
        <w:autoSpaceDN w:val="0"/>
        <w:ind w:left="567" w:hanging="567"/>
        <w:jc w:val="both"/>
        <w:textAlignment w:val="baseline"/>
        <w:rPr>
          <w:rFonts w:ascii="Arial" w:hAnsi="Arial" w:cs="Arial"/>
        </w:rPr>
      </w:pPr>
      <w:r>
        <w:rPr>
          <w:rFonts w:ascii="Arial" w:hAnsi="Arial" w:cs="Arial"/>
        </w:rPr>
        <w:t>Falta de</w:t>
      </w:r>
      <w:r w:rsidRPr="008E46FF">
        <w:rPr>
          <w:rFonts w:ascii="Arial" w:hAnsi="Arial" w:cs="Arial"/>
        </w:rPr>
        <w:t xml:space="preserve"> uniformidad en el reporte de los pagos, en relación con la</w:t>
      </w:r>
      <w:r>
        <w:rPr>
          <w:rFonts w:ascii="Arial" w:hAnsi="Arial" w:cs="Arial"/>
        </w:rPr>
        <w:t xml:space="preserve">s </w:t>
      </w:r>
      <w:r w:rsidRPr="008E46FF">
        <w:rPr>
          <w:rFonts w:ascii="Arial" w:hAnsi="Arial" w:cs="Arial"/>
        </w:rPr>
        <w:t>columnas requeridas, para los meses publicados.</w:t>
      </w:r>
    </w:p>
    <w:p w14:paraId="33C55B11" w14:textId="77777777" w:rsidR="004D1177" w:rsidRPr="008E46FF" w:rsidRDefault="004D1177" w:rsidP="004D1177">
      <w:pPr>
        <w:numPr>
          <w:ilvl w:val="0"/>
          <w:numId w:val="10"/>
        </w:numPr>
        <w:tabs>
          <w:tab w:val="clear" w:pos="720"/>
          <w:tab w:val="num" w:pos="567"/>
        </w:tabs>
        <w:suppressAutoHyphens/>
        <w:autoSpaceDN w:val="0"/>
        <w:spacing w:after="0" w:line="240" w:lineRule="auto"/>
        <w:ind w:left="567" w:hanging="567"/>
        <w:jc w:val="both"/>
        <w:textAlignment w:val="baseline"/>
        <w:rPr>
          <w:rFonts w:ascii="Arial" w:hAnsi="Arial" w:cs="Arial"/>
        </w:rPr>
      </w:pPr>
      <w:r w:rsidRPr="008E46FF">
        <w:rPr>
          <w:rFonts w:ascii="Arial" w:hAnsi="Arial" w:cs="Arial"/>
        </w:rPr>
        <w:t>No publicación de la totalidad de los pagos efectuados por parte de las EPS, correspondientes a las fuentes de recursos percibidas.</w:t>
      </w:r>
    </w:p>
    <w:p w14:paraId="35435971" w14:textId="77777777" w:rsidR="004D1177" w:rsidRPr="008E46FF" w:rsidRDefault="004D1177" w:rsidP="004D1177">
      <w:pPr>
        <w:numPr>
          <w:ilvl w:val="0"/>
          <w:numId w:val="10"/>
        </w:numPr>
        <w:tabs>
          <w:tab w:val="clear" w:pos="720"/>
          <w:tab w:val="num" w:pos="567"/>
        </w:tabs>
        <w:suppressAutoHyphens/>
        <w:autoSpaceDN w:val="0"/>
        <w:spacing w:after="0" w:line="240" w:lineRule="auto"/>
        <w:ind w:left="567" w:hanging="567"/>
        <w:jc w:val="both"/>
        <w:textAlignment w:val="baseline"/>
        <w:rPr>
          <w:rFonts w:ascii="Arial" w:hAnsi="Arial" w:cs="Arial"/>
        </w:rPr>
      </w:pPr>
      <w:r w:rsidRPr="008E46FF">
        <w:rPr>
          <w:rFonts w:ascii="Arial" w:hAnsi="Arial" w:cs="Arial"/>
        </w:rPr>
        <w:t>No cumplimiento del diligenciamiento de la totalidad de los campos mínimos requeridos en la Circular.</w:t>
      </w:r>
    </w:p>
    <w:p w14:paraId="73CB1BB7" w14:textId="77777777" w:rsidR="004D1177" w:rsidRPr="008E46FF" w:rsidRDefault="004D1177" w:rsidP="004D1177">
      <w:pPr>
        <w:spacing w:after="0" w:line="240" w:lineRule="auto"/>
        <w:jc w:val="both"/>
        <w:rPr>
          <w:rFonts w:ascii="Arial" w:hAnsi="Arial" w:cs="Arial"/>
        </w:rPr>
      </w:pPr>
    </w:p>
    <w:p w14:paraId="51F32940" w14:textId="77777777" w:rsidR="004D1177" w:rsidRDefault="004D1177" w:rsidP="004D1177">
      <w:pPr>
        <w:spacing w:after="0" w:line="240" w:lineRule="auto"/>
        <w:jc w:val="both"/>
        <w:rPr>
          <w:rFonts w:ascii="Arial" w:hAnsi="Arial" w:cs="Arial"/>
        </w:rPr>
      </w:pPr>
      <w:r>
        <w:rPr>
          <w:rFonts w:ascii="Arial" w:hAnsi="Arial" w:cs="Arial"/>
        </w:rPr>
        <w:t>Por lo anterior, se han venido realizando requerimientos y ajustes a la información publicada, por el no cumplimiento de las instrucciones de la Circular Externa y falta de calidad del dato en el reporte de la información por las diferencias obtenidas de las diferentes fuentes de información.</w:t>
      </w:r>
    </w:p>
    <w:p w14:paraId="78825A22" w14:textId="292B22A7" w:rsidR="004D1177" w:rsidRDefault="004D1177" w:rsidP="004D1177">
      <w:pPr>
        <w:pStyle w:val="Sinespaciado"/>
        <w:jc w:val="both"/>
        <w:rPr>
          <w:rFonts w:ascii="Arial" w:eastAsia="Calibri Light" w:hAnsi="Arial" w:cs="Arial"/>
          <w:b/>
          <w:bCs/>
        </w:rPr>
      </w:pPr>
    </w:p>
    <w:p w14:paraId="76DD34E2" w14:textId="77777777" w:rsidR="00C47EFE" w:rsidRPr="00A23780" w:rsidRDefault="00C47EFE" w:rsidP="004D1177">
      <w:pPr>
        <w:pStyle w:val="Sinespaciado"/>
        <w:jc w:val="both"/>
        <w:rPr>
          <w:rFonts w:ascii="Arial" w:eastAsia="Calibri Light" w:hAnsi="Arial" w:cs="Arial"/>
          <w:b/>
          <w:bCs/>
        </w:rPr>
      </w:pPr>
    </w:p>
    <w:p w14:paraId="3BC8BB0B" w14:textId="77777777" w:rsidR="004D1177" w:rsidRPr="00B66B81" w:rsidRDefault="004D1177" w:rsidP="004D1177">
      <w:pPr>
        <w:pStyle w:val="Sinespaciado"/>
        <w:numPr>
          <w:ilvl w:val="0"/>
          <w:numId w:val="8"/>
        </w:numPr>
        <w:suppressAutoHyphens/>
        <w:autoSpaceDN w:val="0"/>
        <w:ind w:left="851" w:hanging="425"/>
        <w:jc w:val="both"/>
        <w:textAlignment w:val="baseline"/>
        <w:rPr>
          <w:rFonts w:ascii="Arial" w:hAnsi="Arial" w:cs="Arial"/>
        </w:rPr>
      </w:pPr>
      <w:r w:rsidRPr="00B66B81">
        <w:rPr>
          <w:rFonts w:ascii="Arial" w:hAnsi="Arial" w:cs="Arial"/>
          <w:u w:val="single"/>
        </w:rPr>
        <w:lastRenderedPageBreak/>
        <w:t>Traslados a</w:t>
      </w:r>
      <w:r>
        <w:rPr>
          <w:rFonts w:ascii="Arial" w:hAnsi="Arial" w:cs="Arial"/>
          <w:u w:val="single"/>
        </w:rPr>
        <w:t xml:space="preserve"> la Delegada de</w:t>
      </w:r>
      <w:r w:rsidRPr="00B66B81">
        <w:rPr>
          <w:rFonts w:ascii="Arial" w:hAnsi="Arial" w:cs="Arial"/>
          <w:u w:val="single"/>
        </w:rPr>
        <w:t xml:space="preserve"> Procesos</w:t>
      </w:r>
      <w:r>
        <w:rPr>
          <w:rFonts w:ascii="Arial" w:hAnsi="Arial" w:cs="Arial"/>
          <w:u w:val="single"/>
        </w:rPr>
        <w:t xml:space="preserve"> Administrativos:</w:t>
      </w:r>
    </w:p>
    <w:p w14:paraId="1EBC7608" w14:textId="77777777" w:rsidR="004D1177" w:rsidRPr="00261FF1" w:rsidRDefault="004D1177" w:rsidP="004D1177">
      <w:pPr>
        <w:pStyle w:val="Sinespaciado"/>
        <w:ind w:left="567" w:hanging="567"/>
        <w:jc w:val="both"/>
        <w:rPr>
          <w:rFonts w:ascii="Arial" w:hAnsi="Arial" w:cs="Arial"/>
          <w:u w:val="single"/>
        </w:rPr>
      </w:pPr>
    </w:p>
    <w:p w14:paraId="3F08CD00" w14:textId="77777777" w:rsidR="004D1177" w:rsidRPr="00795D29" w:rsidRDefault="004D1177" w:rsidP="004D1177">
      <w:pPr>
        <w:pStyle w:val="Sinespaciado"/>
        <w:jc w:val="both"/>
        <w:rPr>
          <w:rFonts w:ascii="Arial" w:hAnsi="Arial" w:cs="Arial"/>
        </w:rPr>
      </w:pPr>
      <w:r w:rsidRPr="00795D29">
        <w:rPr>
          <w:rFonts w:ascii="Arial" w:hAnsi="Arial" w:cs="Arial"/>
        </w:rPr>
        <w:t>La Dirección de EAPB realiza seguimiento al cumplimiento de la normatividad que rige el flujo de recursos entre los actores del sistema, mediante diferentes acciones así:</w:t>
      </w:r>
    </w:p>
    <w:p w14:paraId="4FAD4666" w14:textId="77777777" w:rsidR="004D1177" w:rsidRPr="00261FF1" w:rsidRDefault="004D1177" w:rsidP="004D1177">
      <w:pPr>
        <w:pStyle w:val="Sinespaciado"/>
        <w:ind w:left="720"/>
        <w:jc w:val="both"/>
        <w:rPr>
          <w:rFonts w:ascii="Arial" w:hAnsi="Arial" w:cs="Arial"/>
          <w:b/>
          <w:bCs/>
        </w:rPr>
      </w:pPr>
    </w:p>
    <w:p w14:paraId="4572A93F" w14:textId="597CA2DE" w:rsidR="004D1177" w:rsidRPr="00795D29" w:rsidRDefault="004D1177" w:rsidP="004D1177">
      <w:pPr>
        <w:pStyle w:val="Sinespaciado"/>
        <w:numPr>
          <w:ilvl w:val="0"/>
          <w:numId w:val="12"/>
        </w:numPr>
        <w:suppressAutoHyphens/>
        <w:autoSpaceDN w:val="0"/>
        <w:ind w:left="567" w:hanging="567"/>
        <w:jc w:val="both"/>
        <w:textAlignment w:val="baseline"/>
        <w:rPr>
          <w:rFonts w:ascii="Arial" w:hAnsi="Arial" w:cs="Arial"/>
        </w:rPr>
      </w:pPr>
      <w:r w:rsidRPr="00B66B81">
        <w:rPr>
          <w:rFonts w:ascii="Arial" w:hAnsi="Arial" w:cs="Arial"/>
        </w:rPr>
        <w:t xml:space="preserve">Mesas de Flujo de Recursos lideradas por el Despacho del Superintendente: </w:t>
      </w:r>
      <w:r>
        <w:rPr>
          <w:rFonts w:ascii="Arial" w:hAnsi="Arial" w:cs="Arial"/>
        </w:rPr>
        <w:t>Durante e</w:t>
      </w:r>
      <w:r w:rsidRPr="00B66B81">
        <w:rPr>
          <w:rFonts w:ascii="Arial" w:hAnsi="Arial" w:cs="Arial"/>
        </w:rPr>
        <w:t>l seguimiento a los compromisos acordados por los actores del SGSSS</w:t>
      </w:r>
      <w:r w:rsidR="00657241">
        <w:rPr>
          <w:rFonts w:ascii="Arial" w:hAnsi="Arial" w:cs="Arial"/>
        </w:rPr>
        <w:t>,</w:t>
      </w:r>
      <w:r w:rsidRPr="00B66B81">
        <w:rPr>
          <w:rFonts w:ascii="Arial" w:hAnsi="Arial" w:cs="Arial"/>
        </w:rPr>
        <w:t xml:space="preserve"> en estas mesas se realizaron solicitudes de viabilidad de investigación por incumplimiento</w:t>
      </w:r>
      <w:r w:rsidRPr="00795D29">
        <w:rPr>
          <w:rFonts w:ascii="Arial" w:hAnsi="Arial" w:cs="Arial"/>
        </w:rPr>
        <w:t>, trasladando los siguientes expedientes por vigilado, así:</w:t>
      </w:r>
    </w:p>
    <w:p w14:paraId="5AD3A8D5" w14:textId="77777777" w:rsidR="004D1177" w:rsidRPr="00261FF1" w:rsidRDefault="004D1177" w:rsidP="004D1177">
      <w:pPr>
        <w:pStyle w:val="Sinespaciado"/>
        <w:ind w:left="360"/>
        <w:jc w:val="both"/>
        <w:rPr>
          <w:rFonts w:ascii="Arial" w:hAnsi="Arial" w:cs="Arial"/>
        </w:rPr>
      </w:pPr>
    </w:p>
    <w:p w14:paraId="0500D025" w14:textId="77777777" w:rsidR="004D1177" w:rsidRPr="00261FF1" w:rsidRDefault="004D1177" w:rsidP="004D1177">
      <w:pPr>
        <w:pStyle w:val="Sinespaciado"/>
        <w:jc w:val="center"/>
        <w:rPr>
          <w:rFonts w:ascii="Arial" w:hAnsi="Arial" w:cs="Arial"/>
        </w:rPr>
      </w:pPr>
      <w:r w:rsidRPr="00261FF1">
        <w:rPr>
          <w:rFonts w:ascii="Arial" w:hAnsi="Arial" w:cs="Arial"/>
          <w:noProof/>
        </w:rPr>
        <w:drawing>
          <wp:inline distT="0" distB="0" distL="0" distR="0" wp14:anchorId="433FEF90" wp14:editId="06D62E0C">
            <wp:extent cx="2552629" cy="990600"/>
            <wp:effectExtent l="0" t="0" r="635" b="0"/>
            <wp:docPr id="11" name="Imagen 4">
              <a:extLst xmlns:a="http://schemas.openxmlformats.org/drawingml/2006/main">
                <a:ext uri="{FF2B5EF4-FFF2-40B4-BE49-F238E27FC236}">
                  <a16:creationId xmlns:a16="http://schemas.microsoft.com/office/drawing/2014/main" id="{2BB39D19-21E8-4D4C-AF1E-C7D2E6D93E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BB39D19-21E8-4D4C-AF1E-C7D2E6D93E6B}"/>
                        </a:ext>
                      </a:extLst>
                    </pic:cNvPr>
                    <pic:cNvPicPr>
                      <a:picLocks noChangeAspect="1"/>
                    </pic:cNvPicPr>
                  </pic:nvPicPr>
                  <pic:blipFill>
                    <a:blip r:embed="rId12"/>
                    <a:stretch>
                      <a:fillRect/>
                    </a:stretch>
                  </pic:blipFill>
                  <pic:spPr>
                    <a:xfrm>
                      <a:off x="0" y="0"/>
                      <a:ext cx="2590613" cy="1005341"/>
                    </a:xfrm>
                    <a:prstGeom prst="rect">
                      <a:avLst/>
                    </a:prstGeom>
                  </pic:spPr>
                </pic:pic>
              </a:graphicData>
            </a:graphic>
          </wp:inline>
        </w:drawing>
      </w:r>
    </w:p>
    <w:p w14:paraId="0B3DC9FA" w14:textId="77777777" w:rsidR="004D1177" w:rsidRPr="00261FF1" w:rsidRDefault="004D1177" w:rsidP="004D1177">
      <w:pPr>
        <w:pStyle w:val="Sinespaciado"/>
        <w:ind w:left="360"/>
        <w:jc w:val="center"/>
        <w:rPr>
          <w:rFonts w:ascii="Arial" w:hAnsi="Arial" w:cs="Arial"/>
        </w:rPr>
      </w:pPr>
    </w:p>
    <w:p w14:paraId="5C7A2794" w14:textId="77777777" w:rsidR="004D1177" w:rsidRPr="00261FF1" w:rsidRDefault="004D1177" w:rsidP="004D1177">
      <w:pPr>
        <w:pStyle w:val="Sinespaciado"/>
        <w:numPr>
          <w:ilvl w:val="0"/>
          <w:numId w:val="13"/>
        </w:numPr>
        <w:suppressAutoHyphens/>
        <w:autoSpaceDN w:val="0"/>
        <w:ind w:left="567" w:hanging="567"/>
        <w:jc w:val="both"/>
        <w:textAlignment w:val="baseline"/>
        <w:rPr>
          <w:rFonts w:ascii="Arial" w:hAnsi="Arial" w:cs="Arial"/>
        </w:rPr>
      </w:pPr>
      <w:r w:rsidRPr="00B66B81">
        <w:rPr>
          <w:rFonts w:ascii="Arial" w:hAnsi="Arial" w:cs="Arial"/>
        </w:rPr>
        <w:t>Pago de Acuerdos Conciliatorios:</w:t>
      </w:r>
      <w:r w:rsidRPr="00E234CF">
        <w:rPr>
          <w:rFonts w:ascii="Arial" w:hAnsi="Arial" w:cs="Arial"/>
        </w:rPr>
        <w:t xml:space="preserve"> Seguimiento a los pagos acordados a través de las mesas de conciliación extrajudicial en derecho convocadas por la Delegada para la </w:t>
      </w:r>
      <w:r>
        <w:rPr>
          <w:rFonts w:ascii="Arial" w:hAnsi="Arial" w:cs="Arial"/>
        </w:rPr>
        <w:t>F</w:t>
      </w:r>
      <w:r w:rsidRPr="00E234CF">
        <w:rPr>
          <w:rFonts w:ascii="Arial" w:hAnsi="Arial" w:cs="Arial"/>
        </w:rPr>
        <w:t xml:space="preserve">unción Jurisdiccional y de Conciliación, se realizaron los siguientes traslados por incumplimiento de </w:t>
      </w:r>
      <w:r>
        <w:rPr>
          <w:rFonts w:ascii="Arial" w:hAnsi="Arial" w:cs="Arial"/>
        </w:rPr>
        <w:t>a</w:t>
      </w:r>
      <w:r w:rsidRPr="00E234CF">
        <w:rPr>
          <w:rFonts w:ascii="Arial" w:hAnsi="Arial" w:cs="Arial"/>
        </w:rPr>
        <w:t>ctas, así:</w:t>
      </w:r>
    </w:p>
    <w:p w14:paraId="554D359A" w14:textId="77777777" w:rsidR="004D1177" w:rsidRPr="00261FF1" w:rsidRDefault="004D1177" w:rsidP="004D1177">
      <w:pPr>
        <w:pStyle w:val="Sinespaciado"/>
        <w:ind w:left="567" w:hanging="567"/>
        <w:jc w:val="both"/>
        <w:rPr>
          <w:rFonts w:ascii="Arial" w:hAnsi="Arial" w:cs="Arial"/>
          <w:b/>
          <w:bCs/>
        </w:rPr>
      </w:pPr>
    </w:p>
    <w:p w14:paraId="0E0E30D0" w14:textId="77777777" w:rsidR="004D1177" w:rsidRPr="00E234CF" w:rsidRDefault="004D1177" w:rsidP="004D1177">
      <w:pPr>
        <w:pStyle w:val="Sinespaciado"/>
        <w:jc w:val="center"/>
        <w:rPr>
          <w:rFonts w:ascii="Arial" w:hAnsi="Arial" w:cs="Arial"/>
        </w:rPr>
      </w:pPr>
      <w:r w:rsidRPr="00261FF1">
        <w:rPr>
          <w:rFonts w:ascii="Arial" w:hAnsi="Arial" w:cs="Arial"/>
          <w:noProof/>
        </w:rPr>
        <w:drawing>
          <wp:inline distT="0" distB="0" distL="0" distR="0" wp14:anchorId="61B147D1" wp14:editId="691D0560">
            <wp:extent cx="2705100" cy="996409"/>
            <wp:effectExtent l="0" t="0" r="0" b="0"/>
            <wp:docPr id="22" name="Imagen 21">
              <a:extLst xmlns:a="http://schemas.openxmlformats.org/drawingml/2006/main">
                <a:ext uri="{FF2B5EF4-FFF2-40B4-BE49-F238E27FC236}">
                  <a16:creationId xmlns:a16="http://schemas.microsoft.com/office/drawing/2014/main" id="{B3B48FC5-D5F4-479C-82FF-1E62522C67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1">
                      <a:extLst>
                        <a:ext uri="{FF2B5EF4-FFF2-40B4-BE49-F238E27FC236}">
                          <a16:creationId xmlns:a16="http://schemas.microsoft.com/office/drawing/2014/main" id="{B3B48FC5-D5F4-479C-82FF-1E62522C6700}"/>
                        </a:ext>
                      </a:extLst>
                    </pic:cNvPr>
                    <pic:cNvPicPr>
                      <a:picLocks noChangeAspect="1"/>
                    </pic:cNvPicPr>
                  </pic:nvPicPr>
                  <pic:blipFill>
                    <a:blip r:embed="rId13"/>
                    <a:stretch>
                      <a:fillRect/>
                    </a:stretch>
                  </pic:blipFill>
                  <pic:spPr>
                    <a:xfrm>
                      <a:off x="0" y="0"/>
                      <a:ext cx="2719876" cy="1001852"/>
                    </a:xfrm>
                    <a:prstGeom prst="rect">
                      <a:avLst/>
                    </a:prstGeom>
                  </pic:spPr>
                </pic:pic>
              </a:graphicData>
            </a:graphic>
          </wp:inline>
        </w:drawing>
      </w:r>
    </w:p>
    <w:p w14:paraId="51734333" w14:textId="77777777" w:rsidR="004D1177" w:rsidRPr="00261FF1" w:rsidRDefault="004D1177" w:rsidP="004D1177">
      <w:pPr>
        <w:pStyle w:val="Sinespaciado"/>
        <w:ind w:left="993"/>
        <w:jc w:val="both"/>
        <w:rPr>
          <w:rFonts w:ascii="Arial" w:hAnsi="Arial" w:cs="Arial"/>
        </w:rPr>
      </w:pPr>
    </w:p>
    <w:p w14:paraId="3720D3A1" w14:textId="61766AF0" w:rsidR="003B06FA" w:rsidRPr="003B06FA" w:rsidRDefault="004D1177" w:rsidP="003B06FA">
      <w:pPr>
        <w:pStyle w:val="Sinespaciado"/>
        <w:numPr>
          <w:ilvl w:val="0"/>
          <w:numId w:val="13"/>
        </w:numPr>
        <w:suppressAutoHyphens/>
        <w:autoSpaceDN w:val="0"/>
        <w:ind w:left="567" w:hanging="567"/>
        <w:jc w:val="both"/>
        <w:textAlignment w:val="baseline"/>
        <w:rPr>
          <w:rFonts w:ascii="Arial" w:hAnsi="Arial" w:cs="Arial"/>
        </w:rPr>
      </w:pPr>
      <w:r w:rsidRPr="003B06FA">
        <w:rPr>
          <w:rFonts w:ascii="Arial" w:hAnsi="Arial" w:cs="Arial"/>
        </w:rPr>
        <w:t>Instrumento Financiero “Seguimiento al Flujo de Recursos”: Instrumento creado por la Delegada para la Supervisión Institucional y adoptado por las Entidades Territoriales para la conformación de un expediente que tendrá las peticiones presentadas por los sujetos vigilados</w:t>
      </w:r>
      <w:r w:rsidR="003B06FA" w:rsidRPr="003B06FA">
        <w:rPr>
          <w:rFonts w:ascii="Arial" w:hAnsi="Arial" w:cs="Arial"/>
        </w:rPr>
        <w:t>. En el siguiente cuadro se registran los traslados a la Delegatura de Procesos Administrativos</w:t>
      </w:r>
      <w:r w:rsidR="003B06FA">
        <w:rPr>
          <w:rFonts w:ascii="Arial" w:hAnsi="Arial" w:cs="Arial"/>
        </w:rPr>
        <w:t xml:space="preserve"> (hoy Delegatura para Investigaciones Administrativas).</w:t>
      </w:r>
    </w:p>
    <w:p w14:paraId="05B8A301" w14:textId="77777777" w:rsidR="004D1177" w:rsidRPr="00261FF1" w:rsidRDefault="004D1177" w:rsidP="004D1177">
      <w:pPr>
        <w:pStyle w:val="Sinespaciado"/>
        <w:ind w:left="1713"/>
        <w:jc w:val="both"/>
        <w:rPr>
          <w:rFonts w:ascii="Arial" w:hAnsi="Arial" w:cs="Arial"/>
          <w:b/>
          <w:bCs/>
        </w:rPr>
      </w:pPr>
    </w:p>
    <w:p w14:paraId="7A928502" w14:textId="16F16C81" w:rsidR="00657241" w:rsidRPr="009D6BDE" w:rsidRDefault="004D1177" w:rsidP="004D1177">
      <w:pPr>
        <w:pStyle w:val="Sinespaciado"/>
        <w:jc w:val="center"/>
        <w:rPr>
          <w:rFonts w:ascii="Arial" w:hAnsi="Arial" w:cs="Arial"/>
        </w:rPr>
      </w:pPr>
      <w:r w:rsidRPr="00DF3B84">
        <w:rPr>
          <w:rFonts w:ascii="Arial" w:hAnsi="Arial" w:cs="Arial"/>
          <w:noProof/>
        </w:rPr>
        <w:drawing>
          <wp:inline distT="0" distB="0" distL="0" distR="0" wp14:anchorId="196415A9" wp14:editId="2F9FA972">
            <wp:extent cx="2667000" cy="699329"/>
            <wp:effectExtent l="0" t="0" r="0" b="5715"/>
            <wp:docPr id="27" name="Imagen 26">
              <a:extLst xmlns:a="http://schemas.openxmlformats.org/drawingml/2006/main">
                <a:ext uri="{FF2B5EF4-FFF2-40B4-BE49-F238E27FC236}">
                  <a16:creationId xmlns:a16="http://schemas.microsoft.com/office/drawing/2014/main" id="{FB074239-8C1F-4176-A3B0-D7BC497477C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6">
                      <a:extLst>
                        <a:ext uri="{FF2B5EF4-FFF2-40B4-BE49-F238E27FC236}">
                          <a16:creationId xmlns:a16="http://schemas.microsoft.com/office/drawing/2014/main" id="{FB074239-8C1F-4176-A3B0-D7BC497477CA}"/>
                        </a:ext>
                      </a:extLst>
                    </pic:cNvPr>
                    <pic:cNvPicPr>
                      <a:picLocks noChangeAspect="1"/>
                    </pic:cNvPicPr>
                  </pic:nvPicPr>
                  <pic:blipFill>
                    <a:blip r:embed="rId14"/>
                    <a:stretch>
                      <a:fillRect/>
                    </a:stretch>
                  </pic:blipFill>
                  <pic:spPr>
                    <a:xfrm>
                      <a:off x="0" y="0"/>
                      <a:ext cx="2681259" cy="703068"/>
                    </a:xfrm>
                    <a:prstGeom prst="rect">
                      <a:avLst/>
                    </a:prstGeom>
                  </pic:spPr>
                </pic:pic>
              </a:graphicData>
            </a:graphic>
          </wp:inline>
        </w:drawing>
      </w:r>
    </w:p>
    <w:p w14:paraId="0C8745E5" w14:textId="77777777" w:rsidR="004D1177" w:rsidRPr="00A12767" w:rsidRDefault="004D1177" w:rsidP="003B7799">
      <w:pPr>
        <w:pStyle w:val="Sinespaciado"/>
        <w:jc w:val="center"/>
      </w:pPr>
    </w:p>
    <w:p w14:paraId="1F959D02" w14:textId="5B26A50E" w:rsidR="001B0240" w:rsidRPr="00C31D64" w:rsidRDefault="001B0240" w:rsidP="001B0240">
      <w:pPr>
        <w:pStyle w:val="xxmsonormal"/>
        <w:shd w:val="clear" w:color="auto" w:fill="FFFFFF"/>
        <w:spacing w:before="0" w:beforeAutospacing="0" w:after="0" w:afterAutospacing="0"/>
        <w:jc w:val="both"/>
        <w:rPr>
          <w:rFonts w:ascii="Arial" w:hAnsi="Arial" w:cs="Arial"/>
          <w:b/>
          <w:bCs/>
          <w:color w:val="201F1E"/>
          <w:sz w:val="22"/>
          <w:szCs w:val="22"/>
        </w:rPr>
      </w:pPr>
      <w:r w:rsidRPr="00C31D64">
        <w:rPr>
          <w:rFonts w:ascii="Arial" w:hAnsi="Arial" w:cs="Arial"/>
          <w:b/>
          <w:bCs/>
          <w:color w:val="201F1E"/>
          <w:sz w:val="22"/>
          <w:szCs w:val="22"/>
          <w:bdr w:val="none" w:sz="0" w:space="0" w:color="auto" w:frame="1"/>
          <w:lang w:val="es-ES"/>
        </w:rPr>
        <w:t>19.  ¿Qué ha ocurrido con las metas y con los tiempos que se habían establecido para que</w:t>
      </w:r>
      <w:r w:rsidR="00C31D64">
        <w:rPr>
          <w:rFonts w:ascii="Arial" w:hAnsi="Arial" w:cs="Arial"/>
          <w:b/>
          <w:bCs/>
          <w:color w:val="201F1E"/>
          <w:sz w:val="22"/>
          <w:szCs w:val="22"/>
          <w:bdr w:val="none" w:sz="0" w:space="0" w:color="auto" w:frame="1"/>
          <w:lang w:val="es-ES"/>
        </w:rPr>
        <w:t xml:space="preserve"> </w:t>
      </w:r>
      <w:r w:rsidRPr="00C31D64">
        <w:rPr>
          <w:rFonts w:ascii="Arial" w:hAnsi="Arial" w:cs="Arial"/>
          <w:b/>
          <w:bCs/>
          <w:color w:val="201F1E"/>
          <w:sz w:val="22"/>
          <w:szCs w:val="22"/>
          <w:bdr w:val="none" w:sz="0" w:space="0" w:color="auto" w:frame="1"/>
          <w:lang w:val="es-ES"/>
        </w:rPr>
        <w:t>las EPS cumplieran con los porcentajes y/o valores de reservas de recursos para soportar procesos destinados al pago de obligaciones?</w:t>
      </w:r>
    </w:p>
    <w:p w14:paraId="49B51DA8" w14:textId="77777777" w:rsidR="001B0240" w:rsidRPr="001B0240" w:rsidRDefault="001B0240" w:rsidP="001B0240">
      <w:pPr>
        <w:pStyle w:val="xxmsonormal"/>
        <w:shd w:val="clear" w:color="auto" w:fill="FFFFFF"/>
        <w:spacing w:before="0" w:beforeAutospacing="0" w:after="0" w:afterAutospacing="0"/>
        <w:jc w:val="both"/>
        <w:rPr>
          <w:rFonts w:ascii="Arial" w:hAnsi="Arial" w:cs="Arial"/>
          <w:color w:val="201F1E"/>
          <w:sz w:val="22"/>
          <w:szCs w:val="22"/>
        </w:rPr>
      </w:pPr>
      <w:r w:rsidRPr="001B0240">
        <w:rPr>
          <w:rFonts w:ascii="Arial" w:hAnsi="Arial" w:cs="Arial"/>
          <w:color w:val="201F1E"/>
          <w:sz w:val="22"/>
          <w:szCs w:val="22"/>
          <w:bdr w:val="none" w:sz="0" w:space="0" w:color="auto" w:frame="1"/>
          <w:lang w:val="es-ES"/>
        </w:rPr>
        <w:t> </w:t>
      </w:r>
    </w:p>
    <w:p w14:paraId="5221D79D" w14:textId="0E588B33" w:rsidR="00C31D64" w:rsidRPr="00A62743" w:rsidRDefault="00E22C7E" w:rsidP="00C31D64">
      <w:pPr>
        <w:spacing w:after="0" w:line="240" w:lineRule="auto"/>
        <w:jc w:val="both"/>
        <w:rPr>
          <w:rFonts w:ascii="Arial" w:hAnsi="Arial" w:cs="Arial"/>
          <w:color w:val="000000" w:themeColor="text1"/>
          <w:lang w:val="es-ES"/>
        </w:rPr>
      </w:pPr>
      <w:r>
        <w:rPr>
          <w:rFonts w:ascii="Arial" w:hAnsi="Arial" w:cs="Arial"/>
          <w:color w:val="000000" w:themeColor="text1"/>
          <w:lang w:val="es-ES"/>
        </w:rPr>
        <w:t>Es importante precisar que e</w:t>
      </w:r>
      <w:r w:rsidR="00C31D64" w:rsidRPr="00A62743">
        <w:rPr>
          <w:rFonts w:ascii="Arial" w:hAnsi="Arial" w:cs="Arial"/>
          <w:color w:val="000000" w:themeColor="text1"/>
          <w:lang w:val="es-ES"/>
        </w:rPr>
        <w:t>l Decreto 780 de 2016 estipuló que las EPS deben constituir inversiones para las reservas técnicas con activos que cumplan características de seguridad y liquidez. Esto implica que</w:t>
      </w:r>
      <w:r w:rsidR="00172AE6">
        <w:rPr>
          <w:rFonts w:ascii="Arial" w:hAnsi="Arial" w:cs="Arial"/>
          <w:color w:val="000000" w:themeColor="text1"/>
          <w:lang w:val="es-ES"/>
        </w:rPr>
        <w:t>,</w:t>
      </w:r>
      <w:r w:rsidR="00C31D64" w:rsidRPr="00A62743">
        <w:rPr>
          <w:rFonts w:ascii="Arial" w:hAnsi="Arial" w:cs="Arial"/>
          <w:color w:val="000000" w:themeColor="text1"/>
          <w:lang w:val="es-ES"/>
        </w:rPr>
        <w:t xml:space="preserve"> en el momento en que se genere la obligación de pago al prestador de servicios de salud por parte de las EPS, las entidades deberán garantizar el recurso que respalda la obligación.</w:t>
      </w:r>
      <w:r w:rsidR="00C31D64">
        <w:rPr>
          <w:rFonts w:ascii="Arial" w:hAnsi="Arial" w:cs="Arial"/>
          <w:color w:val="000000" w:themeColor="text1"/>
          <w:lang w:val="es-ES"/>
        </w:rPr>
        <w:t xml:space="preserve"> El mencionado decreto estableció en su </w:t>
      </w:r>
      <w:r w:rsidR="00C31D64">
        <w:rPr>
          <w:rFonts w:ascii="Arial" w:hAnsi="Arial" w:cs="Arial"/>
          <w:color w:val="000000" w:themeColor="text1"/>
          <w:lang w:val="es-ES"/>
        </w:rPr>
        <w:lastRenderedPageBreak/>
        <w:t xml:space="preserve">artículo 2.5.2.2.1.12 para aquellas EPS </w:t>
      </w:r>
      <w:r w:rsidR="00A90B64">
        <w:rPr>
          <w:rFonts w:ascii="Arial" w:hAnsi="Arial" w:cs="Arial"/>
          <w:color w:val="000000" w:themeColor="text1"/>
          <w:lang w:val="es-ES"/>
        </w:rPr>
        <w:t xml:space="preserve">que al momento de entrar en vigor la medida </w:t>
      </w:r>
      <w:r w:rsidR="00C31D64">
        <w:rPr>
          <w:rFonts w:ascii="Arial" w:hAnsi="Arial" w:cs="Arial"/>
          <w:color w:val="000000" w:themeColor="text1"/>
          <w:lang w:val="es-ES"/>
        </w:rPr>
        <w:t>no cumpl</w:t>
      </w:r>
      <w:r w:rsidR="00A90B64">
        <w:rPr>
          <w:rFonts w:ascii="Arial" w:hAnsi="Arial" w:cs="Arial"/>
          <w:color w:val="000000" w:themeColor="text1"/>
          <w:lang w:val="es-ES"/>
        </w:rPr>
        <w:t>ieran</w:t>
      </w:r>
      <w:r w:rsidR="00C31D64">
        <w:rPr>
          <w:rFonts w:ascii="Arial" w:hAnsi="Arial" w:cs="Arial"/>
          <w:color w:val="000000" w:themeColor="text1"/>
          <w:lang w:val="es-ES"/>
        </w:rPr>
        <w:t xml:space="preserve"> con las condiciones financieras, </w:t>
      </w:r>
      <w:r w:rsidR="00657241">
        <w:rPr>
          <w:rFonts w:ascii="Arial" w:hAnsi="Arial" w:cs="Arial"/>
          <w:color w:val="4D5156"/>
          <w:spacing w:val="4"/>
          <w:sz w:val="21"/>
          <w:szCs w:val="21"/>
          <w:shd w:val="clear" w:color="auto" w:fill="FFFFFF"/>
        </w:rPr>
        <w:t>-</w:t>
      </w:r>
      <w:r w:rsidR="00A90B64">
        <w:rPr>
          <w:rFonts w:ascii="Arial" w:hAnsi="Arial" w:cs="Arial"/>
          <w:color w:val="000000" w:themeColor="text1"/>
          <w:lang w:val="es-ES"/>
        </w:rPr>
        <w:t>dentro de estas</w:t>
      </w:r>
      <w:r w:rsidR="00C31D64">
        <w:rPr>
          <w:rFonts w:ascii="Arial" w:hAnsi="Arial" w:cs="Arial"/>
          <w:color w:val="000000" w:themeColor="text1"/>
          <w:lang w:val="es-ES"/>
        </w:rPr>
        <w:t xml:space="preserve"> la</w:t>
      </w:r>
      <w:r w:rsidR="00A90B64">
        <w:rPr>
          <w:rFonts w:ascii="Arial" w:hAnsi="Arial" w:cs="Arial"/>
          <w:color w:val="000000" w:themeColor="text1"/>
          <w:lang w:val="es-ES"/>
        </w:rPr>
        <w:t>s</w:t>
      </w:r>
      <w:r w:rsidR="00C31D64">
        <w:rPr>
          <w:rFonts w:ascii="Arial" w:hAnsi="Arial" w:cs="Arial"/>
          <w:color w:val="000000" w:themeColor="text1"/>
          <w:lang w:val="es-ES"/>
        </w:rPr>
        <w:t xml:space="preserve"> del régimen de inversiones</w:t>
      </w:r>
      <w:r w:rsidR="00657241">
        <w:rPr>
          <w:rFonts w:ascii="Arial" w:hAnsi="Arial" w:cs="Arial"/>
          <w:color w:val="4D5156"/>
          <w:spacing w:val="4"/>
          <w:sz w:val="21"/>
          <w:szCs w:val="21"/>
          <w:shd w:val="clear" w:color="auto" w:fill="FFFFFF"/>
        </w:rPr>
        <w:t>-</w:t>
      </w:r>
      <w:r w:rsidR="00C31D64">
        <w:rPr>
          <w:rFonts w:ascii="Arial" w:hAnsi="Arial" w:cs="Arial"/>
          <w:color w:val="000000" w:themeColor="text1"/>
          <w:lang w:val="es-ES"/>
        </w:rPr>
        <w:t xml:space="preserve"> los deberán cumplir de manera progresiva dentro de los siete (7) años siguientes a su expedición, periodo transitorio que termina al cierre de la vigencia 2021. </w:t>
      </w:r>
    </w:p>
    <w:p w14:paraId="775985FD" w14:textId="77777777" w:rsidR="00C31D64" w:rsidRPr="00A62743" w:rsidRDefault="00C31D64" w:rsidP="00C31D64">
      <w:pPr>
        <w:autoSpaceDE w:val="0"/>
        <w:autoSpaceDN w:val="0"/>
        <w:adjustRightInd w:val="0"/>
        <w:spacing w:after="0" w:line="240" w:lineRule="auto"/>
        <w:rPr>
          <w:rFonts w:ascii="Arial" w:hAnsi="Arial" w:cs="Arial"/>
          <w:color w:val="000000" w:themeColor="text1"/>
          <w:sz w:val="24"/>
          <w:szCs w:val="24"/>
        </w:rPr>
      </w:pPr>
    </w:p>
    <w:p w14:paraId="02128A98" w14:textId="77777777" w:rsidR="002E73F6" w:rsidRDefault="00C31D64" w:rsidP="00C31D64">
      <w:pPr>
        <w:spacing w:after="0" w:line="240" w:lineRule="auto"/>
        <w:jc w:val="both"/>
        <w:rPr>
          <w:rFonts w:ascii="Arial" w:hAnsi="Arial" w:cs="Arial"/>
          <w:color w:val="000000" w:themeColor="text1"/>
          <w:lang w:val="es-ES"/>
        </w:rPr>
      </w:pPr>
      <w:r w:rsidRPr="00A62743">
        <w:rPr>
          <w:rFonts w:ascii="Arial" w:hAnsi="Arial" w:cs="Arial"/>
          <w:color w:val="000000" w:themeColor="text1"/>
          <w:lang w:val="es-ES"/>
        </w:rPr>
        <w:t xml:space="preserve">Posteriormente, el Gobierno Nacional expidió los Decretos 2117 de 2016 y 718 de 2017, los cuales permitieron a las EPS llevar a cabo procesos de planes de ajuste y reorganización institucional, estableciendo así un tratamiento especial para el cumplimiento de las condiciones financieras y de solvencia a que hace referencia el Decreto 780 de 2016. </w:t>
      </w:r>
    </w:p>
    <w:p w14:paraId="7EA8EC17" w14:textId="77777777" w:rsidR="002E73F6" w:rsidRDefault="002E73F6" w:rsidP="00C31D64">
      <w:pPr>
        <w:spacing w:after="0" w:line="240" w:lineRule="auto"/>
        <w:jc w:val="both"/>
        <w:rPr>
          <w:rFonts w:ascii="Arial" w:hAnsi="Arial" w:cs="Arial"/>
          <w:color w:val="000000" w:themeColor="text1"/>
          <w:lang w:val="es-ES"/>
        </w:rPr>
      </w:pPr>
    </w:p>
    <w:p w14:paraId="40762097" w14:textId="1C5B8924" w:rsidR="00C31D64" w:rsidRPr="00A62743" w:rsidRDefault="00C31D64" w:rsidP="00C31D64">
      <w:pPr>
        <w:spacing w:after="0" w:line="240" w:lineRule="auto"/>
        <w:jc w:val="both"/>
        <w:rPr>
          <w:rFonts w:ascii="Arial" w:hAnsi="Arial" w:cs="Arial"/>
          <w:color w:val="000000" w:themeColor="text1"/>
          <w:lang w:val="es-ES"/>
        </w:rPr>
      </w:pPr>
      <w:r w:rsidRPr="00A62743">
        <w:rPr>
          <w:rFonts w:ascii="Arial" w:hAnsi="Arial" w:cs="Arial"/>
          <w:color w:val="000000" w:themeColor="text1"/>
          <w:lang w:val="es-ES"/>
        </w:rPr>
        <w:t>En este sentido, algunas EPS se evalúan de acuerdo con los actos administrativos aprobados por la Superintendencia Nacional de Salud.</w:t>
      </w:r>
    </w:p>
    <w:p w14:paraId="0ECD0711" w14:textId="77777777" w:rsidR="00C31D64" w:rsidRPr="00A62743" w:rsidRDefault="00C31D64" w:rsidP="00C31D64">
      <w:pPr>
        <w:spacing w:after="0" w:line="240" w:lineRule="auto"/>
        <w:jc w:val="both"/>
        <w:rPr>
          <w:rFonts w:ascii="Arial" w:hAnsi="Arial" w:cs="Arial"/>
          <w:color w:val="000000" w:themeColor="text1"/>
        </w:rPr>
      </w:pPr>
    </w:p>
    <w:p w14:paraId="6A94D238" w14:textId="011AA301" w:rsidR="00C31D64" w:rsidRPr="00A62743" w:rsidRDefault="00C31D64" w:rsidP="00C31D64">
      <w:pPr>
        <w:spacing w:after="0" w:line="240" w:lineRule="auto"/>
        <w:jc w:val="both"/>
        <w:rPr>
          <w:rFonts w:ascii="Arial" w:hAnsi="Arial" w:cs="Arial"/>
          <w:color w:val="000000" w:themeColor="text1"/>
          <w:lang w:val="es-ES"/>
        </w:rPr>
      </w:pPr>
      <w:r>
        <w:rPr>
          <w:rFonts w:ascii="Arial" w:hAnsi="Arial" w:cs="Arial"/>
          <w:color w:val="000000" w:themeColor="text1"/>
          <w:lang w:val="es-ES"/>
        </w:rPr>
        <w:t xml:space="preserve">Así mismo, el Gobierno Nacional ha </w:t>
      </w:r>
      <w:r w:rsidR="00CF3179">
        <w:rPr>
          <w:rFonts w:ascii="Arial" w:hAnsi="Arial" w:cs="Arial"/>
          <w:color w:val="000000" w:themeColor="text1"/>
          <w:lang w:val="es-ES"/>
        </w:rPr>
        <w:t xml:space="preserve">fijado </w:t>
      </w:r>
      <w:r>
        <w:rPr>
          <w:rFonts w:ascii="Arial" w:hAnsi="Arial" w:cs="Arial"/>
          <w:color w:val="000000" w:themeColor="text1"/>
          <w:lang w:val="es-ES"/>
        </w:rPr>
        <w:t>diferentes lineamientos transitorios que le han permitido a las EPS contar con mayores mecanismos e instrumentos de inversión con el fin de lograr el cumplimiento del indicador de inversiones para el respaldo de las reservas técnicas, como lo son;</w:t>
      </w:r>
      <w:r w:rsidRPr="00A62743">
        <w:rPr>
          <w:rFonts w:ascii="Arial" w:hAnsi="Arial" w:cs="Arial"/>
          <w:color w:val="000000" w:themeColor="text1"/>
          <w:lang w:val="es-ES"/>
        </w:rPr>
        <w:t xml:space="preserve"> la Resolución 5118 de 2017, </w:t>
      </w:r>
      <w:r w:rsidR="00CF3179">
        <w:rPr>
          <w:rFonts w:ascii="Arial" w:hAnsi="Arial" w:cs="Arial"/>
          <w:color w:val="000000" w:themeColor="text1"/>
          <w:lang w:val="es-ES"/>
        </w:rPr>
        <w:t xml:space="preserve">el </w:t>
      </w:r>
      <w:r w:rsidRPr="00A62743">
        <w:rPr>
          <w:rFonts w:ascii="Arial" w:hAnsi="Arial" w:cs="Arial"/>
          <w:color w:val="000000" w:themeColor="text1"/>
          <w:lang w:val="es-ES"/>
        </w:rPr>
        <w:t xml:space="preserve">Decreto 1683 de 2019 </w:t>
      </w:r>
      <w:bookmarkStart w:id="5" w:name="_Hlk74035003"/>
      <w:r w:rsidRPr="00A62743">
        <w:rPr>
          <w:rFonts w:ascii="Arial" w:hAnsi="Arial" w:cs="Arial"/>
          <w:color w:val="000000" w:themeColor="text1"/>
          <w:lang w:val="es-ES"/>
        </w:rPr>
        <w:t xml:space="preserve">y </w:t>
      </w:r>
      <w:r>
        <w:rPr>
          <w:rFonts w:ascii="Arial" w:hAnsi="Arial" w:cs="Arial"/>
          <w:color w:val="000000" w:themeColor="text1"/>
          <w:lang w:val="es-ES"/>
        </w:rPr>
        <w:t xml:space="preserve">el </w:t>
      </w:r>
      <w:r w:rsidRPr="00A62743">
        <w:rPr>
          <w:rFonts w:ascii="Arial" w:hAnsi="Arial" w:cs="Arial"/>
          <w:color w:val="000000" w:themeColor="text1"/>
          <w:lang w:val="es-ES"/>
        </w:rPr>
        <w:t xml:space="preserve">Decreto 600 de 2020 </w:t>
      </w:r>
      <w:bookmarkEnd w:id="5"/>
      <w:r w:rsidRPr="00A62743">
        <w:rPr>
          <w:rFonts w:ascii="Arial" w:hAnsi="Arial" w:cs="Arial"/>
          <w:color w:val="000000" w:themeColor="text1"/>
          <w:lang w:val="es-ES"/>
        </w:rPr>
        <w:t xml:space="preserve">(ambos </w:t>
      </w:r>
      <w:r w:rsidR="00CF3179">
        <w:rPr>
          <w:rFonts w:ascii="Arial" w:hAnsi="Arial" w:cs="Arial"/>
          <w:color w:val="000000" w:themeColor="text1"/>
          <w:lang w:val="es-ES"/>
        </w:rPr>
        <w:t>i</w:t>
      </w:r>
      <w:r w:rsidRPr="00A62743">
        <w:rPr>
          <w:rFonts w:ascii="Arial" w:hAnsi="Arial" w:cs="Arial"/>
          <w:color w:val="000000" w:themeColor="text1"/>
          <w:lang w:val="es-ES"/>
        </w:rPr>
        <w:t>ncorporados en el Decreto 780 de 2016). La resolución establece nuevos lineamientos para la verificación del cumplimiento del régimen de inversiones, según los plazos establecidos en el artículo 2.5.2.2.1.12 del Decreto 780 de 2016; el Decreto 1683 de 2019 busca solventar los problemas relacionados con las limitaciones en el flujo de recursos por las que atraviesa el sector en la medida que permite la utilización de nuevos instrumentos financieros y; el Decreto 600 de 2020 permitió que</w:t>
      </w:r>
      <w:r w:rsidR="00E1181F">
        <w:rPr>
          <w:rFonts w:ascii="Arial" w:hAnsi="Arial" w:cs="Arial"/>
          <w:color w:val="000000" w:themeColor="text1"/>
          <w:lang w:val="es-ES"/>
        </w:rPr>
        <w:t xml:space="preserve">, </w:t>
      </w:r>
      <w:r w:rsidRPr="00A62743">
        <w:rPr>
          <w:rFonts w:ascii="Arial" w:hAnsi="Arial" w:cs="Arial"/>
          <w:color w:val="000000" w:themeColor="text1"/>
          <w:lang w:val="es-ES"/>
        </w:rPr>
        <w:t>al inicio de la emergencia sanitaria por el COVID-19</w:t>
      </w:r>
      <w:r w:rsidR="004B2D13">
        <w:rPr>
          <w:rFonts w:ascii="Arial" w:hAnsi="Arial" w:cs="Arial"/>
          <w:color w:val="000000" w:themeColor="text1"/>
          <w:lang w:val="es-ES"/>
        </w:rPr>
        <w:t xml:space="preserve"> </w:t>
      </w:r>
      <w:r w:rsidRPr="00A62743">
        <w:rPr>
          <w:rFonts w:ascii="Arial" w:hAnsi="Arial" w:cs="Arial"/>
          <w:color w:val="000000" w:themeColor="text1"/>
          <w:lang w:val="es-ES"/>
        </w:rPr>
        <w:t>las Entidades Promotoras de Salud utilizaran los recursos que tuvieran invertidos en depósitos a la vista, títulos de renta fija y títulos de deuda pública interna, y que respaldaban sus reservas técnicas, para saldar los pasivos registrados como reservas técnicas.</w:t>
      </w:r>
    </w:p>
    <w:p w14:paraId="6A518D47" w14:textId="77777777" w:rsidR="00C31D64" w:rsidRDefault="00C31D64" w:rsidP="00C31D64">
      <w:pPr>
        <w:spacing w:after="0" w:line="240" w:lineRule="auto"/>
      </w:pPr>
    </w:p>
    <w:p w14:paraId="0A88DF6F" w14:textId="75E0D7AD" w:rsidR="00772810" w:rsidRDefault="00284FBF" w:rsidP="00C31D64">
      <w:pPr>
        <w:spacing w:after="0" w:line="240" w:lineRule="auto"/>
        <w:jc w:val="both"/>
        <w:rPr>
          <w:rFonts w:ascii="Arial" w:hAnsi="Arial" w:cs="Arial"/>
        </w:rPr>
      </w:pPr>
      <w:r>
        <w:rPr>
          <w:rFonts w:ascii="Arial" w:hAnsi="Arial" w:cs="Arial"/>
        </w:rPr>
        <w:t xml:space="preserve">Al respecto, </w:t>
      </w:r>
      <w:r w:rsidR="0050570F">
        <w:rPr>
          <w:rFonts w:ascii="Arial" w:hAnsi="Arial" w:cs="Arial"/>
        </w:rPr>
        <w:t>l</w:t>
      </w:r>
      <w:r w:rsidR="00C31D64" w:rsidRPr="00F91412">
        <w:rPr>
          <w:rFonts w:ascii="Arial" w:hAnsi="Arial" w:cs="Arial"/>
        </w:rPr>
        <w:t xml:space="preserve">a </w:t>
      </w:r>
      <w:r w:rsidR="00C31D64">
        <w:rPr>
          <w:rFonts w:ascii="Arial" w:hAnsi="Arial" w:cs="Arial"/>
        </w:rPr>
        <w:t xml:space="preserve">Superintendencia Nacional de Salud realiza </w:t>
      </w:r>
      <w:r w:rsidR="00440BD7">
        <w:rPr>
          <w:rFonts w:ascii="Arial" w:hAnsi="Arial" w:cs="Arial"/>
        </w:rPr>
        <w:t xml:space="preserve">un </w:t>
      </w:r>
      <w:r w:rsidR="00C31D64">
        <w:rPr>
          <w:rFonts w:ascii="Arial" w:hAnsi="Arial" w:cs="Arial"/>
        </w:rPr>
        <w:t xml:space="preserve">constante seguimiento y evaluación del cumplimiento de los indicadores de las condiciones financieras señaladas en el Decreto 780 de 2016 y de forma pública expone los resultados de estos indicadores a través de diferentes informes, los cuales pueden ser consultados en la página web de esta Superintendencia. </w:t>
      </w:r>
      <w:r w:rsidR="00C31D64" w:rsidRPr="00F52DC2">
        <w:rPr>
          <w:rFonts w:ascii="Arial" w:hAnsi="Arial" w:cs="Arial"/>
        </w:rPr>
        <w:t>En este contexto, de acuerdo con los resultados obtenidos se identifica que no todas las EPS han dado cumplimiento a la constitución de inversiones para el respaldo de las obligaciones por reservas técnicas en los plazos y condiciones establecidos en el Decreto 780 de 2016 y en los planes de reorganización institucional y de ajuste financiero.</w:t>
      </w:r>
      <w:r w:rsidR="00290781">
        <w:rPr>
          <w:rFonts w:ascii="Arial" w:hAnsi="Arial" w:cs="Arial"/>
        </w:rPr>
        <w:t xml:space="preserve"> </w:t>
      </w:r>
    </w:p>
    <w:p w14:paraId="04A22A18" w14:textId="77777777" w:rsidR="00772810" w:rsidRDefault="00772810" w:rsidP="00C31D64">
      <w:pPr>
        <w:spacing w:after="0" w:line="240" w:lineRule="auto"/>
        <w:jc w:val="both"/>
        <w:rPr>
          <w:rFonts w:ascii="Arial" w:hAnsi="Arial" w:cs="Arial"/>
        </w:rPr>
      </w:pPr>
    </w:p>
    <w:p w14:paraId="75BC41CD" w14:textId="69C1469F" w:rsidR="0089152F" w:rsidRDefault="00290781" w:rsidP="00C31D64">
      <w:pPr>
        <w:spacing w:after="0" w:line="240" w:lineRule="auto"/>
        <w:jc w:val="both"/>
        <w:rPr>
          <w:rFonts w:ascii="Arial" w:hAnsi="Arial" w:cs="Arial"/>
        </w:rPr>
      </w:pPr>
      <w:r>
        <w:rPr>
          <w:rFonts w:ascii="Arial" w:hAnsi="Arial" w:cs="Arial"/>
        </w:rPr>
        <w:t xml:space="preserve">A continuación, </w:t>
      </w:r>
      <w:r w:rsidR="0089152F">
        <w:rPr>
          <w:rFonts w:ascii="Arial" w:hAnsi="Arial" w:cs="Arial"/>
        </w:rPr>
        <w:t>se presentan l</w:t>
      </w:r>
      <w:r w:rsidR="00772810">
        <w:rPr>
          <w:rFonts w:ascii="Arial" w:hAnsi="Arial" w:cs="Arial"/>
        </w:rPr>
        <w:t xml:space="preserve">os resultados del indicador de régimen de inversiones </w:t>
      </w:r>
      <w:r w:rsidR="00AB1325">
        <w:rPr>
          <w:rFonts w:ascii="Arial" w:hAnsi="Arial" w:cs="Arial"/>
        </w:rPr>
        <w:t>desde la vigencia 2015 hasta la vigencia 2020</w:t>
      </w:r>
      <w:r w:rsidR="00795EF0">
        <w:rPr>
          <w:rFonts w:ascii="Arial" w:hAnsi="Arial" w:cs="Arial"/>
        </w:rPr>
        <w:t xml:space="preserve"> discriminado por tipo de régimen para cada una de las Entidades Promotoras de Salud</w:t>
      </w:r>
      <w:r w:rsidR="00732575">
        <w:rPr>
          <w:rFonts w:ascii="Arial" w:hAnsi="Arial" w:cs="Arial"/>
        </w:rPr>
        <w:t>, se puede evidenciar por ejemplo que existen entidades que n</w:t>
      </w:r>
      <w:r w:rsidR="00EC7544">
        <w:rPr>
          <w:rFonts w:ascii="Arial" w:hAnsi="Arial" w:cs="Arial"/>
        </w:rPr>
        <w:t xml:space="preserve">o han dado cumplimiento a la constitución de inversiones como respaldo de las reservas técnicas </w:t>
      </w:r>
      <w:r w:rsidR="0055064F">
        <w:rPr>
          <w:rFonts w:ascii="Arial" w:hAnsi="Arial" w:cs="Arial"/>
        </w:rPr>
        <w:t xml:space="preserve">en ninguno de los años </w:t>
      </w:r>
      <w:r w:rsidR="00CC3564">
        <w:rPr>
          <w:rFonts w:ascii="Arial" w:hAnsi="Arial" w:cs="Arial"/>
        </w:rPr>
        <w:t>desde la expedici</w:t>
      </w:r>
      <w:r w:rsidR="00D9698E">
        <w:rPr>
          <w:rFonts w:ascii="Arial" w:hAnsi="Arial" w:cs="Arial"/>
        </w:rPr>
        <w:t xml:space="preserve">ón del decreto que </w:t>
      </w:r>
      <w:r w:rsidR="0093703D">
        <w:rPr>
          <w:rFonts w:ascii="Arial" w:hAnsi="Arial" w:cs="Arial"/>
        </w:rPr>
        <w:t>unifica</w:t>
      </w:r>
      <w:r w:rsidR="00581DCD">
        <w:rPr>
          <w:rFonts w:ascii="Arial" w:hAnsi="Arial" w:cs="Arial"/>
        </w:rPr>
        <w:t xml:space="preserve"> las </w:t>
      </w:r>
      <w:r w:rsidR="0093703D">
        <w:rPr>
          <w:rFonts w:ascii="Arial" w:hAnsi="Arial" w:cs="Arial"/>
        </w:rPr>
        <w:t>condiciones financieras y de solvencia para las EPS</w:t>
      </w:r>
      <w:r w:rsidR="00D246C0">
        <w:rPr>
          <w:rFonts w:ascii="Arial" w:hAnsi="Arial" w:cs="Arial"/>
        </w:rPr>
        <w:t>.</w:t>
      </w:r>
    </w:p>
    <w:p w14:paraId="55A5BBF3" w14:textId="27153928" w:rsidR="00C31D64" w:rsidRDefault="00F1713C" w:rsidP="00F1713C">
      <w:pPr>
        <w:spacing w:after="0" w:line="240" w:lineRule="auto"/>
        <w:jc w:val="center"/>
        <w:rPr>
          <w:rFonts w:ascii="Arial" w:hAnsi="Arial" w:cs="Arial"/>
        </w:rPr>
      </w:pPr>
      <w:r>
        <w:rPr>
          <w:noProof/>
        </w:rPr>
        <w:lastRenderedPageBreak/>
        <w:drawing>
          <wp:inline distT="0" distB="0" distL="0" distR="0" wp14:anchorId="1BF608EC" wp14:editId="330DEA2C">
            <wp:extent cx="4659630" cy="2066202"/>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60680" cy="2066667"/>
                    </a:xfrm>
                    <a:prstGeom prst="rect">
                      <a:avLst/>
                    </a:prstGeom>
                  </pic:spPr>
                </pic:pic>
              </a:graphicData>
            </a:graphic>
          </wp:inline>
        </w:drawing>
      </w:r>
    </w:p>
    <w:p w14:paraId="52284D57" w14:textId="77BCC7A0" w:rsidR="00C31D64" w:rsidRDefault="00C31D64" w:rsidP="00C31D64">
      <w:pPr>
        <w:spacing w:after="0" w:line="240" w:lineRule="auto"/>
        <w:jc w:val="both"/>
        <w:rPr>
          <w:rFonts w:ascii="Arial" w:hAnsi="Arial" w:cs="Arial"/>
        </w:rPr>
      </w:pPr>
    </w:p>
    <w:p w14:paraId="20433AFD" w14:textId="10C24127" w:rsidR="00957244" w:rsidRDefault="00957244" w:rsidP="00957244">
      <w:pPr>
        <w:spacing w:after="0" w:line="240" w:lineRule="auto"/>
        <w:jc w:val="center"/>
        <w:rPr>
          <w:rFonts w:ascii="Arial" w:hAnsi="Arial" w:cs="Arial"/>
        </w:rPr>
      </w:pPr>
      <w:r>
        <w:rPr>
          <w:noProof/>
        </w:rPr>
        <w:drawing>
          <wp:inline distT="0" distB="0" distL="0" distR="0" wp14:anchorId="2B1747EB" wp14:editId="201996FE">
            <wp:extent cx="4170680" cy="2112710"/>
            <wp:effectExtent l="0" t="0" r="127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73864" cy="2114323"/>
                    </a:xfrm>
                    <a:prstGeom prst="rect">
                      <a:avLst/>
                    </a:prstGeom>
                  </pic:spPr>
                </pic:pic>
              </a:graphicData>
            </a:graphic>
          </wp:inline>
        </w:drawing>
      </w:r>
    </w:p>
    <w:p w14:paraId="074A3576" w14:textId="50243FDD" w:rsidR="00957244" w:rsidRDefault="00FF0F45" w:rsidP="00957244">
      <w:pPr>
        <w:spacing w:after="0" w:line="240" w:lineRule="auto"/>
        <w:jc w:val="center"/>
        <w:rPr>
          <w:rFonts w:ascii="Arial" w:hAnsi="Arial" w:cs="Arial"/>
        </w:rPr>
      </w:pPr>
      <w:r>
        <w:rPr>
          <w:noProof/>
        </w:rPr>
        <w:drawing>
          <wp:inline distT="0" distB="0" distL="0" distR="0" wp14:anchorId="19B2CEEA" wp14:editId="71D2E28E">
            <wp:extent cx="3726180" cy="725589"/>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47746" cy="729788"/>
                    </a:xfrm>
                    <a:prstGeom prst="rect">
                      <a:avLst/>
                    </a:prstGeom>
                  </pic:spPr>
                </pic:pic>
              </a:graphicData>
            </a:graphic>
          </wp:inline>
        </w:drawing>
      </w:r>
    </w:p>
    <w:p w14:paraId="745172C2" w14:textId="72F16E3D" w:rsidR="00957244" w:rsidRDefault="00957244" w:rsidP="00957244">
      <w:pPr>
        <w:spacing w:after="0" w:line="240" w:lineRule="auto"/>
        <w:jc w:val="center"/>
        <w:rPr>
          <w:rFonts w:ascii="Arial" w:hAnsi="Arial" w:cs="Arial"/>
        </w:rPr>
      </w:pPr>
      <w:r>
        <w:rPr>
          <w:noProof/>
        </w:rPr>
        <w:drawing>
          <wp:inline distT="0" distB="0" distL="0" distR="0" wp14:anchorId="05DFDD0D" wp14:editId="7B186BED">
            <wp:extent cx="4691380" cy="1250610"/>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95286" cy="1251651"/>
                    </a:xfrm>
                    <a:prstGeom prst="rect">
                      <a:avLst/>
                    </a:prstGeom>
                  </pic:spPr>
                </pic:pic>
              </a:graphicData>
            </a:graphic>
          </wp:inline>
        </w:drawing>
      </w:r>
    </w:p>
    <w:p w14:paraId="331EFFD7" w14:textId="6B56BF46" w:rsidR="00957244" w:rsidRDefault="00957244" w:rsidP="00957244">
      <w:pPr>
        <w:spacing w:after="0" w:line="240" w:lineRule="auto"/>
        <w:jc w:val="center"/>
        <w:rPr>
          <w:rFonts w:ascii="Arial" w:hAnsi="Arial" w:cs="Arial"/>
        </w:rPr>
      </w:pPr>
    </w:p>
    <w:p w14:paraId="79F4DB75" w14:textId="2BC142F2" w:rsidR="00957244" w:rsidRDefault="00714F95" w:rsidP="00957244">
      <w:pPr>
        <w:spacing w:after="0" w:line="240" w:lineRule="auto"/>
        <w:jc w:val="center"/>
        <w:rPr>
          <w:rFonts w:ascii="Arial" w:hAnsi="Arial" w:cs="Arial"/>
        </w:rPr>
      </w:pPr>
      <w:r>
        <w:rPr>
          <w:noProof/>
        </w:rPr>
        <w:drawing>
          <wp:inline distT="0" distB="0" distL="0" distR="0" wp14:anchorId="3032082B" wp14:editId="7F939E4A">
            <wp:extent cx="3922046" cy="1712511"/>
            <wp:effectExtent l="0" t="0" r="2540" b="254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931796" cy="1716768"/>
                    </a:xfrm>
                    <a:prstGeom prst="rect">
                      <a:avLst/>
                    </a:prstGeom>
                  </pic:spPr>
                </pic:pic>
              </a:graphicData>
            </a:graphic>
          </wp:inline>
        </w:drawing>
      </w:r>
    </w:p>
    <w:p w14:paraId="1ABBAFB9" w14:textId="77777777" w:rsidR="0055064F" w:rsidRDefault="0055064F" w:rsidP="00C31D64">
      <w:pPr>
        <w:spacing w:after="0" w:line="240" w:lineRule="auto"/>
        <w:jc w:val="both"/>
        <w:rPr>
          <w:rFonts w:ascii="Arial" w:hAnsi="Arial" w:cs="Arial"/>
        </w:rPr>
      </w:pPr>
    </w:p>
    <w:p w14:paraId="6F2BEA4E" w14:textId="01B1BD66" w:rsidR="00C31D64" w:rsidRDefault="006A6CEB" w:rsidP="00C31D64">
      <w:pPr>
        <w:spacing w:after="0" w:line="240" w:lineRule="auto"/>
        <w:jc w:val="both"/>
        <w:rPr>
          <w:rFonts w:ascii="Arial" w:hAnsi="Arial" w:cs="Arial"/>
        </w:rPr>
      </w:pPr>
      <w:r>
        <w:rPr>
          <w:rFonts w:ascii="Arial" w:hAnsi="Arial" w:cs="Arial"/>
        </w:rPr>
        <w:t>Sumado a lo anterior, de manera informativa se indica que e</w:t>
      </w:r>
      <w:r w:rsidR="00C31D64">
        <w:rPr>
          <w:rFonts w:ascii="Arial" w:hAnsi="Arial" w:cs="Arial"/>
        </w:rPr>
        <w:t>n el siguiente enlace se puede consultar los informes de las condiciones financieras y de solvencia publicado</w:t>
      </w:r>
      <w:r w:rsidR="002130F6">
        <w:rPr>
          <w:rFonts w:ascii="Arial" w:hAnsi="Arial" w:cs="Arial"/>
        </w:rPr>
        <w:t>s</w:t>
      </w:r>
      <w:r w:rsidR="00C31D64">
        <w:rPr>
          <w:rFonts w:ascii="Arial" w:hAnsi="Arial" w:cs="Arial"/>
        </w:rPr>
        <w:t xml:space="preserve"> por la Superintendencia Nacional de Salud</w:t>
      </w:r>
      <w:r>
        <w:rPr>
          <w:rFonts w:ascii="Arial" w:hAnsi="Arial" w:cs="Arial"/>
        </w:rPr>
        <w:t xml:space="preserve"> de manera </w:t>
      </w:r>
      <w:r w:rsidR="0055064F">
        <w:rPr>
          <w:rFonts w:ascii="Arial" w:hAnsi="Arial" w:cs="Arial"/>
        </w:rPr>
        <w:t>periódica</w:t>
      </w:r>
      <w:r w:rsidR="00C31D64">
        <w:rPr>
          <w:rFonts w:ascii="Arial" w:hAnsi="Arial" w:cs="Arial"/>
        </w:rPr>
        <w:t>:</w:t>
      </w:r>
    </w:p>
    <w:p w14:paraId="02C89B2A" w14:textId="77777777" w:rsidR="00C31D64" w:rsidRDefault="00C31D64" w:rsidP="00C31D64">
      <w:pPr>
        <w:spacing w:after="0" w:line="240" w:lineRule="auto"/>
        <w:jc w:val="both"/>
        <w:rPr>
          <w:rFonts w:ascii="Arial" w:hAnsi="Arial" w:cs="Arial"/>
        </w:rPr>
      </w:pPr>
    </w:p>
    <w:p w14:paraId="64F5523A" w14:textId="77777777" w:rsidR="00C31D64" w:rsidRDefault="002D6F9B" w:rsidP="00C31D64">
      <w:pPr>
        <w:spacing w:after="0" w:line="240" w:lineRule="auto"/>
        <w:jc w:val="both"/>
        <w:rPr>
          <w:rFonts w:ascii="Arial" w:hAnsi="Arial" w:cs="Arial"/>
        </w:rPr>
      </w:pPr>
      <w:hyperlink r:id="rId20" w:history="1">
        <w:r w:rsidR="00C31D64" w:rsidRPr="00E60B9E">
          <w:rPr>
            <w:rStyle w:val="Hipervnculo"/>
            <w:rFonts w:ascii="Arial" w:hAnsi="Arial" w:cs="Arial"/>
          </w:rPr>
          <w:t>https://www.supersalud.gov.co/es-co/Paginas/Delegada%20Supervision%20de%20Riesgos/informacion-financiera-EPS-EMP-SAP-regimenes-de-excepcion-y-especiales.aspx</w:t>
        </w:r>
      </w:hyperlink>
    </w:p>
    <w:p w14:paraId="32606F36" w14:textId="77777777" w:rsidR="00C31D64" w:rsidRDefault="00C31D64" w:rsidP="00C31D64">
      <w:pPr>
        <w:spacing w:after="0" w:line="240" w:lineRule="auto"/>
        <w:jc w:val="both"/>
        <w:rPr>
          <w:rFonts w:ascii="Arial" w:hAnsi="Arial" w:cs="Arial"/>
        </w:rPr>
      </w:pPr>
    </w:p>
    <w:p w14:paraId="389749ED" w14:textId="1F42C89A" w:rsidR="00C31D64" w:rsidRPr="00F91412" w:rsidRDefault="00C31D64" w:rsidP="00C31D64">
      <w:pPr>
        <w:spacing w:after="0" w:line="240" w:lineRule="auto"/>
        <w:jc w:val="both"/>
        <w:rPr>
          <w:rFonts w:ascii="Arial" w:hAnsi="Arial" w:cs="Arial"/>
        </w:rPr>
      </w:pPr>
      <w:r>
        <w:rPr>
          <w:rFonts w:ascii="Arial" w:hAnsi="Arial" w:cs="Arial"/>
        </w:rPr>
        <w:t xml:space="preserve">Es </w:t>
      </w:r>
      <w:r w:rsidR="00F95753">
        <w:rPr>
          <w:rFonts w:ascii="Arial" w:hAnsi="Arial" w:cs="Arial"/>
        </w:rPr>
        <w:t xml:space="preserve">necesario </w:t>
      </w:r>
      <w:r>
        <w:rPr>
          <w:rFonts w:ascii="Arial" w:hAnsi="Arial" w:cs="Arial"/>
        </w:rPr>
        <w:t>precisar que el incumplimiento de las condiciones financieras y de solvencia para las Entidades Promotoras de Salud hacen parte de la batería de indicadores e insumos para la toma de decisiones sobre los sujetos vigilados que puede optar la Superintendencia Nacional de Salud frente a sus vigilados, es decir</w:t>
      </w:r>
      <w:r w:rsidR="00C47EFE">
        <w:rPr>
          <w:rFonts w:ascii="Arial" w:hAnsi="Arial" w:cs="Arial"/>
        </w:rPr>
        <w:t>,</w:t>
      </w:r>
      <w:r>
        <w:rPr>
          <w:rFonts w:ascii="Arial" w:hAnsi="Arial" w:cs="Arial"/>
        </w:rPr>
        <w:t xml:space="preserve"> que no son las únicas variables por las cuales se pueden tomar medidas de control.</w:t>
      </w:r>
    </w:p>
    <w:p w14:paraId="172A7045" w14:textId="18230A96" w:rsidR="00C31D64" w:rsidRDefault="00C31D64" w:rsidP="001B0240">
      <w:pPr>
        <w:pStyle w:val="xxmsonormal"/>
        <w:shd w:val="clear" w:color="auto" w:fill="FFFFFF"/>
        <w:spacing w:before="0" w:beforeAutospacing="0" w:after="0" w:afterAutospacing="0"/>
        <w:jc w:val="both"/>
        <w:rPr>
          <w:rFonts w:ascii="Arial" w:hAnsi="Arial" w:cs="Arial"/>
          <w:color w:val="201F1E"/>
          <w:sz w:val="22"/>
          <w:szCs w:val="22"/>
        </w:rPr>
      </w:pPr>
    </w:p>
    <w:p w14:paraId="1359EBFF" w14:textId="7BBF3E65" w:rsidR="0015276F" w:rsidRDefault="0015276F" w:rsidP="001B0240">
      <w:pPr>
        <w:pStyle w:val="xxmsonormal"/>
        <w:shd w:val="clear" w:color="auto" w:fill="FFFFFF"/>
        <w:spacing w:before="0" w:beforeAutospacing="0" w:after="0" w:afterAutospacing="0"/>
        <w:jc w:val="both"/>
        <w:rPr>
          <w:rFonts w:ascii="Arial" w:hAnsi="Arial" w:cs="Arial"/>
          <w:color w:val="201F1E"/>
          <w:sz w:val="22"/>
          <w:szCs w:val="22"/>
        </w:rPr>
      </w:pPr>
    </w:p>
    <w:p w14:paraId="7FDDEB54" w14:textId="77777777" w:rsidR="000711AA" w:rsidRPr="001B0240" w:rsidRDefault="000711AA" w:rsidP="001B0240">
      <w:pPr>
        <w:jc w:val="both"/>
        <w:rPr>
          <w:rFonts w:ascii="Arial" w:hAnsi="Arial" w:cs="Arial"/>
        </w:rPr>
      </w:pPr>
    </w:p>
    <w:sectPr w:rsidR="000711AA" w:rsidRPr="001B02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D7817" w14:textId="77777777" w:rsidR="002D6F9B" w:rsidRDefault="002D6F9B" w:rsidP="00F913D1">
      <w:pPr>
        <w:spacing w:after="0" w:line="240" w:lineRule="auto"/>
      </w:pPr>
      <w:r>
        <w:separator/>
      </w:r>
    </w:p>
  </w:endnote>
  <w:endnote w:type="continuationSeparator" w:id="0">
    <w:p w14:paraId="4F66081B" w14:textId="77777777" w:rsidR="002D6F9B" w:rsidRDefault="002D6F9B" w:rsidP="00F913D1">
      <w:pPr>
        <w:spacing w:after="0" w:line="240" w:lineRule="auto"/>
      </w:pPr>
      <w:r>
        <w:continuationSeparator/>
      </w:r>
    </w:p>
  </w:endnote>
  <w:endnote w:type="continuationNotice" w:id="1">
    <w:p w14:paraId="18D4A23E" w14:textId="77777777" w:rsidR="002D6F9B" w:rsidRDefault="002D6F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9BD46" w14:textId="77777777" w:rsidR="002D6F9B" w:rsidRDefault="002D6F9B" w:rsidP="00F913D1">
      <w:pPr>
        <w:spacing w:after="0" w:line="240" w:lineRule="auto"/>
      </w:pPr>
      <w:r>
        <w:separator/>
      </w:r>
    </w:p>
  </w:footnote>
  <w:footnote w:type="continuationSeparator" w:id="0">
    <w:p w14:paraId="08CFA204" w14:textId="77777777" w:rsidR="002D6F9B" w:rsidRDefault="002D6F9B" w:rsidP="00F913D1">
      <w:pPr>
        <w:spacing w:after="0" w:line="240" w:lineRule="auto"/>
      </w:pPr>
      <w:r>
        <w:continuationSeparator/>
      </w:r>
    </w:p>
  </w:footnote>
  <w:footnote w:type="continuationNotice" w:id="1">
    <w:p w14:paraId="7E3D6F7D" w14:textId="77777777" w:rsidR="002D6F9B" w:rsidRDefault="002D6F9B">
      <w:pPr>
        <w:spacing w:after="0" w:line="240" w:lineRule="auto"/>
      </w:pPr>
    </w:p>
  </w:footnote>
  <w:footnote w:id="2">
    <w:p w14:paraId="2FBD5F48" w14:textId="1EA42FF0" w:rsidR="003B7799" w:rsidRDefault="003B7799">
      <w:pPr>
        <w:pStyle w:val="Textonotapie"/>
      </w:pPr>
      <w:r>
        <w:rPr>
          <w:rStyle w:val="Refdenotaalpie"/>
        </w:rPr>
        <w:footnoteRef/>
      </w:r>
      <w:r>
        <w:t xml:space="preserve"> </w:t>
      </w:r>
      <w:r>
        <w:rPr>
          <w:rFonts w:ascii="Arial" w:eastAsia="Calibri" w:hAnsi="Arial" w:cs="Arial"/>
          <w:lang w:val="es-ES"/>
        </w:rPr>
        <w:t>M</w:t>
      </w:r>
      <w:r w:rsidRPr="00482413">
        <w:rPr>
          <w:rFonts w:ascii="Arial" w:eastAsia="Calibri" w:hAnsi="Arial" w:cs="Arial"/>
          <w:lang w:val="es-ES"/>
        </w:rPr>
        <w:t>odificado por el artículo primero del Decreto 2117 de 2016 y, adicionado por el artículo 1 del Decreto 718 de 2017</w:t>
      </w:r>
      <w:r>
        <w:rPr>
          <w:rFonts w:ascii="Arial" w:eastAsia="Calibri" w:hAnsi="Arial" w:cs="Arial"/>
          <w:lang w:val="es-ES"/>
        </w:rPr>
        <w:t>.</w:t>
      </w:r>
    </w:p>
  </w:footnote>
  <w:footnote w:id="3">
    <w:p w14:paraId="230AE88B" w14:textId="5EE45E11" w:rsidR="003B7799" w:rsidRPr="00281A64" w:rsidRDefault="003B7799" w:rsidP="006E2526">
      <w:pPr>
        <w:pStyle w:val="Textonotapie"/>
        <w:jc w:val="both"/>
      </w:pPr>
      <w:r w:rsidRPr="004D61DE">
        <w:rPr>
          <w:rStyle w:val="Refdenotaalpie"/>
        </w:rPr>
        <w:footnoteRef/>
      </w:r>
      <w:r w:rsidRPr="004D61DE">
        <w:t xml:space="preserve"> </w:t>
      </w:r>
      <w:r w:rsidRPr="004D61DE">
        <w:rPr>
          <w:rFonts w:ascii="Arial" w:eastAsia="Calibri" w:hAnsi="Arial" w:cs="Arial"/>
          <w:lang w:val="es-ES"/>
        </w:rPr>
        <w:t>C</w:t>
      </w:r>
      <w:r w:rsidRPr="005D37EC">
        <w:rPr>
          <w:rFonts w:ascii="Arial" w:eastAsia="Calibri" w:hAnsi="Arial" w:cs="Arial"/>
          <w:lang w:val="es-ES"/>
        </w:rPr>
        <w:t>ompilatorio del Decreto 2702 de 2014, modificado por el Decreto 2117 de 2016</w:t>
      </w:r>
      <w:r w:rsidRPr="00281A64">
        <w:rPr>
          <w:rFonts w:ascii="Arial" w:eastAsia="Calibri" w:hAnsi="Arial" w:cs="Arial"/>
          <w:lang w:val="es-ES"/>
        </w:rPr>
        <w:t>.</w:t>
      </w:r>
    </w:p>
  </w:footnote>
  <w:footnote w:id="4">
    <w:p w14:paraId="010F7D70" w14:textId="5BE89034" w:rsidR="003B7799" w:rsidRPr="006E2526" w:rsidRDefault="003B7799" w:rsidP="006E2526">
      <w:pPr>
        <w:pStyle w:val="Textonotapie"/>
        <w:jc w:val="both"/>
        <w:rPr>
          <w:sz w:val="18"/>
          <w:szCs w:val="18"/>
        </w:rPr>
      </w:pPr>
      <w:r w:rsidRPr="004D61DE">
        <w:rPr>
          <w:rStyle w:val="Refdenotaalpie"/>
        </w:rPr>
        <w:footnoteRef/>
      </w:r>
      <w:r w:rsidRPr="004D61DE">
        <w:t xml:space="preserve"> </w:t>
      </w:r>
      <w:r w:rsidRPr="004D61DE">
        <w:rPr>
          <w:rFonts w:ascii="Arial" w:eastAsia="Calibri" w:hAnsi="Arial" w:cs="Arial"/>
          <w:lang w:val="es-ES"/>
        </w:rPr>
        <w:t>M</w:t>
      </w:r>
      <w:r w:rsidRPr="005D37EC">
        <w:rPr>
          <w:rFonts w:ascii="Arial" w:eastAsia="Calibri" w:hAnsi="Arial" w:cs="Arial"/>
          <w:lang w:val="es-ES"/>
        </w:rPr>
        <w:t>odificada por la Circular Externa 00006 de 2017 que sustituyó integralmente la Circular 008 de 2016, dispuso la modificación del Capítulo V del Títu</w:t>
      </w:r>
      <w:r w:rsidRPr="00281A64">
        <w:rPr>
          <w:rFonts w:ascii="Arial" w:eastAsia="Calibri" w:hAnsi="Arial" w:cs="Arial"/>
          <w:lang w:val="es-ES"/>
        </w:rPr>
        <w:t>lo II de la Circular Única 047 de 2007, adicionado por la Circular 065 de 2010.</w:t>
      </w:r>
    </w:p>
  </w:footnote>
  <w:footnote w:id="5">
    <w:p w14:paraId="40FE36E3" w14:textId="77777777" w:rsidR="003B7799" w:rsidRDefault="003B7799" w:rsidP="006E2526">
      <w:pPr>
        <w:pStyle w:val="Textonotapie"/>
        <w:jc w:val="both"/>
      </w:pPr>
      <w:r w:rsidRPr="006E2526">
        <w:rPr>
          <w:rStyle w:val="Refdenotaalpie"/>
          <w:rFonts w:ascii="Arial" w:hAnsi="Arial" w:cs="Arial"/>
        </w:rPr>
        <w:footnoteRef/>
      </w:r>
      <w:r w:rsidRPr="006E2526">
        <w:rPr>
          <w:rFonts w:ascii="Arial" w:hAnsi="Arial" w:cs="Arial"/>
        </w:rPr>
        <w:t xml:space="preserve"> </w:t>
      </w:r>
      <w:r w:rsidRPr="006E2526">
        <w:rPr>
          <w:rStyle w:val="normaltextrun"/>
          <w:rFonts w:ascii="Arial" w:hAnsi="Arial" w:cs="Arial"/>
          <w:color w:val="000000"/>
          <w:shd w:val="clear" w:color="auto" w:fill="FFFFFF"/>
        </w:rPr>
        <w:t>Restrepo </w:t>
      </w:r>
      <w:r w:rsidRPr="006E2526">
        <w:rPr>
          <w:rStyle w:val="spellingerror"/>
          <w:rFonts w:ascii="Arial" w:hAnsi="Arial" w:cs="Arial"/>
          <w:color w:val="000000"/>
          <w:shd w:val="clear" w:color="auto" w:fill="FFFFFF"/>
        </w:rPr>
        <w:t>et.al</w:t>
      </w:r>
      <w:r w:rsidRPr="006E2526">
        <w:rPr>
          <w:rStyle w:val="normaltextrun"/>
          <w:rFonts w:ascii="Arial" w:hAnsi="Arial" w:cs="Arial"/>
          <w:color w:val="000000"/>
          <w:shd w:val="clear" w:color="auto" w:fill="FFFFFF"/>
        </w:rPr>
        <w:t>. (2006) destacan los beneficios en situaciones con alta independencia de las entidades. De igual manera Bardey et al (2011) resaltan los beneficios bajo un sistema más competitivo en calidad.</w:t>
      </w:r>
      <w:r>
        <w:rPr>
          <w:rStyle w:val="eop"/>
          <w:rFonts w:ascii="Calibri" w:hAnsi="Calibri" w:cs="Calibri"/>
          <w:color w:val="000000"/>
          <w:shd w:val="clear" w:color="auto" w:fill="FFFFFF"/>
        </w:rPr>
        <w:t> </w:t>
      </w:r>
    </w:p>
  </w:footnote>
  <w:footnote w:id="6">
    <w:p w14:paraId="738C8A2A" w14:textId="77777777" w:rsidR="003B7799" w:rsidRPr="006E2526" w:rsidRDefault="003B7799" w:rsidP="006E2526">
      <w:pPr>
        <w:pStyle w:val="Textonotapie"/>
        <w:jc w:val="both"/>
        <w:rPr>
          <w:rFonts w:ascii="Arial" w:hAnsi="Arial" w:cs="Arial"/>
        </w:rPr>
      </w:pPr>
      <w:r w:rsidRPr="006E2526">
        <w:rPr>
          <w:rStyle w:val="Refdenotaalpie"/>
          <w:rFonts w:ascii="Arial" w:hAnsi="Arial" w:cs="Arial"/>
        </w:rPr>
        <w:footnoteRef/>
      </w:r>
      <w:r w:rsidRPr="006E2526">
        <w:rPr>
          <w:rFonts w:ascii="Arial" w:hAnsi="Arial" w:cs="Arial"/>
        </w:rPr>
        <w:t xml:space="preserve"> </w:t>
      </w:r>
      <w:r w:rsidRPr="006E2526">
        <w:rPr>
          <w:rStyle w:val="normaltextrun"/>
          <w:rFonts w:ascii="Arial" w:hAnsi="Arial" w:cs="Arial"/>
          <w:color w:val="000000"/>
          <w:bdr w:val="none" w:sz="0" w:space="0" w:color="auto" w:frame="1"/>
        </w:rPr>
        <w:t>Ministerio de Salud. Proyecto Evaluación y Reestructuración de los Procesos, Estrategias y Organismos Públicos y Privados encargados de adelantar las Funciones de Vigilancia y Control del Sistema de Salud. Informe Final. Página 474.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40257"/>
    <w:multiLevelType w:val="hybridMultilevel"/>
    <w:tmpl w:val="61BA918A"/>
    <w:lvl w:ilvl="0" w:tplc="103AF87C">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091703"/>
    <w:multiLevelType w:val="hybridMultilevel"/>
    <w:tmpl w:val="E208EA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C958F4"/>
    <w:multiLevelType w:val="hybridMultilevel"/>
    <w:tmpl w:val="95242812"/>
    <w:lvl w:ilvl="0" w:tplc="A5AA0C42">
      <w:start w:val="1"/>
      <w:numFmt w:val="decimal"/>
      <w:lvlText w:val="%1."/>
      <w:lvlJc w:val="left"/>
      <w:pPr>
        <w:ind w:left="1637" w:hanging="360"/>
      </w:pPr>
    </w:lvl>
    <w:lvl w:ilvl="1" w:tplc="240A0019">
      <w:start w:val="1"/>
      <w:numFmt w:val="lowerLetter"/>
      <w:lvlText w:val="%2."/>
      <w:lvlJc w:val="left"/>
      <w:pPr>
        <w:ind w:left="2357" w:hanging="360"/>
      </w:pPr>
    </w:lvl>
    <w:lvl w:ilvl="2" w:tplc="240A001B">
      <w:start w:val="1"/>
      <w:numFmt w:val="lowerRoman"/>
      <w:lvlText w:val="%3."/>
      <w:lvlJc w:val="right"/>
      <w:pPr>
        <w:ind w:left="3077" w:hanging="180"/>
      </w:pPr>
    </w:lvl>
    <w:lvl w:ilvl="3" w:tplc="240A000F">
      <w:start w:val="1"/>
      <w:numFmt w:val="decimal"/>
      <w:lvlText w:val="%4."/>
      <w:lvlJc w:val="left"/>
      <w:pPr>
        <w:ind w:left="3797" w:hanging="360"/>
      </w:pPr>
    </w:lvl>
    <w:lvl w:ilvl="4" w:tplc="240A0019">
      <w:start w:val="1"/>
      <w:numFmt w:val="lowerLetter"/>
      <w:lvlText w:val="%5."/>
      <w:lvlJc w:val="left"/>
      <w:pPr>
        <w:ind w:left="4517" w:hanging="360"/>
      </w:pPr>
    </w:lvl>
    <w:lvl w:ilvl="5" w:tplc="240A001B">
      <w:start w:val="1"/>
      <w:numFmt w:val="lowerRoman"/>
      <w:lvlText w:val="%6."/>
      <w:lvlJc w:val="right"/>
      <w:pPr>
        <w:ind w:left="5237" w:hanging="180"/>
      </w:pPr>
    </w:lvl>
    <w:lvl w:ilvl="6" w:tplc="240A000F">
      <w:start w:val="1"/>
      <w:numFmt w:val="decimal"/>
      <w:lvlText w:val="%7."/>
      <w:lvlJc w:val="left"/>
      <w:pPr>
        <w:ind w:left="5957" w:hanging="360"/>
      </w:pPr>
    </w:lvl>
    <w:lvl w:ilvl="7" w:tplc="240A0019">
      <w:start w:val="1"/>
      <w:numFmt w:val="lowerLetter"/>
      <w:lvlText w:val="%8."/>
      <w:lvlJc w:val="left"/>
      <w:pPr>
        <w:ind w:left="6677" w:hanging="360"/>
      </w:pPr>
    </w:lvl>
    <w:lvl w:ilvl="8" w:tplc="240A001B">
      <w:start w:val="1"/>
      <w:numFmt w:val="lowerRoman"/>
      <w:lvlText w:val="%9."/>
      <w:lvlJc w:val="right"/>
      <w:pPr>
        <w:ind w:left="7397" w:hanging="180"/>
      </w:pPr>
    </w:lvl>
  </w:abstractNum>
  <w:abstractNum w:abstractNumId="3" w15:restartNumberingAfterBreak="0">
    <w:nsid w:val="0ED947FC"/>
    <w:multiLevelType w:val="hybridMultilevel"/>
    <w:tmpl w:val="12CED60A"/>
    <w:lvl w:ilvl="0" w:tplc="DDCC7D24">
      <w:start w:val="9"/>
      <w:numFmt w:val="lowerLetter"/>
      <w:lvlText w:val="%1."/>
      <w:lvlJc w:val="left"/>
      <w:pPr>
        <w:ind w:left="1080" w:hanging="360"/>
      </w:pPr>
      <w:rPr>
        <w:rFonts w:hint="default"/>
        <w:b w:val="0"/>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CE122EF"/>
    <w:multiLevelType w:val="hybridMultilevel"/>
    <w:tmpl w:val="C686A4A4"/>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5" w15:restartNumberingAfterBreak="0">
    <w:nsid w:val="2767589D"/>
    <w:multiLevelType w:val="hybridMultilevel"/>
    <w:tmpl w:val="CA6620CA"/>
    <w:lvl w:ilvl="0" w:tplc="C250270E">
      <w:numFmt w:val="bullet"/>
      <w:lvlText w:val="•"/>
      <w:lvlJc w:val="left"/>
      <w:pPr>
        <w:ind w:left="705" w:hanging="705"/>
      </w:pPr>
      <w:rPr>
        <w:rFonts w:ascii="Arial" w:eastAsiaTheme="minorHAnsi" w:hAnsi="Aria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A873723"/>
    <w:multiLevelType w:val="hybridMultilevel"/>
    <w:tmpl w:val="C8643320"/>
    <w:lvl w:ilvl="0" w:tplc="4E5ED166">
      <w:numFmt w:val="bullet"/>
      <w:lvlText w:val="·"/>
      <w:lvlJc w:val="left"/>
      <w:pPr>
        <w:ind w:left="644" w:hanging="360"/>
      </w:pPr>
      <w:rPr>
        <w:rFonts w:ascii="Arial" w:eastAsiaTheme="minorHAnsi" w:hAnsi="Arial" w:cs="Aria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7" w15:restartNumberingAfterBreak="0">
    <w:nsid w:val="3D7917AF"/>
    <w:multiLevelType w:val="hybridMultilevel"/>
    <w:tmpl w:val="B6DE04D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47A256E6"/>
    <w:multiLevelType w:val="hybridMultilevel"/>
    <w:tmpl w:val="F5D0F2E0"/>
    <w:lvl w:ilvl="0" w:tplc="A1B6653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9CB32E9"/>
    <w:multiLevelType w:val="hybridMultilevel"/>
    <w:tmpl w:val="1172BA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03006C"/>
    <w:multiLevelType w:val="hybridMultilevel"/>
    <w:tmpl w:val="DD3E4CE6"/>
    <w:lvl w:ilvl="0" w:tplc="762E55CE">
      <w:start w:val="1"/>
      <w:numFmt w:val="lowerRoman"/>
      <w:lvlText w:val="%1."/>
      <w:lvlJc w:val="left"/>
      <w:pPr>
        <w:tabs>
          <w:tab w:val="num" w:pos="720"/>
        </w:tabs>
        <w:ind w:left="720" w:hanging="360"/>
      </w:pPr>
      <w:rPr>
        <w:rFonts w:ascii="Arial" w:eastAsia="Calibri" w:hAnsi="Arial" w:cs="Arial"/>
      </w:rPr>
    </w:lvl>
    <w:lvl w:ilvl="1" w:tplc="1AB6FF24" w:tentative="1">
      <w:start w:val="1"/>
      <w:numFmt w:val="bullet"/>
      <w:lvlText w:val="•"/>
      <w:lvlJc w:val="left"/>
      <w:pPr>
        <w:tabs>
          <w:tab w:val="num" w:pos="1440"/>
        </w:tabs>
        <w:ind w:left="1440" w:hanging="360"/>
      </w:pPr>
      <w:rPr>
        <w:rFonts w:ascii="Arial" w:hAnsi="Arial" w:hint="default"/>
      </w:rPr>
    </w:lvl>
    <w:lvl w:ilvl="2" w:tplc="B6D6DA46" w:tentative="1">
      <w:start w:val="1"/>
      <w:numFmt w:val="bullet"/>
      <w:lvlText w:val="•"/>
      <w:lvlJc w:val="left"/>
      <w:pPr>
        <w:tabs>
          <w:tab w:val="num" w:pos="2160"/>
        </w:tabs>
        <w:ind w:left="2160" w:hanging="360"/>
      </w:pPr>
      <w:rPr>
        <w:rFonts w:ascii="Arial" w:hAnsi="Arial" w:hint="default"/>
      </w:rPr>
    </w:lvl>
    <w:lvl w:ilvl="3" w:tplc="301E7F46" w:tentative="1">
      <w:start w:val="1"/>
      <w:numFmt w:val="bullet"/>
      <w:lvlText w:val="•"/>
      <w:lvlJc w:val="left"/>
      <w:pPr>
        <w:tabs>
          <w:tab w:val="num" w:pos="2880"/>
        </w:tabs>
        <w:ind w:left="2880" w:hanging="360"/>
      </w:pPr>
      <w:rPr>
        <w:rFonts w:ascii="Arial" w:hAnsi="Arial" w:hint="default"/>
      </w:rPr>
    </w:lvl>
    <w:lvl w:ilvl="4" w:tplc="1A06C568" w:tentative="1">
      <w:start w:val="1"/>
      <w:numFmt w:val="bullet"/>
      <w:lvlText w:val="•"/>
      <w:lvlJc w:val="left"/>
      <w:pPr>
        <w:tabs>
          <w:tab w:val="num" w:pos="3600"/>
        </w:tabs>
        <w:ind w:left="3600" w:hanging="360"/>
      </w:pPr>
      <w:rPr>
        <w:rFonts w:ascii="Arial" w:hAnsi="Arial" w:hint="default"/>
      </w:rPr>
    </w:lvl>
    <w:lvl w:ilvl="5" w:tplc="D97AC1AA" w:tentative="1">
      <w:start w:val="1"/>
      <w:numFmt w:val="bullet"/>
      <w:lvlText w:val="•"/>
      <w:lvlJc w:val="left"/>
      <w:pPr>
        <w:tabs>
          <w:tab w:val="num" w:pos="4320"/>
        </w:tabs>
        <w:ind w:left="4320" w:hanging="360"/>
      </w:pPr>
      <w:rPr>
        <w:rFonts w:ascii="Arial" w:hAnsi="Arial" w:hint="default"/>
      </w:rPr>
    </w:lvl>
    <w:lvl w:ilvl="6" w:tplc="0CE2A24A" w:tentative="1">
      <w:start w:val="1"/>
      <w:numFmt w:val="bullet"/>
      <w:lvlText w:val="•"/>
      <w:lvlJc w:val="left"/>
      <w:pPr>
        <w:tabs>
          <w:tab w:val="num" w:pos="5040"/>
        </w:tabs>
        <w:ind w:left="5040" w:hanging="360"/>
      </w:pPr>
      <w:rPr>
        <w:rFonts w:ascii="Arial" w:hAnsi="Arial" w:hint="default"/>
      </w:rPr>
    </w:lvl>
    <w:lvl w:ilvl="7" w:tplc="96908B4C" w:tentative="1">
      <w:start w:val="1"/>
      <w:numFmt w:val="bullet"/>
      <w:lvlText w:val="•"/>
      <w:lvlJc w:val="left"/>
      <w:pPr>
        <w:tabs>
          <w:tab w:val="num" w:pos="5760"/>
        </w:tabs>
        <w:ind w:left="5760" w:hanging="360"/>
      </w:pPr>
      <w:rPr>
        <w:rFonts w:ascii="Arial" w:hAnsi="Arial" w:hint="default"/>
      </w:rPr>
    </w:lvl>
    <w:lvl w:ilvl="8" w:tplc="4DE25D6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A15A2E"/>
    <w:multiLevelType w:val="hybridMultilevel"/>
    <w:tmpl w:val="E1AC2342"/>
    <w:lvl w:ilvl="0" w:tplc="110A11A8">
      <w:start w:val="2"/>
      <w:numFmt w:val="lowerRoman"/>
      <w:lvlText w:val="%1."/>
      <w:lvlJc w:val="left"/>
      <w:pPr>
        <w:ind w:left="1713" w:hanging="720"/>
      </w:pPr>
      <w:rPr>
        <w:rFonts w:hint="default"/>
        <w:b w:val="0"/>
        <w:bCs/>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561937F8"/>
    <w:multiLevelType w:val="hybridMultilevel"/>
    <w:tmpl w:val="A580AA8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99EC9C18">
      <w:start w:val="1"/>
      <w:numFmt w:val="lowerRoman"/>
      <w:lvlText w:val="%3."/>
      <w:lvlJc w:val="right"/>
      <w:pPr>
        <w:ind w:left="2160" w:hanging="180"/>
      </w:pPr>
      <w:rPr>
        <w:b w:val="0"/>
        <w:bCs w:val="0"/>
      </w:r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5ABA5F82"/>
    <w:multiLevelType w:val="hybridMultilevel"/>
    <w:tmpl w:val="7C52B51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5D82216C"/>
    <w:multiLevelType w:val="hybridMultilevel"/>
    <w:tmpl w:val="AC4675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69F359DD"/>
    <w:multiLevelType w:val="hybridMultilevel"/>
    <w:tmpl w:val="8DDE216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6D2A31F5"/>
    <w:multiLevelType w:val="hybridMultilevel"/>
    <w:tmpl w:val="643A6B2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7" w15:restartNumberingAfterBreak="0">
    <w:nsid w:val="7D8A5EE8"/>
    <w:multiLevelType w:val="hybridMultilevel"/>
    <w:tmpl w:val="6FE4F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9"/>
  </w:num>
  <w:num w:numId="5">
    <w:abstractNumId w:val="13"/>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0"/>
  </w:num>
  <w:num w:numId="11">
    <w:abstractNumId w:val="12"/>
  </w:num>
  <w:num w:numId="12">
    <w:abstractNumId w:val="3"/>
  </w:num>
  <w:num w:numId="13">
    <w:abstractNumId w:val="11"/>
  </w:num>
  <w:num w:numId="14">
    <w:abstractNumId w:val="1"/>
  </w:num>
  <w:num w:numId="15">
    <w:abstractNumId w:val="17"/>
  </w:num>
  <w:num w:numId="16">
    <w:abstractNumId w:val="2"/>
  </w:num>
  <w:num w:numId="17">
    <w:abstractNumId w:val="16"/>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240"/>
    <w:rsid w:val="00001FCA"/>
    <w:rsid w:val="00002FF1"/>
    <w:rsid w:val="00003291"/>
    <w:rsid w:val="00007591"/>
    <w:rsid w:val="00012C5E"/>
    <w:rsid w:val="000140C3"/>
    <w:rsid w:val="0001445D"/>
    <w:rsid w:val="00016393"/>
    <w:rsid w:val="00022222"/>
    <w:rsid w:val="00030168"/>
    <w:rsid w:val="00036F00"/>
    <w:rsid w:val="00041C10"/>
    <w:rsid w:val="000529A7"/>
    <w:rsid w:val="00056F9A"/>
    <w:rsid w:val="00065454"/>
    <w:rsid w:val="000669B1"/>
    <w:rsid w:val="000711AA"/>
    <w:rsid w:val="00077B9A"/>
    <w:rsid w:val="00080B84"/>
    <w:rsid w:val="00084367"/>
    <w:rsid w:val="00091ADE"/>
    <w:rsid w:val="000953D5"/>
    <w:rsid w:val="000A09A2"/>
    <w:rsid w:val="000A2DB0"/>
    <w:rsid w:val="000A318F"/>
    <w:rsid w:val="000A5373"/>
    <w:rsid w:val="000B4459"/>
    <w:rsid w:val="000C2AD8"/>
    <w:rsid w:val="000C3035"/>
    <w:rsid w:val="000C3CF2"/>
    <w:rsid w:val="000D5BE7"/>
    <w:rsid w:val="000E26BF"/>
    <w:rsid w:val="000E3C55"/>
    <w:rsid w:val="000E47F1"/>
    <w:rsid w:val="000F7FCF"/>
    <w:rsid w:val="00100211"/>
    <w:rsid w:val="00110ADB"/>
    <w:rsid w:val="0011256F"/>
    <w:rsid w:val="00115030"/>
    <w:rsid w:val="00115C89"/>
    <w:rsid w:val="00120A0F"/>
    <w:rsid w:val="00133ADF"/>
    <w:rsid w:val="00141203"/>
    <w:rsid w:val="00141B7B"/>
    <w:rsid w:val="0014446A"/>
    <w:rsid w:val="00150289"/>
    <w:rsid w:val="001507AB"/>
    <w:rsid w:val="00151DCF"/>
    <w:rsid w:val="0015276F"/>
    <w:rsid w:val="00155F9D"/>
    <w:rsid w:val="0016098E"/>
    <w:rsid w:val="001609CF"/>
    <w:rsid w:val="00161CB2"/>
    <w:rsid w:val="00161CD9"/>
    <w:rsid w:val="001652A2"/>
    <w:rsid w:val="00172AE6"/>
    <w:rsid w:val="00180234"/>
    <w:rsid w:val="001852D1"/>
    <w:rsid w:val="001A33B0"/>
    <w:rsid w:val="001A3FB7"/>
    <w:rsid w:val="001A5BAC"/>
    <w:rsid w:val="001B0240"/>
    <w:rsid w:val="001B31B8"/>
    <w:rsid w:val="001B7DFD"/>
    <w:rsid w:val="001C4861"/>
    <w:rsid w:val="001C634F"/>
    <w:rsid w:val="001D0C8A"/>
    <w:rsid w:val="001D1177"/>
    <w:rsid w:val="001E2D44"/>
    <w:rsid w:val="001F0BD0"/>
    <w:rsid w:val="001F4C39"/>
    <w:rsid w:val="001F60D5"/>
    <w:rsid w:val="0020222C"/>
    <w:rsid w:val="00202748"/>
    <w:rsid w:val="002130F6"/>
    <w:rsid w:val="00213564"/>
    <w:rsid w:val="00220670"/>
    <w:rsid w:val="00230B35"/>
    <w:rsid w:val="00240AA2"/>
    <w:rsid w:val="00251FF9"/>
    <w:rsid w:val="00261CDC"/>
    <w:rsid w:val="00263C0B"/>
    <w:rsid w:val="002675CC"/>
    <w:rsid w:val="00271895"/>
    <w:rsid w:val="00281A64"/>
    <w:rsid w:val="00283939"/>
    <w:rsid w:val="00284FBF"/>
    <w:rsid w:val="00290781"/>
    <w:rsid w:val="002A134C"/>
    <w:rsid w:val="002A483A"/>
    <w:rsid w:val="002A4C52"/>
    <w:rsid w:val="002A5C92"/>
    <w:rsid w:val="002A7A2C"/>
    <w:rsid w:val="002D5BA3"/>
    <w:rsid w:val="002D695F"/>
    <w:rsid w:val="002D6F9B"/>
    <w:rsid w:val="002E1701"/>
    <w:rsid w:val="002E42BC"/>
    <w:rsid w:val="002E5D96"/>
    <w:rsid w:val="002E73F6"/>
    <w:rsid w:val="002F32A5"/>
    <w:rsid w:val="002F34CC"/>
    <w:rsid w:val="00307446"/>
    <w:rsid w:val="003078BC"/>
    <w:rsid w:val="00307EE7"/>
    <w:rsid w:val="003563FB"/>
    <w:rsid w:val="00366B5A"/>
    <w:rsid w:val="00367652"/>
    <w:rsid w:val="0037029D"/>
    <w:rsid w:val="0037253D"/>
    <w:rsid w:val="003808DB"/>
    <w:rsid w:val="00394AFE"/>
    <w:rsid w:val="003A3665"/>
    <w:rsid w:val="003A3CD5"/>
    <w:rsid w:val="003A5531"/>
    <w:rsid w:val="003B0486"/>
    <w:rsid w:val="003B06FA"/>
    <w:rsid w:val="003B0B69"/>
    <w:rsid w:val="003B22FC"/>
    <w:rsid w:val="003B56CC"/>
    <w:rsid w:val="003B7799"/>
    <w:rsid w:val="003C2018"/>
    <w:rsid w:val="003C7C8C"/>
    <w:rsid w:val="003D2EA5"/>
    <w:rsid w:val="003D53F5"/>
    <w:rsid w:val="003F4915"/>
    <w:rsid w:val="003F776A"/>
    <w:rsid w:val="0041310F"/>
    <w:rsid w:val="004229AE"/>
    <w:rsid w:val="00423059"/>
    <w:rsid w:val="0042685D"/>
    <w:rsid w:val="004314B3"/>
    <w:rsid w:val="00440BD7"/>
    <w:rsid w:val="00443D53"/>
    <w:rsid w:val="004565B7"/>
    <w:rsid w:val="00462985"/>
    <w:rsid w:val="00463275"/>
    <w:rsid w:val="00482413"/>
    <w:rsid w:val="00486146"/>
    <w:rsid w:val="0049786F"/>
    <w:rsid w:val="004A061B"/>
    <w:rsid w:val="004A330F"/>
    <w:rsid w:val="004A5776"/>
    <w:rsid w:val="004B2D13"/>
    <w:rsid w:val="004B310C"/>
    <w:rsid w:val="004B4C44"/>
    <w:rsid w:val="004C2B23"/>
    <w:rsid w:val="004C4774"/>
    <w:rsid w:val="004C77E0"/>
    <w:rsid w:val="004D1177"/>
    <w:rsid w:val="004D1AE1"/>
    <w:rsid w:val="004D61DE"/>
    <w:rsid w:val="004F1135"/>
    <w:rsid w:val="005027E6"/>
    <w:rsid w:val="00504B3D"/>
    <w:rsid w:val="0050570F"/>
    <w:rsid w:val="00512E3C"/>
    <w:rsid w:val="00526C85"/>
    <w:rsid w:val="0053313D"/>
    <w:rsid w:val="00533BB3"/>
    <w:rsid w:val="00535598"/>
    <w:rsid w:val="00541DB9"/>
    <w:rsid w:val="00547E1F"/>
    <w:rsid w:val="0055064F"/>
    <w:rsid w:val="00555845"/>
    <w:rsid w:val="005601AC"/>
    <w:rsid w:val="0057160F"/>
    <w:rsid w:val="005816DE"/>
    <w:rsid w:val="00581DCD"/>
    <w:rsid w:val="0058425C"/>
    <w:rsid w:val="00585297"/>
    <w:rsid w:val="00585CB6"/>
    <w:rsid w:val="00590764"/>
    <w:rsid w:val="005A1BE3"/>
    <w:rsid w:val="005B21C0"/>
    <w:rsid w:val="005D156C"/>
    <w:rsid w:val="005D37EC"/>
    <w:rsid w:val="005D5179"/>
    <w:rsid w:val="005E00D5"/>
    <w:rsid w:val="005E03BB"/>
    <w:rsid w:val="005E36C9"/>
    <w:rsid w:val="005E6AFB"/>
    <w:rsid w:val="005F32BC"/>
    <w:rsid w:val="005F4257"/>
    <w:rsid w:val="00602842"/>
    <w:rsid w:val="00611E8A"/>
    <w:rsid w:val="00612C18"/>
    <w:rsid w:val="006225F2"/>
    <w:rsid w:val="00631496"/>
    <w:rsid w:val="00657241"/>
    <w:rsid w:val="006678EC"/>
    <w:rsid w:val="00667BB9"/>
    <w:rsid w:val="00670287"/>
    <w:rsid w:val="006728BE"/>
    <w:rsid w:val="00684060"/>
    <w:rsid w:val="006900DB"/>
    <w:rsid w:val="006A1D1E"/>
    <w:rsid w:val="006A3AAB"/>
    <w:rsid w:val="006A3D1B"/>
    <w:rsid w:val="006A6CEB"/>
    <w:rsid w:val="006B0C5C"/>
    <w:rsid w:val="006B2D3F"/>
    <w:rsid w:val="006C5A87"/>
    <w:rsid w:val="006D0B33"/>
    <w:rsid w:val="006D52DB"/>
    <w:rsid w:val="006E2526"/>
    <w:rsid w:val="006E6584"/>
    <w:rsid w:val="007005F6"/>
    <w:rsid w:val="007027D9"/>
    <w:rsid w:val="00713710"/>
    <w:rsid w:val="00714ED2"/>
    <w:rsid w:val="00714F95"/>
    <w:rsid w:val="00720F9C"/>
    <w:rsid w:val="0072203F"/>
    <w:rsid w:val="00722509"/>
    <w:rsid w:val="00732575"/>
    <w:rsid w:val="00746B49"/>
    <w:rsid w:val="00761951"/>
    <w:rsid w:val="00761A67"/>
    <w:rsid w:val="00765A75"/>
    <w:rsid w:val="0077145C"/>
    <w:rsid w:val="00772810"/>
    <w:rsid w:val="00776EA5"/>
    <w:rsid w:val="007915AB"/>
    <w:rsid w:val="00794699"/>
    <w:rsid w:val="00795299"/>
    <w:rsid w:val="00795EF0"/>
    <w:rsid w:val="00797DA4"/>
    <w:rsid w:val="007A4073"/>
    <w:rsid w:val="007B0E8F"/>
    <w:rsid w:val="007C07D9"/>
    <w:rsid w:val="007C71E1"/>
    <w:rsid w:val="007C7253"/>
    <w:rsid w:val="007D0F88"/>
    <w:rsid w:val="007D69C9"/>
    <w:rsid w:val="007E2D39"/>
    <w:rsid w:val="007E3DAD"/>
    <w:rsid w:val="007F03E7"/>
    <w:rsid w:val="007F3456"/>
    <w:rsid w:val="00800657"/>
    <w:rsid w:val="00802472"/>
    <w:rsid w:val="00810F3B"/>
    <w:rsid w:val="008271D2"/>
    <w:rsid w:val="008273E5"/>
    <w:rsid w:val="008374F9"/>
    <w:rsid w:val="0083777D"/>
    <w:rsid w:val="0084538E"/>
    <w:rsid w:val="00847E25"/>
    <w:rsid w:val="00853FD4"/>
    <w:rsid w:val="00860583"/>
    <w:rsid w:val="0086368E"/>
    <w:rsid w:val="00864ECF"/>
    <w:rsid w:val="0089152F"/>
    <w:rsid w:val="00892738"/>
    <w:rsid w:val="008A1B46"/>
    <w:rsid w:val="008B1DB7"/>
    <w:rsid w:val="008B525C"/>
    <w:rsid w:val="008B6ACE"/>
    <w:rsid w:val="008B6D33"/>
    <w:rsid w:val="008C3177"/>
    <w:rsid w:val="008C48D8"/>
    <w:rsid w:val="008C4CCA"/>
    <w:rsid w:val="008C4F95"/>
    <w:rsid w:val="008C7FFB"/>
    <w:rsid w:val="008D5F81"/>
    <w:rsid w:val="008E15CD"/>
    <w:rsid w:val="008E5BB0"/>
    <w:rsid w:val="008E5C24"/>
    <w:rsid w:val="008F4D93"/>
    <w:rsid w:val="008F546D"/>
    <w:rsid w:val="00901C39"/>
    <w:rsid w:val="00901D2F"/>
    <w:rsid w:val="00921B96"/>
    <w:rsid w:val="00921BFC"/>
    <w:rsid w:val="009315ED"/>
    <w:rsid w:val="00931EB3"/>
    <w:rsid w:val="0093567C"/>
    <w:rsid w:val="0093703D"/>
    <w:rsid w:val="00943D85"/>
    <w:rsid w:val="009458F5"/>
    <w:rsid w:val="009512D9"/>
    <w:rsid w:val="009566D6"/>
    <w:rsid w:val="00957244"/>
    <w:rsid w:val="00963897"/>
    <w:rsid w:val="009642C7"/>
    <w:rsid w:val="00971C41"/>
    <w:rsid w:val="00971E28"/>
    <w:rsid w:val="00972B60"/>
    <w:rsid w:val="00975D35"/>
    <w:rsid w:val="00981DA7"/>
    <w:rsid w:val="009823DD"/>
    <w:rsid w:val="00993781"/>
    <w:rsid w:val="00995862"/>
    <w:rsid w:val="009A05A2"/>
    <w:rsid w:val="009A3FF2"/>
    <w:rsid w:val="009B20AA"/>
    <w:rsid w:val="009B481B"/>
    <w:rsid w:val="009B668F"/>
    <w:rsid w:val="009C07CF"/>
    <w:rsid w:val="009C192A"/>
    <w:rsid w:val="009C548E"/>
    <w:rsid w:val="009C6B4A"/>
    <w:rsid w:val="009D55B4"/>
    <w:rsid w:val="009E258F"/>
    <w:rsid w:val="009F2EAC"/>
    <w:rsid w:val="00A07304"/>
    <w:rsid w:val="00A11672"/>
    <w:rsid w:val="00A12767"/>
    <w:rsid w:val="00A1440E"/>
    <w:rsid w:val="00A16F2B"/>
    <w:rsid w:val="00A249B6"/>
    <w:rsid w:val="00A318C3"/>
    <w:rsid w:val="00A31F8E"/>
    <w:rsid w:val="00A33FF6"/>
    <w:rsid w:val="00A53FAD"/>
    <w:rsid w:val="00A54675"/>
    <w:rsid w:val="00A71478"/>
    <w:rsid w:val="00A73E0A"/>
    <w:rsid w:val="00A80669"/>
    <w:rsid w:val="00A82B70"/>
    <w:rsid w:val="00A90B64"/>
    <w:rsid w:val="00A91888"/>
    <w:rsid w:val="00A9201C"/>
    <w:rsid w:val="00AA08F5"/>
    <w:rsid w:val="00AA3618"/>
    <w:rsid w:val="00AA571A"/>
    <w:rsid w:val="00AA7454"/>
    <w:rsid w:val="00AA76B3"/>
    <w:rsid w:val="00AB1325"/>
    <w:rsid w:val="00AD3F73"/>
    <w:rsid w:val="00AD403C"/>
    <w:rsid w:val="00AD556E"/>
    <w:rsid w:val="00AD6182"/>
    <w:rsid w:val="00AD7491"/>
    <w:rsid w:val="00AE339D"/>
    <w:rsid w:val="00AF1621"/>
    <w:rsid w:val="00AF4AAB"/>
    <w:rsid w:val="00AF4E7F"/>
    <w:rsid w:val="00B02BF1"/>
    <w:rsid w:val="00B0606F"/>
    <w:rsid w:val="00B12BD7"/>
    <w:rsid w:val="00B12EF4"/>
    <w:rsid w:val="00B17FC3"/>
    <w:rsid w:val="00B21C91"/>
    <w:rsid w:val="00B31C4D"/>
    <w:rsid w:val="00B458F6"/>
    <w:rsid w:val="00B63111"/>
    <w:rsid w:val="00B66B81"/>
    <w:rsid w:val="00B66C4C"/>
    <w:rsid w:val="00B71D60"/>
    <w:rsid w:val="00B92C50"/>
    <w:rsid w:val="00B96A52"/>
    <w:rsid w:val="00BA3E9B"/>
    <w:rsid w:val="00BB5BA3"/>
    <w:rsid w:val="00BB6EF9"/>
    <w:rsid w:val="00BC21B7"/>
    <w:rsid w:val="00BC2205"/>
    <w:rsid w:val="00BC73CE"/>
    <w:rsid w:val="00BD5977"/>
    <w:rsid w:val="00BE2BEE"/>
    <w:rsid w:val="00BE2BF5"/>
    <w:rsid w:val="00BE352F"/>
    <w:rsid w:val="00BF1D42"/>
    <w:rsid w:val="00BF61E5"/>
    <w:rsid w:val="00C02177"/>
    <w:rsid w:val="00C06788"/>
    <w:rsid w:val="00C07D80"/>
    <w:rsid w:val="00C31D64"/>
    <w:rsid w:val="00C35C5F"/>
    <w:rsid w:val="00C35E1A"/>
    <w:rsid w:val="00C3793C"/>
    <w:rsid w:val="00C453C9"/>
    <w:rsid w:val="00C45519"/>
    <w:rsid w:val="00C47EFE"/>
    <w:rsid w:val="00C56B16"/>
    <w:rsid w:val="00C60B30"/>
    <w:rsid w:val="00C6370E"/>
    <w:rsid w:val="00C72033"/>
    <w:rsid w:val="00C80D25"/>
    <w:rsid w:val="00C86FC5"/>
    <w:rsid w:val="00CA00ED"/>
    <w:rsid w:val="00CA0FEA"/>
    <w:rsid w:val="00CA32BF"/>
    <w:rsid w:val="00CA76AA"/>
    <w:rsid w:val="00CB088A"/>
    <w:rsid w:val="00CB37FE"/>
    <w:rsid w:val="00CC25A1"/>
    <w:rsid w:val="00CC2DBA"/>
    <w:rsid w:val="00CC3564"/>
    <w:rsid w:val="00CC37D6"/>
    <w:rsid w:val="00CC4B55"/>
    <w:rsid w:val="00CD1E5A"/>
    <w:rsid w:val="00CD2955"/>
    <w:rsid w:val="00CE3DE2"/>
    <w:rsid w:val="00CF3179"/>
    <w:rsid w:val="00CF7E14"/>
    <w:rsid w:val="00D235DF"/>
    <w:rsid w:val="00D246C0"/>
    <w:rsid w:val="00D263FE"/>
    <w:rsid w:val="00D3042F"/>
    <w:rsid w:val="00D31FC8"/>
    <w:rsid w:val="00D341AE"/>
    <w:rsid w:val="00D34D6C"/>
    <w:rsid w:val="00D36C4B"/>
    <w:rsid w:val="00D40071"/>
    <w:rsid w:val="00D42D71"/>
    <w:rsid w:val="00D50825"/>
    <w:rsid w:val="00D524DE"/>
    <w:rsid w:val="00D57A1D"/>
    <w:rsid w:val="00D61004"/>
    <w:rsid w:val="00D7007F"/>
    <w:rsid w:val="00D74ACF"/>
    <w:rsid w:val="00D8730A"/>
    <w:rsid w:val="00D9698E"/>
    <w:rsid w:val="00DA13E2"/>
    <w:rsid w:val="00DA4B9F"/>
    <w:rsid w:val="00DB0869"/>
    <w:rsid w:val="00DC339A"/>
    <w:rsid w:val="00DD07BB"/>
    <w:rsid w:val="00DD6727"/>
    <w:rsid w:val="00DE75B1"/>
    <w:rsid w:val="00E016FE"/>
    <w:rsid w:val="00E04F44"/>
    <w:rsid w:val="00E10486"/>
    <w:rsid w:val="00E1181F"/>
    <w:rsid w:val="00E17750"/>
    <w:rsid w:val="00E22C7E"/>
    <w:rsid w:val="00E30FDC"/>
    <w:rsid w:val="00E4270E"/>
    <w:rsid w:val="00E4738F"/>
    <w:rsid w:val="00E77A75"/>
    <w:rsid w:val="00E81A98"/>
    <w:rsid w:val="00E846DB"/>
    <w:rsid w:val="00EA0CAE"/>
    <w:rsid w:val="00EA1D71"/>
    <w:rsid w:val="00EA54C0"/>
    <w:rsid w:val="00EB028B"/>
    <w:rsid w:val="00EB0397"/>
    <w:rsid w:val="00EB0516"/>
    <w:rsid w:val="00EC0666"/>
    <w:rsid w:val="00EC43EA"/>
    <w:rsid w:val="00EC4F30"/>
    <w:rsid w:val="00EC64BE"/>
    <w:rsid w:val="00EC7544"/>
    <w:rsid w:val="00EE307A"/>
    <w:rsid w:val="00EE6AC6"/>
    <w:rsid w:val="00EF01B9"/>
    <w:rsid w:val="00EF5141"/>
    <w:rsid w:val="00F063C4"/>
    <w:rsid w:val="00F06986"/>
    <w:rsid w:val="00F1019C"/>
    <w:rsid w:val="00F1713C"/>
    <w:rsid w:val="00F210CD"/>
    <w:rsid w:val="00F52DC2"/>
    <w:rsid w:val="00F626C7"/>
    <w:rsid w:val="00F67601"/>
    <w:rsid w:val="00F70837"/>
    <w:rsid w:val="00F739A2"/>
    <w:rsid w:val="00F75836"/>
    <w:rsid w:val="00F83D90"/>
    <w:rsid w:val="00F913D1"/>
    <w:rsid w:val="00F940A4"/>
    <w:rsid w:val="00F947E9"/>
    <w:rsid w:val="00F95753"/>
    <w:rsid w:val="00F977E0"/>
    <w:rsid w:val="00FA5DB8"/>
    <w:rsid w:val="00FB6B28"/>
    <w:rsid w:val="00FC78D9"/>
    <w:rsid w:val="00FD2ED1"/>
    <w:rsid w:val="00FD6AF4"/>
    <w:rsid w:val="00FD723E"/>
    <w:rsid w:val="00FF0F45"/>
    <w:rsid w:val="00FF1FDE"/>
    <w:rsid w:val="00FF2257"/>
    <w:rsid w:val="00FF37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EB48"/>
  <w15:chartTrackingRefBased/>
  <w15:docId w15:val="{CB9F8DFB-891C-4D69-B60E-82BFD0806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2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xmsonormal">
    <w:name w:val="x_xmsonormal"/>
    <w:basedOn w:val="Normal"/>
    <w:rsid w:val="001B024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normal">
    <w:name w:val="x_msonormal"/>
    <w:basedOn w:val="Normal"/>
    <w:rsid w:val="005D156C"/>
    <w:pPr>
      <w:spacing w:after="0" w:line="240" w:lineRule="auto"/>
    </w:pPr>
    <w:rPr>
      <w:rFonts w:ascii="Calibri" w:hAnsi="Calibri" w:cs="Calibri"/>
      <w:lang w:eastAsia="es-CO"/>
    </w:rPr>
  </w:style>
  <w:style w:type="paragraph" w:styleId="Prrafodelista">
    <w:name w:val="List Paragraph"/>
    <w:aliases w:val="EY EPM - Lista,lista,titulo 3,List Paragraph,Ha,List Paragraph1,lp1,Bullet List,FooterText,Use Case List Paragraph,numbered,Paragraphe de liste1,Bulletr List Paragraph,Foot,列出段落,列出段落1,List Paragraph2,List Paragraph21,Parágrafo da Lista1"/>
    <w:basedOn w:val="Normal"/>
    <w:link w:val="PrrafodelistaCar"/>
    <w:uiPriority w:val="34"/>
    <w:qFormat/>
    <w:rsid w:val="005D156C"/>
    <w:pPr>
      <w:ind w:left="720"/>
      <w:contextualSpacing/>
    </w:pPr>
  </w:style>
  <w:style w:type="paragraph" w:customStyle="1" w:styleId="paragraph">
    <w:name w:val="paragraph"/>
    <w:basedOn w:val="Normal"/>
    <w:rsid w:val="005D156C"/>
    <w:pPr>
      <w:spacing w:before="100" w:beforeAutospacing="1" w:after="100" w:afterAutospacing="1" w:line="240" w:lineRule="auto"/>
    </w:pPr>
    <w:rPr>
      <w:rFonts w:ascii="Times New Roman" w:hAnsi="Times New Roman" w:cs="Times New Roman"/>
      <w:sz w:val="24"/>
      <w:szCs w:val="24"/>
      <w:lang w:eastAsia="es-CO"/>
    </w:rPr>
  </w:style>
  <w:style w:type="paragraph" w:styleId="Sinespaciado">
    <w:name w:val="No Spacing"/>
    <w:link w:val="SinespaciadoCar"/>
    <w:uiPriority w:val="1"/>
    <w:qFormat/>
    <w:rsid w:val="00C31D64"/>
    <w:pPr>
      <w:spacing w:after="0" w:line="240" w:lineRule="auto"/>
    </w:pPr>
  </w:style>
  <w:style w:type="character" w:styleId="Hipervnculo">
    <w:name w:val="Hyperlink"/>
    <w:basedOn w:val="Fuentedeprrafopredeter"/>
    <w:uiPriority w:val="99"/>
    <w:unhideWhenUsed/>
    <w:rsid w:val="00C31D64"/>
    <w:rPr>
      <w:color w:val="0563C1" w:themeColor="hyperlink"/>
      <w:u w:val="single"/>
    </w:rPr>
  </w:style>
  <w:style w:type="paragraph" w:customStyle="1" w:styleId="Default">
    <w:name w:val="Default"/>
    <w:rsid w:val="00F913D1"/>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F913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13D1"/>
    <w:rPr>
      <w:sz w:val="20"/>
      <w:szCs w:val="20"/>
    </w:rPr>
  </w:style>
  <w:style w:type="character" w:styleId="Refdenotaalpie">
    <w:name w:val="footnote reference"/>
    <w:basedOn w:val="Fuentedeprrafopredeter"/>
    <w:uiPriority w:val="99"/>
    <w:semiHidden/>
    <w:unhideWhenUsed/>
    <w:rsid w:val="00F913D1"/>
    <w:rPr>
      <w:vertAlign w:val="superscript"/>
    </w:rPr>
  </w:style>
  <w:style w:type="character" w:customStyle="1" w:styleId="PrrafodelistaCar">
    <w:name w:val="Párrafo de lista Car"/>
    <w:aliases w:val="EY EPM - Lista Car,lista Car,titulo 3 Car,List Paragraph Car,Ha Car,List Paragraph1 Car,lp1 Car,Bullet List Car,FooterText Car,Use Case List Paragraph Car,numbered Car,Paragraphe de liste1 Car,Bulletr List Paragraph Car,Foot Car"/>
    <w:link w:val="Prrafodelista"/>
    <w:uiPriority w:val="34"/>
    <w:qFormat/>
    <w:locked/>
    <w:rsid w:val="007E2D39"/>
  </w:style>
  <w:style w:type="paragraph" w:customStyle="1" w:styleId="xdefault">
    <w:name w:val="x_default"/>
    <w:basedOn w:val="Normal"/>
    <w:rsid w:val="00981DA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F06986"/>
  </w:style>
  <w:style w:type="paragraph" w:styleId="NormalWeb">
    <w:name w:val="Normal (Web)"/>
    <w:basedOn w:val="Normal"/>
    <w:uiPriority w:val="99"/>
    <w:semiHidden/>
    <w:unhideWhenUsed/>
    <w:rsid w:val="009B668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rsid w:val="009B668F"/>
  </w:style>
  <w:style w:type="character" w:styleId="Refdecomentario">
    <w:name w:val="annotation reference"/>
    <w:basedOn w:val="Fuentedeprrafopredeter"/>
    <w:uiPriority w:val="99"/>
    <w:semiHidden/>
    <w:unhideWhenUsed/>
    <w:rsid w:val="00BB5BA3"/>
    <w:rPr>
      <w:sz w:val="16"/>
      <w:szCs w:val="16"/>
    </w:rPr>
  </w:style>
  <w:style w:type="paragraph" w:styleId="Textocomentario">
    <w:name w:val="annotation text"/>
    <w:basedOn w:val="Normal"/>
    <w:link w:val="TextocomentarioCar"/>
    <w:uiPriority w:val="99"/>
    <w:semiHidden/>
    <w:unhideWhenUsed/>
    <w:rsid w:val="00BB5BA3"/>
    <w:pPr>
      <w:spacing w:after="0" w:line="240" w:lineRule="auto"/>
    </w:pPr>
    <w:rPr>
      <w:rFonts w:ascii="Calibri"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BB5BA3"/>
    <w:rPr>
      <w:rFonts w:ascii="Calibri" w:hAnsi="Calibri" w:cs="Times New Roman"/>
      <w:sz w:val="20"/>
      <w:szCs w:val="20"/>
      <w:lang w:eastAsia="es-CO"/>
    </w:rPr>
  </w:style>
  <w:style w:type="character" w:styleId="Textoennegrita">
    <w:name w:val="Strong"/>
    <w:basedOn w:val="Fuentedeprrafopredeter"/>
    <w:uiPriority w:val="22"/>
    <w:qFormat/>
    <w:rsid w:val="00794699"/>
    <w:rPr>
      <w:b/>
      <w:bCs/>
    </w:rPr>
  </w:style>
  <w:style w:type="table" w:styleId="Tablaconcuadrcula6concolores-nfasis3">
    <w:name w:val="Grid Table 6 Colorful Accent 3"/>
    <w:basedOn w:val="Tablanormal"/>
    <w:uiPriority w:val="51"/>
    <w:rsid w:val="005601AC"/>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spellingerror">
    <w:name w:val="spellingerror"/>
    <w:basedOn w:val="Fuentedeprrafopredeter"/>
    <w:rsid w:val="002D5BA3"/>
  </w:style>
  <w:style w:type="character" w:customStyle="1" w:styleId="eop">
    <w:name w:val="eop"/>
    <w:basedOn w:val="Fuentedeprrafopredeter"/>
    <w:rsid w:val="002D5BA3"/>
  </w:style>
  <w:style w:type="paragraph" w:styleId="Asuntodelcomentario">
    <w:name w:val="annotation subject"/>
    <w:basedOn w:val="Textocomentario"/>
    <w:next w:val="Textocomentario"/>
    <w:link w:val="AsuntodelcomentarioCar"/>
    <w:uiPriority w:val="99"/>
    <w:semiHidden/>
    <w:unhideWhenUsed/>
    <w:rsid w:val="00A33FF6"/>
    <w:pPr>
      <w:spacing w:after="160"/>
    </w:pPr>
    <w:rPr>
      <w:rFonts w:ascii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A33FF6"/>
    <w:rPr>
      <w:rFonts w:ascii="Calibri" w:hAnsi="Calibri" w:cs="Times New Roman"/>
      <w:b/>
      <w:bCs/>
      <w:sz w:val="20"/>
      <w:szCs w:val="20"/>
      <w:lang w:eastAsia="es-CO"/>
    </w:rPr>
  </w:style>
  <w:style w:type="paragraph" w:styleId="Textodeglobo">
    <w:name w:val="Balloon Text"/>
    <w:basedOn w:val="Normal"/>
    <w:link w:val="TextodegloboCar"/>
    <w:uiPriority w:val="99"/>
    <w:semiHidden/>
    <w:unhideWhenUsed/>
    <w:rsid w:val="00BB6E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6EF9"/>
    <w:rPr>
      <w:rFonts w:ascii="Segoe UI" w:hAnsi="Segoe UI" w:cs="Segoe UI"/>
      <w:sz w:val="18"/>
      <w:szCs w:val="18"/>
    </w:rPr>
  </w:style>
  <w:style w:type="paragraph" w:styleId="Encabezado">
    <w:name w:val="header"/>
    <w:basedOn w:val="Normal"/>
    <w:link w:val="EncabezadoCar"/>
    <w:uiPriority w:val="99"/>
    <w:semiHidden/>
    <w:unhideWhenUsed/>
    <w:rsid w:val="00AB13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A1B46"/>
  </w:style>
  <w:style w:type="paragraph" w:styleId="Piedepgina">
    <w:name w:val="footer"/>
    <w:basedOn w:val="Normal"/>
    <w:link w:val="PiedepginaCar"/>
    <w:uiPriority w:val="99"/>
    <w:semiHidden/>
    <w:unhideWhenUsed/>
    <w:rsid w:val="00AB132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8A1B46"/>
  </w:style>
  <w:style w:type="paragraph" w:styleId="Revisin">
    <w:name w:val="Revision"/>
    <w:hidden/>
    <w:uiPriority w:val="99"/>
    <w:semiHidden/>
    <w:rsid w:val="003B56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700980">
      <w:bodyDiv w:val="1"/>
      <w:marLeft w:val="0"/>
      <w:marRight w:val="0"/>
      <w:marTop w:val="0"/>
      <w:marBottom w:val="0"/>
      <w:divBdr>
        <w:top w:val="none" w:sz="0" w:space="0" w:color="auto"/>
        <w:left w:val="none" w:sz="0" w:space="0" w:color="auto"/>
        <w:bottom w:val="none" w:sz="0" w:space="0" w:color="auto"/>
        <w:right w:val="none" w:sz="0" w:space="0" w:color="auto"/>
      </w:divBdr>
    </w:div>
    <w:div w:id="811337314">
      <w:bodyDiv w:val="1"/>
      <w:marLeft w:val="0"/>
      <w:marRight w:val="0"/>
      <w:marTop w:val="0"/>
      <w:marBottom w:val="0"/>
      <w:divBdr>
        <w:top w:val="none" w:sz="0" w:space="0" w:color="auto"/>
        <w:left w:val="none" w:sz="0" w:space="0" w:color="auto"/>
        <w:bottom w:val="none" w:sz="0" w:space="0" w:color="auto"/>
        <w:right w:val="none" w:sz="0" w:space="0" w:color="auto"/>
      </w:divBdr>
    </w:div>
    <w:div w:id="95467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supersalud.gov.co/es-co/Paginas/Delegada%20Supervision%20de%20Riesgos/informacion-financiera-EPS-EMP-SAP-regimenes-de-excepcion-y-especial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caldiabogota.gov.co/sisjur/normas/Norma1.jsp?i=65994"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7850102CD38743A345FA5E51DA3579" ma:contentTypeVersion="13" ma:contentTypeDescription="Crear nuevo documento." ma:contentTypeScope="" ma:versionID="3e98176afce8f2689cbb6cc4cdc83701">
  <xsd:schema xmlns:xsd="http://www.w3.org/2001/XMLSchema" xmlns:xs="http://www.w3.org/2001/XMLSchema" xmlns:p="http://schemas.microsoft.com/office/2006/metadata/properties" xmlns:ns3="a303425f-40f8-4a0e-835e-e7aab0dc0096" xmlns:ns4="be9f5d4e-ed9d-443d-b39e-e18807567fa6" targetNamespace="http://schemas.microsoft.com/office/2006/metadata/properties" ma:root="true" ma:fieldsID="1a3e1b371c12c24bca23324bcbc8be85" ns3:_="" ns4:_="">
    <xsd:import namespace="a303425f-40f8-4a0e-835e-e7aab0dc0096"/>
    <xsd:import namespace="be9f5d4e-ed9d-443d-b39e-e18807567f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3425f-40f8-4a0e-835e-e7aab0dc009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f5d4e-ed9d-443d-b39e-e18807567fa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C89A1-1D05-4A88-843C-948717A95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3425f-40f8-4a0e-835e-e7aab0dc0096"/>
    <ds:schemaRef ds:uri="be9f5d4e-ed9d-443d-b39e-e18807567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186345-73B6-434A-BB05-5311526309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9295E9-D413-48B5-B767-792E336E5357}">
  <ds:schemaRefs>
    <ds:schemaRef ds:uri="http://schemas.microsoft.com/sharepoint/v3/contenttype/forms"/>
  </ds:schemaRefs>
</ds:datastoreItem>
</file>

<file path=customXml/itemProps4.xml><?xml version="1.0" encoding="utf-8"?>
<ds:datastoreItem xmlns:ds="http://schemas.openxmlformats.org/officeDocument/2006/customXml" ds:itemID="{A76116D3-3A7D-488A-B682-9E469DAD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32</Pages>
  <Words>14552</Words>
  <Characters>80039</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94403</CharactersWithSpaces>
  <SharedDoc>false</SharedDoc>
  <HLinks>
    <vt:vector size="12" baseType="variant">
      <vt:variant>
        <vt:i4>6815846</vt:i4>
      </vt:variant>
      <vt:variant>
        <vt:i4>3</vt:i4>
      </vt:variant>
      <vt:variant>
        <vt:i4>0</vt:i4>
      </vt:variant>
      <vt:variant>
        <vt:i4>5</vt:i4>
      </vt:variant>
      <vt:variant>
        <vt:lpwstr>https://www.supersalud.gov.co/es-co/Paginas/Delegada Supervision de Riesgos/informacion-financiera-EPS-EMP-SAP-regimenes-de-excepcion-y-especiales.aspx</vt:lpwstr>
      </vt:variant>
      <vt:variant>
        <vt:lpwstr/>
      </vt:variant>
      <vt:variant>
        <vt:i4>5767176</vt:i4>
      </vt:variant>
      <vt:variant>
        <vt:i4>0</vt:i4>
      </vt:variant>
      <vt:variant>
        <vt:i4>0</vt:i4>
      </vt:variant>
      <vt:variant>
        <vt:i4>5</vt:i4>
      </vt:variant>
      <vt:variant>
        <vt:lpwstr>http://www.alcaldiabogota.gov.co/sisjur/normas/Norma1.jsp?i=65994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Ximena Garcia Meza</dc:creator>
  <cp:keywords/>
  <dc:description/>
  <cp:lastModifiedBy>Sandra Patricia Hoyos Buvoli</cp:lastModifiedBy>
  <cp:revision>4</cp:revision>
  <dcterms:created xsi:type="dcterms:W3CDTF">2021-09-17T15:43:00Z</dcterms:created>
  <dcterms:modified xsi:type="dcterms:W3CDTF">2021-09-18T04:15:00Z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0x0101005B7850102CD38743A345FA5E51DA3579</vt:lpwstr>
  </property>
</Properties>
</file>