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0A54C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 xml:space="preserve">OBJETIVO </w:t>
      </w:r>
      <w:bookmarkStart w:id="0" w:name="_GoBack"/>
      <w:bookmarkEnd w:id="0"/>
    </w:p>
    <w:p w14:paraId="31722B61" w14:textId="77777777"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14:paraId="03F6E8C1" w14:textId="43CD9A76" w:rsidR="00FA50CF" w:rsidRPr="00EA1111" w:rsidRDefault="00FE032E" w:rsidP="00950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Salvaguardar</w:t>
      </w:r>
      <w:r w:rsidR="00FA50CF" w:rsidRPr="00EA1111">
        <w:rPr>
          <w:rFonts w:ascii="Arial" w:hAnsi="Arial" w:cs="Arial"/>
          <w:color w:val="000000" w:themeColor="text1"/>
        </w:rPr>
        <w:t xml:space="preserve"> los activos de información</w:t>
      </w:r>
      <w:r w:rsidR="00A2513A">
        <w:rPr>
          <w:rFonts w:ascii="Arial" w:hAnsi="Arial" w:cs="Arial"/>
          <w:color w:val="000000" w:themeColor="text1"/>
        </w:rPr>
        <w:t xml:space="preserve"> registrados</w:t>
      </w:r>
      <w:r w:rsidR="00EA1111" w:rsidRPr="00EA1111">
        <w:rPr>
          <w:rFonts w:ascii="Arial" w:hAnsi="Arial" w:cs="Arial"/>
          <w:color w:val="000000" w:themeColor="text1"/>
        </w:rPr>
        <w:t xml:space="preserve"> por los usuarios </w:t>
      </w:r>
      <w:r w:rsidR="00CB5DE3">
        <w:rPr>
          <w:rFonts w:ascii="Arial" w:hAnsi="Arial" w:cs="Arial"/>
          <w:color w:val="000000" w:themeColor="text1"/>
        </w:rPr>
        <w:t xml:space="preserve">internos </w:t>
      </w:r>
      <w:r w:rsidR="00A2513A">
        <w:rPr>
          <w:rFonts w:ascii="Arial" w:hAnsi="Arial" w:cs="Arial"/>
          <w:color w:val="000000" w:themeColor="text1"/>
        </w:rPr>
        <w:t xml:space="preserve">institucionales </w:t>
      </w:r>
      <w:r w:rsidR="00EA1111" w:rsidRPr="00EA1111">
        <w:rPr>
          <w:rFonts w:ascii="Arial" w:hAnsi="Arial" w:cs="Arial"/>
          <w:color w:val="000000" w:themeColor="text1"/>
        </w:rPr>
        <w:t xml:space="preserve">en </w:t>
      </w:r>
      <w:r w:rsidR="00FA50CF" w:rsidRPr="00EA1111">
        <w:rPr>
          <w:rFonts w:ascii="Arial" w:hAnsi="Arial" w:cs="Arial"/>
          <w:color w:val="000000" w:themeColor="text1"/>
        </w:rPr>
        <w:t>las diferentes</w:t>
      </w:r>
      <w:r w:rsidR="00950EAD">
        <w:rPr>
          <w:rFonts w:ascii="Arial" w:hAnsi="Arial" w:cs="Arial"/>
          <w:color w:val="000000" w:themeColor="text1"/>
        </w:rPr>
        <w:t xml:space="preserve"> dependencias, y</w:t>
      </w:r>
      <w:r w:rsidR="00FA50CF" w:rsidRPr="00EA1111">
        <w:rPr>
          <w:rFonts w:ascii="Arial" w:hAnsi="Arial" w:cs="Arial"/>
          <w:color w:val="000000" w:themeColor="text1"/>
        </w:rPr>
        <w:t xml:space="preserve"> plataformas</w:t>
      </w:r>
      <w:r w:rsidR="00EA1111" w:rsidRPr="00EA1111">
        <w:rPr>
          <w:rFonts w:ascii="Arial" w:hAnsi="Arial" w:cs="Arial"/>
          <w:color w:val="000000" w:themeColor="text1"/>
        </w:rPr>
        <w:t xml:space="preserve"> y aplicativos </w:t>
      </w:r>
      <w:r w:rsidR="00950EAD">
        <w:rPr>
          <w:rFonts w:ascii="Arial" w:hAnsi="Arial" w:cs="Arial"/>
          <w:color w:val="000000" w:themeColor="text1"/>
        </w:rPr>
        <w:t>que funcionan en la</w:t>
      </w:r>
      <w:r w:rsidR="00FA50CF" w:rsidRPr="00EA1111">
        <w:rPr>
          <w:rFonts w:ascii="Arial" w:hAnsi="Arial" w:cs="Arial"/>
          <w:color w:val="000000" w:themeColor="text1"/>
        </w:rPr>
        <w:t xml:space="preserve"> Cámara de Representantes</w:t>
      </w:r>
      <w:r w:rsidR="00EA1111" w:rsidRPr="00EA1111">
        <w:rPr>
          <w:rFonts w:ascii="Arial" w:hAnsi="Arial" w:cs="Arial"/>
          <w:color w:val="000000" w:themeColor="text1"/>
        </w:rPr>
        <w:t xml:space="preserve">, con el fin de disponer de respaldos </w:t>
      </w:r>
      <w:r w:rsidR="00A2513A">
        <w:rPr>
          <w:rFonts w:ascii="Arial" w:hAnsi="Arial" w:cs="Arial"/>
          <w:color w:val="000000" w:themeColor="text1"/>
        </w:rPr>
        <w:t xml:space="preserve">de dichos activos </w:t>
      </w:r>
      <w:r w:rsidR="00EA1111" w:rsidRPr="00EA1111">
        <w:rPr>
          <w:rFonts w:ascii="Arial" w:hAnsi="Arial" w:cs="Arial"/>
          <w:color w:val="000000" w:themeColor="text1"/>
        </w:rPr>
        <w:t>cuando la entidad</w:t>
      </w:r>
      <w:r w:rsidR="00A2513A">
        <w:rPr>
          <w:rFonts w:ascii="Arial" w:hAnsi="Arial" w:cs="Arial"/>
          <w:color w:val="000000" w:themeColor="text1"/>
        </w:rPr>
        <w:t xml:space="preserve"> y/o la función</w:t>
      </w:r>
      <w:r w:rsidR="00EA1111" w:rsidRPr="00EA1111">
        <w:rPr>
          <w:rFonts w:ascii="Arial" w:hAnsi="Arial" w:cs="Arial"/>
          <w:color w:val="000000" w:themeColor="text1"/>
        </w:rPr>
        <w:t xml:space="preserve"> y/o los usuarios internos y/o externos lo requieran y/o soliciten.</w:t>
      </w:r>
      <w:r w:rsidR="00A33DEE">
        <w:rPr>
          <w:rFonts w:ascii="Arial" w:hAnsi="Arial" w:cs="Arial"/>
          <w:color w:val="000000" w:themeColor="text1"/>
        </w:rPr>
        <w:t xml:space="preserve">  </w:t>
      </w:r>
    </w:p>
    <w:p w14:paraId="324BF6A7" w14:textId="77777777" w:rsidR="00FA50CF" w:rsidRDefault="00FA50CF" w:rsidP="00FA50C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</w:rPr>
      </w:pPr>
    </w:p>
    <w:p w14:paraId="27422389" w14:textId="77777777" w:rsidR="00BC5976" w:rsidRPr="004D5F36" w:rsidRDefault="00BC5976" w:rsidP="000032FD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4D5F36">
        <w:rPr>
          <w:rFonts w:ascii="Arial" w:hAnsi="Arial" w:cs="Arial"/>
          <w:b/>
          <w:color w:val="000000" w:themeColor="text1"/>
        </w:rPr>
        <w:t>ALCANCE</w:t>
      </w:r>
    </w:p>
    <w:p w14:paraId="2F5A0175" w14:textId="77777777" w:rsidR="00BC5976" w:rsidRPr="004D5F36" w:rsidRDefault="00BC5976" w:rsidP="00BC5976">
      <w:pPr>
        <w:jc w:val="both"/>
        <w:rPr>
          <w:rFonts w:ascii="Arial" w:hAnsi="Arial" w:cs="Arial"/>
          <w:b/>
          <w:color w:val="000000" w:themeColor="text1"/>
        </w:rPr>
      </w:pPr>
    </w:p>
    <w:p w14:paraId="2AF6B24F" w14:textId="6AC5E0F7" w:rsidR="005C45BC" w:rsidRDefault="005C45BC" w:rsidP="00950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032FD">
        <w:rPr>
          <w:rFonts w:ascii="Arial" w:hAnsi="Arial" w:cs="Arial"/>
          <w:color w:val="000000" w:themeColor="text1"/>
        </w:rPr>
        <w:t xml:space="preserve">Inicia </w:t>
      </w:r>
      <w:r w:rsidR="00A33DEE">
        <w:rPr>
          <w:rFonts w:ascii="Arial" w:hAnsi="Arial" w:cs="Arial"/>
          <w:color w:val="000000" w:themeColor="text1"/>
        </w:rPr>
        <w:t xml:space="preserve">con </w:t>
      </w:r>
      <w:r w:rsidR="001165EE">
        <w:rPr>
          <w:rFonts w:ascii="Arial" w:hAnsi="Arial" w:cs="Arial"/>
          <w:color w:val="000000" w:themeColor="text1"/>
        </w:rPr>
        <w:t>el ingreso a la plataforma y acceso a la base de información susceptible de ser resguardada</w:t>
      </w:r>
      <w:r w:rsidR="00A33DEE">
        <w:rPr>
          <w:rFonts w:ascii="Arial" w:hAnsi="Arial" w:cs="Arial"/>
          <w:color w:val="000000" w:themeColor="text1"/>
        </w:rPr>
        <w:t>, pasando por la aplicación de</w:t>
      </w:r>
      <w:r w:rsidR="001165EE">
        <w:rPr>
          <w:rFonts w:ascii="Arial" w:hAnsi="Arial" w:cs="Arial"/>
          <w:color w:val="000000" w:themeColor="text1"/>
        </w:rPr>
        <w:t xml:space="preserve"> </w:t>
      </w:r>
      <w:r w:rsidR="00A33DEE">
        <w:rPr>
          <w:rFonts w:ascii="Arial" w:hAnsi="Arial" w:cs="Arial"/>
          <w:color w:val="000000" w:themeColor="text1"/>
        </w:rPr>
        <w:t>l</w:t>
      </w:r>
      <w:r w:rsidR="001165EE">
        <w:rPr>
          <w:rFonts w:ascii="Arial" w:hAnsi="Arial" w:cs="Arial"/>
          <w:color w:val="000000" w:themeColor="text1"/>
        </w:rPr>
        <w:t>a</w:t>
      </w:r>
      <w:r w:rsidR="00A33DEE">
        <w:rPr>
          <w:rFonts w:ascii="Arial" w:hAnsi="Arial" w:cs="Arial"/>
          <w:color w:val="000000" w:themeColor="text1"/>
        </w:rPr>
        <w:t xml:space="preserve"> </w:t>
      </w:r>
      <w:r w:rsidR="001165EE">
        <w:rPr>
          <w:rFonts w:ascii="Arial" w:hAnsi="Arial" w:cs="Arial"/>
          <w:color w:val="000000" w:themeColor="text1"/>
        </w:rPr>
        <w:t xml:space="preserve">política de seguridad de la información para resguardo de los activos de información generados por los aplicativos de la entidad </w:t>
      </w:r>
      <w:r w:rsidR="00A33DEE">
        <w:rPr>
          <w:rFonts w:ascii="Arial" w:hAnsi="Arial" w:cs="Arial"/>
          <w:color w:val="000000" w:themeColor="text1"/>
        </w:rPr>
        <w:t>y termina con la generación de la copia de respaldo a la información de</w:t>
      </w:r>
      <w:r w:rsidR="00950EAD">
        <w:rPr>
          <w:rFonts w:ascii="Arial" w:hAnsi="Arial" w:cs="Arial"/>
          <w:color w:val="000000" w:themeColor="text1"/>
        </w:rPr>
        <w:t xml:space="preserve"> los aplicativos de la </w:t>
      </w:r>
      <w:r w:rsidR="00A33DEE">
        <w:rPr>
          <w:rFonts w:ascii="Arial" w:hAnsi="Arial" w:cs="Arial"/>
          <w:color w:val="000000" w:themeColor="text1"/>
        </w:rPr>
        <w:t xml:space="preserve"> Cámara de Representantes.</w:t>
      </w:r>
    </w:p>
    <w:p w14:paraId="55233B24" w14:textId="77777777" w:rsidR="000032FD" w:rsidRPr="000032FD" w:rsidRDefault="000032FD" w:rsidP="000032FD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 w:themeColor="text1"/>
        </w:rPr>
      </w:pPr>
    </w:p>
    <w:p w14:paraId="041371CF" w14:textId="0EE69AA6" w:rsidR="00BC5976" w:rsidRPr="004D5F36" w:rsidRDefault="00423575" w:rsidP="006A7F3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BASE LEGAL (</w:t>
      </w:r>
      <w:r w:rsidR="00AC356C" w:rsidRPr="004D5F36">
        <w:rPr>
          <w:rFonts w:ascii="Arial" w:hAnsi="Arial" w:cs="Arial"/>
          <w:b/>
          <w:color w:val="000000" w:themeColor="text1"/>
        </w:rPr>
        <w:t>NORMOGRAMA</w:t>
      </w:r>
      <w:r>
        <w:rPr>
          <w:rFonts w:ascii="Arial" w:hAnsi="Arial" w:cs="Arial"/>
          <w:b/>
          <w:color w:val="000000" w:themeColor="text1"/>
        </w:rPr>
        <w:t>)</w:t>
      </w:r>
    </w:p>
    <w:p w14:paraId="7901B1BE" w14:textId="77777777" w:rsidR="00BC5976" w:rsidRPr="004D5F36" w:rsidRDefault="00BC5976" w:rsidP="00BC5976">
      <w:pPr>
        <w:jc w:val="both"/>
        <w:rPr>
          <w:rFonts w:ascii="Arial" w:hAnsi="Arial" w:cs="Arial"/>
          <w:color w:val="000000" w:themeColor="text1"/>
        </w:rPr>
      </w:pPr>
    </w:p>
    <w:p w14:paraId="510CB1EB" w14:textId="77777777" w:rsidR="00E36F1E" w:rsidRPr="004D5F36" w:rsidRDefault="006246A7" w:rsidP="00507594">
      <w:pPr>
        <w:numPr>
          <w:ilvl w:val="0"/>
          <w:numId w:val="4"/>
        </w:numPr>
        <w:jc w:val="both"/>
        <w:rPr>
          <w:color w:val="000000" w:themeColor="text1"/>
          <w:sz w:val="24"/>
          <w:szCs w:val="24"/>
          <w:lang w:eastAsia="es-ES_tradnl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Ley 5ª de 1992</w:t>
      </w:r>
      <w:r w:rsidRPr="004D5F36">
        <w:rPr>
          <w:rFonts w:ascii="Arial" w:hAnsi="Arial" w:cs="Arial"/>
          <w:bCs/>
          <w:color w:val="000000" w:themeColor="text1"/>
          <w:lang w:val="es-ES"/>
        </w:rPr>
        <w:t>: Reglamento del Congreso</w:t>
      </w:r>
    </w:p>
    <w:p w14:paraId="6F1273C9" w14:textId="62C24B7A" w:rsidR="00E36F1E" w:rsidRPr="004D5F36" w:rsidRDefault="00E36F1E" w:rsidP="00507594">
      <w:pPr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Decreto 2482 de 2012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: </w:t>
      </w:r>
      <w:r w:rsidR="00950EAD">
        <w:rPr>
          <w:rFonts w:ascii="Arial" w:hAnsi="Arial" w:cs="Arial"/>
          <w:bCs/>
          <w:color w:val="000000" w:themeColor="text1"/>
          <w:lang w:val="es-ES"/>
        </w:rPr>
        <w:t>Por el cual s</w:t>
      </w:r>
      <w:r w:rsidRPr="004D5F36">
        <w:rPr>
          <w:rFonts w:ascii="Arial" w:hAnsi="Arial" w:cs="Arial"/>
          <w:bCs/>
          <w:color w:val="000000" w:themeColor="text1"/>
          <w:lang w:val="es-ES"/>
        </w:rPr>
        <w:t>e establecen los lineamientos generales para la integración de la planeación y la gestión de las entidades públicas.</w:t>
      </w:r>
    </w:p>
    <w:p w14:paraId="31F0EA0B" w14:textId="77777777" w:rsidR="006246A7" w:rsidRPr="004D5F36" w:rsidRDefault="00E36F1E" w:rsidP="00E36F1E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Decreto 1151 de 2008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: La implementación de la Estrategia de Gobierno en Línea. </w:t>
      </w:r>
    </w:p>
    <w:p w14:paraId="024F83F0" w14:textId="77777777" w:rsidR="00BA3571" w:rsidRDefault="00BA3571" w:rsidP="00E36F1E">
      <w:pPr>
        <w:pStyle w:val="Prrafodelista"/>
        <w:numPr>
          <w:ilvl w:val="0"/>
          <w:numId w:val="4"/>
        </w:numPr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ISO 27000 / 27001 y siguientes</w:t>
      </w:r>
      <w:r w:rsidRPr="004D5F36">
        <w:rPr>
          <w:rFonts w:ascii="Arial" w:hAnsi="Arial" w:cs="Arial"/>
          <w:bCs/>
          <w:color w:val="000000" w:themeColor="text1"/>
          <w:lang w:val="es-ES"/>
        </w:rPr>
        <w:t>: Norma técnica de Calidad para el manejo de los activos informáticos</w:t>
      </w:r>
      <w:r w:rsidR="00A33DEE">
        <w:rPr>
          <w:rFonts w:ascii="Arial" w:hAnsi="Arial" w:cs="Arial"/>
          <w:bCs/>
          <w:color w:val="000000" w:themeColor="text1"/>
          <w:lang w:val="es-ES"/>
        </w:rPr>
        <w:t>.</w:t>
      </w:r>
    </w:p>
    <w:p w14:paraId="66E4D175" w14:textId="77777777" w:rsidR="00D26D57" w:rsidRDefault="00D26D57" w:rsidP="00D26D57">
      <w:pPr>
        <w:pStyle w:val="Prrafodelista"/>
        <w:ind w:left="360"/>
        <w:rPr>
          <w:rFonts w:ascii="Arial" w:hAnsi="Arial" w:cs="Arial"/>
          <w:b/>
          <w:bCs/>
          <w:color w:val="000000" w:themeColor="text1"/>
          <w:lang w:val="es-ES"/>
        </w:rPr>
      </w:pPr>
    </w:p>
    <w:p w14:paraId="23677DCF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4D5F36">
        <w:rPr>
          <w:rFonts w:ascii="Arial" w:hAnsi="Arial" w:cs="Arial"/>
          <w:b/>
          <w:color w:val="000000" w:themeColor="text1"/>
        </w:rPr>
        <w:t>TÉRMINOS Y DEFINICIONES</w:t>
      </w:r>
    </w:p>
    <w:p w14:paraId="545232C2" w14:textId="77777777" w:rsidR="00FC3564" w:rsidRDefault="00FC3564" w:rsidP="00FC3564">
      <w:pPr>
        <w:jc w:val="both"/>
        <w:rPr>
          <w:rFonts w:ascii="Arial" w:hAnsi="Arial" w:cs="Arial"/>
          <w:b/>
          <w:color w:val="000000" w:themeColor="text1"/>
        </w:rPr>
      </w:pPr>
    </w:p>
    <w:p w14:paraId="70721E08" w14:textId="7628B8D5" w:rsidR="00FC3564" w:rsidRDefault="00630B81" w:rsidP="00FC356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ACTIVOS INFORMÁTICOS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="00FC3564">
        <w:rPr>
          <w:rFonts w:ascii="Arial" w:hAnsi="Arial" w:cs="Arial"/>
          <w:color w:val="222222"/>
          <w:shd w:val="clear" w:color="auto" w:fill="FFFFFF"/>
        </w:rPr>
        <w:t xml:space="preserve"> Son aquellos recursos (hardware y software) con los que cuenta una empresa. Es decir, todo elemento que compone el proceso completo de comunicación, partiendo desde la información, el emisor, el medio de transmisión y receptor</w:t>
      </w:r>
    </w:p>
    <w:p w14:paraId="0A2681CC" w14:textId="77777777" w:rsidR="001165EE" w:rsidRPr="00C829B3" w:rsidRDefault="001165EE" w:rsidP="00FC3564">
      <w:pPr>
        <w:jc w:val="both"/>
        <w:rPr>
          <w:rFonts w:ascii="Arial" w:hAnsi="Arial" w:cs="Arial"/>
          <w:b/>
          <w:color w:val="000000" w:themeColor="text1"/>
        </w:rPr>
      </w:pPr>
    </w:p>
    <w:p w14:paraId="64F705C6" w14:textId="1347C169" w:rsidR="00C829B3" w:rsidRDefault="00C829B3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t xml:space="preserve">ACTIVOS DE INFORMACIÓN: </w:t>
      </w:r>
      <w:r>
        <w:rPr>
          <w:rFonts w:ascii="Arial" w:hAnsi="Arial" w:cs="Arial"/>
          <w:bCs/>
          <w:color w:val="000000" w:themeColor="text1"/>
          <w:lang w:val="es-ES"/>
        </w:rPr>
        <w:t xml:space="preserve">Son los recursos que utiliza un sistema de gestión de Seguridad de la Información para que las organizaciones funcionen y consignan los objetivos que se han propuesto por la alta dirección. </w:t>
      </w:r>
    </w:p>
    <w:p w14:paraId="4BC8DEC6" w14:textId="77777777" w:rsidR="00036F20" w:rsidRDefault="00036F20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2E5117F0" w14:textId="573A8E7C" w:rsidR="00C829B3" w:rsidRDefault="00C829B3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C829B3">
        <w:rPr>
          <w:rFonts w:ascii="Arial" w:hAnsi="Arial" w:cs="Arial"/>
          <w:b/>
          <w:bCs/>
          <w:color w:val="000000" w:themeColor="text1"/>
          <w:lang w:val="es-ES"/>
        </w:rPr>
        <w:t>INVENTARIO DE ACTIVOS DE INFORMACIÓN:</w:t>
      </w:r>
      <w:r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036F20">
        <w:rPr>
          <w:rFonts w:ascii="Arial" w:hAnsi="Arial" w:cs="Arial"/>
          <w:bCs/>
          <w:color w:val="000000" w:themeColor="text1"/>
          <w:lang w:val="es-ES"/>
        </w:rPr>
        <w:t>S</w:t>
      </w:r>
      <w:r w:rsidRPr="00C829B3">
        <w:rPr>
          <w:rFonts w:ascii="Arial" w:hAnsi="Arial" w:cs="Arial"/>
          <w:bCs/>
          <w:color w:val="000000" w:themeColor="text1"/>
          <w:lang w:val="es-ES"/>
        </w:rPr>
        <w:t>e define com</w:t>
      </w:r>
      <w:r>
        <w:rPr>
          <w:rFonts w:ascii="Arial" w:hAnsi="Arial" w:cs="Arial"/>
          <w:bCs/>
          <w:color w:val="000000" w:themeColor="text1"/>
          <w:lang w:val="es-ES"/>
        </w:rPr>
        <w:t xml:space="preserve">o una lista de todos aquellos recursos (físicos, software, documentos, servicios, personas, instalaciones, </w:t>
      </w:r>
      <w:r w:rsidR="005424E2">
        <w:rPr>
          <w:rFonts w:ascii="Arial" w:hAnsi="Arial" w:cs="Arial"/>
          <w:bCs/>
          <w:color w:val="000000" w:themeColor="text1"/>
          <w:lang w:val="es-ES"/>
        </w:rPr>
        <w:t>etc.</w:t>
      </w:r>
      <w:r>
        <w:rPr>
          <w:rFonts w:ascii="Arial" w:hAnsi="Arial" w:cs="Arial"/>
          <w:bCs/>
          <w:color w:val="000000" w:themeColor="text1"/>
          <w:lang w:val="es-ES"/>
        </w:rPr>
        <w:t>), que tengan valor para la organización y que necesiten por tanto ser protegidos de potenciales riesgos.</w:t>
      </w:r>
    </w:p>
    <w:p w14:paraId="78102EB9" w14:textId="77777777" w:rsidR="00690365" w:rsidRDefault="00690365" w:rsidP="00BA3571">
      <w:pPr>
        <w:jc w:val="both"/>
        <w:rPr>
          <w:rFonts w:ascii="Arial" w:hAnsi="Arial" w:cs="Arial"/>
          <w:b/>
          <w:bCs/>
          <w:color w:val="000000" w:themeColor="text1"/>
          <w:lang w:val="es-ES"/>
        </w:rPr>
      </w:pPr>
    </w:p>
    <w:p w14:paraId="1FDD5590" w14:textId="74173369" w:rsidR="00690365" w:rsidRDefault="00690365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/>
          <w:bCs/>
          <w:color w:val="000000" w:themeColor="text1"/>
          <w:lang w:val="es-ES"/>
        </w:rPr>
        <w:t>TIPO DE ACTIVOS DE LA INFORMACIÓN:</w:t>
      </w:r>
      <w:r>
        <w:rPr>
          <w:rFonts w:ascii="Arial" w:hAnsi="Arial" w:cs="Arial"/>
          <w:bCs/>
          <w:color w:val="000000" w:themeColor="text1"/>
          <w:lang w:val="es-ES"/>
        </w:rPr>
        <w:t xml:space="preserve"> Se puede considerar cinco grandes tipos de activos de información:</w:t>
      </w:r>
    </w:p>
    <w:p w14:paraId="5499F321" w14:textId="77777777" w:rsidR="00036F20" w:rsidRDefault="00036F20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09282D96" w14:textId="77777777" w:rsidR="00690365" w:rsidRDefault="00690365" w:rsidP="006903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Cs/>
          <w:color w:val="000000" w:themeColor="text1"/>
          <w:lang w:val="es-ES"/>
        </w:rPr>
        <w:t>El entorno del Sistema de seguridad de la información, basado en ISO 27001, que comprende a los activos que se precisan para garantizar los siguientes niveles.</w:t>
      </w:r>
    </w:p>
    <w:p w14:paraId="656996C7" w14:textId="7898CED6" w:rsidR="00690365" w:rsidRDefault="00690365" w:rsidP="006903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Cs/>
          <w:color w:val="000000" w:themeColor="text1"/>
          <w:lang w:val="es-ES"/>
        </w:rPr>
        <w:t xml:space="preserve">El sistema de información en </w:t>
      </w:r>
      <w:r w:rsidR="00036F20">
        <w:rPr>
          <w:rFonts w:ascii="Arial" w:hAnsi="Arial" w:cs="Arial"/>
          <w:bCs/>
          <w:color w:val="000000" w:themeColor="text1"/>
          <w:lang w:val="es-ES"/>
        </w:rPr>
        <w:t>sí</w:t>
      </w:r>
      <w:r>
        <w:rPr>
          <w:rFonts w:ascii="Arial" w:hAnsi="Arial" w:cs="Arial"/>
          <w:bCs/>
          <w:color w:val="000000" w:themeColor="text1"/>
          <w:lang w:val="es-ES"/>
        </w:rPr>
        <w:t xml:space="preserve"> mismo.</w:t>
      </w:r>
    </w:p>
    <w:p w14:paraId="1ECA2E7B" w14:textId="77777777" w:rsidR="00690365" w:rsidRDefault="00690365" w:rsidP="006903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Cs/>
          <w:color w:val="000000" w:themeColor="text1"/>
          <w:lang w:val="es-ES"/>
        </w:rPr>
        <w:t>La información generada por la aplicación del sistema de seguridad de la Información.</w:t>
      </w:r>
    </w:p>
    <w:p w14:paraId="4D65E486" w14:textId="77777777" w:rsidR="00690365" w:rsidRDefault="00690365" w:rsidP="006903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Cs/>
          <w:color w:val="000000" w:themeColor="text1"/>
          <w:lang w:val="es-ES"/>
        </w:rPr>
        <w:t>Las funcionalidades de la organización, en las que se justifican las exigencias de los sistemas de información anteriores y les generan la finalidad deseada.</w:t>
      </w:r>
    </w:p>
    <w:p w14:paraId="58FCB93A" w14:textId="77777777" w:rsidR="00690365" w:rsidRDefault="00690365" w:rsidP="0069036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color w:val="000000" w:themeColor="text1"/>
          <w:lang w:val="es-ES"/>
        </w:rPr>
      </w:pPr>
      <w:r>
        <w:rPr>
          <w:rFonts w:ascii="Arial" w:hAnsi="Arial" w:cs="Arial"/>
          <w:bCs/>
          <w:color w:val="000000" w:themeColor="text1"/>
          <w:lang w:val="es-ES"/>
        </w:rPr>
        <w:t>Otros activos, ya que el tratamiento realizado a los activos es un método de evaluación de riesgos que tienen que permitir la inclusión de cualquier oro activo, sea cu</w:t>
      </w:r>
      <w:r w:rsidR="007B034C">
        <w:rPr>
          <w:rFonts w:ascii="Arial" w:hAnsi="Arial" w:cs="Arial"/>
          <w:bCs/>
          <w:color w:val="000000" w:themeColor="text1"/>
          <w:lang w:val="es-ES"/>
        </w:rPr>
        <w:t>a</w:t>
      </w:r>
      <w:r>
        <w:rPr>
          <w:rFonts w:ascii="Arial" w:hAnsi="Arial" w:cs="Arial"/>
          <w:bCs/>
          <w:color w:val="000000" w:themeColor="text1"/>
          <w:lang w:val="es-ES"/>
        </w:rPr>
        <w:t>l sea su naturaleza.</w:t>
      </w:r>
    </w:p>
    <w:p w14:paraId="5E1775CC" w14:textId="77777777" w:rsidR="00036F20" w:rsidRDefault="00036F20" w:rsidP="00036F20">
      <w:pPr>
        <w:pStyle w:val="Prrafodelista"/>
        <w:ind w:left="720"/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725ACA06" w14:textId="77777777" w:rsidR="007B034C" w:rsidRPr="00690365" w:rsidRDefault="007B034C" w:rsidP="007B034C">
      <w:pPr>
        <w:pStyle w:val="Prrafodelista"/>
        <w:ind w:left="720"/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20052DDC" w14:textId="1943EE3E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ARQUITECTURA DE APLICACIÓN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: Técnicas, herramientas y procesos que rigen el ciclo de vida de las aplicaciones y sistemas de información. </w:t>
      </w:r>
    </w:p>
    <w:p w14:paraId="01BD1722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4E2D2E65" w14:textId="450EF291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ARQUITECTURA DE DATOS: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 Construcción del método utilizado para almacenar información en una computadora. </w:t>
      </w:r>
    </w:p>
    <w:p w14:paraId="3659B7A1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2AE66B4A" w14:textId="6A6A04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ARQUITECTURA DE INFRAESTRUCTURA TECNOLÓGICA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: Es el conjunto de hardware y software para llevar a cabo toda la actividad. </w:t>
      </w:r>
    </w:p>
    <w:p w14:paraId="64AEBA84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1E36427B" w14:textId="003A338F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ARQUITECTURA DE SERVICIOS IT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: Enfocado en la gobernabilidad, administración y gestión de los servicios IT, tomando como base las buenas prácticas del ITIL, orientado en la calidad del servicio ofrecido a los usuarios, internos, comunidad y partes interesadas. </w:t>
      </w:r>
    </w:p>
    <w:p w14:paraId="22A12B12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1BFE28D5" w14:textId="53D89EC2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ARQUITECTURA DE SEGURIDAD DE LA INFORMACIÓN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: Esquema de acción estratégica estableciendo directrices a nivel de seguridad de la información. </w:t>
      </w:r>
    </w:p>
    <w:p w14:paraId="00713E50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137028C1" w14:textId="384F5FF4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ITIL: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 Administración de servicios de tecnología que permite actuar como un medio para estructurar la organización de TI a través de un enfoque basado en procesos. </w:t>
      </w:r>
    </w:p>
    <w:p w14:paraId="50D8359A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118D30D9" w14:textId="5820F5F2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 xml:space="preserve">PLAN ESTRATÉGICO: 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Documento que refleja la estrategia a seguir. Un plan estratégico oscila entre 1 y 5 años PETIC (Planeación Estratégica de Tecnologías de la Información y las Comunicaciones): Es el documento de planeación estratégica en el que se definen los objetivos y proyectos estratégicos de TIC que la entidad efectuará en el año que se reporta. SGSI (Sistemas de Gestión de Seguridad de la Información): Conjunto de políticas, procesos, procedimientos y normas, tendientes a garantizar la integridad a disponibilidad y la confiabilidad de los activos de la información de la entidad. </w:t>
      </w:r>
    </w:p>
    <w:p w14:paraId="7097B32B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06C17D9F" w14:textId="03882ABF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SGCN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 (Sistema de Gestión de Continuidad del Negocio): Conjunto de políticas, procesos, procedimientos y normas, tendientes a garantizar la continuidad de los servicios que presta la entidad. </w:t>
      </w:r>
    </w:p>
    <w:p w14:paraId="47FD001F" w14:textId="77777777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</w:p>
    <w:p w14:paraId="4FFA8A6A" w14:textId="19DC8F18" w:rsidR="00BA3571" w:rsidRPr="004D5F36" w:rsidRDefault="00BA3571" w:rsidP="00BA3571">
      <w:pPr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4D5F36">
        <w:rPr>
          <w:rFonts w:ascii="Arial" w:hAnsi="Arial" w:cs="Arial"/>
          <w:b/>
          <w:bCs/>
          <w:color w:val="000000" w:themeColor="text1"/>
          <w:lang w:val="es-ES"/>
        </w:rPr>
        <w:t>TIC:</w:t>
      </w:r>
      <w:r w:rsidRPr="004D5F36">
        <w:rPr>
          <w:rFonts w:ascii="Arial" w:hAnsi="Arial" w:cs="Arial"/>
          <w:bCs/>
          <w:color w:val="000000" w:themeColor="text1"/>
          <w:lang w:val="es-ES"/>
        </w:rPr>
        <w:t xml:space="preserve"> Tecnología de la Información y las comunicaciones. </w:t>
      </w:r>
    </w:p>
    <w:p w14:paraId="599CE696" w14:textId="77777777" w:rsidR="0018249B" w:rsidRDefault="0018249B" w:rsidP="00BC5976">
      <w:pPr>
        <w:jc w:val="both"/>
        <w:rPr>
          <w:rFonts w:ascii="Arial" w:hAnsi="Arial" w:cs="Arial"/>
          <w:b/>
          <w:color w:val="5B9BD5" w:themeColor="accent1"/>
        </w:rPr>
      </w:pPr>
    </w:p>
    <w:p w14:paraId="7346FFC6" w14:textId="3BFBAC4E" w:rsidR="000032FD" w:rsidRPr="000032FD" w:rsidRDefault="00DA6A34" w:rsidP="00036F2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0032FD">
        <w:rPr>
          <w:rFonts w:ascii="Arial" w:hAnsi="Arial" w:cs="Arial"/>
          <w:b/>
          <w:bCs/>
          <w:color w:val="000000" w:themeColor="text1"/>
          <w:lang w:val="es-ES"/>
        </w:rPr>
        <w:t>PLATAFORMA TECNOLÓGICA</w:t>
      </w:r>
      <w:r w:rsidRPr="000032FD">
        <w:rPr>
          <w:rFonts w:ascii="Arial" w:hAnsi="Arial" w:cs="Arial"/>
          <w:bCs/>
          <w:color w:val="000000" w:themeColor="text1"/>
          <w:lang w:val="es-ES"/>
        </w:rPr>
        <w:t xml:space="preserve">: </w:t>
      </w:r>
      <w:r w:rsidR="00036F20">
        <w:rPr>
          <w:rFonts w:ascii="Arial" w:hAnsi="Arial" w:cs="Arial"/>
          <w:bCs/>
          <w:color w:val="000000" w:themeColor="text1"/>
          <w:lang w:val="es-ES"/>
        </w:rPr>
        <w:t>E</w:t>
      </w:r>
      <w:r w:rsidR="000032FD" w:rsidRPr="000032FD">
        <w:rPr>
          <w:rFonts w:ascii="Arial" w:hAnsi="Arial" w:cs="Arial"/>
          <w:bCs/>
          <w:color w:val="000000" w:themeColor="text1"/>
          <w:lang w:val="es-ES"/>
        </w:rPr>
        <w:t xml:space="preserve">s un sistema que sirve como base para hacer funcionar determinados módulos de hardware o de software con los que es compatible. Dicho sistema está definido por un estándar alrededor del cual se determina una arquitectura de hardware y una plataforma de software </w:t>
      </w:r>
    </w:p>
    <w:p w14:paraId="05CF55BB" w14:textId="58E455EF" w:rsidR="000032FD" w:rsidRPr="000032FD" w:rsidRDefault="00DA6A34" w:rsidP="00036F2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0032FD">
        <w:rPr>
          <w:rFonts w:ascii="Arial" w:hAnsi="Arial" w:cs="Arial"/>
          <w:b/>
          <w:bCs/>
          <w:color w:val="000000" w:themeColor="text1"/>
          <w:lang w:val="es-ES"/>
        </w:rPr>
        <w:t>HARDWARE</w:t>
      </w:r>
      <w:r w:rsidRPr="000032FD">
        <w:rPr>
          <w:rFonts w:ascii="Arial" w:hAnsi="Arial" w:cs="Arial"/>
          <w:bCs/>
          <w:color w:val="000000" w:themeColor="text1"/>
          <w:lang w:val="es-ES"/>
        </w:rPr>
        <w:t xml:space="preserve">: </w:t>
      </w:r>
      <w:r w:rsidR="00036F20">
        <w:rPr>
          <w:rFonts w:ascii="Arial" w:hAnsi="Arial" w:cs="Arial"/>
          <w:bCs/>
          <w:color w:val="000000" w:themeColor="text1"/>
          <w:lang w:val="es-ES"/>
        </w:rPr>
        <w:t>T</w:t>
      </w:r>
      <w:r w:rsidR="000032FD" w:rsidRPr="000032FD">
        <w:rPr>
          <w:rFonts w:ascii="Arial" w:hAnsi="Arial" w:cs="Arial"/>
          <w:bCs/>
          <w:color w:val="000000" w:themeColor="text1"/>
          <w:lang w:val="es-ES"/>
        </w:rPr>
        <w:t xml:space="preserve">odo lo físico que podemos ver en una computadora, es considerado como hardware. Todas las partes tangibles de un sistema informático; sus componentes son: eléctricos, electrónicos, electromecánicos y mecánicos. </w:t>
      </w:r>
    </w:p>
    <w:p w14:paraId="7E1891B7" w14:textId="6D305B15" w:rsidR="000032FD" w:rsidRPr="000032FD" w:rsidRDefault="00DA6A34" w:rsidP="00036F2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0032FD">
        <w:rPr>
          <w:rFonts w:ascii="Arial" w:hAnsi="Arial" w:cs="Arial"/>
          <w:b/>
          <w:bCs/>
          <w:color w:val="000000" w:themeColor="text1"/>
          <w:lang w:val="es-ES"/>
        </w:rPr>
        <w:t>SOFTWARE</w:t>
      </w:r>
      <w:r w:rsidR="000032FD" w:rsidRPr="000032FD">
        <w:rPr>
          <w:rFonts w:ascii="Arial" w:hAnsi="Arial" w:cs="Arial"/>
          <w:b/>
          <w:bCs/>
          <w:color w:val="000000" w:themeColor="text1"/>
          <w:lang w:val="es-ES"/>
        </w:rPr>
        <w:t>:</w:t>
      </w:r>
      <w:r w:rsidR="00036F20">
        <w:rPr>
          <w:rFonts w:ascii="Arial" w:hAnsi="Arial" w:cs="Arial"/>
          <w:bCs/>
          <w:color w:val="000000" w:themeColor="text1"/>
          <w:lang w:val="es-ES"/>
        </w:rPr>
        <w:t xml:space="preserve"> A</w:t>
      </w:r>
      <w:r w:rsidR="000032FD" w:rsidRPr="000032FD">
        <w:rPr>
          <w:rFonts w:ascii="Arial" w:hAnsi="Arial" w:cs="Arial"/>
          <w:bCs/>
          <w:color w:val="000000" w:themeColor="text1"/>
          <w:lang w:val="es-ES"/>
        </w:rPr>
        <w:t xml:space="preserve">l equipamiento lógico o soporte lógico de un sistema informático, que comprende el conjunto de los componentes lógicos necesarios que hacen posible la realización de tareas específicas, en contraposición a los componentes físicos </w:t>
      </w:r>
    </w:p>
    <w:p w14:paraId="00285379" w14:textId="732318BB" w:rsidR="00C45D49" w:rsidRDefault="00DA6A34" w:rsidP="000032FD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bCs/>
          <w:color w:val="000000" w:themeColor="text1"/>
          <w:lang w:val="es-ES"/>
        </w:rPr>
      </w:pPr>
      <w:r w:rsidRPr="000032FD">
        <w:rPr>
          <w:rFonts w:ascii="Arial" w:hAnsi="Arial" w:cs="Arial"/>
          <w:b/>
          <w:bCs/>
          <w:color w:val="000000" w:themeColor="text1"/>
          <w:lang w:val="es-ES"/>
        </w:rPr>
        <w:t>APLICATIVO:</w:t>
      </w:r>
      <w:r w:rsidRPr="000032FD">
        <w:rPr>
          <w:rFonts w:ascii="Arial" w:hAnsi="Arial" w:cs="Arial"/>
          <w:bCs/>
          <w:color w:val="000000" w:themeColor="text1"/>
          <w:lang w:val="es-ES"/>
        </w:rPr>
        <w:t xml:space="preserve"> </w:t>
      </w:r>
      <w:r w:rsidR="000032FD" w:rsidRPr="000032FD">
        <w:rPr>
          <w:rFonts w:ascii="Arial" w:hAnsi="Arial" w:cs="Arial"/>
          <w:bCs/>
          <w:color w:val="000000" w:themeColor="text1"/>
          <w:lang w:val="es-ES"/>
        </w:rPr>
        <w:t xml:space="preserve">Programa informático preparado para una utilización específica </w:t>
      </w:r>
    </w:p>
    <w:p w14:paraId="55698080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4D5F36">
        <w:rPr>
          <w:rFonts w:ascii="Arial" w:hAnsi="Arial" w:cs="Arial"/>
          <w:b/>
          <w:color w:val="000000" w:themeColor="text1"/>
        </w:rPr>
        <w:lastRenderedPageBreak/>
        <w:t>DESCRIPCIÓN DEL PROCEDIMIENTO</w:t>
      </w:r>
    </w:p>
    <w:p w14:paraId="4B738052" w14:textId="77777777" w:rsidR="004F2D69" w:rsidRPr="004D5F36" w:rsidRDefault="000B51E5" w:rsidP="004F2D69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val="es-MX" w:eastAsia="es-MX"/>
        </w:rPr>
        <w:drawing>
          <wp:inline distT="0" distB="0" distL="0" distR="0" wp14:anchorId="2D2AF87C" wp14:editId="648B76B3">
            <wp:extent cx="6388445" cy="6693332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000" cy="671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EB11E" w14:textId="77777777" w:rsidR="00C03DE4" w:rsidRDefault="00C03DE4" w:rsidP="00C03DE4">
      <w:pPr>
        <w:jc w:val="both"/>
        <w:rPr>
          <w:rFonts w:ascii="Arial" w:hAnsi="Arial" w:cs="Arial"/>
          <w:b/>
          <w:color w:val="5B9BD5" w:themeColor="accent1"/>
        </w:rPr>
      </w:pPr>
    </w:p>
    <w:p w14:paraId="33AD91E2" w14:textId="77777777" w:rsidR="000B51E5" w:rsidRDefault="000B51E5" w:rsidP="00C03DE4">
      <w:pPr>
        <w:jc w:val="both"/>
        <w:rPr>
          <w:rFonts w:ascii="Arial" w:hAnsi="Arial" w:cs="Arial"/>
          <w:b/>
          <w:color w:val="5B9BD5" w:themeColor="accent1"/>
        </w:rPr>
      </w:pPr>
      <w:r>
        <w:rPr>
          <w:rFonts w:ascii="Arial" w:hAnsi="Arial" w:cs="Arial"/>
          <w:b/>
          <w:noProof/>
          <w:color w:val="5B9BD5" w:themeColor="accent1"/>
          <w:lang w:val="es-MX" w:eastAsia="es-MX"/>
        </w:rPr>
        <w:lastRenderedPageBreak/>
        <w:drawing>
          <wp:inline distT="0" distB="0" distL="0" distR="0" wp14:anchorId="5555A012" wp14:editId="50EAB3B8">
            <wp:extent cx="6790271" cy="23876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76" cy="241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2579B" w14:textId="77777777" w:rsidR="00C45D49" w:rsidRDefault="00C45D49" w:rsidP="00C03DE4">
      <w:pPr>
        <w:jc w:val="both"/>
        <w:rPr>
          <w:rFonts w:ascii="Arial" w:hAnsi="Arial" w:cs="Arial"/>
          <w:b/>
          <w:color w:val="5B9BD5" w:themeColor="accent1"/>
        </w:rPr>
      </w:pPr>
    </w:p>
    <w:p w14:paraId="12A2A803" w14:textId="77777777" w:rsidR="00A81F79" w:rsidRDefault="00A81F79" w:rsidP="00C03DE4">
      <w:pPr>
        <w:jc w:val="both"/>
        <w:rPr>
          <w:rFonts w:ascii="Arial" w:hAnsi="Arial" w:cs="Arial"/>
          <w:b/>
          <w:color w:val="5B9BD5" w:themeColor="accent1"/>
        </w:rPr>
      </w:pPr>
    </w:p>
    <w:p w14:paraId="07A8457C" w14:textId="77777777" w:rsidR="006A5C8E" w:rsidRDefault="006A5C8E" w:rsidP="006A5C8E">
      <w:pPr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DOCUMENTACION ASOCIADA</w:t>
      </w:r>
    </w:p>
    <w:p w14:paraId="5D7E6822" w14:textId="77777777" w:rsidR="006A5C8E" w:rsidRDefault="006A5C8E" w:rsidP="006A5C8E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5C710DDC" w14:textId="32F48713" w:rsidR="006A5C8E" w:rsidRDefault="006A5C8E" w:rsidP="00A81F79">
      <w:pPr>
        <w:rPr>
          <w:rFonts w:ascii="Arial" w:hAnsi="Arial" w:cs="Arial"/>
          <w:bCs/>
          <w:color w:val="000000" w:themeColor="text1"/>
          <w:lang w:val="es-ES"/>
        </w:rPr>
      </w:pPr>
      <w:r w:rsidRPr="00A81F79">
        <w:rPr>
          <w:rFonts w:ascii="Arial" w:hAnsi="Arial" w:cs="Arial"/>
          <w:bCs/>
          <w:color w:val="000000" w:themeColor="text1"/>
          <w:lang w:val="es-ES"/>
        </w:rPr>
        <w:t xml:space="preserve">Manual de Políticas de seguridad de la información adoptado según </w:t>
      </w:r>
      <w:r w:rsidR="00D96697" w:rsidRPr="00A81F79">
        <w:rPr>
          <w:rFonts w:ascii="Arial" w:hAnsi="Arial" w:cs="Arial"/>
          <w:bCs/>
          <w:color w:val="000000" w:themeColor="text1"/>
          <w:lang w:val="es-ES"/>
        </w:rPr>
        <w:t>Resolución</w:t>
      </w:r>
      <w:r w:rsidR="00806039" w:rsidRPr="00A81F79">
        <w:rPr>
          <w:rFonts w:ascii="Arial" w:hAnsi="Arial" w:cs="Arial"/>
          <w:bCs/>
          <w:color w:val="000000" w:themeColor="text1"/>
          <w:lang w:val="es-ES"/>
        </w:rPr>
        <w:t xml:space="preserve"> 1405 de 2019</w:t>
      </w:r>
    </w:p>
    <w:p w14:paraId="42F0BB55" w14:textId="77777777" w:rsidR="00A81F79" w:rsidRPr="00A81F79" w:rsidRDefault="00A81F79" w:rsidP="00A81F79">
      <w:pPr>
        <w:rPr>
          <w:rFonts w:ascii="Arial" w:hAnsi="Arial" w:cs="Arial"/>
          <w:bCs/>
          <w:color w:val="000000" w:themeColor="text1"/>
          <w:lang w:val="es-ES"/>
        </w:rPr>
      </w:pPr>
    </w:p>
    <w:p w14:paraId="4CB055F5" w14:textId="77777777" w:rsidR="006A5C8E" w:rsidRPr="001F2BD2" w:rsidRDefault="006A5C8E" w:rsidP="006A5C8E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23DE6DF3" w14:textId="77777777" w:rsidR="006A5C8E" w:rsidRDefault="006A5C8E" w:rsidP="006A5C8E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84F76">
        <w:rPr>
          <w:rFonts w:ascii="Arial" w:hAnsi="Arial" w:cs="Arial"/>
          <w:b/>
        </w:rPr>
        <w:t>CONTROL DE CAMBIOS</w:t>
      </w:r>
    </w:p>
    <w:p w14:paraId="272CC3DE" w14:textId="77777777" w:rsidR="006A5C8E" w:rsidRDefault="006A5C8E" w:rsidP="006A5C8E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534"/>
        <w:gridCol w:w="7401"/>
      </w:tblGrid>
      <w:tr w:rsidR="006A5C8E" w:rsidRPr="00E84F76" w14:paraId="2E0C9E75" w14:textId="77777777" w:rsidTr="00752AE5">
        <w:trPr>
          <w:trHeight w:val="126"/>
          <w:tblHeader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BFDEA47" w14:textId="77777777" w:rsidR="006A5C8E" w:rsidRPr="00E84F76" w:rsidRDefault="006A5C8E" w:rsidP="00752AE5">
            <w:pPr>
              <w:jc w:val="center"/>
              <w:rPr>
                <w:rFonts w:ascii="Arial" w:hAnsi="Arial" w:cs="Arial"/>
                <w:b/>
              </w:rPr>
            </w:pPr>
            <w:r w:rsidRPr="00E84F76">
              <w:rPr>
                <w:rFonts w:ascii="Arial" w:hAnsi="Arial" w:cs="Arial"/>
                <w:b/>
              </w:rPr>
              <w:t>Nº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71168DA" w14:textId="77777777" w:rsidR="006A5C8E" w:rsidRPr="00E84F76" w:rsidRDefault="006A5C8E" w:rsidP="00752AE5">
            <w:pPr>
              <w:jc w:val="center"/>
              <w:rPr>
                <w:rFonts w:ascii="Arial" w:hAnsi="Arial" w:cs="Arial"/>
                <w:b/>
              </w:rPr>
            </w:pPr>
            <w:r w:rsidRPr="00E84F76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1F062D6" w14:textId="77777777" w:rsidR="006A5C8E" w:rsidRPr="00E84F76" w:rsidRDefault="006A5C8E" w:rsidP="00752AE5">
            <w:pPr>
              <w:jc w:val="center"/>
              <w:rPr>
                <w:rFonts w:ascii="Arial" w:hAnsi="Arial" w:cs="Arial"/>
                <w:b/>
              </w:rPr>
            </w:pPr>
            <w:r w:rsidRPr="00E84F76">
              <w:rPr>
                <w:rFonts w:ascii="Arial" w:hAnsi="Arial" w:cs="Arial"/>
                <w:b/>
              </w:rPr>
              <w:t>DESCRIPCIÓN DEL CAMBIO</w:t>
            </w:r>
          </w:p>
        </w:tc>
      </w:tr>
      <w:tr w:rsidR="005341DB" w:rsidRPr="00E84F76" w14:paraId="534FEF0D" w14:textId="77777777" w:rsidTr="00752A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7CBF1" w14:textId="77777777" w:rsidR="005341DB" w:rsidRPr="00E84F76" w:rsidRDefault="005341DB" w:rsidP="00752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7A36F" w14:textId="668DE323" w:rsidR="005341DB" w:rsidRPr="00E84F76" w:rsidRDefault="008C2DCF" w:rsidP="00752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341DB">
              <w:rPr>
                <w:rFonts w:ascii="Arial" w:hAnsi="Arial" w:cs="Arial"/>
              </w:rPr>
              <w:t>-</w:t>
            </w:r>
            <w:r w:rsidR="008F4106">
              <w:rPr>
                <w:rFonts w:ascii="Arial" w:hAnsi="Arial" w:cs="Arial"/>
              </w:rPr>
              <w:t>12-</w:t>
            </w:r>
            <w:r w:rsidR="005341DB">
              <w:rPr>
                <w:rFonts w:ascii="Arial" w:hAnsi="Arial" w:cs="Arial"/>
              </w:rPr>
              <w:t>2019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5ACB8" w14:textId="24B59735" w:rsidR="005341DB" w:rsidRPr="00E84F76" w:rsidRDefault="008C2DCF" w:rsidP="008C2DCF">
            <w:p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procedimiento llamado “Procedimiento de Backup </w:t>
            </w:r>
            <w:r w:rsidR="005424E2">
              <w:rPr>
                <w:rFonts w:ascii="Arial" w:hAnsi="Arial" w:cs="Arial"/>
              </w:rPr>
              <w:t>“fue</w:t>
            </w:r>
            <w:r>
              <w:rPr>
                <w:rFonts w:ascii="Arial" w:hAnsi="Arial" w:cs="Arial"/>
              </w:rPr>
              <w:t xml:space="preserve"> analizado en su ejecución práctica, y derivo en la versión inicial de un nuevo procedimiento denominado “Generación de Copias de Seguridad de los Activos de Información” en donde s</w:t>
            </w:r>
            <w:r w:rsidR="005341DB">
              <w:rPr>
                <w:rFonts w:ascii="Arial" w:hAnsi="Arial" w:cs="Arial"/>
              </w:rPr>
              <w:t xml:space="preserve">e ajusta el objetivo del procedimiento, su alcance, la normatividad asociada, </w:t>
            </w:r>
            <w:r w:rsidR="00CA09A1">
              <w:rPr>
                <w:rFonts w:ascii="Arial" w:hAnsi="Arial" w:cs="Arial"/>
              </w:rPr>
              <w:t>la docume</w:t>
            </w:r>
            <w:r>
              <w:rPr>
                <w:rFonts w:ascii="Arial" w:hAnsi="Arial" w:cs="Arial"/>
              </w:rPr>
              <w:t>ntación asociada, y se ajusta la</w:t>
            </w:r>
            <w:r w:rsidR="00CA09A1">
              <w:rPr>
                <w:rFonts w:ascii="Arial" w:hAnsi="Arial" w:cs="Arial"/>
              </w:rPr>
              <w:t xml:space="preserve"> estructura</w:t>
            </w:r>
            <w:r>
              <w:rPr>
                <w:rFonts w:ascii="Arial" w:hAnsi="Arial" w:cs="Arial"/>
              </w:rPr>
              <w:t xml:space="preserve"> de las actividades  que integran </w:t>
            </w:r>
            <w:r w:rsidR="00A118AD">
              <w:rPr>
                <w:rFonts w:ascii="Arial" w:hAnsi="Arial" w:cs="Arial"/>
              </w:rPr>
              <w:t>el procedimiento.</w:t>
            </w:r>
          </w:p>
        </w:tc>
      </w:tr>
      <w:tr w:rsidR="005341DB" w:rsidRPr="00E84F76" w14:paraId="6C4F0F5F" w14:textId="77777777" w:rsidTr="00752AE5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D1A10" w14:textId="77777777" w:rsidR="005341DB" w:rsidRPr="00E84F76" w:rsidRDefault="005341DB" w:rsidP="00752A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DBE76" w14:textId="77777777" w:rsidR="005341DB" w:rsidRPr="00E84F76" w:rsidRDefault="005341DB" w:rsidP="00752A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0AF3A" w14:textId="77777777" w:rsidR="005341DB" w:rsidRPr="00E84F76" w:rsidRDefault="005341DB" w:rsidP="00752AE5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259CB3BE" w14:textId="77777777" w:rsidR="006A5C8E" w:rsidRDefault="006A5C8E" w:rsidP="00C03DE4">
      <w:pPr>
        <w:jc w:val="both"/>
        <w:rPr>
          <w:rFonts w:ascii="Arial" w:hAnsi="Arial" w:cs="Arial"/>
          <w:b/>
          <w:color w:val="5B9BD5" w:themeColor="accent1"/>
        </w:rPr>
      </w:pPr>
    </w:p>
    <w:p w14:paraId="041F9527" w14:textId="77777777" w:rsidR="00A81F79" w:rsidRPr="00D8048D" w:rsidRDefault="00A81F79" w:rsidP="00C03DE4">
      <w:pPr>
        <w:jc w:val="both"/>
        <w:rPr>
          <w:rFonts w:ascii="Arial" w:hAnsi="Arial" w:cs="Arial"/>
          <w:b/>
          <w:color w:val="5B9BD5" w:themeColor="accent1"/>
        </w:rPr>
      </w:pPr>
    </w:p>
    <w:p w14:paraId="1D27DEC6" w14:textId="66D6BF0D" w:rsidR="00BC5976" w:rsidRPr="005341DB" w:rsidRDefault="00A560F2" w:rsidP="005341D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5341DB">
        <w:rPr>
          <w:rFonts w:ascii="Arial" w:hAnsi="Arial" w:cs="Arial"/>
          <w:b/>
          <w:color w:val="000000" w:themeColor="text1"/>
        </w:rPr>
        <w:t>ANEXOS</w:t>
      </w:r>
      <w:r w:rsidR="00061033" w:rsidRPr="005341DB">
        <w:rPr>
          <w:rFonts w:ascii="Arial" w:hAnsi="Arial" w:cs="Arial"/>
          <w:b/>
          <w:color w:val="000000" w:themeColor="text1"/>
        </w:rPr>
        <w:t xml:space="preserve"> </w:t>
      </w:r>
    </w:p>
    <w:p w14:paraId="1D9A184A" w14:textId="77777777" w:rsidR="00385309" w:rsidRPr="004D5F36" w:rsidRDefault="00385309" w:rsidP="00BC5976">
      <w:pPr>
        <w:jc w:val="both"/>
        <w:rPr>
          <w:rFonts w:ascii="Arial" w:hAnsi="Arial" w:cs="Arial"/>
          <w:color w:val="000000" w:themeColor="text1"/>
        </w:rPr>
      </w:pPr>
    </w:p>
    <w:p w14:paraId="523F89BA" w14:textId="356FFFC4" w:rsidR="00385309" w:rsidRDefault="006C04A7" w:rsidP="004B499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 contiene f</w:t>
      </w:r>
      <w:r w:rsidR="004B4998">
        <w:rPr>
          <w:rFonts w:ascii="Arial" w:hAnsi="Arial" w:cs="Arial"/>
          <w:color w:val="000000" w:themeColor="text1"/>
        </w:rPr>
        <w:t>ormatos asociados para la ejecución de las actividades del procedimiento.</w:t>
      </w:r>
    </w:p>
    <w:p w14:paraId="4AA9ADB1" w14:textId="77777777" w:rsidR="00A81F79" w:rsidRDefault="00A81F79" w:rsidP="004B4998">
      <w:pPr>
        <w:jc w:val="both"/>
        <w:rPr>
          <w:rFonts w:ascii="Arial" w:hAnsi="Arial" w:cs="Arial"/>
          <w:color w:val="000000" w:themeColor="text1"/>
        </w:rPr>
      </w:pPr>
    </w:p>
    <w:p w14:paraId="27A7C326" w14:textId="3B867686" w:rsidR="004B4998" w:rsidRDefault="001165EE" w:rsidP="004B499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Se cita como </w:t>
      </w:r>
      <w:r w:rsidR="00A81F79">
        <w:rPr>
          <w:rFonts w:ascii="Arial" w:hAnsi="Arial" w:cs="Arial"/>
          <w:color w:val="000000" w:themeColor="text1"/>
        </w:rPr>
        <w:t>documentación a</w:t>
      </w:r>
      <w:r w:rsidR="005341DB">
        <w:rPr>
          <w:rFonts w:ascii="Arial" w:hAnsi="Arial" w:cs="Arial"/>
          <w:color w:val="000000" w:themeColor="text1"/>
        </w:rPr>
        <w:t xml:space="preserve">sociada, </w:t>
      </w:r>
      <w:r>
        <w:rPr>
          <w:rFonts w:ascii="Arial" w:hAnsi="Arial" w:cs="Arial"/>
          <w:color w:val="000000" w:themeColor="text1"/>
        </w:rPr>
        <w:t xml:space="preserve">la política de seguridad de la información descrita en el manual de políticas de seguridad de </w:t>
      </w:r>
      <w:r w:rsidR="00A81F79">
        <w:rPr>
          <w:rFonts w:ascii="Arial" w:hAnsi="Arial" w:cs="Arial"/>
          <w:color w:val="000000" w:themeColor="text1"/>
        </w:rPr>
        <w:t>la información de la Cámara de R</w:t>
      </w:r>
      <w:r>
        <w:rPr>
          <w:rFonts w:ascii="Arial" w:hAnsi="Arial" w:cs="Arial"/>
          <w:color w:val="000000" w:themeColor="text1"/>
        </w:rPr>
        <w:t>epresentantes adoptado mediante Resolución 1405 del 18 de junio de 2019.</w:t>
      </w:r>
    </w:p>
    <w:p w14:paraId="57358F54" w14:textId="77777777" w:rsidR="00BC5976" w:rsidRPr="00D8048D" w:rsidRDefault="00BC5976" w:rsidP="00BC5976">
      <w:pPr>
        <w:jc w:val="both"/>
        <w:rPr>
          <w:color w:val="5B9BD5" w:themeColor="accent1"/>
        </w:rPr>
      </w:pPr>
    </w:p>
    <w:p w14:paraId="23E12579" w14:textId="77777777" w:rsidR="006A5C8E" w:rsidRPr="006A5C8E" w:rsidRDefault="006A5C8E">
      <w:pPr>
        <w:rPr>
          <w:color w:val="5B9BD5" w:themeColor="accent1"/>
          <w:lang w:val="es-ES"/>
        </w:rPr>
      </w:pPr>
    </w:p>
    <w:sectPr w:rsidR="006A5C8E" w:rsidRPr="006A5C8E" w:rsidSect="000436A8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FEE50" w14:textId="77777777" w:rsidR="00660C8C" w:rsidRDefault="00660C8C" w:rsidP="00BC5976">
      <w:r>
        <w:separator/>
      </w:r>
    </w:p>
  </w:endnote>
  <w:endnote w:type="continuationSeparator" w:id="0">
    <w:p w14:paraId="4B3886EF" w14:textId="77777777" w:rsidR="00660C8C" w:rsidRDefault="00660C8C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0" w:type="dxa"/>
      <w:tblInd w:w="6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5"/>
      <w:gridCol w:w="3669"/>
      <w:gridCol w:w="4706"/>
    </w:tblGrid>
    <w:tr w:rsidR="000436A8" w:rsidRPr="00B24DAB" w14:paraId="513DE5FF" w14:textId="77777777" w:rsidTr="008563F2">
      <w:trPr>
        <w:trHeight w:val="345"/>
      </w:trPr>
      <w:tc>
        <w:tcPr>
          <w:tcW w:w="1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39F4525" w14:textId="77777777" w:rsidR="000436A8" w:rsidRDefault="000436A8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  <w:p w14:paraId="66D3EB71" w14:textId="2AD97E63" w:rsidR="008C2DCF" w:rsidRPr="008C2DCF" w:rsidRDefault="008C2DCF" w:rsidP="008563F2">
          <w:pPr>
            <w:jc w:val="center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8C2DCF">
            <w:rPr>
              <w:rFonts w:ascii="Arial" w:hAnsi="Arial" w:cs="Arial"/>
              <w:bCs/>
              <w:color w:val="000000"/>
              <w:sz w:val="16"/>
              <w:szCs w:val="16"/>
            </w:rPr>
            <w:t>Contratista del equipo de Calidad</w:t>
          </w:r>
        </w:p>
      </w:tc>
      <w:tc>
        <w:tcPr>
          <w:tcW w:w="36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62AA3CA" w14:textId="77777777" w:rsidR="008C2DCF" w:rsidRDefault="000436A8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  <w:r w:rsidR="008C2DC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</w:p>
        <w:p w14:paraId="6AFC43E9" w14:textId="5CDA81FB" w:rsidR="000436A8" w:rsidRPr="00B24DAB" w:rsidRDefault="008C2DCF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8C2DCF">
            <w:rPr>
              <w:rFonts w:ascii="Arial" w:hAnsi="Arial" w:cs="Arial"/>
              <w:bCs/>
              <w:color w:val="000000"/>
              <w:sz w:val="16"/>
              <w:szCs w:val="16"/>
            </w:rPr>
            <w:t>Contratista Líder del equipo de Calidad</w:t>
          </w:r>
        </w:p>
      </w:tc>
      <w:tc>
        <w:tcPr>
          <w:tcW w:w="47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B25D304" w14:textId="77777777" w:rsidR="008C2DCF" w:rsidRDefault="000436A8" w:rsidP="008563F2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  <w:r w:rsidR="008C2DCF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</w:t>
          </w:r>
        </w:p>
        <w:p w14:paraId="6AC63721" w14:textId="6CEDBC38" w:rsidR="000436A8" w:rsidRPr="008C2DCF" w:rsidRDefault="008C2DCF" w:rsidP="008563F2">
          <w:pPr>
            <w:jc w:val="center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8C2DCF">
            <w:rPr>
              <w:rFonts w:ascii="Arial" w:hAnsi="Arial" w:cs="Arial"/>
              <w:bCs/>
              <w:color w:val="000000"/>
              <w:sz w:val="16"/>
              <w:szCs w:val="16"/>
            </w:rPr>
            <w:t>Comité Coordinador de Con</w:t>
          </w:r>
          <w:r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trol Interno </w:t>
          </w:r>
        </w:p>
      </w:tc>
    </w:tr>
    <w:tr w:rsidR="000436A8" w:rsidRPr="00B24DAB" w14:paraId="3BED377B" w14:textId="77777777" w:rsidTr="008563F2">
      <w:trPr>
        <w:trHeight w:val="552"/>
      </w:trPr>
      <w:tc>
        <w:tcPr>
          <w:tcW w:w="1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4EAD4EF6" w14:textId="6E79FC73" w:rsidR="00772F65" w:rsidRPr="00B24DAB" w:rsidRDefault="00DA6A34" w:rsidP="00772F65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</w:t>
          </w:r>
          <w:r w:rsidR="008C2DCF">
            <w:rPr>
              <w:rFonts w:ascii="Arial" w:hAnsi="Arial" w:cs="Arial"/>
              <w:color w:val="000000"/>
              <w:sz w:val="16"/>
              <w:szCs w:val="16"/>
            </w:rPr>
            <w:t>: 12-11-2019</w:t>
          </w:r>
        </w:p>
      </w:tc>
      <w:tc>
        <w:tcPr>
          <w:tcW w:w="36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69BB1FB6" w14:textId="775A9E56" w:rsidR="000436A8" w:rsidRPr="00B24DAB" w:rsidRDefault="00DA6A34" w:rsidP="008563F2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</w:t>
          </w:r>
          <w:r w:rsidR="008C2DCF">
            <w:rPr>
              <w:rFonts w:ascii="Arial" w:hAnsi="Arial" w:cs="Arial"/>
              <w:color w:val="000000"/>
              <w:sz w:val="16"/>
              <w:szCs w:val="16"/>
            </w:rPr>
            <w:t xml:space="preserve">: 19-12-2019 </w:t>
          </w:r>
        </w:p>
      </w:tc>
      <w:tc>
        <w:tcPr>
          <w:tcW w:w="470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BC7BFB" w14:textId="3E5ECC6C" w:rsidR="000436A8" w:rsidRPr="00B24DAB" w:rsidRDefault="00DA6A34" w:rsidP="008563F2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Fecha</w:t>
          </w:r>
          <w:r w:rsidR="008C2DCF">
            <w:rPr>
              <w:rFonts w:ascii="Arial" w:hAnsi="Arial" w:cs="Arial"/>
              <w:color w:val="000000"/>
              <w:sz w:val="16"/>
              <w:szCs w:val="16"/>
            </w:rPr>
            <w:t>: 18.12.2019</w:t>
          </w:r>
        </w:p>
      </w:tc>
    </w:tr>
  </w:tbl>
  <w:p w14:paraId="167647B9" w14:textId="77777777" w:rsidR="000436A8" w:rsidRDefault="000436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5C828" w14:textId="77777777" w:rsidR="00660C8C" w:rsidRDefault="00660C8C" w:rsidP="00BC5976">
      <w:r>
        <w:separator/>
      </w:r>
    </w:p>
  </w:footnote>
  <w:footnote w:type="continuationSeparator" w:id="0">
    <w:p w14:paraId="54DEEA90" w14:textId="77777777" w:rsidR="00660C8C" w:rsidRDefault="00660C8C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74" w:type="pct"/>
      <w:tblInd w:w="-60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7"/>
      <w:gridCol w:w="6143"/>
      <w:gridCol w:w="962"/>
      <w:gridCol w:w="1146"/>
    </w:tblGrid>
    <w:tr w:rsidR="00BC5976" w14:paraId="72E35547" w14:textId="77777777" w:rsidTr="00950EAD">
      <w:trPr>
        <w:cantSplit/>
        <w:trHeight w:val="526"/>
      </w:trPr>
      <w:tc>
        <w:tcPr>
          <w:tcW w:w="1406" w:type="pct"/>
          <w:vMerge w:val="restart"/>
          <w:vAlign w:val="center"/>
        </w:tcPr>
        <w:p w14:paraId="3B9F9D7D" w14:textId="77777777"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MX" w:eastAsia="es-MX"/>
            </w:rPr>
            <w:drawing>
              <wp:inline distT="0" distB="0" distL="0" distR="0" wp14:anchorId="5360C892" wp14:editId="42FB75C3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pct"/>
          <w:gridSpan w:val="3"/>
          <w:vAlign w:val="center"/>
        </w:tcPr>
        <w:p w14:paraId="7A4890BC" w14:textId="77777777" w:rsidR="006A5C8E" w:rsidRDefault="006A5C8E" w:rsidP="006A5C8E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CAMARA DE REPRESENTANTES</w:t>
          </w:r>
        </w:p>
        <w:p w14:paraId="4CE56DAA" w14:textId="77777777" w:rsidR="006A5C8E" w:rsidRPr="00BC5976" w:rsidRDefault="006A5C8E" w:rsidP="006A5C8E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DIRECCION ADMINISTRATIVA</w:t>
          </w:r>
        </w:p>
        <w:p w14:paraId="6F7B93D5" w14:textId="18ACE5DB" w:rsidR="00BC5976" w:rsidRPr="00BC5976" w:rsidRDefault="006A5C8E" w:rsidP="006A5C8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B669F">
            <w:rPr>
              <w:rFonts w:ascii="Arial" w:hAnsi="Arial"/>
              <w:b/>
            </w:rPr>
            <w:t>OFICINA DE PLANEACIÓN Y SISTEMAS</w:t>
          </w:r>
        </w:p>
      </w:tc>
    </w:tr>
    <w:tr w:rsidR="00BC5976" w14:paraId="664142EB" w14:textId="77777777" w:rsidTr="00950EAD">
      <w:trPr>
        <w:cantSplit/>
        <w:trHeight w:val="306"/>
      </w:trPr>
      <w:tc>
        <w:tcPr>
          <w:tcW w:w="1406" w:type="pct"/>
          <w:vMerge/>
          <w:vAlign w:val="center"/>
        </w:tcPr>
        <w:p w14:paraId="164B6B39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76" w:type="pct"/>
          <w:vMerge w:val="restart"/>
          <w:vAlign w:val="center"/>
        </w:tcPr>
        <w:p w14:paraId="7A5688F1" w14:textId="77777777" w:rsidR="006A5C8E" w:rsidRDefault="006A5C8E" w:rsidP="006A5C8E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>
            <w:rPr>
              <w:rFonts w:ascii="Arial" w:hAnsi="Arial" w:cs="Arial"/>
              <w:b/>
            </w:rPr>
            <w:t xml:space="preserve">GENERACIÓN DE COPIAS DE SEGURIDAD DE LOS ACTIVOS DE INFORMACIÓN </w:t>
          </w:r>
        </w:p>
        <w:p w14:paraId="3BC74F66" w14:textId="47169E5F" w:rsidR="006A5C8E" w:rsidRDefault="006A5C8E" w:rsidP="006A5C8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Pr="00976B6B">
            <w:rPr>
              <w:rFonts w:ascii="Arial" w:hAnsi="Arial" w:cs="Arial"/>
              <w:b/>
            </w:rPr>
            <w:t>1</w:t>
          </w:r>
          <w:r>
            <w:rPr>
              <w:rFonts w:ascii="Arial" w:hAnsi="Arial" w:cs="Arial"/>
              <w:b/>
            </w:rPr>
            <w:t xml:space="preserve"> </w:t>
          </w:r>
          <w:r w:rsidRPr="00976B6B">
            <w:rPr>
              <w:rFonts w:ascii="Arial" w:hAnsi="Arial" w:cs="Arial"/>
              <w:b/>
            </w:rPr>
            <w:t>D</w:t>
          </w:r>
          <w:r w:rsidR="00950EAD">
            <w:rPr>
              <w:rFonts w:ascii="Arial" w:hAnsi="Arial" w:cs="Arial"/>
              <w:b/>
            </w:rPr>
            <w:t>E</w:t>
          </w:r>
        </w:p>
        <w:p w14:paraId="5775B0B8" w14:textId="2D5762AC" w:rsidR="006A5C8E" w:rsidRPr="00BC5976" w:rsidRDefault="006A5C8E" w:rsidP="006A5C8E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419" w:type="pct"/>
          <w:vAlign w:val="center"/>
        </w:tcPr>
        <w:p w14:paraId="5909652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99" w:type="pct"/>
          <w:vAlign w:val="center"/>
        </w:tcPr>
        <w:p w14:paraId="587A48A2" w14:textId="092A4943" w:rsidR="00BC5976" w:rsidRDefault="00950EAD" w:rsidP="00BF515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3TI</w:t>
          </w:r>
          <w:r w:rsidR="00153675">
            <w:rPr>
              <w:rFonts w:ascii="Arial" w:hAnsi="Arial" w:cs="Arial"/>
              <w:sz w:val="16"/>
              <w:szCs w:val="16"/>
            </w:rPr>
            <w:t>P</w:t>
          </w:r>
          <w:r w:rsidR="00BF5153">
            <w:rPr>
              <w:rFonts w:ascii="Arial" w:hAnsi="Arial" w:cs="Arial"/>
              <w:sz w:val="16"/>
              <w:szCs w:val="16"/>
            </w:rPr>
            <w:t>7</w:t>
          </w:r>
        </w:p>
      </w:tc>
    </w:tr>
    <w:tr w:rsidR="00BC5976" w14:paraId="0BBA1D13" w14:textId="77777777" w:rsidTr="00950EAD">
      <w:trPr>
        <w:cantSplit/>
        <w:trHeight w:val="140"/>
      </w:trPr>
      <w:tc>
        <w:tcPr>
          <w:tcW w:w="1406" w:type="pct"/>
          <w:vMerge/>
          <w:vAlign w:val="center"/>
        </w:tcPr>
        <w:p w14:paraId="70B129EE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76" w:type="pct"/>
          <w:vMerge/>
          <w:vAlign w:val="center"/>
        </w:tcPr>
        <w:p w14:paraId="57A2734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19" w:type="pct"/>
          <w:vAlign w:val="center"/>
        </w:tcPr>
        <w:p w14:paraId="0E2CCF73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99" w:type="pct"/>
          <w:vAlign w:val="center"/>
        </w:tcPr>
        <w:p w14:paraId="681F16C9" w14:textId="77777777" w:rsidR="00BC5976" w:rsidRDefault="00DA3F22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  <w:tr w:rsidR="00BC5976" w14:paraId="1956CE5B" w14:textId="77777777" w:rsidTr="00950EAD">
      <w:trPr>
        <w:cantSplit/>
        <w:trHeight w:val="130"/>
      </w:trPr>
      <w:tc>
        <w:tcPr>
          <w:tcW w:w="1406" w:type="pct"/>
          <w:vMerge/>
          <w:vAlign w:val="center"/>
        </w:tcPr>
        <w:p w14:paraId="7DFA25A2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76" w:type="pct"/>
          <w:vMerge/>
          <w:vAlign w:val="center"/>
        </w:tcPr>
        <w:p w14:paraId="0082BFDA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19" w:type="pct"/>
          <w:vAlign w:val="center"/>
        </w:tcPr>
        <w:p w14:paraId="3306B562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99" w:type="pct"/>
          <w:vAlign w:val="center"/>
        </w:tcPr>
        <w:p w14:paraId="23694A5E" w14:textId="64290417" w:rsidR="00BC5976" w:rsidRDefault="00950EAD" w:rsidP="00E231C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18-12-19</w:t>
          </w:r>
          <w:r w:rsidR="000508D8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BC5976" w14:paraId="54887B4D" w14:textId="77777777" w:rsidTr="00950EAD">
      <w:trPr>
        <w:cantSplit/>
        <w:trHeight w:val="74"/>
      </w:trPr>
      <w:tc>
        <w:tcPr>
          <w:tcW w:w="1406" w:type="pct"/>
          <w:vMerge/>
          <w:vAlign w:val="center"/>
        </w:tcPr>
        <w:p w14:paraId="32373EDB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76" w:type="pct"/>
          <w:vMerge/>
          <w:vAlign w:val="center"/>
        </w:tcPr>
        <w:p w14:paraId="0C7325D3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19" w:type="pct"/>
          <w:vAlign w:val="center"/>
        </w:tcPr>
        <w:p w14:paraId="387ECBB5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99" w:type="pct"/>
          <w:vAlign w:val="center"/>
        </w:tcPr>
        <w:p w14:paraId="7359BBD9" w14:textId="4529F1B0" w:rsidR="00BC5976" w:rsidRDefault="00F22053" w:rsidP="000436A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0436A8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="000436A8" w:rsidRPr="000436A8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0436A8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0508D8" w:rsidRPr="000508D8">
            <w:rPr>
              <w:rFonts w:ascii="Arial" w:hAnsi="Arial" w:cs="Arial"/>
              <w:b/>
              <w:noProof/>
              <w:sz w:val="16"/>
              <w:szCs w:val="16"/>
              <w:lang w:val="es-ES"/>
            </w:rPr>
            <w:t>1</w:t>
          </w:r>
          <w:r w:rsidRPr="000436A8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="000436A8" w:rsidRPr="000436A8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0508D8" w:rsidRPr="000508D8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4</w:t>
            </w:r>
          </w:fldSimple>
        </w:p>
      </w:tc>
    </w:tr>
  </w:tbl>
  <w:p w14:paraId="12EF2266" w14:textId="77777777" w:rsidR="00BC5976" w:rsidRDefault="00BC59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7F16"/>
    <w:multiLevelType w:val="hybridMultilevel"/>
    <w:tmpl w:val="9F2254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24D66"/>
    <w:multiLevelType w:val="hybridMultilevel"/>
    <w:tmpl w:val="8054B4F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7863"/>
    <w:multiLevelType w:val="singleLevel"/>
    <w:tmpl w:val="30906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 w:themeColor="text1"/>
      </w:rPr>
    </w:lvl>
  </w:abstractNum>
  <w:abstractNum w:abstractNumId="3">
    <w:nsid w:val="25295BFD"/>
    <w:multiLevelType w:val="hybridMultilevel"/>
    <w:tmpl w:val="77DEE43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E84AFD"/>
    <w:multiLevelType w:val="hybridMultilevel"/>
    <w:tmpl w:val="0C905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B0E4B"/>
    <w:multiLevelType w:val="hybridMultilevel"/>
    <w:tmpl w:val="FC0AD8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C3830"/>
    <w:multiLevelType w:val="hybridMultilevel"/>
    <w:tmpl w:val="CDA6DA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76"/>
    <w:rsid w:val="000032FD"/>
    <w:rsid w:val="000141F2"/>
    <w:rsid w:val="00036F20"/>
    <w:rsid w:val="000436A8"/>
    <w:rsid w:val="000508D8"/>
    <w:rsid w:val="00061033"/>
    <w:rsid w:val="000A1916"/>
    <w:rsid w:val="000B51E5"/>
    <w:rsid w:val="000D3F54"/>
    <w:rsid w:val="000F7E0C"/>
    <w:rsid w:val="0010408D"/>
    <w:rsid w:val="00114EFA"/>
    <w:rsid w:val="001165EE"/>
    <w:rsid w:val="0014006E"/>
    <w:rsid w:val="00147B4D"/>
    <w:rsid w:val="00152143"/>
    <w:rsid w:val="00153675"/>
    <w:rsid w:val="00162673"/>
    <w:rsid w:val="001638D6"/>
    <w:rsid w:val="00182438"/>
    <w:rsid w:val="0018249B"/>
    <w:rsid w:val="001876BD"/>
    <w:rsid w:val="00195CB9"/>
    <w:rsid w:val="001E7358"/>
    <w:rsid w:val="00211477"/>
    <w:rsid w:val="0023124B"/>
    <w:rsid w:val="002335FE"/>
    <w:rsid w:val="002531F4"/>
    <w:rsid w:val="00254956"/>
    <w:rsid w:val="002577B3"/>
    <w:rsid w:val="0029573C"/>
    <w:rsid w:val="002972A8"/>
    <w:rsid w:val="002E7ED1"/>
    <w:rsid w:val="0033193F"/>
    <w:rsid w:val="0033742E"/>
    <w:rsid w:val="00385309"/>
    <w:rsid w:val="003A049E"/>
    <w:rsid w:val="003C6428"/>
    <w:rsid w:val="00407CE2"/>
    <w:rsid w:val="00423575"/>
    <w:rsid w:val="00443149"/>
    <w:rsid w:val="00451E97"/>
    <w:rsid w:val="004B4998"/>
    <w:rsid w:val="004D5F36"/>
    <w:rsid w:val="004E200B"/>
    <w:rsid w:val="004F2D69"/>
    <w:rsid w:val="00517B94"/>
    <w:rsid w:val="005237B5"/>
    <w:rsid w:val="005341DB"/>
    <w:rsid w:val="005424E2"/>
    <w:rsid w:val="005879B7"/>
    <w:rsid w:val="005B6110"/>
    <w:rsid w:val="005C0B40"/>
    <w:rsid w:val="005C45BC"/>
    <w:rsid w:val="005F58BF"/>
    <w:rsid w:val="0061784E"/>
    <w:rsid w:val="00617CE4"/>
    <w:rsid w:val="006246A7"/>
    <w:rsid w:val="00630B81"/>
    <w:rsid w:val="00660C8C"/>
    <w:rsid w:val="00690365"/>
    <w:rsid w:val="0069219F"/>
    <w:rsid w:val="00692455"/>
    <w:rsid w:val="006A5C8E"/>
    <w:rsid w:val="006C00A1"/>
    <w:rsid w:val="006C04A7"/>
    <w:rsid w:val="006F7F97"/>
    <w:rsid w:val="00705B11"/>
    <w:rsid w:val="00714319"/>
    <w:rsid w:val="007172CF"/>
    <w:rsid w:val="007515D5"/>
    <w:rsid w:val="00772F65"/>
    <w:rsid w:val="007B034C"/>
    <w:rsid w:val="007B335B"/>
    <w:rsid w:val="007B4066"/>
    <w:rsid w:val="007C045C"/>
    <w:rsid w:val="00806039"/>
    <w:rsid w:val="0081620C"/>
    <w:rsid w:val="00823565"/>
    <w:rsid w:val="0083524B"/>
    <w:rsid w:val="00852EFF"/>
    <w:rsid w:val="00865739"/>
    <w:rsid w:val="00866D46"/>
    <w:rsid w:val="008B0646"/>
    <w:rsid w:val="008B57A8"/>
    <w:rsid w:val="008B6362"/>
    <w:rsid w:val="008C2DCF"/>
    <w:rsid w:val="008E57F1"/>
    <w:rsid w:val="008F4106"/>
    <w:rsid w:val="009216C2"/>
    <w:rsid w:val="009346E7"/>
    <w:rsid w:val="00950EAD"/>
    <w:rsid w:val="00962772"/>
    <w:rsid w:val="00A118AD"/>
    <w:rsid w:val="00A20A35"/>
    <w:rsid w:val="00A21380"/>
    <w:rsid w:val="00A2513A"/>
    <w:rsid w:val="00A33DEE"/>
    <w:rsid w:val="00A44027"/>
    <w:rsid w:val="00A4563A"/>
    <w:rsid w:val="00A47880"/>
    <w:rsid w:val="00A560F2"/>
    <w:rsid w:val="00A81F79"/>
    <w:rsid w:val="00A95B84"/>
    <w:rsid w:val="00AC356C"/>
    <w:rsid w:val="00AC4C4D"/>
    <w:rsid w:val="00B10E0F"/>
    <w:rsid w:val="00B443CF"/>
    <w:rsid w:val="00B527E8"/>
    <w:rsid w:val="00B763E3"/>
    <w:rsid w:val="00B858C9"/>
    <w:rsid w:val="00B901D5"/>
    <w:rsid w:val="00BA1F49"/>
    <w:rsid w:val="00BA3571"/>
    <w:rsid w:val="00BC5976"/>
    <w:rsid w:val="00BD6F89"/>
    <w:rsid w:val="00BF5153"/>
    <w:rsid w:val="00C03DE4"/>
    <w:rsid w:val="00C21852"/>
    <w:rsid w:val="00C326D0"/>
    <w:rsid w:val="00C3478A"/>
    <w:rsid w:val="00C45D49"/>
    <w:rsid w:val="00C72C70"/>
    <w:rsid w:val="00C81858"/>
    <w:rsid w:val="00C829B3"/>
    <w:rsid w:val="00CA09A1"/>
    <w:rsid w:val="00CB5DE3"/>
    <w:rsid w:val="00CB7AD5"/>
    <w:rsid w:val="00CE19C4"/>
    <w:rsid w:val="00CE2880"/>
    <w:rsid w:val="00CE396E"/>
    <w:rsid w:val="00D07475"/>
    <w:rsid w:val="00D26D57"/>
    <w:rsid w:val="00D507F6"/>
    <w:rsid w:val="00D8048D"/>
    <w:rsid w:val="00D96697"/>
    <w:rsid w:val="00DA3F22"/>
    <w:rsid w:val="00DA6A34"/>
    <w:rsid w:val="00DB19C5"/>
    <w:rsid w:val="00DC6F69"/>
    <w:rsid w:val="00DF52D7"/>
    <w:rsid w:val="00E231C9"/>
    <w:rsid w:val="00E36F1E"/>
    <w:rsid w:val="00E82B6D"/>
    <w:rsid w:val="00E90E7A"/>
    <w:rsid w:val="00E961B8"/>
    <w:rsid w:val="00EA1111"/>
    <w:rsid w:val="00EB46AD"/>
    <w:rsid w:val="00ED4695"/>
    <w:rsid w:val="00EF5D40"/>
    <w:rsid w:val="00F10675"/>
    <w:rsid w:val="00F1211D"/>
    <w:rsid w:val="00F22053"/>
    <w:rsid w:val="00F36F63"/>
    <w:rsid w:val="00F744D8"/>
    <w:rsid w:val="00FA50CF"/>
    <w:rsid w:val="00FC261B"/>
    <w:rsid w:val="00FC3564"/>
    <w:rsid w:val="00FD34DE"/>
    <w:rsid w:val="00FD6247"/>
    <w:rsid w:val="00FE032E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EB0359"/>
  <w15:docId w15:val="{61D1E8A3-C49A-4F8F-9197-21E28666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6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6D0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FA5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45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CIELO</cp:lastModifiedBy>
  <cp:revision>8</cp:revision>
  <dcterms:created xsi:type="dcterms:W3CDTF">2020-01-20T16:40:00Z</dcterms:created>
  <dcterms:modified xsi:type="dcterms:W3CDTF">2019-12-18T21:33:00Z</dcterms:modified>
</cp:coreProperties>
</file>