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0FAB7" w14:textId="385DF3B2" w:rsidR="00415F8B" w:rsidRDefault="00415F8B" w:rsidP="00415F8B">
      <w:pPr>
        <w:jc w:val="center"/>
        <w:rPr>
          <w:rFonts w:ascii="Times New Roman" w:hAnsi="Times New Roman" w:cs="Times New Roman"/>
          <w:i/>
          <w:iCs/>
          <w:sz w:val="28"/>
          <w:szCs w:val="28"/>
        </w:rPr>
      </w:pPr>
      <w:bookmarkStart w:id="0" w:name="_Hlk63337929"/>
      <w:r w:rsidRPr="00BB6A05">
        <w:rPr>
          <w:rFonts w:ascii="Times New Roman" w:hAnsi="Times New Roman" w:cs="Times New Roman"/>
          <w:b/>
          <w:i/>
          <w:iCs/>
          <w:sz w:val="28"/>
          <w:szCs w:val="28"/>
        </w:rPr>
        <w:t>Proyecto de ley No.</w:t>
      </w:r>
      <w:r w:rsidR="00BB6A05" w:rsidRPr="00BB6A05">
        <w:rPr>
          <w:rFonts w:ascii="Times New Roman" w:hAnsi="Times New Roman" w:cs="Times New Roman"/>
          <w:b/>
          <w:i/>
          <w:iCs/>
          <w:sz w:val="28"/>
          <w:szCs w:val="28"/>
        </w:rPr>
        <w:t xml:space="preserve">     </w:t>
      </w:r>
      <w:r w:rsidRPr="00BB6A05">
        <w:rPr>
          <w:rFonts w:ascii="Times New Roman" w:hAnsi="Times New Roman" w:cs="Times New Roman"/>
          <w:b/>
          <w:i/>
          <w:iCs/>
          <w:sz w:val="28"/>
          <w:szCs w:val="28"/>
        </w:rPr>
        <w:t xml:space="preserve">     </w:t>
      </w:r>
      <w:r w:rsidR="00BB6A05" w:rsidRPr="00BB6A05">
        <w:rPr>
          <w:rFonts w:ascii="Times New Roman" w:hAnsi="Times New Roman" w:cs="Times New Roman"/>
          <w:b/>
          <w:i/>
          <w:iCs/>
          <w:sz w:val="28"/>
          <w:szCs w:val="28"/>
        </w:rPr>
        <w:t>d</w:t>
      </w:r>
      <w:r w:rsidRPr="00BB6A05">
        <w:rPr>
          <w:rFonts w:ascii="Times New Roman" w:hAnsi="Times New Roman" w:cs="Times New Roman"/>
          <w:b/>
          <w:i/>
          <w:iCs/>
          <w:sz w:val="28"/>
          <w:szCs w:val="28"/>
        </w:rPr>
        <w:t xml:space="preserve">e 2021 </w:t>
      </w:r>
      <w:r w:rsidR="00BB6A05" w:rsidRPr="00BB6A05">
        <w:rPr>
          <w:rFonts w:ascii="Times New Roman" w:hAnsi="Times New Roman" w:cs="Times New Roman"/>
          <w:b/>
          <w:i/>
          <w:iCs/>
          <w:sz w:val="28"/>
          <w:szCs w:val="28"/>
        </w:rPr>
        <w:t>Cámara</w:t>
      </w:r>
      <w:r w:rsidR="00BB6A05">
        <w:rPr>
          <w:rFonts w:ascii="Times New Roman" w:hAnsi="Times New Roman" w:cs="Times New Roman"/>
          <w:i/>
          <w:iCs/>
          <w:sz w:val="28"/>
          <w:szCs w:val="28"/>
        </w:rPr>
        <w:t xml:space="preserve"> </w:t>
      </w:r>
      <w:r w:rsidRPr="00BB6A05">
        <w:rPr>
          <w:rFonts w:ascii="Times New Roman" w:hAnsi="Times New Roman" w:cs="Times New Roman"/>
          <w:b/>
          <w:i/>
          <w:iCs/>
          <w:sz w:val="28"/>
          <w:szCs w:val="28"/>
        </w:rPr>
        <w:t>“</w:t>
      </w:r>
      <w:r w:rsidR="004100C5" w:rsidRPr="00BB6A05">
        <w:rPr>
          <w:rFonts w:ascii="Times New Roman" w:hAnsi="Times New Roman" w:cs="Times New Roman"/>
          <w:b/>
          <w:i/>
          <w:iCs/>
          <w:sz w:val="28"/>
          <w:szCs w:val="28"/>
        </w:rPr>
        <w:t>Por medio del cual se establece la imprescriptibilidad de los delitos de corrupción</w:t>
      </w:r>
      <w:r w:rsidRPr="00BB6A05">
        <w:rPr>
          <w:rFonts w:ascii="Times New Roman" w:hAnsi="Times New Roman" w:cs="Times New Roman"/>
          <w:b/>
          <w:i/>
          <w:iCs/>
          <w:sz w:val="28"/>
          <w:szCs w:val="28"/>
        </w:rPr>
        <w:t>”</w:t>
      </w:r>
    </w:p>
    <w:p w14:paraId="5F2622B1" w14:textId="1D46EECA" w:rsidR="00BB6A05" w:rsidRPr="00BB6A05" w:rsidRDefault="00BB6A05" w:rsidP="00415F8B">
      <w:pPr>
        <w:jc w:val="center"/>
        <w:rPr>
          <w:rFonts w:ascii="Times New Roman" w:hAnsi="Times New Roman" w:cs="Times New Roman"/>
          <w:iCs/>
          <w:sz w:val="28"/>
          <w:szCs w:val="28"/>
        </w:rPr>
      </w:pPr>
      <w:r w:rsidRPr="00BB6A05">
        <w:rPr>
          <w:rFonts w:ascii="Times New Roman" w:hAnsi="Times New Roman" w:cs="Times New Roman"/>
          <w:iCs/>
          <w:sz w:val="28"/>
          <w:szCs w:val="28"/>
        </w:rPr>
        <w:t xml:space="preserve">EL CONGRESO DE COLOMBIA </w:t>
      </w:r>
    </w:p>
    <w:p w14:paraId="4ED332C7" w14:textId="48009415" w:rsidR="00BB6A05" w:rsidRPr="00BB6A05" w:rsidRDefault="00BB6A05" w:rsidP="00415F8B">
      <w:pPr>
        <w:jc w:val="center"/>
        <w:rPr>
          <w:rFonts w:ascii="Times New Roman" w:hAnsi="Times New Roman" w:cs="Times New Roman"/>
          <w:iCs/>
          <w:sz w:val="28"/>
          <w:szCs w:val="28"/>
        </w:rPr>
      </w:pPr>
      <w:r w:rsidRPr="00BB6A05">
        <w:rPr>
          <w:rFonts w:ascii="Times New Roman" w:hAnsi="Times New Roman" w:cs="Times New Roman"/>
          <w:iCs/>
          <w:sz w:val="28"/>
          <w:szCs w:val="28"/>
        </w:rPr>
        <w:t>DECRETA:</w:t>
      </w:r>
    </w:p>
    <w:p w14:paraId="5D929A4D" w14:textId="5C03ECDA"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b/>
          <w:iCs/>
          <w:sz w:val="28"/>
          <w:szCs w:val="28"/>
        </w:rPr>
        <w:t>ARTÍCULO 1</w:t>
      </w:r>
      <w:r w:rsidRPr="00224B3B">
        <w:rPr>
          <w:rFonts w:ascii="Times New Roman" w:hAnsi="Times New Roman" w:cs="Times New Roman"/>
          <w:iCs/>
          <w:sz w:val="28"/>
          <w:szCs w:val="28"/>
        </w:rPr>
        <w:t>. Modifíquese el artículo 83 de la Ley 599 del 2000 "Por la cual se expide el Código Penal", el cual quedará así:</w:t>
      </w:r>
      <w:bookmarkStart w:id="1" w:name="_GoBack"/>
      <w:bookmarkEnd w:id="1"/>
    </w:p>
    <w:p w14:paraId="079B5EE4" w14:textId="5C367282"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b/>
          <w:iCs/>
          <w:sz w:val="28"/>
          <w:szCs w:val="28"/>
        </w:rPr>
        <w:t xml:space="preserve">ARTÍCULO 83. TÉRMINO DE PRESCRIPCIÓN DE LA ACCIÓN PENAL. </w:t>
      </w:r>
      <w:r w:rsidRPr="00224B3B">
        <w:rPr>
          <w:rFonts w:ascii="Times New Roman" w:hAnsi="Times New Roman" w:cs="Times New Roman"/>
          <w:iCs/>
          <w:sz w:val="28"/>
          <w:szCs w:val="28"/>
        </w:rPr>
        <w:t>La acción penal prescribirá en un tiempo igual al máximo de la pena fijada en la ley, si fuere privativa de la libertad, pero en ningún caso será inferior a cinco (5) años, ni excederá de veinte (20), salvo lo dispuesto en los incisos siguientes de este artículo.</w:t>
      </w:r>
    </w:p>
    <w:p w14:paraId="3F423856" w14:textId="4BEBC0FA"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iCs/>
          <w:sz w:val="28"/>
          <w:szCs w:val="28"/>
        </w:rPr>
        <w:t>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1B5A9D7A" w14:textId="5CDF184C"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iCs/>
          <w:sz w:val="28"/>
          <w:szCs w:val="28"/>
        </w:rPr>
        <w:t>Cuando se trate de delitos contra la libertad, integridad y formación sexuales, o el delito de incesto, cometidos en menores de 18 años, la acción penal será imprescriptible.</w:t>
      </w:r>
    </w:p>
    <w:p w14:paraId="136084E7" w14:textId="17BBC1D6"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iCs/>
          <w:sz w:val="28"/>
          <w:szCs w:val="28"/>
        </w:rPr>
        <w:t>En las conductas punibles que tengan señalada pena no privativa de la libertad, la acción penal prescribirá en cinco (5) años.</w:t>
      </w:r>
    </w:p>
    <w:p w14:paraId="774E712F" w14:textId="5E16D4AB"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iCs/>
          <w:sz w:val="28"/>
          <w:szCs w:val="28"/>
        </w:rPr>
        <w:t>Para este efecto, se tendrán en cuenta las causales sustanciales modificadoras de la punibilidad.</w:t>
      </w:r>
    </w:p>
    <w:p w14:paraId="515E1E05" w14:textId="197D1F66"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iCs/>
          <w:sz w:val="28"/>
          <w:szCs w:val="28"/>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2FD3CCB4" w14:textId="2E8B5AA8" w:rsidR="004100C5" w:rsidRPr="00224B3B" w:rsidRDefault="004100C5" w:rsidP="004100C5">
      <w:pPr>
        <w:jc w:val="both"/>
        <w:rPr>
          <w:rFonts w:ascii="Times New Roman" w:hAnsi="Times New Roman" w:cs="Times New Roman"/>
          <w:b/>
          <w:iCs/>
          <w:sz w:val="28"/>
          <w:szCs w:val="28"/>
          <w:u w:val="single"/>
        </w:rPr>
      </w:pPr>
      <w:r w:rsidRPr="00224B3B">
        <w:rPr>
          <w:rFonts w:ascii="Times New Roman" w:hAnsi="Times New Roman" w:cs="Times New Roman"/>
          <w:b/>
          <w:iCs/>
          <w:sz w:val="28"/>
          <w:szCs w:val="28"/>
          <w:u w:val="single"/>
        </w:rPr>
        <w:t xml:space="preserve">No prescribirá la acción penal cuando se tratare de delitos que atenten contra la administración pública, </w:t>
      </w:r>
      <w:r w:rsidR="000A6959" w:rsidRPr="00224B3B">
        <w:rPr>
          <w:rFonts w:ascii="Times New Roman" w:hAnsi="Times New Roman" w:cs="Times New Roman"/>
          <w:b/>
          <w:iCs/>
          <w:sz w:val="28"/>
          <w:szCs w:val="28"/>
          <w:u w:val="single"/>
        </w:rPr>
        <w:t xml:space="preserve">contra la fe pública, contra la seguridad pública, </w:t>
      </w:r>
      <w:r w:rsidR="000A6959" w:rsidRPr="00224B3B">
        <w:rPr>
          <w:rFonts w:ascii="Times New Roman" w:hAnsi="Times New Roman" w:cs="Times New Roman"/>
          <w:b/>
          <w:iCs/>
          <w:sz w:val="28"/>
          <w:szCs w:val="28"/>
          <w:u w:val="single"/>
        </w:rPr>
        <w:lastRenderedPageBreak/>
        <w:t xml:space="preserve">contra mecanismos de participación democrática o contra la eficaz y recta impartición de justicia. </w:t>
      </w:r>
    </w:p>
    <w:p w14:paraId="78249595" w14:textId="705A0ABB" w:rsidR="000A6959" w:rsidRPr="00224B3B" w:rsidRDefault="000A6959" w:rsidP="004100C5">
      <w:pPr>
        <w:jc w:val="both"/>
        <w:rPr>
          <w:rFonts w:ascii="Times New Roman" w:hAnsi="Times New Roman" w:cs="Times New Roman"/>
          <w:b/>
          <w:iCs/>
          <w:sz w:val="28"/>
          <w:szCs w:val="28"/>
          <w:u w:val="single"/>
        </w:rPr>
      </w:pPr>
      <w:r w:rsidRPr="00224B3B">
        <w:rPr>
          <w:rFonts w:ascii="Times New Roman" w:hAnsi="Times New Roman" w:cs="Times New Roman"/>
          <w:b/>
          <w:iCs/>
          <w:sz w:val="28"/>
          <w:szCs w:val="28"/>
          <w:u w:val="single"/>
        </w:rPr>
        <w:t>Lo establecido en el inciso anterior no aplicará cuando se trate de delitos cometidos en modalidad culposa, ni cuando la única pena principal contemplada en el tipo penal sea de multa, ni cuando la pena mínima establecida sea inferior a tres (3) años.</w:t>
      </w:r>
    </w:p>
    <w:p w14:paraId="36732F36" w14:textId="1F781A38"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iCs/>
          <w:sz w:val="28"/>
          <w:szCs w:val="28"/>
        </w:rPr>
        <w:t>También se aumentará el término de prescripción, en la mitad, cuando la conducta punible se hubiere iniciado o consumado en el exterior.</w:t>
      </w:r>
    </w:p>
    <w:p w14:paraId="1BDD0F53" w14:textId="6C848831" w:rsidR="004100C5" w:rsidRPr="00224B3B" w:rsidRDefault="004100C5" w:rsidP="004100C5">
      <w:pPr>
        <w:jc w:val="both"/>
        <w:rPr>
          <w:rFonts w:ascii="Times New Roman" w:hAnsi="Times New Roman" w:cs="Times New Roman"/>
          <w:iCs/>
          <w:sz w:val="28"/>
          <w:szCs w:val="28"/>
        </w:rPr>
      </w:pPr>
      <w:r w:rsidRPr="00224B3B">
        <w:rPr>
          <w:rFonts w:ascii="Times New Roman" w:hAnsi="Times New Roman" w:cs="Times New Roman"/>
          <w:iCs/>
          <w:sz w:val="28"/>
          <w:szCs w:val="28"/>
        </w:rPr>
        <w:t>En todo caso, cuando se aumente el término de prescripción, no se excederá el límite máximo fijado.</w:t>
      </w:r>
    </w:p>
    <w:p w14:paraId="3369AF85" w14:textId="1AE1A340" w:rsidR="00B23A28" w:rsidRPr="00224B3B" w:rsidRDefault="00B23A28" w:rsidP="004100C5">
      <w:pPr>
        <w:jc w:val="both"/>
        <w:rPr>
          <w:rFonts w:ascii="Times New Roman" w:hAnsi="Times New Roman" w:cs="Times New Roman"/>
          <w:iCs/>
          <w:sz w:val="28"/>
          <w:szCs w:val="28"/>
        </w:rPr>
      </w:pPr>
      <w:r w:rsidRPr="00224B3B">
        <w:rPr>
          <w:rFonts w:ascii="Times New Roman" w:hAnsi="Times New Roman" w:cs="Times New Roman"/>
          <w:b/>
          <w:bCs/>
          <w:iCs/>
          <w:sz w:val="28"/>
          <w:szCs w:val="28"/>
        </w:rPr>
        <w:t xml:space="preserve">ARTÍCULO 2. </w:t>
      </w:r>
      <w:r w:rsidRPr="00224B3B">
        <w:rPr>
          <w:rFonts w:ascii="Times New Roman" w:hAnsi="Times New Roman" w:cs="Times New Roman"/>
          <w:iCs/>
          <w:sz w:val="28"/>
          <w:szCs w:val="28"/>
        </w:rPr>
        <w:t>Modifíquese el artículo 94 de la ley 599 del 2000 el cual quedará así:</w:t>
      </w:r>
    </w:p>
    <w:p w14:paraId="5D408CD0" w14:textId="67AE7531" w:rsidR="00B23A28" w:rsidRPr="00224B3B" w:rsidRDefault="00B23A28" w:rsidP="004100C5">
      <w:pPr>
        <w:jc w:val="both"/>
        <w:rPr>
          <w:rFonts w:ascii="Times New Roman" w:hAnsi="Times New Roman" w:cs="Times New Roman"/>
          <w:iCs/>
          <w:sz w:val="28"/>
          <w:szCs w:val="28"/>
        </w:rPr>
      </w:pPr>
      <w:r w:rsidRPr="00224B3B">
        <w:rPr>
          <w:rFonts w:ascii="Times New Roman" w:hAnsi="Times New Roman" w:cs="Times New Roman"/>
          <w:b/>
          <w:bCs/>
          <w:iCs/>
          <w:sz w:val="28"/>
          <w:szCs w:val="28"/>
        </w:rPr>
        <w:t>ARTICULO 94. REPARACION DEL DAÑO.</w:t>
      </w:r>
      <w:r w:rsidRPr="00224B3B">
        <w:rPr>
          <w:rFonts w:ascii="Times New Roman" w:hAnsi="Times New Roman" w:cs="Times New Roman"/>
          <w:iCs/>
          <w:sz w:val="28"/>
          <w:szCs w:val="28"/>
        </w:rPr>
        <w:t xml:space="preserve"> La conducta punible origina obligación de reparar los daños materiales y morales causados con ocasión de aquella.</w:t>
      </w:r>
    </w:p>
    <w:p w14:paraId="1D213230" w14:textId="2CE1BB60" w:rsidR="000C69DF" w:rsidRPr="00224B3B" w:rsidRDefault="00B23A28" w:rsidP="00C37E2D">
      <w:pPr>
        <w:jc w:val="both"/>
        <w:rPr>
          <w:rFonts w:ascii="Times New Roman" w:hAnsi="Times New Roman" w:cs="Times New Roman"/>
          <w:b/>
          <w:iCs/>
          <w:sz w:val="28"/>
          <w:szCs w:val="28"/>
          <w:u w:val="single"/>
        </w:rPr>
      </w:pPr>
      <w:r w:rsidRPr="00224B3B">
        <w:rPr>
          <w:rFonts w:ascii="Times New Roman" w:hAnsi="Times New Roman" w:cs="Times New Roman"/>
          <w:b/>
          <w:bCs/>
          <w:iCs/>
          <w:sz w:val="28"/>
          <w:szCs w:val="28"/>
          <w:u w:val="single"/>
        </w:rPr>
        <w:t>Cuando los delitos cometidos fuesen aquellos que</w:t>
      </w:r>
      <w:r w:rsidRPr="00224B3B">
        <w:rPr>
          <w:rFonts w:ascii="Times New Roman" w:hAnsi="Times New Roman" w:cs="Times New Roman"/>
          <w:b/>
          <w:iCs/>
          <w:sz w:val="28"/>
          <w:szCs w:val="28"/>
          <w:u w:val="single"/>
        </w:rPr>
        <w:t xml:space="preserve"> atenten contra la administración pública, contra la fe pública, contra la seguridad pública, contra mecanismos de participación democrática o contra la eficaz y recta impartición de justicia la reparación podrá ser hasta de</w:t>
      </w:r>
      <w:r w:rsidR="00C96AB0" w:rsidRPr="00224B3B">
        <w:rPr>
          <w:rFonts w:ascii="Times New Roman" w:hAnsi="Times New Roman" w:cs="Times New Roman"/>
          <w:b/>
          <w:iCs/>
          <w:sz w:val="28"/>
          <w:szCs w:val="28"/>
          <w:u w:val="single"/>
        </w:rPr>
        <w:t xml:space="preserve"> tres</w:t>
      </w:r>
      <w:r w:rsidRPr="00224B3B">
        <w:rPr>
          <w:rFonts w:ascii="Times New Roman" w:hAnsi="Times New Roman" w:cs="Times New Roman"/>
          <w:b/>
          <w:iCs/>
          <w:sz w:val="28"/>
          <w:szCs w:val="28"/>
          <w:u w:val="single"/>
        </w:rPr>
        <w:t xml:space="preserve"> </w:t>
      </w:r>
      <w:r w:rsidR="00C96AB0" w:rsidRPr="00224B3B">
        <w:rPr>
          <w:rFonts w:ascii="Times New Roman" w:hAnsi="Times New Roman" w:cs="Times New Roman"/>
          <w:b/>
          <w:iCs/>
          <w:sz w:val="28"/>
          <w:szCs w:val="28"/>
          <w:u w:val="single"/>
        </w:rPr>
        <w:t>(</w:t>
      </w:r>
      <w:r w:rsidRPr="00224B3B">
        <w:rPr>
          <w:rFonts w:ascii="Times New Roman" w:hAnsi="Times New Roman" w:cs="Times New Roman"/>
          <w:b/>
          <w:iCs/>
          <w:sz w:val="28"/>
          <w:szCs w:val="28"/>
          <w:u w:val="single"/>
        </w:rPr>
        <w:t>3</w:t>
      </w:r>
      <w:r w:rsidR="00C96AB0" w:rsidRPr="00224B3B">
        <w:rPr>
          <w:rFonts w:ascii="Times New Roman" w:hAnsi="Times New Roman" w:cs="Times New Roman"/>
          <w:b/>
          <w:iCs/>
          <w:sz w:val="28"/>
          <w:szCs w:val="28"/>
          <w:u w:val="single"/>
        </w:rPr>
        <w:t>)</w:t>
      </w:r>
      <w:r w:rsidRPr="00224B3B">
        <w:rPr>
          <w:rFonts w:ascii="Times New Roman" w:hAnsi="Times New Roman" w:cs="Times New Roman"/>
          <w:b/>
          <w:iCs/>
          <w:sz w:val="28"/>
          <w:szCs w:val="28"/>
          <w:u w:val="single"/>
        </w:rPr>
        <w:t xml:space="preserve"> veces el daño material causado. </w:t>
      </w:r>
      <w:bookmarkEnd w:id="0"/>
    </w:p>
    <w:p w14:paraId="5B287FE7" w14:textId="552C8473" w:rsidR="00C96AB0" w:rsidRPr="00224B3B" w:rsidRDefault="00C96AB0" w:rsidP="00C96AB0">
      <w:pPr>
        <w:jc w:val="both"/>
        <w:rPr>
          <w:rFonts w:ascii="Times New Roman" w:hAnsi="Times New Roman" w:cs="Times New Roman"/>
          <w:iCs/>
          <w:sz w:val="28"/>
          <w:szCs w:val="28"/>
        </w:rPr>
      </w:pPr>
      <w:r w:rsidRPr="00224B3B">
        <w:rPr>
          <w:rFonts w:ascii="Times New Roman" w:hAnsi="Times New Roman" w:cs="Times New Roman"/>
          <w:b/>
          <w:bCs/>
          <w:iCs/>
          <w:sz w:val="28"/>
          <w:szCs w:val="28"/>
        </w:rPr>
        <w:t xml:space="preserve">ARTÍCULO 3. </w:t>
      </w:r>
      <w:r w:rsidRPr="00224B3B">
        <w:rPr>
          <w:rFonts w:ascii="Times New Roman" w:hAnsi="Times New Roman" w:cs="Times New Roman"/>
          <w:iCs/>
          <w:sz w:val="28"/>
          <w:szCs w:val="28"/>
        </w:rPr>
        <w:t>Modifíquese el artículo 97 de la ley 599 del 2000 el cual quedará así:</w:t>
      </w:r>
    </w:p>
    <w:p w14:paraId="57EC2B5C" w14:textId="1A483E98" w:rsidR="00DC67B8" w:rsidRPr="00224B3B" w:rsidRDefault="00C96AB0" w:rsidP="00C37E2D">
      <w:pPr>
        <w:jc w:val="both"/>
        <w:rPr>
          <w:rFonts w:ascii="Times New Roman" w:hAnsi="Times New Roman" w:cs="Times New Roman"/>
          <w:bCs/>
          <w:iCs/>
          <w:sz w:val="28"/>
          <w:szCs w:val="28"/>
        </w:rPr>
      </w:pPr>
      <w:r w:rsidRPr="00224B3B">
        <w:rPr>
          <w:rFonts w:ascii="Times New Roman" w:hAnsi="Times New Roman" w:cs="Times New Roman"/>
          <w:b/>
          <w:iCs/>
          <w:sz w:val="28"/>
          <w:szCs w:val="28"/>
        </w:rPr>
        <w:t>ARTICULO 97. INDEMNIZACION POR DAÑOS.</w:t>
      </w:r>
      <w:r w:rsidRPr="00224B3B">
        <w:rPr>
          <w:rFonts w:ascii="Times New Roman" w:hAnsi="Times New Roman" w:cs="Times New Roman"/>
          <w:bCs/>
          <w:iCs/>
          <w:sz w:val="28"/>
          <w:szCs w:val="28"/>
        </w:rPr>
        <w:t xml:space="preserve"> En relación con el daño derivado de la conducta punible el juez podrá señalar como indemnización, una suma equivalente, en moneda nacional, hasta mil (1000) salarios mínimos legales mensuales.</w:t>
      </w:r>
    </w:p>
    <w:p w14:paraId="3B55F7C3" w14:textId="526D057F" w:rsidR="00C96AB0" w:rsidRPr="00224B3B" w:rsidRDefault="00C96AB0" w:rsidP="00C37E2D">
      <w:pPr>
        <w:jc w:val="both"/>
        <w:rPr>
          <w:rFonts w:ascii="Times New Roman" w:hAnsi="Times New Roman" w:cs="Times New Roman"/>
          <w:b/>
          <w:iCs/>
          <w:sz w:val="28"/>
          <w:szCs w:val="28"/>
          <w:u w:val="single"/>
        </w:rPr>
      </w:pPr>
      <w:r w:rsidRPr="00224B3B">
        <w:rPr>
          <w:rFonts w:ascii="Times New Roman" w:hAnsi="Times New Roman" w:cs="Times New Roman"/>
          <w:b/>
          <w:iCs/>
          <w:sz w:val="28"/>
          <w:szCs w:val="28"/>
          <w:u w:val="single"/>
        </w:rPr>
        <w:t>La excepción al tope descrito en el inciso anterior será cuando se tratare de la imposición de la reparación agravada a la que se refiere el segundo inciso del artículo 94 del presente código en cuyo caso, el tope será el que resulte del daño multiplicado por tres (3) según sea el caso.</w:t>
      </w:r>
    </w:p>
    <w:p w14:paraId="3A4B3576" w14:textId="22D772FC" w:rsidR="00C96AB0" w:rsidRPr="00224B3B" w:rsidRDefault="00DC67B8" w:rsidP="00C37E2D">
      <w:pPr>
        <w:jc w:val="both"/>
        <w:rPr>
          <w:rFonts w:ascii="Times New Roman" w:hAnsi="Times New Roman" w:cs="Times New Roman"/>
          <w:b/>
          <w:bCs/>
          <w:sz w:val="28"/>
          <w:szCs w:val="28"/>
        </w:rPr>
      </w:pPr>
      <w:r w:rsidRPr="00224B3B">
        <w:rPr>
          <w:rFonts w:ascii="Times New Roman" w:hAnsi="Times New Roman" w:cs="Times New Roman"/>
          <w:sz w:val="28"/>
          <w:szCs w:val="28"/>
        </w:rPr>
        <w:lastRenderedPageBreak/>
        <w:t>Esta tasación se hará teniendo en cuenta factores como la naturaleza de la conducta y la magnitud del daño causado.</w:t>
      </w:r>
    </w:p>
    <w:p w14:paraId="6A32D4F5" w14:textId="368A28A6" w:rsidR="004100C5" w:rsidRPr="00224B3B" w:rsidRDefault="001119BD" w:rsidP="00C37E2D">
      <w:pPr>
        <w:jc w:val="both"/>
        <w:rPr>
          <w:rFonts w:ascii="Times New Roman" w:hAnsi="Times New Roman" w:cs="Times New Roman"/>
          <w:b/>
          <w:bCs/>
          <w:sz w:val="28"/>
          <w:szCs w:val="28"/>
        </w:rPr>
      </w:pPr>
      <w:r w:rsidRPr="00224B3B">
        <w:rPr>
          <w:rFonts w:ascii="Times New Roman" w:hAnsi="Times New Roman" w:cs="Times New Roman"/>
          <w:b/>
          <w:bCs/>
          <w:sz w:val="28"/>
          <w:szCs w:val="28"/>
        </w:rPr>
        <w:t xml:space="preserve">ARTÍCULO </w:t>
      </w:r>
      <w:r w:rsidR="00C96AB0" w:rsidRPr="00224B3B">
        <w:rPr>
          <w:rFonts w:ascii="Times New Roman" w:hAnsi="Times New Roman" w:cs="Times New Roman"/>
          <w:b/>
          <w:bCs/>
          <w:sz w:val="28"/>
          <w:szCs w:val="28"/>
        </w:rPr>
        <w:t>4</w:t>
      </w:r>
      <w:r w:rsidRPr="00224B3B">
        <w:rPr>
          <w:rFonts w:ascii="Times New Roman" w:hAnsi="Times New Roman" w:cs="Times New Roman"/>
          <w:b/>
          <w:bCs/>
          <w:sz w:val="28"/>
          <w:szCs w:val="28"/>
        </w:rPr>
        <w:t xml:space="preserve">. </w:t>
      </w:r>
      <w:r w:rsidRPr="00224B3B">
        <w:rPr>
          <w:rFonts w:ascii="Times New Roman" w:hAnsi="Times New Roman" w:cs="Times New Roman"/>
          <w:bCs/>
          <w:sz w:val="28"/>
          <w:szCs w:val="28"/>
        </w:rPr>
        <w:t>Esta ley rige a partir de la fecha de su promulgación y deroga todas las disposiciones que le sean contrarias.</w:t>
      </w:r>
    </w:p>
    <w:p w14:paraId="3B20B19E" w14:textId="77777777" w:rsidR="004100C5" w:rsidRPr="00224B3B" w:rsidRDefault="004100C5" w:rsidP="00C37E2D">
      <w:pPr>
        <w:jc w:val="both"/>
        <w:rPr>
          <w:rFonts w:ascii="Times New Roman" w:hAnsi="Times New Roman" w:cs="Times New Roman"/>
          <w:sz w:val="28"/>
          <w:szCs w:val="28"/>
        </w:rPr>
      </w:pPr>
    </w:p>
    <w:p w14:paraId="15ABE821" w14:textId="2138062D" w:rsidR="000C69DF" w:rsidRPr="00224B3B" w:rsidRDefault="000C69DF" w:rsidP="00C37E2D">
      <w:pPr>
        <w:jc w:val="both"/>
        <w:rPr>
          <w:rFonts w:ascii="Times New Roman" w:hAnsi="Times New Roman" w:cs="Times New Roman"/>
          <w:sz w:val="28"/>
          <w:szCs w:val="28"/>
        </w:rPr>
      </w:pPr>
      <w:r w:rsidRPr="00224B3B">
        <w:rPr>
          <w:rFonts w:ascii="Times New Roman" w:hAnsi="Times New Roman" w:cs="Times New Roman"/>
          <w:sz w:val="28"/>
          <w:szCs w:val="28"/>
        </w:rPr>
        <w:t>De los honorables congresistas,</w:t>
      </w:r>
    </w:p>
    <w:p w14:paraId="107FA904" w14:textId="29AC198B" w:rsidR="000C69DF" w:rsidRPr="00224B3B" w:rsidRDefault="000C69DF" w:rsidP="00C37E2D">
      <w:pPr>
        <w:jc w:val="both"/>
        <w:rPr>
          <w:rFonts w:ascii="Times New Roman" w:hAnsi="Times New Roman" w:cs="Times New Roman"/>
          <w:sz w:val="28"/>
          <w:szCs w:val="28"/>
        </w:rPr>
      </w:pPr>
    </w:p>
    <w:p w14:paraId="4A5CA5AA" w14:textId="77777777" w:rsidR="000C69DF" w:rsidRPr="00224B3B" w:rsidRDefault="000C69DF" w:rsidP="00C37E2D">
      <w:pPr>
        <w:jc w:val="both"/>
        <w:rPr>
          <w:rFonts w:ascii="Times New Roman" w:hAnsi="Times New Roman" w:cs="Times New Roman"/>
          <w:sz w:val="28"/>
          <w:szCs w:val="28"/>
        </w:rPr>
      </w:pPr>
    </w:p>
    <w:p w14:paraId="352DD389" w14:textId="03E8A823" w:rsidR="000C69DF" w:rsidRDefault="000C69DF" w:rsidP="000C69DF">
      <w:pPr>
        <w:jc w:val="center"/>
        <w:rPr>
          <w:rFonts w:ascii="Times New Roman" w:hAnsi="Times New Roman" w:cs="Times New Roman"/>
          <w:noProof/>
          <w:sz w:val="28"/>
          <w:szCs w:val="28"/>
          <w:lang w:eastAsia="es-CO"/>
        </w:rPr>
      </w:pPr>
    </w:p>
    <w:p w14:paraId="0F86FB51" w14:textId="77777777" w:rsidR="00224B3B" w:rsidRPr="00224B3B" w:rsidRDefault="00224B3B" w:rsidP="000C69DF">
      <w:pPr>
        <w:jc w:val="center"/>
        <w:rPr>
          <w:rFonts w:ascii="Times New Roman" w:hAnsi="Times New Roman" w:cs="Times New Roman"/>
          <w:sz w:val="28"/>
          <w:szCs w:val="28"/>
        </w:rPr>
      </w:pPr>
    </w:p>
    <w:p w14:paraId="0B1E9CB3" w14:textId="31EBF10F" w:rsidR="000C69DF" w:rsidRPr="00224B3B" w:rsidRDefault="000C69DF" w:rsidP="000C69DF">
      <w:pPr>
        <w:spacing w:after="0"/>
        <w:jc w:val="center"/>
        <w:rPr>
          <w:rFonts w:ascii="Times New Roman" w:hAnsi="Times New Roman" w:cs="Times New Roman"/>
          <w:b/>
          <w:bCs/>
          <w:sz w:val="28"/>
          <w:szCs w:val="28"/>
        </w:rPr>
      </w:pPr>
      <w:r w:rsidRPr="00224B3B">
        <w:rPr>
          <w:rFonts w:ascii="Times New Roman" w:hAnsi="Times New Roman" w:cs="Times New Roman"/>
          <w:b/>
          <w:bCs/>
          <w:sz w:val="28"/>
          <w:szCs w:val="28"/>
        </w:rPr>
        <w:t>EDWARD DAVID RODRÍGUEZ RODRÍGUEZ</w:t>
      </w:r>
    </w:p>
    <w:p w14:paraId="438BA4B7" w14:textId="1959F066" w:rsidR="000C69DF" w:rsidRPr="00224B3B" w:rsidRDefault="000C69DF" w:rsidP="000C69DF">
      <w:pPr>
        <w:spacing w:after="0"/>
        <w:jc w:val="center"/>
        <w:rPr>
          <w:rFonts w:ascii="Times New Roman" w:hAnsi="Times New Roman" w:cs="Times New Roman"/>
          <w:b/>
          <w:bCs/>
          <w:sz w:val="28"/>
          <w:szCs w:val="28"/>
        </w:rPr>
      </w:pPr>
      <w:r w:rsidRPr="00224B3B">
        <w:rPr>
          <w:rFonts w:ascii="Times New Roman" w:hAnsi="Times New Roman" w:cs="Times New Roman"/>
          <w:b/>
          <w:bCs/>
          <w:sz w:val="28"/>
          <w:szCs w:val="28"/>
        </w:rPr>
        <w:t>REPRESENTANTE A LA CÁMARA POR BOGOTÁ D.C.</w:t>
      </w:r>
    </w:p>
    <w:p w14:paraId="35847BDF" w14:textId="5BC97D8E" w:rsidR="007751D6" w:rsidRPr="00224B3B" w:rsidRDefault="00C37E2D" w:rsidP="00C37E2D">
      <w:pPr>
        <w:jc w:val="both"/>
        <w:rPr>
          <w:rFonts w:ascii="Times New Roman" w:hAnsi="Times New Roman" w:cs="Times New Roman"/>
          <w:sz w:val="28"/>
          <w:szCs w:val="28"/>
        </w:rPr>
      </w:pPr>
      <w:r w:rsidRPr="00224B3B">
        <w:rPr>
          <w:rFonts w:ascii="Times New Roman" w:hAnsi="Times New Roman" w:cs="Times New Roman"/>
          <w:sz w:val="28"/>
          <w:szCs w:val="28"/>
        </w:rPr>
        <w:t xml:space="preserve"> </w:t>
      </w:r>
    </w:p>
    <w:p w14:paraId="044308B4" w14:textId="59E52FB9" w:rsidR="005B5BBB" w:rsidRPr="00224B3B" w:rsidRDefault="005B5BBB" w:rsidP="005B5BBB">
      <w:pPr>
        <w:jc w:val="both"/>
        <w:rPr>
          <w:rFonts w:ascii="Times New Roman" w:hAnsi="Times New Roman" w:cs="Times New Roman"/>
          <w:sz w:val="28"/>
          <w:szCs w:val="28"/>
        </w:rPr>
      </w:pPr>
    </w:p>
    <w:p w14:paraId="4864A6CC" w14:textId="4B221999" w:rsidR="000C69DF" w:rsidRDefault="000C69DF" w:rsidP="005B5BBB">
      <w:pPr>
        <w:jc w:val="both"/>
        <w:rPr>
          <w:rFonts w:ascii="Times New Roman" w:hAnsi="Times New Roman" w:cs="Times New Roman"/>
          <w:sz w:val="28"/>
          <w:szCs w:val="28"/>
        </w:rPr>
      </w:pPr>
    </w:p>
    <w:p w14:paraId="763CE63C" w14:textId="19597BF8" w:rsidR="00224B3B" w:rsidRDefault="00224B3B" w:rsidP="005B5BBB">
      <w:pPr>
        <w:jc w:val="both"/>
        <w:rPr>
          <w:rFonts w:ascii="Times New Roman" w:hAnsi="Times New Roman" w:cs="Times New Roman"/>
          <w:sz w:val="28"/>
          <w:szCs w:val="28"/>
        </w:rPr>
      </w:pPr>
    </w:p>
    <w:p w14:paraId="18F5896D" w14:textId="1EA5D425" w:rsidR="00224B3B" w:rsidRDefault="00224B3B" w:rsidP="005B5BBB">
      <w:pPr>
        <w:jc w:val="both"/>
        <w:rPr>
          <w:rFonts w:ascii="Times New Roman" w:hAnsi="Times New Roman" w:cs="Times New Roman"/>
          <w:sz w:val="28"/>
          <w:szCs w:val="28"/>
        </w:rPr>
      </w:pPr>
    </w:p>
    <w:p w14:paraId="5AC85619" w14:textId="529BE1EF" w:rsidR="00224B3B" w:rsidRDefault="00224B3B" w:rsidP="005B5BBB">
      <w:pPr>
        <w:jc w:val="both"/>
        <w:rPr>
          <w:rFonts w:ascii="Times New Roman" w:hAnsi="Times New Roman" w:cs="Times New Roman"/>
          <w:sz w:val="28"/>
          <w:szCs w:val="28"/>
        </w:rPr>
      </w:pPr>
    </w:p>
    <w:p w14:paraId="41377A65" w14:textId="085F561A" w:rsidR="00224B3B" w:rsidRDefault="00224B3B" w:rsidP="005B5BBB">
      <w:pPr>
        <w:jc w:val="both"/>
        <w:rPr>
          <w:rFonts w:ascii="Times New Roman" w:hAnsi="Times New Roman" w:cs="Times New Roman"/>
          <w:sz w:val="28"/>
          <w:szCs w:val="28"/>
        </w:rPr>
      </w:pPr>
    </w:p>
    <w:p w14:paraId="4C76DC04" w14:textId="06E3649E" w:rsidR="00224B3B" w:rsidRDefault="00224B3B" w:rsidP="005B5BBB">
      <w:pPr>
        <w:jc w:val="both"/>
        <w:rPr>
          <w:rFonts w:ascii="Times New Roman" w:hAnsi="Times New Roman" w:cs="Times New Roman"/>
          <w:sz w:val="28"/>
          <w:szCs w:val="28"/>
        </w:rPr>
      </w:pPr>
    </w:p>
    <w:p w14:paraId="5C97A8BC" w14:textId="41311BFF" w:rsidR="00224B3B" w:rsidRDefault="00224B3B" w:rsidP="005B5BBB">
      <w:pPr>
        <w:jc w:val="both"/>
        <w:rPr>
          <w:rFonts w:ascii="Times New Roman" w:hAnsi="Times New Roman" w:cs="Times New Roman"/>
          <w:sz w:val="28"/>
          <w:szCs w:val="28"/>
        </w:rPr>
      </w:pPr>
    </w:p>
    <w:p w14:paraId="140BEE77" w14:textId="28C80321" w:rsidR="00224B3B" w:rsidRDefault="00224B3B" w:rsidP="005B5BBB">
      <w:pPr>
        <w:jc w:val="both"/>
        <w:rPr>
          <w:rFonts w:ascii="Times New Roman" w:hAnsi="Times New Roman" w:cs="Times New Roman"/>
          <w:sz w:val="28"/>
          <w:szCs w:val="28"/>
        </w:rPr>
      </w:pPr>
    </w:p>
    <w:p w14:paraId="1C2CCFCC" w14:textId="7E2C9188" w:rsidR="00224B3B" w:rsidRDefault="00224B3B" w:rsidP="005B5BBB">
      <w:pPr>
        <w:jc w:val="both"/>
        <w:rPr>
          <w:rFonts w:ascii="Times New Roman" w:hAnsi="Times New Roman" w:cs="Times New Roman"/>
          <w:sz w:val="28"/>
          <w:szCs w:val="28"/>
        </w:rPr>
      </w:pPr>
    </w:p>
    <w:p w14:paraId="0ED8191A" w14:textId="77777777" w:rsidR="00224B3B" w:rsidRPr="00224B3B" w:rsidRDefault="00224B3B" w:rsidP="005B5BBB">
      <w:pPr>
        <w:jc w:val="both"/>
        <w:rPr>
          <w:rFonts w:ascii="Times New Roman" w:hAnsi="Times New Roman" w:cs="Times New Roman"/>
          <w:sz w:val="28"/>
          <w:szCs w:val="28"/>
        </w:rPr>
      </w:pPr>
    </w:p>
    <w:p w14:paraId="36F1E577" w14:textId="78FCE47D" w:rsidR="000405DF" w:rsidRPr="00224B3B" w:rsidRDefault="000405DF" w:rsidP="003C2156">
      <w:pPr>
        <w:jc w:val="both"/>
        <w:rPr>
          <w:rFonts w:ascii="Times New Roman" w:hAnsi="Times New Roman" w:cs="Times New Roman"/>
          <w:sz w:val="28"/>
          <w:szCs w:val="28"/>
        </w:rPr>
      </w:pPr>
    </w:p>
    <w:p w14:paraId="0B9B07CA" w14:textId="77777777" w:rsidR="000405DF" w:rsidRPr="00224B3B" w:rsidRDefault="000405DF" w:rsidP="000405DF">
      <w:pPr>
        <w:jc w:val="center"/>
        <w:rPr>
          <w:rFonts w:ascii="Times New Roman" w:hAnsi="Times New Roman" w:cs="Times New Roman"/>
          <w:i/>
          <w:iCs/>
          <w:sz w:val="28"/>
          <w:szCs w:val="28"/>
        </w:rPr>
      </w:pPr>
      <w:r w:rsidRPr="00224B3B">
        <w:rPr>
          <w:rFonts w:ascii="Times New Roman" w:hAnsi="Times New Roman" w:cs="Times New Roman"/>
          <w:i/>
          <w:iCs/>
          <w:sz w:val="28"/>
          <w:szCs w:val="28"/>
        </w:rPr>
        <w:lastRenderedPageBreak/>
        <w:t>Proyecto de ley No.     De 2021 “Por medio del cual se establece la imprescriptibilidad de los delitos de corrupción”</w:t>
      </w:r>
    </w:p>
    <w:p w14:paraId="18D67C95" w14:textId="27784BCF" w:rsidR="000405DF" w:rsidRDefault="000405DF" w:rsidP="000405DF">
      <w:pPr>
        <w:jc w:val="center"/>
        <w:rPr>
          <w:rFonts w:ascii="Times New Roman" w:hAnsi="Times New Roman" w:cs="Times New Roman"/>
          <w:b/>
          <w:bCs/>
          <w:sz w:val="28"/>
          <w:szCs w:val="28"/>
        </w:rPr>
      </w:pPr>
      <w:r w:rsidRPr="00224B3B">
        <w:rPr>
          <w:rFonts w:ascii="Times New Roman" w:hAnsi="Times New Roman" w:cs="Times New Roman"/>
          <w:b/>
          <w:bCs/>
          <w:sz w:val="28"/>
          <w:szCs w:val="28"/>
        </w:rPr>
        <w:t>EXPOSICIÓN DE MOTIVOS</w:t>
      </w:r>
    </w:p>
    <w:p w14:paraId="4D010B3B" w14:textId="77777777" w:rsidR="005A35EB" w:rsidRPr="00224B3B" w:rsidRDefault="005A35EB" w:rsidP="000405DF">
      <w:pPr>
        <w:jc w:val="center"/>
        <w:rPr>
          <w:rFonts w:ascii="Times New Roman" w:hAnsi="Times New Roman" w:cs="Times New Roman"/>
          <w:b/>
          <w:bCs/>
          <w:sz w:val="28"/>
          <w:szCs w:val="28"/>
        </w:rPr>
      </w:pPr>
    </w:p>
    <w:p w14:paraId="3EB15586" w14:textId="4B301F87" w:rsidR="000405DF" w:rsidRPr="00224B3B" w:rsidRDefault="000405DF" w:rsidP="00C96AB0">
      <w:pPr>
        <w:pStyle w:val="Prrafodelista"/>
        <w:numPr>
          <w:ilvl w:val="0"/>
          <w:numId w:val="12"/>
        </w:numPr>
        <w:rPr>
          <w:rFonts w:ascii="Times New Roman" w:hAnsi="Times New Roman" w:cs="Times New Roman"/>
          <w:b/>
          <w:bCs/>
          <w:sz w:val="28"/>
          <w:szCs w:val="28"/>
        </w:rPr>
      </w:pPr>
      <w:r w:rsidRPr="00224B3B">
        <w:rPr>
          <w:rFonts w:ascii="Times New Roman" w:hAnsi="Times New Roman" w:cs="Times New Roman"/>
          <w:b/>
          <w:bCs/>
          <w:sz w:val="28"/>
          <w:szCs w:val="28"/>
        </w:rPr>
        <w:t>JUSTIFICACIÓN</w:t>
      </w:r>
    </w:p>
    <w:p w14:paraId="0CC03B80" w14:textId="77777777" w:rsidR="000405DF" w:rsidRPr="00224B3B" w:rsidRDefault="000405DF" w:rsidP="000405DF">
      <w:pPr>
        <w:jc w:val="both"/>
        <w:rPr>
          <w:rFonts w:ascii="Times New Roman" w:hAnsi="Times New Roman" w:cs="Times New Roman"/>
          <w:sz w:val="28"/>
          <w:szCs w:val="28"/>
        </w:rPr>
      </w:pPr>
      <w:r w:rsidRPr="00224B3B">
        <w:rPr>
          <w:rFonts w:ascii="Times New Roman" w:hAnsi="Times New Roman" w:cs="Times New Roman"/>
          <w:sz w:val="28"/>
          <w:szCs w:val="28"/>
        </w:rPr>
        <w:t>El presente proyecto de ley tiene como objeto servir de herramienta contra la corrupción, mediante el uso de herramientas penales que no impliquen aumento de penas, ni beneficios o subrogados procesales, ya que si bien, son medidas fundamentales para combatir la corrupción son todavía insuficientes para lograr persuadir la comisión de los delitos que tienen como víctima al Estado y en consecuencia a todos los colombianos, cuyo clamor, cada vez más común es que el legislativo actúe de manera más frontal en contra de la corrupción.</w:t>
      </w:r>
    </w:p>
    <w:p w14:paraId="7BBEDA72" w14:textId="77777777" w:rsidR="000405DF" w:rsidRPr="00224B3B" w:rsidRDefault="000405DF" w:rsidP="000405DF">
      <w:pPr>
        <w:jc w:val="both"/>
        <w:rPr>
          <w:rFonts w:ascii="Times New Roman" w:hAnsi="Times New Roman" w:cs="Times New Roman"/>
          <w:sz w:val="28"/>
          <w:szCs w:val="28"/>
        </w:rPr>
      </w:pPr>
      <w:r w:rsidRPr="00224B3B">
        <w:rPr>
          <w:rFonts w:ascii="Times New Roman" w:hAnsi="Times New Roman" w:cs="Times New Roman"/>
          <w:sz w:val="28"/>
          <w:szCs w:val="28"/>
        </w:rPr>
        <w:t>Así las cosas, el proyecto de ley presenta 2 medidas contra la corrupción:</w:t>
      </w:r>
    </w:p>
    <w:p w14:paraId="439DB118" w14:textId="49FA34AB" w:rsidR="000405DF" w:rsidRPr="00224B3B" w:rsidRDefault="000405DF" w:rsidP="000405DF">
      <w:pPr>
        <w:pStyle w:val="Prrafodelista"/>
        <w:numPr>
          <w:ilvl w:val="0"/>
          <w:numId w:val="7"/>
        </w:numPr>
        <w:jc w:val="both"/>
        <w:rPr>
          <w:rFonts w:ascii="Times New Roman" w:hAnsi="Times New Roman" w:cs="Times New Roman"/>
          <w:sz w:val="28"/>
          <w:szCs w:val="28"/>
        </w:rPr>
      </w:pPr>
      <w:r w:rsidRPr="00224B3B">
        <w:rPr>
          <w:rFonts w:ascii="Times New Roman" w:hAnsi="Times New Roman" w:cs="Times New Roman"/>
          <w:b/>
          <w:bCs/>
          <w:sz w:val="28"/>
          <w:szCs w:val="28"/>
        </w:rPr>
        <w:t xml:space="preserve">La Imprescriptibilidad: </w:t>
      </w:r>
      <w:r w:rsidRPr="00224B3B">
        <w:rPr>
          <w:rFonts w:ascii="Times New Roman" w:hAnsi="Times New Roman" w:cs="Times New Roman"/>
          <w:sz w:val="28"/>
          <w:szCs w:val="28"/>
        </w:rPr>
        <w:t xml:space="preserve">Que permitirá que los delitos por corrupción sean perseguidos en cualquier tiempo </w:t>
      </w:r>
      <w:r w:rsidR="008559E9" w:rsidRPr="00224B3B">
        <w:rPr>
          <w:rFonts w:ascii="Times New Roman" w:hAnsi="Times New Roman" w:cs="Times New Roman"/>
          <w:sz w:val="28"/>
          <w:szCs w:val="28"/>
        </w:rPr>
        <w:t>y no que por medio de argucias jurídicas se constituya la prescripción y quede en la impunidad.</w:t>
      </w:r>
    </w:p>
    <w:p w14:paraId="1EC35951" w14:textId="77777777" w:rsidR="008559E9" w:rsidRPr="00224B3B" w:rsidRDefault="008559E9" w:rsidP="008559E9">
      <w:pPr>
        <w:pStyle w:val="Prrafodelista"/>
        <w:ind w:left="840"/>
        <w:jc w:val="both"/>
        <w:rPr>
          <w:rFonts w:ascii="Times New Roman" w:hAnsi="Times New Roman" w:cs="Times New Roman"/>
          <w:sz w:val="28"/>
          <w:szCs w:val="28"/>
        </w:rPr>
      </w:pPr>
    </w:p>
    <w:p w14:paraId="55982CC4" w14:textId="1934E7A9" w:rsidR="008559E9" w:rsidRPr="00224B3B" w:rsidRDefault="008559E9" w:rsidP="000405DF">
      <w:pPr>
        <w:pStyle w:val="Prrafodelista"/>
        <w:numPr>
          <w:ilvl w:val="0"/>
          <w:numId w:val="7"/>
        </w:numPr>
        <w:jc w:val="both"/>
        <w:rPr>
          <w:rFonts w:ascii="Times New Roman" w:hAnsi="Times New Roman" w:cs="Times New Roman"/>
          <w:sz w:val="28"/>
          <w:szCs w:val="28"/>
        </w:rPr>
      </w:pPr>
      <w:r w:rsidRPr="00224B3B">
        <w:rPr>
          <w:rFonts w:ascii="Times New Roman" w:hAnsi="Times New Roman" w:cs="Times New Roman"/>
          <w:b/>
          <w:bCs/>
          <w:sz w:val="28"/>
          <w:szCs w:val="28"/>
        </w:rPr>
        <w:t xml:space="preserve">La reparación agravada. </w:t>
      </w:r>
      <w:r w:rsidRPr="00224B3B">
        <w:rPr>
          <w:rFonts w:ascii="Times New Roman" w:hAnsi="Times New Roman" w:cs="Times New Roman"/>
          <w:sz w:val="28"/>
          <w:szCs w:val="28"/>
        </w:rPr>
        <w:t>Permitirá que al que cometa los delitos descritos en el artículo primero del proyecto, se le castigue con condenas de indemnización superior al daño ocasionado con el fin de que no se vuelva a repetir la acción.</w:t>
      </w:r>
      <w:r w:rsidR="00C96AB0" w:rsidRPr="00224B3B">
        <w:rPr>
          <w:rFonts w:ascii="Times New Roman" w:hAnsi="Times New Roman" w:cs="Times New Roman"/>
          <w:sz w:val="28"/>
          <w:szCs w:val="28"/>
        </w:rPr>
        <w:t xml:space="preserve"> En la misma línea, se modifica el tope de reparación del artículo 97 entendiendo que en los casos de corrupción pública, muy a menudo se trata de daño que superan, por mucho, los 1000 salarios mínimos.</w:t>
      </w:r>
    </w:p>
    <w:p w14:paraId="6D513352" w14:textId="77777777" w:rsidR="008559E9" w:rsidRPr="00224B3B" w:rsidRDefault="008559E9" w:rsidP="008559E9">
      <w:pPr>
        <w:pStyle w:val="Prrafodelista"/>
        <w:rPr>
          <w:rFonts w:ascii="Times New Roman" w:hAnsi="Times New Roman" w:cs="Times New Roman"/>
          <w:sz w:val="28"/>
          <w:szCs w:val="28"/>
        </w:rPr>
      </w:pPr>
    </w:p>
    <w:p w14:paraId="088B9148" w14:textId="21619CFD" w:rsidR="008559E9" w:rsidRPr="00224B3B" w:rsidRDefault="008559E9" w:rsidP="00C96AB0">
      <w:pPr>
        <w:pStyle w:val="Prrafodelista"/>
        <w:numPr>
          <w:ilvl w:val="0"/>
          <w:numId w:val="12"/>
        </w:numPr>
        <w:jc w:val="both"/>
        <w:rPr>
          <w:rFonts w:ascii="Times New Roman" w:hAnsi="Times New Roman" w:cs="Times New Roman"/>
          <w:b/>
          <w:bCs/>
          <w:sz w:val="28"/>
          <w:szCs w:val="28"/>
          <w:lang w:val="es-ES"/>
        </w:rPr>
      </w:pPr>
      <w:r w:rsidRPr="00224B3B">
        <w:rPr>
          <w:rFonts w:ascii="Times New Roman" w:hAnsi="Times New Roman" w:cs="Times New Roman"/>
          <w:b/>
          <w:bCs/>
          <w:sz w:val="28"/>
          <w:szCs w:val="28"/>
          <w:lang w:val="es-ES"/>
        </w:rPr>
        <w:t>Sobre la Política criminal en el Estado colombiano</w:t>
      </w:r>
    </w:p>
    <w:p w14:paraId="3FD6C7DC" w14:textId="14450C89" w:rsidR="008559E9" w:rsidRPr="00224B3B" w:rsidRDefault="008559E9" w:rsidP="008559E9">
      <w:pPr>
        <w:jc w:val="both"/>
        <w:rPr>
          <w:rFonts w:ascii="Times New Roman" w:hAnsi="Times New Roman" w:cs="Times New Roman"/>
          <w:sz w:val="28"/>
          <w:szCs w:val="28"/>
          <w:lang w:val="es-ES"/>
        </w:rPr>
      </w:pPr>
      <w:r w:rsidRPr="00224B3B">
        <w:rPr>
          <w:rFonts w:ascii="Times New Roman" w:hAnsi="Times New Roman" w:cs="Times New Roman"/>
          <w:sz w:val="28"/>
          <w:szCs w:val="28"/>
          <w:lang w:val="es-ES"/>
        </w:rPr>
        <w:t>En palabras de la Corte Constitucional, se define la política criminal como:</w:t>
      </w:r>
    </w:p>
    <w:p w14:paraId="2BAA9C48" w14:textId="65C7DF84" w:rsidR="008559E9" w:rsidRPr="00224B3B" w:rsidRDefault="008559E9" w:rsidP="008559E9">
      <w:pPr>
        <w:ind w:left="283"/>
        <w:jc w:val="both"/>
        <w:rPr>
          <w:rFonts w:ascii="Times New Roman" w:hAnsi="Times New Roman" w:cs="Times New Roman"/>
          <w:i/>
          <w:iCs/>
          <w:sz w:val="28"/>
          <w:szCs w:val="28"/>
          <w:lang w:val="es-ES"/>
        </w:rPr>
      </w:pPr>
      <w:r w:rsidRPr="00224B3B">
        <w:rPr>
          <w:rFonts w:ascii="Times New Roman" w:hAnsi="Times New Roman" w:cs="Times New Roman"/>
          <w:i/>
          <w:iCs/>
          <w:sz w:val="28"/>
          <w:szCs w:val="28"/>
          <w:lang w:val="es-ES"/>
        </w:rPr>
        <w:t xml:space="preserve">“Conjunto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 Puede ser social, como cuando se promueve que los vecinos de un mismo barrio se hagan responsables de alertar a </w:t>
      </w:r>
      <w:r w:rsidRPr="00224B3B">
        <w:rPr>
          <w:rFonts w:ascii="Times New Roman" w:hAnsi="Times New Roman" w:cs="Times New Roman"/>
          <w:i/>
          <w:iCs/>
          <w:sz w:val="28"/>
          <w:szCs w:val="28"/>
          <w:lang w:val="es-ES"/>
        </w:rPr>
        <w:lastRenderedPageBreak/>
        <w:t>las autoridades acerca de la presencia de sucesos extraños que puedan estar asociados a la comisión de un delito. También puede ser jurídica, como cuando se reforman las normas penales. Además, puede ser económica, como cuando se crean incentivos para estimular un determinado comportamiento o desincentivos para incrementarles los costos a quienes realicen conductas reprochables.”</w:t>
      </w:r>
      <w:r w:rsidRPr="00224B3B">
        <w:rPr>
          <w:rStyle w:val="Refdenotaalpie"/>
          <w:rFonts w:ascii="Times New Roman" w:hAnsi="Times New Roman" w:cs="Times New Roman"/>
          <w:i/>
          <w:iCs/>
          <w:sz w:val="28"/>
          <w:szCs w:val="28"/>
          <w:lang w:val="es-ES"/>
        </w:rPr>
        <w:footnoteReference w:id="1"/>
      </w:r>
    </w:p>
    <w:p w14:paraId="6B591B30" w14:textId="43CEEEAE" w:rsidR="00E87B4F" w:rsidRPr="00224B3B" w:rsidRDefault="008559E9" w:rsidP="003C2156">
      <w:pPr>
        <w:jc w:val="both"/>
        <w:rPr>
          <w:rFonts w:ascii="Times New Roman" w:hAnsi="Times New Roman" w:cs="Times New Roman"/>
          <w:sz w:val="28"/>
          <w:szCs w:val="28"/>
        </w:rPr>
      </w:pPr>
      <w:r w:rsidRPr="00224B3B">
        <w:rPr>
          <w:rFonts w:ascii="Times New Roman" w:hAnsi="Times New Roman" w:cs="Times New Roman"/>
          <w:sz w:val="28"/>
          <w:szCs w:val="28"/>
        </w:rPr>
        <w:t>Lo anterior tiene gran incidencia en el proyecto objeto de estudio, entendiendo que abarca por lo menos dos de los tres componentes de la política criminal, descritos por el tribunal constitucional, el componente reformativo legal, y el componente económico, que se materializa con la inclusión del daño punitivo y no meramente compensatorio como forma de disuasión.</w:t>
      </w:r>
    </w:p>
    <w:p w14:paraId="74A75EB4" w14:textId="12BCF370" w:rsidR="008559E9" w:rsidRPr="00224B3B" w:rsidRDefault="008559E9" w:rsidP="003C2156">
      <w:pPr>
        <w:jc w:val="both"/>
        <w:rPr>
          <w:rFonts w:ascii="Times New Roman" w:hAnsi="Times New Roman" w:cs="Times New Roman"/>
          <w:sz w:val="28"/>
          <w:szCs w:val="28"/>
        </w:rPr>
      </w:pPr>
      <w:r w:rsidRPr="00224B3B">
        <w:rPr>
          <w:rFonts w:ascii="Times New Roman" w:hAnsi="Times New Roman" w:cs="Times New Roman"/>
          <w:sz w:val="28"/>
          <w:szCs w:val="28"/>
        </w:rPr>
        <w:t xml:space="preserve">Sin embargo, es fundamental tener siempre a la vista el componente social, que si bien no es materia directa de este proyecto, si debe existir un ambiente de tolerancia 0 con la corrupción, en todos los niveles y de todas las especies, pues no es posible erradicarla, ni construir bases de una sociedad más ética si condenamos unos tipos de corrupción, verbigracia la que ocurre en el Estado a gran escala pero somos complacientes con otros tipos de corrupción de niveles coloquiales, </w:t>
      </w:r>
      <w:r w:rsidR="00C96AB0" w:rsidRPr="00224B3B">
        <w:rPr>
          <w:rFonts w:ascii="Times New Roman" w:hAnsi="Times New Roman" w:cs="Times New Roman"/>
          <w:sz w:val="28"/>
          <w:szCs w:val="28"/>
        </w:rPr>
        <w:t>no hay ley que tenga el poder de modificar de tajo culturas, corresponde a la sociedad, encontrar los caminos para transformarse desde su raíz.</w:t>
      </w:r>
    </w:p>
    <w:p w14:paraId="75D3C9C1" w14:textId="77777777" w:rsidR="00C96AB0" w:rsidRPr="00224B3B" w:rsidRDefault="00C96AB0" w:rsidP="003C2156">
      <w:pPr>
        <w:jc w:val="both"/>
        <w:rPr>
          <w:rFonts w:ascii="Times New Roman" w:hAnsi="Times New Roman" w:cs="Times New Roman"/>
          <w:sz w:val="28"/>
          <w:szCs w:val="28"/>
        </w:rPr>
      </w:pPr>
    </w:p>
    <w:p w14:paraId="56A76C19" w14:textId="634A8D17" w:rsidR="00C96AB0" w:rsidRPr="00224B3B" w:rsidRDefault="00C96AB0" w:rsidP="00C96AB0">
      <w:pPr>
        <w:pStyle w:val="Ttulo1"/>
        <w:numPr>
          <w:ilvl w:val="0"/>
          <w:numId w:val="12"/>
        </w:numPr>
        <w:tabs>
          <w:tab w:val="left" w:pos="1121"/>
        </w:tabs>
        <w:spacing w:before="180" w:line="259" w:lineRule="auto"/>
        <w:ind w:right="220"/>
        <w:jc w:val="left"/>
        <w:rPr>
          <w:rFonts w:ascii="Times New Roman" w:hAnsi="Times New Roman" w:cs="Times New Roman"/>
          <w:sz w:val="28"/>
          <w:szCs w:val="28"/>
        </w:rPr>
      </w:pPr>
      <w:r w:rsidRPr="00224B3B">
        <w:rPr>
          <w:rFonts w:ascii="Times New Roman" w:hAnsi="Times New Roman" w:cs="Times New Roman"/>
          <w:sz w:val="28"/>
          <w:szCs w:val="28"/>
        </w:rPr>
        <w:t xml:space="preserve">Reparación agravada </w:t>
      </w:r>
    </w:p>
    <w:p w14:paraId="3C8B331E" w14:textId="712C96F0" w:rsidR="00C96AB0" w:rsidRPr="00224B3B" w:rsidRDefault="00C96AB0" w:rsidP="00C96AB0">
      <w:pPr>
        <w:pStyle w:val="Ttulo1"/>
        <w:tabs>
          <w:tab w:val="left" w:pos="1121"/>
        </w:tabs>
        <w:spacing w:before="180" w:line="259" w:lineRule="auto"/>
        <w:ind w:left="0" w:right="220"/>
        <w:rPr>
          <w:rFonts w:ascii="Times New Roman" w:hAnsi="Times New Roman" w:cs="Times New Roman"/>
          <w:b w:val="0"/>
          <w:bCs w:val="0"/>
          <w:sz w:val="28"/>
          <w:szCs w:val="28"/>
        </w:rPr>
      </w:pPr>
      <w:r w:rsidRPr="00224B3B">
        <w:rPr>
          <w:rFonts w:ascii="Times New Roman" w:hAnsi="Times New Roman" w:cs="Times New Roman"/>
          <w:b w:val="0"/>
          <w:bCs w:val="0"/>
          <w:sz w:val="28"/>
          <w:szCs w:val="28"/>
        </w:rPr>
        <w:t>Con</w:t>
      </w:r>
      <w:r w:rsidRPr="00224B3B">
        <w:rPr>
          <w:rFonts w:ascii="Times New Roman" w:hAnsi="Times New Roman" w:cs="Times New Roman"/>
          <w:b w:val="0"/>
          <w:bCs w:val="0"/>
          <w:spacing w:val="-12"/>
          <w:sz w:val="28"/>
          <w:szCs w:val="28"/>
        </w:rPr>
        <w:t xml:space="preserve"> </w:t>
      </w:r>
      <w:r w:rsidRPr="00224B3B">
        <w:rPr>
          <w:rFonts w:ascii="Times New Roman" w:hAnsi="Times New Roman" w:cs="Times New Roman"/>
          <w:b w:val="0"/>
          <w:bCs w:val="0"/>
          <w:sz w:val="28"/>
          <w:szCs w:val="28"/>
        </w:rPr>
        <w:t>respecto</w:t>
      </w:r>
      <w:r w:rsidRPr="00224B3B">
        <w:rPr>
          <w:rFonts w:ascii="Times New Roman" w:hAnsi="Times New Roman" w:cs="Times New Roman"/>
          <w:b w:val="0"/>
          <w:bCs w:val="0"/>
          <w:spacing w:val="-4"/>
          <w:sz w:val="28"/>
          <w:szCs w:val="28"/>
        </w:rPr>
        <w:t xml:space="preserve"> </w:t>
      </w:r>
      <w:r w:rsidRPr="00224B3B">
        <w:rPr>
          <w:rFonts w:ascii="Times New Roman" w:hAnsi="Times New Roman" w:cs="Times New Roman"/>
          <w:b w:val="0"/>
          <w:bCs w:val="0"/>
          <w:sz w:val="28"/>
          <w:szCs w:val="28"/>
        </w:rPr>
        <w:t>a</w:t>
      </w:r>
      <w:r w:rsidRPr="00224B3B">
        <w:rPr>
          <w:rFonts w:ascii="Times New Roman" w:hAnsi="Times New Roman" w:cs="Times New Roman"/>
          <w:b w:val="0"/>
          <w:bCs w:val="0"/>
          <w:spacing w:val="-11"/>
          <w:sz w:val="28"/>
          <w:szCs w:val="28"/>
        </w:rPr>
        <w:t xml:space="preserve"> </w:t>
      </w:r>
      <w:r w:rsidRPr="00224B3B">
        <w:rPr>
          <w:rFonts w:ascii="Times New Roman" w:hAnsi="Times New Roman" w:cs="Times New Roman"/>
          <w:b w:val="0"/>
          <w:bCs w:val="0"/>
          <w:sz w:val="28"/>
          <w:szCs w:val="28"/>
        </w:rPr>
        <w:t>la</w:t>
      </w:r>
      <w:r w:rsidRPr="00224B3B">
        <w:rPr>
          <w:rFonts w:ascii="Times New Roman" w:hAnsi="Times New Roman" w:cs="Times New Roman"/>
          <w:b w:val="0"/>
          <w:bCs w:val="0"/>
          <w:spacing w:val="-7"/>
          <w:sz w:val="28"/>
          <w:szCs w:val="28"/>
        </w:rPr>
        <w:t xml:space="preserve"> </w:t>
      </w:r>
      <w:r w:rsidRPr="00224B3B">
        <w:rPr>
          <w:rFonts w:ascii="Times New Roman" w:hAnsi="Times New Roman" w:cs="Times New Roman"/>
          <w:b w:val="0"/>
          <w:bCs w:val="0"/>
          <w:sz w:val="28"/>
          <w:szCs w:val="28"/>
        </w:rPr>
        <w:t>viabilidad</w:t>
      </w:r>
      <w:r w:rsidRPr="00224B3B">
        <w:rPr>
          <w:rFonts w:ascii="Times New Roman" w:hAnsi="Times New Roman" w:cs="Times New Roman"/>
          <w:b w:val="0"/>
          <w:bCs w:val="0"/>
          <w:spacing w:val="-8"/>
          <w:sz w:val="28"/>
          <w:szCs w:val="28"/>
        </w:rPr>
        <w:t xml:space="preserve"> </w:t>
      </w:r>
      <w:r w:rsidRPr="00224B3B">
        <w:rPr>
          <w:rFonts w:ascii="Times New Roman" w:hAnsi="Times New Roman" w:cs="Times New Roman"/>
          <w:b w:val="0"/>
          <w:bCs w:val="0"/>
          <w:sz w:val="28"/>
          <w:szCs w:val="28"/>
        </w:rPr>
        <w:t>de</w:t>
      </w:r>
      <w:r w:rsidRPr="00224B3B">
        <w:rPr>
          <w:rFonts w:ascii="Times New Roman" w:hAnsi="Times New Roman" w:cs="Times New Roman"/>
          <w:b w:val="0"/>
          <w:bCs w:val="0"/>
          <w:spacing w:val="-7"/>
          <w:sz w:val="28"/>
          <w:szCs w:val="28"/>
        </w:rPr>
        <w:t xml:space="preserve"> </w:t>
      </w:r>
      <w:r w:rsidRPr="00224B3B">
        <w:rPr>
          <w:rFonts w:ascii="Times New Roman" w:hAnsi="Times New Roman" w:cs="Times New Roman"/>
          <w:b w:val="0"/>
          <w:bCs w:val="0"/>
          <w:sz w:val="28"/>
          <w:szCs w:val="28"/>
        </w:rPr>
        <w:t>la</w:t>
      </w:r>
      <w:r w:rsidRPr="00224B3B">
        <w:rPr>
          <w:rFonts w:ascii="Times New Roman" w:hAnsi="Times New Roman" w:cs="Times New Roman"/>
          <w:b w:val="0"/>
          <w:bCs w:val="0"/>
          <w:spacing w:val="-7"/>
          <w:sz w:val="28"/>
          <w:szCs w:val="28"/>
        </w:rPr>
        <w:t xml:space="preserve"> </w:t>
      </w:r>
      <w:r w:rsidRPr="00224B3B">
        <w:rPr>
          <w:rFonts w:ascii="Times New Roman" w:hAnsi="Times New Roman" w:cs="Times New Roman"/>
          <w:b w:val="0"/>
          <w:bCs w:val="0"/>
          <w:sz w:val="28"/>
          <w:szCs w:val="28"/>
        </w:rPr>
        <w:t>reparación</w:t>
      </w:r>
      <w:r w:rsidRPr="00224B3B">
        <w:rPr>
          <w:rFonts w:ascii="Times New Roman" w:hAnsi="Times New Roman" w:cs="Times New Roman"/>
          <w:b w:val="0"/>
          <w:bCs w:val="0"/>
          <w:spacing w:val="-11"/>
          <w:sz w:val="28"/>
          <w:szCs w:val="28"/>
        </w:rPr>
        <w:t xml:space="preserve"> </w:t>
      </w:r>
      <w:r w:rsidRPr="00224B3B">
        <w:rPr>
          <w:rFonts w:ascii="Times New Roman" w:hAnsi="Times New Roman" w:cs="Times New Roman"/>
          <w:b w:val="0"/>
          <w:bCs w:val="0"/>
          <w:sz w:val="28"/>
          <w:szCs w:val="28"/>
        </w:rPr>
        <w:t>agravada,</w:t>
      </w:r>
      <w:r w:rsidRPr="00224B3B">
        <w:rPr>
          <w:rFonts w:ascii="Times New Roman" w:hAnsi="Times New Roman" w:cs="Times New Roman"/>
          <w:b w:val="0"/>
          <w:bCs w:val="0"/>
          <w:spacing w:val="-5"/>
          <w:sz w:val="28"/>
          <w:szCs w:val="28"/>
        </w:rPr>
        <w:t xml:space="preserve"> </w:t>
      </w:r>
      <w:r w:rsidRPr="00224B3B">
        <w:rPr>
          <w:rFonts w:ascii="Times New Roman" w:hAnsi="Times New Roman" w:cs="Times New Roman"/>
          <w:b w:val="0"/>
          <w:bCs w:val="0"/>
          <w:sz w:val="28"/>
          <w:szCs w:val="28"/>
        </w:rPr>
        <w:t>tenemos</w:t>
      </w:r>
      <w:r w:rsidRPr="00224B3B">
        <w:rPr>
          <w:rFonts w:ascii="Times New Roman" w:hAnsi="Times New Roman" w:cs="Times New Roman"/>
          <w:b w:val="0"/>
          <w:bCs w:val="0"/>
          <w:spacing w:val="-7"/>
          <w:sz w:val="28"/>
          <w:szCs w:val="28"/>
        </w:rPr>
        <w:t xml:space="preserve"> </w:t>
      </w:r>
      <w:r w:rsidRPr="00224B3B">
        <w:rPr>
          <w:rFonts w:ascii="Times New Roman" w:hAnsi="Times New Roman" w:cs="Times New Roman"/>
          <w:b w:val="0"/>
          <w:bCs w:val="0"/>
          <w:spacing w:val="-4"/>
          <w:sz w:val="28"/>
          <w:szCs w:val="28"/>
        </w:rPr>
        <w:t>que</w:t>
      </w:r>
      <w:r w:rsidRPr="00224B3B">
        <w:rPr>
          <w:rFonts w:ascii="Times New Roman" w:hAnsi="Times New Roman" w:cs="Times New Roman"/>
          <w:b w:val="0"/>
          <w:bCs w:val="0"/>
          <w:spacing w:val="-7"/>
          <w:sz w:val="28"/>
          <w:szCs w:val="28"/>
        </w:rPr>
        <w:t xml:space="preserve"> </w:t>
      </w:r>
      <w:r w:rsidRPr="00224B3B">
        <w:rPr>
          <w:rFonts w:ascii="Times New Roman" w:hAnsi="Times New Roman" w:cs="Times New Roman"/>
          <w:b w:val="0"/>
          <w:bCs w:val="0"/>
          <w:sz w:val="28"/>
          <w:szCs w:val="28"/>
        </w:rPr>
        <w:t>de</w:t>
      </w:r>
      <w:r w:rsidRPr="00224B3B">
        <w:rPr>
          <w:rFonts w:ascii="Times New Roman" w:hAnsi="Times New Roman" w:cs="Times New Roman"/>
          <w:b w:val="0"/>
          <w:bCs w:val="0"/>
          <w:spacing w:val="-7"/>
          <w:sz w:val="28"/>
          <w:szCs w:val="28"/>
        </w:rPr>
        <w:t xml:space="preserve"> </w:t>
      </w:r>
      <w:r w:rsidRPr="00224B3B">
        <w:rPr>
          <w:rFonts w:ascii="Times New Roman" w:hAnsi="Times New Roman" w:cs="Times New Roman"/>
          <w:b w:val="0"/>
          <w:bCs w:val="0"/>
          <w:sz w:val="28"/>
          <w:szCs w:val="28"/>
        </w:rPr>
        <w:t>acuerdo</w:t>
      </w:r>
      <w:r w:rsidRPr="00224B3B">
        <w:rPr>
          <w:rFonts w:ascii="Times New Roman" w:hAnsi="Times New Roman" w:cs="Times New Roman"/>
          <w:b w:val="0"/>
          <w:bCs w:val="0"/>
          <w:spacing w:val="-3"/>
          <w:sz w:val="28"/>
          <w:szCs w:val="28"/>
        </w:rPr>
        <w:t xml:space="preserve"> </w:t>
      </w:r>
      <w:r w:rsidRPr="00224B3B">
        <w:rPr>
          <w:rFonts w:ascii="Times New Roman" w:hAnsi="Times New Roman" w:cs="Times New Roman"/>
          <w:b w:val="0"/>
          <w:bCs w:val="0"/>
          <w:sz w:val="28"/>
          <w:szCs w:val="28"/>
        </w:rPr>
        <w:t xml:space="preserve">con el estudio realizado a la luz de las figuras jurídicas existentes y las facultades competenciales del legislador </w:t>
      </w:r>
      <w:r w:rsidRPr="00224B3B">
        <w:rPr>
          <w:rFonts w:ascii="Times New Roman" w:hAnsi="Times New Roman" w:cs="Times New Roman"/>
          <w:b w:val="0"/>
          <w:bCs w:val="0"/>
          <w:spacing w:val="-3"/>
          <w:sz w:val="28"/>
          <w:szCs w:val="28"/>
        </w:rPr>
        <w:t xml:space="preserve">no </w:t>
      </w:r>
      <w:r w:rsidRPr="00224B3B">
        <w:rPr>
          <w:rFonts w:ascii="Times New Roman" w:hAnsi="Times New Roman" w:cs="Times New Roman"/>
          <w:b w:val="0"/>
          <w:bCs w:val="0"/>
          <w:sz w:val="28"/>
          <w:szCs w:val="28"/>
        </w:rPr>
        <w:t>hay discrepancia alguna, se argumenta de la siguiente</w:t>
      </w:r>
      <w:r w:rsidRPr="00224B3B">
        <w:rPr>
          <w:rFonts w:ascii="Times New Roman" w:hAnsi="Times New Roman" w:cs="Times New Roman"/>
          <w:b w:val="0"/>
          <w:bCs w:val="0"/>
          <w:spacing w:val="1"/>
          <w:sz w:val="28"/>
          <w:szCs w:val="28"/>
        </w:rPr>
        <w:t xml:space="preserve"> </w:t>
      </w:r>
      <w:r w:rsidRPr="00224B3B">
        <w:rPr>
          <w:rFonts w:ascii="Times New Roman" w:hAnsi="Times New Roman" w:cs="Times New Roman"/>
          <w:b w:val="0"/>
          <w:bCs w:val="0"/>
          <w:sz w:val="28"/>
          <w:szCs w:val="28"/>
        </w:rPr>
        <w:t>manera.</w:t>
      </w:r>
    </w:p>
    <w:p w14:paraId="4334DA45" w14:textId="4B0D04CF" w:rsidR="00C96AB0" w:rsidRPr="00224B3B" w:rsidRDefault="00C96AB0" w:rsidP="00C96AB0">
      <w:pPr>
        <w:pStyle w:val="Prrafodelista"/>
        <w:widowControl w:val="0"/>
        <w:numPr>
          <w:ilvl w:val="0"/>
          <w:numId w:val="13"/>
        </w:numPr>
        <w:tabs>
          <w:tab w:val="left" w:pos="1121"/>
        </w:tabs>
        <w:autoSpaceDE w:val="0"/>
        <w:autoSpaceDN w:val="0"/>
        <w:spacing w:before="157" w:after="0"/>
        <w:ind w:right="225"/>
        <w:jc w:val="both"/>
        <w:rPr>
          <w:rFonts w:ascii="Times New Roman" w:hAnsi="Times New Roman" w:cs="Times New Roman"/>
          <w:sz w:val="28"/>
          <w:szCs w:val="28"/>
        </w:rPr>
      </w:pPr>
      <w:r w:rsidRPr="00224B3B">
        <w:rPr>
          <w:rFonts w:ascii="Times New Roman" w:hAnsi="Times New Roman" w:cs="Times New Roman"/>
          <w:sz w:val="28"/>
          <w:szCs w:val="28"/>
        </w:rPr>
        <w:t>La cláusula general de competencia dada el legislador en el Estado colombiano, confiere al parlamento la posibilidad de legislar sobre</w:t>
      </w:r>
      <w:r w:rsidRPr="00224B3B">
        <w:rPr>
          <w:rFonts w:ascii="Times New Roman" w:hAnsi="Times New Roman" w:cs="Times New Roman"/>
          <w:spacing w:val="-30"/>
          <w:sz w:val="28"/>
          <w:szCs w:val="28"/>
        </w:rPr>
        <w:t xml:space="preserve"> </w:t>
      </w:r>
      <w:r w:rsidRPr="00224B3B">
        <w:rPr>
          <w:rFonts w:ascii="Times New Roman" w:hAnsi="Times New Roman" w:cs="Times New Roman"/>
          <w:sz w:val="28"/>
          <w:szCs w:val="28"/>
        </w:rPr>
        <w:t>cualquier tema e incluso modificar la carta política con la cuidadosa excepción de la sustitución</w:t>
      </w:r>
      <w:r w:rsidRPr="00224B3B">
        <w:rPr>
          <w:rFonts w:ascii="Times New Roman" w:hAnsi="Times New Roman" w:cs="Times New Roman"/>
          <w:spacing w:val="3"/>
          <w:sz w:val="28"/>
          <w:szCs w:val="28"/>
        </w:rPr>
        <w:t xml:space="preserve"> </w:t>
      </w:r>
      <w:r w:rsidRPr="00224B3B">
        <w:rPr>
          <w:rFonts w:ascii="Times New Roman" w:hAnsi="Times New Roman" w:cs="Times New Roman"/>
          <w:sz w:val="28"/>
          <w:szCs w:val="28"/>
        </w:rPr>
        <w:t>de</w:t>
      </w:r>
      <w:r w:rsidRPr="00224B3B">
        <w:rPr>
          <w:rFonts w:ascii="Times New Roman" w:hAnsi="Times New Roman" w:cs="Times New Roman"/>
          <w:spacing w:val="9"/>
          <w:sz w:val="28"/>
          <w:szCs w:val="28"/>
        </w:rPr>
        <w:t xml:space="preserve"> </w:t>
      </w:r>
      <w:r w:rsidRPr="00224B3B">
        <w:rPr>
          <w:rFonts w:ascii="Times New Roman" w:hAnsi="Times New Roman" w:cs="Times New Roman"/>
          <w:sz w:val="28"/>
          <w:szCs w:val="28"/>
        </w:rPr>
        <w:t>ella,</w:t>
      </w:r>
      <w:r w:rsidRPr="00224B3B">
        <w:rPr>
          <w:rFonts w:ascii="Times New Roman" w:hAnsi="Times New Roman" w:cs="Times New Roman"/>
          <w:spacing w:val="10"/>
          <w:sz w:val="28"/>
          <w:szCs w:val="28"/>
        </w:rPr>
        <w:t xml:space="preserve"> </w:t>
      </w:r>
      <w:r w:rsidRPr="00224B3B">
        <w:rPr>
          <w:rFonts w:ascii="Times New Roman" w:hAnsi="Times New Roman" w:cs="Times New Roman"/>
          <w:spacing w:val="-3"/>
          <w:sz w:val="28"/>
          <w:szCs w:val="28"/>
        </w:rPr>
        <w:t>no</w:t>
      </w:r>
      <w:r w:rsidRPr="00224B3B">
        <w:rPr>
          <w:rFonts w:ascii="Times New Roman" w:hAnsi="Times New Roman" w:cs="Times New Roman"/>
          <w:spacing w:val="11"/>
          <w:sz w:val="28"/>
          <w:szCs w:val="28"/>
        </w:rPr>
        <w:t xml:space="preserve"> </w:t>
      </w:r>
      <w:r w:rsidRPr="00224B3B">
        <w:rPr>
          <w:rFonts w:ascii="Times New Roman" w:hAnsi="Times New Roman" w:cs="Times New Roman"/>
          <w:sz w:val="28"/>
          <w:szCs w:val="28"/>
        </w:rPr>
        <w:t>hay</w:t>
      </w:r>
      <w:r w:rsidRPr="00224B3B">
        <w:rPr>
          <w:rFonts w:ascii="Times New Roman" w:hAnsi="Times New Roman" w:cs="Times New Roman"/>
          <w:spacing w:val="4"/>
          <w:sz w:val="28"/>
          <w:szCs w:val="28"/>
        </w:rPr>
        <w:t xml:space="preserve"> </w:t>
      </w:r>
      <w:r w:rsidRPr="00224B3B">
        <w:rPr>
          <w:rFonts w:ascii="Times New Roman" w:hAnsi="Times New Roman" w:cs="Times New Roman"/>
          <w:sz w:val="28"/>
          <w:szCs w:val="28"/>
        </w:rPr>
        <w:t>lugar</w:t>
      </w:r>
      <w:r w:rsidRPr="00224B3B">
        <w:rPr>
          <w:rFonts w:ascii="Times New Roman" w:hAnsi="Times New Roman" w:cs="Times New Roman"/>
          <w:spacing w:val="5"/>
          <w:sz w:val="28"/>
          <w:szCs w:val="28"/>
        </w:rPr>
        <w:t xml:space="preserve"> </w:t>
      </w:r>
      <w:r w:rsidRPr="00224B3B">
        <w:rPr>
          <w:rFonts w:ascii="Times New Roman" w:hAnsi="Times New Roman" w:cs="Times New Roman"/>
          <w:sz w:val="28"/>
          <w:szCs w:val="28"/>
        </w:rPr>
        <w:t>a</w:t>
      </w:r>
      <w:r w:rsidRPr="00224B3B">
        <w:rPr>
          <w:rFonts w:ascii="Times New Roman" w:hAnsi="Times New Roman" w:cs="Times New Roman"/>
          <w:spacing w:val="8"/>
          <w:sz w:val="28"/>
          <w:szCs w:val="28"/>
        </w:rPr>
        <w:t xml:space="preserve"> </w:t>
      </w:r>
      <w:r w:rsidRPr="00224B3B">
        <w:rPr>
          <w:rFonts w:ascii="Times New Roman" w:hAnsi="Times New Roman" w:cs="Times New Roman"/>
          <w:sz w:val="28"/>
          <w:szCs w:val="28"/>
        </w:rPr>
        <w:t>creer</w:t>
      </w:r>
      <w:r w:rsidRPr="00224B3B">
        <w:rPr>
          <w:rFonts w:ascii="Times New Roman" w:hAnsi="Times New Roman" w:cs="Times New Roman"/>
          <w:spacing w:val="5"/>
          <w:sz w:val="28"/>
          <w:szCs w:val="28"/>
        </w:rPr>
        <w:t xml:space="preserve"> </w:t>
      </w:r>
      <w:r w:rsidRPr="00224B3B">
        <w:rPr>
          <w:rFonts w:ascii="Times New Roman" w:hAnsi="Times New Roman" w:cs="Times New Roman"/>
          <w:sz w:val="28"/>
          <w:szCs w:val="28"/>
        </w:rPr>
        <w:t>que</w:t>
      </w:r>
      <w:r w:rsidRPr="00224B3B">
        <w:rPr>
          <w:rFonts w:ascii="Times New Roman" w:hAnsi="Times New Roman" w:cs="Times New Roman"/>
          <w:spacing w:val="9"/>
          <w:sz w:val="28"/>
          <w:szCs w:val="28"/>
        </w:rPr>
        <w:t xml:space="preserve"> </w:t>
      </w:r>
      <w:r w:rsidRPr="00224B3B">
        <w:rPr>
          <w:rFonts w:ascii="Times New Roman" w:hAnsi="Times New Roman" w:cs="Times New Roman"/>
          <w:sz w:val="28"/>
          <w:szCs w:val="28"/>
        </w:rPr>
        <w:t>por</w:t>
      </w:r>
      <w:r w:rsidRPr="00224B3B">
        <w:rPr>
          <w:rFonts w:ascii="Times New Roman" w:hAnsi="Times New Roman" w:cs="Times New Roman"/>
          <w:spacing w:val="6"/>
          <w:sz w:val="28"/>
          <w:szCs w:val="28"/>
        </w:rPr>
        <w:t xml:space="preserve"> </w:t>
      </w:r>
      <w:r w:rsidRPr="00224B3B">
        <w:rPr>
          <w:rFonts w:ascii="Times New Roman" w:hAnsi="Times New Roman" w:cs="Times New Roman"/>
          <w:sz w:val="28"/>
          <w:szCs w:val="28"/>
        </w:rPr>
        <w:t>la</w:t>
      </w:r>
      <w:r w:rsidRPr="00224B3B">
        <w:rPr>
          <w:rFonts w:ascii="Times New Roman" w:hAnsi="Times New Roman" w:cs="Times New Roman"/>
          <w:spacing w:val="8"/>
          <w:sz w:val="28"/>
          <w:szCs w:val="28"/>
        </w:rPr>
        <w:t xml:space="preserve"> </w:t>
      </w:r>
      <w:r w:rsidRPr="00224B3B">
        <w:rPr>
          <w:rFonts w:ascii="Times New Roman" w:hAnsi="Times New Roman" w:cs="Times New Roman"/>
          <w:sz w:val="28"/>
          <w:szCs w:val="28"/>
        </w:rPr>
        <w:t>reparación</w:t>
      </w:r>
      <w:r w:rsidRPr="00224B3B">
        <w:rPr>
          <w:rFonts w:ascii="Times New Roman" w:hAnsi="Times New Roman" w:cs="Times New Roman"/>
          <w:spacing w:val="3"/>
          <w:sz w:val="28"/>
          <w:szCs w:val="28"/>
        </w:rPr>
        <w:t xml:space="preserve"> </w:t>
      </w:r>
      <w:r w:rsidRPr="00224B3B">
        <w:rPr>
          <w:rFonts w:ascii="Times New Roman" w:hAnsi="Times New Roman" w:cs="Times New Roman"/>
          <w:sz w:val="28"/>
          <w:szCs w:val="28"/>
        </w:rPr>
        <w:t>establecida</w:t>
      </w:r>
      <w:r w:rsidRPr="00224B3B">
        <w:rPr>
          <w:rFonts w:ascii="Times New Roman" w:hAnsi="Times New Roman" w:cs="Times New Roman"/>
          <w:spacing w:val="8"/>
          <w:sz w:val="28"/>
          <w:szCs w:val="28"/>
        </w:rPr>
        <w:t xml:space="preserve"> </w:t>
      </w:r>
      <w:r w:rsidRPr="00224B3B">
        <w:rPr>
          <w:rFonts w:ascii="Times New Roman" w:hAnsi="Times New Roman" w:cs="Times New Roman"/>
          <w:sz w:val="28"/>
          <w:szCs w:val="28"/>
        </w:rPr>
        <w:t>se está infringiendo alguna norma superior, ni se está actuando por fuera de la competencia legislativa.</w:t>
      </w:r>
    </w:p>
    <w:p w14:paraId="4D7E5104" w14:textId="77777777" w:rsidR="00C96AB0" w:rsidRPr="00224B3B" w:rsidRDefault="00C96AB0" w:rsidP="00C96AB0">
      <w:pPr>
        <w:pStyle w:val="Prrafodelista"/>
        <w:widowControl w:val="0"/>
        <w:tabs>
          <w:tab w:val="left" w:pos="1121"/>
        </w:tabs>
        <w:autoSpaceDE w:val="0"/>
        <w:autoSpaceDN w:val="0"/>
        <w:spacing w:before="157" w:after="0"/>
        <w:ind w:right="225"/>
        <w:jc w:val="both"/>
        <w:rPr>
          <w:rFonts w:ascii="Times New Roman" w:hAnsi="Times New Roman" w:cs="Times New Roman"/>
          <w:sz w:val="28"/>
          <w:szCs w:val="28"/>
        </w:rPr>
      </w:pPr>
    </w:p>
    <w:p w14:paraId="63F0E220" w14:textId="7E3501DE" w:rsidR="00DC67B8" w:rsidRPr="00224B3B" w:rsidRDefault="00DC67B8" w:rsidP="00DC67B8">
      <w:pPr>
        <w:pStyle w:val="Prrafodelista"/>
        <w:numPr>
          <w:ilvl w:val="0"/>
          <w:numId w:val="13"/>
        </w:numPr>
        <w:jc w:val="both"/>
        <w:rPr>
          <w:rFonts w:ascii="Times New Roman" w:hAnsi="Times New Roman" w:cs="Times New Roman"/>
          <w:sz w:val="28"/>
          <w:szCs w:val="28"/>
        </w:rPr>
      </w:pPr>
      <w:r w:rsidRPr="00224B3B">
        <w:rPr>
          <w:rFonts w:ascii="Times New Roman" w:hAnsi="Times New Roman" w:cs="Times New Roman"/>
          <w:sz w:val="28"/>
          <w:szCs w:val="28"/>
        </w:rPr>
        <w:lastRenderedPageBreak/>
        <w:t>La reparación agravada tiene una doble función. Por un lado, contribuye a la sensación de resarcimiento. Pero, además, funciona como incentivo a la denuncia, característica que como ya se mencionó en párrafos anteriores, en la confección de la política criminal.</w:t>
      </w:r>
    </w:p>
    <w:p w14:paraId="58D44D2E" w14:textId="3515FEE7" w:rsidR="00DC67B8" w:rsidRDefault="00DC67B8" w:rsidP="00DC67B8">
      <w:pPr>
        <w:jc w:val="both"/>
        <w:rPr>
          <w:rFonts w:ascii="Times New Roman" w:hAnsi="Times New Roman" w:cs="Times New Roman"/>
          <w:sz w:val="28"/>
          <w:szCs w:val="28"/>
        </w:rPr>
      </w:pPr>
      <w:r w:rsidRPr="00224B3B">
        <w:rPr>
          <w:rFonts w:ascii="Times New Roman" w:hAnsi="Times New Roman" w:cs="Times New Roman"/>
          <w:sz w:val="28"/>
          <w:szCs w:val="28"/>
        </w:rPr>
        <w:t>La única zona gris que existía a primera lectura era sobre la configuración del enriquecimiento sin justa causa vía aplicación de esta modificación. Pues bien, al respecto hay que mencionar dos cosas.</w:t>
      </w:r>
    </w:p>
    <w:p w14:paraId="27E0B13F" w14:textId="77777777" w:rsidR="005A35EB" w:rsidRPr="00224B3B" w:rsidRDefault="005A35EB" w:rsidP="00DC67B8">
      <w:pPr>
        <w:jc w:val="both"/>
        <w:rPr>
          <w:rFonts w:ascii="Times New Roman" w:hAnsi="Times New Roman" w:cs="Times New Roman"/>
          <w:sz w:val="28"/>
          <w:szCs w:val="28"/>
        </w:rPr>
      </w:pPr>
    </w:p>
    <w:p w14:paraId="63A1BBE5" w14:textId="77777777" w:rsidR="00DC67B8" w:rsidRPr="00224B3B" w:rsidRDefault="00DC67B8" w:rsidP="00DC67B8">
      <w:pPr>
        <w:jc w:val="both"/>
        <w:rPr>
          <w:rFonts w:ascii="Times New Roman" w:hAnsi="Times New Roman" w:cs="Times New Roman"/>
          <w:sz w:val="28"/>
          <w:szCs w:val="28"/>
        </w:rPr>
      </w:pPr>
      <w:r w:rsidRPr="00224B3B">
        <w:rPr>
          <w:rFonts w:ascii="Times New Roman" w:hAnsi="Times New Roman" w:cs="Times New Roman"/>
          <w:sz w:val="28"/>
          <w:szCs w:val="28"/>
        </w:rPr>
        <w:t>a.</w:t>
      </w:r>
      <w:r w:rsidRPr="00224B3B">
        <w:rPr>
          <w:rFonts w:ascii="Times New Roman" w:hAnsi="Times New Roman" w:cs="Times New Roman"/>
          <w:sz w:val="28"/>
          <w:szCs w:val="28"/>
        </w:rPr>
        <w:tab/>
      </w:r>
      <w:r w:rsidRPr="00224B3B">
        <w:rPr>
          <w:rFonts w:ascii="Times New Roman" w:hAnsi="Times New Roman" w:cs="Times New Roman"/>
          <w:b/>
          <w:bCs/>
          <w:sz w:val="28"/>
          <w:szCs w:val="28"/>
        </w:rPr>
        <w:t>Se trata de una antinomia aparente.</w:t>
      </w:r>
      <w:r w:rsidRPr="00224B3B">
        <w:rPr>
          <w:rFonts w:ascii="Times New Roman" w:hAnsi="Times New Roman" w:cs="Times New Roman"/>
          <w:sz w:val="28"/>
          <w:szCs w:val="28"/>
        </w:rPr>
        <w:t xml:space="preserve"> El Consejo de Estado, mediante sentencia de Unificación, interpretó las características necesarias para la configuración del enriquecimiento sin justa causa, siendo estos (i) El enriquecimiento de un sujeto (ii) el correlativo empobrecimiento de otro sujeto (iii) Ausencia de causa jurídica que justifique la situación de los dos sujetos.</w:t>
      </w:r>
    </w:p>
    <w:p w14:paraId="4EB22665" w14:textId="3C18B7C4" w:rsidR="00DC67B8" w:rsidRDefault="00DC67B8" w:rsidP="00DC67B8">
      <w:pPr>
        <w:jc w:val="both"/>
        <w:rPr>
          <w:rFonts w:ascii="Times New Roman" w:hAnsi="Times New Roman" w:cs="Times New Roman"/>
          <w:sz w:val="28"/>
          <w:szCs w:val="28"/>
        </w:rPr>
      </w:pPr>
      <w:r w:rsidRPr="00224B3B">
        <w:rPr>
          <w:rFonts w:ascii="Times New Roman" w:hAnsi="Times New Roman" w:cs="Times New Roman"/>
          <w:sz w:val="28"/>
          <w:szCs w:val="28"/>
        </w:rPr>
        <w:t>Para el caso del proyecto, la causa jurídica está dada por disposición de la misma ley, entendiéndose superada la antinomia.</w:t>
      </w:r>
    </w:p>
    <w:p w14:paraId="1B4EB22C" w14:textId="77777777" w:rsidR="005A35EB" w:rsidRPr="00224B3B" w:rsidRDefault="005A35EB" w:rsidP="00DC67B8">
      <w:pPr>
        <w:jc w:val="both"/>
        <w:rPr>
          <w:rFonts w:ascii="Times New Roman" w:hAnsi="Times New Roman" w:cs="Times New Roman"/>
          <w:sz w:val="28"/>
          <w:szCs w:val="28"/>
        </w:rPr>
      </w:pPr>
    </w:p>
    <w:p w14:paraId="04A863E5" w14:textId="0B40842A" w:rsidR="00C96AB0" w:rsidRPr="00224B3B" w:rsidRDefault="00DC67B8" w:rsidP="00DC67B8">
      <w:pPr>
        <w:jc w:val="both"/>
        <w:rPr>
          <w:rFonts w:ascii="Times New Roman" w:hAnsi="Times New Roman" w:cs="Times New Roman"/>
          <w:sz w:val="28"/>
          <w:szCs w:val="28"/>
        </w:rPr>
      </w:pPr>
      <w:r w:rsidRPr="00224B3B">
        <w:rPr>
          <w:rFonts w:ascii="Times New Roman" w:hAnsi="Times New Roman" w:cs="Times New Roman"/>
          <w:sz w:val="28"/>
          <w:szCs w:val="28"/>
        </w:rPr>
        <w:t>b.</w:t>
      </w:r>
      <w:r w:rsidRPr="00224B3B">
        <w:rPr>
          <w:rFonts w:ascii="Times New Roman" w:hAnsi="Times New Roman" w:cs="Times New Roman"/>
          <w:sz w:val="28"/>
          <w:szCs w:val="28"/>
        </w:rPr>
        <w:tab/>
      </w:r>
      <w:r w:rsidRPr="00224B3B">
        <w:rPr>
          <w:rFonts w:ascii="Times New Roman" w:hAnsi="Times New Roman" w:cs="Times New Roman"/>
          <w:b/>
          <w:bCs/>
          <w:sz w:val="28"/>
          <w:szCs w:val="28"/>
        </w:rPr>
        <w:t>No hay criterio superior de reforma para ser atendido.</w:t>
      </w:r>
      <w:r w:rsidRPr="00224B3B">
        <w:rPr>
          <w:rFonts w:ascii="Times New Roman" w:hAnsi="Times New Roman" w:cs="Times New Roman"/>
          <w:sz w:val="28"/>
          <w:szCs w:val="28"/>
        </w:rPr>
        <w:t xml:space="preserve"> La causa tal vez más importante para entender como procedente jurídicamente la modificación, es que el código civil o sus figuras no tiene jerarquía constitucional o supra legal para que se entienda como inmodificable vía ordinaria. Sin embargo, como ya se aclaró, no existe tal modificación, ya que se mantiene la figura del enriquecimiento sin justa causa incólume.</w:t>
      </w:r>
    </w:p>
    <w:p w14:paraId="451AEB77" w14:textId="77777777" w:rsidR="00DC67B8" w:rsidRPr="00224B3B" w:rsidRDefault="00DC67B8" w:rsidP="00DC67B8">
      <w:pPr>
        <w:jc w:val="both"/>
        <w:rPr>
          <w:rFonts w:ascii="Times New Roman" w:hAnsi="Times New Roman" w:cs="Times New Roman"/>
          <w:sz w:val="28"/>
          <w:szCs w:val="28"/>
        </w:rPr>
      </w:pPr>
    </w:p>
    <w:p w14:paraId="19E557DC" w14:textId="3788CC90" w:rsidR="00DC67B8" w:rsidRPr="00224B3B" w:rsidRDefault="00DC67B8" w:rsidP="00DC67B8">
      <w:pPr>
        <w:pStyle w:val="Prrafodelista"/>
        <w:widowControl w:val="0"/>
        <w:numPr>
          <w:ilvl w:val="0"/>
          <w:numId w:val="12"/>
        </w:numPr>
        <w:tabs>
          <w:tab w:val="left" w:pos="1121"/>
        </w:tabs>
        <w:autoSpaceDE w:val="0"/>
        <w:autoSpaceDN w:val="0"/>
        <w:spacing w:before="157" w:after="0"/>
        <w:ind w:right="225"/>
        <w:jc w:val="both"/>
        <w:rPr>
          <w:rFonts w:ascii="Times New Roman" w:hAnsi="Times New Roman" w:cs="Times New Roman"/>
          <w:b/>
          <w:bCs/>
          <w:sz w:val="28"/>
          <w:szCs w:val="28"/>
        </w:rPr>
      </w:pPr>
      <w:r w:rsidRPr="00224B3B">
        <w:rPr>
          <w:rFonts w:ascii="Times New Roman" w:hAnsi="Times New Roman" w:cs="Times New Roman"/>
          <w:b/>
          <w:bCs/>
          <w:sz w:val="28"/>
          <w:szCs w:val="28"/>
        </w:rPr>
        <w:t>El daño Punitivo</w:t>
      </w:r>
    </w:p>
    <w:p w14:paraId="161C855C" w14:textId="77777777" w:rsidR="00DC67B8" w:rsidRPr="00224B3B" w:rsidRDefault="00DC67B8" w:rsidP="00DC67B8">
      <w:pPr>
        <w:pStyle w:val="Prrafodelista"/>
        <w:widowControl w:val="0"/>
        <w:tabs>
          <w:tab w:val="left" w:pos="1121"/>
        </w:tabs>
        <w:autoSpaceDE w:val="0"/>
        <w:autoSpaceDN w:val="0"/>
        <w:spacing w:before="157" w:after="0"/>
        <w:ind w:left="1080" w:right="225"/>
        <w:jc w:val="both"/>
        <w:rPr>
          <w:rFonts w:ascii="Times New Roman" w:hAnsi="Times New Roman" w:cs="Times New Roman"/>
          <w:b/>
          <w:bCs/>
          <w:sz w:val="28"/>
          <w:szCs w:val="28"/>
        </w:rPr>
      </w:pPr>
    </w:p>
    <w:p w14:paraId="471D5AA7" w14:textId="08BA577F" w:rsidR="00DC67B8" w:rsidRPr="00224B3B" w:rsidRDefault="00DC67B8" w:rsidP="00DC67B8">
      <w:pPr>
        <w:jc w:val="both"/>
        <w:rPr>
          <w:rFonts w:ascii="Times New Roman" w:hAnsi="Times New Roman" w:cs="Times New Roman"/>
          <w:sz w:val="28"/>
          <w:szCs w:val="28"/>
        </w:rPr>
      </w:pPr>
      <w:r w:rsidRPr="00224B3B">
        <w:rPr>
          <w:rFonts w:ascii="Times New Roman" w:hAnsi="Times New Roman" w:cs="Times New Roman"/>
          <w:sz w:val="28"/>
          <w:szCs w:val="28"/>
        </w:rPr>
        <w:t>El criterio básico que genera la responsabilidad como concepto jurídico es la existencia de un daño sobre un interés o bien lícito y su subsecuente obligación de repararla, más en el derecho continental se ha desarrollado casi que exclusivamente</w:t>
      </w:r>
    </w:p>
    <w:p w14:paraId="4C2BA337" w14:textId="77777777" w:rsidR="00DC67B8" w:rsidRPr="00224B3B" w:rsidRDefault="00DC67B8" w:rsidP="00DC67B8">
      <w:pPr>
        <w:jc w:val="both"/>
        <w:rPr>
          <w:rFonts w:ascii="Times New Roman" w:hAnsi="Times New Roman" w:cs="Times New Roman"/>
          <w:sz w:val="28"/>
          <w:szCs w:val="28"/>
        </w:rPr>
      </w:pPr>
      <w:r w:rsidRPr="00224B3B">
        <w:rPr>
          <w:rFonts w:ascii="Times New Roman" w:hAnsi="Times New Roman" w:cs="Times New Roman"/>
          <w:sz w:val="28"/>
          <w:szCs w:val="28"/>
        </w:rPr>
        <w:t xml:space="preserve">noción del daño compensatorio. Entendido como aquel que repara únicamente el daño causado y nada más allá de eso. Y aunque esta tesis de daño es absolutamente en conflictos civiles o derivados de instituciones del derecho civil aun estando en </w:t>
      </w:r>
      <w:r w:rsidRPr="00224B3B">
        <w:rPr>
          <w:rFonts w:ascii="Times New Roman" w:hAnsi="Times New Roman" w:cs="Times New Roman"/>
          <w:sz w:val="28"/>
          <w:szCs w:val="28"/>
        </w:rPr>
        <w:lastRenderedPageBreak/>
        <w:t>otras jurisdicciones, lo cierto es que es insuficiente cuando de la reparación a una víctima de un delito se trata, pues ya no solo estamos hablando de la estructura general de la responsabilidad, y la intención de dañar o su ausencia, sino de una probada intención ilícita en la rama inquisitiva del derecho, lo que nos ubica en un contexto diferente frente a la reacción del Estado.</w:t>
      </w:r>
    </w:p>
    <w:p w14:paraId="6269E57D" w14:textId="6FBB5962" w:rsidR="00DC67B8" w:rsidRPr="00224B3B" w:rsidRDefault="00DC67B8" w:rsidP="00DC67B8">
      <w:pPr>
        <w:jc w:val="both"/>
        <w:rPr>
          <w:rFonts w:ascii="Times New Roman" w:hAnsi="Times New Roman" w:cs="Times New Roman"/>
          <w:sz w:val="28"/>
          <w:szCs w:val="28"/>
        </w:rPr>
      </w:pPr>
      <w:r w:rsidRPr="00224B3B">
        <w:rPr>
          <w:rFonts w:ascii="Times New Roman" w:hAnsi="Times New Roman" w:cs="Times New Roman"/>
          <w:sz w:val="28"/>
          <w:szCs w:val="28"/>
        </w:rPr>
        <w:t>En estos casos, no solo se debe buscar compensar a la víctima por los daños causados, sino que la reparación también debe servir como disuasora de la conducta, y la víctima reparada con cargos más extensos a la mera compensación. En el derecho anglosajón se ha definido como:</w:t>
      </w:r>
    </w:p>
    <w:p w14:paraId="0160F1ED" w14:textId="7C18FBA6" w:rsidR="00DC67B8" w:rsidRPr="00224B3B" w:rsidRDefault="00DC67B8" w:rsidP="00DC67B8">
      <w:pPr>
        <w:ind w:left="454"/>
        <w:jc w:val="both"/>
        <w:rPr>
          <w:rFonts w:ascii="Times New Roman" w:hAnsi="Times New Roman" w:cs="Times New Roman"/>
          <w:i/>
          <w:iCs/>
          <w:sz w:val="28"/>
          <w:szCs w:val="28"/>
        </w:rPr>
      </w:pPr>
      <w:r w:rsidRPr="00224B3B">
        <w:rPr>
          <w:rFonts w:ascii="Times New Roman" w:hAnsi="Times New Roman" w:cs="Times New Roman"/>
          <w:i/>
          <w:iCs/>
          <w:sz w:val="28"/>
          <w:szCs w:val="28"/>
          <w:lang w:val="en-US"/>
        </w:rPr>
        <w:t>“Punitive damages are awarded in addition to actual damages in certain circumstances. Punitive damages are considered punishment and are typically awarded at the court's discretion when the defendant's behavior is found to be especially harmful.”</w:t>
      </w:r>
      <w:r w:rsidRPr="00224B3B">
        <w:rPr>
          <w:rStyle w:val="Refdenotaalpie"/>
          <w:rFonts w:ascii="Times New Roman" w:hAnsi="Times New Roman" w:cs="Times New Roman"/>
          <w:i/>
          <w:iCs/>
          <w:sz w:val="28"/>
          <w:szCs w:val="28"/>
          <w:lang w:val="en-US"/>
        </w:rPr>
        <w:footnoteReference w:id="2"/>
      </w:r>
      <w:r w:rsidRPr="00224B3B">
        <w:rPr>
          <w:rFonts w:ascii="Times New Roman" w:hAnsi="Times New Roman" w:cs="Times New Roman"/>
          <w:i/>
          <w:iCs/>
          <w:sz w:val="28"/>
          <w:szCs w:val="28"/>
          <w:lang w:val="en-US"/>
        </w:rPr>
        <w:t xml:space="preserve"> </w:t>
      </w:r>
      <w:r w:rsidRPr="00224B3B">
        <w:rPr>
          <w:rFonts w:ascii="Times New Roman" w:hAnsi="Times New Roman" w:cs="Times New Roman"/>
          <w:i/>
          <w:iCs/>
          <w:sz w:val="28"/>
          <w:szCs w:val="28"/>
        </w:rPr>
        <w:t>Corte Suprema Federal. Honda Motor Co. v. Oberg (1994)</w:t>
      </w:r>
    </w:p>
    <w:p w14:paraId="657AF774" w14:textId="73670755" w:rsidR="00DC67B8" w:rsidRPr="00224B3B" w:rsidRDefault="00DC67B8" w:rsidP="00DC67B8">
      <w:pPr>
        <w:jc w:val="both"/>
        <w:rPr>
          <w:rFonts w:ascii="Times New Roman" w:hAnsi="Times New Roman" w:cs="Times New Roman"/>
          <w:sz w:val="28"/>
          <w:szCs w:val="28"/>
        </w:rPr>
      </w:pPr>
      <w:r w:rsidRPr="00224B3B">
        <w:rPr>
          <w:rFonts w:ascii="Times New Roman" w:hAnsi="Times New Roman" w:cs="Times New Roman"/>
          <w:sz w:val="28"/>
          <w:szCs w:val="28"/>
        </w:rPr>
        <w:t>Lo anterior resulta especialmente relevante a la luz de los delitos que se intentan incluir en esta reforma, pues hay un consenso jurídico y social, de que la corrupción pública es la causante, en gran medida de la desconfianza ciudadana, la desinstitucionalización del Estado y el freno para el progreso, ya que nos debemos concentrar en litigios y arreglar los daños de la corrupción que tiene como dolientes a los ciudadanos menoscabando la inversión social. Por lo anterior, la inclusión del daño punitivo es relevante para el tema de la corrupción y necesaria para contribuir a la disuasión.</w:t>
      </w:r>
    </w:p>
    <w:p w14:paraId="52912E01" w14:textId="71FC82BE" w:rsidR="00DC67B8" w:rsidRDefault="00DC67B8" w:rsidP="00DC67B8">
      <w:pPr>
        <w:jc w:val="both"/>
        <w:rPr>
          <w:rFonts w:ascii="Times New Roman" w:hAnsi="Times New Roman" w:cs="Times New Roman"/>
          <w:sz w:val="28"/>
          <w:szCs w:val="28"/>
        </w:rPr>
      </w:pPr>
    </w:p>
    <w:p w14:paraId="7F30B073" w14:textId="09EE2EAE" w:rsidR="005A35EB" w:rsidRDefault="005A35EB" w:rsidP="00DC67B8">
      <w:pPr>
        <w:jc w:val="both"/>
        <w:rPr>
          <w:rFonts w:ascii="Times New Roman" w:hAnsi="Times New Roman" w:cs="Times New Roman"/>
          <w:sz w:val="28"/>
          <w:szCs w:val="28"/>
        </w:rPr>
      </w:pPr>
    </w:p>
    <w:p w14:paraId="11818947" w14:textId="77777777" w:rsidR="005A35EB" w:rsidRPr="00224B3B" w:rsidRDefault="005A35EB" w:rsidP="00DC67B8">
      <w:pPr>
        <w:jc w:val="both"/>
        <w:rPr>
          <w:rFonts w:ascii="Times New Roman" w:hAnsi="Times New Roman" w:cs="Times New Roman"/>
          <w:sz w:val="28"/>
          <w:szCs w:val="28"/>
        </w:rPr>
      </w:pPr>
    </w:p>
    <w:p w14:paraId="77F9F41B" w14:textId="2A493EDC" w:rsidR="00363CB1" w:rsidRPr="00224B3B" w:rsidRDefault="00363CB1" w:rsidP="00363CB1">
      <w:pPr>
        <w:pStyle w:val="Prrafodelista"/>
        <w:numPr>
          <w:ilvl w:val="0"/>
          <w:numId w:val="12"/>
        </w:numPr>
        <w:jc w:val="both"/>
        <w:rPr>
          <w:rFonts w:ascii="Times New Roman" w:hAnsi="Times New Roman" w:cs="Times New Roman"/>
          <w:b/>
          <w:bCs/>
          <w:sz w:val="28"/>
          <w:szCs w:val="28"/>
        </w:rPr>
      </w:pPr>
      <w:r w:rsidRPr="00224B3B">
        <w:rPr>
          <w:rFonts w:ascii="Times New Roman" w:hAnsi="Times New Roman" w:cs="Times New Roman"/>
          <w:b/>
          <w:bCs/>
          <w:sz w:val="28"/>
          <w:szCs w:val="28"/>
        </w:rPr>
        <w:t>La corrupción en Colombia</w:t>
      </w:r>
    </w:p>
    <w:p w14:paraId="56FD4301" w14:textId="63176BCA" w:rsidR="00363CB1" w:rsidRPr="00224B3B" w:rsidRDefault="00363CB1" w:rsidP="00363CB1">
      <w:pPr>
        <w:ind w:left="360"/>
        <w:jc w:val="both"/>
        <w:rPr>
          <w:rFonts w:ascii="Times New Roman" w:hAnsi="Times New Roman" w:cs="Times New Roman"/>
          <w:b/>
          <w:bCs/>
          <w:sz w:val="28"/>
          <w:szCs w:val="28"/>
        </w:rPr>
      </w:pPr>
      <w:r w:rsidRPr="00224B3B">
        <w:rPr>
          <w:rFonts w:ascii="Times New Roman" w:hAnsi="Times New Roman" w:cs="Times New Roman"/>
          <w:noProof/>
          <w:sz w:val="28"/>
          <w:szCs w:val="28"/>
          <w:lang w:eastAsia="es-CO"/>
        </w:rPr>
        <w:lastRenderedPageBreak/>
        <w:drawing>
          <wp:inline distT="0" distB="0" distL="0" distR="0" wp14:anchorId="46330D2C" wp14:editId="7F831707">
            <wp:extent cx="5905500" cy="3686175"/>
            <wp:effectExtent l="0" t="0" r="0" b="9525"/>
            <wp:docPr id="3" name="Imagen 3" descr="Interfaz de usuario gráfica, Aplicación, Sitio web,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Sitio web, Mapa&#10;&#10;Descripción generada automáticamente"/>
                    <pic:cNvPicPr/>
                  </pic:nvPicPr>
                  <pic:blipFill rotWithShape="1">
                    <a:blip r:embed="rId8"/>
                    <a:srcRect l="21385" t="16603" r="22437" b="12759"/>
                    <a:stretch/>
                  </pic:blipFill>
                  <pic:spPr bwMode="auto">
                    <a:xfrm>
                      <a:off x="0" y="0"/>
                      <a:ext cx="5905500" cy="3686175"/>
                    </a:xfrm>
                    <a:prstGeom prst="rect">
                      <a:avLst/>
                    </a:prstGeom>
                    <a:ln>
                      <a:noFill/>
                    </a:ln>
                    <a:extLst>
                      <a:ext uri="{53640926-AAD7-44D8-BBD7-CCE9431645EC}">
                        <a14:shadowObscured xmlns:a14="http://schemas.microsoft.com/office/drawing/2010/main"/>
                      </a:ext>
                    </a:extLst>
                  </pic:spPr>
                </pic:pic>
              </a:graphicData>
            </a:graphic>
          </wp:inline>
        </w:drawing>
      </w:r>
      <w:r w:rsidRPr="00224B3B">
        <w:rPr>
          <w:rStyle w:val="Refdenotaalpie"/>
          <w:rFonts w:ascii="Times New Roman" w:hAnsi="Times New Roman" w:cs="Times New Roman"/>
          <w:b/>
          <w:bCs/>
          <w:sz w:val="28"/>
          <w:szCs w:val="28"/>
        </w:rPr>
        <w:footnoteReference w:id="3"/>
      </w:r>
    </w:p>
    <w:p w14:paraId="467EC857" w14:textId="15461F45" w:rsidR="00363CB1" w:rsidRPr="00224B3B" w:rsidRDefault="00363CB1" w:rsidP="00DC67B8">
      <w:pPr>
        <w:jc w:val="both"/>
        <w:rPr>
          <w:rFonts w:ascii="Times New Roman" w:hAnsi="Times New Roman" w:cs="Times New Roman"/>
          <w:sz w:val="28"/>
          <w:szCs w:val="28"/>
        </w:rPr>
      </w:pPr>
      <w:r w:rsidRPr="00224B3B">
        <w:rPr>
          <w:rFonts w:ascii="Times New Roman" w:hAnsi="Times New Roman" w:cs="Times New Roman"/>
          <w:sz w:val="28"/>
          <w:szCs w:val="28"/>
        </w:rPr>
        <w:t xml:space="preserve">Colombia, si bien no ocupa los lugares más trágicos en percepción de corrupción, si se mantiene en el rango medio superior, sin que haya avances en la modificación de esa tendencia a pesar de los esfuerzos institucionales y estatales de judicializar con más rapidez y severidad la corrupción. </w:t>
      </w:r>
    </w:p>
    <w:p w14:paraId="1FBBEDD5" w14:textId="38723895" w:rsidR="00363CB1" w:rsidRPr="00224B3B" w:rsidRDefault="00363CB1" w:rsidP="00DC67B8">
      <w:pPr>
        <w:jc w:val="both"/>
        <w:rPr>
          <w:rFonts w:ascii="Times New Roman" w:hAnsi="Times New Roman" w:cs="Times New Roman"/>
          <w:sz w:val="28"/>
          <w:szCs w:val="28"/>
        </w:rPr>
      </w:pPr>
      <w:r w:rsidRPr="00224B3B">
        <w:rPr>
          <w:rFonts w:ascii="Times New Roman" w:hAnsi="Times New Roman" w:cs="Times New Roman"/>
          <w:sz w:val="28"/>
          <w:szCs w:val="28"/>
        </w:rPr>
        <w:t>El director de Transparencia por Colombia describe así la situación:</w:t>
      </w:r>
    </w:p>
    <w:p w14:paraId="10F189B8" w14:textId="5F34B5ED" w:rsidR="00363CB1" w:rsidRPr="00224B3B" w:rsidRDefault="00363CB1" w:rsidP="00363CB1">
      <w:pPr>
        <w:ind w:left="567"/>
        <w:jc w:val="both"/>
        <w:rPr>
          <w:rFonts w:ascii="Times New Roman" w:hAnsi="Times New Roman" w:cs="Times New Roman"/>
          <w:sz w:val="28"/>
          <w:szCs w:val="28"/>
        </w:rPr>
      </w:pPr>
      <w:r w:rsidRPr="00224B3B">
        <w:rPr>
          <w:rFonts w:ascii="Times New Roman" w:hAnsi="Times New Roman" w:cs="Times New Roman"/>
          <w:i/>
          <w:iCs/>
          <w:sz w:val="28"/>
          <w:szCs w:val="28"/>
        </w:rPr>
        <w:t>«Estamos cerca de cumplir una década en ese estancamiento. Avanzar en esta calificación dependerá de cómo el país aborde retos históricos que facilitan la corrupción, pero también de nuestra capacidad para proteger los recursos públicos en coyunturas tan difíciles como la pandemia”,</w:t>
      </w:r>
      <w:r w:rsidRPr="00224B3B">
        <w:rPr>
          <w:rFonts w:ascii="Times New Roman" w:hAnsi="Times New Roman" w:cs="Times New Roman"/>
          <w:sz w:val="28"/>
          <w:szCs w:val="28"/>
        </w:rPr>
        <w:t xml:space="preserve"> indica Andrés Hernández, Director Ejecutivo de Transparencia por Colombia.</w:t>
      </w:r>
    </w:p>
    <w:p w14:paraId="043420F7" w14:textId="6FBBBD26" w:rsidR="00363CB1" w:rsidRPr="00224B3B" w:rsidRDefault="00224B3B" w:rsidP="00363CB1">
      <w:pPr>
        <w:jc w:val="both"/>
        <w:rPr>
          <w:rFonts w:ascii="Times New Roman" w:hAnsi="Times New Roman" w:cs="Times New Roman"/>
          <w:sz w:val="28"/>
          <w:szCs w:val="28"/>
        </w:rPr>
      </w:pPr>
      <w:r w:rsidRPr="00224B3B">
        <w:rPr>
          <w:rFonts w:ascii="Times New Roman" w:hAnsi="Times New Roman" w:cs="Times New Roman"/>
          <w:sz w:val="28"/>
          <w:szCs w:val="28"/>
        </w:rPr>
        <w:t>Así las cosas, las medidas anticorrupción que podamos tomar, no sobran, porque en este momento, es vital evitar que se resquebraje el Estado por la destrucción de la confianza ciudadana.</w:t>
      </w:r>
    </w:p>
    <w:p w14:paraId="105445CE" w14:textId="27D22874" w:rsidR="00224B3B" w:rsidRDefault="00224B3B" w:rsidP="00363CB1">
      <w:pPr>
        <w:jc w:val="both"/>
        <w:rPr>
          <w:rFonts w:ascii="Times New Roman" w:hAnsi="Times New Roman" w:cs="Times New Roman"/>
          <w:sz w:val="28"/>
          <w:szCs w:val="28"/>
        </w:rPr>
      </w:pPr>
      <w:r w:rsidRPr="00224B3B">
        <w:rPr>
          <w:rFonts w:ascii="Times New Roman" w:hAnsi="Times New Roman" w:cs="Times New Roman"/>
          <w:sz w:val="28"/>
          <w:szCs w:val="28"/>
        </w:rPr>
        <w:lastRenderedPageBreak/>
        <w:t xml:space="preserve">Y es que es importante recalcar lo que en párrafos anteriores se había mencionado, la norma es importante, es el marco de acción </w:t>
      </w:r>
      <w:r>
        <w:rPr>
          <w:rFonts w:ascii="Times New Roman" w:hAnsi="Times New Roman" w:cs="Times New Roman"/>
          <w:sz w:val="28"/>
          <w:szCs w:val="28"/>
        </w:rPr>
        <w:t xml:space="preserve">contra la corrupción, y, además, la que define qué es la corrupción, quién comete actos de corrupción y cuales son las conductas corruptas. Pero es necesario que la ciudadanía, la sociedad en su conjunto genere herramientas sociales de reproche, disuasión y prevención a la corrupción. La ley es un vehículo, y en el caso de este proyecto de ley, un vehículo que no pretende crear nuevos tipos penales o usar las penas, sino usar la disuasión económica para luchar contra la corrupción. </w:t>
      </w:r>
    </w:p>
    <w:p w14:paraId="4466AA81" w14:textId="409014C4" w:rsidR="00224B3B" w:rsidRDefault="00224B3B" w:rsidP="00363CB1">
      <w:pPr>
        <w:jc w:val="both"/>
        <w:rPr>
          <w:rFonts w:ascii="Times New Roman" w:hAnsi="Times New Roman" w:cs="Times New Roman"/>
          <w:sz w:val="28"/>
          <w:szCs w:val="28"/>
        </w:rPr>
      </w:pPr>
      <w:r>
        <w:rPr>
          <w:rFonts w:ascii="Times New Roman" w:hAnsi="Times New Roman" w:cs="Times New Roman"/>
          <w:sz w:val="28"/>
          <w:szCs w:val="28"/>
        </w:rPr>
        <w:t>Lo anterior, lo describe la CIDH en un informe que data del 2007 sobre la corrupción en Colombia, en el que concluye:</w:t>
      </w:r>
    </w:p>
    <w:p w14:paraId="60AAA5E5" w14:textId="46A03D84" w:rsidR="00224B3B" w:rsidRPr="00224B3B" w:rsidRDefault="00224B3B" w:rsidP="00224B3B">
      <w:pPr>
        <w:ind w:left="567"/>
        <w:jc w:val="both"/>
        <w:rPr>
          <w:rFonts w:ascii="Times New Roman" w:hAnsi="Times New Roman" w:cs="Times New Roman"/>
          <w:i/>
          <w:iCs/>
          <w:sz w:val="28"/>
          <w:szCs w:val="28"/>
        </w:rPr>
      </w:pPr>
      <w:r>
        <w:rPr>
          <w:rFonts w:ascii="Times New Roman" w:hAnsi="Times New Roman" w:cs="Times New Roman"/>
          <w:i/>
          <w:iCs/>
          <w:sz w:val="28"/>
          <w:szCs w:val="28"/>
        </w:rPr>
        <w:t>“</w:t>
      </w:r>
      <w:r w:rsidRPr="00224B3B">
        <w:rPr>
          <w:rFonts w:ascii="Times New Roman" w:hAnsi="Times New Roman" w:cs="Times New Roman"/>
          <w:i/>
          <w:iCs/>
          <w:sz w:val="28"/>
          <w:szCs w:val="28"/>
        </w:rPr>
        <w:t>Al hablar de LCC</w:t>
      </w:r>
      <w:r w:rsidR="00C57B1D">
        <w:rPr>
          <w:rFonts w:ascii="Times New Roman" w:hAnsi="Times New Roman" w:cs="Times New Roman"/>
          <w:i/>
          <w:iCs/>
          <w:sz w:val="28"/>
          <w:szCs w:val="28"/>
        </w:rPr>
        <w:t xml:space="preserve"> </w:t>
      </w:r>
      <w:r w:rsidR="00C57B1D">
        <w:rPr>
          <w:rFonts w:ascii="Times New Roman" w:hAnsi="Times New Roman" w:cs="Times New Roman"/>
          <w:sz w:val="28"/>
          <w:szCs w:val="28"/>
        </w:rPr>
        <w:t>(Lucha contra la corrupción)</w:t>
      </w:r>
      <w:r w:rsidRPr="00224B3B">
        <w:rPr>
          <w:rFonts w:ascii="Times New Roman" w:hAnsi="Times New Roman" w:cs="Times New Roman"/>
          <w:i/>
          <w:iCs/>
          <w:sz w:val="28"/>
          <w:szCs w:val="28"/>
        </w:rPr>
        <w:t xml:space="preserve"> hablamos de un proceso de construcción de enemigo, el cual como no puede ser identificado y delimitado, pues está en constante construcción, debe ser definido bajo la técnica de la persuasión, demostrando qué se valora como corrupto y por tanto qué acción anticorrupción se despliega para mitigar sus impactos, de ahí que toda acción que se asemeje se podrá considerar como corrupción, lo que implicará definir acciones institucionales, en cabeza del Estado, pero con la participación de la sociedad para formular consecuentes acciones anticorrupción. </w:t>
      </w:r>
    </w:p>
    <w:p w14:paraId="791A082B" w14:textId="77777777" w:rsidR="00224B3B" w:rsidRPr="00224B3B" w:rsidRDefault="00224B3B" w:rsidP="00224B3B">
      <w:pPr>
        <w:ind w:left="567"/>
        <w:jc w:val="both"/>
        <w:rPr>
          <w:rFonts w:ascii="Times New Roman" w:hAnsi="Times New Roman" w:cs="Times New Roman"/>
          <w:i/>
          <w:iCs/>
          <w:sz w:val="28"/>
          <w:szCs w:val="28"/>
        </w:rPr>
      </w:pPr>
      <w:r w:rsidRPr="00224B3B">
        <w:rPr>
          <w:rFonts w:ascii="Times New Roman" w:hAnsi="Times New Roman" w:cs="Times New Roman"/>
          <w:i/>
          <w:iCs/>
          <w:sz w:val="28"/>
          <w:szCs w:val="28"/>
        </w:rPr>
        <w:t xml:space="preserve">Sin embargo, no es suficiente la norma, pues si la dinámica de la lucha implica una participación de la sociedad, su acción y su vigilancia sobre la función pública, va más allá de las expresiones descritas por el legislador, ahí no existen funciones regladas sino mecanismos para ejercer el control. Por ello, este escenario que se pudiese creer como de participación ciudadana, se torna en un mecanismo policivo respaldado institucionalmente, superando el ámbito de lo público, vinculando a la sociedad en los procesos de lucha donde al no saber contra qué se está luchando podrán intervenir en otros de los ámbitos de la administración pública, con gran énfasis en el enfoque eficientista, exacerbando los niveles de control, lo que en sí no garantizará que al ser más visible el poder sea más controlable, sino que lo que garantiza es que haya más control. </w:t>
      </w:r>
    </w:p>
    <w:p w14:paraId="72796909" w14:textId="2D055DF5" w:rsidR="00224B3B" w:rsidRDefault="00224B3B" w:rsidP="00224B3B">
      <w:pPr>
        <w:ind w:left="567"/>
        <w:jc w:val="both"/>
        <w:rPr>
          <w:rFonts w:ascii="Times New Roman" w:hAnsi="Times New Roman" w:cs="Times New Roman"/>
          <w:i/>
          <w:iCs/>
          <w:sz w:val="28"/>
          <w:szCs w:val="28"/>
        </w:rPr>
      </w:pPr>
      <w:r w:rsidRPr="00224B3B">
        <w:rPr>
          <w:rFonts w:ascii="Times New Roman" w:hAnsi="Times New Roman" w:cs="Times New Roman"/>
          <w:i/>
          <w:iCs/>
          <w:sz w:val="28"/>
          <w:szCs w:val="28"/>
        </w:rPr>
        <w:t xml:space="preserve">De esta forma, el Estado define al construir un enemigo, un escenario de lucha, como se hace para la consolidación de los Derechos Humanos, la protección del medio ambiente, la erradicación del crimen organizado, la erradicación (léase control) del terrorismo o la aniquilación (léase niveles tolerables) del </w:t>
      </w:r>
      <w:r w:rsidRPr="00224B3B">
        <w:rPr>
          <w:rFonts w:ascii="Times New Roman" w:hAnsi="Times New Roman" w:cs="Times New Roman"/>
          <w:i/>
          <w:iCs/>
          <w:sz w:val="28"/>
          <w:szCs w:val="28"/>
        </w:rPr>
        <w:lastRenderedPageBreak/>
        <w:t>narcotráfico; por ello, se parte de orientar al ciudadano, sin el reconocimiento del otro, y sobre la peligrosidad, que en el escenario de la LCC, recae tanto en el servidor público o sobre el particular que presta la función pública como sobre el particular que puede interactuar en la prestación del servicio. De esta forma, la figura de la prevención general se convierte en la regla social, influyendo en el comportamiento social que parte de la sospecha, la desconfianza y el disvalor de lo público como corrupto.</w:t>
      </w:r>
      <w:r>
        <w:rPr>
          <w:rFonts w:ascii="Times New Roman" w:hAnsi="Times New Roman" w:cs="Times New Roman"/>
          <w:i/>
          <w:iCs/>
          <w:sz w:val="28"/>
          <w:szCs w:val="28"/>
        </w:rPr>
        <w:t>”</w:t>
      </w:r>
      <w:r>
        <w:rPr>
          <w:rStyle w:val="Refdenotaalpie"/>
          <w:rFonts w:ascii="Times New Roman" w:hAnsi="Times New Roman" w:cs="Times New Roman"/>
          <w:i/>
          <w:iCs/>
          <w:sz w:val="28"/>
          <w:szCs w:val="28"/>
        </w:rPr>
        <w:footnoteReference w:id="4"/>
      </w:r>
    </w:p>
    <w:p w14:paraId="41F247A3" w14:textId="77777777" w:rsidR="00C57B1D" w:rsidRDefault="00C57B1D" w:rsidP="00224B3B">
      <w:pPr>
        <w:ind w:left="567"/>
        <w:jc w:val="both"/>
        <w:rPr>
          <w:rFonts w:ascii="Times New Roman" w:hAnsi="Times New Roman" w:cs="Times New Roman"/>
          <w:i/>
          <w:iCs/>
          <w:sz w:val="28"/>
          <w:szCs w:val="28"/>
        </w:rPr>
      </w:pPr>
    </w:p>
    <w:p w14:paraId="7FF7ED8F" w14:textId="23F17CCA" w:rsidR="00C57B1D" w:rsidRDefault="00C57B1D" w:rsidP="00C57B1D">
      <w:pPr>
        <w:pStyle w:val="Prrafodelista"/>
        <w:numPr>
          <w:ilvl w:val="0"/>
          <w:numId w:val="12"/>
        </w:numPr>
        <w:jc w:val="both"/>
        <w:rPr>
          <w:rFonts w:ascii="Times New Roman" w:hAnsi="Times New Roman" w:cs="Times New Roman"/>
          <w:b/>
          <w:bCs/>
          <w:sz w:val="28"/>
          <w:szCs w:val="28"/>
        </w:rPr>
      </w:pPr>
      <w:r>
        <w:rPr>
          <w:rFonts w:ascii="Times New Roman" w:hAnsi="Times New Roman" w:cs="Times New Roman"/>
          <w:b/>
          <w:bCs/>
          <w:sz w:val="28"/>
          <w:szCs w:val="28"/>
        </w:rPr>
        <w:t>Conflicto de interés</w:t>
      </w:r>
    </w:p>
    <w:p w14:paraId="14150BAA" w14:textId="77777777" w:rsidR="00C57B1D" w:rsidRDefault="00C57B1D" w:rsidP="00C57B1D">
      <w:pPr>
        <w:jc w:val="both"/>
        <w:rPr>
          <w:rFonts w:ascii="Times New Roman" w:hAnsi="Times New Roman" w:cs="Times New Roman"/>
          <w:sz w:val="28"/>
          <w:szCs w:val="28"/>
        </w:rPr>
      </w:pPr>
      <w:r>
        <w:rPr>
          <w:rFonts w:ascii="Times New Roman" w:hAnsi="Times New Roman" w:cs="Times New Roman"/>
          <w:sz w:val="28"/>
          <w:szCs w:val="28"/>
        </w:rPr>
        <w:t>El presente proyecto de ley no contiene beneficios, sino por el contrario establecen medidas más severas de lucha contra la corrupción y en consecuencia no existe la posibilidad de generar conflictos de interés en los términos de la ley 2003 de 2019 artículo 1, literal c, de la sección que describe aquello que no configura razón de impedimentos o recusaciones así:</w:t>
      </w:r>
    </w:p>
    <w:p w14:paraId="024D2382" w14:textId="4C9FE299" w:rsidR="00C57B1D" w:rsidRPr="00C57B1D" w:rsidRDefault="00C57B1D" w:rsidP="00C57B1D">
      <w:pPr>
        <w:ind w:left="567"/>
        <w:jc w:val="both"/>
        <w:rPr>
          <w:rFonts w:ascii="Times New Roman" w:hAnsi="Times New Roman" w:cs="Times New Roman"/>
          <w:i/>
          <w:iCs/>
          <w:sz w:val="28"/>
          <w:szCs w:val="28"/>
        </w:rPr>
      </w:pPr>
      <w:r w:rsidRPr="00C57B1D">
        <w:rPr>
          <w:rFonts w:ascii="Times New Roman" w:hAnsi="Times New Roman" w:cs="Times New Roman"/>
          <w:i/>
          <w:iCs/>
          <w:sz w:val="28"/>
          <w:szCs w:val="28"/>
        </w:rPr>
        <w:t xml:space="preserve">Para todos los efectos se entiende que </w:t>
      </w:r>
      <w:r w:rsidRPr="00C57B1D">
        <w:rPr>
          <w:rFonts w:ascii="Times New Roman" w:hAnsi="Times New Roman" w:cs="Times New Roman"/>
          <w:b/>
          <w:bCs/>
          <w:i/>
          <w:iCs/>
          <w:sz w:val="28"/>
          <w:szCs w:val="28"/>
        </w:rPr>
        <w:t>no hay conflicto de interés</w:t>
      </w:r>
      <w:r w:rsidRPr="00C57B1D">
        <w:rPr>
          <w:rFonts w:ascii="Times New Roman" w:hAnsi="Times New Roman" w:cs="Times New Roman"/>
          <w:i/>
          <w:iCs/>
          <w:sz w:val="28"/>
          <w:szCs w:val="28"/>
        </w:rPr>
        <w:t xml:space="preserve"> en las siguientes circunstancias:</w:t>
      </w:r>
    </w:p>
    <w:p w14:paraId="2CC4F341" w14:textId="61A051F7" w:rsidR="00C57B1D" w:rsidRDefault="00C57B1D" w:rsidP="00C57B1D">
      <w:pPr>
        <w:ind w:left="567"/>
        <w:jc w:val="both"/>
        <w:rPr>
          <w:rFonts w:ascii="Times New Roman" w:hAnsi="Times New Roman" w:cs="Times New Roman"/>
          <w:i/>
          <w:iCs/>
          <w:sz w:val="28"/>
          <w:szCs w:val="28"/>
        </w:rPr>
      </w:pPr>
      <w:r w:rsidRPr="00C57B1D">
        <w:rPr>
          <w:rFonts w:ascii="Times New Roman" w:hAnsi="Times New Roman" w:cs="Times New Roman"/>
          <w:i/>
          <w:iCs/>
          <w:sz w:val="28"/>
          <w:szCs w:val="28"/>
        </w:rPr>
        <w:t xml:space="preserve">c) </w:t>
      </w:r>
      <w:r w:rsidRPr="00C57B1D">
        <w:rPr>
          <w:rFonts w:ascii="Times New Roman" w:hAnsi="Times New Roman" w:cs="Times New Roman"/>
          <w:b/>
          <w:bCs/>
          <w:i/>
          <w:iCs/>
          <w:sz w:val="28"/>
          <w:szCs w:val="28"/>
        </w:rPr>
        <w:t>Cuando el congresista participe, discuta o vote artículos de proyectos de ley o acto legislativo de carácter particular, que establezcan sanciones o disminuyan beneficios, en el cual el congresista tiene un interés particular, actual y directo</w:t>
      </w:r>
      <w:r w:rsidRPr="00C57B1D">
        <w:rPr>
          <w:rFonts w:ascii="Times New Roman" w:hAnsi="Times New Roman" w:cs="Times New Roman"/>
          <w:i/>
          <w:iCs/>
          <w:sz w:val="28"/>
          <w:szCs w:val="28"/>
        </w:rPr>
        <w:t>. El voto negativo no constituirá conflicto de interés cuando mantiene la normatividad vigente.</w:t>
      </w:r>
    </w:p>
    <w:p w14:paraId="0312E0B2" w14:textId="77777777" w:rsidR="005A35EB" w:rsidRDefault="005A35EB" w:rsidP="00C57B1D">
      <w:pPr>
        <w:jc w:val="both"/>
        <w:rPr>
          <w:rFonts w:ascii="Times New Roman" w:hAnsi="Times New Roman" w:cs="Times New Roman"/>
          <w:sz w:val="28"/>
          <w:szCs w:val="28"/>
        </w:rPr>
      </w:pPr>
    </w:p>
    <w:p w14:paraId="5E7551D6" w14:textId="317C27E2" w:rsidR="00C57B1D" w:rsidRDefault="00C57B1D" w:rsidP="00C57B1D">
      <w:pPr>
        <w:jc w:val="both"/>
        <w:rPr>
          <w:rFonts w:ascii="Times New Roman" w:hAnsi="Times New Roman" w:cs="Times New Roman"/>
          <w:sz w:val="28"/>
          <w:szCs w:val="28"/>
        </w:rPr>
      </w:pPr>
      <w:r>
        <w:rPr>
          <w:rFonts w:ascii="Times New Roman" w:hAnsi="Times New Roman" w:cs="Times New Roman"/>
          <w:sz w:val="28"/>
          <w:szCs w:val="28"/>
        </w:rPr>
        <w:t>De los honorables Congresistas,</w:t>
      </w:r>
    </w:p>
    <w:p w14:paraId="737E7483" w14:textId="5548C4E4" w:rsidR="00C57B1D" w:rsidRDefault="00C57B1D" w:rsidP="00C57B1D">
      <w:pPr>
        <w:jc w:val="both"/>
        <w:rPr>
          <w:rFonts w:ascii="Times New Roman" w:hAnsi="Times New Roman" w:cs="Times New Roman"/>
          <w:sz w:val="28"/>
          <w:szCs w:val="28"/>
        </w:rPr>
      </w:pPr>
    </w:p>
    <w:p w14:paraId="6429A171" w14:textId="0642CD1B" w:rsidR="00C57B1D" w:rsidRDefault="00C57B1D" w:rsidP="00C57B1D">
      <w:pPr>
        <w:jc w:val="center"/>
        <w:rPr>
          <w:rFonts w:ascii="Times New Roman" w:hAnsi="Times New Roman" w:cs="Times New Roman"/>
          <w:sz w:val="28"/>
          <w:szCs w:val="28"/>
        </w:rPr>
      </w:pPr>
    </w:p>
    <w:p w14:paraId="4BC34061" w14:textId="77777777" w:rsidR="005A35EB" w:rsidRPr="00224B3B" w:rsidRDefault="005A35EB" w:rsidP="00C57B1D">
      <w:pPr>
        <w:jc w:val="center"/>
        <w:rPr>
          <w:rFonts w:ascii="Times New Roman" w:hAnsi="Times New Roman" w:cs="Times New Roman"/>
          <w:sz w:val="28"/>
          <w:szCs w:val="28"/>
        </w:rPr>
      </w:pPr>
    </w:p>
    <w:p w14:paraId="2C235806" w14:textId="77777777" w:rsidR="00C57B1D" w:rsidRPr="00224B3B" w:rsidRDefault="00C57B1D" w:rsidP="00C57B1D">
      <w:pPr>
        <w:spacing w:after="0"/>
        <w:jc w:val="center"/>
        <w:rPr>
          <w:rFonts w:ascii="Times New Roman" w:hAnsi="Times New Roman" w:cs="Times New Roman"/>
          <w:b/>
          <w:bCs/>
          <w:sz w:val="28"/>
          <w:szCs w:val="28"/>
        </w:rPr>
      </w:pPr>
      <w:r w:rsidRPr="00224B3B">
        <w:rPr>
          <w:rFonts w:ascii="Times New Roman" w:hAnsi="Times New Roman" w:cs="Times New Roman"/>
          <w:b/>
          <w:bCs/>
          <w:sz w:val="28"/>
          <w:szCs w:val="28"/>
        </w:rPr>
        <w:t>EDWARD DAVID RODRÍGUEZ RODRÍGUEZ</w:t>
      </w:r>
    </w:p>
    <w:p w14:paraId="62F4AE34" w14:textId="77777777" w:rsidR="00C57B1D" w:rsidRPr="00224B3B" w:rsidRDefault="00C57B1D" w:rsidP="00C57B1D">
      <w:pPr>
        <w:spacing w:after="0"/>
        <w:jc w:val="center"/>
        <w:rPr>
          <w:rFonts w:ascii="Times New Roman" w:hAnsi="Times New Roman" w:cs="Times New Roman"/>
          <w:b/>
          <w:bCs/>
          <w:sz w:val="28"/>
          <w:szCs w:val="28"/>
        </w:rPr>
      </w:pPr>
      <w:r w:rsidRPr="00224B3B">
        <w:rPr>
          <w:rFonts w:ascii="Times New Roman" w:hAnsi="Times New Roman" w:cs="Times New Roman"/>
          <w:b/>
          <w:bCs/>
          <w:sz w:val="28"/>
          <w:szCs w:val="28"/>
        </w:rPr>
        <w:t>REPRESENTANTE A LA CÁMARA POR BOGOTÁ D.C.</w:t>
      </w:r>
    </w:p>
    <w:p w14:paraId="63B6500B" w14:textId="77777777" w:rsidR="00C57B1D" w:rsidRDefault="00C57B1D" w:rsidP="00C57B1D">
      <w:pPr>
        <w:jc w:val="both"/>
        <w:rPr>
          <w:rFonts w:ascii="Times New Roman" w:hAnsi="Times New Roman" w:cs="Times New Roman"/>
          <w:sz w:val="28"/>
          <w:szCs w:val="28"/>
        </w:rPr>
      </w:pPr>
    </w:p>
    <w:p w14:paraId="5D13972C" w14:textId="77777777" w:rsidR="00C57B1D" w:rsidRPr="00C57B1D" w:rsidRDefault="00C57B1D" w:rsidP="00C57B1D">
      <w:pPr>
        <w:jc w:val="both"/>
        <w:rPr>
          <w:rFonts w:ascii="Times New Roman" w:hAnsi="Times New Roman" w:cs="Times New Roman"/>
          <w:sz w:val="28"/>
          <w:szCs w:val="28"/>
        </w:rPr>
      </w:pPr>
    </w:p>
    <w:sectPr w:rsidR="00C57B1D" w:rsidRPr="00C57B1D" w:rsidSect="00BB6A05">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0440" w14:textId="77777777" w:rsidR="00FF0D65" w:rsidRDefault="00FF0D65" w:rsidP="000C69DF">
      <w:pPr>
        <w:spacing w:after="0" w:line="240" w:lineRule="auto"/>
      </w:pPr>
      <w:r>
        <w:separator/>
      </w:r>
    </w:p>
  </w:endnote>
  <w:endnote w:type="continuationSeparator" w:id="0">
    <w:p w14:paraId="65F138D9" w14:textId="77777777" w:rsidR="00FF0D65" w:rsidRDefault="00FF0D65" w:rsidP="000C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5B3B" w14:textId="77777777" w:rsidR="006218D0" w:rsidRPr="000C69DF" w:rsidRDefault="006218D0" w:rsidP="000C69DF">
    <w:pPr>
      <w:pBdr>
        <w:top w:val="thinThickSmallGap" w:sz="24" w:space="1" w:color="823B0B"/>
      </w:pBdr>
      <w:tabs>
        <w:tab w:val="center" w:pos="4419"/>
        <w:tab w:val="right" w:pos="8838"/>
      </w:tabs>
      <w:spacing w:after="0" w:line="240" w:lineRule="auto"/>
      <w:jc w:val="center"/>
      <w:rPr>
        <w:rFonts w:ascii="Arial Narrow" w:eastAsia="Calibri" w:hAnsi="Arial Narrow" w:cs="Times New Roman"/>
        <w:sz w:val="16"/>
        <w:szCs w:val="16"/>
        <w:lang w:val="es-ES"/>
      </w:rPr>
    </w:pPr>
    <w:r w:rsidRPr="000C69DF">
      <w:rPr>
        <w:rFonts w:ascii="Arial Narrow" w:eastAsia="Calibri" w:hAnsi="Arial Narrow" w:cs="Times New Roman"/>
        <w:sz w:val="16"/>
        <w:szCs w:val="16"/>
        <w:lang w:val="es-ES"/>
      </w:rPr>
      <w:t xml:space="preserve"> Honorable Representante Edward David Rodríguez Rodríguez.</w:t>
    </w:r>
  </w:p>
  <w:p w14:paraId="4BABC332" w14:textId="77777777" w:rsidR="006218D0" w:rsidRPr="000C69DF" w:rsidRDefault="006218D0" w:rsidP="000C69DF">
    <w:pPr>
      <w:pBdr>
        <w:top w:val="thinThickSmallGap" w:sz="24" w:space="1" w:color="823B0B"/>
      </w:pBdr>
      <w:tabs>
        <w:tab w:val="center" w:pos="4419"/>
        <w:tab w:val="right" w:pos="8838"/>
      </w:tabs>
      <w:spacing w:after="0" w:line="240" w:lineRule="auto"/>
      <w:jc w:val="center"/>
      <w:rPr>
        <w:rFonts w:ascii="Arial Narrow" w:eastAsia="Calibri" w:hAnsi="Arial Narrow" w:cs="Times New Roman"/>
        <w:sz w:val="16"/>
        <w:szCs w:val="16"/>
        <w:lang w:val="es-ES"/>
      </w:rPr>
    </w:pPr>
    <w:r w:rsidRPr="000C69DF">
      <w:rPr>
        <w:rFonts w:ascii="Arial Narrow" w:eastAsia="Calibri" w:hAnsi="Arial Narrow" w:cs="Times New Roman"/>
        <w:sz w:val="16"/>
        <w:szCs w:val="16"/>
        <w:lang w:val="es-ES"/>
      </w:rPr>
      <w:t>Cámara de Representantes</w:t>
    </w:r>
  </w:p>
  <w:p w14:paraId="5896621A" w14:textId="4029413D" w:rsidR="006218D0" w:rsidRPr="000C69DF" w:rsidRDefault="006218D0" w:rsidP="000C69DF">
    <w:pPr>
      <w:tabs>
        <w:tab w:val="center" w:pos="4419"/>
        <w:tab w:val="right" w:pos="8838"/>
      </w:tabs>
      <w:spacing w:after="0" w:line="240" w:lineRule="auto"/>
      <w:jc w:val="center"/>
      <w:rPr>
        <w:rFonts w:ascii="Calibri" w:eastAsia="Calibri" w:hAnsi="Calibri" w:cs="Times New Roman"/>
        <w:lang w:val="es-ES"/>
      </w:rPr>
    </w:pPr>
    <w:r w:rsidRPr="000C69DF">
      <w:rPr>
        <w:rFonts w:ascii="Arial Narrow" w:eastAsia="Calibri" w:hAnsi="Arial Narrow" w:cs="Times New Roman"/>
        <w:sz w:val="16"/>
        <w:szCs w:val="16"/>
        <w:lang w:val="es-ES"/>
      </w:rPr>
      <w:t>Carrera 7 No 8-68, oficina 435 B Tel:  3823793- 3824433- Fax:3823794 Email: edrcamara@gmail.com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8C467" w14:textId="77777777" w:rsidR="00FF0D65" w:rsidRDefault="00FF0D65" w:rsidP="000C69DF">
      <w:pPr>
        <w:spacing w:after="0" w:line="240" w:lineRule="auto"/>
      </w:pPr>
      <w:r>
        <w:separator/>
      </w:r>
    </w:p>
  </w:footnote>
  <w:footnote w:type="continuationSeparator" w:id="0">
    <w:p w14:paraId="41AF8207" w14:textId="77777777" w:rsidR="00FF0D65" w:rsidRDefault="00FF0D65" w:rsidP="000C69DF">
      <w:pPr>
        <w:spacing w:after="0" w:line="240" w:lineRule="auto"/>
      </w:pPr>
      <w:r>
        <w:continuationSeparator/>
      </w:r>
    </w:p>
  </w:footnote>
  <w:footnote w:id="1">
    <w:p w14:paraId="72589A9B" w14:textId="4A66D360" w:rsidR="008559E9" w:rsidRDefault="008559E9">
      <w:pPr>
        <w:pStyle w:val="Textonotapie"/>
      </w:pPr>
      <w:r>
        <w:rPr>
          <w:rStyle w:val="Refdenotaalpie"/>
        </w:rPr>
        <w:footnoteRef/>
      </w:r>
      <w:r>
        <w:t xml:space="preserve"> </w:t>
      </w:r>
      <w:r w:rsidRPr="008559E9">
        <w:t>Corte Constitucional. Sentencia C- 646 DE 2001. M.P. Manuel José Cepeda Espinosa.</w:t>
      </w:r>
    </w:p>
  </w:footnote>
  <w:footnote w:id="2">
    <w:p w14:paraId="26962DA3" w14:textId="7ECB7C33" w:rsidR="00DC67B8" w:rsidRDefault="00DC67B8" w:rsidP="00DC67B8">
      <w:pPr>
        <w:pStyle w:val="Textonotapie"/>
        <w:jc w:val="both"/>
      </w:pPr>
      <w:r>
        <w:rPr>
          <w:rStyle w:val="Refdenotaalpie"/>
        </w:rPr>
        <w:footnoteRef/>
      </w:r>
      <w:r>
        <w:t xml:space="preserve"> Tr. </w:t>
      </w:r>
      <w:r w:rsidRPr="00DC67B8">
        <w:rPr>
          <w:i/>
          <w:iCs/>
        </w:rPr>
        <w:t>“Los daños punitivos son concedidos en adición a los daños realmente causados en ciertas circunstancias. Los Daños punitivos son considerados como un castigo y son usualmente concedidos a discreción de los jueces cuando la conducta de la defensa es considerada especialmente lesiva”</w:t>
      </w:r>
    </w:p>
  </w:footnote>
  <w:footnote w:id="3">
    <w:p w14:paraId="148F1527" w14:textId="36692525" w:rsidR="00363CB1" w:rsidRDefault="00363CB1">
      <w:pPr>
        <w:pStyle w:val="Textonotapie"/>
      </w:pPr>
      <w:r>
        <w:rPr>
          <w:rStyle w:val="Refdenotaalpie"/>
        </w:rPr>
        <w:footnoteRef/>
      </w:r>
      <w:r>
        <w:t xml:space="preserve"> </w:t>
      </w:r>
      <w:r w:rsidRPr="00363CB1">
        <w:t>https://transparenciacolombia.org.co/2021/01/28/colombia-no-logra-avances-significativos-en-percepcion-de-corrupcion/</w:t>
      </w:r>
    </w:p>
  </w:footnote>
  <w:footnote w:id="4">
    <w:p w14:paraId="0CD09082" w14:textId="53BEFA3E" w:rsidR="00224B3B" w:rsidRPr="00F3078B" w:rsidRDefault="00224B3B" w:rsidP="00F3078B">
      <w:pPr>
        <w:pStyle w:val="Textonotapie"/>
        <w:jc w:val="both"/>
      </w:pPr>
      <w:r>
        <w:rPr>
          <w:rStyle w:val="Refdenotaalpie"/>
        </w:rPr>
        <w:footnoteRef/>
      </w:r>
      <w:r>
        <w:t xml:space="preserve"> </w:t>
      </w:r>
      <w:r w:rsidR="00F3078B">
        <w:t xml:space="preserve">Corte Interamericana de Derechos Humanos (CIDH). </w:t>
      </w:r>
      <w:r w:rsidR="00F3078B" w:rsidRPr="00F3078B">
        <w:t>AMAYA CASTRILLÓN</w:t>
      </w:r>
      <w:r w:rsidR="00F3078B">
        <w:t xml:space="preserve">, Juan Carlos; </w:t>
      </w:r>
      <w:r w:rsidR="00F3078B" w:rsidRPr="00F3078B">
        <w:t>VÁSQUEZ CÁRDENAS</w:t>
      </w:r>
      <w:r w:rsidR="00F3078B">
        <w:t xml:space="preserve">, Ana Victoria; </w:t>
      </w:r>
      <w:r w:rsidR="00F3078B" w:rsidRPr="00F3078B">
        <w:t>ENRÍQUEZ ROSERO</w:t>
      </w:r>
      <w:r w:rsidR="00F3078B">
        <w:t xml:space="preserve">, Elsa Deyanira. </w:t>
      </w:r>
      <w:r w:rsidR="00F3078B" w:rsidRPr="00F3078B">
        <w:rPr>
          <w:i/>
          <w:iCs/>
        </w:rPr>
        <w:t>LA LUCHA CONTRA LA CORRUPCIÓN EN COLOMBIA COMO HERRAMIENTA PARA UN CONTROL SOCIAL EXACERBADO.</w:t>
      </w:r>
      <w:r w:rsidR="00F3078B">
        <w:rPr>
          <w:i/>
          <w:iCs/>
        </w:rPr>
        <w:t xml:space="preserve"> </w:t>
      </w:r>
      <w:r w:rsidR="00F3078B">
        <w:t>Septiembre 14 de 2007.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B05D" w14:textId="376E21BB" w:rsidR="006218D0" w:rsidRDefault="006218D0">
    <w:pPr>
      <w:pStyle w:val="Encabezado"/>
    </w:pPr>
    <w:r>
      <w:rPr>
        <w:noProof/>
        <w:color w:val="000000"/>
        <w:lang w:eastAsia="es-CO"/>
      </w:rPr>
      <w:drawing>
        <wp:inline distT="0" distB="0" distL="0" distR="0" wp14:anchorId="7F9BEDBE" wp14:editId="1BFC809F">
          <wp:extent cx="2487295" cy="7683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t xml:space="preserve">                               </w:t>
    </w:r>
    <w:r>
      <w:rPr>
        <w:noProof/>
        <w:color w:val="000000"/>
        <w:lang w:eastAsia="es-CO"/>
      </w:rPr>
      <w:drawing>
        <wp:inline distT="0" distB="0" distL="0" distR="0" wp14:anchorId="2226B86A" wp14:editId="427D7746">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0F74"/>
    <w:multiLevelType w:val="hybridMultilevel"/>
    <w:tmpl w:val="A0623CDC"/>
    <w:lvl w:ilvl="0" w:tplc="EBE090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057548"/>
    <w:multiLevelType w:val="hybridMultilevel"/>
    <w:tmpl w:val="1572F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A547CA"/>
    <w:multiLevelType w:val="hybridMultilevel"/>
    <w:tmpl w:val="724C6AB4"/>
    <w:lvl w:ilvl="0" w:tplc="40D830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D2006A"/>
    <w:multiLevelType w:val="hybridMultilevel"/>
    <w:tmpl w:val="2C5C298C"/>
    <w:lvl w:ilvl="0" w:tplc="4FCE02DE">
      <w:start w:val="1"/>
      <w:numFmt w:val="decimal"/>
      <w:lvlText w:val="%1."/>
      <w:lvlJc w:val="left"/>
      <w:pPr>
        <w:ind w:left="644" w:hanging="245"/>
        <w:jc w:val="left"/>
      </w:pPr>
      <w:rPr>
        <w:rFonts w:ascii="Palatino Linotype" w:eastAsia="Palatino Linotype" w:hAnsi="Palatino Linotype" w:cs="Palatino Linotype" w:hint="default"/>
        <w:w w:val="100"/>
        <w:sz w:val="24"/>
        <w:szCs w:val="24"/>
        <w:lang w:val="es-ES" w:eastAsia="es-ES" w:bidi="es-ES"/>
      </w:rPr>
    </w:lvl>
    <w:lvl w:ilvl="1" w:tplc="44806FEE">
      <w:start w:val="1"/>
      <w:numFmt w:val="upperRoman"/>
      <w:lvlText w:val="%2."/>
      <w:lvlJc w:val="left"/>
      <w:pPr>
        <w:ind w:left="1120" w:hanging="514"/>
        <w:jc w:val="right"/>
      </w:pPr>
      <w:rPr>
        <w:rFonts w:ascii="Palatino Linotype" w:eastAsia="Palatino Linotype" w:hAnsi="Palatino Linotype" w:cs="Palatino Linotype" w:hint="default"/>
        <w:b/>
        <w:bCs/>
        <w:spacing w:val="-6"/>
        <w:w w:val="100"/>
        <w:sz w:val="24"/>
        <w:szCs w:val="24"/>
        <w:lang w:val="es-ES" w:eastAsia="es-ES" w:bidi="es-ES"/>
      </w:rPr>
    </w:lvl>
    <w:lvl w:ilvl="2" w:tplc="58540ED8">
      <w:start w:val="1"/>
      <w:numFmt w:val="decimal"/>
      <w:lvlText w:val="%3."/>
      <w:lvlJc w:val="left"/>
      <w:pPr>
        <w:ind w:left="1120" w:hanging="360"/>
        <w:jc w:val="left"/>
      </w:pPr>
      <w:rPr>
        <w:rFonts w:ascii="Palatino Linotype" w:eastAsia="Palatino Linotype" w:hAnsi="Palatino Linotype" w:cs="Palatino Linotype" w:hint="default"/>
        <w:spacing w:val="-18"/>
        <w:w w:val="100"/>
        <w:sz w:val="24"/>
        <w:szCs w:val="24"/>
        <w:lang w:val="es-ES" w:eastAsia="es-ES" w:bidi="es-ES"/>
      </w:rPr>
    </w:lvl>
    <w:lvl w:ilvl="3" w:tplc="C9F40CFA">
      <w:start w:val="1"/>
      <w:numFmt w:val="lowerLetter"/>
      <w:lvlText w:val="%4."/>
      <w:lvlJc w:val="left"/>
      <w:pPr>
        <w:ind w:left="1480" w:hanging="360"/>
        <w:jc w:val="left"/>
      </w:pPr>
      <w:rPr>
        <w:rFonts w:ascii="Palatino Linotype" w:eastAsia="Palatino Linotype" w:hAnsi="Palatino Linotype" w:cs="Palatino Linotype" w:hint="default"/>
        <w:spacing w:val="-17"/>
        <w:w w:val="100"/>
        <w:sz w:val="24"/>
        <w:szCs w:val="24"/>
        <w:lang w:val="es-ES" w:eastAsia="es-ES" w:bidi="es-ES"/>
      </w:rPr>
    </w:lvl>
    <w:lvl w:ilvl="4" w:tplc="34D08DBE">
      <w:numFmt w:val="bullet"/>
      <w:lvlText w:val="•"/>
      <w:lvlJc w:val="left"/>
      <w:pPr>
        <w:ind w:left="2620" w:hanging="360"/>
      </w:pPr>
      <w:rPr>
        <w:rFonts w:hint="default"/>
        <w:lang w:val="es-ES" w:eastAsia="es-ES" w:bidi="es-ES"/>
      </w:rPr>
    </w:lvl>
    <w:lvl w:ilvl="5" w:tplc="29502A78">
      <w:numFmt w:val="bullet"/>
      <w:lvlText w:val="•"/>
      <w:lvlJc w:val="left"/>
      <w:pPr>
        <w:ind w:left="3760" w:hanging="360"/>
      </w:pPr>
      <w:rPr>
        <w:rFonts w:hint="default"/>
        <w:lang w:val="es-ES" w:eastAsia="es-ES" w:bidi="es-ES"/>
      </w:rPr>
    </w:lvl>
    <w:lvl w:ilvl="6" w:tplc="ACEEB81A">
      <w:numFmt w:val="bullet"/>
      <w:lvlText w:val="•"/>
      <w:lvlJc w:val="left"/>
      <w:pPr>
        <w:ind w:left="4900" w:hanging="360"/>
      </w:pPr>
      <w:rPr>
        <w:rFonts w:hint="default"/>
        <w:lang w:val="es-ES" w:eastAsia="es-ES" w:bidi="es-ES"/>
      </w:rPr>
    </w:lvl>
    <w:lvl w:ilvl="7" w:tplc="398073E6">
      <w:numFmt w:val="bullet"/>
      <w:lvlText w:val="•"/>
      <w:lvlJc w:val="left"/>
      <w:pPr>
        <w:ind w:left="6040" w:hanging="360"/>
      </w:pPr>
      <w:rPr>
        <w:rFonts w:hint="default"/>
        <w:lang w:val="es-ES" w:eastAsia="es-ES" w:bidi="es-ES"/>
      </w:rPr>
    </w:lvl>
    <w:lvl w:ilvl="8" w:tplc="AFAE5788">
      <w:numFmt w:val="bullet"/>
      <w:lvlText w:val="•"/>
      <w:lvlJc w:val="left"/>
      <w:pPr>
        <w:ind w:left="7180" w:hanging="360"/>
      </w:pPr>
      <w:rPr>
        <w:rFonts w:hint="default"/>
        <w:lang w:val="es-ES" w:eastAsia="es-ES" w:bidi="es-ES"/>
      </w:rPr>
    </w:lvl>
  </w:abstractNum>
  <w:abstractNum w:abstractNumId="4" w15:restartNumberingAfterBreak="0">
    <w:nsid w:val="3ABA42C0"/>
    <w:multiLevelType w:val="hybridMultilevel"/>
    <w:tmpl w:val="EF809CB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8F7C24"/>
    <w:multiLevelType w:val="hybridMultilevel"/>
    <w:tmpl w:val="EAB4B6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A762B2"/>
    <w:multiLevelType w:val="hybridMultilevel"/>
    <w:tmpl w:val="89FAE0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FAB4CEF"/>
    <w:multiLevelType w:val="hybridMultilevel"/>
    <w:tmpl w:val="C9FEC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275356"/>
    <w:multiLevelType w:val="hybridMultilevel"/>
    <w:tmpl w:val="7E0AD7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6201DA"/>
    <w:multiLevelType w:val="hybridMultilevel"/>
    <w:tmpl w:val="710675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CE21F8"/>
    <w:multiLevelType w:val="hybridMultilevel"/>
    <w:tmpl w:val="A428034E"/>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1" w15:restartNumberingAfterBreak="0">
    <w:nsid w:val="6885027B"/>
    <w:multiLevelType w:val="hybridMultilevel"/>
    <w:tmpl w:val="6116F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CE15F1"/>
    <w:multiLevelType w:val="hybridMultilevel"/>
    <w:tmpl w:val="FD4CE5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2"/>
  </w:num>
  <w:num w:numId="5">
    <w:abstractNumId w:val="6"/>
  </w:num>
  <w:num w:numId="6">
    <w:abstractNumId w:val="9"/>
  </w:num>
  <w:num w:numId="7">
    <w:abstractNumId w:val="10"/>
  </w:num>
  <w:num w:numId="8">
    <w:abstractNumId w:val="8"/>
  </w:num>
  <w:num w:numId="9">
    <w:abstractNumId w:val="4"/>
  </w:num>
  <w:num w:numId="10">
    <w:abstractNumId w:val="1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8B"/>
    <w:rsid w:val="000405DF"/>
    <w:rsid w:val="00065025"/>
    <w:rsid w:val="00085075"/>
    <w:rsid w:val="000A6959"/>
    <w:rsid w:val="000C69DF"/>
    <w:rsid w:val="001119BD"/>
    <w:rsid w:val="001418D8"/>
    <w:rsid w:val="001F1664"/>
    <w:rsid w:val="00224B3B"/>
    <w:rsid w:val="00264DCB"/>
    <w:rsid w:val="002C331D"/>
    <w:rsid w:val="00303B9D"/>
    <w:rsid w:val="00326418"/>
    <w:rsid w:val="00363CB1"/>
    <w:rsid w:val="003B35D6"/>
    <w:rsid w:val="003C2156"/>
    <w:rsid w:val="003D2460"/>
    <w:rsid w:val="003F3AFA"/>
    <w:rsid w:val="004100C5"/>
    <w:rsid w:val="00415F8B"/>
    <w:rsid w:val="00425DAE"/>
    <w:rsid w:val="004B1D7A"/>
    <w:rsid w:val="005346AE"/>
    <w:rsid w:val="00542287"/>
    <w:rsid w:val="0054248A"/>
    <w:rsid w:val="005A35EB"/>
    <w:rsid w:val="005B5ADA"/>
    <w:rsid w:val="005B5BBB"/>
    <w:rsid w:val="005F6A39"/>
    <w:rsid w:val="006218D0"/>
    <w:rsid w:val="00657BF5"/>
    <w:rsid w:val="00697A65"/>
    <w:rsid w:val="006B1483"/>
    <w:rsid w:val="006D261F"/>
    <w:rsid w:val="00733E1D"/>
    <w:rsid w:val="007449D8"/>
    <w:rsid w:val="00745197"/>
    <w:rsid w:val="007751D6"/>
    <w:rsid w:val="007756BF"/>
    <w:rsid w:val="0079797C"/>
    <w:rsid w:val="007A7FAF"/>
    <w:rsid w:val="008026CC"/>
    <w:rsid w:val="00807402"/>
    <w:rsid w:val="008559E9"/>
    <w:rsid w:val="00873FA4"/>
    <w:rsid w:val="00876245"/>
    <w:rsid w:val="00886EF5"/>
    <w:rsid w:val="008D7EBA"/>
    <w:rsid w:val="0092301E"/>
    <w:rsid w:val="00960149"/>
    <w:rsid w:val="009D4686"/>
    <w:rsid w:val="009D59A9"/>
    <w:rsid w:val="00A34723"/>
    <w:rsid w:val="00AD2793"/>
    <w:rsid w:val="00B23A28"/>
    <w:rsid w:val="00B371F9"/>
    <w:rsid w:val="00B76579"/>
    <w:rsid w:val="00BB6A05"/>
    <w:rsid w:val="00BF0CD4"/>
    <w:rsid w:val="00C32F88"/>
    <w:rsid w:val="00C37E2D"/>
    <w:rsid w:val="00C57B1D"/>
    <w:rsid w:val="00C736E0"/>
    <w:rsid w:val="00C74AD4"/>
    <w:rsid w:val="00C96AB0"/>
    <w:rsid w:val="00CF2C61"/>
    <w:rsid w:val="00D50238"/>
    <w:rsid w:val="00DA09EE"/>
    <w:rsid w:val="00DC67B8"/>
    <w:rsid w:val="00E82FC2"/>
    <w:rsid w:val="00E87B4F"/>
    <w:rsid w:val="00E91ECC"/>
    <w:rsid w:val="00EC0514"/>
    <w:rsid w:val="00EE74EF"/>
    <w:rsid w:val="00EF6DEF"/>
    <w:rsid w:val="00F3078B"/>
    <w:rsid w:val="00F53CC2"/>
    <w:rsid w:val="00F9136F"/>
    <w:rsid w:val="00FB73EE"/>
    <w:rsid w:val="00FD5179"/>
    <w:rsid w:val="00FF0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B2A19"/>
  <w15:chartTrackingRefBased/>
  <w15:docId w15:val="{9ACD2DF9-D07B-4861-9C50-605C1418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DF"/>
  </w:style>
  <w:style w:type="paragraph" w:styleId="Ttulo1">
    <w:name w:val="heading 1"/>
    <w:basedOn w:val="Normal"/>
    <w:link w:val="Ttulo1Car"/>
    <w:uiPriority w:val="9"/>
    <w:qFormat/>
    <w:rsid w:val="00C96AB0"/>
    <w:pPr>
      <w:widowControl w:val="0"/>
      <w:autoSpaceDE w:val="0"/>
      <w:autoSpaceDN w:val="0"/>
      <w:spacing w:after="0" w:line="240" w:lineRule="auto"/>
      <w:ind w:left="399"/>
      <w:jc w:val="both"/>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F2C61"/>
    <w:pPr>
      <w:ind w:left="720"/>
      <w:contextualSpacing/>
    </w:pPr>
  </w:style>
  <w:style w:type="paragraph" w:styleId="Encabezado">
    <w:name w:val="header"/>
    <w:basedOn w:val="Normal"/>
    <w:link w:val="EncabezadoCar"/>
    <w:uiPriority w:val="99"/>
    <w:unhideWhenUsed/>
    <w:rsid w:val="000C69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9DF"/>
  </w:style>
  <w:style w:type="paragraph" w:styleId="Piedepgina">
    <w:name w:val="footer"/>
    <w:basedOn w:val="Normal"/>
    <w:link w:val="PiedepginaCar"/>
    <w:uiPriority w:val="99"/>
    <w:unhideWhenUsed/>
    <w:rsid w:val="000C69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9DF"/>
  </w:style>
  <w:style w:type="paragraph" w:styleId="Textonotapie">
    <w:name w:val="footnote text"/>
    <w:basedOn w:val="Normal"/>
    <w:link w:val="TextonotapieCar"/>
    <w:uiPriority w:val="99"/>
    <w:semiHidden/>
    <w:unhideWhenUsed/>
    <w:rsid w:val="00F913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136F"/>
    <w:rPr>
      <w:sz w:val="20"/>
      <w:szCs w:val="20"/>
    </w:rPr>
  </w:style>
  <w:style w:type="character" w:styleId="Refdenotaalpie">
    <w:name w:val="footnote reference"/>
    <w:basedOn w:val="Fuentedeprrafopredeter"/>
    <w:uiPriority w:val="99"/>
    <w:semiHidden/>
    <w:unhideWhenUsed/>
    <w:rsid w:val="00F9136F"/>
    <w:rPr>
      <w:vertAlign w:val="superscript"/>
    </w:rPr>
  </w:style>
  <w:style w:type="character" w:customStyle="1" w:styleId="Ttulo1Car">
    <w:name w:val="Título 1 Car"/>
    <w:basedOn w:val="Fuentedeprrafopredeter"/>
    <w:link w:val="Ttulo1"/>
    <w:uiPriority w:val="9"/>
    <w:rsid w:val="00C96AB0"/>
    <w:rPr>
      <w:rFonts w:ascii="Palatino Linotype" w:eastAsia="Palatino Linotype" w:hAnsi="Palatino Linotype" w:cs="Palatino Linotype"/>
      <w:b/>
      <w:bCs/>
      <w:sz w:val="24"/>
      <w:szCs w:val="24"/>
      <w:lang w:val="es-ES" w:eastAsia="es-ES" w:bidi="es-ES"/>
    </w:rPr>
  </w:style>
  <w:style w:type="paragraph" w:styleId="Textoindependiente">
    <w:name w:val="Body Text"/>
    <w:basedOn w:val="Normal"/>
    <w:link w:val="TextoindependienteCar"/>
    <w:uiPriority w:val="1"/>
    <w:qFormat/>
    <w:rsid w:val="00C96AB0"/>
    <w:pPr>
      <w:widowControl w:val="0"/>
      <w:autoSpaceDE w:val="0"/>
      <w:autoSpaceDN w:val="0"/>
      <w:spacing w:after="0" w:line="240" w:lineRule="auto"/>
      <w:ind w:left="399"/>
      <w:jc w:val="both"/>
    </w:pPr>
    <w:rPr>
      <w:rFonts w:ascii="Palatino Linotype" w:eastAsia="Palatino Linotype" w:hAnsi="Palatino Linotype" w:cs="Palatino Linotype"/>
      <w:sz w:val="24"/>
      <w:szCs w:val="24"/>
      <w:lang w:val="es-ES" w:eastAsia="es-ES" w:bidi="es-ES"/>
    </w:rPr>
  </w:style>
  <w:style w:type="character" w:customStyle="1" w:styleId="TextoindependienteCar">
    <w:name w:val="Texto independiente Car"/>
    <w:basedOn w:val="Fuentedeprrafopredeter"/>
    <w:link w:val="Textoindependiente"/>
    <w:uiPriority w:val="1"/>
    <w:rsid w:val="00C96AB0"/>
    <w:rPr>
      <w:rFonts w:ascii="Palatino Linotype" w:eastAsia="Palatino Linotype" w:hAnsi="Palatino Linotype" w:cs="Palatino Linotype"/>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B6BE-8737-4AEC-AA08-F263936B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2555</Words>
  <Characters>14058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dc:creator>
  <cp:keywords/>
  <dc:description/>
  <cp:lastModifiedBy>hasbleidy suarez</cp:lastModifiedBy>
  <cp:revision>2</cp:revision>
  <dcterms:created xsi:type="dcterms:W3CDTF">2021-09-28T19:02:00Z</dcterms:created>
  <dcterms:modified xsi:type="dcterms:W3CDTF">2021-09-28T19:02:00Z</dcterms:modified>
</cp:coreProperties>
</file>