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282" w:rsidRDefault="002C0852">
      <w:pPr>
        <w:spacing w:after="0" w:line="360" w:lineRule="auto"/>
        <w:rPr>
          <w:rFonts w:ascii="Arial" w:eastAsia="Arial" w:hAnsi="Arial" w:cs="Arial"/>
          <w:sz w:val="24"/>
          <w:szCs w:val="24"/>
        </w:rPr>
      </w:pPr>
      <w:r>
        <w:rPr>
          <w:rFonts w:ascii="Arial" w:eastAsia="Arial" w:hAnsi="Arial" w:cs="Arial"/>
          <w:sz w:val="24"/>
          <w:szCs w:val="24"/>
        </w:rPr>
        <w:t>Bogotá D.C.11</w:t>
      </w:r>
      <w:r w:rsidR="002B74D2">
        <w:rPr>
          <w:rFonts w:ascii="Arial" w:eastAsia="Arial" w:hAnsi="Arial" w:cs="Arial"/>
          <w:sz w:val="24"/>
          <w:szCs w:val="24"/>
        </w:rPr>
        <w:t xml:space="preserve"> de agosto de 2021</w:t>
      </w:r>
    </w:p>
    <w:p w:rsidR="000B1282" w:rsidRDefault="000B1282">
      <w:pPr>
        <w:spacing w:after="0" w:line="240" w:lineRule="auto"/>
        <w:rPr>
          <w:rFonts w:ascii="Arial" w:eastAsia="Arial" w:hAnsi="Arial" w:cs="Arial"/>
          <w:sz w:val="24"/>
          <w:szCs w:val="24"/>
        </w:rPr>
      </w:pPr>
    </w:p>
    <w:p w:rsidR="000B1282" w:rsidRDefault="000B1282">
      <w:pPr>
        <w:spacing w:after="0" w:line="240" w:lineRule="auto"/>
        <w:rPr>
          <w:rFonts w:ascii="Arial" w:eastAsia="Arial" w:hAnsi="Arial" w:cs="Arial"/>
          <w:sz w:val="24"/>
          <w:szCs w:val="24"/>
        </w:rPr>
      </w:pPr>
    </w:p>
    <w:p w:rsidR="000B1282" w:rsidRDefault="002B74D2">
      <w:pPr>
        <w:spacing w:after="0" w:line="240" w:lineRule="auto"/>
        <w:rPr>
          <w:rFonts w:ascii="Arial" w:eastAsia="Arial" w:hAnsi="Arial" w:cs="Arial"/>
          <w:sz w:val="24"/>
          <w:szCs w:val="24"/>
        </w:rPr>
      </w:pPr>
      <w:r>
        <w:rPr>
          <w:rFonts w:ascii="Arial" w:eastAsia="Arial" w:hAnsi="Arial" w:cs="Arial"/>
          <w:sz w:val="24"/>
          <w:szCs w:val="24"/>
        </w:rPr>
        <w:t>Honorable Representante</w:t>
      </w:r>
    </w:p>
    <w:p w:rsidR="000B1282" w:rsidRDefault="002B74D2">
      <w:pPr>
        <w:spacing w:after="0" w:line="240" w:lineRule="auto"/>
        <w:rPr>
          <w:rFonts w:ascii="Arial" w:eastAsia="Arial" w:hAnsi="Arial" w:cs="Arial"/>
          <w:b/>
          <w:sz w:val="24"/>
          <w:szCs w:val="24"/>
        </w:rPr>
      </w:pPr>
      <w:r>
        <w:rPr>
          <w:rFonts w:ascii="Arial" w:eastAsia="Arial" w:hAnsi="Arial" w:cs="Arial"/>
          <w:b/>
          <w:sz w:val="24"/>
          <w:szCs w:val="24"/>
        </w:rPr>
        <w:t xml:space="preserve">JENNIFER KRISTIN ARIAS </w:t>
      </w:r>
    </w:p>
    <w:p w:rsidR="000B1282" w:rsidRDefault="002B74D2">
      <w:pPr>
        <w:spacing w:after="0" w:line="240" w:lineRule="auto"/>
        <w:rPr>
          <w:rFonts w:ascii="Arial" w:eastAsia="Arial" w:hAnsi="Arial" w:cs="Arial"/>
          <w:sz w:val="24"/>
          <w:szCs w:val="24"/>
        </w:rPr>
      </w:pPr>
      <w:r>
        <w:rPr>
          <w:rFonts w:ascii="Arial" w:eastAsia="Arial" w:hAnsi="Arial" w:cs="Arial"/>
          <w:sz w:val="24"/>
          <w:szCs w:val="24"/>
        </w:rPr>
        <w:t xml:space="preserve">Presidenta </w:t>
      </w:r>
      <w:bookmarkStart w:id="0" w:name="_GoBack"/>
      <w:bookmarkEnd w:id="0"/>
    </w:p>
    <w:p w:rsidR="000B1282" w:rsidRDefault="002B74D2">
      <w:pPr>
        <w:spacing w:after="0" w:line="240" w:lineRule="auto"/>
        <w:rPr>
          <w:rFonts w:ascii="Arial" w:eastAsia="Arial" w:hAnsi="Arial" w:cs="Arial"/>
          <w:b/>
          <w:sz w:val="24"/>
          <w:szCs w:val="24"/>
        </w:rPr>
      </w:pPr>
      <w:r>
        <w:rPr>
          <w:rFonts w:ascii="Arial" w:eastAsia="Arial" w:hAnsi="Arial" w:cs="Arial"/>
          <w:b/>
          <w:sz w:val="24"/>
          <w:szCs w:val="24"/>
        </w:rPr>
        <w:t>MESA DIRECTIVA</w:t>
      </w:r>
    </w:p>
    <w:p w:rsidR="000B1282" w:rsidRDefault="002B74D2">
      <w:pPr>
        <w:spacing w:after="0" w:line="240" w:lineRule="auto"/>
        <w:rPr>
          <w:rFonts w:ascii="Arial" w:eastAsia="Arial" w:hAnsi="Arial" w:cs="Arial"/>
          <w:sz w:val="24"/>
          <w:szCs w:val="24"/>
        </w:rPr>
      </w:pPr>
      <w:r>
        <w:rPr>
          <w:rFonts w:ascii="Arial" w:eastAsia="Arial" w:hAnsi="Arial" w:cs="Arial"/>
          <w:sz w:val="24"/>
          <w:szCs w:val="24"/>
        </w:rPr>
        <w:t>Cámara de Representantes del Congreso de la República</w:t>
      </w:r>
    </w:p>
    <w:p w:rsidR="000B1282" w:rsidRDefault="002B74D2">
      <w:pPr>
        <w:spacing w:after="0" w:line="240" w:lineRule="auto"/>
        <w:rPr>
          <w:rFonts w:ascii="Arial" w:eastAsia="Arial" w:hAnsi="Arial" w:cs="Arial"/>
          <w:sz w:val="24"/>
          <w:szCs w:val="24"/>
        </w:rPr>
      </w:pPr>
      <w:r>
        <w:rPr>
          <w:rFonts w:ascii="Arial" w:eastAsia="Arial" w:hAnsi="Arial" w:cs="Arial"/>
          <w:sz w:val="24"/>
          <w:szCs w:val="24"/>
        </w:rPr>
        <w:t xml:space="preserve">Ciudad </w:t>
      </w:r>
    </w:p>
    <w:p w:rsidR="000B1282" w:rsidRDefault="000B1282">
      <w:pPr>
        <w:spacing w:after="0" w:line="360" w:lineRule="auto"/>
        <w:rPr>
          <w:rFonts w:ascii="Arial" w:eastAsia="Arial" w:hAnsi="Arial" w:cs="Arial"/>
          <w:sz w:val="24"/>
          <w:szCs w:val="24"/>
        </w:rPr>
      </w:pPr>
    </w:p>
    <w:p w:rsidR="000B1282" w:rsidRDefault="002B74D2">
      <w:pPr>
        <w:pBdr>
          <w:top w:val="nil"/>
          <w:left w:val="nil"/>
          <w:bottom w:val="nil"/>
          <w:right w:val="nil"/>
          <w:between w:val="nil"/>
        </w:pBdr>
        <w:spacing w:after="300" w:line="240" w:lineRule="auto"/>
        <w:jc w:val="center"/>
        <w:rPr>
          <w:rFonts w:ascii="Arial" w:eastAsia="Arial" w:hAnsi="Arial" w:cs="Arial"/>
          <w:i/>
          <w:color w:val="000000"/>
          <w:sz w:val="24"/>
          <w:szCs w:val="24"/>
        </w:rPr>
      </w:pPr>
      <w:bookmarkStart w:id="1" w:name="_gjdgxs" w:colFirst="0" w:colLast="0"/>
      <w:bookmarkEnd w:id="1"/>
      <w:r>
        <w:rPr>
          <w:rFonts w:ascii="Arial" w:eastAsia="Arial" w:hAnsi="Arial" w:cs="Arial"/>
          <w:b/>
          <w:color w:val="000000"/>
          <w:sz w:val="24"/>
          <w:szCs w:val="24"/>
        </w:rPr>
        <w:t xml:space="preserve">Asunto: Proyecto De Ley </w:t>
      </w:r>
      <w:r>
        <w:rPr>
          <w:rFonts w:ascii="Arial" w:eastAsia="Arial" w:hAnsi="Arial" w:cs="Arial"/>
          <w:b/>
          <w:sz w:val="24"/>
          <w:szCs w:val="24"/>
        </w:rPr>
        <w:t>Número</w:t>
      </w:r>
      <w:r>
        <w:rPr>
          <w:rFonts w:ascii="Arial" w:eastAsia="Arial" w:hAnsi="Arial" w:cs="Arial"/>
          <w:b/>
          <w:color w:val="000000"/>
          <w:sz w:val="24"/>
          <w:szCs w:val="24"/>
        </w:rPr>
        <w:t>. ___ De 2021</w:t>
      </w:r>
      <w:r>
        <w:rPr>
          <w:rFonts w:ascii="Arial" w:eastAsia="Arial" w:hAnsi="Arial" w:cs="Arial"/>
          <w:b/>
          <w:i/>
          <w:color w:val="000000"/>
          <w:sz w:val="24"/>
          <w:szCs w:val="24"/>
        </w:rPr>
        <w:t xml:space="preserve"> “Por Medio Del Cual Se Modifica El Porcentaje De Repartición De Las Contraprestaciones Portuarias”</w:t>
      </w:r>
    </w:p>
    <w:p w:rsidR="000B1282" w:rsidRDefault="002B74D2">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 </w:t>
      </w:r>
    </w:p>
    <w:p w:rsidR="000B1282" w:rsidRDefault="002B74D2">
      <w:pPr>
        <w:spacing w:after="0" w:line="360" w:lineRule="auto"/>
        <w:jc w:val="both"/>
        <w:rPr>
          <w:rFonts w:ascii="Arial" w:eastAsia="Arial" w:hAnsi="Arial" w:cs="Arial"/>
          <w:sz w:val="24"/>
          <w:szCs w:val="24"/>
        </w:rPr>
      </w:pPr>
      <w:r>
        <w:rPr>
          <w:rFonts w:ascii="Arial" w:eastAsia="Arial" w:hAnsi="Arial" w:cs="Arial"/>
          <w:sz w:val="24"/>
          <w:szCs w:val="24"/>
        </w:rPr>
        <w:t>Respetado señor presidente:</w:t>
      </w:r>
    </w:p>
    <w:p w:rsidR="000B1282" w:rsidRDefault="000B1282">
      <w:pPr>
        <w:spacing w:after="0" w:line="360" w:lineRule="auto"/>
        <w:jc w:val="both"/>
        <w:rPr>
          <w:rFonts w:ascii="Arial" w:eastAsia="Arial" w:hAnsi="Arial" w:cs="Arial"/>
          <w:sz w:val="12"/>
          <w:szCs w:val="12"/>
        </w:rPr>
      </w:pPr>
    </w:p>
    <w:p w:rsidR="000B1282" w:rsidRDefault="002B74D2">
      <w:pPr>
        <w:spacing w:after="0" w:line="240" w:lineRule="auto"/>
        <w:jc w:val="both"/>
        <w:rPr>
          <w:rFonts w:ascii="Arial" w:eastAsia="Arial" w:hAnsi="Arial" w:cs="Arial"/>
          <w:sz w:val="24"/>
          <w:szCs w:val="24"/>
        </w:rPr>
      </w:pPr>
      <w:r>
        <w:rPr>
          <w:rFonts w:ascii="Arial" w:eastAsia="Arial" w:hAnsi="Arial" w:cs="Arial"/>
          <w:sz w:val="24"/>
          <w:szCs w:val="24"/>
        </w:rPr>
        <w:t xml:space="preserve">En nuestra condición de Representantes a la Cámara del Congreso de la República, radicamos el presente Proyecto de Ley que busca </w:t>
      </w:r>
      <w:r>
        <w:rPr>
          <w:rFonts w:ascii="Arial" w:eastAsia="Arial" w:hAnsi="Arial" w:cs="Arial"/>
          <w:b/>
          <w:i/>
          <w:sz w:val="24"/>
          <w:szCs w:val="24"/>
        </w:rPr>
        <w:t>modificar el porcentaje de repartición de las contraprestaciones portuarias</w:t>
      </w:r>
      <w:r>
        <w:rPr>
          <w:rFonts w:ascii="Arial" w:eastAsia="Arial" w:hAnsi="Arial" w:cs="Arial"/>
          <w:sz w:val="24"/>
          <w:szCs w:val="24"/>
        </w:rPr>
        <w:t>.</w:t>
      </w:r>
    </w:p>
    <w:p w:rsidR="000B1282" w:rsidRDefault="000B1282">
      <w:pPr>
        <w:spacing w:after="0" w:line="240" w:lineRule="auto"/>
        <w:jc w:val="both"/>
        <w:rPr>
          <w:rFonts w:ascii="Arial" w:eastAsia="Arial" w:hAnsi="Arial" w:cs="Arial"/>
          <w:sz w:val="18"/>
          <w:szCs w:val="18"/>
        </w:rPr>
      </w:pPr>
    </w:p>
    <w:p w:rsidR="000B1282" w:rsidRDefault="002B74D2">
      <w:pPr>
        <w:spacing w:after="0" w:line="240" w:lineRule="auto"/>
        <w:jc w:val="both"/>
        <w:rPr>
          <w:rFonts w:ascii="Arial" w:eastAsia="Arial" w:hAnsi="Arial" w:cs="Arial"/>
          <w:sz w:val="24"/>
          <w:szCs w:val="24"/>
        </w:rPr>
      </w:pPr>
      <w:r>
        <w:rPr>
          <w:rFonts w:ascii="Arial" w:eastAsia="Arial" w:hAnsi="Arial" w:cs="Arial"/>
          <w:sz w:val="24"/>
          <w:szCs w:val="24"/>
        </w:rPr>
        <w:t>De tal forma, ponemos a consideración del Congreso de la República este proyecto para iniciar el trámite correspondiente y cumplir con las exigencias dictadas por la Ley.</w:t>
      </w:r>
    </w:p>
    <w:p w:rsidR="000B1282" w:rsidRDefault="002B74D2">
      <w:pPr>
        <w:spacing w:after="0" w:line="360" w:lineRule="auto"/>
        <w:jc w:val="both"/>
        <w:rPr>
          <w:rFonts w:ascii="Arial" w:eastAsia="Arial" w:hAnsi="Arial" w:cs="Arial"/>
          <w:sz w:val="24"/>
          <w:szCs w:val="24"/>
        </w:rPr>
      </w:pPr>
      <w:r>
        <w:rPr>
          <w:rFonts w:ascii="Arial" w:eastAsia="Arial" w:hAnsi="Arial" w:cs="Arial"/>
          <w:sz w:val="24"/>
          <w:szCs w:val="24"/>
        </w:rPr>
        <w:t>Adjuntamos original en formato digital PDF con firmas y una copia en formato Word.</w:t>
      </w:r>
    </w:p>
    <w:p w:rsidR="000B1282" w:rsidRDefault="000B1282">
      <w:pPr>
        <w:spacing w:after="0" w:line="360" w:lineRule="auto"/>
        <w:jc w:val="both"/>
        <w:rPr>
          <w:rFonts w:ascii="Arial" w:eastAsia="Arial" w:hAnsi="Arial" w:cs="Arial"/>
          <w:sz w:val="8"/>
          <w:szCs w:val="8"/>
        </w:rPr>
      </w:pPr>
    </w:p>
    <w:p w:rsidR="000B1282" w:rsidRDefault="002B74D2">
      <w:pPr>
        <w:spacing w:after="0" w:line="360" w:lineRule="auto"/>
        <w:rPr>
          <w:rFonts w:ascii="Arial" w:eastAsia="Arial" w:hAnsi="Arial" w:cs="Arial"/>
          <w:sz w:val="24"/>
          <w:szCs w:val="24"/>
        </w:rPr>
      </w:pPr>
      <w:r>
        <w:rPr>
          <w:rFonts w:ascii="Arial" w:eastAsia="Arial" w:hAnsi="Arial" w:cs="Arial"/>
          <w:sz w:val="24"/>
          <w:szCs w:val="24"/>
        </w:rPr>
        <w:t>Cordialmente</w:t>
      </w:r>
      <w:r w:rsidR="002C0852">
        <w:rPr>
          <w:rFonts w:ascii="Arial" w:eastAsia="Arial" w:hAnsi="Arial" w:cs="Arial"/>
          <w:sz w:val="24"/>
          <w:szCs w:val="24"/>
        </w:rPr>
        <w:t>,</w:t>
      </w:r>
    </w:p>
    <w:p w:rsidR="000B1282" w:rsidRDefault="000B1282">
      <w:pPr>
        <w:spacing w:after="0" w:line="240" w:lineRule="auto"/>
        <w:jc w:val="both"/>
        <w:rPr>
          <w:rFonts w:ascii="Arial" w:eastAsia="Arial" w:hAnsi="Arial" w:cs="Arial"/>
          <w:b/>
          <w:sz w:val="2"/>
          <w:szCs w:val="2"/>
        </w:rPr>
      </w:pPr>
    </w:p>
    <w:p w:rsidR="000B1282" w:rsidRDefault="000B1282">
      <w:pPr>
        <w:spacing w:after="0" w:line="240" w:lineRule="auto"/>
        <w:jc w:val="both"/>
        <w:rPr>
          <w:rFonts w:ascii="Arial" w:eastAsia="Arial" w:hAnsi="Arial" w:cs="Arial"/>
          <w:b/>
          <w:sz w:val="24"/>
          <w:szCs w:val="24"/>
        </w:rPr>
      </w:pPr>
    </w:p>
    <w:p w:rsidR="002C0852" w:rsidRDefault="002C0852">
      <w:pPr>
        <w:spacing w:after="0" w:line="240" w:lineRule="auto"/>
        <w:jc w:val="both"/>
        <w:rPr>
          <w:rFonts w:ascii="Arial" w:eastAsia="Arial" w:hAnsi="Arial" w:cs="Arial"/>
          <w:b/>
          <w:sz w:val="24"/>
          <w:szCs w:val="24"/>
        </w:rPr>
      </w:pPr>
    </w:p>
    <w:p w:rsidR="002C0852" w:rsidRDefault="002C0852" w:rsidP="002C0852">
      <w:pPr>
        <w:spacing w:after="0" w:line="360" w:lineRule="auto"/>
        <w:jc w:val="both"/>
        <w:rPr>
          <w:rFonts w:ascii="Arial" w:eastAsia="Arial" w:hAnsi="Arial" w:cs="Arial"/>
          <w:sz w:val="24"/>
          <w:szCs w:val="24"/>
        </w:rPr>
      </w:pPr>
    </w:p>
    <w:p w:rsidR="002C0852" w:rsidRDefault="002C0852" w:rsidP="002C0852">
      <w:pPr>
        <w:spacing w:after="0" w:line="360" w:lineRule="auto"/>
        <w:jc w:val="both"/>
        <w:rPr>
          <w:rFonts w:ascii="Arial" w:eastAsia="Arial" w:hAnsi="Arial" w:cs="Arial"/>
          <w:sz w:val="24"/>
          <w:szCs w:val="24"/>
        </w:rPr>
      </w:pPr>
    </w:p>
    <w:tbl>
      <w:tblPr>
        <w:tblStyle w:val="a0"/>
        <w:tblW w:w="8828" w:type="dxa"/>
        <w:tblInd w:w="5" w:type="dxa"/>
        <w:tblLayout w:type="fixed"/>
        <w:tblLook w:val="04A0" w:firstRow="1" w:lastRow="0" w:firstColumn="1" w:lastColumn="0" w:noHBand="0" w:noVBand="1"/>
      </w:tblPr>
      <w:tblGrid>
        <w:gridCol w:w="4414"/>
        <w:gridCol w:w="4414"/>
      </w:tblGrid>
      <w:tr w:rsidR="002C0852" w:rsidTr="003D3CF1">
        <w:tc>
          <w:tcPr>
            <w:tcW w:w="4414" w:type="dxa"/>
          </w:tcPr>
          <w:p w:rsidR="002C0852" w:rsidRDefault="002C0852" w:rsidP="003D3CF1">
            <w:pPr>
              <w:jc w:val="both"/>
              <w:rPr>
                <w:rFonts w:ascii="Arial" w:eastAsia="Arial" w:hAnsi="Arial" w:cs="Arial"/>
                <w:sz w:val="24"/>
                <w:szCs w:val="24"/>
              </w:rPr>
            </w:pPr>
          </w:p>
          <w:p w:rsidR="002C0852" w:rsidRDefault="002C0852" w:rsidP="003D3CF1">
            <w:pPr>
              <w:jc w:val="both"/>
              <w:rPr>
                <w:rFonts w:ascii="Arial" w:eastAsia="Arial" w:hAnsi="Arial" w:cs="Arial"/>
                <w:sz w:val="24"/>
                <w:szCs w:val="24"/>
              </w:rPr>
            </w:pPr>
          </w:p>
          <w:p w:rsidR="002C0852" w:rsidRDefault="002C0852" w:rsidP="003D3CF1">
            <w:pPr>
              <w:jc w:val="both"/>
              <w:rPr>
                <w:rFonts w:ascii="Arial" w:eastAsia="Arial" w:hAnsi="Arial" w:cs="Arial"/>
                <w:b/>
                <w:sz w:val="24"/>
                <w:szCs w:val="24"/>
              </w:rPr>
            </w:pPr>
            <w:r>
              <w:rPr>
                <w:rFonts w:ascii="Arial" w:eastAsia="Arial" w:hAnsi="Arial" w:cs="Arial"/>
                <w:sz w:val="24"/>
                <w:szCs w:val="24"/>
              </w:rPr>
              <w:t>___________________________</w:t>
            </w:r>
            <w:r>
              <w:rPr>
                <w:rFonts w:ascii="Arial" w:eastAsia="Arial" w:hAnsi="Arial" w:cs="Arial"/>
                <w:b/>
                <w:sz w:val="24"/>
                <w:szCs w:val="24"/>
              </w:rPr>
              <w:br/>
              <w:t>LEÓN FREDY MUÑOZ LOPERA</w:t>
            </w:r>
          </w:p>
          <w:p w:rsidR="002C0852" w:rsidRDefault="002C0852" w:rsidP="003D3CF1">
            <w:pPr>
              <w:jc w:val="both"/>
              <w:rPr>
                <w:rFonts w:ascii="Arial" w:eastAsia="Arial" w:hAnsi="Arial" w:cs="Arial"/>
                <w:sz w:val="24"/>
                <w:szCs w:val="24"/>
              </w:rPr>
            </w:pPr>
            <w:r>
              <w:rPr>
                <w:rFonts w:ascii="Arial" w:eastAsia="Arial" w:hAnsi="Arial" w:cs="Arial"/>
                <w:sz w:val="24"/>
                <w:szCs w:val="24"/>
              </w:rPr>
              <w:t xml:space="preserve">Representante a la Cámara </w:t>
            </w:r>
          </w:p>
          <w:p w:rsidR="002C0852" w:rsidRDefault="002C0852" w:rsidP="003D3CF1">
            <w:pPr>
              <w:jc w:val="both"/>
              <w:rPr>
                <w:rFonts w:ascii="Arial" w:eastAsia="Arial" w:hAnsi="Arial" w:cs="Arial"/>
                <w:sz w:val="24"/>
                <w:szCs w:val="24"/>
              </w:rPr>
            </w:pPr>
            <w:r>
              <w:rPr>
                <w:rFonts w:ascii="Arial" w:eastAsia="Arial" w:hAnsi="Arial" w:cs="Arial"/>
                <w:sz w:val="24"/>
                <w:szCs w:val="24"/>
              </w:rPr>
              <w:t xml:space="preserve">Partido Alianza Verde </w:t>
            </w:r>
          </w:p>
        </w:tc>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22DC5CF" wp14:editId="110A86F8">
                  <wp:extent cx="2667000" cy="812800"/>
                  <wp:effectExtent l="0" t="0" r="0" b="0"/>
                  <wp:docPr id="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67000" cy="812800"/>
                          </a:xfrm>
                          <a:prstGeom prst="rect">
                            <a:avLst/>
                          </a:prstGeom>
                          <a:ln/>
                        </pic:spPr>
                      </pic:pic>
                    </a:graphicData>
                  </a:graphic>
                </wp:inline>
              </w:drawing>
            </w:r>
          </w:p>
        </w:tc>
      </w:tr>
      <w:tr w:rsidR="002C0852" w:rsidTr="003D3CF1">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lastRenderedPageBreak/>
              <w:drawing>
                <wp:inline distT="114300" distB="114300" distL="114300" distR="114300" wp14:anchorId="5BE899BB" wp14:editId="055E7946">
                  <wp:extent cx="1828800" cy="781050"/>
                  <wp:effectExtent l="0" t="0" r="0" b="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28800" cy="781050"/>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MARÍA JOSÉ PIZARRO RODRÍGUEZ</w:t>
            </w:r>
          </w:p>
          <w:p w:rsidR="002C0852" w:rsidRDefault="002C0852" w:rsidP="003D3CF1">
            <w:pPr>
              <w:jc w:val="both"/>
              <w:rPr>
                <w:rFonts w:ascii="Arial" w:eastAsia="Arial" w:hAnsi="Arial" w:cs="Arial"/>
                <w:sz w:val="24"/>
                <w:szCs w:val="24"/>
              </w:rPr>
            </w:pPr>
            <w:r>
              <w:rPr>
                <w:rFonts w:ascii="Arial" w:eastAsia="Arial" w:hAnsi="Arial" w:cs="Arial"/>
                <w:sz w:val="24"/>
                <w:szCs w:val="24"/>
              </w:rPr>
              <w:t>Representante a la Cámara</w:t>
            </w:r>
          </w:p>
          <w:p w:rsidR="002C0852" w:rsidRDefault="002C0852" w:rsidP="003D3CF1">
            <w:pPr>
              <w:jc w:val="both"/>
              <w:rPr>
                <w:rFonts w:ascii="Arial" w:eastAsia="Arial" w:hAnsi="Arial" w:cs="Arial"/>
                <w:b/>
                <w:sz w:val="24"/>
                <w:szCs w:val="24"/>
              </w:rPr>
            </w:pPr>
            <w:r>
              <w:rPr>
                <w:rFonts w:ascii="Arial" w:eastAsia="Arial" w:hAnsi="Arial" w:cs="Arial"/>
                <w:sz w:val="24"/>
                <w:szCs w:val="24"/>
              </w:rPr>
              <w:t>Coalición Decentes</w:t>
            </w:r>
          </w:p>
        </w:tc>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45F19D8" wp14:editId="1F6F3BC7">
                  <wp:extent cx="991553" cy="544145"/>
                  <wp:effectExtent l="0" t="0" r="0" b="0"/>
                  <wp:docPr id="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991553" cy="544145"/>
                          </a:xfrm>
                          <a:prstGeom prst="rect">
                            <a:avLst/>
                          </a:prstGeom>
                          <a:ln/>
                        </pic:spPr>
                      </pic:pic>
                    </a:graphicData>
                  </a:graphic>
                </wp:inline>
              </w:drawing>
            </w:r>
          </w:p>
          <w:p w:rsidR="002C0852" w:rsidRDefault="002C0852" w:rsidP="003D3CF1">
            <w:pPr>
              <w:jc w:val="both"/>
              <w:rPr>
                <w:rFonts w:ascii="Arial" w:eastAsia="Arial" w:hAnsi="Arial" w:cs="Arial"/>
                <w:b/>
                <w:sz w:val="14"/>
                <w:szCs w:val="14"/>
              </w:rPr>
            </w:pPr>
          </w:p>
          <w:p w:rsidR="002C0852" w:rsidRDefault="002C0852" w:rsidP="003D3CF1">
            <w:pPr>
              <w:jc w:val="both"/>
              <w:rPr>
                <w:rFonts w:ascii="Arial" w:eastAsia="Arial" w:hAnsi="Arial" w:cs="Arial"/>
                <w:b/>
                <w:sz w:val="24"/>
                <w:szCs w:val="24"/>
              </w:rPr>
            </w:pPr>
            <w:r>
              <w:rPr>
                <w:rFonts w:ascii="Arial" w:eastAsia="Arial" w:hAnsi="Arial" w:cs="Arial"/>
                <w:b/>
                <w:sz w:val="24"/>
                <w:szCs w:val="24"/>
              </w:rPr>
              <w:t>JULIÁN GALLO CUBILLOS</w:t>
            </w:r>
          </w:p>
          <w:p w:rsidR="002C0852" w:rsidRDefault="002C0852" w:rsidP="003D3CF1">
            <w:pPr>
              <w:jc w:val="both"/>
              <w:rPr>
                <w:rFonts w:ascii="Arial" w:eastAsia="Arial" w:hAnsi="Arial" w:cs="Arial"/>
                <w:b/>
                <w:sz w:val="24"/>
                <w:szCs w:val="24"/>
              </w:rPr>
            </w:pPr>
            <w:r>
              <w:rPr>
                <w:rFonts w:ascii="Arial" w:eastAsia="Arial" w:hAnsi="Arial" w:cs="Arial"/>
                <w:b/>
                <w:sz w:val="24"/>
                <w:szCs w:val="24"/>
              </w:rPr>
              <w:t>Senador de la República</w:t>
            </w:r>
          </w:p>
          <w:p w:rsidR="002C0852" w:rsidRDefault="002C0852" w:rsidP="003D3CF1">
            <w:pPr>
              <w:jc w:val="both"/>
              <w:rPr>
                <w:rFonts w:ascii="Arial" w:eastAsia="Arial" w:hAnsi="Arial" w:cs="Arial"/>
                <w:b/>
                <w:sz w:val="28"/>
                <w:szCs w:val="28"/>
              </w:rPr>
            </w:pPr>
            <w:r>
              <w:rPr>
                <w:rFonts w:ascii="Arial" w:eastAsia="Arial" w:hAnsi="Arial" w:cs="Arial"/>
                <w:b/>
                <w:sz w:val="28"/>
                <w:szCs w:val="28"/>
              </w:rPr>
              <w:t>Partido Comunes</w:t>
            </w:r>
          </w:p>
        </w:tc>
      </w:tr>
      <w:tr w:rsidR="002C0852" w:rsidTr="003D3CF1">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0954FFA3" wp14:editId="1CDFC87D">
                  <wp:extent cx="2048828" cy="317296"/>
                  <wp:effectExtent l="0" t="0" r="0" b="0"/>
                  <wp:docPr id="5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048828" cy="317296"/>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Luis Alberto Albán Urbano</w:t>
            </w:r>
          </w:p>
          <w:p w:rsidR="002C0852" w:rsidRDefault="002C0852" w:rsidP="003D3CF1">
            <w:pPr>
              <w:jc w:val="both"/>
              <w:rPr>
                <w:rFonts w:ascii="Arial" w:eastAsia="Arial" w:hAnsi="Arial" w:cs="Arial"/>
                <w:b/>
                <w:sz w:val="24"/>
                <w:szCs w:val="24"/>
              </w:rPr>
            </w:pPr>
            <w:r>
              <w:rPr>
                <w:rFonts w:ascii="Arial" w:eastAsia="Arial" w:hAnsi="Arial" w:cs="Arial"/>
                <w:b/>
                <w:sz w:val="24"/>
                <w:szCs w:val="24"/>
              </w:rPr>
              <w:t>Representante a la Cámara</w:t>
            </w:r>
          </w:p>
          <w:p w:rsidR="002C0852" w:rsidRDefault="002C0852" w:rsidP="003D3CF1">
            <w:pPr>
              <w:jc w:val="both"/>
              <w:rPr>
                <w:rFonts w:ascii="Arial" w:eastAsia="Arial" w:hAnsi="Arial" w:cs="Arial"/>
                <w:b/>
                <w:sz w:val="24"/>
                <w:szCs w:val="24"/>
              </w:rPr>
            </w:pPr>
            <w:r>
              <w:rPr>
                <w:rFonts w:ascii="Arial" w:eastAsia="Arial" w:hAnsi="Arial" w:cs="Arial"/>
                <w:b/>
                <w:sz w:val="24"/>
                <w:szCs w:val="24"/>
              </w:rPr>
              <w:t>Partido Comunes</w:t>
            </w: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tc>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501B26B2" wp14:editId="3CA858D9">
                  <wp:extent cx="2562225" cy="1200150"/>
                  <wp:effectExtent l="0" t="0" r="0" b="0"/>
                  <wp:docPr id="5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562225" cy="1200150"/>
                          </a:xfrm>
                          <a:prstGeom prst="rect">
                            <a:avLst/>
                          </a:prstGeom>
                          <a:ln/>
                        </pic:spPr>
                      </pic:pic>
                    </a:graphicData>
                  </a:graphic>
                </wp:inline>
              </w:drawing>
            </w:r>
          </w:p>
        </w:tc>
      </w:tr>
      <w:tr w:rsidR="002C0852" w:rsidTr="003D3CF1">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21656309" wp14:editId="499520D1">
                  <wp:extent cx="1439228" cy="533400"/>
                  <wp:effectExtent l="0" t="0" r="0" b="0"/>
                  <wp:docPr id="60"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3"/>
                          <a:srcRect/>
                          <a:stretch>
                            <a:fillRect/>
                          </a:stretch>
                        </pic:blipFill>
                        <pic:spPr>
                          <a:xfrm>
                            <a:off x="0" y="0"/>
                            <a:ext cx="1439228" cy="533400"/>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EDWIN FABIAN ORDUZ DIAZ</w:t>
            </w:r>
          </w:p>
          <w:p w:rsidR="002C0852" w:rsidRDefault="002C0852" w:rsidP="003D3CF1">
            <w:pPr>
              <w:jc w:val="both"/>
              <w:rPr>
                <w:rFonts w:ascii="Arial" w:eastAsia="Arial" w:hAnsi="Arial" w:cs="Arial"/>
                <w:b/>
                <w:sz w:val="24"/>
                <w:szCs w:val="24"/>
              </w:rPr>
            </w:pPr>
            <w:r>
              <w:rPr>
                <w:rFonts w:ascii="Arial" w:eastAsia="Arial" w:hAnsi="Arial" w:cs="Arial"/>
                <w:b/>
                <w:sz w:val="24"/>
                <w:szCs w:val="24"/>
              </w:rPr>
              <w:t>Representante a la Cámara</w:t>
            </w:r>
          </w:p>
          <w:p w:rsidR="002C0852" w:rsidRDefault="002C0852" w:rsidP="003D3CF1">
            <w:pPr>
              <w:jc w:val="both"/>
              <w:rPr>
                <w:rFonts w:ascii="Arial" w:eastAsia="Arial" w:hAnsi="Arial" w:cs="Arial"/>
                <w:b/>
                <w:sz w:val="24"/>
                <w:szCs w:val="24"/>
              </w:rPr>
            </w:pPr>
          </w:p>
        </w:tc>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918D5E1" wp14:editId="48D1FE6A">
                  <wp:extent cx="1858328" cy="504825"/>
                  <wp:effectExtent l="0" t="0" r="0" b="0"/>
                  <wp:docPr id="6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1858328" cy="504825"/>
                          </a:xfrm>
                          <a:prstGeom prst="rect">
                            <a:avLst/>
                          </a:prstGeom>
                          <a:ln/>
                        </pic:spPr>
                      </pic:pic>
                    </a:graphicData>
                  </a:graphic>
                </wp:inline>
              </w:drawing>
            </w:r>
            <w:r>
              <w:rPr>
                <w:rFonts w:ascii="Arial" w:eastAsia="Arial" w:hAnsi="Arial" w:cs="Arial"/>
                <w:b/>
                <w:sz w:val="24"/>
                <w:szCs w:val="24"/>
              </w:rPr>
              <w:br/>
              <w:t>AIDA AVELLA ESQUIVEL</w:t>
            </w:r>
            <w:r>
              <w:rPr>
                <w:rFonts w:ascii="Arial" w:eastAsia="Arial" w:hAnsi="Arial" w:cs="Arial"/>
                <w:b/>
                <w:sz w:val="24"/>
                <w:szCs w:val="24"/>
              </w:rPr>
              <w:br/>
              <w:t>Senadora de la República</w:t>
            </w:r>
            <w:r>
              <w:rPr>
                <w:rFonts w:ascii="Arial" w:eastAsia="Arial" w:hAnsi="Arial" w:cs="Arial"/>
                <w:b/>
                <w:sz w:val="24"/>
                <w:szCs w:val="24"/>
              </w:rPr>
              <w:br/>
              <w:t>Coalición Decentes-Unión Patriótica</w:t>
            </w:r>
          </w:p>
        </w:tc>
      </w:tr>
      <w:tr w:rsidR="002C0852" w:rsidTr="003D3CF1">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3B1A1514" wp14:editId="72A781AB">
                  <wp:extent cx="2020253" cy="642152"/>
                  <wp:effectExtent l="0" t="0" r="0" b="0"/>
                  <wp:docPr id="6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2020253" cy="642152"/>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JAIRO REINALDO CALA SUÁREZ</w:t>
            </w:r>
          </w:p>
          <w:p w:rsidR="002C0852" w:rsidRDefault="002C0852" w:rsidP="003D3CF1">
            <w:pPr>
              <w:jc w:val="both"/>
              <w:rPr>
                <w:rFonts w:ascii="Arial" w:eastAsia="Arial" w:hAnsi="Arial" w:cs="Arial"/>
                <w:b/>
                <w:sz w:val="24"/>
                <w:szCs w:val="24"/>
              </w:rPr>
            </w:pPr>
            <w:r>
              <w:rPr>
                <w:rFonts w:ascii="Arial" w:eastAsia="Arial" w:hAnsi="Arial" w:cs="Arial"/>
                <w:b/>
                <w:sz w:val="24"/>
                <w:szCs w:val="24"/>
              </w:rPr>
              <w:t>Representante a la Cámara</w:t>
            </w:r>
          </w:p>
          <w:p w:rsidR="002C0852" w:rsidRDefault="002C0852" w:rsidP="003D3CF1">
            <w:pPr>
              <w:jc w:val="both"/>
              <w:rPr>
                <w:rFonts w:ascii="Arial" w:eastAsia="Arial" w:hAnsi="Arial" w:cs="Arial"/>
                <w:b/>
                <w:sz w:val="24"/>
                <w:szCs w:val="24"/>
              </w:rPr>
            </w:pPr>
            <w:r>
              <w:rPr>
                <w:rFonts w:ascii="Arial" w:eastAsia="Arial" w:hAnsi="Arial" w:cs="Arial"/>
                <w:b/>
                <w:sz w:val="24"/>
                <w:szCs w:val="24"/>
              </w:rPr>
              <w:t>Partido COMUNES</w:t>
            </w:r>
          </w:p>
          <w:p w:rsidR="002C0852" w:rsidRDefault="002C0852" w:rsidP="003D3CF1">
            <w:pPr>
              <w:jc w:val="both"/>
              <w:rPr>
                <w:rFonts w:ascii="Arial" w:eastAsia="Arial" w:hAnsi="Arial" w:cs="Arial"/>
                <w:b/>
                <w:sz w:val="24"/>
                <w:szCs w:val="24"/>
              </w:rPr>
            </w:pPr>
          </w:p>
        </w:tc>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F26826C" wp14:editId="2366221B">
                  <wp:extent cx="1563053" cy="1211366"/>
                  <wp:effectExtent l="0" t="0" r="0" b="0"/>
                  <wp:docPr id="6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1563053" cy="1211366"/>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ANTONIO SANGUINO PÁEZ</w:t>
            </w:r>
          </w:p>
          <w:p w:rsidR="002C0852" w:rsidRDefault="002C0852" w:rsidP="003D3CF1">
            <w:pPr>
              <w:jc w:val="both"/>
              <w:rPr>
                <w:rFonts w:ascii="Arial" w:eastAsia="Arial" w:hAnsi="Arial" w:cs="Arial"/>
                <w:b/>
                <w:sz w:val="24"/>
                <w:szCs w:val="24"/>
              </w:rPr>
            </w:pPr>
            <w:r>
              <w:rPr>
                <w:rFonts w:ascii="Arial" w:eastAsia="Arial" w:hAnsi="Arial" w:cs="Arial"/>
                <w:b/>
                <w:sz w:val="24"/>
                <w:szCs w:val="24"/>
              </w:rPr>
              <w:t xml:space="preserve">Senador de la </w:t>
            </w:r>
            <w:proofErr w:type="spellStart"/>
            <w:r>
              <w:rPr>
                <w:rFonts w:ascii="Arial" w:eastAsia="Arial" w:hAnsi="Arial" w:cs="Arial"/>
                <w:b/>
                <w:sz w:val="24"/>
                <w:szCs w:val="24"/>
              </w:rPr>
              <w:t>Repùblica</w:t>
            </w:r>
            <w:proofErr w:type="spellEnd"/>
          </w:p>
          <w:p w:rsidR="002C0852" w:rsidRDefault="002C0852" w:rsidP="003D3CF1">
            <w:pPr>
              <w:jc w:val="both"/>
              <w:rPr>
                <w:rFonts w:ascii="Arial" w:eastAsia="Arial" w:hAnsi="Arial" w:cs="Arial"/>
                <w:b/>
                <w:sz w:val="24"/>
                <w:szCs w:val="24"/>
              </w:rPr>
            </w:pPr>
            <w:r>
              <w:rPr>
                <w:rFonts w:ascii="Arial" w:eastAsia="Arial" w:hAnsi="Arial" w:cs="Arial"/>
                <w:b/>
                <w:sz w:val="24"/>
                <w:szCs w:val="24"/>
              </w:rPr>
              <w:t>Partido Alianza Verde</w:t>
            </w:r>
          </w:p>
        </w:tc>
      </w:tr>
      <w:tr w:rsidR="002C0852" w:rsidTr="003D3CF1">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20373A7B" wp14:editId="01CB3DE7">
                  <wp:extent cx="1686878" cy="1110018"/>
                  <wp:effectExtent l="0" t="0" r="0" b="0"/>
                  <wp:docPr id="6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1686878" cy="1110018"/>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sz w:val="24"/>
                <w:szCs w:val="24"/>
              </w:rPr>
              <w:t>WILMER LEAL PÉREZ</w:t>
            </w:r>
          </w:p>
          <w:p w:rsidR="002C0852" w:rsidRDefault="002C0852" w:rsidP="003D3CF1">
            <w:pPr>
              <w:jc w:val="both"/>
              <w:rPr>
                <w:rFonts w:ascii="Arial" w:eastAsia="Arial" w:hAnsi="Arial" w:cs="Arial"/>
                <w:sz w:val="24"/>
                <w:szCs w:val="24"/>
              </w:rPr>
            </w:pPr>
            <w:r>
              <w:rPr>
                <w:rFonts w:ascii="Arial" w:eastAsia="Arial" w:hAnsi="Arial" w:cs="Arial"/>
                <w:sz w:val="24"/>
                <w:szCs w:val="24"/>
              </w:rPr>
              <w:t>Representante a la Cámara</w:t>
            </w:r>
          </w:p>
          <w:p w:rsidR="002C0852" w:rsidRDefault="002C0852" w:rsidP="003D3CF1">
            <w:pPr>
              <w:jc w:val="both"/>
              <w:rPr>
                <w:rFonts w:ascii="Arial" w:eastAsia="Arial" w:hAnsi="Arial" w:cs="Arial"/>
                <w:sz w:val="24"/>
                <w:szCs w:val="24"/>
              </w:rPr>
            </w:pPr>
            <w:r>
              <w:rPr>
                <w:rFonts w:ascii="Arial" w:eastAsia="Arial" w:hAnsi="Arial" w:cs="Arial"/>
                <w:sz w:val="24"/>
                <w:szCs w:val="24"/>
              </w:rPr>
              <w:t>Partido Alianza Verde</w:t>
            </w:r>
          </w:p>
        </w:tc>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D1289C0" wp14:editId="7B3B8BDA">
                  <wp:extent cx="2667000" cy="622300"/>
                  <wp:effectExtent l="0" t="0" r="0" b="0"/>
                  <wp:docPr id="6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2667000" cy="622300"/>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sz w:val="24"/>
                <w:szCs w:val="24"/>
              </w:rPr>
              <w:t>OMAR DE JESUS RESTREPO CORREA</w:t>
            </w:r>
          </w:p>
          <w:p w:rsidR="002C0852" w:rsidRDefault="002C0852" w:rsidP="003D3CF1">
            <w:pPr>
              <w:jc w:val="both"/>
              <w:rPr>
                <w:rFonts w:ascii="Arial" w:eastAsia="Arial" w:hAnsi="Arial" w:cs="Arial"/>
                <w:sz w:val="24"/>
                <w:szCs w:val="24"/>
              </w:rPr>
            </w:pPr>
            <w:r>
              <w:rPr>
                <w:rFonts w:ascii="Arial" w:eastAsia="Arial" w:hAnsi="Arial" w:cs="Arial"/>
                <w:sz w:val="24"/>
                <w:szCs w:val="24"/>
              </w:rPr>
              <w:t>Representante a la Cámara</w:t>
            </w:r>
          </w:p>
          <w:p w:rsidR="002C0852" w:rsidRDefault="002C0852" w:rsidP="003D3CF1">
            <w:pPr>
              <w:jc w:val="both"/>
              <w:rPr>
                <w:rFonts w:ascii="Arial" w:eastAsia="Arial" w:hAnsi="Arial" w:cs="Arial"/>
                <w:sz w:val="24"/>
                <w:szCs w:val="24"/>
              </w:rPr>
            </w:pPr>
            <w:r>
              <w:rPr>
                <w:rFonts w:ascii="Arial" w:eastAsia="Arial" w:hAnsi="Arial" w:cs="Arial"/>
                <w:sz w:val="24"/>
                <w:szCs w:val="24"/>
              </w:rPr>
              <w:t>Partido Comunes</w:t>
            </w:r>
          </w:p>
        </w:tc>
      </w:tr>
    </w:tbl>
    <w:p w:rsidR="000B1282" w:rsidRDefault="000B1282">
      <w:pPr>
        <w:spacing w:after="0" w:line="240" w:lineRule="auto"/>
        <w:jc w:val="both"/>
        <w:rPr>
          <w:rFonts w:ascii="Arial" w:eastAsia="Arial" w:hAnsi="Arial" w:cs="Arial"/>
          <w:b/>
          <w:sz w:val="24"/>
          <w:szCs w:val="24"/>
        </w:rPr>
      </w:pPr>
    </w:p>
    <w:p w:rsidR="002C0852" w:rsidRDefault="002C0852">
      <w:pPr>
        <w:spacing w:after="0" w:line="240" w:lineRule="auto"/>
        <w:jc w:val="both"/>
        <w:rPr>
          <w:rFonts w:ascii="Arial" w:eastAsia="Arial" w:hAnsi="Arial" w:cs="Arial"/>
          <w:b/>
          <w:sz w:val="24"/>
          <w:szCs w:val="24"/>
        </w:rPr>
      </w:pPr>
    </w:p>
    <w:p w:rsidR="002C0852" w:rsidRDefault="002C0852">
      <w:pPr>
        <w:spacing w:after="0" w:line="240" w:lineRule="auto"/>
        <w:jc w:val="both"/>
        <w:rPr>
          <w:rFonts w:ascii="Arial" w:eastAsia="Arial" w:hAnsi="Arial" w:cs="Arial"/>
          <w:b/>
          <w:sz w:val="24"/>
          <w:szCs w:val="24"/>
        </w:rPr>
      </w:pPr>
    </w:p>
    <w:p w:rsidR="002C0852" w:rsidRDefault="002C0852">
      <w:pPr>
        <w:spacing w:after="0" w:line="240" w:lineRule="auto"/>
        <w:jc w:val="both"/>
        <w:rPr>
          <w:rFonts w:ascii="Arial" w:eastAsia="Arial" w:hAnsi="Arial" w:cs="Arial"/>
          <w:b/>
          <w:sz w:val="24"/>
          <w:szCs w:val="24"/>
        </w:rPr>
      </w:pPr>
    </w:p>
    <w:p w:rsidR="002C0852" w:rsidRDefault="002C0852">
      <w:pPr>
        <w:spacing w:after="0" w:line="240" w:lineRule="auto"/>
        <w:jc w:val="both"/>
        <w:rPr>
          <w:rFonts w:ascii="Arial" w:eastAsia="Arial" w:hAnsi="Arial" w:cs="Arial"/>
          <w:b/>
          <w:sz w:val="24"/>
          <w:szCs w:val="24"/>
        </w:rPr>
      </w:pPr>
    </w:p>
    <w:p w:rsidR="002C0852" w:rsidRDefault="002C0852">
      <w:pPr>
        <w:spacing w:after="0" w:line="240" w:lineRule="auto"/>
        <w:jc w:val="both"/>
        <w:rPr>
          <w:rFonts w:ascii="Arial" w:eastAsia="Arial" w:hAnsi="Arial" w:cs="Arial"/>
          <w:b/>
          <w:sz w:val="24"/>
          <w:szCs w:val="24"/>
        </w:rPr>
      </w:pPr>
    </w:p>
    <w:p w:rsidR="002C0852" w:rsidRDefault="002C0852">
      <w:pPr>
        <w:spacing w:after="0" w:line="240" w:lineRule="auto"/>
        <w:jc w:val="both"/>
        <w:rPr>
          <w:rFonts w:ascii="Arial" w:eastAsia="Arial" w:hAnsi="Arial" w:cs="Arial"/>
          <w:b/>
          <w:sz w:val="24"/>
          <w:szCs w:val="24"/>
        </w:rPr>
      </w:pPr>
    </w:p>
    <w:p w:rsidR="000B1282" w:rsidRDefault="002B74D2">
      <w:pPr>
        <w:jc w:val="center"/>
        <w:rPr>
          <w:rFonts w:ascii="Arial" w:eastAsia="Arial" w:hAnsi="Arial" w:cs="Arial"/>
          <w:sz w:val="24"/>
          <w:szCs w:val="24"/>
        </w:rPr>
      </w:pPr>
      <w:r>
        <w:rPr>
          <w:rFonts w:ascii="Arial" w:eastAsia="Arial" w:hAnsi="Arial" w:cs="Arial"/>
          <w:b/>
          <w:sz w:val="24"/>
          <w:szCs w:val="24"/>
        </w:rPr>
        <w:t xml:space="preserve">PROYECTO DE LEY NÚMERO __ DE 2021 DE CÁMARA </w:t>
      </w:r>
    </w:p>
    <w:p w:rsidR="000B1282" w:rsidRDefault="002B74D2">
      <w:pPr>
        <w:jc w:val="center"/>
        <w:rPr>
          <w:rFonts w:ascii="Arial" w:eastAsia="Arial" w:hAnsi="Arial" w:cs="Arial"/>
          <w:i/>
          <w:sz w:val="24"/>
          <w:szCs w:val="24"/>
        </w:rPr>
      </w:pPr>
      <w:r>
        <w:rPr>
          <w:rFonts w:ascii="Arial" w:eastAsia="Arial" w:hAnsi="Arial" w:cs="Arial"/>
          <w:b/>
          <w:i/>
          <w:sz w:val="24"/>
          <w:szCs w:val="24"/>
        </w:rPr>
        <w:t>“Por Medio Del Cual Se Modifica El Porcentaje De Repartición De Las Contraprestaciones Portuarias”</w:t>
      </w:r>
    </w:p>
    <w:p w:rsidR="000B1282" w:rsidRDefault="002B74D2">
      <w:pPr>
        <w:jc w:val="center"/>
        <w:rPr>
          <w:rFonts w:ascii="Arial" w:eastAsia="Arial" w:hAnsi="Arial" w:cs="Arial"/>
          <w:sz w:val="24"/>
          <w:szCs w:val="24"/>
        </w:rPr>
      </w:pPr>
      <w:r>
        <w:rPr>
          <w:rFonts w:ascii="Arial" w:eastAsia="Arial" w:hAnsi="Arial" w:cs="Arial"/>
          <w:sz w:val="24"/>
          <w:szCs w:val="24"/>
        </w:rPr>
        <w:t>El Congreso de Colombia,</w:t>
      </w:r>
    </w:p>
    <w:p w:rsidR="000B1282" w:rsidRDefault="002B74D2">
      <w:pPr>
        <w:jc w:val="center"/>
        <w:rPr>
          <w:rFonts w:ascii="Arial" w:eastAsia="Arial" w:hAnsi="Arial" w:cs="Arial"/>
          <w:sz w:val="24"/>
          <w:szCs w:val="24"/>
        </w:rPr>
      </w:pPr>
      <w:r>
        <w:rPr>
          <w:rFonts w:ascii="Arial" w:eastAsia="Arial" w:hAnsi="Arial" w:cs="Arial"/>
          <w:b/>
          <w:sz w:val="24"/>
          <w:szCs w:val="24"/>
        </w:rPr>
        <w:t>DECRETA:</w:t>
      </w:r>
    </w:p>
    <w:p w:rsidR="000B1282" w:rsidRDefault="002B74D2">
      <w:pPr>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 xml:space="preserve">La presente ley tiene como objeto fortalecer las autoridades portuarias distritales y modificar la distribución de las contraprestaciones portuarias que se establecen en los artículos 17 de la Ley 768 de 2002, 80 de la Ley 1617 de 2013 y 7 de la Ley 1ª de 1991. De esta forma se desarrolla en la Ley las autoridades portuarias distritales y se aumentan los recursos de las alcaldías o distritos donde operen terminales marítimos. </w:t>
      </w:r>
    </w:p>
    <w:p w:rsidR="000B1282" w:rsidRDefault="002B74D2">
      <w:pPr>
        <w:jc w:val="both"/>
        <w:rPr>
          <w:rFonts w:ascii="Arial" w:eastAsia="Arial" w:hAnsi="Arial" w:cs="Arial"/>
          <w:sz w:val="24"/>
          <w:szCs w:val="24"/>
        </w:rPr>
      </w:pPr>
      <w:r>
        <w:rPr>
          <w:rFonts w:ascii="Arial" w:eastAsia="Arial" w:hAnsi="Arial" w:cs="Arial"/>
          <w:b/>
          <w:sz w:val="24"/>
          <w:szCs w:val="24"/>
        </w:rPr>
        <w:t xml:space="preserve">Artículo 2° </w:t>
      </w:r>
      <w:r>
        <w:rPr>
          <w:rFonts w:ascii="Arial" w:eastAsia="Arial" w:hAnsi="Arial" w:cs="Arial"/>
          <w:sz w:val="24"/>
          <w:szCs w:val="24"/>
        </w:rPr>
        <w:t xml:space="preserve">El artículo 7° de la Ley 1ª de 1991 modificado por el artículo 1° de la Ley 856 de 2003 quedará así: </w:t>
      </w:r>
    </w:p>
    <w:p w:rsidR="000B1282" w:rsidRDefault="002B74D2">
      <w:pPr>
        <w:ind w:left="567" w:right="616"/>
        <w:jc w:val="both"/>
        <w:rPr>
          <w:rFonts w:ascii="Arial" w:eastAsia="Arial" w:hAnsi="Arial" w:cs="Arial"/>
          <w:sz w:val="24"/>
          <w:szCs w:val="24"/>
        </w:rPr>
      </w:pPr>
      <w:r>
        <w:rPr>
          <w:rFonts w:ascii="Arial" w:eastAsia="Arial" w:hAnsi="Arial" w:cs="Arial"/>
          <w:b/>
          <w:i/>
          <w:sz w:val="24"/>
          <w:szCs w:val="24"/>
        </w:rPr>
        <w:t>“</w:t>
      </w:r>
      <w:r>
        <w:rPr>
          <w:rFonts w:ascii="Arial" w:eastAsia="Arial" w:hAnsi="Arial" w:cs="Arial"/>
          <w:b/>
          <w:sz w:val="24"/>
          <w:szCs w:val="24"/>
        </w:rPr>
        <w:t>Artículo 7°. Monto de la contraprestación</w:t>
      </w:r>
      <w:r>
        <w:rPr>
          <w:rFonts w:ascii="Arial" w:eastAsia="Arial" w:hAnsi="Arial" w:cs="Arial"/>
          <w:sz w:val="24"/>
          <w:szCs w:val="24"/>
        </w:rPr>
        <w:t xml:space="preserve">. Periódicamente el Gobierno nacional definirá, en los planes de expansión portuaria, la metodología para calcular el valor de las contraprestaciones que deben pagar quienes obtengan una concesión o licencia portuaria, por concepto del uso y goce temporal y exclusivo de las zonas de uso público y por concepto del uso de la infraestructura allí existente. </w:t>
      </w:r>
    </w:p>
    <w:p w:rsidR="000B1282" w:rsidRDefault="002B74D2">
      <w:pPr>
        <w:pBdr>
          <w:top w:val="nil"/>
          <w:left w:val="nil"/>
          <w:bottom w:val="nil"/>
          <w:right w:val="nil"/>
          <w:between w:val="nil"/>
        </w:pBdr>
        <w:spacing w:before="40" w:after="20" w:line="240" w:lineRule="auto"/>
        <w:ind w:left="567" w:right="616"/>
        <w:jc w:val="both"/>
        <w:rPr>
          <w:rFonts w:ascii="Arial" w:eastAsia="Arial" w:hAnsi="Arial" w:cs="Arial"/>
          <w:color w:val="211D1E"/>
          <w:sz w:val="24"/>
          <w:szCs w:val="24"/>
        </w:rPr>
      </w:pPr>
      <w:r>
        <w:rPr>
          <w:rFonts w:ascii="Arial" w:eastAsia="Arial" w:hAnsi="Arial" w:cs="Arial"/>
          <w:color w:val="000000"/>
          <w:sz w:val="24"/>
          <w:szCs w:val="24"/>
        </w:rPr>
        <w:t>Las contraprestaciones por el uso y goce temporal y exclusivo de las zonas de uso público las recibirá la Nación a través del Instituto Nacional de Vías (</w:t>
      </w:r>
      <w:proofErr w:type="spellStart"/>
      <w:r>
        <w:rPr>
          <w:rFonts w:ascii="Arial" w:eastAsia="Arial" w:hAnsi="Arial" w:cs="Arial"/>
          <w:color w:val="000000"/>
          <w:sz w:val="24"/>
          <w:szCs w:val="24"/>
        </w:rPr>
        <w:t>Invías</w:t>
      </w:r>
      <w:proofErr w:type="spellEnd"/>
      <w:r>
        <w:rPr>
          <w:rFonts w:ascii="Arial" w:eastAsia="Arial" w:hAnsi="Arial" w:cs="Arial"/>
          <w:color w:val="000000"/>
          <w:sz w:val="24"/>
          <w:szCs w:val="24"/>
        </w:rPr>
        <w:t>), o quien haga sus veces, incorporándose a los ingresos propios de dicha entidad, y los municipios o distritos donde opere el puerto. La proporción será de un cincuenta por ciento (50%) a la entidad Nacional, y un cincuenta por ciento</w:t>
      </w:r>
      <w:r>
        <w:rPr>
          <w:rFonts w:ascii="Arial" w:eastAsia="Arial" w:hAnsi="Arial" w:cs="Arial"/>
          <w:color w:val="211D1E"/>
          <w:sz w:val="24"/>
          <w:szCs w:val="24"/>
        </w:rPr>
        <w:t xml:space="preserve"> (50%) a los municipios o distritos en donde se encuentra ubicada la concesión portuaria, que lo destinarán a inversión social o para obras que complementen la competitividad portuaria. Las contraprestaciones por el uso de la infraestructura las recibirá el municipio o distrito en un cincuenta por ciento (50%) para obras de infraestructura o inversión social y el Gobierno nacional a través del Instituto Nacional de Vías (</w:t>
      </w:r>
      <w:proofErr w:type="spellStart"/>
      <w:r>
        <w:rPr>
          <w:rFonts w:ascii="Arial" w:eastAsia="Arial" w:hAnsi="Arial" w:cs="Arial"/>
          <w:color w:val="211D1E"/>
          <w:sz w:val="24"/>
          <w:szCs w:val="24"/>
        </w:rPr>
        <w:t>Invías</w:t>
      </w:r>
      <w:proofErr w:type="spellEnd"/>
      <w:r>
        <w:rPr>
          <w:rFonts w:ascii="Arial" w:eastAsia="Arial" w:hAnsi="Arial" w:cs="Arial"/>
          <w:color w:val="211D1E"/>
          <w:sz w:val="24"/>
          <w:szCs w:val="24"/>
        </w:rPr>
        <w:t xml:space="preserve">), o quien haga sus veces recibirá el otro cincuenta por ciento (50%). </w:t>
      </w:r>
    </w:p>
    <w:p w:rsidR="000B1282" w:rsidRDefault="000B1282">
      <w:pPr>
        <w:pBdr>
          <w:top w:val="nil"/>
          <w:left w:val="nil"/>
          <w:bottom w:val="nil"/>
          <w:right w:val="nil"/>
          <w:between w:val="nil"/>
        </w:pBdr>
        <w:spacing w:after="0" w:line="240" w:lineRule="auto"/>
        <w:rPr>
          <w:rFonts w:ascii="Arial" w:eastAsia="Arial" w:hAnsi="Arial" w:cs="Arial"/>
          <w:color w:val="000000"/>
          <w:sz w:val="24"/>
          <w:szCs w:val="24"/>
        </w:rPr>
      </w:pPr>
    </w:p>
    <w:p w:rsidR="000B1282" w:rsidRDefault="002B74D2">
      <w:pPr>
        <w:spacing w:before="40" w:after="20"/>
        <w:ind w:left="567" w:right="616"/>
        <w:jc w:val="both"/>
        <w:rPr>
          <w:rFonts w:ascii="Arial" w:eastAsia="Arial" w:hAnsi="Arial" w:cs="Arial"/>
          <w:color w:val="211D1E"/>
          <w:sz w:val="24"/>
          <w:szCs w:val="24"/>
        </w:rPr>
      </w:pPr>
      <w:r>
        <w:rPr>
          <w:rFonts w:ascii="Arial" w:eastAsia="Arial" w:hAnsi="Arial" w:cs="Arial"/>
          <w:color w:val="211D1E"/>
          <w:sz w:val="24"/>
          <w:szCs w:val="24"/>
        </w:rPr>
        <w:lastRenderedPageBreak/>
        <w:t xml:space="preserve">En el caso de San Andrés la contraprestación por el uso y goce temporal y exclusivo de las zonas de uso público y por infraestructura se pagará al departamento por no existir municipio o distrito en dicha isla. </w:t>
      </w:r>
    </w:p>
    <w:p w:rsidR="000B1282" w:rsidRDefault="000B1282">
      <w:pPr>
        <w:spacing w:before="40" w:after="20"/>
        <w:ind w:left="567" w:right="616"/>
        <w:jc w:val="both"/>
        <w:rPr>
          <w:rFonts w:ascii="Arial" w:eastAsia="Arial" w:hAnsi="Arial" w:cs="Arial"/>
          <w:color w:val="211D1E"/>
          <w:sz w:val="24"/>
          <w:szCs w:val="24"/>
        </w:rPr>
      </w:pPr>
    </w:p>
    <w:p w:rsidR="000B1282" w:rsidRDefault="002B74D2">
      <w:pPr>
        <w:spacing w:before="40" w:after="20"/>
        <w:ind w:left="567" w:right="616"/>
        <w:jc w:val="both"/>
        <w:rPr>
          <w:rFonts w:ascii="Arial" w:eastAsia="Arial" w:hAnsi="Arial" w:cs="Arial"/>
          <w:color w:val="211D1E"/>
          <w:sz w:val="24"/>
          <w:szCs w:val="24"/>
        </w:rPr>
      </w:pPr>
      <w:r>
        <w:rPr>
          <w:rFonts w:ascii="Arial" w:eastAsia="Arial" w:hAnsi="Arial" w:cs="Arial"/>
          <w:b/>
          <w:color w:val="211D1E"/>
          <w:sz w:val="24"/>
          <w:szCs w:val="24"/>
        </w:rPr>
        <w:t xml:space="preserve">Parágrafo 1°. </w:t>
      </w:r>
      <w:r>
        <w:rPr>
          <w:rFonts w:ascii="Arial" w:eastAsia="Arial" w:hAnsi="Arial" w:cs="Arial"/>
          <w:color w:val="211D1E"/>
          <w:sz w:val="24"/>
          <w:szCs w:val="24"/>
        </w:rPr>
        <w:t xml:space="preserve">La contraprestación que reciba la Nación por concepto de zonas de uso público e infraestructura a través del Instituto Nacional de Vías, </w:t>
      </w:r>
      <w:proofErr w:type="spellStart"/>
      <w:r>
        <w:rPr>
          <w:rFonts w:ascii="Arial" w:eastAsia="Arial" w:hAnsi="Arial" w:cs="Arial"/>
          <w:color w:val="211D1E"/>
          <w:sz w:val="24"/>
          <w:szCs w:val="24"/>
        </w:rPr>
        <w:t>Invías</w:t>
      </w:r>
      <w:proofErr w:type="spellEnd"/>
      <w:r>
        <w:rPr>
          <w:rFonts w:ascii="Arial" w:eastAsia="Arial" w:hAnsi="Arial" w:cs="Arial"/>
          <w:color w:val="211D1E"/>
          <w:sz w:val="24"/>
          <w:szCs w:val="24"/>
        </w:rPr>
        <w:t xml:space="preserve">, o quien haga sus veces, se destinará únicamente a la ejecución de obras y mantenimiento para la protección de la zona costera, dragado de mantenimiento y/o profundización, construcción y/o mantenimiento de estructuras hidráulicas de los canales de acceso a todos los puertos a cargo de la Nación, para el diseño, construcción, ampliación, rehabilitación y mantenimiento de las vías de acceso terrestre, férrea, acuático y fluvial a los puertos del respectivo distrito o municipio portuario y a las obras de mitigación ambiental en el área de influencia tanto marítima como terrestre. </w:t>
      </w:r>
    </w:p>
    <w:p w:rsidR="000B1282" w:rsidRDefault="000B1282">
      <w:pPr>
        <w:spacing w:before="40" w:after="20"/>
        <w:ind w:left="567" w:right="616"/>
        <w:jc w:val="both"/>
        <w:rPr>
          <w:rFonts w:ascii="Arial" w:eastAsia="Arial" w:hAnsi="Arial" w:cs="Arial"/>
          <w:color w:val="211D1E"/>
          <w:sz w:val="24"/>
          <w:szCs w:val="24"/>
        </w:rPr>
      </w:pPr>
    </w:p>
    <w:p w:rsidR="000B1282" w:rsidRDefault="002B74D2">
      <w:pPr>
        <w:spacing w:before="40" w:after="20"/>
        <w:ind w:left="567" w:right="616"/>
        <w:jc w:val="both"/>
        <w:rPr>
          <w:rFonts w:ascii="Arial" w:eastAsia="Arial" w:hAnsi="Arial" w:cs="Arial"/>
          <w:color w:val="211D1E"/>
          <w:sz w:val="24"/>
          <w:szCs w:val="24"/>
        </w:rPr>
      </w:pPr>
      <w:r>
        <w:rPr>
          <w:rFonts w:ascii="Arial" w:eastAsia="Arial" w:hAnsi="Arial" w:cs="Arial"/>
          <w:color w:val="211D1E"/>
          <w:sz w:val="24"/>
          <w:szCs w:val="24"/>
        </w:rPr>
        <w:t>Para el caso del Distrito de Buenaventura, las contraprestaciones portuarias que reciba la nación a través de “INVIAS”, se invertirán únicamente en mantenimiento, dragado y profundización del canal de acceso al puerto.</w:t>
      </w:r>
    </w:p>
    <w:p w:rsidR="000B1282" w:rsidRDefault="000B1282">
      <w:pPr>
        <w:spacing w:before="40" w:after="20"/>
        <w:ind w:left="567" w:right="616"/>
        <w:jc w:val="both"/>
        <w:rPr>
          <w:rFonts w:ascii="Arial" w:eastAsia="Arial" w:hAnsi="Arial" w:cs="Arial"/>
          <w:color w:val="211D1E"/>
          <w:sz w:val="24"/>
          <w:szCs w:val="24"/>
        </w:rPr>
      </w:pPr>
    </w:p>
    <w:p w:rsidR="000B1282" w:rsidRDefault="002B74D2">
      <w:pPr>
        <w:spacing w:before="40" w:after="20"/>
        <w:ind w:left="567" w:right="616"/>
        <w:jc w:val="both"/>
        <w:rPr>
          <w:rFonts w:ascii="Arial" w:eastAsia="Arial" w:hAnsi="Arial" w:cs="Arial"/>
          <w:color w:val="211D1E"/>
          <w:sz w:val="24"/>
          <w:szCs w:val="24"/>
        </w:rPr>
      </w:pPr>
      <w:r>
        <w:rPr>
          <w:rFonts w:ascii="Arial" w:eastAsia="Arial" w:hAnsi="Arial" w:cs="Arial"/>
          <w:b/>
          <w:color w:val="211D1E"/>
          <w:sz w:val="24"/>
          <w:szCs w:val="24"/>
        </w:rPr>
        <w:t xml:space="preserve">Parágrafo 2°. </w:t>
      </w:r>
      <w:r>
        <w:rPr>
          <w:rFonts w:ascii="Arial" w:eastAsia="Arial" w:hAnsi="Arial" w:cs="Arial"/>
          <w:color w:val="211D1E"/>
          <w:sz w:val="24"/>
          <w:szCs w:val="24"/>
        </w:rPr>
        <w:t xml:space="preserve">El canal de acceso del Puerto de Barranquilla y sus obras complementarias estarán a cargo de la Nación, para lo cual podrán destinar los recursos a que se refiere el presente artículo en coordinación con la autoridad portuaria distrital, sin perjuicio de que otras entidades incluida Cormagdalena, concurran con financiación y realización de obras necesarias. </w:t>
      </w:r>
    </w:p>
    <w:p w:rsidR="000B1282" w:rsidRDefault="000B1282">
      <w:pPr>
        <w:spacing w:before="40" w:after="20"/>
        <w:ind w:left="567" w:right="616"/>
        <w:jc w:val="both"/>
        <w:rPr>
          <w:rFonts w:ascii="Arial" w:eastAsia="Arial" w:hAnsi="Arial" w:cs="Arial"/>
          <w:color w:val="211D1E"/>
          <w:sz w:val="24"/>
          <w:szCs w:val="24"/>
        </w:rPr>
      </w:pPr>
    </w:p>
    <w:p w:rsidR="000B1282" w:rsidRDefault="002B74D2">
      <w:pPr>
        <w:spacing w:before="40" w:after="20"/>
        <w:ind w:left="567" w:right="616"/>
        <w:jc w:val="both"/>
        <w:rPr>
          <w:rFonts w:ascii="Arial" w:eastAsia="Arial" w:hAnsi="Arial" w:cs="Arial"/>
          <w:color w:val="211D1E"/>
          <w:sz w:val="24"/>
          <w:szCs w:val="24"/>
        </w:rPr>
      </w:pPr>
      <w:r>
        <w:rPr>
          <w:rFonts w:ascii="Arial" w:eastAsia="Arial" w:hAnsi="Arial" w:cs="Arial"/>
          <w:b/>
          <w:color w:val="211D1E"/>
          <w:sz w:val="24"/>
          <w:szCs w:val="24"/>
        </w:rPr>
        <w:t xml:space="preserve">Parágrafo 3º. </w:t>
      </w:r>
      <w:r>
        <w:rPr>
          <w:rFonts w:ascii="Arial" w:eastAsia="Arial" w:hAnsi="Arial" w:cs="Arial"/>
          <w:color w:val="211D1E"/>
          <w:sz w:val="24"/>
          <w:szCs w:val="24"/>
        </w:rPr>
        <w:t xml:space="preserve">La ejecución de los recursos por percibir y los que se perciban por concepto de las contraprestaciones a que se refiere el presente artículo, a partir de la vigencia de la presente ley por cada puerto, se hará en una proporción igual al valor de la contraprestación aportada por cada puerto para financiar las actividades a que se refiere el parágrafo primero del presente artículo. </w:t>
      </w:r>
    </w:p>
    <w:p w:rsidR="000B1282" w:rsidRDefault="000B1282">
      <w:pPr>
        <w:spacing w:before="40" w:after="20"/>
        <w:ind w:left="567" w:right="616"/>
        <w:jc w:val="both"/>
        <w:rPr>
          <w:rFonts w:ascii="Arial" w:eastAsia="Arial" w:hAnsi="Arial" w:cs="Arial"/>
          <w:color w:val="211D1E"/>
          <w:sz w:val="24"/>
          <w:szCs w:val="24"/>
        </w:rPr>
      </w:pPr>
    </w:p>
    <w:p w:rsidR="000B1282" w:rsidRDefault="002B74D2">
      <w:pPr>
        <w:ind w:left="567" w:right="616"/>
        <w:jc w:val="both"/>
        <w:rPr>
          <w:rFonts w:ascii="Arial" w:eastAsia="Arial" w:hAnsi="Arial" w:cs="Arial"/>
          <w:color w:val="211D1E"/>
          <w:sz w:val="24"/>
          <w:szCs w:val="24"/>
        </w:rPr>
      </w:pPr>
      <w:r>
        <w:rPr>
          <w:rFonts w:ascii="Arial" w:eastAsia="Arial" w:hAnsi="Arial" w:cs="Arial"/>
          <w:b/>
          <w:color w:val="211D1E"/>
          <w:sz w:val="24"/>
          <w:szCs w:val="24"/>
        </w:rPr>
        <w:t xml:space="preserve">Parágrafo 4º. </w:t>
      </w:r>
      <w:r>
        <w:rPr>
          <w:rFonts w:ascii="Arial" w:eastAsia="Arial" w:hAnsi="Arial" w:cs="Arial"/>
          <w:color w:val="211D1E"/>
          <w:sz w:val="24"/>
          <w:szCs w:val="24"/>
        </w:rPr>
        <w:t xml:space="preserve">El Canal de acceso al puerto de Cartagena, incluido el Canal del Dique, podrá invertir la contraprestación que reciba la Nación por concepto de zonas de uso público e infraestructuras en obras complementarias y de mitigación del impacto ambiental, de acuerdo </w:t>
      </w:r>
      <w:r>
        <w:rPr>
          <w:rFonts w:ascii="Arial" w:eastAsia="Arial" w:hAnsi="Arial" w:cs="Arial"/>
          <w:color w:val="211D1E"/>
          <w:sz w:val="24"/>
          <w:szCs w:val="24"/>
        </w:rPr>
        <w:lastRenderedPageBreak/>
        <w:t xml:space="preserve">con lo previsto en el parágrafo primero del presente artículo, siempre en coordinación con la autoridad portuaria. </w:t>
      </w:r>
    </w:p>
    <w:p w:rsidR="000B1282" w:rsidRDefault="002B74D2">
      <w:pPr>
        <w:ind w:left="567" w:right="616"/>
        <w:jc w:val="both"/>
        <w:rPr>
          <w:rFonts w:ascii="Arial" w:eastAsia="Arial" w:hAnsi="Arial" w:cs="Arial"/>
          <w:i/>
          <w:color w:val="211D1E"/>
          <w:sz w:val="24"/>
          <w:szCs w:val="24"/>
        </w:rPr>
      </w:pPr>
      <w:r>
        <w:rPr>
          <w:rFonts w:ascii="Arial" w:eastAsia="Arial" w:hAnsi="Arial" w:cs="Arial"/>
          <w:b/>
          <w:color w:val="211D1E"/>
          <w:sz w:val="24"/>
          <w:szCs w:val="24"/>
        </w:rPr>
        <w:t xml:space="preserve">Parágrafo transitorio. </w:t>
      </w:r>
      <w:r>
        <w:rPr>
          <w:rFonts w:ascii="Arial" w:eastAsia="Arial" w:hAnsi="Arial" w:cs="Arial"/>
          <w:color w:val="211D1E"/>
          <w:sz w:val="24"/>
          <w:szCs w:val="24"/>
        </w:rPr>
        <w:t xml:space="preserve">Las contraprestaciones que </w:t>
      </w:r>
      <w:proofErr w:type="spellStart"/>
      <w:r>
        <w:rPr>
          <w:rFonts w:ascii="Arial" w:eastAsia="Arial" w:hAnsi="Arial" w:cs="Arial"/>
          <w:color w:val="211D1E"/>
          <w:sz w:val="24"/>
          <w:szCs w:val="24"/>
        </w:rPr>
        <w:t>Invías</w:t>
      </w:r>
      <w:proofErr w:type="spellEnd"/>
      <w:r>
        <w:rPr>
          <w:rFonts w:ascii="Arial" w:eastAsia="Arial" w:hAnsi="Arial" w:cs="Arial"/>
          <w:color w:val="211D1E"/>
          <w:sz w:val="24"/>
          <w:szCs w:val="24"/>
        </w:rPr>
        <w:t xml:space="preserve"> y los municipios o distritos tengan comprometidas hasta la entrada en vigencia de la presente ley continuaran siendo recibidas por la entidad beneficiaria de la contraprestación hasta su ejecución</w:t>
      </w:r>
      <w:r>
        <w:rPr>
          <w:rFonts w:ascii="Arial" w:eastAsia="Arial" w:hAnsi="Arial" w:cs="Arial"/>
          <w:i/>
          <w:color w:val="211D1E"/>
          <w:sz w:val="24"/>
          <w:szCs w:val="24"/>
        </w:rPr>
        <w:t xml:space="preserve">.” </w:t>
      </w:r>
    </w:p>
    <w:p w:rsidR="000B1282" w:rsidRDefault="000B1282">
      <w:pPr>
        <w:pBdr>
          <w:top w:val="nil"/>
          <w:left w:val="nil"/>
          <w:bottom w:val="nil"/>
          <w:right w:val="nil"/>
          <w:between w:val="nil"/>
        </w:pBdr>
        <w:spacing w:before="40" w:after="20" w:line="240" w:lineRule="auto"/>
        <w:ind w:right="616"/>
        <w:jc w:val="both"/>
        <w:rPr>
          <w:rFonts w:ascii="Arial" w:eastAsia="Arial" w:hAnsi="Arial" w:cs="Arial"/>
          <w:b/>
          <w:color w:val="211D1E"/>
          <w:sz w:val="24"/>
          <w:szCs w:val="24"/>
        </w:rPr>
      </w:pPr>
    </w:p>
    <w:p w:rsidR="000B1282" w:rsidRDefault="002B74D2">
      <w:pPr>
        <w:pBdr>
          <w:top w:val="nil"/>
          <w:left w:val="nil"/>
          <w:bottom w:val="nil"/>
          <w:right w:val="nil"/>
          <w:between w:val="nil"/>
        </w:pBdr>
        <w:spacing w:before="40" w:after="20" w:line="240" w:lineRule="auto"/>
        <w:ind w:right="616"/>
        <w:jc w:val="both"/>
        <w:rPr>
          <w:rFonts w:ascii="Arial" w:eastAsia="Arial" w:hAnsi="Arial" w:cs="Arial"/>
          <w:color w:val="211D1E"/>
          <w:sz w:val="24"/>
          <w:szCs w:val="24"/>
        </w:rPr>
      </w:pPr>
      <w:r>
        <w:rPr>
          <w:rFonts w:ascii="Arial" w:eastAsia="Arial" w:hAnsi="Arial" w:cs="Arial"/>
          <w:b/>
          <w:color w:val="211D1E"/>
          <w:sz w:val="24"/>
          <w:szCs w:val="24"/>
        </w:rPr>
        <w:t>Artículo 3°.</w:t>
      </w:r>
      <w:r>
        <w:rPr>
          <w:rFonts w:ascii="Arial" w:eastAsia="Arial" w:hAnsi="Arial" w:cs="Arial"/>
          <w:b/>
          <w:i/>
          <w:color w:val="211D1E"/>
          <w:sz w:val="24"/>
          <w:szCs w:val="24"/>
        </w:rPr>
        <w:t xml:space="preserve"> </w:t>
      </w:r>
      <w:r>
        <w:rPr>
          <w:rFonts w:ascii="Arial" w:eastAsia="Arial" w:hAnsi="Arial" w:cs="Arial"/>
          <w:b/>
          <w:color w:val="211D1E"/>
          <w:sz w:val="24"/>
          <w:szCs w:val="24"/>
        </w:rPr>
        <w:t xml:space="preserve">Vigencia y derogatoria. </w:t>
      </w:r>
      <w:r>
        <w:rPr>
          <w:rFonts w:ascii="Arial" w:eastAsia="Arial" w:hAnsi="Arial" w:cs="Arial"/>
          <w:color w:val="211D1E"/>
          <w:sz w:val="24"/>
          <w:szCs w:val="24"/>
        </w:rPr>
        <w:t>La presente ley rige a partir de la fecha de su publicación previa sanción, y deroga las leyes contrarias.</w:t>
      </w:r>
    </w:p>
    <w:p w:rsidR="000B1282" w:rsidRDefault="000B1282">
      <w:pPr>
        <w:spacing w:after="0" w:line="360" w:lineRule="auto"/>
        <w:jc w:val="both"/>
        <w:rPr>
          <w:rFonts w:ascii="Arial" w:eastAsia="Arial" w:hAnsi="Arial" w:cs="Arial"/>
          <w:b/>
          <w:color w:val="211D1E"/>
          <w:sz w:val="24"/>
          <w:szCs w:val="24"/>
        </w:rPr>
      </w:pPr>
    </w:p>
    <w:p w:rsidR="000B1282" w:rsidRDefault="002B74D2">
      <w:pPr>
        <w:spacing w:after="0" w:line="360" w:lineRule="auto"/>
        <w:jc w:val="both"/>
        <w:rPr>
          <w:rFonts w:ascii="Arial" w:eastAsia="Arial" w:hAnsi="Arial" w:cs="Arial"/>
          <w:sz w:val="24"/>
          <w:szCs w:val="24"/>
        </w:rPr>
      </w:pPr>
      <w:r>
        <w:rPr>
          <w:rFonts w:ascii="Arial" w:eastAsia="Arial" w:hAnsi="Arial" w:cs="Arial"/>
          <w:sz w:val="24"/>
          <w:szCs w:val="24"/>
        </w:rPr>
        <w:t>De los Honorables Representantes,</w:t>
      </w:r>
    </w:p>
    <w:p w:rsidR="002C0852" w:rsidRDefault="002C0852">
      <w:pPr>
        <w:spacing w:after="0" w:line="360" w:lineRule="auto"/>
        <w:jc w:val="both"/>
        <w:rPr>
          <w:rFonts w:ascii="Arial" w:eastAsia="Arial" w:hAnsi="Arial" w:cs="Arial"/>
          <w:sz w:val="24"/>
          <w:szCs w:val="24"/>
        </w:rPr>
      </w:pPr>
    </w:p>
    <w:tbl>
      <w:tblPr>
        <w:tblStyle w:val="a0"/>
        <w:tblW w:w="8828" w:type="dxa"/>
        <w:tblInd w:w="5" w:type="dxa"/>
        <w:tblLayout w:type="fixed"/>
        <w:tblLook w:val="04A0" w:firstRow="1" w:lastRow="0" w:firstColumn="1" w:lastColumn="0" w:noHBand="0" w:noVBand="1"/>
      </w:tblPr>
      <w:tblGrid>
        <w:gridCol w:w="4414"/>
        <w:gridCol w:w="4414"/>
      </w:tblGrid>
      <w:tr w:rsidR="002C0852" w:rsidTr="002C0852">
        <w:tc>
          <w:tcPr>
            <w:tcW w:w="4414" w:type="dxa"/>
          </w:tcPr>
          <w:p w:rsidR="002C0852" w:rsidRDefault="002C0852" w:rsidP="003D3CF1">
            <w:pPr>
              <w:jc w:val="both"/>
              <w:rPr>
                <w:rFonts w:ascii="Arial" w:eastAsia="Arial" w:hAnsi="Arial" w:cs="Arial"/>
                <w:sz w:val="24"/>
                <w:szCs w:val="24"/>
              </w:rPr>
            </w:pPr>
          </w:p>
          <w:p w:rsidR="002C0852" w:rsidRDefault="002C0852" w:rsidP="003D3CF1">
            <w:pPr>
              <w:jc w:val="both"/>
              <w:rPr>
                <w:rFonts w:ascii="Arial" w:eastAsia="Arial" w:hAnsi="Arial" w:cs="Arial"/>
                <w:sz w:val="24"/>
                <w:szCs w:val="24"/>
              </w:rPr>
            </w:pPr>
          </w:p>
          <w:p w:rsidR="002C0852" w:rsidRDefault="002C0852" w:rsidP="003D3CF1">
            <w:pPr>
              <w:jc w:val="both"/>
              <w:rPr>
                <w:rFonts w:ascii="Arial" w:eastAsia="Arial" w:hAnsi="Arial" w:cs="Arial"/>
                <w:b/>
                <w:sz w:val="24"/>
                <w:szCs w:val="24"/>
              </w:rPr>
            </w:pPr>
            <w:r>
              <w:rPr>
                <w:rFonts w:ascii="Arial" w:eastAsia="Arial" w:hAnsi="Arial" w:cs="Arial"/>
                <w:sz w:val="24"/>
                <w:szCs w:val="24"/>
              </w:rPr>
              <w:t>___________________________</w:t>
            </w:r>
            <w:r>
              <w:rPr>
                <w:rFonts w:ascii="Arial" w:eastAsia="Arial" w:hAnsi="Arial" w:cs="Arial"/>
                <w:b/>
                <w:sz w:val="24"/>
                <w:szCs w:val="24"/>
              </w:rPr>
              <w:br/>
              <w:t>LEÓN FREDY MUÑOZ LOPERA</w:t>
            </w:r>
          </w:p>
          <w:p w:rsidR="002C0852" w:rsidRDefault="002C0852" w:rsidP="003D3CF1">
            <w:pPr>
              <w:jc w:val="both"/>
              <w:rPr>
                <w:rFonts w:ascii="Arial" w:eastAsia="Arial" w:hAnsi="Arial" w:cs="Arial"/>
                <w:sz w:val="24"/>
                <w:szCs w:val="24"/>
              </w:rPr>
            </w:pPr>
            <w:r>
              <w:rPr>
                <w:rFonts w:ascii="Arial" w:eastAsia="Arial" w:hAnsi="Arial" w:cs="Arial"/>
                <w:sz w:val="24"/>
                <w:szCs w:val="24"/>
              </w:rPr>
              <w:t xml:space="preserve">Representante a la Cámara </w:t>
            </w:r>
          </w:p>
          <w:p w:rsidR="002C0852" w:rsidRDefault="002C0852" w:rsidP="003D3CF1">
            <w:pPr>
              <w:jc w:val="both"/>
              <w:rPr>
                <w:rFonts w:ascii="Arial" w:eastAsia="Arial" w:hAnsi="Arial" w:cs="Arial"/>
                <w:sz w:val="24"/>
                <w:szCs w:val="24"/>
              </w:rPr>
            </w:pPr>
            <w:r>
              <w:rPr>
                <w:rFonts w:ascii="Arial" w:eastAsia="Arial" w:hAnsi="Arial" w:cs="Arial"/>
                <w:sz w:val="24"/>
                <w:szCs w:val="24"/>
              </w:rPr>
              <w:t xml:space="preserve">Partido Alianza Verde </w:t>
            </w:r>
          </w:p>
        </w:tc>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1EA24C6" wp14:editId="6E91BC88">
                  <wp:extent cx="2667000" cy="812800"/>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67000" cy="812800"/>
                          </a:xfrm>
                          <a:prstGeom prst="rect">
                            <a:avLst/>
                          </a:prstGeom>
                          <a:ln/>
                        </pic:spPr>
                      </pic:pic>
                    </a:graphicData>
                  </a:graphic>
                </wp:inline>
              </w:drawing>
            </w:r>
          </w:p>
        </w:tc>
      </w:tr>
      <w:tr w:rsidR="002C0852" w:rsidTr="002C0852">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7FAB03B" wp14:editId="1747A6F8">
                  <wp:extent cx="1828800" cy="781050"/>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28800" cy="781050"/>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MARÍA JOSÉ PIZARRO RODRÍGUEZ</w:t>
            </w:r>
          </w:p>
          <w:p w:rsidR="002C0852" w:rsidRDefault="002C0852" w:rsidP="003D3CF1">
            <w:pPr>
              <w:jc w:val="both"/>
              <w:rPr>
                <w:rFonts w:ascii="Arial" w:eastAsia="Arial" w:hAnsi="Arial" w:cs="Arial"/>
                <w:sz w:val="24"/>
                <w:szCs w:val="24"/>
              </w:rPr>
            </w:pPr>
            <w:r>
              <w:rPr>
                <w:rFonts w:ascii="Arial" w:eastAsia="Arial" w:hAnsi="Arial" w:cs="Arial"/>
                <w:sz w:val="24"/>
                <w:szCs w:val="24"/>
              </w:rPr>
              <w:t>Representante a la Cámara</w:t>
            </w:r>
          </w:p>
          <w:p w:rsidR="002C0852" w:rsidRDefault="002C0852" w:rsidP="003D3CF1">
            <w:pPr>
              <w:jc w:val="both"/>
              <w:rPr>
                <w:rFonts w:ascii="Arial" w:eastAsia="Arial" w:hAnsi="Arial" w:cs="Arial"/>
                <w:b/>
                <w:sz w:val="24"/>
                <w:szCs w:val="24"/>
              </w:rPr>
            </w:pPr>
            <w:r>
              <w:rPr>
                <w:rFonts w:ascii="Arial" w:eastAsia="Arial" w:hAnsi="Arial" w:cs="Arial"/>
                <w:sz w:val="24"/>
                <w:szCs w:val="24"/>
              </w:rPr>
              <w:t>Coalición Decentes</w:t>
            </w:r>
          </w:p>
        </w:tc>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32DD4246" wp14:editId="6D444A86">
                  <wp:extent cx="991553" cy="544145"/>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991553" cy="544145"/>
                          </a:xfrm>
                          <a:prstGeom prst="rect">
                            <a:avLst/>
                          </a:prstGeom>
                          <a:ln/>
                        </pic:spPr>
                      </pic:pic>
                    </a:graphicData>
                  </a:graphic>
                </wp:inline>
              </w:drawing>
            </w:r>
          </w:p>
          <w:p w:rsidR="002C0852" w:rsidRDefault="002C0852" w:rsidP="003D3CF1">
            <w:pPr>
              <w:jc w:val="both"/>
              <w:rPr>
                <w:rFonts w:ascii="Arial" w:eastAsia="Arial" w:hAnsi="Arial" w:cs="Arial"/>
                <w:b/>
                <w:sz w:val="14"/>
                <w:szCs w:val="14"/>
              </w:rPr>
            </w:pPr>
          </w:p>
          <w:p w:rsidR="002C0852" w:rsidRDefault="002C0852" w:rsidP="003D3CF1">
            <w:pPr>
              <w:jc w:val="both"/>
              <w:rPr>
                <w:rFonts w:ascii="Arial" w:eastAsia="Arial" w:hAnsi="Arial" w:cs="Arial"/>
                <w:b/>
                <w:sz w:val="24"/>
                <w:szCs w:val="24"/>
              </w:rPr>
            </w:pPr>
            <w:r>
              <w:rPr>
                <w:rFonts w:ascii="Arial" w:eastAsia="Arial" w:hAnsi="Arial" w:cs="Arial"/>
                <w:b/>
                <w:sz w:val="24"/>
                <w:szCs w:val="24"/>
              </w:rPr>
              <w:t>JULIÁN GALLO CUBILLOS</w:t>
            </w:r>
          </w:p>
          <w:p w:rsidR="002C0852" w:rsidRDefault="002C0852" w:rsidP="003D3CF1">
            <w:pPr>
              <w:jc w:val="both"/>
              <w:rPr>
                <w:rFonts w:ascii="Arial" w:eastAsia="Arial" w:hAnsi="Arial" w:cs="Arial"/>
                <w:b/>
                <w:sz w:val="24"/>
                <w:szCs w:val="24"/>
              </w:rPr>
            </w:pPr>
            <w:r>
              <w:rPr>
                <w:rFonts w:ascii="Arial" w:eastAsia="Arial" w:hAnsi="Arial" w:cs="Arial"/>
                <w:b/>
                <w:sz w:val="24"/>
                <w:szCs w:val="24"/>
              </w:rPr>
              <w:t>Senador de la República</w:t>
            </w:r>
          </w:p>
          <w:p w:rsidR="002C0852" w:rsidRDefault="002C0852" w:rsidP="003D3CF1">
            <w:pPr>
              <w:jc w:val="both"/>
              <w:rPr>
                <w:rFonts w:ascii="Arial" w:eastAsia="Arial" w:hAnsi="Arial" w:cs="Arial"/>
                <w:b/>
                <w:sz w:val="28"/>
                <w:szCs w:val="28"/>
              </w:rPr>
            </w:pPr>
            <w:r>
              <w:rPr>
                <w:rFonts w:ascii="Arial" w:eastAsia="Arial" w:hAnsi="Arial" w:cs="Arial"/>
                <w:b/>
                <w:sz w:val="28"/>
                <w:szCs w:val="28"/>
              </w:rPr>
              <w:t>Partido Comunes</w:t>
            </w:r>
          </w:p>
        </w:tc>
      </w:tr>
      <w:tr w:rsidR="002C0852" w:rsidTr="002C0852">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FEBE160" wp14:editId="473212E4">
                  <wp:extent cx="2048828" cy="317296"/>
                  <wp:effectExtent l="0" t="0" r="0" b="0"/>
                  <wp:docPr id="3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048828" cy="317296"/>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Luis Alberto Albán Urbano</w:t>
            </w:r>
          </w:p>
          <w:p w:rsidR="002C0852" w:rsidRDefault="002C0852" w:rsidP="003D3CF1">
            <w:pPr>
              <w:jc w:val="both"/>
              <w:rPr>
                <w:rFonts w:ascii="Arial" w:eastAsia="Arial" w:hAnsi="Arial" w:cs="Arial"/>
                <w:b/>
                <w:sz w:val="24"/>
                <w:szCs w:val="24"/>
              </w:rPr>
            </w:pPr>
            <w:r>
              <w:rPr>
                <w:rFonts w:ascii="Arial" w:eastAsia="Arial" w:hAnsi="Arial" w:cs="Arial"/>
                <w:b/>
                <w:sz w:val="24"/>
                <w:szCs w:val="24"/>
              </w:rPr>
              <w:t>Representante a la Cámara</w:t>
            </w:r>
          </w:p>
          <w:p w:rsidR="002C0852" w:rsidRDefault="002C0852" w:rsidP="003D3CF1">
            <w:pPr>
              <w:jc w:val="both"/>
              <w:rPr>
                <w:rFonts w:ascii="Arial" w:eastAsia="Arial" w:hAnsi="Arial" w:cs="Arial"/>
                <w:b/>
                <w:sz w:val="24"/>
                <w:szCs w:val="24"/>
              </w:rPr>
            </w:pPr>
            <w:r>
              <w:rPr>
                <w:rFonts w:ascii="Arial" w:eastAsia="Arial" w:hAnsi="Arial" w:cs="Arial"/>
                <w:b/>
                <w:sz w:val="24"/>
                <w:szCs w:val="24"/>
              </w:rPr>
              <w:t>Partido Comunes</w:t>
            </w: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tc>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70B87C6" wp14:editId="406493B1">
                  <wp:extent cx="2562225" cy="1200150"/>
                  <wp:effectExtent l="0" t="0" r="0" b="0"/>
                  <wp:docPr id="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562225" cy="1200150"/>
                          </a:xfrm>
                          <a:prstGeom prst="rect">
                            <a:avLst/>
                          </a:prstGeom>
                          <a:ln/>
                        </pic:spPr>
                      </pic:pic>
                    </a:graphicData>
                  </a:graphic>
                </wp:inline>
              </w:drawing>
            </w:r>
          </w:p>
        </w:tc>
      </w:tr>
      <w:tr w:rsidR="002C0852" w:rsidTr="002C0852">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D82C231" wp14:editId="4C60CA49">
                  <wp:extent cx="1439228" cy="533400"/>
                  <wp:effectExtent l="0" t="0" r="0" b="0"/>
                  <wp:docPr id="36"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3"/>
                          <a:srcRect/>
                          <a:stretch>
                            <a:fillRect/>
                          </a:stretch>
                        </pic:blipFill>
                        <pic:spPr>
                          <a:xfrm>
                            <a:off x="0" y="0"/>
                            <a:ext cx="1439228" cy="533400"/>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EDWIN FABIAN ORDUZ DIAZ</w:t>
            </w:r>
          </w:p>
          <w:p w:rsidR="002C0852" w:rsidRDefault="002C0852" w:rsidP="003D3CF1">
            <w:pPr>
              <w:jc w:val="both"/>
              <w:rPr>
                <w:rFonts w:ascii="Arial" w:eastAsia="Arial" w:hAnsi="Arial" w:cs="Arial"/>
                <w:b/>
                <w:sz w:val="24"/>
                <w:szCs w:val="24"/>
              </w:rPr>
            </w:pPr>
            <w:r>
              <w:rPr>
                <w:rFonts w:ascii="Arial" w:eastAsia="Arial" w:hAnsi="Arial" w:cs="Arial"/>
                <w:b/>
                <w:sz w:val="24"/>
                <w:szCs w:val="24"/>
              </w:rPr>
              <w:t>Representante a la Cámara</w:t>
            </w:r>
          </w:p>
          <w:p w:rsidR="002C0852" w:rsidRDefault="002C0852" w:rsidP="003D3CF1">
            <w:pPr>
              <w:jc w:val="both"/>
              <w:rPr>
                <w:rFonts w:ascii="Arial" w:eastAsia="Arial" w:hAnsi="Arial" w:cs="Arial"/>
                <w:b/>
                <w:sz w:val="24"/>
                <w:szCs w:val="24"/>
              </w:rPr>
            </w:pPr>
          </w:p>
        </w:tc>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383D2F5B" wp14:editId="1E4E91EC">
                  <wp:extent cx="1858328" cy="504825"/>
                  <wp:effectExtent l="0" t="0" r="0" b="0"/>
                  <wp:docPr id="3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1858328" cy="504825"/>
                          </a:xfrm>
                          <a:prstGeom prst="rect">
                            <a:avLst/>
                          </a:prstGeom>
                          <a:ln/>
                        </pic:spPr>
                      </pic:pic>
                    </a:graphicData>
                  </a:graphic>
                </wp:inline>
              </w:drawing>
            </w:r>
            <w:r>
              <w:rPr>
                <w:rFonts w:ascii="Arial" w:eastAsia="Arial" w:hAnsi="Arial" w:cs="Arial"/>
                <w:b/>
                <w:sz w:val="24"/>
                <w:szCs w:val="24"/>
              </w:rPr>
              <w:br/>
              <w:t>AIDA AVELLA ESQUIVEL</w:t>
            </w:r>
            <w:r>
              <w:rPr>
                <w:rFonts w:ascii="Arial" w:eastAsia="Arial" w:hAnsi="Arial" w:cs="Arial"/>
                <w:b/>
                <w:sz w:val="24"/>
                <w:szCs w:val="24"/>
              </w:rPr>
              <w:br/>
              <w:t>Senadora de la República</w:t>
            </w:r>
            <w:r>
              <w:rPr>
                <w:rFonts w:ascii="Arial" w:eastAsia="Arial" w:hAnsi="Arial" w:cs="Arial"/>
                <w:b/>
                <w:sz w:val="24"/>
                <w:szCs w:val="24"/>
              </w:rPr>
              <w:br/>
              <w:t>Coalición Decentes-Unión Patriótica</w:t>
            </w:r>
          </w:p>
        </w:tc>
      </w:tr>
      <w:tr w:rsidR="002C0852" w:rsidTr="002C0852">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lastRenderedPageBreak/>
              <w:drawing>
                <wp:inline distT="114300" distB="114300" distL="114300" distR="114300" wp14:anchorId="4740D8BC" wp14:editId="1DC78183">
                  <wp:extent cx="2020253" cy="642152"/>
                  <wp:effectExtent l="0" t="0" r="0" b="0"/>
                  <wp:docPr id="3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2020253" cy="642152"/>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JAIRO REINALDO CALA SUÁREZ</w:t>
            </w:r>
          </w:p>
          <w:p w:rsidR="002C0852" w:rsidRDefault="002C0852" w:rsidP="003D3CF1">
            <w:pPr>
              <w:jc w:val="both"/>
              <w:rPr>
                <w:rFonts w:ascii="Arial" w:eastAsia="Arial" w:hAnsi="Arial" w:cs="Arial"/>
                <w:b/>
                <w:sz w:val="24"/>
                <w:szCs w:val="24"/>
              </w:rPr>
            </w:pPr>
            <w:r>
              <w:rPr>
                <w:rFonts w:ascii="Arial" w:eastAsia="Arial" w:hAnsi="Arial" w:cs="Arial"/>
                <w:b/>
                <w:sz w:val="24"/>
                <w:szCs w:val="24"/>
              </w:rPr>
              <w:t>Representante a la Cámara</w:t>
            </w:r>
          </w:p>
          <w:p w:rsidR="002C0852" w:rsidRDefault="002C0852" w:rsidP="003D3CF1">
            <w:pPr>
              <w:jc w:val="both"/>
              <w:rPr>
                <w:rFonts w:ascii="Arial" w:eastAsia="Arial" w:hAnsi="Arial" w:cs="Arial"/>
                <w:b/>
                <w:sz w:val="24"/>
                <w:szCs w:val="24"/>
              </w:rPr>
            </w:pPr>
            <w:r>
              <w:rPr>
                <w:rFonts w:ascii="Arial" w:eastAsia="Arial" w:hAnsi="Arial" w:cs="Arial"/>
                <w:b/>
                <w:sz w:val="24"/>
                <w:szCs w:val="24"/>
              </w:rPr>
              <w:t>Partido COMUNES</w:t>
            </w:r>
          </w:p>
          <w:p w:rsidR="002C0852" w:rsidRDefault="002C0852" w:rsidP="003D3CF1">
            <w:pPr>
              <w:jc w:val="both"/>
              <w:rPr>
                <w:rFonts w:ascii="Arial" w:eastAsia="Arial" w:hAnsi="Arial" w:cs="Arial"/>
                <w:b/>
                <w:sz w:val="24"/>
                <w:szCs w:val="24"/>
              </w:rPr>
            </w:pPr>
          </w:p>
        </w:tc>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lastRenderedPageBreak/>
              <w:drawing>
                <wp:inline distT="114300" distB="114300" distL="114300" distR="114300" wp14:anchorId="09C03092" wp14:editId="2D140A70">
                  <wp:extent cx="1563053" cy="1211366"/>
                  <wp:effectExtent l="0" t="0" r="0" b="0"/>
                  <wp:docPr id="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1563053" cy="1211366"/>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ANTONIO SANGUINO PÁEZ</w:t>
            </w:r>
          </w:p>
          <w:p w:rsidR="002C0852" w:rsidRDefault="002C0852" w:rsidP="003D3CF1">
            <w:pPr>
              <w:jc w:val="both"/>
              <w:rPr>
                <w:rFonts w:ascii="Arial" w:eastAsia="Arial" w:hAnsi="Arial" w:cs="Arial"/>
                <w:b/>
                <w:sz w:val="24"/>
                <w:szCs w:val="24"/>
              </w:rPr>
            </w:pPr>
            <w:r>
              <w:rPr>
                <w:rFonts w:ascii="Arial" w:eastAsia="Arial" w:hAnsi="Arial" w:cs="Arial"/>
                <w:b/>
                <w:sz w:val="24"/>
                <w:szCs w:val="24"/>
              </w:rPr>
              <w:t xml:space="preserve">Senador de la </w:t>
            </w:r>
            <w:proofErr w:type="spellStart"/>
            <w:r>
              <w:rPr>
                <w:rFonts w:ascii="Arial" w:eastAsia="Arial" w:hAnsi="Arial" w:cs="Arial"/>
                <w:b/>
                <w:sz w:val="24"/>
                <w:szCs w:val="24"/>
              </w:rPr>
              <w:t>Repùblica</w:t>
            </w:r>
            <w:proofErr w:type="spellEnd"/>
          </w:p>
          <w:p w:rsidR="002C0852" w:rsidRDefault="002C0852" w:rsidP="003D3CF1">
            <w:pPr>
              <w:jc w:val="both"/>
              <w:rPr>
                <w:rFonts w:ascii="Arial" w:eastAsia="Arial" w:hAnsi="Arial" w:cs="Arial"/>
                <w:b/>
                <w:sz w:val="24"/>
                <w:szCs w:val="24"/>
              </w:rPr>
            </w:pPr>
            <w:r>
              <w:rPr>
                <w:rFonts w:ascii="Arial" w:eastAsia="Arial" w:hAnsi="Arial" w:cs="Arial"/>
                <w:b/>
                <w:sz w:val="24"/>
                <w:szCs w:val="24"/>
              </w:rPr>
              <w:t>Partido Alianza Verde</w:t>
            </w:r>
          </w:p>
        </w:tc>
      </w:tr>
      <w:tr w:rsidR="002C0852" w:rsidTr="002C0852">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lastRenderedPageBreak/>
              <w:drawing>
                <wp:inline distT="114300" distB="114300" distL="114300" distR="114300" wp14:anchorId="74E12368" wp14:editId="7C1839E0">
                  <wp:extent cx="1686878" cy="1110018"/>
                  <wp:effectExtent l="0" t="0" r="0" b="0"/>
                  <wp:docPr id="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1686878" cy="1110018"/>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sz w:val="24"/>
                <w:szCs w:val="24"/>
              </w:rPr>
              <w:t>WILMER LEAL PÉREZ</w:t>
            </w:r>
          </w:p>
          <w:p w:rsidR="002C0852" w:rsidRDefault="002C0852" w:rsidP="003D3CF1">
            <w:pPr>
              <w:jc w:val="both"/>
              <w:rPr>
                <w:rFonts w:ascii="Arial" w:eastAsia="Arial" w:hAnsi="Arial" w:cs="Arial"/>
                <w:sz w:val="24"/>
                <w:szCs w:val="24"/>
              </w:rPr>
            </w:pPr>
            <w:r>
              <w:rPr>
                <w:rFonts w:ascii="Arial" w:eastAsia="Arial" w:hAnsi="Arial" w:cs="Arial"/>
                <w:sz w:val="24"/>
                <w:szCs w:val="24"/>
              </w:rPr>
              <w:t>Representante a la Cámara</w:t>
            </w:r>
          </w:p>
          <w:p w:rsidR="002C0852" w:rsidRDefault="002C0852" w:rsidP="003D3CF1">
            <w:pPr>
              <w:jc w:val="both"/>
              <w:rPr>
                <w:rFonts w:ascii="Arial" w:eastAsia="Arial" w:hAnsi="Arial" w:cs="Arial"/>
                <w:sz w:val="24"/>
                <w:szCs w:val="24"/>
              </w:rPr>
            </w:pPr>
            <w:r>
              <w:rPr>
                <w:rFonts w:ascii="Arial" w:eastAsia="Arial" w:hAnsi="Arial" w:cs="Arial"/>
                <w:sz w:val="24"/>
                <w:szCs w:val="24"/>
              </w:rPr>
              <w:t>Partido Alianza Verde</w:t>
            </w:r>
          </w:p>
        </w:tc>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8713232" wp14:editId="399F90B1">
                  <wp:extent cx="2667000" cy="622300"/>
                  <wp:effectExtent l="0" t="0" r="0" b="0"/>
                  <wp:docPr id="4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2667000" cy="622300"/>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sz w:val="24"/>
                <w:szCs w:val="24"/>
              </w:rPr>
              <w:t>OMAR DE JESUS RESTREPO CORREA</w:t>
            </w:r>
          </w:p>
          <w:p w:rsidR="002C0852" w:rsidRDefault="002C0852" w:rsidP="003D3CF1">
            <w:pPr>
              <w:jc w:val="both"/>
              <w:rPr>
                <w:rFonts w:ascii="Arial" w:eastAsia="Arial" w:hAnsi="Arial" w:cs="Arial"/>
                <w:sz w:val="24"/>
                <w:szCs w:val="24"/>
              </w:rPr>
            </w:pPr>
            <w:r>
              <w:rPr>
                <w:rFonts w:ascii="Arial" w:eastAsia="Arial" w:hAnsi="Arial" w:cs="Arial"/>
                <w:sz w:val="24"/>
                <w:szCs w:val="24"/>
              </w:rPr>
              <w:t>Representante a la Cámara</w:t>
            </w:r>
          </w:p>
          <w:p w:rsidR="002C0852" w:rsidRDefault="002C0852" w:rsidP="003D3CF1">
            <w:pPr>
              <w:jc w:val="both"/>
              <w:rPr>
                <w:rFonts w:ascii="Arial" w:eastAsia="Arial" w:hAnsi="Arial" w:cs="Arial"/>
                <w:sz w:val="24"/>
                <w:szCs w:val="24"/>
              </w:rPr>
            </w:pPr>
            <w:r>
              <w:rPr>
                <w:rFonts w:ascii="Arial" w:eastAsia="Arial" w:hAnsi="Arial" w:cs="Arial"/>
                <w:sz w:val="24"/>
                <w:szCs w:val="24"/>
              </w:rPr>
              <w:t>Partido Comunes</w:t>
            </w:r>
          </w:p>
        </w:tc>
      </w:tr>
      <w:tr w:rsidR="002C0852" w:rsidTr="002C0852">
        <w:tc>
          <w:tcPr>
            <w:tcW w:w="4414" w:type="dxa"/>
          </w:tcPr>
          <w:p w:rsidR="002C0852" w:rsidRDefault="002C0852" w:rsidP="003D3CF1">
            <w:pPr>
              <w:jc w:val="both"/>
              <w:rPr>
                <w:rFonts w:ascii="Arial" w:eastAsia="Arial" w:hAnsi="Arial" w:cs="Arial"/>
                <w:b/>
                <w:sz w:val="24"/>
                <w:szCs w:val="24"/>
              </w:rPr>
            </w:pPr>
            <w:r>
              <w:rPr>
                <w:rFonts w:ascii="Arial" w:eastAsia="Arial" w:hAnsi="Arial" w:cs="Arial"/>
                <w:b/>
                <w:sz w:val="24"/>
                <w:szCs w:val="24"/>
              </w:rPr>
              <w:t xml:space="preserve"> </w:t>
            </w:r>
            <w:r>
              <w:rPr>
                <w:noProof/>
              </w:rPr>
              <w:drawing>
                <wp:anchor distT="114300" distB="114300" distL="114300" distR="114300" simplePos="0" relativeHeight="251660288" behindDoc="1" locked="0" layoutInCell="1" hidden="0" allowOverlap="1" wp14:anchorId="397E98B0" wp14:editId="48B46F3B">
                  <wp:simplePos x="0" y="0"/>
                  <wp:positionH relativeFrom="column">
                    <wp:posOffset>66676</wp:posOffset>
                  </wp:positionH>
                  <wp:positionV relativeFrom="paragraph">
                    <wp:posOffset>222945</wp:posOffset>
                  </wp:positionV>
                  <wp:extent cx="1619250" cy="630466"/>
                  <wp:effectExtent l="0" t="0" r="0" b="0"/>
                  <wp:wrapNone/>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1619250" cy="630466"/>
                          </a:xfrm>
                          <a:prstGeom prst="rect">
                            <a:avLst/>
                          </a:prstGeom>
                          <a:ln/>
                        </pic:spPr>
                      </pic:pic>
                    </a:graphicData>
                  </a:graphic>
                </wp:anchor>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 xml:space="preserve"> </w:t>
            </w:r>
          </w:p>
          <w:p w:rsidR="002C0852" w:rsidRDefault="002C0852" w:rsidP="003D3CF1">
            <w:pPr>
              <w:jc w:val="both"/>
              <w:rPr>
                <w:rFonts w:ascii="Arial" w:eastAsia="Arial" w:hAnsi="Arial" w:cs="Arial"/>
                <w:b/>
                <w:sz w:val="24"/>
                <w:szCs w:val="24"/>
              </w:rPr>
            </w:pPr>
            <w:r>
              <w:rPr>
                <w:rFonts w:ascii="Arial" w:eastAsia="Arial" w:hAnsi="Arial" w:cs="Arial"/>
                <w:b/>
                <w:sz w:val="24"/>
                <w:szCs w:val="24"/>
              </w:rPr>
              <w:t xml:space="preserve"> </w:t>
            </w:r>
          </w:p>
          <w:p w:rsidR="002C0852" w:rsidRDefault="002C0852" w:rsidP="003D3CF1">
            <w:pPr>
              <w:jc w:val="both"/>
              <w:rPr>
                <w:rFonts w:ascii="Arial" w:eastAsia="Arial" w:hAnsi="Arial" w:cs="Arial"/>
                <w:b/>
                <w:sz w:val="24"/>
                <w:szCs w:val="24"/>
              </w:rPr>
            </w:pPr>
            <w:r>
              <w:rPr>
                <w:rFonts w:ascii="Arial" w:eastAsia="Arial" w:hAnsi="Arial" w:cs="Arial"/>
                <w:b/>
                <w:sz w:val="24"/>
                <w:szCs w:val="24"/>
              </w:rPr>
              <w:t>DAVID RACERO MAYORCA</w:t>
            </w:r>
          </w:p>
          <w:p w:rsidR="002C0852" w:rsidRDefault="002C0852" w:rsidP="003D3CF1">
            <w:pPr>
              <w:jc w:val="both"/>
              <w:rPr>
                <w:rFonts w:ascii="Arial" w:eastAsia="Arial" w:hAnsi="Arial" w:cs="Arial"/>
                <w:b/>
              </w:rPr>
            </w:pPr>
            <w:r>
              <w:rPr>
                <w:rFonts w:ascii="Arial" w:eastAsia="Arial" w:hAnsi="Arial" w:cs="Arial"/>
                <w:b/>
              </w:rPr>
              <w:t>Representante a la Cámara por Bogotá</w:t>
            </w:r>
          </w:p>
          <w:p w:rsidR="002C0852" w:rsidRDefault="002C0852" w:rsidP="003D3CF1">
            <w:pPr>
              <w:jc w:val="both"/>
              <w:rPr>
                <w:rFonts w:ascii="Arial" w:eastAsia="Arial" w:hAnsi="Arial" w:cs="Arial"/>
                <w:b/>
              </w:rPr>
            </w:pPr>
            <w:r>
              <w:rPr>
                <w:rFonts w:ascii="Arial" w:eastAsia="Arial" w:hAnsi="Arial" w:cs="Arial"/>
                <w:b/>
              </w:rPr>
              <w:t>Coalición Decentes</w:t>
            </w: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tc>
        <w:tc>
          <w:tcPr>
            <w:tcW w:w="4414" w:type="dxa"/>
          </w:tcPr>
          <w:p w:rsidR="002C0852" w:rsidRDefault="002C0852" w:rsidP="003D3CF1">
            <w:pPr>
              <w:jc w:val="both"/>
              <w:rPr>
                <w:rFonts w:ascii="Arial" w:eastAsia="Arial" w:hAnsi="Arial" w:cs="Arial"/>
                <w:b/>
                <w:sz w:val="24"/>
                <w:szCs w:val="24"/>
              </w:rPr>
            </w:pPr>
          </w:p>
        </w:tc>
      </w:tr>
      <w:tr w:rsidR="002C0852" w:rsidTr="002C0852">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tc>
        <w:tc>
          <w:tcPr>
            <w:tcW w:w="4414" w:type="dxa"/>
          </w:tcPr>
          <w:p w:rsidR="002C0852" w:rsidRDefault="002C0852" w:rsidP="003D3CF1">
            <w:pPr>
              <w:jc w:val="both"/>
              <w:rPr>
                <w:rFonts w:ascii="Arial" w:eastAsia="Arial" w:hAnsi="Arial" w:cs="Arial"/>
                <w:b/>
                <w:sz w:val="24"/>
                <w:szCs w:val="24"/>
              </w:rPr>
            </w:pPr>
          </w:p>
        </w:tc>
      </w:tr>
    </w:tbl>
    <w:p w:rsidR="000B1282" w:rsidRDefault="000B1282">
      <w:pPr>
        <w:jc w:val="center"/>
        <w:rPr>
          <w:rFonts w:ascii="Arial" w:eastAsia="Arial" w:hAnsi="Arial" w:cs="Arial"/>
          <w:b/>
          <w:sz w:val="24"/>
          <w:szCs w:val="24"/>
        </w:rPr>
      </w:pPr>
    </w:p>
    <w:p w:rsidR="000B1282" w:rsidRDefault="000B1282">
      <w:pPr>
        <w:spacing w:after="0" w:line="240" w:lineRule="auto"/>
        <w:jc w:val="both"/>
        <w:rPr>
          <w:rFonts w:ascii="Arial" w:eastAsia="Arial" w:hAnsi="Arial" w:cs="Arial"/>
          <w:b/>
          <w:sz w:val="24"/>
          <w:szCs w:val="24"/>
        </w:rPr>
      </w:pPr>
    </w:p>
    <w:p w:rsidR="000B1282" w:rsidRDefault="000B1282">
      <w:pPr>
        <w:spacing w:after="0" w:line="240" w:lineRule="auto"/>
        <w:jc w:val="both"/>
        <w:rPr>
          <w:rFonts w:ascii="Arial" w:eastAsia="Arial" w:hAnsi="Arial" w:cs="Arial"/>
          <w:b/>
          <w:sz w:val="24"/>
          <w:szCs w:val="24"/>
        </w:rPr>
      </w:pPr>
    </w:p>
    <w:p w:rsidR="000B1282" w:rsidRDefault="000B1282">
      <w:pPr>
        <w:spacing w:after="0" w:line="240" w:lineRule="auto"/>
        <w:jc w:val="both"/>
        <w:rPr>
          <w:rFonts w:ascii="Arial" w:eastAsia="Arial" w:hAnsi="Arial" w:cs="Arial"/>
          <w:b/>
          <w:sz w:val="24"/>
          <w:szCs w:val="24"/>
        </w:rPr>
      </w:pPr>
    </w:p>
    <w:p w:rsidR="000B1282" w:rsidRDefault="002B74D2">
      <w:pPr>
        <w:jc w:val="center"/>
        <w:rPr>
          <w:rFonts w:ascii="Arial" w:eastAsia="Arial" w:hAnsi="Arial" w:cs="Arial"/>
          <w:b/>
          <w:i/>
          <w:sz w:val="24"/>
          <w:szCs w:val="24"/>
        </w:rPr>
      </w:pPr>
      <w:r>
        <w:rPr>
          <w:rFonts w:ascii="Arial" w:eastAsia="Arial" w:hAnsi="Arial" w:cs="Arial"/>
          <w:b/>
          <w:sz w:val="24"/>
          <w:szCs w:val="24"/>
        </w:rPr>
        <w:t>PROYECTO DE LEY NUMERO ___ De 2021</w:t>
      </w:r>
      <w:r>
        <w:rPr>
          <w:rFonts w:ascii="Arial" w:eastAsia="Arial" w:hAnsi="Arial" w:cs="Arial"/>
          <w:b/>
          <w:i/>
          <w:sz w:val="24"/>
          <w:szCs w:val="24"/>
        </w:rPr>
        <w:t xml:space="preserve"> </w:t>
      </w:r>
    </w:p>
    <w:p w:rsidR="000B1282" w:rsidRDefault="002B74D2">
      <w:pPr>
        <w:jc w:val="center"/>
        <w:rPr>
          <w:rFonts w:ascii="Arial" w:eastAsia="Arial" w:hAnsi="Arial" w:cs="Arial"/>
          <w:b/>
          <w:i/>
          <w:sz w:val="24"/>
          <w:szCs w:val="24"/>
        </w:rPr>
      </w:pPr>
      <w:r>
        <w:rPr>
          <w:rFonts w:ascii="Arial" w:eastAsia="Arial" w:hAnsi="Arial" w:cs="Arial"/>
          <w:b/>
          <w:i/>
          <w:sz w:val="24"/>
          <w:szCs w:val="24"/>
        </w:rPr>
        <w:t>“Por Medio Del Cual Se Modifica El Porcentaje De Repartición De Las Contraprestaciones Portuarias”</w:t>
      </w:r>
    </w:p>
    <w:p w:rsidR="000B1282" w:rsidRDefault="000B1282">
      <w:pPr>
        <w:jc w:val="center"/>
        <w:rPr>
          <w:rFonts w:ascii="Arial" w:eastAsia="Arial" w:hAnsi="Arial" w:cs="Arial"/>
          <w:color w:val="221E1F"/>
          <w:sz w:val="24"/>
          <w:szCs w:val="24"/>
        </w:rPr>
      </w:pPr>
    </w:p>
    <w:p w:rsidR="000B1282" w:rsidRDefault="002B74D2">
      <w:pPr>
        <w:rPr>
          <w:rFonts w:ascii="Arial" w:eastAsia="Arial" w:hAnsi="Arial" w:cs="Arial"/>
          <w:sz w:val="24"/>
          <w:szCs w:val="24"/>
        </w:rPr>
      </w:pPr>
      <w:r>
        <w:rPr>
          <w:rFonts w:ascii="Arial" w:eastAsia="Arial" w:hAnsi="Arial" w:cs="Arial"/>
          <w:sz w:val="24"/>
          <w:szCs w:val="24"/>
        </w:rPr>
        <w:lastRenderedPageBreak/>
        <w:t>La presente ponencia consta de las siguientes partes:</w:t>
      </w:r>
    </w:p>
    <w:p w:rsidR="000B1282" w:rsidRDefault="002B74D2">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OBJETO DE LA PROPUESTA </w:t>
      </w:r>
    </w:p>
    <w:p w:rsidR="000B1282" w:rsidRDefault="002B74D2">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EXPOSICION DE MOTIVOS</w:t>
      </w:r>
    </w:p>
    <w:p w:rsidR="000B1282" w:rsidRDefault="002B74D2">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Justificación </w:t>
      </w:r>
    </w:p>
    <w:p w:rsidR="000B1282" w:rsidRDefault="002B74D2">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Objetivos</w:t>
      </w:r>
    </w:p>
    <w:p w:rsidR="000B1282" w:rsidRDefault="002B74D2">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Marco legal</w:t>
      </w:r>
    </w:p>
    <w:p w:rsidR="000B1282" w:rsidRDefault="002B74D2">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Antecedentes</w:t>
      </w:r>
    </w:p>
    <w:p w:rsidR="000B1282" w:rsidRDefault="002B74D2">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IMPACTO FISCAL  </w:t>
      </w:r>
    </w:p>
    <w:p w:rsidR="000B1282" w:rsidRDefault="002B74D2">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ANÁLISIS SOBRE POSIBLE CONFLICTO DE INTERÉS</w:t>
      </w:r>
    </w:p>
    <w:p w:rsidR="000B1282" w:rsidRDefault="000B1282">
      <w:pPr>
        <w:pBdr>
          <w:top w:val="nil"/>
          <w:left w:val="nil"/>
          <w:bottom w:val="nil"/>
          <w:right w:val="nil"/>
          <w:between w:val="nil"/>
        </w:pBdr>
        <w:ind w:left="567"/>
        <w:jc w:val="both"/>
        <w:rPr>
          <w:rFonts w:ascii="Arial" w:eastAsia="Arial" w:hAnsi="Arial" w:cs="Arial"/>
          <w:color w:val="000000"/>
          <w:sz w:val="24"/>
          <w:szCs w:val="24"/>
        </w:rPr>
      </w:pPr>
    </w:p>
    <w:p w:rsidR="000B1282" w:rsidRDefault="000B1282">
      <w:pPr>
        <w:pBdr>
          <w:top w:val="nil"/>
          <w:left w:val="nil"/>
          <w:bottom w:val="nil"/>
          <w:right w:val="nil"/>
          <w:between w:val="nil"/>
        </w:pBdr>
        <w:spacing w:after="0" w:line="240" w:lineRule="auto"/>
        <w:jc w:val="both"/>
        <w:rPr>
          <w:rFonts w:ascii="Arial" w:eastAsia="Arial" w:hAnsi="Arial" w:cs="Arial"/>
          <w:color w:val="221E1F"/>
          <w:sz w:val="24"/>
          <w:szCs w:val="24"/>
        </w:rPr>
      </w:pPr>
    </w:p>
    <w:p w:rsidR="000B1282" w:rsidRDefault="002B74D2">
      <w:pPr>
        <w:numPr>
          <w:ilvl w:val="0"/>
          <w:numId w:val="1"/>
        </w:numPr>
        <w:pBdr>
          <w:top w:val="nil"/>
          <w:left w:val="nil"/>
          <w:bottom w:val="nil"/>
          <w:right w:val="nil"/>
          <w:between w:val="nil"/>
        </w:pBdr>
        <w:spacing w:after="0" w:line="240" w:lineRule="auto"/>
        <w:ind w:left="709" w:hanging="349"/>
        <w:jc w:val="both"/>
        <w:rPr>
          <w:rFonts w:ascii="Arial" w:eastAsia="Arial" w:hAnsi="Arial" w:cs="Arial"/>
          <w:b/>
          <w:color w:val="221E1F"/>
        </w:rPr>
      </w:pPr>
      <w:r>
        <w:rPr>
          <w:rFonts w:ascii="Arial" w:eastAsia="Arial" w:hAnsi="Arial" w:cs="Arial"/>
          <w:b/>
          <w:color w:val="221E1F"/>
          <w:sz w:val="24"/>
          <w:szCs w:val="24"/>
        </w:rPr>
        <w:t>OBJETO DE LA PROPUESTA</w:t>
      </w:r>
    </w:p>
    <w:p w:rsidR="000B1282" w:rsidRDefault="000B1282">
      <w:pPr>
        <w:pBdr>
          <w:top w:val="nil"/>
          <w:left w:val="nil"/>
          <w:bottom w:val="nil"/>
          <w:right w:val="nil"/>
          <w:between w:val="nil"/>
        </w:pBdr>
        <w:spacing w:after="0" w:line="240" w:lineRule="auto"/>
        <w:jc w:val="both"/>
        <w:rPr>
          <w:rFonts w:ascii="Arial" w:eastAsia="Arial" w:hAnsi="Arial" w:cs="Arial"/>
          <w:b/>
          <w:color w:val="221E1F"/>
          <w:sz w:val="24"/>
          <w:szCs w:val="24"/>
        </w:rPr>
      </w:pPr>
    </w:p>
    <w:p w:rsidR="000B1282" w:rsidRDefault="002B74D2">
      <w:pPr>
        <w:pBdr>
          <w:top w:val="nil"/>
          <w:left w:val="nil"/>
          <w:bottom w:val="nil"/>
          <w:right w:val="nil"/>
          <w:between w:val="nil"/>
        </w:pBdr>
        <w:spacing w:after="0" w:line="360" w:lineRule="auto"/>
        <w:jc w:val="both"/>
        <w:rPr>
          <w:rFonts w:ascii="Arial" w:eastAsia="Arial" w:hAnsi="Arial" w:cs="Arial"/>
          <w:color w:val="221E1F"/>
          <w:sz w:val="24"/>
          <w:szCs w:val="24"/>
        </w:rPr>
      </w:pPr>
      <w:r>
        <w:rPr>
          <w:rFonts w:ascii="Arial" w:eastAsia="Arial" w:hAnsi="Arial" w:cs="Arial"/>
          <w:color w:val="221E1F"/>
          <w:sz w:val="24"/>
          <w:szCs w:val="24"/>
        </w:rPr>
        <w:t>El presento proyecto de ley tiene por objeto generar una distribución equitativa de las contraprestaciones portuarias entre la nación, los municipios y distritos donde operan puertos, en el marco de la descentralización fiscal.</w:t>
      </w:r>
    </w:p>
    <w:p w:rsidR="000B1282" w:rsidRDefault="000B1282">
      <w:pPr>
        <w:pBdr>
          <w:top w:val="nil"/>
          <w:left w:val="nil"/>
          <w:bottom w:val="nil"/>
          <w:right w:val="nil"/>
          <w:between w:val="nil"/>
        </w:pBdr>
        <w:spacing w:after="0" w:line="276" w:lineRule="auto"/>
        <w:jc w:val="both"/>
        <w:rPr>
          <w:rFonts w:ascii="Arial" w:eastAsia="Arial" w:hAnsi="Arial" w:cs="Arial"/>
          <w:color w:val="221E1F"/>
          <w:sz w:val="24"/>
          <w:szCs w:val="24"/>
        </w:rPr>
      </w:pPr>
    </w:p>
    <w:p w:rsidR="000B1282" w:rsidRDefault="002B74D2">
      <w:pPr>
        <w:numPr>
          <w:ilvl w:val="0"/>
          <w:numId w:val="1"/>
        </w:numPr>
        <w:pBdr>
          <w:top w:val="nil"/>
          <w:left w:val="nil"/>
          <w:bottom w:val="nil"/>
          <w:right w:val="nil"/>
          <w:between w:val="nil"/>
        </w:pBdr>
        <w:spacing w:after="0" w:line="276" w:lineRule="auto"/>
        <w:ind w:left="851" w:hanging="491"/>
        <w:jc w:val="both"/>
        <w:rPr>
          <w:rFonts w:ascii="Arial" w:eastAsia="Arial" w:hAnsi="Arial" w:cs="Arial"/>
          <w:b/>
          <w:color w:val="221E1F"/>
        </w:rPr>
      </w:pPr>
      <w:r>
        <w:rPr>
          <w:rFonts w:ascii="Arial" w:eastAsia="Arial" w:hAnsi="Arial" w:cs="Arial"/>
          <w:b/>
          <w:color w:val="221E1F"/>
          <w:sz w:val="24"/>
          <w:szCs w:val="24"/>
        </w:rPr>
        <w:t>EXPOSICIÓN DE MOTIVOS</w:t>
      </w:r>
    </w:p>
    <w:p w:rsidR="000B1282" w:rsidRDefault="000B1282">
      <w:pPr>
        <w:rPr>
          <w:rFonts w:ascii="Arial" w:eastAsia="Arial" w:hAnsi="Arial" w:cs="Arial"/>
          <w:color w:val="221E1F"/>
          <w:sz w:val="24"/>
          <w:szCs w:val="24"/>
        </w:rPr>
      </w:pP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Con el fin de realizar la exposición de motivos del presente proyecto de Ley, y argumentar la relevancia de aprobación del mismo, este acápite se ha dividido en seis (6) puntos así: (1) Justificación. (2) Objetivos. (3) Marco legal. (4) Antecedentes. (5) Impacto fiscal.</w:t>
      </w:r>
    </w:p>
    <w:p w:rsidR="000B1282" w:rsidRDefault="002B74D2">
      <w:pPr>
        <w:numPr>
          <w:ilvl w:val="0"/>
          <w:numId w:val="5"/>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Justificación </w:t>
      </w:r>
    </w:p>
    <w:p w:rsidR="000B1282" w:rsidRDefault="002B74D2">
      <w:pPr>
        <w:spacing w:line="360" w:lineRule="auto"/>
        <w:jc w:val="both"/>
        <w:rPr>
          <w:rFonts w:ascii="Arial" w:eastAsia="Arial" w:hAnsi="Arial" w:cs="Arial"/>
          <w:b/>
          <w:sz w:val="24"/>
          <w:szCs w:val="24"/>
        </w:rPr>
      </w:pPr>
      <w:r>
        <w:rPr>
          <w:rFonts w:ascii="Arial" w:eastAsia="Arial" w:hAnsi="Arial" w:cs="Arial"/>
          <w:b/>
          <w:sz w:val="24"/>
          <w:szCs w:val="24"/>
        </w:rPr>
        <w:t>Contraprestaciones:</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 xml:space="preserve">Este proyecto de ley es de suma importancia para Colombia en el entendido que busca descentralización fiscal mediante una distribución más equitativa de los recursos que se generan a nivel local, pero que al nivel nacional son apropiados, más aún, teniendo en cuenta que cada vez a los municipios y distritos se les adjudican más competencias, las cuales muchas veces no pueden atender debido a la falta de presupuesto. </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Por lo tanto, mediante este proyecto de ley se pretende corregir el desbalance de distribución de las contraprestaciones portuarias, las cuales son pagadas por parte de las sociedades portuarias a los municipios y distritos donde operan y a la Nación. </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 xml:space="preserve">Para entender la complejidad de la situación se debe tener claro que las contraprestaciones portuarias son una obligación que se deriva de una concesión portuaria la cual es un contrato administrativo en virtud del cual la Nación, por intermedio de la Superintendencia General de Puertos, permite que una sociedad portuaria ocupe y </w:t>
      </w:r>
      <w:r>
        <w:rPr>
          <w:rFonts w:ascii="Arial" w:eastAsia="Arial" w:hAnsi="Arial" w:cs="Arial"/>
          <w:sz w:val="24"/>
          <w:szCs w:val="24"/>
          <w:u w:val="single"/>
        </w:rPr>
        <w:t>utilice en forma temporal y exclusiva las playas, los terrenos de bajamar y zonas accesorias a aquéllas o éstos, para la construcción y operación de un puerto</w:t>
      </w:r>
      <w:r>
        <w:rPr>
          <w:rFonts w:ascii="Arial" w:eastAsia="Arial" w:hAnsi="Arial" w:cs="Arial"/>
          <w:sz w:val="24"/>
          <w:szCs w:val="24"/>
        </w:rPr>
        <w:t xml:space="preserve">, a cambio de una contraprestación económica (contraprestación portuaria) a favor de la Nación, y de los municipios o distritos donde operen los puertos. </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 xml:space="preserve">El problema radica en cómo se distribuye entre la Nación y los municipios y distritos donde operan. Para ello hay que entender que hay dos tipos de contraprestación portuaria. Por un lado, la contraprestación </w:t>
      </w:r>
      <w:r>
        <w:rPr>
          <w:rFonts w:ascii="Arial" w:eastAsia="Arial" w:hAnsi="Arial" w:cs="Arial"/>
          <w:sz w:val="24"/>
          <w:szCs w:val="24"/>
          <w:u w:val="single"/>
        </w:rPr>
        <w:t>por uso y goce espacio público</w:t>
      </w:r>
      <w:r>
        <w:rPr>
          <w:rFonts w:ascii="Arial" w:eastAsia="Arial" w:hAnsi="Arial" w:cs="Arial"/>
          <w:sz w:val="24"/>
          <w:szCs w:val="24"/>
        </w:rPr>
        <w:t xml:space="preserve"> la cual se distribuye 80% para la Nación a través INVIAS y </w:t>
      </w:r>
      <w:r>
        <w:rPr>
          <w:rFonts w:ascii="Arial" w:eastAsia="Arial" w:hAnsi="Arial" w:cs="Arial"/>
          <w:sz w:val="24"/>
          <w:szCs w:val="24"/>
          <w:u w:val="single"/>
        </w:rPr>
        <w:t>tan solo el 20% para el municipio o distritos donde opere el puerto marítimo</w:t>
      </w:r>
      <w:r>
        <w:rPr>
          <w:rFonts w:ascii="Arial" w:eastAsia="Arial" w:hAnsi="Arial" w:cs="Arial"/>
          <w:sz w:val="24"/>
          <w:szCs w:val="24"/>
        </w:rPr>
        <w:t>. Por otro lado, la contraprestación por infraestructura el 100% para la nación a través de INVIAS. Esto de denota la sobre-monopolización de recursos fiscales por parte de la Nación, que causa serios estragos sobre los entes territoriales, politizando e ideologizando los recursos públicos.</w:t>
      </w:r>
    </w:p>
    <w:p w:rsidR="000B1282" w:rsidRDefault="002B74D2">
      <w:pPr>
        <w:spacing w:line="360" w:lineRule="auto"/>
        <w:jc w:val="both"/>
        <w:rPr>
          <w:rFonts w:ascii="Arial" w:eastAsia="Arial" w:hAnsi="Arial" w:cs="Arial"/>
          <w:color w:val="FF0000"/>
          <w:sz w:val="24"/>
          <w:szCs w:val="24"/>
        </w:rPr>
      </w:pPr>
      <w:r>
        <w:rPr>
          <w:rFonts w:ascii="Arial" w:eastAsia="Arial" w:hAnsi="Arial" w:cs="Arial"/>
          <w:sz w:val="24"/>
          <w:szCs w:val="24"/>
        </w:rPr>
        <w:t xml:space="preserve">Como se puede evidenciar hay una gran inequidad en la distribución de las contraprestaciones portuarias en cuanto al porcentaje que se apropia la Nación. Más aun teniendo en cuanta, que solo algunos municipios y distritos debido a su ubicación costera y geográfica pueden contar con puertos marítimos como es el caso de Cartagena, Buenaventura, Santa Marta, Barranquilla, Turbo entro otros. No obstante, se debe tener en cuenta que no todos los municipios y distritos son </w:t>
      </w:r>
      <w:r>
        <w:rPr>
          <w:rFonts w:ascii="Arial" w:eastAsia="Arial" w:hAnsi="Arial" w:cs="Arial"/>
          <w:sz w:val="24"/>
          <w:szCs w:val="24"/>
        </w:rPr>
        <w:lastRenderedPageBreak/>
        <w:t xml:space="preserve">aptos para contar con este privilegio y por ello deben percibir una compensación justa por contar con esta ventaja. </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Con lo anterior no se quiere desmeritar la importancia de los puertos para la economía nacional y la conectividad internacional. Pero si se quiere evidenciar, una inequidad en el cómo se distribuyen dichos recursos, a sabiendas de las problemáticas que padecen día a día los municipios y distritos donde operan puertos, donde se pueden evidenciar graves falencias por falta de inversión social.</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Así las cosas, las alcaldías para sortear y dar solución a los múltiples problemas locales necesitan de recursos económicos que les permita cumplir a cabalidad con los fines del Estado, es por ello, la gran importancia de este proyecto de ley, toda vez, que propone aumentar el porcentaje de la contraprestación portuaria que reciben los distritos y municipios con puertos. En donde se distribuya equitativamente los recursos de las contraprestaciones portuarias como se muestra a continuación.</w:t>
      </w:r>
    </w:p>
    <w:tbl>
      <w:tblPr>
        <w:tblStyle w:val="a1"/>
        <w:tblW w:w="7843" w:type="dxa"/>
        <w:jc w:val="center"/>
        <w:tblInd w:w="0" w:type="dxa"/>
        <w:tblLayout w:type="fixed"/>
        <w:tblLook w:val="0400" w:firstRow="0" w:lastRow="0" w:firstColumn="0" w:lastColumn="0" w:noHBand="0" w:noVBand="1"/>
      </w:tblPr>
      <w:tblGrid>
        <w:gridCol w:w="2740"/>
        <w:gridCol w:w="1360"/>
        <w:gridCol w:w="1261"/>
        <w:gridCol w:w="1221"/>
        <w:gridCol w:w="1261"/>
      </w:tblGrid>
      <w:tr w:rsidR="000B1282">
        <w:trPr>
          <w:trHeight w:val="645"/>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 </w:t>
            </w:r>
          </w:p>
        </w:tc>
        <w:tc>
          <w:tcPr>
            <w:tcW w:w="2621" w:type="dxa"/>
            <w:gridSpan w:val="2"/>
            <w:tcBorders>
              <w:top w:val="single" w:sz="4" w:space="0" w:color="000000"/>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Municipio y Distrito con puertos marítimos</w:t>
            </w:r>
          </w:p>
        </w:tc>
        <w:tc>
          <w:tcPr>
            <w:tcW w:w="2482" w:type="dxa"/>
            <w:gridSpan w:val="2"/>
            <w:tcBorders>
              <w:top w:val="single" w:sz="4" w:space="0" w:color="000000"/>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Nación a través de INVIAS</w:t>
            </w:r>
          </w:p>
        </w:tc>
      </w:tr>
      <w:tr w:rsidR="000B1282">
        <w:trPr>
          <w:trHeight w:val="600"/>
          <w:jc w:val="center"/>
        </w:trPr>
        <w:tc>
          <w:tcPr>
            <w:tcW w:w="2740" w:type="dxa"/>
            <w:tcBorders>
              <w:top w:val="nil"/>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b/>
                <w:color w:val="000000"/>
                <w:sz w:val="24"/>
                <w:szCs w:val="24"/>
              </w:rPr>
            </w:pPr>
            <w:r>
              <w:rPr>
                <w:rFonts w:ascii="Arial" w:eastAsia="Arial" w:hAnsi="Arial" w:cs="Arial"/>
                <w:b/>
                <w:color w:val="000000"/>
                <w:sz w:val="24"/>
                <w:szCs w:val="24"/>
              </w:rPr>
              <w:t>Tipo de Contraprestación Portuaria</w:t>
            </w:r>
          </w:p>
        </w:tc>
        <w:tc>
          <w:tcPr>
            <w:tcW w:w="1360"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ESPACIO PUBLICO</w:t>
            </w:r>
          </w:p>
        </w:tc>
        <w:tc>
          <w:tcPr>
            <w:tcW w:w="126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INFRAES.</w:t>
            </w:r>
          </w:p>
        </w:tc>
        <w:tc>
          <w:tcPr>
            <w:tcW w:w="122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ESPACIO PUBLICO</w:t>
            </w:r>
          </w:p>
        </w:tc>
        <w:tc>
          <w:tcPr>
            <w:tcW w:w="126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INFRAES.</w:t>
            </w:r>
          </w:p>
        </w:tc>
      </w:tr>
      <w:tr w:rsidR="000B1282">
        <w:trPr>
          <w:trHeight w:val="315"/>
          <w:jc w:val="center"/>
        </w:trPr>
        <w:tc>
          <w:tcPr>
            <w:tcW w:w="2740" w:type="dxa"/>
            <w:tcBorders>
              <w:top w:val="nil"/>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b/>
                <w:color w:val="000000"/>
                <w:sz w:val="24"/>
                <w:szCs w:val="24"/>
              </w:rPr>
            </w:pPr>
            <w:r>
              <w:rPr>
                <w:rFonts w:ascii="Arial" w:eastAsia="Arial" w:hAnsi="Arial" w:cs="Arial"/>
                <w:b/>
                <w:color w:val="000000"/>
                <w:sz w:val="24"/>
                <w:szCs w:val="24"/>
              </w:rPr>
              <w:t>Distribución Vigente</w:t>
            </w:r>
          </w:p>
        </w:tc>
        <w:tc>
          <w:tcPr>
            <w:tcW w:w="1360"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20%</w:t>
            </w:r>
          </w:p>
        </w:tc>
        <w:tc>
          <w:tcPr>
            <w:tcW w:w="126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122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80%</w:t>
            </w:r>
          </w:p>
        </w:tc>
        <w:tc>
          <w:tcPr>
            <w:tcW w:w="126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100%</w:t>
            </w:r>
          </w:p>
        </w:tc>
      </w:tr>
      <w:tr w:rsidR="000B1282">
        <w:trPr>
          <w:trHeight w:val="315"/>
          <w:jc w:val="center"/>
        </w:trPr>
        <w:tc>
          <w:tcPr>
            <w:tcW w:w="2740" w:type="dxa"/>
            <w:tcBorders>
              <w:top w:val="nil"/>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Distribución Propuesta </w:t>
            </w:r>
          </w:p>
        </w:tc>
        <w:tc>
          <w:tcPr>
            <w:tcW w:w="1360"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50%</w:t>
            </w:r>
          </w:p>
        </w:tc>
        <w:tc>
          <w:tcPr>
            <w:tcW w:w="126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50%</w:t>
            </w:r>
          </w:p>
        </w:tc>
        <w:tc>
          <w:tcPr>
            <w:tcW w:w="122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50%</w:t>
            </w:r>
          </w:p>
        </w:tc>
        <w:tc>
          <w:tcPr>
            <w:tcW w:w="126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50%</w:t>
            </w:r>
          </w:p>
        </w:tc>
      </w:tr>
      <w:tr w:rsidR="000B1282">
        <w:trPr>
          <w:trHeight w:val="525"/>
          <w:jc w:val="center"/>
        </w:trPr>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*ESPACIO PUBLICO = Contraprestación por el uso y goce temporal y exclusivo de las zonas de uso público</w:t>
            </w:r>
          </w:p>
        </w:tc>
      </w:tr>
      <w:tr w:rsidR="000B1282">
        <w:trPr>
          <w:trHeight w:val="285"/>
          <w:jc w:val="center"/>
        </w:trPr>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*INFRAS. = Contraprestación por uso de infraestructura</w:t>
            </w:r>
          </w:p>
        </w:tc>
      </w:tr>
    </w:tbl>
    <w:p w:rsidR="000B1282" w:rsidRDefault="000B1282">
      <w:pPr>
        <w:spacing w:line="360" w:lineRule="auto"/>
        <w:jc w:val="both"/>
        <w:rPr>
          <w:rFonts w:ascii="Arial" w:eastAsia="Arial" w:hAnsi="Arial" w:cs="Arial"/>
          <w:sz w:val="24"/>
          <w:szCs w:val="24"/>
        </w:rPr>
      </w:pP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 xml:space="preserve">Ahora bien, cabe resaltar que el presupuesto de INVIAS no se verá afectado significativamente, ya que para  2018 el presupuesto de INVIAS era de dos billones doscientos cuarenta y siete mil cuatrocientos cuarenta y ocho millones ciento cuarenta y cuatro mil seiscientos cuatro pesos ($2.247.448.144.604) y que para el año 2019 el presupuesto de INVIAS tuvo un crecimiento del </w:t>
      </w:r>
      <w:r>
        <w:rPr>
          <w:rFonts w:ascii="Arial" w:eastAsia="Arial" w:hAnsi="Arial" w:cs="Arial"/>
          <w:sz w:val="24"/>
          <w:szCs w:val="24"/>
          <w:u w:val="single"/>
        </w:rPr>
        <w:t>36.2%</w:t>
      </w:r>
      <w:r>
        <w:rPr>
          <w:rFonts w:ascii="Arial" w:eastAsia="Arial" w:hAnsi="Arial" w:cs="Arial"/>
          <w:sz w:val="24"/>
          <w:szCs w:val="24"/>
        </w:rPr>
        <w:t xml:space="preserve"> en su </w:t>
      </w:r>
      <w:r>
        <w:rPr>
          <w:rFonts w:ascii="Arial" w:eastAsia="Arial" w:hAnsi="Arial" w:cs="Arial"/>
          <w:sz w:val="24"/>
          <w:szCs w:val="24"/>
        </w:rPr>
        <w:lastRenderedPageBreak/>
        <w:t xml:space="preserve">presupuesto aumentando a tres billones quinientos veintiún mil setecientos setenta y tres millones cuatrocientos sesenta mil cuatrocientos diez pesos ($3.744.644.696.966) y para 2020 el presupuesto de INVIAS fue de dos billones doscientos setenta y cuatro mil ochocientos setenta y cinco millones ochocientos sesenta y dos mil ochocientos doce ($2.274.875.862.812). </w:t>
      </w:r>
    </w:p>
    <w:tbl>
      <w:tblPr>
        <w:tblStyle w:val="a2"/>
        <w:tblW w:w="9913" w:type="dxa"/>
        <w:tblInd w:w="-436" w:type="dxa"/>
        <w:tblLayout w:type="fixed"/>
        <w:tblLook w:val="0400" w:firstRow="0" w:lastRow="0" w:firstColumn="0" w:lastColumn="0" w:noHBand="0" w:noVBand="1"/>
      </w:tblPr>
      <w:tblGrid>
        <w:gridCol w:w="1014"/>
        <w:gridCol w:w="2035"/>
        <w:gridCol w:w="2115"/>
        <w:gridCol w:w="1328"/>
        <w:gridCol w:w="2110"/>
        <w:gridCol w:w="1311"/>
      </w:tblGrid>
      <w:tr w:rsidR="000B1282">
        <w:trPr>
          <w:trHeight w:val="315"/>
        </w:trPr>
        <w:tc>
          <w:tcPr>
            <w:tcW w:w="9913" w:type="dxa"/>
            <w:gridSpan w:val="6"/>
            <w:tcBorders>
              <w:top w:val="single" w:sz="8" w:space="0" w:color="000000"/>
              <w:left w:val="single" w:sz="8" w:space="0" w:color="000000"/>
              <w:bottom w:val="single" w:sz="8" w:space="0" w:color="000000"/>
              <w:right w:val="single" w:sz="8" w:space="0" w:color="000000"/>
            </w:tcBorders>
            <w:shd w:val="clear" w:color="auto" w:fill="auto"/>
            <w:vAlign w:val="bottom"/>
          </w:tcPr>
          <w:p w:rsidR="000B1282" w:rsidRDefault="002B74D2">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Porcentaje de las contraprestaciones portuarias respeto presupuesto de INVIAS</w:t>
            </w:r>
          </w:p>
        </w:tc>
      </w:tr>
      <w:tr w:rsidR="000B1282">
        <w:trPr>
          <w:trHeight w:val="870"/>
        </w:trPr>
        <w:tc>
          <w:tcPr>
            <w:tcW w:w="1014" w:type="dxa"/>
            <w:tcBorders>
              <w:top w:val="nil"/>
              <w:left w:val="single" w:sz="8" w:space="0" w:color="000000"/>
              <w:bottom w:val="single" w:sz="8" w:space="0" w:color="000000"/>
              <w:right w:val="nil"/>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Vigencia</w:t>
            </w:r>
          </w:p>
        </w:tc>
        <w:tc>
          <w:tcPr>
            <w:tcW w:w="2035" w:type="dxa"/>
            <w:tcBorders>
              <w:top w:val="nil"/>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Presupuesto </w:t>
            </w:r>
            <w:proofErr w:type="spellStart"/>
            <w:r>
              <w:rPr>
                <w:rFonts w:ascii="Arial" w:eastAsia="Arial" w:hAnsi="Arial" w:cs="Arial"/>
                <w:color w:val="000000"/>
                <w:sz w:val="18"/>
                <w:szCs w:val="18"/>
              </w:rPr>
              <w:t>Invías</w:t>
            </w:r>
            <w:proofErr w:type="spellEnd"/>
            <w:r>
              <w:rPr>
                <w:rFonts w:ascii="Arial" w:eastAsia="Arial" w:hAnsi="Arial" w:cs="Arial"/>
                <w:color w:val="000000"/>
                <w:sz w:val="18"/>
                <w:szCs w:val="18"/>
              </w:rPr>
              <w:t xml:space="preserve"> </w:t>
            </w:r>
          </w:p>
        </w:tc>
        <w:tc>
          <w:tcPr>
            <w:tcW w:w="2115" w:type="dxa"/>
            <w:tcBorders>
              <w:top w:val="nil"/>
              <w:left w:val="nil"/>
              <w:bottom w:val="single" w:sz="8" w:space="0" w:color="000000"/>
              <w:right w:val="nil"/>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Fluctuación </w:t>
            </w:r>
          </w:p>
        </w:tc>
        <w:tc>
          <w:tcPr>
            <w:tcW w:w="1328" w:type="dxa"/>
            <w:tcBorders>
              <w:top w:val="nil"/>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Fluctuación% </w:t>
            </w:r>
          </w:p>
        </w:tc>
        <w:tc>
          <w:tcPr>
            <w:tcW w:w="2110" w:type="dxa"/>
            <w:tcBorders>
              <w:top w:val="nil"/>
              <w:left w:val="nil"/>
              <w:bottom w:val="single" w:sz="8" w:space="0" w:color="000000"/>
              <w:right w:val="nil"/>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Contraprestaciones portuarias </w:t>
            </w:r>
          </w:p>
        </w:tc>
        <w:tc>
          <w:tcPr>
            <w:tcW w:w="1311" w:type="dxa"/>
            <w:tcBorders>
              <w:top w:val="nil"/>
              <w:left w:val="single" w:sz="8" w:space="0" w:color="000000"/>
              <w:bottom w:val="single" w:sz="4"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Contraprestación % respeto presupuesto INVIAS</w:t>
            </w:r>
          </w:p>
        </w:tc>
      </w:tr>
      <w:tr w:rsidR="000B1282">
        <w:trPr>
          <w:trHeight w:val="300"/>
        </w:trPr>
        <w:tc>
          <w:tcPr>
            <w:tcW w:w="1014" w:type="dxa"/>
            <w:tcBorders>
              <w:top w:val="nil"/>
              <w:left w:val="single" w:sz="8" w:space="0" w:color="000000"/>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2020</w:t>
            </w:r>
          </w:p>
        </w:tc>
        <w:tc>
          <w:tcPr>
            <w:tcW w:w="2035"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$ 2.274.875.862.812</w:t>
            </w:r>
          </w:p>
        </w:tc>
        <w:tc>
          <w:tcPr>
            <w:tcW w:w="2115"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-$ 1.246.897.597.598</w:t>
            </w:r>
          </w:p>
        </w:tc>
        <w:tc>
          <w:tcPr>
            <w:tcW w:w="1328"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-36%</w:t>
            </w:r>
          </w:p>
        </w:tc>
        <w:tc>
          <w:tcPr>
            <w:tcW w:w="2110" w:type="dxa"/>
            <w:tcBorders>
              <w:top w:val="nil"/>
              <w:left w:val="nil"/>
              <w:bottom w:val="single" w:sz="4" w:space="0" w:color="000000"/>
              <w:right w:val="nil"/>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$ 147.974.950.094,00</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6,50</w:t>
            </w:r>
          </w:p>
        </w:tc>
      </w:tr>
      <w:tr w:rsidR="000B1282">
        <w:trPr>
          <w:trHeight w:val="300"/>
        </w:trPr>
        <w:tc>
          <w:tcPr>
            <w:tcW w:w="1014" w:type="dxa"/>
            <w:tcBorders>
              <w:top w:val="nil"/>
              <w:left w:val="single" w:sz="8" w:space="0" w:color="000000"/>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2019</w:t>
            </w:r>
          </w:p>
        </w:tc>
        <w:tc>
          <w:tcPr>
            <w:tcW w:w="2035"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$ 3.521.773.460.410</w:t>
            </w:r>
          </w:p>
        </w:tc>
        <w:tc>
          <w:tcPr>
            <w:tcW w:w="2115"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$ 1.274.325.315.806</w:t>
            </w:r>
          </w:p>
        </w:tc>
        <w:tc>
          <w:tcPr>
            <w:tcW w:w="1328"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36%</w:t>
            </w:r>
          </w:p>
        </w:tc>
        <w:tc>
          <w:tcPr>
            <w:tcW w:w="2110" w:type="dxa"/>
            <w:tcBorders>
              <w:top w:val="nil"/>
              <w:left w:val="nil"/>
              <w:bottom w:val="single" w:sz="4" w:space="0" w:color="000000"/>
              <w:right w:val="nil"/>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$ 104.565.434.090,00</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2,97</w:t>
            </w:r>
          </w:p>
        </w:tc>
      </w:tr>
      <w:tr w:rsidR="000B1282">
        <w:trPr>
          <w:trHeight w:val="300"/>
        </w:trPr>
        <w:tc>
          <w:tcPr>
            <w:tcW w:w="1014" w:type="dxa"/>
            <w:tcBorders>
              <w:top w:val="nil"/>
              <w:left w:val="single" w:sz="8" w:space="0" w:color="000000"/>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2018</w:t>
            </w:r>
          </w:p>
        </w:tc>
        <w:tc>
          <w:tcPr>
            <w:tcW w:w="2035"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$ 2.247.448.144.604</w:t>
            </w:r>
          </w:p>
        </w:tc>
        <w:tc>
          <w:tcPr>
            <w:tcW w:w="2115"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-$ 21.996.517.549</w:t>
            </w:r>
          </w:p>
        </w:tc>
        <w:tc>
          <w:tcPr>
            <w:tcW w:w="1328"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w:t>
            </w:r>
          </w:p>
        </w:tc>
        <w:tc>
          <w:tcPr>
            <w:tcW w:w="2110" w:type="dxa"/>
            <w:tcBorders>
              <w:top w:val="nil"/>
              <w:left w:val="nil"/>
              <w:bottom w:val="single" w:sz="4" w:space="0" w:color="000000"/>
              <w:right w:val="nil"/>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$ 180.079.302.330,00</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8,01</w:t>
            </w:r>
          </w:p>
        </w:tc>
      </w:tr>
      <w:tr w:rsidR="000B1282">
        <w:trPr>
          <w:trHeight w:val="300"/>
        </w:trPr>
        <w:tc>
          <w:tcPr>
            <w:tcW w:w="1014" w:type="dxa"/>
            <w:tcBorders>
              <w:top w:val="nil"/>
              <w:left w:val="single" w:sz="8" w:space="0" w:color="000000"/>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2017</w:t>
            </w:r>
          </w:p>
        </w:tc>
        <w:tc>
          <w:tcPr>
            <w:tcW w:w="2035"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$ 2.269.444.662.153</w:t>
            </w:r>
          </w:p>
        </w:tc>
        <w:tc>
          <w:tcPr>
            <w:tcW w:w="2115"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-$ 383.610.570.990</w:t>
            </w:r>
          </w:p>
        </w:tc>
        <w:tc>
          <w:tcPr>
            <w:tcW w:w="1328"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-17%</w:t>
            </w:r>
          </w:p>
        </w:tc>
        <w:tc>
          <w:tcPr>
            <w:tcW w:w="2110" w:type="dxa"/>
            <w:tcBorders>
              <w:top w:val="nil"/>
              <w:left w:val="nil"/>
              <w:bottom w:val="single" w:sz="4" w:space="0" w:color="000000"/>
              <w:right w:val="nil"/>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$ 161.807.241.134,00</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7,13</w:t>
            </w:r>
          </w:p>
        </w:tc>
      </w:tr>
      <w:tr w:rsidR="000B1282">
        <w:trPr>
          <w:trHeight w:val="300"/>
        </w:trPr>
        <w:tc>
          <w:tcPr>
            <w:tcW w:w="1014" w:type="dxa"/>
            <w:tcBorders>
              <w:top w:val="nil"/>
              <w:left w:val="single" w:sz="8" w:space="0" w:color="000000"/>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2016</w:t>
            </w:r>
          </w:p>
        </w:tc>
        <w:tc>
          <w:tcPr>
            <w:tcW w:w="2035"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$ 2.653.055.233.143</w:t>
            </w:r>
          </w:p>
        </w:tc>
        <w:tc>
          <w:tcPr>
            <w:tcW w:w="2115"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-$ 1.422.002.496.857</w:t>
            </w:r>
          </w:p>
        </w:tc>
        <w:tc>
          <w:tcPr>
            <w:tcW w:w="1328"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-54%</w:t>
            </w:r>
          </w:p>
        </w:tc>
        <w:tc>
          <w:tcPr>
            <w:tcW w:w="2110" w:type="dxa"/>
            <w:tcBorders>
              <w:top w:val="nil"/>
              <w:left w:val="nil"/>
              <w:bottom w:val="single" w:sz="4" w:space="0" w:color="000000"/>
              <w:right w:val="nil"/>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$ 134.163.084.640,00</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5,06</w:t>
            </w:r>
          </w:p>
        </w:tc>
      </w:tr>
      <w:tr w:rsidR="000B1282">
        <w:trPr>
          <w:trHeight w:val="315"/>
        </w:trPr>
        <w:tc>
          <w:tcPr>
            <w:tcW w:w="1014" w:type="dxa"/>
            <w:tcBorders>
              <w:top w:val="nil"/>
              <w:left w:val="single" w:sz="8" w:space="0" w:color="000000"/>
              <w:bottom w:val="nil"/>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2015</w:t>
            </w:r>
          </w:p>
        </w:tc>
        <w:tc>
          <w:tcPr>
            <w:tcW w:w="2035" w:type="dxa"/>
            <w:tcBorders>
              <w:top w:val="nil"/>
              <w:left w:val="nil"/>
              <w:bottom w:val="nil"/>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$ 4.075.057.730.000</w:t>
            </w:r>
          </w:p>
        </w:tc>
        <w:tc>
          <w:tcPr>
            <w:tcW w:w="2115" w:type="dxa"/>
            <w:tcBorders>
              <w:top w:val="nil"/>
              <w:left w:val="nil"/>
              <w:bottom w:val="nil"/>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18"/>
                <w:szCs w:val="18"/>
              </w:rPr>
            </w:pPr>
            <w:r>
              <w:rPr>
                <w:rFonts w:ascii="Arial" w:eastAsia="Arial" w:hAnsi="Arial" w:cs="Arial"/>
                <w:color w:val="000000"/>
                <w:sz w:val="18"/>
                <w:szCs w:val="18"/>
              </w:rPr>
              <w:t> </w:t>
            </w:r>
          </w:p>
        </w:tc>
        <w:tc>
          <w:tcPr>
            <w:tcW w:w="1328" w:type="dxa"/>
            <w:tcBorders>
              <w:top w:val="nil"/>
              <w:left w:val="nil"/>
              <w:bottom w:val="nil"/>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w:t>
            </w:r>
          </w:p>
        </w:tc>
        <w:tc>
          <w:tcPr>
            <w:tcW w:w="2110" w:type="dxa"/>
            <w:tcBorders>
              <w:top w:val="nil"/>
              <w:left w:val="nil"/>
              <w:bottom w:val="nil"/>
              <w:right w:val="nil"/>
            </w:tcBorders>
            <w:shd w:val="clear" w:color="auto" w:fill="auto"/>
            <w:vAlign w:val="bottom"/>
          </w:tcPr>
          <w:p w:rsidR="000B1282" w:rsidRDefault="002B74D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$ 63.261.362.368,00</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1,55</w:t>
            </w:r>
          </w:p>
        </w:tc>
      </w:tr>
      <w:tr w:rsidR="000B1282">
        <w:trPr>
          <w:trHeight w:val="615"/>
        </w:trPr>
        <w:tc>
          <w:tcPr>
            <w:tcW w:w="1014" w:type="dxa"/>
            <w:tcBorders>
              <w:top w:val="single" w:sz="8" w:space="0" w:color="000000"/>
              <w:left w:val="single" w:sz="8" w:space="0" w:color="000000"/>
              <w:bottom w:val="single" w:sz="8"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 xml:space="preserve">Total / Promedio </w:t>
            </w:r>
          </w:p>
        </w:tc>
        <w:tc>
          <w:tcPr>
            <w:tcW w:w="2035" w:type="dxa"/>
            <w:tcBorders>
              <w:top w:val="single" w:sz="8" w:space="0" w:color="000000"/>
              <w:left w:val="nil"/>
              <w:bottom w:val="single" w:sz="8"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$ 17.041.655.093.122</w:t>
            </w:r>
          </w:p>
        </w:tc>
        <w:tc>
          <w:tcPr>
            <w:tcW w:w="2115" w:type="dxa"/>
            <w:tcBorders>
              <w:top w:val="single" w:sz="8" w:space="0" w:color="000000"/>
              <w:left w:val="nil"/>
              <w:bottom w:val="single" w:sz="8"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-$ 360.036.373.438</w:t>
            </w:r>
          </w:p>
        </w:tc>
        <w:tc>
          <w:tcPr>
            <w:tcW w:w="1328" w:type="dxa"/>
            <w:tcBorders>
              <w:top w:val="single" w:sz="8" w:space="0" w:color="000000"/>
              <w:left w:val="nil"/>
              <w:bottom w:val="single" w:sz="8"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14,4%</w:t>
            </w:r>
          </w:p>
        </w:tc>
        <w:tc>
          <w:tcPr>
            <w:tcW w:w="2110" w:type="dxa"/>
            <w:tcBorders>
              <w:top w:val="single" w:sz="8" w:space="0" w:color="000000"/>
              <w:left w:val="nil"/>
              <w:bottom w:val="single" w:sz="8" w:space="0" w:color="000000"/>
              <w:right w:val="nil"/>
            </w:tcBorders>
            <w:shd w:val="clear" w:color="auto" w:fill="auto"/>
            <w:vAlign w:val="center"/>
          </w:tcPr>
          <w:p w:rsidR="000B1282" w:rsidRDefault="002B74D2">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$ 791.851.374.656,00</w:t>
            </w:r>
          </w:p>
        </w:tc>
        <w:tc>
          <w:tcPr>
            <w:tcW w:w="1311" w:type="dxa"/>
            <w:tcBorders>
              <w:top w:val="single" w:sz="4" w:space="0" w:color="000000"/>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5,20</w:t>
            </w:r>
          </w:p>
        </w:tc>
      </w:tr>
    </w:tbl>
    <w:p w:rsidR="000B1282" w:rsidRDefault="000B1282">
      <w:pPr>
        <w:spacing w:line="360" w:lineRule="auto"/>
        <w:jc w:val="both"/>
        <w:rPr>
          <w:rFonts w:ascii="Arial" w:eastAsia="Arial" w:hAnsi="Arial" w:cs="Arial"/>
          <w:sz w:val="24"/>
          <w:szCs w:val="24"/>
        </w:rPr>
      </w:pP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Como se puede apreciar el porcentaje de las contraprestaciones portuarias que representan del presupuesto de INVIAS es ínfimo, ya que en los últimos 6 años solo correspondió a un promedio del 5,2% de los billones de presupuesto que son asignado a INVIAS, por otro lado, INVIAS tiene una fluctuación de 14,4% lo que permitiría asimilar ajustar su cartera fácilmente con la propuesta de este proyecto de ley.</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 xml:space="preserve">Este proyecto de ley de ninguna forma quiere o propone que las Sociedades Portuaria paguen más contraprestaciones, solo se busca que la distribución porcentual entre la nación y los municipios y distritos de las citadas contraprestaciones portuarias sea equitativa, de esta forma las alcaldías tendrán mayor presupuesto para inversión social y atención de sus necesidades, de tal manera que no estén supeditadas a esperar recursos del nivel nacional. </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Por último, resulta necesario hacer un ajuste en el bajo porcentaje que perciben las alcaldías por concepto de contraprestaciones, a sabiendas que tienen que soportar de forma directa con el impacto social, ambiental, ecológico y el desgaste que generan los puertos. </w:t>
      </w:r>
    </w:p>
    <w:p w:rsidR="000B1282" w:rsidRDefault="002B74D2">
      <w:pPr>
        <w:spacing w:line="360" w:lineRule="auto"/>
        <w:jc w:val="both"/>
        <w:rPr>
          <w:rFonts w:ascii="Arial" w:eastAsia="Arial" w:hAnsi="Arial" w:cs="Arial"/>
          <w:b/>
          <w:sz w:val="24"/>
          <w:szCs w:val="24"/>
        </w:rPr>
      </w:pPr>
      <w:r>
        <w:rPr>
          <w:rFonts w:ascii="Arial" w:eastAsia="Arial" w:hAnsi="Arial" w:cs="Arial"/>
          <w:b/>
          <w:sz w:val="24"/>
          <w:szCs w:val="24"/>
        </w:rPr>
        <w:t>Contexto histórico</w:t>
      </w:r>
    </w:p>
    <w:p w:rsidR="000B1282" w:rsidRDefault="002B74D2">
      <w:pPr>
        <w:pBdr>
          <w:top w:val="nil"/>
          <w:left w:val="nil"/>
          <w:bottom w:val="nil"/>
          <w:right w:val="nil"/>
          <w:between w:val="nil"/>
        </w:pBdr>
        <w:spacing w:after="3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El contexto normativo de los puertos marítimos ha venido cambiando paulatinamente, con un primer viraje de noventa grados que se aprecia en 1991 en donde se liquida </w:t>
      </w:r>
      <w:proofErr w:type="spellStart"/>
      <w:r>
        <w:rPr>
          <w:rFonts w:ascii="Arial" w:eastAsia="Arial" w:hAnsi="Arial" w:cs="Arial"/>
          <w:color w:val="000000"/>
          <w:sz w:val="24"/>
          <w:szCs w:val="24"/>
        </w:rPr>
        <w:t>Colpuertos</w:t>
      </w:r>
      <w:proofErr w:type="spellEnd"/>
      <w:r>
        <w:rPr>
          <w:rFonts w:ascii="Arial" w:eastAsia="Arial" w:hAnsi="Arial" w:cs="Arial"/>
          <w:color w:val="000000"/>
          <w:sz w:val="24"/>
          <w:szCs w:val="24"/>
        </w:rPr>
        <w:t>, iniciando una privatización de los puertos marítimos en Colombia. Lo anterior dio paso a un nuevo marco legal para el sector portuario mediante la ley 1 de 1991 (enero 10).</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 xml:space="preserve">La historia de los puertos en donde se ejerce la actividad de importación y exportación en Colombia, comienza con la creación de la Empresa Puertos de Colombia- </w:t>
      </w:r>
      <w:proofErr w:type="spellStart"/>
      <w:r>
        <w:rPr>
          <w:rFonts w:ascii="Arial" w:eastAsia="Arial" w:hAnsi="Arial" w:cs="Arial"/>
          <w:sz w:val="24"/>
          <w:szCs w:val="24"/>
        </w:rPr>
        <w:t>Colpuertos</w:t>
      </w:r>
      <w:proofErr w:type="spellEnd"/>
      <w:r>
        <w:rPr>
          <w:rFonts w:ascii="Arial" w:eastAsia="Arial" w:hAnsi="Arial" w:cs="Arial"/>
          <w:sz w:val="24"/>
          <w:szCs w:val="24"/>
        </w:rPr>
        <w:t xml:space="preserve">, la cual fue creada por medio de la ley 159 de 1959; esta tuvo una primera etapa de (1959-1974) donde fue totalmente centralizado tanto su manejo presupuestal como gerencial. En 1974 se da inicio a la segunda etapa donde se descentraliza </w:t>
      </w:r>
      <w:proofErr w:type="spellStart"/>
      <w:r>
        <w:rPr>
          <w:rFonts w:ascii="Arial" w:eastAsia="Arial" w:hAnsi="Arial" w:cs="Arial"/>
          <w:sz w:val="24"/>
          <w:szCs w:val="24"/>
        </w:rPr>
        <w:t>Colpuertos</w:t>
      </w:r>
      <w:proofErr w:type="spellEnd"/>
      <w:r>
        <w:rPr>
          <w:rFonts w:ascii="Arial" w:eastAsia="Arial" w:hAnsi="Arial" w:cs="Arial"/>
          <w:sz w:val="24"/>
          <w:szCs w:val="24"/>
        </w:rPr>
        <w:t>, esta descentralización trajo consigo varios cambios que produjo, que para 1982 la empresa entrará en crisis, en 1991 se generará un proceso de liquidación.</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Para 1991 se expide la ley 1 “</w:t>
      </w:r>
      <w:r>
        <w:rPr>
          <w:rFonts w:ascii="Arial" w:eastAsia="Arial" w:hAnsi="Arial" w:cs="Arial"/>
          <w:i/>
          <w:sz w:val="24"/>
          <w:szCs w:val="24"/>
        </w:rPr>
        <w:t xml:space="preserve">Por la cual se expide el Estatuto de Puertos Marítimos y se dictan otras disposiciones” </w:t>
      </w:r>
      <w:r>
        <w:rPr>
          <w:rFonts w:ascii="Arial" w:eastAsia="Arial" w:hAnsi="Arial" w:cs="Arial"/>
          <w:sz w:val="24"/>
          <w:szCs w:val="24"/>
        </w:rPr>
        <w:t>la cual estipula reglas para la entrada de los puertos privados en Colombia, de esta forma se da inicio a una nueva etapa de puertos marítimos en Colombia, generando así un auge en la expansión portuaria.</w:t>
      </w:r>
    </w:p>
    <w:p w:rsidR="000B1282" w:rsidRDefault="002B74D2">
      <w:pPr>
        <w:numPr>
          <w:ilvl w:val="0"/>
          <w:numId w:val="5"/>
        </w:numPr>
        <w:pBdr>
          <w:top w:val="nil"/>
          <w:left w:val="nil"/>
          <w:bottom w:val="nil"/>
          <w:right w:val="nil"/>
          <w:between w:val="nil"/>
        </w:pBdr>
        <w:spacing w:line="600" w:lineRule="auto"/>
        <w:rPr>
          <w:rFonts w:ascii="Arial" w:eastAsia="Arial" w:hAnsi="Arial" w:cs="Arial"/>
          <w:b/>
          <w:color w:val="000000"/>
          <w:sz w:val="24"/>
          <w:szCs w:val="24"/>
        </w:rPr>
      </w:pPr>
      <w:r>
        <w:rPr>
          <w:rFonts w:ascii="Arial" w:eastAsia="Arial" w:hAnsi="Arial" w:cs="Arial"/>
          <w:b/>
          <w:color w:val="000000"/>
          <w:sz w:val="24"/>
          <w:szCs w:val="24"/>
        </w:rPr>
        <w:t xml:space="preserve">Objetivos:  </w:t>
      </w:r>
    </w:p>
    <w:p w:rsidR="000B1282" w:rsidRDefault="002B74D2">
      <w:pPr>
        <w:spacing w:line="360" w:lineRule="auto"/>
        <w:jc w:val="both"/>
        <w:rPr>
          <w:rFonts w:ascii="Arial" w:eastAsia="Arial" w:hAnsi="Arial" w:cs="Arial"/>
          <w:b/>
          <w:sz w:val="24"/>
          <w:szCs w:val="24"/>
        </w:rPr>
      </w:pPr>
      <w:r>
        <w:rPr>
          <w:rFonts w:ascii="Arial" w:eastAsia="Arial" w:hAnsi="Arial" w:cs="Arial"/>
          <w:b/>
          <w:sz w:val="24"/>
          <w:szCs w:val="24"/>
        </w:rPr>
        <w:t xml:space="preserve">General: </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lastRenderedPageBreak/>
        <w:t>Distribuir de manera equitativa de los recursos de las contraprestaciones portuarias entre la Nación, los distritos y municipios donde operen puertos marítimos.</w:t>
      </w:r>
    </w:p>
    <w:p w:rsidR="000B1282" w:rsidRDefault="002B74D2">
      <w:pPr>
        <w:spacing w:line="360" w:lineRule="auto"/>
        <w:jc w:val="both"/>
        <w:rPr>
          <w:rFonts w:ascii="Arial" w:eastAsia="Arial" w:hAnsi="Arial" w:cs="Arial"/>
          <w:b/>
          <w:sz w:val="24"/>
          <w:szCs w:val="24"/>
        </w:rPr>
      </w:pPr>
      <w:r>
        <w:rPr>
          <w:rFonts w:ascii="Arial" w:eastAsia="Arial" w:hAnsi="Arial" w:cs="Arial"/>
          <w:b/>
          <w:sz w:val="24"/>
          <w:szCs w:val="24"/>
        </w:rPr>
        <w:t>Específicos:</w:t>
      </w:r>
    </w:p>
    <w:p w:rsidR="000B1282" w:rsidRDefault="002B74D2">
      <w:pPr>
        <w:numPr>
          <w:ilvl w:val="0"/>
          <w:numId w:val="7"/>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Incrementar el porcentaje recibido por parte de las contraprestaciones por uso de infraestructura y por uso goce temporal, con exclusividad de las zonas de uso público hacia los municipios y distritos donde operan puertos marítimos.</w:t>
      </w:r>
    </w:p>
    <w:p w:rsidR="000B1282" w:rsidRDefault="002B74D2">
      <w:pPr>
        <w:numPr>
          <w:ilvl w:val="0"/>
          <w:numId w:val="6"/>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 xml:space="preserve">Que los municipios y distritos con puertos marítimos tengan la capacidad económica para poder invertir en problemas sociales que se presenten en la comunidad. </w:t>
      </w:r>
    </w:p>
    <w:p w:rsidR="000B1282" w:rsidRDefault="002B74D2">
      <w:pPr>
        <w:numPr>
          <w:ilvl w:val="0"/>
          <w:numId w:val="6"/>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Establecer el Consejo Superior y la figura de Director Ejecutivo de las autoridades portuarias Distritales, para un óptimo cumplimiento de sus funciones de ley.</w:t>
      </w:r>
    </w:p>
    <w:p w:rsidR="000B1282" w:rsidRDefault="000B1282">
      <w:pPr>
        <w:pBdr>
          <w:top w:val="nil"/>
          <w:left w:val="nil"/>
          <w:bottom w:val="nil"/>
          <w:right w:val="nil"/>
          <w:between w:val="nil"/>
        </w:pBdr>
        <w:spacing w:after="0"/>
        <w:ind w:left="720"/>
        <w:rPr>
          <w:rFonts w:ascii="Arial" w:eastAsia="Arial" w:hAnsi="Arial" w:cs="Arial"/>
          <w:color w:val="000000"/>
          <w:sz w:val="24"/>
          <w:szCs w:val="24"/>
        </w:rPr>
      </w:pPr>
    </w:p>
    <w:p w:rsidR="000B1282" w:rsidRDefault="002B74D2">
      <w:pPr>
        <w:numPr>
          <w:ilvl w:val="0"/>
          <w:numId w:val="5"/>
        </w:numPr>
        <w:pBdr>
          <w:top w:val="nil"/>
          <w:left w:val="nil"/>
          <w:bottom w:val="nil"/>
          <w:right w:val="nil"/>
          <w:between w:val="nil"/>
        </w:pBdr>
        <w:spacing w:line="600" w:lineRule="auto"/>
        <w:jc w:val="both"/>
        <w:rPr>
          <w:rFonts w:ascii="Arial" w:eastAsia="Arial" w:hAnsi="Arial" w:cs="Arial"/>
          <w:b/>
          <w:color w:val="000000"/>
          <w:sz w:val="24"/>
          <w:szCs w:val="24"/>
        </w:rPr>
      </w:pPr>
      <w:r>
        <w:rPr>
          <w:rFonts w:ascii="Arial" w:eastAsia="Arial" w:hAnsi="Arial" w:cs="Arial"/>
          <w:b/>
          <w:color w:val="000000"/>
          <w:sz w:val="24"/>
          <w:szCs w:val="24"/>
        </w:rPr>
        <w:t>Marco legal</w:t>
      </w:r>
    </w:p>
    <w:p w:rsidR="000B1282" w:rsidRDefault="002B74D2">
      <w:pPr>
        <w:spacing w:before="120" w:line="360" w:lineRule="auto"/>
        <w:jc w:val="both"/>
        <w:rPr>
          <w:rFonts w:ascii="Arial" w:eastAsia="Arial" w:hAnsi="Arial" w:cs="Arial"/>
          <w:sz w:val="24"/>
          <w:szCs w:val="24"/>
        </w:rPr>
      </w:pPr>
      <w:r>
        <w:rPr>
          <w:rFonts w:ascii="Arial" w:eastAsia="Arial" w:hAnsi="Arial" w:cs="Arial"/>
          <w:sz w:val="24"/>
          <w:szCs w:val="24"/>
        </w:rPr>
        <w:t xml:space="preserve">Desde la Constitución Política de Colombia en su artículo primero como principio la descentralización como modo de gobierno. Con respecto a las contraprestaciones la misma constitución en su artículo 361 dice lo siguiente:  </w:t>
      </w:r>
    </w:p>
    <w:p w:rsidR="000B1282" w:rsidRDefault="002B74D2">
      <w:pPr>
        <w:spacing w:line="360" w:lineRule="auto"/>
        <w:jc w:val="both"/>
        <w:rPr>
          <w:rFonts w:ascii="Arial" w:eastAsia="Arial" w:hAnsi="Arial" w:cs="Arial"/>
          <w:sz w:val="24"/>
          <w:szCs w:val="24"/>
        </w:rPr>
      </w:pPr>
      <w:r>
        <w:rPr>
          <w:rFonts w:ascii="Arial" w:eastAsia="Arial" w:hAnsi="Arial" w:cs="Arial"/>
          <w:b/>
          <w:sz w:val="24"/>
          <w:szCs w:val="24"/>
        </w:rPr>
        <w:t>Artículo 361.</w:t>
      </w:r>
      <w:r>
        <w:rPr>
          <w:rFonts w:ascii="Arial" w:eastAsia="Arial" w:hAnsi="Arial" w:cs="Arial"/>
          <w:sz w:val="24"/>
          <w:szCs w:val="24"/>
        </w:rPr>
        <w:t xml:space="preserve">  </w:t>
      </w:r>
      <w:r>
        <w:rPr>
          <w:rFonts w:ascii="Arial" w:eastAsia="Arial" w:hAnsi="Arial" w:cs="Arial"/>
          <w:color w:val="000000"/>
          <w:sz w:val="24"/>
          <w:szCs w:val="24"/>
        </w:rPr>
        <w:t>Artículo modificado por el artículo </w:t>
      </w:r>
      <w:hyperlink r:id="rId20" w:anchor="2">
        <w:r>
          <w:rPr>
            <w:rFonts w:ascii="Arial" w:eastAsia="Arial" w:hAnsi="Arial" w:cs="Arial"/>
            <w:color w:val="000000"/>
            <w:sz w:val="24"/>
            <w:szCs w:val="24"/>
            <w:u w:val="single"/>
          </w:rPr>
          <w:t>2</w:t>
        </w:r>
      </w:hyperlink>
      <w:r>
        <w:rPr>
          <w:rFonts w:ascii="Arial" w:eastAsia="Arial" w:hAnsi="Arial" w:cs="Arial"/>
          <w:color w:val="000000"/>
          <w:sz w:val="24"/>
          <w:szCs w:val="24"/>
        </w:rPr>
        <w:t> del Acto Legislativo 5 de 2011:</w:t>
      </w:r>
    </w:p>
    <w:p w:rsidR="000B1282" w:rsidRDefault="002B74D2">
      <w:pPr>
        <w:spacing w:line="360" w:lineRule="auto"/>
        <w:ind w:left="567" w:right="566"/>
        <w:jc w:val="both"/>
        <w:rPr>
          <w:rFonts w:ascii="Arial" w:eastAsia="Arial" w:hAnsi="Arial" w:cs="Arial"/>
          <w:b/>
          <w:sz w:val="24"/>
          <w:szCs w:val="24"/>
        </w:rPr>
      </w:pPr>
      <w:r>
        <w:rPr>
          <w:rFonts w:ascii="Arial" w:eastAsia="Arial" w:hAnsi="Arial" w:cs="Arial"/>
          <w:sz w:val="24"/>
          <w:szCs w:val="24"/>
        </w:rPr>
        <w:t xml:space="preserve">   “(…) Los departamentos, municipios y distritos en cuyo territorio se adelanten explotaciones de recursos naturales no renovables, así como </w:t>
      </w:r>
      <w:r>
        <w:rPr>
          <w:rFonts w:ascii="Arial" w:eastAsia="Arial" w:hAnsi="Arial" w:cs="Arial"/>
          <w:b/>
          <w:sz w:val="24"/>
          <w:szCs w:val="24"/>
          <w:u w:val="single"/>
        </w:rPr>
        <w:t>los municipios y distritos con puertos marítimos y fluviales por donde se transporten dichos recursos o productos derivados de los mismos, tendrán derecho a participar en las regalías y compensaciones, así como a ejecutar directamente estos recursos</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 [Énfasis propio].</w:t>
      </w:r>
    </w:p>
    <w:p w:rsidR="000B1282" w:rsidRDefault="002B74D2">
      <w:pPr>
        <w:spacing w:line="360" w:lineRule="auto"/>
        <w:ind w:right="49"/>
        <w:jc w:val="both"/>
        <w:rPr>
          <w:rFonts w:ascii="Arial" w:eastAsia="Arial" w:hAnsi="Arial" w:cs="Arial"/>
          <w:sz w:val="24"/>
          <w:szCs w:val="24"/>
        </w:rPr>
      </w:pPr>
      <w:r>
        <w:rPr>
          <w:rFonts w:ascii="Arial" w:eastAsia="Arial" w:hAnsi="Arial" w:cs="Arial"/>
          <w:sz w:val="24"/>
          <w:szCs w:val="24"/>
        </w:rPr>
        <w:lastRenderedPageBreak/>
        <w:t xml:space="preserve">Desde este artículo nos deja apreciar que los municipios y distritos donde operan puertos obtengan una compensación mediante recursos para que sean ejecutados directamente. El anterior artículo constitucional ha sido desarrollado mediante el artículo 7 de la ley 1 de 1991 el cual en un principio quedó así: </w:t>
      </w:r>
    </w:p>
    <w:p w:rsidR="000B1282" w:rsidRDefault="002B74D2">
      <w:pPr>
        <w:spacing w:line="360" w:lineRule="auto"/>
        <w:ind w:left="567" w:right="566"/>
        <w:jc w:val="both"/>
        <w:rPr>
          <w:rFonts w:ascii="Arial" w:eastAsia="Arial" w:hAnsi="Arial" w:cs="Arial"/>
          <w:sz w:val="24"/>
          <w:szCs w:val="24"/>
        </w:rPr>
      </w:pPr>
      <w:r>
        <w:rPr>
          <w:rFonts w:ascii="Arial" w:eastAsia="Arial" w:hAnsi="Arial" w:cs="Arial"/>
          <w:b/>
          <w:sz w:val="24"/>
          <w:szCs w:val="24"/>
        </w:rPr>
        <w:t>“ARTÍCULO 7º.</w:t>
      </w:r>
      <w:r>
        <w:rPr>
          <w:rFonts w:ascii="Arial" w:eastAsia="Arial" w:hAnsi="Arial" w:cs="Arial"/>
          <w:sz w:val="24"/>
          <w:szCs w:val="24"/>
        </w:rPr>
        <w:t xml:space="preserve"> </w:t>
      </w:r>
      <w:r>
        <w:rPr>
          <w:rFonts w:ascii="Arial" w:eastAsia="Arial" w:hAnsi="Arial" w:cs="Arial"/>
          <w:b/>
          <w:i/>
          <w:sz w:val="24"/>
          <w:szCs w:val="24"/>
        </w:rPr>
        <w:t>Monto de la contraprestación</w:t>
      </w:r>
      <w:r>
        <w:rPr>
          <w:rFonts w:ascii="Arial" w:eastAsia="Arial" w:hAnsi="Arial" w:cs="Arial"/>
          <w:sz w:val="24"/>
          <w:szCs w:val="24"/>
        </w:rPr>
        <w:t>. Periódicamente el Gobierno Nacional definirá, por vía general, en los planes de expansión portuaria, la metodología para calcular el valor de las contraprestaciones que deben dar quienes se beneficien con las concesiones portuarias.</w:t>
      </w:r>
    </w:p>
    <w:p w:rsidR="000B1282" w:rsidRDefault="002B74D2">
      <w:pPr>
        <w:spacing w:line="360" w:lineRule="auto"/>
        <w:ind w:left="567" w:right="566"/>
        <w:jc w:val="both"/>
        <w:rPr>
          <w:rFonts w:ascii="Arial" w:eastAsia="Arial" w:hAnsi="Arial" w:cs="Arial"/>
          <w:sz w:val="24"/>
          <w:szCs w:val="24"/>
        </w:rPr>
      </w:pPr>
      <w:r>
        <w:rPr>
          <w:rFonts w:ascii="Arial" w:eastAsia="Arial" w:hAnsi="Arial" w:cs="Arial"/>
          <w:b/>
          <w:sz w:val="24"/>
          <w:szCs w:val="24"/>
          <w:u w:val="single"/>
        </w:rPr>
        <w:t>Esta contraprestación se otorgará a la Nación y a los municipios o distritos en donde opere el puerto, en proporción de un 80% a la primera y un 20% a la segunda</w:t>
      </w:r>
      <w:r>
        <w:rPr>
          <w:rFonts w:ascii="Arial" w:eastAsia="Arial" w:hAnsi="Arial" w:cs="Arial"/>
          <w:sz w:val="24"/>
          <w:szCs w:val="24"/>
        </w:rPr>
        <w:t>. Para efectos de la metodología, el Gobierno deberá tener en cuenta escasez de los bienes públicos utilizables, los riesgos y costos de contaminación, los usos alternativos, y las condiciones físicas y jurídicas que deberían cumplirse para poder poner en marcha y funcionamiento el terminal portuario. Una vez establecido el valor de la contraprestación, no es susceptible de modificarse.</w:t>
      </w:r>
    </w:p>
    <w:p w:rsidR="000B1282" w:rsidRDefault="002B74D2">
      <w:pPr>
        <w:shd w:val="clear" w:color="auto" w:fill="FFFFFF"/>
        <w:spacing w:before="150" w:after="0" w:line="360" w:lineRule="auto"/>
        <w:ind w:left="567" w:right="566"/>
        <w:jc w:val="both"/>
        <w:rPr>
          <w:rFonts w:ascii="Arial" w:eastAsia="Arial" w:hAnsi="Arial" w:cs="Arial"/>
          <w:b/>
          <w:sz w:val="24"/>
          <w:szCs w:val="24"/>
          <w:u w:val="single"/>
        </w:rPr>
      </w:pPr>
      <w:r>
        <w:rPr>
          <w:rFonts w:ascii="Arial" w:eastAsia="Arial" w:hAnsi="Arial" w:cs="Arial"/>
          <w:b/>
          <w:sz w:val="24"/>
          <w:szCs w:val="24"/>
          <w:u w:val="single"/>
        </w:rPr>
        <w:t xml:space="preserve">Todas las sociedades portuarias pagarán una contraprestación por las concesiones portuarias. </w:t>
      </w:r>
      <w:r>
        <w:rPr>
          <w:rFonts w:ascii="Arial" w:eastAsia="Arial" w:hAnsi="Arial" w:cs="Arial"/>
          <w:sz w:val="24"/>
          <w:szCs w:val="24"/>
        </w:rPr>
        <w:t>Sin embargo</w:t>
      </w:r>
      <w:r>
        <w:rPr>
          <w:rFonts w:ascii="Arial" w:eastAsia="Arial" w:hAnsi="Arial" w:cs="Arial"/>
          <w:b/>
          <w:sz w:val="24"/>
          <w:szCs w:val="24"/>
        </w:rPr>
        <w:t>:</w:t>
      </w:r>
    </w:p>
    <w:p w:rsidR="000B1282" w:rsidRDefault="002B74D2">
      <w:pPr>
        <w:shd w:val="clear" w:color="auto" w:fill="FFFFFF"/>
        <w:spacing w:before="150" w:after="0" w:line="360" w:lineRule="auto"/>
        <w:ind w:left="567" w:right="566"/>
        <w:jc w:val="both"/>
        <w:rPr>
          <w:rFonts w:ascii="Arial" w:eastAsia="Arial" w:hAnsi="Arial" w:cs="Arial"/>
          <w:sz w:val="24"/>
          <w:szCs w:val="24"/>
        </w:rPr>
      </w:pPr>
      <w:r>
        <w:rPr>
          <w:rFonts w:ascii="Arial" w:eastAsia="Arial" w:hAnsi="Arial" w:cs="Arial"/>
          <w:sz w:val="24"/>
          <w:szCs w:val="24"/>
        </w:rPr>
        <w:t> 7.1. Si la Nación lo acepta, una sociedad portuaria puede pagar en acciones el monto de la contraprestación durante el período inicial de sus operaciones, y sin que el porcentaje del capital que la Nación adquiera por este sistema llegue a exceder del 20% del capital social.</w:t>
      </w:r>
    </w:p>
    <w:p w:rsidR="000B1282" w:rsidRDefault="002B74D2">
      <w:pPr>
        <w:shd w:val="clear" w:color="auto" w:fill="FFFFFF"/>
        <w:spacing w:before="150" w:after="0" w:line="360" w:lineRule="auto"/>
        <w:ind w:left="567" w:right="566"/>
        <w:jc w:val="both"/>
        <w:rPr>
          <w:rFonts w:ascii="Arial" w:eastAsia="Arial" w:hAnsi="Arial" w:cs="Arial"/>
          <w:sz w:val="24"/>
          <w:szCs w:val="24"/>
        </w:rPr>
      </w:pPr>
      <w:r>
        <w:rPr>
          <w:rFonts w:ascii="Arial" w:eastAsia="Arial" w:hAnsi="Arial" w:cs="Arial"/>
          <w:sz w:val="24"/>
          <w:szCs w:val="24"/>
        </w:rPr>
        <w:t> 7.2. Las demás entidades públicas que hagan parte de sociedades portuarias podrán incluir en sus respectivos presupuestos apropiaciones para aumentar su participación en el capital, facilitando así el pago de la contraprestación.</w:t>
      </w:r>
    </w:p>
    <w:p w:rsidR="000B1282" w:rsidRDefault="000B1282">
      <w:pPr>
        <w:spacing w:line="360" w:lineRule="auto"/>
        <w:jc w:val="both"/>
        <w:rPr>
          <w:rFonts w:ascii="Arial" w:eastAsia="Arial" w:hAnsi="Arial" w:cs="Arial"/>
          <w:sz w:val="24"/>
          <w:szCs w:val="24"/>
        </w:rPr>
      </w:pP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El artículo antes mencionado de la ley 1 de 1991 se modificó por medio del Artículo 1 de la Ley 856 de 2003 el cual estipula lo siguiente:</w:t>
      </w:r>
    </w:p>
    <w:p w:rsidR="000B1282" w:rsidRDefault="002B74D2">
      <w:pPr>
        <w:spacing w:line="360" w:lineRule="auto"/>
        <w:ind w:left="567" w:right="566"/>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sz w:val="24"/>
          <w:szCs w:val="24"/>
        </w:rPr>
        <w:t xml:space="preserve"> </w:t>
      </w:r>
      <w:r>
        <w:rPr>
          <w:rFonts w:ascii="Arial" w:eastAsia="Arial" w:hAnsi="Arial" w:cs="Arial"/>
          <w:b/>
          <w:i/>
          <w:sz w:val="24"/>
          <w:szCs w:val="24"/>
        </w:rPr>
        <w:t>Monto de la contraprestación</w:t>
      </w:r>
      <w:r>
        <w:rPr>
          <w:rFonts w:ascii="Arial" w:eastAsia="Arial" w:hAnsi="Arial" w:cs="Arial"/>
          <w:sz w:val="24"/>
          <w:szCs w:val="24"/>
        </w:rPr>
        <w:t xml:space="preserve">. Periódicamente el Gobierno Nacional definirá, en los planes de expansión portuaria, la metodología para calcular el valor de las contraprestaciones que deben pagar quienes obtengan una concesión o licencia portuaria, por concepto del uso y goce temporal y exclusivo de las zonas de uso público y por concepto del uso de la infraestructura allí existente.   </w:t>
      </w:r>
    </w:p>
    <w:p w:rsidR="000B1282" w:rsidRDefault="002B74D2">
      <w:pPr>
        <w:spacing w:line="360" w:lineRule="auto"/>
        <w:ind w:left="567" w:right="566"/>
        <w:jc w:val="both"/>
        <w:rPr>
          <w:rFonts w:ascii="Arial" w:eastAsia="Arial" w:hAnsi="Arial" w:cs="Arial"/>
          <w:sz w:val="24"/>
          <w:szCs w:val="24"/>
        </w:rPr>
      </w:pPr>
      <w:r>
        <w:rPr>
          <w:rFonts w:ascii="Arial" w:eastAsia="Arial" w:hAnsi="Arial" w:cs="Arial"/>
          <w:b/>
          <w:sz w:val="24"/>
          <w:szCs w:val="24"/>
          <w:u w:val="single"/>
        </w:rPr>
        <w:t>Las contraprestaciones por el uso y goce temporal y exclusivo de las zonas de uso público</w:t>
      </w:r>
      <w:r>
        <w:rPr>
          <w:rFonts w:ascii="Arial" w:eastAsia="Arial" w:hAnsi="Arial" w:cs="Arial"/>
          <w:sz w:val="24"/>
          <w:szCs w:val="24"/>
        </w:rPr>
        <w:t xml:space="preserve"> las </w:t>
      </w:r>
      <w:r>
        <w:rPr>
          <w:rFonts w:ascii="Arial" w:eastAsia="Arial" w:hAnsi="Arial" w:cs="Arial"/>
          <w:b/>
          <w:sz w:val="24"/>
          <w:szCs w:val="24"/>
          <w:u w:val="single"/>
        </w:rPr>
        <w:t xml:space="preserve">recibirá la Nación a través del Instituto Nacional de Vías, </w:t>
      </w:r>
      <w:proofErr w:type="spellStart"/>
      <w:r>
        <w:rPr>
          <w:rFonts w:ascii="Arial" w:eastAsia="Arial" w:hAnsi="Arial" w:cs="Arial"/>
          <w:b/>
          <w:sz w:val="24"/>
          <w:szCs w:val="24"/>
          <w:u w:val="single"/>
        </w:rPr>
        <w:t>Invías</w:t>
      </w:r>
      <w:proofErr w:type="spellEnd"/>
      <w:r>
        <w:rPr>
          <w:rFonts w:ascii="Arial" w:eastAsia="Arial" w:hAnsi="Arial" w:cs="Arial"/>
          <w:sz w:val="24"/>
          <w:szCs w:val="24"/>
        </w:rPr>
        <w:t xml:space="preserve">, o quien haga sus veces, incorporándose a los ingresos propios de dicha entidad, y a los municipios o distritos donde opere el puerto. </w:t>
      </w:r>
      <w:r>
        <w:rPr>
          <w:rFonts w:ascii="Arial" w:eastAsia="Arial" w:hAnsi="Arial" w:cs="Arial"/>
          <w:b/>
          <w:sz w:val="24"/>
          <w:szCs w:val="24"/>
          <w:u w:val="single"/>
        </w:rPr>
        <w:t>La proporción será:</w:t>
      </w:r>
      <w:r>
        <w:rPr>
          <w:rFonts w:ascii="Arial" w:eastAsia="Arial" w:hAnsi="Arial" w:cs="Arial"/>
          <w:sz w:val="24"/>
          <w:szCs w:val="24"/>
        </w:rPr>
        <w:t xml:space="preserve"> </w:t>
      </w:r>
      <w:r>
        <w:rPr>
          <w:rFonts w:ascii="Arial" w:eastAsia="Arial" w:hAnsi="Arial" w:cs="Arial"/>
          <w:b/>
          <w:sz w:val="24"/>
          <w:szCs w:val="24"/>
          <w:u w:val="single"/>
        </w:rPr>
        <w:t xml:space="preserve">De un ochenta por ciento (80%) a la entidad Nacional, y un veinte por ciento (20%) </w:t>
      </w:r>
      <w:r>
        <w:rPr>
          <w:rFonts w:ascii="Arial" w:eastAsia="Arial" w:hAnsi="Arial" w:cs="Arial"/>
          <w:sz w:val="24"/>
          <w:szCs w:val="24"/>
        </w:rPr>
        <w:t xml:space="preserve">a los municipios o distritos, destinados a inversión social. Las </w:t>
      </w:r>
      <w:r>
        <w:rPr>
          <w:rFonts w:ascii="Arial" w:eastAsia="Arial" w:hAnsi="Arial" w:cs="Arial"/>
          <w:b/>
          <w:sz w:val="24"/>
          <w:szCs w:val="24"/>
          <w:u w:val="single"/>
        </w:rPr>
        <w:t xml:space="preserve">contraprestaciones por el uso de la infraestructura las recibirá en su totalidad el Instituto Nacional de Vías, </w:t>
      </w:r>
      <w:proofErr w:type="spellStart"/>
      <w:r>
        <w:rPr>
          <w:rFonts w:ascii="Arial" w:eastAsia="Arial" w:hAnsi="Arial" w:cs="Arial"/>
          <w:b/>
          <w:sz w:val="24"/>
          <w:szCs w:val="24"/>
          <w:u w:val="single"/>
        </w:rPr>
        <w:t>Invías</w:t>
      </w:r>
      <w:proofErr w:type="spellEnd"/>
      <w:r>
        <w:rPr>
          <w:rFonts w:ascii="Arial" w:eastAsia="Arial" w:hAnsi="Arial" w:cs="Arial"/>
          <w:sz w:val="24"/>
          <w:szCs w:val="24"/>
        </w:rPr>
        <w:t xml:space="preserve">, o quien haga sus veces. </w:t>
      </w:r>
      <w:r>
        <w:rPr>
          <w:rFonts w:ascii="Arial" w:eastAsia="Arial" w:hAnsi="Arial" w:cs="Arial"/>
          <w:b/>
          <w:sz w:val="24"/>
          <w:szCs w:val="24"/>
        </w:rPr>
        <w:t>[Énfasis propio]</w:t>
      </w:r>
      <w:r>
        <w:rPr>
          <w:rFonts w:ascii="Arial" w:eastAsia="Arial" w:hAnsi="Arial" w:cs="Arial"/>
          <w:sz w:val="24"/>
          <w:szCs w:val="24"/>
        </w:rPr>
        <w:t xml:space="preserve">  </w:t>
      </w:r>
    </w:p>
    <w:p w:rsidR="000B1282" w:rsidRDefault="002B74D2">
      <w:pPr>
        <w:spacing w:line="360" w:lineRule="auto"/>
        <w:ind w:left="567" w:right="566"/>
        <w:jc w:val="both"/>
        <w:rPr>
          <w:rFonts w:ascii="Arial" w:eastAsia="Arial" w:hAnsi="Arial" w:cs="Arial"/>
          <w:sz w:val="24"/>
          <w:szCs w:val="24"/>
        </w:rPr>
      </w:pPr>
      <w:r>
        <w:rPr>
          <w:rFonts w:ascii="Arial" w:eastAsia="Arial" w:hAnsi="Arial" w:cs="Arial"/>
          <w:sz w:val="24"/>
          <w:szCs w:val="24"/>
        </w:rPr>
        <w:t xml:space="preserve">En el caso de San Andrés la contraprestación del veinte por ciento (20%) por el uso y goce temporal y exclusivo de las zonas de uso público se pagará al departamento por no existir municipio en dicha isla. </w:t>
      </w:r>
    </w:p>
    <w:p w:rsidR="000B1282" w:rsidRDefault="002B74D2">
      <w:pPr>
        <w:spacing w:line="360" w:lineRule="auto"/>
        <w:ind w:left="567" w:right="566"/>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w:t>
      </w:r>
      <w:r>
        <w:rPr>
          <w:rFonts w:ascii="Arial" w:eastAsia="Arial" w:hAnsi="Arial" w:cs="Arial"/>
          <w:b/>
          <w:sz w:val="24"/>
          <w:szCs w:val="24"/>
          <w:u w:val="single"/>
        </w:rPr>
        <w:t>La contraprestación que reciba la Nación por concepto de zonas de uso público e infraestructura</w:t>
      </w:r>
      <w:r>
        <w:rPr>
          <w:rFonts w:ascii="Arial" w:eastAsia="Arial" w:hAnsi="Arial" w:cs="Arial"/>
          <w:sz w:val="24"/>
          <w:szCs w:val="24"/>
        </w:rPr>
        <w:t xml:space="preserve"> a través del Instituto Nacional de Vías, </w:t>
      </w:r>
      <w:proofErr w:type="spellStart"/>
      <w:r>
        <w:rPr>
          <w:rFonts w:ascii="Arial" w:eastAsia="Arial" w:hAnsi="Arial" w:cs="Arial"/>
          <w:sz w:val="24"/>
          <w:szCs w:val="24"/>
        </w:rPr>
        <w:t>Invías</w:t>
      </w:r>
      <w:proofErr w:type="spellEnd"/>
      <w:r>
        <w:rPr>
          <w:rFonts w:ascii="Arial" w:eastAsia="Arial" w:hAnsi="Arial" w:cs="Arial"/>
          <w:sz w:val="24"/>
          <w:szCs w:val="24"/>
        </w:rPr>
        <w:t>, o quien haga sus veces</w:t>
      </w:r>
      <w:r>
        <w:rPr>
          <w:rFonts w:ascii="Arial" w:eastAsia="Arial" w:hAnsi="Arial" w:cs="Arial"/>
          <w:b/>
          <w:sz w:val="24"/>
          <w:szCs w:val="24"/>
          <w:u w:val="single"/>
        </w:rPr>
        <w:t>, se destinará especialmente a la</w:t>
      </w:r>
      <w:r>
        <w:rPr>
          <w:rFonts w:ascii="Arial" w:eastAsia="Arial" w:hAnsi="Arial" w:cs="Arial"/>
          <w:sz w:val="24"/>
          <w:szCs w:val="24"/>
          <w:u w:val="single"/>
        </w:rPr>
        <w:t xml:space="preserve"> </w:t>
      </w:r>
      <w:r>
        <w:rPr>
          <w:rFonts w:ascii="Arial" w:eastAsia="Arial" w:hAnsi="Arial" w:cs="Arial"/>
          <w:b/>
          <w:sz w:val="24"/>
          <w:szCs w:val="24"/>
          <w:u w:val="single"/>
        </w:rPr>
        <w:t>ejecución de obras</w:t>
      </w:r>
      <w:r>
        <w:rPr>
          <w:rFonts w:ascii="Arial" w:eastAsia="Arial" w:hAnsi="Arial" w:cs="Arial"/>
          <w:sz w:val="24"/>
          <w:szCs w:val="24"/>
        </w:rPr>
        <w:t xml:space="preserve"> y mantenimiento para la protección de la zona costera, dragado de mantenimiento y/o profundización, construcción y/o mantenimiento de estructuras </w:t>
      </w:r>
      <w:r>
        <w:rPr>
          <w:rFonts w:ascii="Arial" w:eastAsia="Arial" w:hAnsi="Arial" w:cs="Arial"/>
          <w:sz w:val="24"/>
          <w:szCs w:val="24"/>
        </w:rPr>
        <w:lastRenderedPageBreak/>
        <w:t xml:space="preserve">hidráulicas de los canales de acceso a todos los puertos a cargo de la Nación, para el diseño, construcción, ampliación, rehabilitación y mantenimiento de las vías de acceso terrestre, férrea, acuático y fluvial, a los puertos del respectivo distrito o municipio portuario y a las obras de mitigación ambiental en el área de influencia tanto marítima como terrestre. </w:t>
      </w:r>
      <w:r>
        <w:rPr>
          <w:rFonts w:ascii="Arial" w:eastAsia="Arial" w:hAnsi="Arial" w:cs="Arial"/>
          <w:b/>
          <w:sz w:val="24"/>
          <w:szCs w:val="24"/>
        </w:rPr>
        <w:t>[Énfasis propio]</w:t>
      </w:r>
    </w:p>
    <w:p w:rsidR="000B1282" w:rsidRDefault="002B74D2">
      <w:pPr>
        <w:spacing w:line="360" w:lineRule="auto"/>
        <w:ind w:left="567" w:right="566"/>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El canal de acceso del Puerto de Barranquilla y sus obras complementarias estarán a cargo de la Nación, para lo cual podrán destinar los recursos a que se refiere el presente artículo, sin perjuicio de que otras entidades incluida Cormagdalena, concurran con financiación y realización de obras necesarias. </w:t>
      </w:r>
    </w:p>
    <w:p w:rsidR="000B1282" w:rsidRDefault="002B74D2">
      <w:pPr>
        <w:spacing w:line="360" w:lineRule="auto"/>
        <w:ind w:left="567" w:right="566"/>
        <w:jc w:val="both"/>
        <w:rPr>
          <w:rFonts w:ascii="Arial" w:eastAsia="Arial" w:hAnsi="Arial" w:cs="Arial"/>
          <w:sz w:val="24"/>
          <w:szCs w:val="24"/>
        </w:rPr>
      </w:pPr>
      <w:r>
        <w:rPr>
          <w:rFonts w:ascii="Arial" w:eastAsia="Arial" w:hAnsi="Arial" w:cs="Arial"/>
          <w:b/>
          <w:sz w:val="24"/>
          <w:szCs w:val="24"/>
        </w:rPr>
        <w:t>PARÁGRAFO 3°.</w:t>
      </w:r>
      <w:r>
        <w:rPr>
          <w:rFonts w:ascii="Arial" w:eastAsia="Arial" w:hAnsi="Arial" w:cs="Arial"/>
          <w:sz w:val="24"/>
          <w:szCs w:val="24"/>
        </w:rPr>
        <w:t xml:space="preserve"> La ejecución de los recursos por percibir y los que se perciban por concepto de las contraprestaciones a que se refiere el presente artículo, a partir de la vigencia de la presente ley por cada puerto, se hará en una proporción igual al valor de la contraprestación aportada por cada puerto para financiar las actividades a que se refiere el parágrafo primero del presente artículo.   </w:t>
      </w:r>
    </w:p>
    <w:p w:rsidR="000B1282" w:rsidRDefault="002B74D2">
      <w:pPr>
        <w:spacing w:line="360" w:lineRule="auto"/>
        <w:ind w:left="567" w:right="566"/>
        <w:jc w:val="both"/>
        <w:rPr>
          <w:rFonts w:ascii="Arial" w:eastAsia="Arial" w:hAnsi="Arial" w:cs="Arial"/>
          <w:sz w:val="24"/>
          <w:szCs w:val="24"/>
        </w:rPr>
      </w:pPr>
      <w:r>
        <w:rPr>
          <w:rFonts w:ascii="Arial" w:eastAsia="Arial" w:hAnsi="Arial" w:cs="Arial"/>
          <w:b/>
          <w:sz w:val="24"/>
          <w:szCs w:val="24"/>
        </w:rPr>
        <w:t>PARÁGRAFO 4</w:t>
      </w:r>
      <w:r>
        <w:rPr>
          <w:rFonts w:ascii="Arial" w:eastAsia="Arial" w:hAnsi="Arial" w:cs="Arial"/>
          <w:sz w:val="24"/>
          <w:szCs w:val="24"/>
        </w:rPr>
        <w:t>°. El Canal de acceso al puerto de Cartagena, incluido el Canal del Dique, podrá invertir la contraprestación que reciba la Nación por concepto de zonas de uso público e infraestructuras en obras complementarias y de mitigación del impacto ambiental, de acuerdo con lo previsto en el parágrafo primero del presente artículo.”</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En rango constitucional el artículo 361 que estipula que los municipios y distritos con puertos marítimos y fluviales tiene derecho a participar por regalías y compensaciones, esto bajo la lógica que se beneficien por el privilegio de contar con un área de bajamar para explotación portuaria.</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 xml:space="preserve">En cuanto al artículo 7° de la ley 1 de 1991 (10 enero) estipula como se repartirá porcentualmente del monto de la contraprestación portuaria. En un primer </w:t>
      </w:r>
      <w:r>
        <w:rPr>
          <w:rFonts w:ascii="Arial" w:eastAsia="Arial" w:hAnsi="Arial" w:cs="Arial"/>
          <w:sz w:val="24"/>
          <w:szCs w:val="24"/>
        </w:rPr>
        <w:lastRenderedPageBreak/>
        <w:t xml:space="preserve">momento el monto por contraprestación se dividía así, 80% para la nación a través de INVIAS y tan solo un 20% para municipios y distritos donde operen puertos. </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 xml:space="preserve">Esto fue modificado, y se redujo aún más a lo que reciben los municipios y distritos al dividir las contraprestaciones portuarias en dos, esto por medio del artículo 1 de la ley 856 de 2003, quedando de la siguiente forma: una </w:t>
      </w:r>
      <w:r>
        <w:rPr>
          <w:rFonts w:ascii="Arial" w:eastAsia="Arial" w:hAnsi="Arial" w:cs="Arial"/>
          <w:sz w:val="24"/>
          <w:szCs w:val="24"/>
          <w:u w:val="single"/>
        </w:rPr>
        <w:t>por uso y goce temporal y el uso exclusivo de las zonas de uso público,</w:t>
      </w:r>
      <w:r>
        <w:rPr>
          <w:rFonts w:ascii="Arial" w:eastAsia="Arial" w:hAnsi="Arial" w:cs="Arial"/>
          <w:sz w:val="24"/>
          <w:szCs w:val="24"/>
        </w:rPr>
        <w:t xml:space="preserve"> en este caso el 80% va para INVIAS y nuevamente tan solo el 20% para la Nación y la nueva contraprestación que es </w:t>
      </w:r>
      <w:r>
        <w:rPr>
          <w:rFonts w:ascii="Arial" w:eastAsia="Arial" w:hAnsi="Arial" w:cs="Arial"/>
          <w:sz w:val="24"/>
          <w:szCs w:val="24"/>
          <w:u w:val="single"/>
        </w:rPr>
        <w:t>por el uso de la infraestructura</w:t>
      </w:r>
      <w:r>
        <w:rPr>
          <w:rFonts w:ascii="Arial" w:eastAsia="Arial" w:hAnsi="Arial" w:cs="Arial"/>
          <w:sz w:val="24"/>
          <w:szCs w:val="24"/>
        </w:rPr>
        <w:t xml:space="preserve"> iría en un 100% para INVIAS. </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Sin embargo, en el caso distribución de las contraprestaciones portuarias de Barranquilla es diferente ya que se aplica el 64 de la Ley 1242 de 2008 “</w:t>
      </w:r>
      <w:r>
        <w:rPr>
          <w:rFonts w:ascii="Arial" w:eastAsia="Arial" w:hAnsi="Arial" w:cs="Arial"/>
          <w:i/>
          <w:sz w:val="24"/>
          <w:szCs w:val="24"/>
        </w:rPr>
        <w:t xml:space="preserve">Por la cual se establece el Código Nacional de Navegación y Actividades Portuarias Fluviales y se dictan otras disposiciones” </w:t>
      </w:r>
      <w:r>
        <w:rPr>
          <w:rFonts w:ascii="Arial" w:eastAsia="Arial" w:hAnsi="Arial" w:cs="Arial"/>
          <w:sz w:val="24"/>
          <w:szCs w:val="24"/>
        </w:rPr>
        <w:t>el cual reza lo siguiente:</w:t>
      </w:r>
    </w:p>
    <w:p w:rsidR="000B1282" w:rsidRDefault="002B74D2">
      <w:pPr>
        <w:spacing w:line="360" w:lineRule="auto"/>
        <w:ind w:left="567" w:right="616"/>
        <w:jc w:val="both"/>
        <w:rPr>
          <w:rFonts w:ascii="Arial" w:eastAsia="Arial" w:hAnsi="Arial" w:cs="Arial"/>
          <w:sz w:val="24"/>
          <w:szCs w:val="24"/>
        </w:rPr>
      </w:pPr>
      <w:r>
        <w:rPr>
          <w:rFonts w:ascii="Arial" w:eastAsia="Arial" w:hAnsi="Arial" w:cs="Arial"/>
          <w:b/>
          <w:sz w:val="24"/>
          <w:szCs w:val="24"/>
        </w:rPr>
        <w:t>“ARTÍCULO 64.</w:t>
      </w:r>
      <w:r>
        <w:rPr>
          <w:rFonts w:ascii="Arial" w:eastAsia="Arial" w:hAnsi="Arial" w:cs="Arial"/>
          <w:sz w:val="24"/>
          <w:szCs w:val="24"/>
        </w:rPr>
        <w:t xml:space="preserve"> La concesión sobre los puertos fluviales a cargo de la Nación o de entidades competentes y la de los puertos privados que se construyan se regirán conforme a los procedimientos establecidos en la Ley 1ª de 1991 y las normas que la reglamenten o modifiquen. Los particulares que administren u operen puertos o muelles fluviales bajo cualquier modalidad diferente a la concesión tendrán un plazo de 18 meses a partir de la promulgación de la presente ley para que se homologuen o soliciten la concesión portuaria.</w:t>
      </w:r>
    </w:p>
    <w:p w:rsidR="000B1282" w:rsidRDefault="002B74D2">
      <w:pPr>
        <w:spacing w:line="360" w:lineRule="auto"/>
        <w:ind w:left="567" w:right="616"/>
        <w:jc w:val="both"/>
        <w:rPr>
          <w:rFonts w:ascii="Arial" w:eastAsia="Arial" w:hAnsi="Arial" w:cs="Arial"/>
          <w:sz w:val="24"/>
          <w:szCs w:val="24"/>
        </w:rPr>
      </w:pPr>
      <w:r>
        <w:rPr>
          <w:rFonts w:ascii="Arial" w:eastAsia="Arial" w:hAnsi="Arial" w:cs="Arial"/>
          <w:b/>
          <w:sz w:val="24"/>
          <w:szCs w:val="24"/>
        </w:rPr>
        <w:t>PARÁGRAFO 1o.</w:t>
      </w:r>
      <w:r>
        <w:rPr>
          <w:rFonts w:ascii="Arial" w:eastAsia="Arial" w:hAnsi="Arial" w:cs="Arial"/>
          <w:sz w:val="24"/>
          <w:szCs w:val="24"/>
        </w:rPr>
        <w:t xml:space="preserve"> El Gobierno Nacional por conducto del Ministerio de Transporte procederá a definir de inmediato los términos, el plazo y las contraprestaciones de las concesiones en los puertos fluviales que se encuentren ubicados en áreas portuarias diferentes a los últimos 30 kilómetros del río Magdalena.</w:t>
      </w:r>
    </w:p>
    <w:p w:rsidR="000B1282" w:rsidRDefault="002B74D2">
      <w:pPr>
        <w:spacing w:line="360" w:lineRule="auto"/>
        <w:ind w:left="567" w:right="616"/>
        <w:jc w:val="both"/>
        <w:rPr>
          <w:rFonts w:ascii="Arial" w:eastAsia="Arial" w:hAnsi="Arial" w:cs="Arial"/>
          <w:sz w:val="24"/>
          <w:szCs w:val="24"/>
        </w:rPr>
      </w:pPr>
      <w:r>
        <w:rPr>
          <w:rFonts w:ascii="Arial" w:eastAsia="Arial" w:hAnsi="Arial" w:cs="Arial"/>
          <w:b/>
          <w:sz w:val="24"/>
          <w:szCs w:val="24"/>
        </w:rPr>
        <w:t>PARÁGRAFO 2o.</w:t>
      </w:r>
      <w:r>
        <w:rPr>
          <w:rFonts w:ascii="Arial" w:eastAsia="Arial" w:hAnsi="Arial" w:cs="Arial"/>
          <w:sz w:val="24"/>
          <w:szCs w:val="24"/>
        </w:rPr>
        <w:t xml:space="preserve"> El Gobierno Nacional por conducto del Ministerio de Transporte procederá a definir de inmediato los términos en los cuales </w:t>
      </w:r>
      <w:r>
        <w:rPr>
          <w:rFonts w:ascii="Arial" w:eastAsia="Arial" w:hAnsi="Arial" w:cs="Arial"/>
          <w:sz w:val="24"/>
          <w:szCs w:val="24"/>
        </w:rPr>
        <w:lastRenderedPageBreak/>
        <w:t>se otorgarán las concesiones portuarias fluviales por parte de la entidad competente en cada vía fluvial.</w:t>
      </w:r>
    </w:p>
    <w:p w:rsidR="000B1282" w:rsidRDefault="002B74D2">
      <w:pPr>
        <w:spacing w:line="360" w:lineRule="auto"/>
        <w:ind w:left="567" w:right="616"/>
        <w:jc w:val="both"/>
        <w:rPr>
          <w:rFonts w:ascii="Arial" w:eastAsia="Arial" w:hAnsi="Arial" w:cs="Arial"/>
          <w:sz w:val="24"/>
          <w:szCs w:val="24"/>
        </w:rPr>
      </w:pPr>
      <w:r>
        <w:rPr>
          <w:rFonts w:ascii="Arial" w:eastAsia="Arial" w:hAnsi="Arial" w:cs="Arial"/>
          <w:b/>
          <w:sz w:val="24"/>
          <w:szCs w:val="24"/>
        </w:rPr>
        <w:t>PARÁGRAFO 3o.</w:t>
      </w:r>
      <w:r>
        <w:rPr>
          <w:rFonts w:ascii="Arial" w:eastAsia="Arial" w:hAnsi="Arial" w:cs="Arial"/>
          <w:sz w:val="24"/>
          <w:szCs w:val="24"/>
        </w:rPr>
        <w:t xml:space="preserve"> &lt;Parágrafo modificado por el artículo 1 de la Ley 1557 de 2012. El nuevo texto es el siguiente:&gt; En los últimos treinta kilómetros del río </w:t>
      </w:r>
      <w:r>
        <w:rPr>
          <w:rFonts w:ascii="Arial" w:eastAsia="Arial" w:hAnsi="Arial" w:cs="Arial"/>
          <w:sz w:val="24"/>
          <w:szCs w:val="24"/>
          <w:u w:val="single"/>
        </w:rPr>
        <w:t>Magdalena el 60% de la contraprestación por zona de uso público e infraestructura la recibirá la Corporación Autónoma Regional del Río Grande de la Magdalena (Cormagdalena),</w:t>
      </w:r>
      <w:r>
        <w:rPr>
          <w:rFonts w:ascii="Arial" w:eastAsia="Arial" w:hAnsi="Arial" w:cs="Arial"/>
          <w:sz w:val="24"/>
          <w:szCs w:val="24"/>
        </w:rPr>
        <w:t xml:space="preserve"> o quien haga sus veces, quien tendrá a cargo las obras de encauzamiento y mantenimiento en el canal de acceso a la Zona Portuaria de Barranquilla; </w:t>
      </w:r>
      <w:r>
        <w:rPr>
          <w:rFonts w:ascii="Arial" w:eastAsia="Arial" w:hAnsi="Arial" w:cs="Arial"/>
          <w:sz w:val="24"/>
          <w:szCs w:val="24"/>
          <w:u w:val="single"/>
        </w:rPr>
        <w:t>el restante 40% se destinará a los municipios o distritos destinados a reforestación y saneamiento básico.</w:t>
      </w:r>
      <w:r>
        <w:rPr>
          <w:rFonts w:ascii="Arial" w:eastAsia="Arial" w:hAnsi="Arial" w:cs="Arial"/>
          <w:sz w:val="24"/>
          <w:szCs w:val="24"/>
        </w:rPr>
        <w:t xml:space="preserve"> Para inversión en las vías de acceso terrestre a la zona portuaria de Barranquilla, Cormagdalena coordinará con el </w:t>
      </w:r>
      <w:proofErr w:type="spellStart"/>
      <w:r>
        <w:rPr>
          <w:rFonts w:ascii="Arial" w:eastAsia="Arial" w:hAnsi="Arial" w:cs="Arial"/>
          <w:sz w:val="24"/>
          <w:szCs w:val="24"/>
        </w:rPr>
        <w:t>Invías</w:t>
      </w:r>
      <w:proofErr w:type="spellEnd"/>
      <w:r>
        <w:rPr>
          <w:rFonts w:ascii="Arial" w:eastAsia="Arial" w:hAnsi="Arial" w:cs="Arial"/>
          <w:sz w:val="24"/>
          <w:szCs w:val="24"/>
        </w:rPr>
        <w:t xml:space="preserve"> los recursos que aportará para tal fin, de la contraprestación recibida.</w:t>
      </w:r>
    </w:p>
    <w:p w:rsidR="000B1282" w:rsidRDefault="002B74D2">
      <w:pPr>
        <w:spacing w:line="360" w:lineRule="auto"/>
        <w:ind w:left="567" w:right="616"/>
        <w:jc w:val="both"/>
        <w:rPr>
          <w:rFonts w:ascii="Arial" w:eastAsia="Arial" w:hAnsi="Arial" w:cs="Arial"/>
          <w:sz w:val="24"/>
          <w:szCs w:val="24"/>
        </w:rPr>
      </w:pPr>
      <w:r>
        <w:rPr>
          <w:rFonts w:ascii="Arial" w:eastAsia="Arial" w:hAnsi="Arial" w:cs="Arial"/>
          <w:sz w:val="24"/>
          <w:szCs w:val="24"/>
        </w:rPr>
        <w:t xml:space="preserve">Las contraprestaciones que el </w:t>
      </w:r>
      <w:proofErr w:type="spellStart"/>
      <w:r>
        <w:rPr>
          <w:rFonts w:ascii="Arial" w:eastAsia="Arial" w:hAnsi="Arial" w:cs="Arial"/>
          <w:sz w:val="24"/>
          <w:szCs w:val="24"/>
        </w:rPr>
        <w:t>Invías</w:t>
      </w:r>
      <w:proofErr w:type="spellEnd"/>
      <w:r>
        <w:rPr>
          <w:rFonts w:ascii="Arial" w:eastAsia="Arial" w:hAnsi="Arial" w:cs="Arial"/>
          <w:sz w:val="24"/>
          <w:szCs w:val="24"/>
        </w:rPr>
        <w:t xml:space="preserve"> tenga comprometidas en futuras vigencias hasta la entrada en vigencia de la presente ley, continuarán siendo recibidas por dicha entidad hasta su ejecución.</w:t>
      </w:r>
    </w:p>
    <w:p w:rsidR="000B1282" w:rsidRDefault="002B74D2">
      <w:pPr>
        <w:spacing w:line="360" w:lineRule="auto"/>
        <w:ind w:left="567" w:right="616"/>
        <w:jc w:val="both"/>
        <w:rPr>
          <w:rFonts w:ascii="Arial" w:eastAsia="Arial" w:hAnsi="Arial" w:cs="Arial"/>
          <w:sz w:val="24"/>
          <w:szCs w:val="24"/>
        </w:rPr>
      </w:pPr>
      <w:r>
        <w:rPr>
          <w:rFonts w:ascii="Arial" w:eastAsia="Arial" w:hAnsi="Arial" w:cs="Arial"/>
          <w:sz w:val="24"/>
          <w:szCs w:val="24"/>
        </w:rPr>
        <w:t>En todo caso, el Instituto Nacional de Vías (</w:t>
      </w:r>
      <w:proofErr w:type="spellStart"/>
      <w:r>
        <w:rPr>
          <w:rFonts w:ascii="Arial" w:eastAsia="Arial" w:hAnsi="Arial" w:cs="Arial"/>
          <w:sz w:val="24"/>
          <w:szCs w:val="24"/>
        </w:rPr>
        <w:t>Invías</w:t>
      </w:r>
      <w:proofErr w:type="spellEnd"/>
      <w:r>
        <w:rPr>
          <w:rFonts w:ascii="Arial" w:eastAsia="Arial" w:hAnsi="Arial" w:cs="Arial"/>
          <w:sz w:val="24"/>
          <w:szCs w:val="24"/>
        </w:rPr>
        <w:t>) o quien haga sus veces y las entidades del orden nacional y territorial, del nivel central y descentralizado podrán, de conformidad con lo establecido en la Ley 489 de 1998, aunar esfuerzos presupuestales, técnicos, físicos para adelantar obras de encauzamiento y mantenimiento de los últimos 30 kilómetros del río Magdalena, bajo la coordinación del Ministerio de Transporte.</w:t>
      </w:r>
    </w:p>
    <w:p w:rsidR="000B1282" w:rsidRDefault="002B74D2">
      <w:pPr>
        <w:spacing w:line="360" w:lineRule="auto"/>
        <w:ind w:left="567" w:right="616"/>
        <w:jc w:val="both"/>
        <w:rPr>
          <w:rFonts w:ascii="Arial" w:eastAsia="Arial" w:hAnsi="Arial" w:cs="Arial"/>
          <w:sz w:val="24"/>
          <w:szCs w:val="24"/>
        </w:rPr>
      </w:pPr>
      <w:r>
        <w:rPr>
          <w:rFonts w:ascii="Arial" w:eastAsia="Arial" w:hAnsi="Arial" w:cs="Arial"/>
          <w:sz w:val="24"/>
          <w:szCs w:val="24"/>
        </w:rPr>
        <w:t>La contraprestación por zonas de uso público en infraestructuras ubicadas en el resto del Río Magdalena como en sus conexiones fluviales de su competencia, las recibirá en su totalidad Cormagdalena.”</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Como se puede apreciar en el anterior articulo </w:t>
      </w:r>
      <w:proofErr w:type="spellStart"/>
      <w:r>
        <w:rPr>
          <w:rFonts w:ascii="Arial" w:eastAsia="Arial" w:hAnsi="Arial" w:cs="Arial"/>
          <w:sz w:val="24"/>
          <w:szCs w:val="24"/>
        </w:rPr>
        <w:t>mas</w:t>
      </w:r>
      <w:proofErr w:type="spellEnd"/>
      <w:r>
        <w:rPr>
          <w:rFonts w:ascii="Arial" w:eastAsia="Arial" w:hAnsi="Arial" w:cs="Arial"/>
          <w:sz w:val="24"/>
          <w:szCs w:val="24"/>
        </w:rPr>
        <w:t xml:space="preserve"> en específico el parágrafo tercero estipula que las contraprestaciones que se generan en los últimos treinta kilómetros del rio magdalena se distribuyen de la siguiente manera 60% para la Corporación Autónoma Regional del Río Grande de la Magdalena (Cormagdalena) y el 40% restante para los distritos y municipios, de esta forma para el caso de Barraquilla recibe 20% </w:t>
      </w:r>
      <w:proofErr w:type="spellStart"/>
      <w:r>
        <w:rPr>
          <w:rFonts w:ascii="Arial" w:eastAsia="Arial" w:hAnsi="Arial" w:cs="Arial"/>
          <w:sz w:val="24"/>
          <w:szCs w:val="24"/>
        </w:rPr>
        <w:t>mas</w:t>
      </w:r>
      <w:proofErr w:type="spellEnd"/>
      <w:r>
        <w:rPr>
          <w:rFonts w:ascii="Arial" w:eastAsia="Arial" w:hAnsi="Arial" w:cs="Arial"/>
          <w:sz w:val="24"/>
          <w:szCs w:val="24"/>
        </w:rPr>
        <w:t xml:space="preserve"> que el resto de los municipios portuarios generando así un inequidad competitiva. </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 xml:space="preserve">El marco legal de contraprestaciones portuarias no responde a preceptos constitucionales de justicia, equidad y descentralización, más aún se hace necesario cambiar estos porcentajes sabiendo de las grandes necesidades sociales como en salud, educación, servicios básicos domiciliarios, alcantarillado entre otros, que padecen los municipios y distritos donde operan puerto y que muchas veces debido a la falta de recursos no pueden invertir en solucionar las problemáticas sociales, por eso se hace necesario que estos municipios y distritos al tener el privilegio de contar con puertos, puedan beneficiarse de una manera justa de estos, sin desconocer que la Nación también deba beneficiarse. </w:t>
      </w:r>
    </w:p>
    <w:p w:rsidR="000B1282" w:rsidRDefault="002B74D2">
      <w:pPr>
        <w:numPr>
          <w:ilvl w:val="0"/>
          <w:numId w:val="5"/>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Antecedentes </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t xml:space="preserve">Una iniciativa similar fue presentada hace cuatro (6) años por el entonces senador Edison Delgado Ruiz, fue el proyecto de ley 015 de 2015 de Senado </w:t>
      </w:r>
      <w:r>
        <w:rPr>
          <w:rFonts w:ascii="Arial" w:eastAsia="Arial" w:hAnsi="Arial" w:cs="Arial"/>
          <w:i/>
          <w:sz w:val="24"/>
          <w:szCs w:val="24"/>
        </w:rPr>
        <w:t>“por medio de la cual se modifica el artículo 1° de la ley 856 de 2003 y se dictan otras disposiciones”.</w:t>
      </w:r>
      <w:r>
        <w:rPr>
          <w:rFonts w:ascii="Arial" w:eastAsia="Arial" w:hAnsi="Arial" w:cs="Arial"/>
          <w:sz w:val="24"/>
          <w:szCs w:val="24"/>
        </w:rPr>
        <w:t xml:space="preserve"> Esta iniciativa buscaba que los municipios y distritos donde funcionan puertos reciban el 60% de la contraprestación por el uso temporal de las playas y bajamares y de igual manera, el 60% de la contraprestación por el uso de la infraestructura. Las contraprestaciones por el uso y goce temporal y exclusivo de las zonas de uso público las recibirá la Nación a través del instituto nacional de vías – INVIAS, o quien haga sus veces, incorporándose a los ingresos propios de dicha entidad y los municipio o distritos donde opere el puerto.</w:t>
      </w:r>
    </w:p>
    <w:p w:rsidR="000B1282" w:rsidRDefault="002B74D2">
      <w:pPr>
        <w:spacing w:line="360" w:lineRule="auto"/>
        <w:jc w:val="both"/>
        <w:rPr>
          <w:rFonts w:ascii="Arial" w:eastAsia="Arial" w:hAnsi="Arial" w:cs="Arial"/>
          <w:sz w:val="24"/>
          <w:szCs w:val="24"/>
        </w:rPr>
      </w:pPr>
      <w:r>
        <w:rPr>
          <w:rFonts w:ascii="Arial" w:eastAsia="Arial" w:hAnsi="Arial" w:cs="Arial"/>
          <w:sz w:val="24"/>
          <w:szCs w:val="24"/>
        </w:rPr>
        <w:lastRenderedPageBreak/>
        <w:t>La anterior iniciativa mencionada llegó hasta segundo debate del Senado, pero fue archivada de acuerdo con el artículo 190 de la ley 5 de 1992 y 162 de la Constitución Política, vencimiento de términos.</w:t>
      </w:r>
    </w:p>
    <w:p w:rsidR="000B1282" w:rsidRDefault="002B74D2">
      <w:pPr>
        <w:pBdr>
          <w:top w:val="nil"/>
          <w:left w:val="nil"/>
          <w:bottom w:val="nil"/>
          <w:right w:val="nil"/>
          <w:between w:val="nil"/>
        </w:pBdr>
        <w:spacing w:after="0" w:line="360" w:lineRule="auto"/>
        <w:jc w:val="both"/>
        <w:rPr>
          <w:rFonts w:ascii="Arial" w:eastAsia="Arial" w:hAnsi="Arial" w:cs="Arial"/>
          <w:color w:val="221E1F"/>
          <w:sz w:val="24"/>
          <w:szCs w:val="24"/>
        </w:rPr>
      </w:pPr>
      <w:r>
        <w:rPr>
          <w:rFonts w:ascii="Arial" w:eastAsia="Arial" w:hAnsi="Arial" w:cs="Arial"/>
          <w:color w:val="221E1F"/>
          <w:sz w:val="24"/>
          <w:szCs w:val="24"/>
        </w:rPr>
        <w:t>Por su parte, el proyecto de ley No. 188 de 2019 Cámara, “</w:t>
      </w:r>
      <w:r>
        <w:rPr>
          <w:rFonts w:ascii="Arial" w:eastAsia="Arial" w:hAnsi="Arial" w:cs="Arial"/>
          <w:i/>
          <w:color w:val="221E1F"/>
          <w:sz w:val="24"/>
          <w:szCs w:val="24"/>
        </w:rPr>
        <w:t>P</w:t>
      </w:r>
      <w:r>
        <w:rPr>
          <w:rFonts w:ascii="Arial" w:eastAsia="Arial" w:hAnsi="Arial" w:cs="Arial"/>
          <w:color w:val="211D1E"/>
          <w:sz w:val="24"/>
          <w:szCs w:val="24"/>
        </w:rPr>
        <w:t xml:space="preserve">or </w:t>
      </w:r>
      <w:r>
        <w:rPr>
          <w:rFonts w:ascii="Arial" w:eastAsia="Arial" w:hAnsi="Arial" w:cs="Arial"/>
          <w:i/>
          <w:color w:val="211D1E"/>
          <w:sz w:val="24"/>
          <w:szCs w:val="24"/>
        </w:rPr>
        <w:t>medio del cual se modifica el porcentaje de repartición de las contraprestaciones portuarias</w:t>
      </w:r>
      <w:r>
        <w:rPr>
          <w:rFonts w:ascii="Arial" w:eastAsia="Arial" w:hAnsi="Arial" w:cs="Arial"/>
          <w:color w:val="221E1F"/>
          <w:sz w:val="24"/>
          <w:szCs w:val="24"/>
        </w:rPr>
        <w:t>” fue radicado el 21 de agosto 2019 en la secretaria general de la Cámara de Representantes, siendo autor el Honorable Representante a la Cámara León Fredy Muñoz Lopera. El texto original radica en la Gaceta 780 de 2019, este proyecto de contaba con el mismo espíritu de busca una distribución equitativa de las contraprestaciones portuarias. Los proyectos de ley 023 de 2019 Cámara y 188 de 2019 Cámara fueron acumulados por parte de la mesa directiva de la Comisión Sexta de la Cámara de Representantes. El texto acumulado radica en la en la Gaceta 1181 de 2019. El día 03 de junio de 2020 fue aprobado en primer debate en la comisión sexta constitucional por unanimidad.</w:t>
      </w:r>
    </w:p>
    <w:p w:rsidR="000B1282" w:rsidRDefault="000B1282">
      <w:pPr>
        <w:pBdr>
          <w:top w:val="nil"/>
          <w:left w:val="nil"/>
          <w:bottom w:val="nil"/>
          <w:right w:val="nil"/>
          <w:between w:val="nil"/>
        </w:pBdr>
        <w:spacing w:after="0" w:line="360" w:lineRule="auto"/>
        <w:jc w:val="both"/>
        <w:rPr>
          <w:rFonts w:ascii="Arial" w:eastAsia="Arial" w:hAnsi="Arial" w:cs="Arial"/>
          <w:color w:val="221E1F"/>
          <w:sz w:val="24"/>
          <w:szCs w:val="24"/>
        </w:rPr>
      </w:pPr>
    </w:p>
    <w:p w:rsidR="000B1282" w:rsidRDefault="002B74D2">
      <w:pPr>
        <w:pBdr>
          <w:top w:val="nil"/>
          <w:left w:val="nil"/>
          <w:bottom w:val="nil"/>
          <w:right w:val="nil"/>
          <w:between w:val="nil"/>
        </w:pBdr>
        <w:spacing w:after="0" w:line="360" w:lineRule="auto"/>
        <w:jc w:val="both"/>
        <w:rPr>
          <w:rFonts w:ascii="Arial" w:eastAsia="Arial" w:hAnsi="Arial" w:cs="Arial"/>
          <w:color w:val="221E1F"/>
          <w:sz w:val="24"/>
          <w:szCs w:val="24"/>
        </w:rPr>
      </w:pPr>
      <w:r>
        <w:rPr>
          <w:rFonts w:ascii="Arial" w:eastAsia="Arial" w:hAnsi="Arial" w:cs="Arial"/>
          <w:color w:val="221E1F"/>
          <w:sz w:val="24"/>
          <w:szCs w:val="24"/>
        </w:rPr>
        <w:t xml:space="preserve">Sin embargo, el proyecto de ley 023 de 2019 acumulado con el proyecto de ley 188 de 2019 fue archivado mediante votación en la plenaria de la cámara de representantes quedado 61 a favor y 90 votos en contra. </w:t>
      </w:r>
    </w:p>
    <w:p w:rsidR="000B1282" w:rsidRDefault="000B1282">
      <w:pPr>
        <w:pBdr>
          <w:top w:val="nil"/>
          <w:left w:val="nil"/>
          <w:bottom w:val="nil"/>
          <w:right w:val="nil"/>
          <w:between w:val="nil"/>
        </w:pBdr>
        <w:spacing w:after="0" w:line="360" w:lineRule="auto"/>
        <w:jc w:val="both"/>
        <w:rPr>
          <w:rFonts w:ascii="Arial" w:eastAsia="Arial" w:hAnsi="Arial" w:cs="Arial"/>
          <w:color w:val="000000"/>
          <w:sz w:val="24"/>
          <w:szCs w:val="24"/>
        </w:rPr>
      </w:pPr>
    </w:p>
    <w:p w:rsidR="000B1282" w:rsidRDefault="002B74D2">
      <w:pPr>
        <w:numPr>
          <w:ilvl w:val="0"/>
          <w:numId w:val="3"/>
        </w:num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IMPACTO FISCAL</w:t>
      </w:r>
    </w:p>
    <w:p w:rsidR="000B1282" w:rsidRDefault="000B1282">
      <w:pPr>
        <w:pBdr>
          <w:top w:val="nil"/>
          <w:left w:val="nil"/>
          <w:bottom w:val="nil"/>
          <w:right w:val="nil"/>
          <w:between w:val="nil"/>
        </w:pBdr>
        <w:spacing w:after="0" w:line="360" w:lineRule="auto"/>
        <w:ind w:left="720"/>
        <w:jc w:val="both"/>
        <w:rPr>
          <w:rFonts w:ascii="Arial" w:eastAsia="Arial" w:hAnsi="Arial" w:cs="Arial"/>
          <w:b/>
          <w:color w:val="000000"/>
          <w:sz w:val="24"/>
          <w:szCs w:val="24"/>
        </w:rPr>
      </w:pPr>
    </w:p>
    <w:p w:rsidR="000B1282" w:rsidRDefault="002B74D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De conformidad con lo establecido artículo 7° de la Ley 819 de 2003, los gastos que genere la presente iniciativa se entenderán incluidos en los presupuestos y en el Plan Operativo Anual de Inversión a que haya lugar.</w:t>
      </w:r>
    </w:p>
    <w:p w:rsidR="000B1282" w:rsidRDefault="000B1282">
      <w:pPr>
        <w:spacing w:after="0" w:line="360" w:lineRule="auto"/>
        <w:jc w:val="both"/>
        <w:rPr>
          <w:rFonts w:ascii="Arial" w:eastAsia="Arial" w:hAnsi="Arial" w:cs="Arial"/>
          <w:color w:val="000000"/>
          <w:sz w:val="24"/>
          <w:szCs w:val="24"/>
        </w:rPr>
      </w:pPr>
    </w:p>
    <w:p w:rsidR="000B1282" w:rsidRDefault="002B74D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Teniendo en cuenta lo anterior, y dada la obligación del Estado de velar por el interés general, así como de promover la autonomía de las entidades territoriales, es relevante mencionar que una vez promulgada la Ley, el Gobierno deberá promover su ejercicio y cumplimiento. Además, se debe tener en cuenta como </w:t>
      </w:r>
      <w:r>
        <w:rPr>
          <w:rFonts w:ascii="Arial" w:eastAsia="Arial" w:hAnsi="Arial" w:cs="Arial"/>
          <w:color w:val="000000"/>
          <w:sz w:val="24"/>
          <w:szCs w:val="24"/>
        </w:rPr>
        <w:lastRenderedPageBreak/>
        <w:t>sustento, un pronunciamiento de la Corte Constitucional, en la cual se puntualizó de acuerdo con la sentencia C-490 de 2011, lo siguiente:</w:t>
      </w:r>
    </w:p>
    <w:p w:rsidR="000B1282" w:rsidRDefault="000B1282">
      <w:pPr>
        <w:spacing w:after="0" w:line="240" w:lineRule="auto"/>
        <w:jc w:val="both"/>
        <w:rPr>
          <w:rFonts w:ascii="Arial" w:eastAsia="Arial" w:hAnsi="Arial" w:cs="Arial"/>
          <w:color w:val="000000"/>
          <w:sz w:val="24"/>
          <w:szCs w:val="24"/>
        </w:rPr>
      </w:pPr>
    </w:p>
    <w:p w:rsidR="000B1282" w:rsidRDefault="002B74D2">
      <w:pPr>
        <w:spacing w:after="0" w:line="276" w:lineRule="auto"/>
        <w:ind w:left="708" w:right="707"/>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u w:val="single"/>
        </w:rPr>
        <w:t>El mandato de adecuación entre la justificación de los proyectos de ley y la planeación de la política económica, empero, no puede comprenderse como un requisito de trámite para la aprobación de las iniciativas legislativas</w:t>
      </w:r>
      <w:r>
        <w:rPr>
          <w:rFonts w:ascii="Arial" w:eastAsia="Arial" w:hAnsi="Arial" w:cs="Arial"/>
          <w:color w:val="000000"/>
          <w:sz w:val="24"/>
          <w:szCs w:val="24"/>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(Resaltado fuera del texto).</w:t>
      </w:r>
    </w:p>
    <w:p w:rsidR="000B1282" w:rsidRDefault="000B1282">
      <w:pPr>
        <w:spacing w:after="0" w:line="360" w:lineRule="auto"/>
        <w:jc w:val="both"/>
        <w:rPr>
          <w:rFonts w:ascii="Arial" w:eastAsia="Arial" w:hAnsi="Arial" w:cs="Arial"/>
          <w:color w:val="000000"/>
          <w:sz w:val="24"/>
          <w:szCs w:val="24"/>
        </w:rPr>
      </w:pPr>
    </w:p>
    <w:p w:rsidR="000B1282" w:rsidRDefault="002B74D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Así mismo, la Corte Constitucional en la Sentencia C-502 de 2007, </w:t>
      </w:r>
      <w:r>
        <w:rPr>
          <w:rFonts w:ascii="Arial" w:eastAsia="Arial" w:hAnsi="Arial" w:cs="Arial"/>
          <w:b/>
          <w:color w:val="000000"/>
          <w:sz w:val="24"/>
          <w:szCs w:val="24"/>
          <w:u w:val="single"/>
        </w:rPr>
        <w:t>en la cual establecido que el impacto fiscal de las normas no puede convertirse en óbice y barrera para que las corporaciones públicas ejerzan su función legislativa y normativa</w:t>
      </w:r>
      <w:r>
        <w:rPr>
          <w:rFonts w:ascii="Arial" w:eastAsia="Arial" w:hAnsi="Arial" w:cs="Arial"/>
          <w:color w:val="000000"/>
          <w:sz w:val="24"/>
          <w:szCs w:val="24"/>
        </w:rPr>
        <w:t>:</w:t>
      </w:r>
    </w:p>
    <w:p w:rsidR="000B1282" w:rsidRDefault="000B1282">
      <w:pPr>
        <w:spacing w:after="0" w:line="276" w:lineRule="auto"/>
        <w:jc w:val="both"/>
        <w:rPr>
          <w:rFonts w:ascii="Arial" w:eastAsia="Arial" w:hAnsi="Arial" w:cs="Arial"/>
          <w:color w:val="000000"/>
          <w:sz w:val="24"/>
          <w:szCs w:val="24"/>
        </w:rPr>
      </w:pPr>
    </w:p>
    <w:p w:rsidR="000B1282" w:rsidRDefault="002B74D2">
      <w:pPr>
        <w:spacing w:after="0" w:line="276" w:lineRule="auto"/>
        <w:ind w:left="708"/>
        <w:jc w:val="both"/>
        <w:rPr>
          <w:rFonts w:ascii="Arial" w:eastAsia="Arial" w:hAnsi="Arial" w:cs="Arial"/>
          <w:b/>
          <w:color w:val="000000"/>
          <w:sz w:val="24"/>
          <w:szCs w:val="24"/>
          <w:u w:val="single"/>
        </w:rPr>
      </w:pPr>
      <w:r>
        <w:rPr>
          <w:rFonts w:ascii="Arial" w:eastAsia="Arial" w:hAnsi="Arial" w:cs="Arial"/>
          <w:color w:val="000000"/>
          <w:sz w:val="24"/>
          <w:szCs w:val="24"/>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Pr>
          <w:rFonts w:ascii="Arial" w:eastAsia="Arial" w:hAnsi="Arial" w:cs="Arial"/>
          <w:b/>
          <w:color w:val="000000"/>
          <w:sz w:val="24"/>
          <w:szCs w:val="24"/>
          <w:u w:val="single"/>
        </w:rPr>
        <w:t>con lo cual se vulnera el principio de separación de las Ramas del Poder Público, en la medida en que se lesiona seriamente la autonomía del Legislativo.</w:t>
      </w:r>
    </w:p>
    <w:p w:rsidR="000B1282" w:rsidRDefault="000B1282">
      <w:pPr>
        <w:spacing w:after="0" w:line="276" w:lineRule="auto"/>
        <w:jc w:val="both"/>
        <w:rPr>
          <w:rFonts w:ascii="Arial" w:eastAsia="Arial" w:hAnsi="Arial" w:cs="Arial"/>
          <w:b/>
          <w:color w:val="000000"/>
          <w:sz w:val="24"/>
          <w:szCs w:val="24"/>
          <w:u w:val="single"/>
        </w:rPr>
      </w:pPr>
    </w:p>
    <w:p w:rsidR="000B1282" w:rsidRDefault="002B74D2">
      <w:pPr>
        <w:spacing w:after="0" w:line="276" w:lineRule="auto"/>
        <w:ind w:left="708"/>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Precisamente, los obstáculos casi insuperables que se generarían para la actividad legislativa del Congreso de la República conducirían </w:t>
      </w:r>
      <w:r>
        <w:rPr>
          <w:rFonts w:ascii="Arial" w:eastAsia="Arial" w:hAnsi="Arial" w:cs="Arial"/>
          <w:b/>
          <w:color w:val="000000"/>
          <w:sz w:val="24"/>
          <w:szCs w:val="24"/>
          <w:u w:val="single"/>
        </w:rPr>
        <w:lastRenderedPageBreak/>
        <w:t>a concederle una forma de poder de veto al Ministro de Hacienda sobre las iniciativas de ley en el Parlamento.</w:t>
      </w:r>
    </w:p>
    <w:p w:rsidR="000B1282" w:rsidRDefault="000B1282">
      <w:pPr>
        <w:spacing w:after="0" w:line="276" w:lineRule="auto"/>
        <w:jc w:val="both"/>
        <w:rPr>
          <w:rFonts w:ascii="Arial" w:eastAsia="Arial" w:hAnsi="Arial" w:cs="Arial"/>
          <w:b/>
          <w:color w:val="000000"/>
          <w:sz w:val="24"/>
          <w:szCs w:val="24"/>
          <w:u w:val="single"/>
        </w:rPr>
      </w:pPr>
    </w:p>
    <w:p w:rsidR="000B1282" w:rsidRDefault="002B74D2">
      <w:pPr>
        <w:spacing w:after="0" w:line="276" w:lineRule="auto"/>
        <w:ind w:left="708"/>
        <w:jc w:val="both"/>
        <w:rPr>
          <w:rFonts w:ascii="Arial" w:eastAsia="Arial" w:hAnsi="Arial" w:cs="Arial"/>
          <w:color w:val="000000"/>
          <w:sz w:val="24"/>
          <w:szCs w:val="24"/>
        </w:rPr>
      </w:pPr>
      <w:r>
        <w:rPr>
          <w:rFonts w:ascii="Arial" w:eastAsia="Arial" w:hAnsi="Arial" w:cs="Arial"/>
          <w:b/>
          <w:color w:val="000000"/>
          <w:sz w:val="24"/>
          <w:szCs w:val="24"/>
          <w:u w:val="single"/>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Pr>
          <w:rFonts w:ascii="Arial" w:eastAsia="Arial" w:hAnsi="Arial" w:cs="Arial"/>
          <w:color w:val="000000"/>
          <w:sz w:val="24"/>
          <w:szCs w:val="24"/>
        </w:rPr>
        <w:t>” (Resaltado fuera de texto).</w:t>
      </w:r>
    </w:p>
    <w:p w:rsidR="000B1282" w:rsidRDefault="000B1282">
      <w:pPr>
        <w:spacing w:after="0" w:line="240" w:lineRule="auto"/>
        <w:jc w:val="both"/>
        <w:rPr>
          <w:rFonts w:ascii="Arial" w:eastAsia="Arial" w:hAnsi="Arial" w:cs="Arial"/>
          <w:color w:val="000000"/>
          <w:sz w:val="24"/>
          <w:szCs w:val="24"/>
        </w:rPr>
      </w:pPr>
    </w:p>
    <w:p w:rsidR="000B1282" w:rsidRDefault="002B74D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De igual modo, al respecto del impacto fiscal que los proyectos de ley pudieran generar, la Corte ha dicho:</w:t>
      </w:r>
    </w:p>
    <w:p w:rsidR="000B1282" w:rsidRDefault="000B1282">
      <w:pPr>
        <w:spacing w:after="0" w:line="240" w:lineRule="auto"/>
        <w:jc w:val="both"/>
        <w:rPr>
          <w:rFonts w:ascii="Arial" w:eastAsia="Arial" w:hAnsi="Arial" w:cs="Arial"/>
          <w:color w:val="000000"/>
          <w:sz w:val="24"/>
          <w:szCs w:val="24"/>
        </w:rPr>
      </w:pPr>
    </w:p>
    <w:p w:rsidR="000B1282" w:rsidRDefault="002B74D2">
      <w:pPr>
        <w:spacing w:after="0" w:line="276" w:lineRule="auto"/>
        <w:ind w:left="708" w:right="616"/>
        <w:jc w:val="both"/>
        <w:rPr>
          <w:rFonts w:ascii="Arial" w:eastAsia="Arial" w:hAnsi="Arial" w:cs="Arial"/>
          <w:color w:val="000000"/>
          <w:sz w:val="24"/>
          <w:szCs w:val="24"/>
        </w:rPr>
      </w:pPr>
      <w:r>
        <w:rPr>
          <w:rFonts w:ascii="Arial" w:eastAsia="Arial" w:hAnsi="Arial" w:cs="Arial"/>
          <w:color w:val="000000"/>
          <w:sz w:val="24"/>
          <w:szCs w:val="24"/>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w:t>
      </w:r>
      <w:r>
        <w:rPr>
          <w:rFonts w:ascii="Arial" w:eastAsia="Arial" w:hAnsi="Arial" w:cs="Arial"/>
          <w:color w:val="000000"/>
          <w:sz w:val="24"/>
          <w:szCs w:val="24"/>
        </w:rPr>
        <w:lastRenderedPageBreak/>
        <w:t xml:space="preserve">gastos que genera la iniciativa legislativa y las proyecciones de la política económica trazada por el Gobierno. (…). El artículo 7º de la Ley819/03 no </w:t>
      </w:r>
    </w:p>
    <w:p w:rsidR="000B1282" w:rsidRDefault="000B1282">
      <w:pPr>
        <w:spacing w:after="0" w:line="276" w:lineRule="auto"/>
        <w:ind w:left="708" w:right="616"/>
        <w:jc w:val="both"/>
        <w:rPr>
          <w:rFonts w:ascii="Arial" w:eastAsia="Arial" w:hAnsi="Arial" w:cs="Arial"/>
          <w:color w:val="000000"/>
          <w:sz w:val="24"/>
          <w:szCs w:val="24"/>
        </w:rPr>
      </w:pPr>
    </w:p>
    <w:p w:rsidR="000B1282" w:rsidRDefault="002B74D2">
      <w:pPr>
        <w:spacing w:after="0" w:line="276" w:lineRule="auto"/>
        <w:ind w:left="708" w:right="616"/>
        <w:jc w:val="both"/>
        <w:rPr>
          <w:rFonts w:ascii="Arial" w:eastAsia="Arial" w:hAnsi="Arial" w:cs="Arial"/>
          <w:color w:val="000000"/>
          <w:sz w:val="24"/>
          <w:szCs w:val="24"/>
        </w:rPr>
      </w:pPr>
      <w:r>
        <w:rPr>
          <w:rFonts w:ascii="Arial" w:eastAsia="Arial" w:hAnsi="Arial" w:cs="Arial"/>
          <w:color w:val="000000"/>
          <w:sz w:val="24"/>
          <w:szCs w:val="24"/>
        </w:rPr>
        <w:t>Puede interpretarse de modo tal que la falta de concurrencia del Ministerio de Hacienda y Crédito Público dentro del proceso legislativo, afecte la validez constitucional del trámite respectivo.” (Sentencia C-315 de 2008).</w:t>
      </w:r>
    </w:p>
    <w:p w:rsidR="000B1282" w:rsidRDefault="000B1282">
      <w:pPr>
        <w:spacing w:after="0" w:line="240" w:lineRule="auto"/>
        <w:jc w:val="both"/>
        <w:rPr>
          <w:rFonts w:ascii="Arial" w:eastAsia="Arial" w:hAnsi="Arial" w:cs="Arial"/>
          <w:color w:val="000000"/>
          <w:sz w:val="24"/>
          <w:szCs w:val="24"/>
        </w:rPr>
      </w:pPr>
    </w:p>
    <w:p w:rsidR="000B1282" w:rsidRDefault="002B74D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rsidR="000B1282" w:rsidRDefault="000B1282">
      <w:pPr>
        <w:spacing w:after="0" w:line="360" w:lineRule="auto"/>
        <w:jc w:val="both"/>
        <w:rPr>
          <w:rFonts w:ascii="Arial" w:eastAsia="Arial" w:hAnsi="Arial" w:cs="Arial"/>
          <w:color w:val="000000"/>
          <w:sz w:val="24"/>
          <w:szCs w:val="24"/>
        </w:rPr>
      </w:pPr>
    </w:p>
    <w:p w:rsidR="000B1282" w:rsidRDefault="002B74D2">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No obstante, lo anterior, es necesario indicar que el impacto fiscal de este proyecto es positivo para las alcaldías y distritos donde operan puertos, pues incrementa el presupuesto de inversión social e infraestructura. En cuanto a INVIAS el impacto es casi nulo, ya que las contraprestaciones portuarias en las últimas 5 vigencias solo han representado el 5.2% del presupuesto de INVIAS, por otro lado, el presupuesto de esta entidad fluctúa cada año lo que prepararía para ajustar su presupuesto en la siguiente vigencia, esto genera que lo propuesto sea fácil de incorporar.</w:t>
      </w:r>
    </w:p>
    <w:p w:rsidR="000B1282" w:rsidRDefault="000B1282">
      <w:pPr>
        <w:spacing w:after="0" w:line="360" w:lineRule="auto"/>
        <w:jc w:val="both"/>
        <w:rPr>
          <w:rFonts w:ascii="Arial" w:eastAsia="Arial" w:hAnsi="Arial" w:cs="Arial"/>
          <w:color w:val="000000"/>
          <w:sz w:val="24"/>
          <w:szCs w:val="24"/>
        </w:rPr>
      </w:pPr>
    </w:p>
    <w:p w:rsidR="000B1282" w:rsidRDefault="002B74D2">
      <w:pPr>
        <w:spacing w:after="0" w:line="360" w:lineRule="auto"/>
        <w:jc w:val="both"/>
        <w:rPr>
          <w:rFonts w:ascii="Arial" w:eastAsia="Arial" w:hAnsi="Arial" w:cs="Arial"/>
          <w:color w:val="000000"/>
          <w:sz w:val="24"/>
          <w:szCs w:val="24"/>
        </w:rPr>
      </w:pPr>
      <w:r>
        <w:rPr>
          <w:rFonts w:ascii="Arial" w:eastAsia="Arial" w:hAnsi="Arial" w:cs="Arial"/>
          <w:sz w:val="24"/>
          <w:szCs w:val="24"/>
        </w:rPr>
        <w:t>Cabe aclarar que tanto en la normatividad vigente como en el proyecto de ley presentan dos excepciones, la primera es que en el caso de San Andrés al ser departamento y no haber munición o distrito en la isla, la contraprestación</w:t>
      </w:r>
      <w:r>
        <w:rPr>
          <w:rFonts w:ascii="Arial" w:eastAsia="Arial" w:hAnsi="Arial" w:cs="Arial"/>
          <w:color w:val="000000"/>
          <w:sz w:val="24"/>
          <w:szCs w:val="24"/>
        </w:rPr>
        <w:t xml:space="preserve"> por el uso y goce temporal y exclusivo de las zonas de uso público será girado al departamento en el mismo porcentaje. El otro caso es el de Barranquilla que mediante la resolución 1882 de 2009 de INVIAS cede el recaudo de la </w:t>
      </w:r>
      <w:r>
        <w:rPr>
          <w:rFonts w:ascii="Arial" w:eastAsia="Arial" w:hAnsi="Arial" w:cs="Arial"/>
          <w:color w:val="000000"/>
          <w:sz w:val="24"/>
          <w:szCs w:val="24"/>
        </w:rPr>
        <w:lastRenderedPageBreak/>
        <w:t>contraprestación portuaria a la Corporación Autónoma del Río Grande de la Magdalena – Cormagdalena y el</w:t>
      </w:r>
      <w:r>
        <w:rPr>
          <w:rFonts w:ascii="Arial" w:eastAsia="Arial" w:hAnsi="Arial" w:cs="Arial"/>
          <w:sz w:val="24"/>
          <w:szCs w:val="24"/>
        </w:rPr>
        <w:t xml:space="preserve"> artículo 1 de la Ley 1557 de 2012.</w:t>
      </w:r>
    </w:p>
    <w:p w:rsidR="000B1282" w:rsidRDefault="000B1282">
      <w:pPr>
        <w:spacing w:after="0" w:line="360" w:lineRule="auto"/>
        <w:jc w:val="both"/>
        <w:rPr>
          <w:rFonts w:ascii="Arial" w:eastAsia="Arial" w:hAnsi="Arial" w:cs="Arial"/>
          <w:color w:val="000000"/>
          <w:sz w:val="24"/>
          <w:szCs w:val="24"/>
        </w:rPr>
      </w:pPr>
    </w:p>
    <w:p w:rsidR="000B1282" w:rsidRDefault="002B74D2">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tabla a continuación expone los ingresos por contraprestación portuaria, por uso y goce temporal y exclusivo de las zonas de uso público de los distritos y los municipios donde operan puertos marítimos entre los años 2004- 2014; información extraída del proyecto de ley 015 de 2015 Senado, debido a que desde el 2010 INVIAS registra la contraprestación de las sociedades portuarias de Barranquilla debido a que son giradas a Cormagdalena. </w:t>
      </w:r>
    </w:p>
    <w:tbl>
      <w:tblPr>
        <w:tblStyle w:val="a3"/>
        <w:tblW w:w="7997" w:type="dxa"/>
        <w:jc w:val="center"/>
        <w:tblInd w:w="0" w:type="dxa"/>
        <w:tblLayout w:type="fixed"/>
        <w:tblLook w:val="0400" w:firstRow="0" w:lastRow="0" w:firstColumn="0" w:lastColumn="0" w:noHBand="0" w:noVBand="1"/>
      </w:tblPr>
      <w:tblGrid>
        <w:gridCol w:w="2417"/>
        <w:gridCol w:w="1649"/>
        <w:gridCol w:w="1246"/>
        <w:gridCol w:w="1439"/>
        <w:gridCol w:w="1246"/>
      </w:tblGrid>
      <w:tr w:rsidR="000B1282">
        <w:trPr>
          <w:trHeight w:val="250"/>
          <w:jc w:val="center"/>
        </w:trPr>
        <w:tc>
          <w:tcPr>
            <w:tcW w:w="2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ZONA PORTUARIA</w:t>
            </w:r>
          </w:p>
        </w:tc>
        <w:tc>
          <w:tcPr>
            <w:tcW w:w="5580" w:type="dxa"/>
            <w:gridSpan w:val="4"/>
            <w:tcBorders>
              <w:top w:val="single" w:sz="4" w:space="0" w:color="000000"/>
              <w:left w:val="nil"/>
              <w:bottom w:val="single" w:sz="4" w:space="0" w:color="000000"/>
              <w:right w:val="single" w:sz="4" w:space="0" w:color="000000"/>
            </w:tcBorders>
            <w:shd w:val="clear" w:color="auto" w:fill="auto"/>
            <w:vAlign w:val="bottom"/>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2004 - 2015</w:t>
            </w:r>
          </w:p>
        </w:tc>
      </w:tr>
      <w:tr w:rsidR="000B1282">
        <w:trPr>
          <w:trHeight w:val="250"/>
          <w:jc w:val="center"/>
        </w:trPr>
        <w:tc>
          <w:tcPr>
            <w:tcW w:w="2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1649" w:type="dxa"/>
            <w:tcBorders>
              <w:top w:val="nil"/>
              <w:left w:val="nil"/>
              <w:bottom w:val="single" w:sz="4" w:space="0" w:color="000000"/>
              <w:right w:val="nil"/>
            </w:tcBorders>
            <w:shd w:val="clear" w:color="auto" w:fill="auto"/>
            <w:vAlign w:val="bottom"/>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ALCALDIA</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INVIAS</w:t>
            </w:r>
          </w:p>
        </w:tc>
        <w:tc>
          <w:tcPr>
            <w:tcW w:w="1246" w:type="dxa"/>
            <w:vMerge w:val="restart"/>
            <w:tcBorders>
              <w:top w:val="nil"/>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TOTAL</w:t>
            </w:r>
          </w:p>
        </w:tc>
      </w:tr>
      <w:tr w:rsidR="000B1282">
        <w:trPr>
          <w:trHeight w:val="262"/>
          <w:jc w:val="center"/>
        </w:trPr>
        <w:tc>
          <w:tcPr>
            <w:tcW w:w="2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2895" w:type="dxa"/>
            <w:gridSpan w:val="2"/>
            <w:tcBorders>
              <w:top w:val="single" w:sz="4" w:space="0" w:color="000000"/>
              <w:left w:val="nil"/>
              <w:bottom w:val="single" w:sz="4" w:space="0" w:color="000000"/>
              <w:right w:val="single" w:sz="4" w:space="0" w:color="000000"/>
            </w:tcBorders>
            <w:shd w:val="clear" w:color="auto" w:fill="auto"/>
            <w:vAlign w:val="bottom"/>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ESPACIO PUBLICO</w:t>
            </w:r>
          </w:p>
        </w:tc>
        <w:tc>
          <w:tcPr>
            <w:tcW w:w="143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INFRAES.</w:t>
            </w:r>
          </w:p>
        </w:tc>
        <w:tc>
          <w:tcPr>
            <w:tcW w:w="1246" w:type="dxa"/>
            <w:vMerge/>
            <w:tcBorders>
              <w:top w:val="nil"/>
              <w:left w:val="single" w:sz="4" w:space="0" w:color="000000"/>
              <w:bottom w:val="single" w:sz="4" w:space="0" w:color="000000"/>
              <w:right w:val="single" w:sz="4"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r>
      <w:tr w:rsidR="000B1282">
        <w:trPr>
          <w:trHeight w:val="250"/>
          <w:jc w:val="center"/>
        </w:trPr>
        <w:tc>
          <w:tcPr>
            <w:tcW w:w="2417" w:type="dxa"/>
            <w:tcBorders>
              <w:top w:val="nil"/>
              <w:left w:val="single" w:sz="4"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BARRANQUILLA</w:t>
            </w:r>
          </w:p>
        </w:tc>
        <w:tc>
          <w:tcPr>
            <w:tcW w:w="164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u w:val="single"/>
              </w:rPr>
            </w:pPr>
            <w:r>
              <w:rPr>
                <w:rFonts w:ascii="Arial" w:eastAsia="Arial" w:hAnsi="Arial" w:cs="Arial"/>
                <w:color w:val="000000"/>
                <w:sz w:val="24"/>
                <w:szCs w:val="24"/>
                <w:u w:val="single"/>
              </w:rPr>
              <w:t>17.508</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u w:val="single"/>
              </w:rPr>
            </w:pPr>
            <w:r>
              <w:rPr>
                <w:rFonts w:ascii="Arial" w:eastAsia="Arial" w:hAnsi="Arial" w:cs="Arial"/>
                <w:color w:val="000000"/>
                <w:sz w:val="24"/>
                <w:szCs w:val="24"/>
                <w:u w:val="single"/>
              </w:rPr>
              <w:t>70.033</w:t>
            </w:r>
          </w:p>
        </w:tc>
        <w:tc>
          <w:tcPr>
            <w:tcW w:w="143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u w:val="single"/>
              </w:rPr>
            </w:pPr>
            <w:r>
              <w:rPr>
                <w:rFonts w:ascii="Arial" w:eastAsia="Arial" w:hAnsi="Arial" w:cs="Arial"/>
                <w:color w:val="000000"/>
                <w:sz w:val="24"/>
                <w:szCs w:val="24"/>
                <w:u w:val="single"/>
              </w:rPr>
              <w:t>16.688</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u w:val="single"/>
              </w:rPr>
            </w:pPr>
            <w:r>
              <w:rPr>
                <w:rFonts w:ascii="Arial" w:eastAsia="Arial" w:hAnsi="Arial" w:cs="Arial"/>
                <w:color w:val="000000"/>
                <w:sz w:val="24"/>
                <w:szCs w:val="24"/>
                <w:u w:val="single"/>
              </w:rPr>
              <w:t>104.229</w:t>
            </w:r>
          </w:p>
        </w:tc>
      </w:tr>
      <w:tr w:rsidR="000B1282">
        <w:trPr>
          <w:trHeight w:val="250"/>
          <w:jc w:val="center"/>
        </w:trPr>
        <w:tc>
          <w:tcPr>
            <w:tcW w:w="2417" w:type="dxa"/>
            <w:tcBorders>
              <w:top w:val="nil"/>
              <w:left w:val="single" w:sz="4"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RIOHACHA</w:t>
            </w:r>
          </w:p>
        </w:tc>
        <w:tc>
          <w:tcPr>
            <w:tcW w:w="164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13.120</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52.479</w:t>
            </w:r>
          </w:p>
        </w:tc>
        <w:tc>
          <w:tcPr>
            <w:tcW w:w="143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18.554</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84.153</w:t>
            </w:r>
          </w:p>
        </w:tc>
      </w:tr>
      <w:tr w:rsidR="000B1282">
        <w:trPr>
          <w:trHeight w:val="250"/>
          <w:jc w:val="center"/>
        </w:trPr>
        <w:tc>
          <w:tcPr>
            <w:tcW w:w="2417" w:type="dxa"/>
            <w:tcBorders>
              <w:top w:val="nil"/>
              <w:left w:val="single" w:sz="4"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CARTAGENA</w:t>
            </w:r>
          </w:p>
        </w:tc>
        <w:tc>
          <w:tcPr>
            <w:tcW w:w="164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32.622</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130.488</w:t>
            </w:r>
          </w:p>
        </w:tc>
        <w:tc>
          <w:tcPr>
            <w:tcW w:w="143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81.005</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244.115</w:t>
            </w:r>
          </w:p>
        </w:tc>
      </w:tr>
      <w:tr w:rsidR="000B1282">
        <w:trPr>
          <w:trHeight w:val="250"/>
          <w:jc w:val="center"/>
        </w:trPr>
        <w:tc>
          <w:tcPr>
            <w:tcW w:w="2417" w:type="dxa"/>
            <w:tcBorders>
              <w:top w:val="nil"/>
              <w:left w:val="single" w:sz="4"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COVEÑAS</w:t>
            </w:r>
          </w:p>
        </w:tc>
        <w:tc>
          <w:tcPr>
            <w:tcW w:w="164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1.920</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7.681</w:t>
            </w:r>
          </w:p>
        </w:tc>
        <w:tc>
          <w:tcPr>
            <w:tcW w:w="143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7.205</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16.806</w:t>
            </w:r>
          </w:p>
        </w:tc>
      </w:tr>
      <w:tr w:rsidR="000B1282">
        <w:trPr>
          <w:trHeight w:val="250"/>
          <w:jc w:val="center"/>
        </w:trPr>
        <w:tc>
          <w:tcPr>
            <w:tcW w:w="2417" w:type="dxa"/>
            <w:tcBorders>
              <w:top w:val="nil"/>
              <w:left w:val="single" w:sz="4"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STA. MARTA</w:t>
            </w:r>
          </w:p>
        </w:tc>
        <w:tc>
          <w:tcPr>
            <w:tcW w:w="164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22.985</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91.941</w:t>
            </w:r>
          </w:p>
        </w:tc>
        <w:tc>
          <w:tcPr>
            <w:tcW w:w="143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36.563</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151.489</w:t>
            </w:r>
          </w:p>
        </w:tc>
      </w:tr>
      <w:tr w:rsidR="000B1282">
        <w:trPr>
          <w:trHeight w:val="250"/>
          <w:jc w:val="center"/>
        </w:trPr>
        <w:tc>
          <w:tcPr>
            <w:tcW w:w="2417" w:type="dxa"/>
            <w:tcBorders>
              <w:top w:val="nil"/>
              <w:left w:val="single" w:sz="4"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BUENAVENTURA </w:t>
            </w:r>
          </w:p>
        </w:tc>
        <w:tc>
          <w:tcPr>
            <w:tcW w:w="164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32.239</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128.956</w:t>
            </w:r>
          </w:p>
        </w:tc>
        <w:tc>
          <w:tcPr>
            <w:tcW w:w="143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122.079</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283.274</w:t>
            </w:r>
          </w:p>
        </w:tc>
      </w:tr>
      <w:tr w:rsidR="000B1282">
        <w:trPr>
          <w:trHeight w:val="250"/>
          <w:jc w:val="center"/>
        </w:trPr>
        <w:tc>
          <w:tcPr>
            <w:tcW w:w="2417" w:type="dxa"/>
            <w:tcBorders>
              <w:top w:val="nil"/>
              <w:left w:val="single" w:sz="4"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TUMACO</w:t>
            </w:r>
          </w:p>
        </w:tc>
        <w:tc>
          <w:tcPr>
            <w:tcW w:w="164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2.060</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8.238</w:t>
            </w:r>
          </w:p>
        </w:tc>
        <w:tc>
          <w:tcPr>
            <w:tcW w:w="143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3.313</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13.611</w:t>
            </w:r>
          </w:p>
        </w:tc>
      </w:tr>
      <w:tr w:rsidR="000B1282">
        <w:trPr>
          <w:trHeight w:val="250"/>
          <w:jc w:val="center"/>
        </w:trPr>
        <w:tc>
          <w:tcPr>
            <w:tcW w:w="2417" w:type="dxa"/>
            <w:tcBorders>
              <w:top w:val="nil"/>
              <w:left w:val="single" w:sz="4"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TURBO</w:t>
            </w:r>
          </w:p>
        </w:tc>
        <w:tc>
          <w:tcPr>
            <w:tcW w:w="164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55</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221</w:t>
            </w:r>
          </w:p>
        </w:tc>
        <w:tc>
          <w:tcPr>
            <w:tcW w:w="143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70</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346</w:t>
            </w:r>
          </w:p>
        </w:tc>
      </w:tr>
      <w:tr w:rsidR="000B1282">
        <w:trPr>
          <w:trHeight w:val="250"/>
          <w:jc w:val="center"/>
        </w:trPr>
        <w:tc>
          <w:tcPr>
            <w:tcW w:w="2417" w:type="dxa"/>
            <w:tcBorders>
              <w:top w:val="nil"/>
              <w:left w:val="single" w:sz="4"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SAN ANDRES</w:t>
            </w:r>
          </w:p>
        </w:tc>
        <w:tc>
          <w:tcPr>
            <w:tcW w:w="164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37</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147</w:t>
            </w:r>
          </w:p>
        </w:tc>
        <w:tc>
          <w:tcPr>
            <w:tcW w:w="143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312</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496</w:t>
            </w:r>
          </w:p>
        </w:tc>
      </w:tr>
      <w:tr w:rsidR="000B1282">
        <w:trPr>
          <w:trHeight w:val="250"/>
          <w:jc w:val="center"/>
        </w:trPr>
        <w:tc>
          <w:tcPr>
            <w:tcW w:w="2417" w:type="dxa"/>
            <w:tcBorders>
              <w:top w:val="nil"/>
              <w:left w:val="single" w:sz="4"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b/>
                <w:color w:val="000000"/>
                <w:sz w:val="24"/>
                <w:szCs w:val="24"/>
              </w:rPr>
            </w:pPr>
            <w:r>
              <w:rPr>
                <w:rFonts w:ascii="Arial" w:eastAsia="Arial" w:hAnsi="Arial" w:cs="Arial"/>
                <w:b/>
                <w:color w:val="000000"/>
                <w:sz w:val="24"/>
                <w:szCs w:val="24"/>
              </w:rPr>
              <w:t>TOTALES</w:t>
            </w:r>
          </w:p>
        </w:tc>
        <w:tc>
          <w:tcPr>
            <w:tcW w:w="164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$ 122.546</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$ 490.184</w:t>
            </w:r>
          </w:p>
        </w:tc>
        <w:tc>
          <w:tcPr>
            <w:tcW w:w="1439"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$ 285.789</w:t>
            </w:r>
          </w:p>
        </w:tc>
        <w:tc>
          <w:tcPr>
            <w:tcW w:w="1246" w:type="dxa"/>
            <w:tcBorders>
              <w:top w:val="nil"/>
              <w:left w:val="nil"/>
              <w:bottom w:val="single" w:sz="4" w:space="0" w:color="000000"/>
              <w:right w:val="single" w:sz="4" w:space="0" w:color="000000"/>
            </w:tcBorders>
            <w:shd w:val="clear" w:color="auto" w:fill="auto"/>
            <w:vAlign w:val="bottom"/>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$ 898.519</w:t>
            </w:r>
          </w:p>
        </w:tc>
      </w:tr>
      <w:tr w:rsidR="000B1282">
        <w:trPr>
          <w:trHeight w:val="250"/>
          <w:jc w:val="center"/>
        </w:trPr>
        <w:tc>
          <w:tcPr>
            <w:tcW w:w="7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 Cifras expresadas en millones.</w:t>
            </w:r>
          </w:p>
        </w:tc>
      </w:tr>
      <w:tr w:rsidR="000B1282">
        <w:trPr>
          <w:trHeight w:val="238"/>
          <w:jc w:val="center"/>
        </w:trPr>
        <w:tc>
          <w:tcPr>
            <w:tcW w:w="7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 Datos de Barraquilla son solo hasta el 2009</w:t>
            </w:r>
          </w:p>
        </w:tc>
      </w:tr>
    </w:tbl>
    <w:p w:rsidR="000B1282" w:rsidRDefault="000B1282">
      <w:pPr>
        <w:jc w:val="both"/>
        <w:rPr>
          <w:rFonts w:ascii="Arial" w:eastAsia="Arial" w:hAnsi="Arial" w:cs="Arial"/>
          <w:color w:val="000000"/>
          <w:sz w:val="24"/>
          <w:szCs w:val="24"/>
        </w:rPr>
      </w:pPr>
    </w:p>
    <w:p w:rsidR="000B1282" w:rsidRDefault="002B74D2">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Como se puede apreciar en la anterior tabla hay una gran disparidad en cuanto lo que reciben las alcaldías y lo que recibe la Nación a través de INVIAS, esto ha generado que entre 2004 al 2015 las alcaldías dejaron de percibir cerca de $326.714 millones de pesos al no ser igualitaria la repartición. </w:t>
      </w:r>
    </w:p>
    <w:p w:rsidR="000B1282" w:rsidRDefault="002B74D2">
      <w:pPr>
        <w:spacing w:line="360" w:lineRule="auto"/>
        <w:jc w:val="both"/>
        <w:rPr>
          <w:rFonts w:ascii="Arial" w:eastAsia="Arial" w:hAnsi="Arial" w:cs="Arial"/>
          <w:sz w:val="24"/>
          <w:szCs w:val="24"/>
        </w:rPr>
      </w:pPr>
      <w:r>
        <w:rPr>
          <w:rFonts w:ascii="Arial" w:eastAsia="Arial" w:hAnsi="Arial" w:cs="Arial"/>
          <w:color w:val="000000"/>
          <w:sz w:val="24"/>
          <w:szCs w:val="24"/>
        </w:rPr>
        <w:t>A continuación, muestran el recaudo y distribución de las contraprestaciones de los últimos cuatro (5) años.</w:t>
      </w:r>
    </w:p>
    <w:tbl>
      <w:tblPr>
        <w:tblStyle w:val="a4"/>
        <w:tblW w:w="10464" w:type="dxa"/>
        <w:tblInd w:w="-719" w:type="dxa"/>
        <w:tblLayout w:type="fixed"/>
        <w:tblLook w:val="0400" w:firstRow="0" w:lastRow="0" w:firstColumn="0" w:lastColumn="0" w:noHBand="0" w:noVBand="1"/>
      </w:tblPr>
      <w:tblGrid>
        <w:gridCol w:w="2444"/>
        <w:gridCol w:w="1937"/>
        <w:gridCol w:w="2073"/>
        <w:gridCol w:w="1937"/>
        <w:gridCol w:w="2073"/>
      </w:tblGrid>
      <w:tr w:rsidR="000B1282">
        <w:trPr>
          <w:trHeight w:val="330"/>
        </w:trPr>
        <w:tc>
          <w:tcPr>
            <w:tcW w:w="24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2B74D2">
            <w:pPr>
              <w:jc w:val="center"/>
              <w:rPr>
                <w:rFonts w:ascii="Arial" w:eastAsia="Arial" w:hAnsi="Arial" w:cs="Arial"/>
                <w:b/>
                <w:color w:val="000000"/>
                <w:sz w:val="24"/>
                <w:szCs w:val="24"/>
              </w:rPr>
            </w:pPr>
            <w:r>
              <w:rPr>
                <w:rFonts w:ascii="Arial" w:eastAsia="Arial" w:hAnsi="Arial" w:cs="Arial"/>
                <w:b/>
                <w:color w:val="000000"/>
                <w:sz w:val="24"/>
                <w:szCs w:val="24"/>
              </w:rPr>
              <w:t>ZONA PORTUARIA</w:t>
            </w:r>
          </w:p>
        </w:tc>
        <w:tc>
          <w:tcPr>
            <w:tcW w:w="8020" w:type="dxa"/>
            <w:gridSpan w:val="4"/>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2016</w:t>
            </w:r>
          </w:p>
        </w:tc>
      </w:tr>
      <w:tr w:rsidR="000B1282">
        <w:trPr>
          <w:trHeight w:val="330"/>
        </w:trPr>
        <w:tc>
          <w:tcPr>
            <w:tcW w:w="24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1937"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ALCALDIA</w:t>
            </w:r>
          </w:p>
        </w:tc>
        <w:tc>
          <w:tcPr>
            <w:tcW w:w="4010" w:type="dxa"/>
            <w:gridSpan w:val="2"/>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INVIAS</w:t>
            </w:r>
          </w:p>
        </w:tc>
        <w:tc>
          <w:tcPr>
            <w:tcW w:w="2073" w:type="dxa"/>
            <w:vMerge w:val="restart"/>
            <w:tcBorders>
              <w:top w:val="nil"/>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TOTAL</w:t>
            </w:r>
          </w:p>
        </w:tc>
      </w:tr>
      <w:tr w:rsidR="000B1282">
        <w:trPr>
          <w:trHeight w:val="330"/>
        </w:trPr>
        <w:tc>
          <w:tcPr>
            <w:tcW w:w="24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4010" w:type="dxa"/>
            <w:gridSpan w:val="2"/>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ESPACIO PUBLICO</w:t>
            </w:r>
          </w:p>
        </w:tc>
        <w:tc>
          <w:tcPr>
            <w:tcW w:w="1937"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rPr>
                <w:rFonts w:ascii="Arial" w:eastAsia="Arial" w:hAnsi="Arial" w:cs="Arial"/>
                <w:b/>
                <w:color w:val="000000"/>
                <w:sz w:val="24"/>
                <w:szCs w:val="24"/>
              </w:rPr>
            </w:pPr>
            <w:r>
              <w:rPr>
                <w:rFonts w:ascii="Arial" w:eastAsia="Arial" w:hAnsi="Arial" w:cs="Arial"/>
                <w:b/>
                <w:color w:val="000000"/>
                <w:sz w:val="24"/>
                <w:szCs w:val="24"/>
              </w:rPr>
              <w:t>INFRAES.</w:t>
            </w:r>
          </w:p>
        </w:tc>
        <w:tc>
          <w:tcPr>
            <w:tcW w:w="2073" w:type="dxa"/>
            <w:vMerge/>
            <w:tcBorders>
              <w:top w:val="nil"/>
              <w:left w:val="single" w:sz="8" w:space="0" w:color="000000"/>
              <w:bottom w:val="single" w:sz="8" w:space="0" w:color="000000"/>
              <w:right w:val="single" w:sz="8"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r>
      <w:tr w:rsidR="000B1282">
        <w:trPr>
          <w:trHeight w:val="375"/>
        </w:trPr>
        <w:tc>
          <w:tcPr>
            <w:tcW w:w="2444"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GUAJIRA</w:t>
            </w:r>
          </w:p>
        </w:tc>
        <w:tc>
          <w:tcPr>
            <w:tcW w:w="1937" w:type="dxa"/>
            <w:tcBorders>
              <w:top w:val="single" w:sz="4" w:space="0" w:color="000000"/>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$ 7.507.235.611</w:t>
            </w:r>
          </w:p>
        </w:tc>
        <w:tc>
          <w:tcPr>
            <w:tcW w:w="207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$ 30.028.942.443</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w:t>
            </w:r>
          </w:p>
        </w:tc>
        <w:tc>
          <w:tcPr>
            <w:tcW w:w="2073"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$ 30.028.942.443</w:t>
            </w:r>
          </w:p>
        </w:tc>
      </w:tr>
      <w:tr w:rsidR="000B1282">
        <w:trPr>
          <w:trHeight w:val="750"/>
        </w:trPr>
        <w:tc>
          <w:tcPr>
            <w:tcW w:w="2444"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STA MARTA Y CIENAGA</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$ 8.370.687.631</w:t>
            </w:r>
          </w:p>
        </w:tc>
        <w:tc>
          <w:tcPr>
            <w:tcW w:w="207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$ 33.482.750.525</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$ 7.518.881.602</w:t>
            </w:r>
          </w:p>
        </w:tc>
        <w:tc>
          <w:tcPr>
            <w:tcW w:w="2073"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$ 41.001.632.128</w:t>
            </w:r>
          </w:p>
        </w:tc>
      </w:tr>
      <w:tr w:rsidR="000B1282">
        <w:trPr>
          <w:trHeight w:val="375"/>
        </w:trPr>
        <w:tc>
          <w:tcPr>
            <w:tcW w:w="2444"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CARTAGENA</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$ 2.506.431.346</w:t>
            </w:r>
          </w:p>
        </w:tc>
        <w:tc>
          <w:tcPr>
            <w:tcW w:w="207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$ 10.025.725.383</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$ 2.749.349.653</w:t>
            </w:r>
          </w:p>
        </w:tc>
        <w:tc>
          <w:tcPr>
            <w:tcW w:w="2073"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$ 12.775.075.035</w:t>
            </w:r>
          </w:p>
        </w:tc>
      </w:tr>
      <w:tr w:rsidR="000B1282">
        <w:trPr>
          <w:trHeight w:val="375"/>
        </w:trPr>
        <w:tc>
          <w:tcPr>
            <w:tcW w:w="2444"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MORROSQUILLO </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$ 594.049.138</w:t>
            </w:r>
          </w:p>
        </w:tc>
        <w:tc>
          <w:tcPr>
            <w:tcW w:w="207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$ 2.376.196.550</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$ 836.818.781</w:t>
            </w:r>
          </w:p>
        </w:tc>
        <w:tc>
          <w:tcPr>
            <w:tcW w:w="2073"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$ 3.213.015.331</w:t>
            </w:r>
          </w:p>
        </w:tc>
      </w:tr>
      <w:tr w:rsidR="000B1282">
        <w:trPr>
          <w:trHeight w:val="375"/>
        </w:trPr>
        <w:tc>
          <w:tcPr>
            <w:tcW w:w="2444"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BUENAVENTURA</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$ 6.558.170.257</w:t>
            </w:r>
          </w:p>
        </w:tc>
        <w:tc>
          <w:tcPr>
            <w:tcW w:w="207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$ 26.232.681.029</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$ 17.585.132.532</w:t>
            </w:r>
          </w:p>
        </w:tc>
        <w:tc>
          <w:tcPr>
            <w:tcW w:w="2073"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$ 43.817.813.561</w:t>
            </w:r>
          </w:p>
        </w:tc>
      </w:tr>
      <w:tr w:rsidR="000B1282">
        <w:trPr>
          <w:trHeight w:val="375"/>
        </w:trPr>
        <w:tc>
          <w:tcPr>
            <w:tcW w:w="2444"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URABA</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$ 3.388.259</w:t>
            </w:r>
          </w:p>
        </w:tc>
        <w:tc>
          <w:tcPr>
            <w:tcW w:w="207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$ 13.553.038</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$ 15.268.034</w:t>
            </w:r>
          </w:p>
        </w:tc>
        <w:tc>
          <w:tcPr>
            <w:tcW w:w="2073"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$ 28.821.072</w:t>
            </w:r>
          </w:p>
        </w:tc>
      </w:tr>
      <w:tr w:rsidR="000B1282">
        <w:trPr>
          <w:trHeight w:val="390"/>
        </w:trPr>
        <w:tc>
          <w:tcPr>
            <w:tcW w:w="2444" w:type="dxa"/>
            <w:tcBorders>
              <w:top w:val="nil"/>
              <w:left w:val="single" w:sz="8" w:space="0" w:color="000000"/>
              <w:bottom w:val="nil"/>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TUMACO</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$ 314.049.257</w:t>
            </w:r>
          </w:p>
        </w:tc>
        <w:tc>
          <w:tcPr>
            <w:tcW w:w="2073" w:type="dxa"/>
            <w:tcBorders>
              <w:top w:val="nil"/>
              <w:left w:val="nil"/>
              <w:bottom w:val="nil"/>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$ 1.256.197.026</w:t>
            </w:r>
          </w:p>
        </w:tc>
        <w:tc>
          <w:tcPr>
            <w:tcW w:w="1937" w:type="dxa"/>
            <w:tcBorders>
              <w:top w:val="nil"/>
              <w:left w:val="nil"/>
              <w:bottom w:val="nil"/>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$ 394.117.688</w:t>
            </w:r>
          </w:p>
        </w:tc>
        <w:tc>
          <w:tcPr>
            <w:tcW w:w="2073" w:type="dxa"/>
            <w:tcBorders>
              <w:top w:val="nil"/>
              <w:left w:val="nil"/>
              <w:bottom w:val="nil"/>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$ 1.650.314.714</w:t>
            </w:r>
          </w:p>
        </w:tc>
      </w:tr>
      <w:tr w:rsidR="000B1282">
        <w:trPr>
          <w:trHeight w:val="330"/>
        </w:trPr>
        <w:tc>
          <w:tcPr>
            <w:tcW w:w="24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rPr>
                <w:rFonts w:ascii="Arial" w:eastAsia="Arial" w:hAnsi="Arial" w:cs="Arial"/>
                <w:b/>
                <w:color w:val="000000"/>
                <w:sz w:val="24"/>
                <w:szCs w:val="24"/>
              </w:rPr>
            </w:pPr>
            <w:r>
              <w:rPr>
                <w:rFonts w:ascii="Arial" w:eastAsia="Arial" w:hAnsi="Arial" w:cs="Arial"/>
                <w:b/>
                <w:color w:val="000000"/>
                <w:sz w:val="24"/>
                <w:szCs w:val="24"/>
              </w:rPr>
              <w:t>TOTALES</w:t>
            </w:r>
          </w:p>
        </w:tc>
        <w:tc>
          <w:tcPr>
            <w:tcW w:w="1937" w:type="dxa"/>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$ 25.854.011.498</w:t>
            </w:r>
          </w:p>
        </w:tc>
        <w:tc>
          <w:tcPr>
            <w:tcW w:w="2073" w:type="dxa"/>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$ 103.416.045.994</w:t>
            </w:r>
          </w:p>
        </w:tc>
        <w:tc>
          <w:tcPr>
            <w:tcW w:w="1937" w:type="dxa"/>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$ 29.099.568.290</w:t>
            </w:r>
          </w:p>
        </w:tc>
        <w:tc>
          <w:tcPr>
            <w:tcW w:w="2073" w:type="dxa"/>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$ 132.515.614.284</w:t>
            </w:r>
          </w:p>
        </w:tc>
      </w:tr>
      <w:tr w:rsidR="000B1282">
        <w:trPr>
          <w:trHeight w:val="330"/>
        </w:trPr>
        <w:tc>
          <w:tcPr>
            <w:tcW w:w="1046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*ESPACIO PUBLICO=Contraprestación por el uso y goce temporal y exclusivo de las zonas de uso público</w:t>
            </w:r>
          </w:p>
        </w:tc>
      </w:tr>
      <w:tr w:rsidR="000B1282">
        <w:trPr>
          <w:trHeight w:val="330"/>
        </w:trPr>
        <w:tc>
          <w:tcPr>
            <w:tcW w:w="1046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*INFRAS. = Contraprestación por uso de infraestructura</w:t>
            </w:r>
          </w:p>
        </w:tc>
      </w:tr>
    </w:tbl>
    <w:p w:rsidR="000B1282" w:rsidRDefault="000B1282">
      <w:pPr>
        <w:jc w:val="both"/>
        <w:rPr>
          <w:rFonts w:ascii="Arial" w:eastAsia="Arial" w:hAnsi="Arial" w:cs="Arial"/>
          <w:sz w:val="24"/>
          <w:szCs w:val="24"/>
        </w:rPr>
      </w:pPr>
    </w:p>
    <w:tbl>
      <w:tblPr>
        <w:tblStyle w:val="a5"/>
        <w:tblW w:w="10465" w:type="dxa"/>
        <w:tblInd w:w="-719" w:type="dxa"/>
        <w:tblLayout w:type="fixed"/>
        <w:tblLook w:val="0400" w:firstRow="0" w:lastRow="0" w:firstColumn="0" w:lastColumn="0" w:noHBand="0" w:noVBand="1"/>
      </w:tblPr>
      <w:tblGrid>
        <w:gridCol w:w="2443"/>
        <w:gridCol w:w="2088"/>
        <w:gridCol w:w="2023"/>
        <w:gridCol w:w="1890"/>
        <w:gridCol w:w="2021"/>
      </w:tblGrid>
      <w:tr w:rsidR="000B1282">
        <w:trPr>
          <w:trHeight w:val="375"/>
        </w:trPr>
        <w:tc>
          <w:tcPr>
            <w:tcW w:w="2443" w:type="dxa"/>
            <w:vMerge w:val="restart"/>
            <w:tcBorders>
              <w:top w:val="single" w:sz="8" w:space="0" w:color="000000"/>
              <w:left w:val="single" w:sz="8" w:space="0" w:color="000000"/>
              <w:bottom w:val="nil"/>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ZONA PORTUARIA</w:t>
            </w:r>
          </w:p>
        </w:tc>
        <w:tc>
          <w:tcPr>
            <w:tcW w:w="8022" w:type="dxa"/>
            <w:gridSpan w:val="4"/>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2017</w:t>
            </w:r>
          </w:p>
        </w:tc>
      </w:tr>
      <w:tr w:rsidR="000B1282">
        <w:trPr>
          <w:trHeight w:val="390"/>
        </w:trPr>
        <w:tc>
          <w:tcPr>
            <w:tcW w:w="2443" w:type="dxa"/>
            <w:vMerge/>
            <w:tcBorders>
              <w:top w:val="single" w:sz="8" w:space="0" w:color="000000"/>
              <w:left w:val="single" w:sz="8" w:space="0" w:color="000000"/>
              <w:bottom w:val="nil"/>
              <w:right w:val="single" w:sz="8"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2088"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ALCALDIA</w:t>
            </w:r>
          </w:p>
        </w:tc>
        <w:tc>
          <w:tcPr>
            <w:tcW w:w="3913" w:type="dxa"/>
            <w:gridSpan w:val="2"/>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INVIAS</w:t>
            </w:r>
          </w:p>
        </w:tc>
        <w:tc>
          <w:tcPr>
            <w:tcW w:w="2021" w:type="dxa"/>
            <w:vMerge w:val="restart"/>
            <w:tcBorders>
              <w:top w:val="nil"/>
              <w:left w:val="single" w:sz="8" w:space="0" w:color="000000"/>
              <w:bottom w:val="nil"/>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TOTAL</w:t>
            </w:r>
          </w:p>
        </w:tc>
      </w:tr>
      <w:tr w:rsidR="000B1282">
        <w:trPr>
          <w:trHeight w:val="375"/>
        </w:trPr>
        <w:tc>
          <w:tcPr>
            <w:tcW w:w="2443" w:type="dxa"/>
            <w:vMerge/>
            <w:tcBorders>
              <w:top w:val="single" w:sz="8" w:space="0" w:color="000000"/>
              <w:left w:val="single" w:sz="8" w:space="0" w:color="000000"/>
              <w:bottom w:val="nil"/>
              <w:right w:val="single" w:sz="8"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4111" w:type="dxa"/>
            <w:gridSpan w:val="2"/>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ESPACIO PUBLICO</w:t>
            </w:r>
          </w:p>
        </w:tc>
        <w:tc>
          <w:tcPr>
            <w:tcW w:w="1890" w:type="dxa"/>
            <w:tcBorders>
              <w:top w:val="nil"/>
              <w:left w:val="nil"/>
              <w:bottom w:val="nil"/>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INFRAES.</w:t>
            </w:r>
          </w:p>
        </w:tc>
        <w:tc>
          <w:tcPr>
            <w:tcW w:w="2021" w:type="dxa"/>
            <w:vMerge/>
            <w:tcBorders>
              <w:top w:val="nil"/>
              <w:left w:val="single" w:sz="8" w:space="0" w:color="000000"/>
              <w:bottom w:val="nil"/>
              <w:right w:val="single" w:sz="8"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r>
      <w:tr w:rsidR="000B1282">
        <w:trPr>
          <w:trHeight w:val="375"/>
        </w:trPr>
        <w:tc>
          <w:tcPr>
            <w:tcW w:w="2443" w:type="dxa"/>
            <w:tcBorders>
              <w:top w:val="single" w:sz="8" w:space="0" w:color="000000"/>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GUAJIRA</w:t>
            </w:r>
          </w:p>
        </w:tc>
        <w:tc>
          <w:tcPr>
            <w:tcW w:w="2088"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$ 7.116.817.724,95</w:t>
            </w:r>
          </w:p>
        </w:tc>
        <w:tc>
          <w:tcPr>
            <w:tcW w:w="202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$ 28.467.270.900</w:t>
            </w:r>
          </w:p>
        </w:tc>
        <w:tc>
          <w:tcPr>
            <w:tcW w:w="1890" w:type="dxa"/>
            <w:tcBorders>
              <w:top w:val="single" w:sz="8" w:space="0" w:color="000000"/>
              <w:left w:val="nil"/>
              <w:bottom w:val="single" w:sz="4" w:space="0" w:color="000000"/>
              <w:right w:val="single" w:sz="4"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tc>
        <w:tc>
          <w:tcPr>
            <w:tcW w:w="2021" w:type="dxa"/>
            <w:tcBorders>
              <w:top w:val="single" w:sz="8" w:space="0" w:color="000000"/>
              <w:left w:val="nil"/>
              <w:bottom w:val="single" w:sz="4"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$ 28.467.270.900</w:t>
            </w:r>
          </w:p>
        </w:tc>
      </w:tr>
      <w:tr w:rsidR="000B1282">
        <w:trPr>
          <w:trHeight w:val="750"/>
        </w:trPr>
        <w:tc>
          <w:tcPr>
            <w:tcW w:w="2443"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STA MARTA Y CIENAGA</w:t>
            </w:r>
          </w:p>
        </w:tc>
        <w:tc>
          <w:tcPr>
            <w:tcW w:w="2088"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$ 9.277.801.803,83</w:t>
            </w:r>
          </w:p>
        </w:tc>
        <w:tc>
          <w:tcPr>
            <w:tcW w:w="202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$ 37.111.207.215</w:t>
            </w:r>
          </w:p>
        </w:tc>
        <w:tc>
          <w:tcPr>
            <w:tcW w:w="1890"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$ 8.928.577.907</w:t>
            </w:r>
          </w:p>
        </w:tc>
        <w:tc>
          <w:tcPr>
            <w:tcW w:w="2021"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$ 46.039.785.122</w:t>
            </w:r>
          </w:p>
        </w:tc>
      </w:tr>
      <w:tr w:rsidR="000B1282">
        <w:trPr>
          <w:trHeight w:val="375"/>
        </w:trPr>
        <w:tc>
          <w:tcPr>
            <w:tcW w:w="2443"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CARTAGENA</w:t>
            </w:r>
          </w:p>
        </w:tc>
        <w:tc>
          <w:tcPr>
            <w:tcW w:w="2088"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$ 4.459.825.732,09</w:t>
            </w:r>
          </w:p>
        </w:tc>
        <w:tc>
          <w:tcPr>
            <w:tcW w:w="202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$ 17.839.302.928</w:t>
            </w:r>
          </w:p>
        </w:tc>
        <w:tc>
          <w:tcPr>
            <w:tcW w:w="1890"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$ 2.458.688.037</w:t>
            </w:r>
          </w:p>
        </w:tc>
        <w:tc>
          <w:tcPr>
            <w:tcW w:w="2021"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$ 20.297.990.965</w:t>
            </w:r>
          </w:p>
        </w:tc>
      </w:tr>
      <w:tr w:rsidR="000B1282">
        <w:trPr>
          <w:trHeight w:val="375"/>
        </w:trPr>
        <w:tc>
          <w:tcPr>
            <w:tcW w:w="2443"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MORROSQUILLO </w:t>
            </w:r>
          </w:p>
        </w:tc>
        <w:tc>
          <w:tcPr>
            <w:tcW w:w="2088"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$ 532.921.215,49</w:t>
            </w:r>
          </w:p>
        </w:tc>
        <w:tc>
          <w:tcPr>
            <w:tcW w:w="202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$ 2.131.684.862</w:t>
            </w:r>
          </w:p>
        </w:tc>
        <w:tc>
          <w:tcPr>
            <w:tcW w:w="1890"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$ 1.807.934.417</w:t>
            </w:r>
          </w:p>
        </w:tc>
        <w:tc>
          <w:tcPr>
            <w:tcW w:w="2021"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$ 3.939.619.279</w:t>
            </w:r>
          </w:p>
        </w:tc>
      </w:tr>
      <w:tr w:rsidR="000B1282">
        <w:trPr>
          <w:trHeight w:val="375"/>
        </w:trPr>
        <w:tc>
          <w:tcPr>
            <w:tcW w:w="2443"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BUENAVENTURA</w:t>
            </w:r>
          </w:p>
        </w:tc>
        <w:tc>
          <w:tcPr>
            <w:tcW w:w="2088"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$ 8.556.439.305,00</w:t>
            </w:r>
          </w:p>
        </w:tc>
        <w:tc>
          <w:tcPr>
            <w:tcW w:w="202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$ 34.225.757.220</w:t>
            </w:r>
          </w:p>
        </w:tc>
        <w:tc>
          <w:tcPr>
            <w:tcW w:w="1890"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$ 22.484.578.392</w:t>
            </w:r>
          </w:p>
        </w:tc>
        <w:tc>
          <w:tcPr>
            <w:tcW w:w="2021"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$ 56.710.335.612</w:t>
            </w:r>
          </w:p>
        </w:tc>
      </w:tr>
      <w:tr w:rsidR="000B1282">
        <w:trPr>
          <w:trHeight w:val="375"/>
        </w:trPr>
        <w:tc>
          <w:tcPr>
            <w:tcW w:w="2443"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URABA</w:t>
            </w:r>
          </w:p>
        </w:tc>
        <w:tc>
          <w:tcPr>
            <w:tcW w:w="2088"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$ 999.701.337,96</w:t>
            </w:r>
          </w:p>
        </w:tc>
        <w:tc>
          <w:tcPr>
            <w:tcW w:w="202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$ 3.998.805.352</w:t>
            </w:r>
          </w:p>
        </w:tc>
        <w:tc>
          <w:tcPr>
            <w:tcW w:w="1890"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$ 13.571.581</w:t>
            </w:r>
          </w:p>
        </w:tc>
        <w:tc>
          <w:tcPr>
            <w:tcW w:w="2021"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$ 4.012.376.933</w:t>
            </w:r>
          </w:p>
        </w:tc>
      </w:tr>
      <w:tr w:rsidR="000B1282">
        <w:trPr>
          <w:trHeight w:val="390"/>
        </w:trPr>
        <w:tc>
          <w:tcPr>
            <w:tcW w:w="2443" w:type="dxa"/>
            <w:tcBorders>
              <w:top w:val="nil"/>
              <w:left w:val="single" w:sz="8" w:space="0" w:color="000000"/>
              <w:bottom w:val="nil"/>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TUMACO</w:t>
            </w:r>
          </w:p>
        </w:tc>
        <w:tc>
          <w:tcPr>
            <w:tcW w:w="2088"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$ 448.989.761,82</w:t>
            </w:r>
          </w:p>
        </w:tc>
        <w:tc>
          <w:tcPr>
            <w:tcW w:w="2023" w:type="dxa"/>
            <w:tcBorders>
              <w:top w:val="nil"/>
              <w:left w:val="nil"/>
              <w:bottom w:val="nil"/>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$ 1.795.959.047</w:t>
            </w:r>
          </w:p>
        </w:tc>
        <w:tc>
          <w:tcPr>
            <w:tcW w:w="1890" w:type="dxa"/>
            <w:tcBorders>
              <w:top w:val="nil"/>
              <w:left w:val="nil"/>
              <w:bottom w:val="nil"/>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$ 458.817.617</w:t>
            </w:r>
          </w:p>
        </w:tc>
        <w:tc>
          <w:tcPr>
            <w:tcW w:w="2021" w:type="dxa"/>
            <w:tcBorders>
              <w:top w:val="nil"/>
              <w:left w:val="nil"/>
              <w:bottom w:val="nil"/>
              <w:right w:val="single" w:sz="8" w:space="0" w:color="000000"/>
            </w:tcBorders>
            <w:shd w:val="clear" w:color="auto" w:fill="auto"/>
            <w:vAlign w:val="center"/>
          </w:tcPr>
          <w:p w:rsidR="000B1282" w:rsidRDefault="002B74D2">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$ 2.254.776.664</w:t>
            </w:r>
          </w:p>
        </w:tc>
      </w:tr>
      <w:tr w:rsidR="000B1282">
        <w:trPr>
          <w:trHeight w:val="330"/>
        </w:trPr>
        <w:tc>
          <w:tcPr>
            <w:tcW w:w="2443" w:type="dxa"/>
            <w:tcBorders>
              <w:top w:val="single" w:sz="8" w:space="0" w:color="000000"/>
              <w:left w:val="single" w:sz="8" w:space="0" w:color="000000"/>
              <w:bottom w:val="single" w:sz="8"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b/>
                <w:color w:val="000000"/>
                <w:sz w:val="24"/>
                <w:szCs w:val="24"/>
              </w:rPr>
            </w:pPr>
            <w:r>
              <w:rPr>
                <w:rFonts w:ascii="Arial" w:eastAsia="Arial" w:hAnsi="Arial" w:cs="Arial"/>
                <w:b/>
                <w:color w:val="000000"/>
                <w:sz w:val="24"/>
                <w:szCs w:val="24"/>
              </w:rPr>
              <w:t>TOTALES</w:t>
            </w:r>
          </w:p>
        </w:tc>
        <w:tc>
          <w:tcPr>
            <w:tcW w:w="2088" w:type="dxa"/>
            <w:tcBorders>
              <w:top w:val="single" w:sz="8" w:space="0" w:color="000000"/>
              <w:left w:val="nil"/>
              <w:bottom w:val="single" w:sz="8"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$ 31.392.496.881</w:t>
            </w:r>
          </w:p>
        </w:tc>
        <w:tc>
          <w:tcPr>
            <w:tcW w:w="2023" w:type="dxa"/>
            <w:tcBorders>
              <w:top w:val="single" w:sz="8" w:space="0" w:color="000000"/>
              <w:left w:val="nil"/>
              <w:bottom w:val="single" w:sz="8"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$ 125.569.987.525</w:t>
            </w:r>
          </w:p>
        </w:tc>
        <w:tc>
          <w:tcPr>
            <w:tcW w:w="1890" w:type="dxa"/>
            <w:tcBorders>
              <w:top w:val="single" w:sz="8" w:space="0" w:color="000000"/>
              <w:left w:val="nil"/>
              <w:bottom w:val="single" w:sz="8"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$ 36.152.167.951</w:t>
            </w:r>
          </w:p>
        </w:tc>
        <w:tc>
          <w:tcPr>
            <w:tcW w:w="2021" w:type="dxa"/>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$ 161.722.155.475</w:t>
            </w:r>
          </w:p>
        </w:tc>
      </w:tr>
      <w:tr w:rsidR="000B1282">
        <w:trPr>
          <w:trHeight w:val="330"/>
        </w:trPr>
        <w:tc>
          <w:tcPr>
            <w:tcW w:w="1046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*ESPACIO PUBLICO=Contraprestación por el uso y goce temporal y exclusivo de las zonas de uso público</w:t>
            </w:r>
          </w:p>
        </w:tc>
      </w:tr>
      <w:tr w:rsidR="000B1282">
        <w:trPr>
          <w:trHeight w:val="330"/>
        </w:trPr>
        <w:tc>
          <w:tcPr>
            <w:tcW w:w="1046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*INFRAS. = Contraprestación por uso de infraestructura</w:t>
            </w:r>
          </w:p>
        </w:tc>
      </w:tr>
    </w:tbl>
    <w:p w:rsidR="000B1282" w:rsidRDefault="000B1282">
      <w:pPr>
        <w:jc w:val="both"/>
        <w:rPr>
          <w:rFonts w:ascii="Arial" w:eastAsia="Arial" w:hAnsi="Arial" w:cs="Arial"/>
          <w:sz w:val="24"/>
          <w:szCs w:val="24"/>
        </w:rPr>
      </w:pPr>
    </w:p>
    <w:tbl>
      <w:tblPr>
        <w:tblStyle w:val="a6"/>
        <w:tblW w:w="10464" w:type="dxa"/>
        <w:tblInd w:w="-719" w:type="dxa"/>
        <w:tblLayout w:type="fixed"/>
        <w:tblLook w:val="0400" w:firstRow="0" w:lastRow="0" w:firstColumn="0" w:lastColumn="0" w:noHBand="0" w:noVBand="1"/>
      </w:tblPr>
      <w:tblGrid>
        <w:gridCol w:w="2444"/>
        <w:gridCol w:w="1937"/>
        <w:gridCol w:w="2073"/>
        <w:gridCol w:w="1937"/>
        <w:gridCol w:w="2073"/>
      </w:tblGrid>
      <w:tr w:rsidR="000B1282">
        <w:trPr>
          <w:trHeight w:val="330"/>
        </w:trPr>
        <w:tc>
          <w:tcPr>
            <w:tcW w:w="24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ZONA PORTUARIA</w:t>
            </w:r>
          </w:p>
        </w:tc>
        <w:tc>
          <w:tcPr>
            <w:tcW w:w="8020" w:type="dxa"/>
            <w:gridSpan w:val="4"/>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2018</w:t>
            </w:r>
          </w:p>
        </w:tc>
      </w:tr>
      <w:tr w:rsidR="000B1282">
        <w:trPr>
          <w:trHeight w:val="330"/>
        </w:trPr>
        <w:tc>
          <w:tcPr>
            <w:tcW w:w="24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1937"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ALCALDIA</w:t>
            </w:r>
          </w:p>
        </w:tc>
        <w:tc>
          <w:tcPr>
            <w:tcW w:w="4010" w:type="dxa"/>
            <w:gridSpan w:val="2"/>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INVIAS</w:t>
            </w:r>
          </w:p>
        </w:tc>
        <w:tc>
          <w:tcPr>
            <w:tcW w:w="2073" w:type="dxa"/>
            <w:vMerge w:val="restart"/>
            <w:tcBorders>
              <w:top w:val="nil"/>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TOTAL</w:t>
            </w:r>
          </w:p>
        </w:tc>
      </w:tr>
      <w:tr w:rsidR="000B1282">
        <w:trPr>
          <w:trHeight w:val="360"/>
        </w:trPr>
        <w:tc>
          <w:tcPr>
            <w:tcW w:w="24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4010" w:type="dxa"/>
            <w:gridSpan w:val="2"/>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ESPACIO PUBLICO</w:t>
            </w:r>
          </w:p>
        </w:tc>
        <w:tc>
          <w:tcPr>
            <w:tcW w:w="1937"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INFRAES.</w:t>
            </w:r>
          </w:p>
        </w:tc>
        <w:tc>
          <w:tcPr>
            <w:tcW w:w="2073" w:type="dxa"/>
            <w:vMerge/>
            <w:tcBorders>
              <w:top w:val="nil"/>
              <w:left w:val="single" w:sz="8" w:space="0" w:color="000000"/>
              <w:bottom w:val="single" w:sz="8" w:space="0" w:color="000000"/>
              <w:right w:val="single" w:sz="8"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r>
      <w:tr w:rsidR="000B1282">
        <w:trPr>
          <w:trHeight w:val="375"/>
        </w:trPr>
        <w:tc>
          <w:tcPr>
            <w:tcW w:w="2444" w:type="dxa"/>
            <w:tcBorders>
              <w:top w:val="nil"/>
              <w:left w:val="single" w:sz="8" w:space="0" w:color="000000"/>
              <w:bottom w:val="single" w:sz="4"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GUAJIRA</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$ 5.714.761.746</w:t>
            </w:r>
          </w:p>
        </w:tc>
        <w:tc>
          <w:tcPr>
            <w:tcW w:w="207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$ 22.859.046.982</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w:t>
            </w:r>
          </w:p>
        </w:tc>
        <w:tc>
          <w:tcPr>
            <w:tcW w:w="2073"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$ 22.859.046.982</w:t>
            </w:r>
          </w:p>
        </w:tc>
      </w:tr>
      <w:tr w:rsidR="000B1282">
        <w:trPr>
          <w:trHeight w:val="720"/>
        </w:trPr>
        <w:tc>
          <w:tcPr>
            <w:tcW w:w="2444" w:type="dxa"/>
            <w:tcBorders>
              <w:top w:val="nil"/>
              <w:left w:val="single" w:sz="8" w:space="0" w:color="000000"/>
              <w:bottom w:val="single" w:sz="4"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STA MARTA Y CIENAGA</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$ 7.130.855.747</w:t>
            </w:r>
          </w:p>
        </w:tc>
        <w:tc>
          <w:tcPr>
            <w:tcW w:w="207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$ 28.523.422.990</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$ 8.478.380.402</w:t>
            </w:r>
          </w:p>
        </w:tc>
        <w:tc>
          <w:tcPr>
            <w:tcW w:w="2073"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$ 37.001.803.392</w:t>
            </w:r>
          </w:p>
        </w:tc>
      </w:tr>
      <w:tr w:rsidR="000B1282">
        <w:trPr>
          <w:trHeight w:val="375"/>
        </w:trPr>
        <w:tc>
          <w:tcPr>
            <w:tcW w:w="2444" w:type="dxa"/>
            <w:tcBorders>
              <w:top w:val="nil"/>
              <w:left w:val="single" w:sz="8" w:space="0" w:color="000000"/>
              <w:bottom w:val="single" w:sz="4"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CARTAGENA</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$ 5.646.896.929</w:t>
            </w:r>
          </w:p>
        </w:tc>
        <w:tc>
          <w:tcPr>
            <w:tcW w:w="207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$ 22.587.587.716</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$ 2.426.565.454</w:t>
            </w:r>
          </w:p>
        </w:tc>
        <w:tc>
          <w:tcPr>
            <w:tcW w:w="2073"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$ 25.014.153.169</w:t>
            </w:r>
          </w:p>
        </w:tc>
      </w:tr>
      <w:tr w:rsidR="000B1282">
        <w:trPr>
          <w:trHeight w:val="375"/>
        </w:trPr>
        <w:tc>
          <w:tcPr>
            <w:tcW w:w="2444" w:type="dxa"/>
            <w:tcBorders>
              <w:top w:val="nil"/>
              <w:left w:val="single" w:sz="8" w:space="0" w:color="000000"/>
              <w:bottom w:val="single" w:sz="4"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MORROSQUILLO </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$ 1.087.096.676</w:t>
            </w:r>
          </w:p>
        </w:tc>
        <w:tc>
          <w:tcPr>
            <w:tcW w:w="207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$ 4.348.386.705</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$ 222.964.688</w:t>
            </w:r>
          </w:p>
        </w:tc>
        <w:tc>
          <w:tcPr>
            <w:tcW w:w="2073"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$ 4.571.351.393</w:t>
            </w:r>
          </w:p>
        </w:tc>
      </w:tr>
      <w:tr w:rsidR="000B1282">
        <w:trPr>
          <w:trHeight w:val="375"/>
        </w:trPr>
        <w:tc>
          <w:tcPr>
            <w:tcW w:w="2444" w:type="dxa"/>
            <w:tcBorders>
              <w:top w:val="nil"/>
              <w:left w:val="single" w:sz="8" w:space="0" w:color="000000"/>
              <w:bottom w:val="single" w:sz="4"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BUENAVENTURA</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$ 14.815.291.312</w:t>
            </w:r>
          </w:p>
        </w:tc>
        <w:tc>
          <w:tcPr>
            <w:tcW w:w="207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$ 59.261.165.249</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$ 24.814.419.409</w:t>
            </w:r>
          </w:p>
        </w:tc>
        <w:tc>
          <w:tcPr>
            <w:tcW w:w="2073"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$ 84.075.584.659</w:t>
            </w:r>
          </w:p>
        </w:tc>
      </w:tr>
      <w:tr w:rsidR="000B1282">
        <w:trPr>
          <w:trHeight w:val="375"/>
        </w:trPr>
        <w:tc>
          <w:tcPr>
            <w:tcW w:w="2444" w:type="dxa"/>
            <w:tcBorders>
              <w:top w:val="nil"/>
              <w:left w:val="single" w:sz="8" w:space="0" w:color="000000"/>
              <w:bottom w:val="single" w:sz="4"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URABA</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$ 1.054.727.288</w:t>
            </w:r>
          </w:p>
        </w:tc>
        <w:tc>
          <w:tcPr>
            <w:tcW w:w="2073"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$ 4.218.909.154</w:t>
            </w:r>
          </w:p>
        </w:tc>
        <w:tc>
          <w:tcPr>
            <w:tcW w:w="1937"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$ 26.072.120</w:t>
            </w:r>
          </w:p>
        </w:tc>
        <w:tc>
          <w:tcPr>
            <w:tcW w:w="2073"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$ 4.244.981.274</w:t>
            </w:r>
          </w:p>
        </w:tc>
      </w:tr>
      <w:tr w:rsidR="000B1282">
        <w:trPr>
          <w:trHeight w:val="390"/>
        </w:trPr>
        <w:tc>
          <w:tcPr>
            <w:tcW w:w="2444" w:type="dxa"/>
            <w:tcBorders>
              <w:top w:val="nil"/>
              <w:left w:val="single" w:sz="8" w:space="0" w:color="000000"/>
              <w:bottom w:val="single" w:sz="8" w:space="0" w:color="000000"/>
              <w:right w:val="single" w:sz="4"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TUMACO</w:t>
            </w:r>
          </w:p>
        </w:tc>
        <w:tc>
          <w:tcPr>
            <w:tcW w:w="1937" w:type="dxa"/>
            <w:tcBorders>
              <w:top w:val="nil"/>
              <w:left w:val="nil"/>
              <w:bottom w:val="single" w:sz="8"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$ 531.670.853</w:t>
            </w:r>
          </w:p>
        </w:tc>
        <w:tc>
          <w:tcPr>
            <w:tcW w:w="2073" w:type="dxa"/>
            <w:tcBorders>
              <w:top w:val="nil"/>
              <w:left w:val="nil"/>
              <w:bottom w:val="single" w:sz="8"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$ 2.126.683.410</w:t>
            </w:r>
          </w:p>
        </w:tc>
        <w:tc>
          <w:tcPr>
            <w:tcW w:w="1937" w:type="dxa"/>
            <w:tcBorders>
              <w:top w:val="nil"/>
              <w:left w:val="nil"/>
              <w:bottom w:val="single" w:sz="8"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$ 185.698.051</w:t>
            </w:r>
          </w:p>
        </w:tc>
        <w:tc>
          <w:tcPr>
            <w:tcW w:w="2073"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$ 2.312.381.461</w:t>
            </w:r>
          </w:p>
        </w:tc>
      </w:tr>
      <w:tr w:rsidR="000B1282">
        <w:trPr>
          <w:trHeight w:val="330"/>
        </w:trPr>
        <w:tc>
          <w:tcPr>
            <w:tcW w:w="2444" w:type="dxa"/>
            <w:tcBorders>
              <w:top w:val="nil"/>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rPr>
                <w:rFonts w:ascii="Arial" w:eastAsia="Arial" w:hAnsi="Arial" w:cs="Arial"/>
                <w:b/>
                <w:color w:val="000000"/>
                <w:sz w:val="24"/>
                <w:szCs w:val="24"/>
              </w:rPr>
            </w:pPr>
            <w:r>
              <w:rPr>
                <w:rFonts w:ascii="Arial" w:eastAsia="Arial" w:hAnsi="Arial" w:cs="Arial"/>
                <w:b/>
                <w:color w:val="000000"/>
                <w:sz w:val="24"/>
                <w:szCs w:val="24"/>
              </w:rPr>
              <w:t>TOTALES</w:t>
            </w:r>
          </w:p>
        </w:tc>
        <w:tc>
          <w:tcPr>
            <w:tcW w:w="1937" w:type="dxa"/>
            <w:tcBorders>
              <w:top w:val="nil"/>
              <w:left w:val="single" w:sz="4" w:space="0" w:color="000000"/>
              <w:bottom w:val="single" w:sz="8"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$ 35.981.300.551</w:t>
            </w:r>
          </w:p>
        </w:tc>
        <w:tc>
          <w:tcPr>
            <w:tcW w:w="2073"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$ 143.925.202.206</w:t>
            </w:r>
          </w:p>
        </w:tc>
        <w:tc>
          <w:tcPr>
            <w:tcW w:w="1937"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$ 36.154.100.124</w:t>
            </w:r>
          </w:p>
        </w:tc>
        <w:tc>
          <w:tcPr>
            <w:tcW w:w="2073"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$ 180.079.302.330</w:t>
            </w:r>
          </w:p>
        </w:tc>
      </w:tr>
      <w:tr w:rsidR="000B1282">
        <w:trPr>
          <w:trHeight w:val="330"/>
        </w:trPr>
        <w:tc>
          <w:tcPr>
            <w:tcW w:w="1046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*ESPACIO PUBLICO=Contraprestación por el uso y goce temporal y exclusivo de las zonas de uso público</w:t>
            </w:r>
          </w:p>
        </w:tc>
      </w:tr>
      <w:tr w:rsidR="000B1282">
        <w:trPr>
          <w:trHeight w:val="330"/>
        </w:trPr>
        <w:tc>
          <w:tcPr>
            <w:tcW w:w="1046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*INFRAS. = Contraprestación por uso de infraestructura</w:t>
            </w:r>
          </w:p>
        </w:tc>
      </w:tr>
    </w:tbl>
    <w:p w:rsidR="000B1282" w:rsidRDefault="000B1282">
      <w:pPr>
        <w:spacing w:line="360" w:lineRule="auto"/>
        <w:jc w:val="both"/>
        <w:rPr>
          <w:rFonts w:ascii="Arial" w:eastAsia="Arial" w:hAnsi="Arial" w:cs="Arial"/>
          <w:sz w:val="24"/>
          <w:szCs w:val="24"/>
        </w:rPr>
      </w:pPr>
    </w:p>
    <w:tbl>
      <w:tblPr>
        <w:tblStyle w:val="a7"/>
        <w:tblW w:w="10468" w:type="dxa"/>
        <w:tblInd w:w="-719" w:type="dxa"/>
        <w:tblLayout w:type="fixed"/>
        <w:tblLook w:val="0400" w:firstRow="0" w:lastRow="0" w:firstColumn="0" w:lastColumn="0" w:noHBand="0" w:noVBand="1"/>
      </w:tblPr>
      <w:tblGrid>
        <w:gridCol w:w="2442"/>
        <w:gridCol w:w="2001"/>
        <w:gridCol w:w="2012"/>
        <w:gridCol w:w="1872"/>
        <w:gridCol w:w="2141"/>
      </w:tblGrid>
      <w:tr w:rsidR="000B1282">
        <w:trPr>
          <w:trHeight w:val="330"/>
        </w:trPr>
        <w:tc>
          <w:tcPr>
            <w:tcW w:w="2443" w:type="dxa"/>
            <w:vMerge w:val="restart"/>
            <w:tcBorders>
              <w:top w:val="single" w:sz="8" w:space="0" w:color="000000"/>
              <w:left w:val="single" w:sz="8" w:space="0" w:color="000000"/>
              <w:bottom w:val="nil"/>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ZONA PORTUARIA</w:t>
            </w:r>
          </w:p>
        </w:tc>
        <w:tc>
          <w:tcPr>
            <w:tcW w:w="8026" w:type="dxa"/>
            <w:gridSpan w:val="4"/>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2019</w:t>
            </w:r>
          </w:p>
        </w:tc>
      </w:tr>
      <w:tr w:rsidR="000B1282">
        <w:trPr>
          <w:trHeight w:val="330"/>
        </w:trPr>
        <w:tc>
          <w:tcPr>
            <w:tcW w:w="2443" w:type="dxa"/>
            <w:vMerge/>
            <w:tcBorders>
              <w:top w:val="single" w:sz="8" w:space="0" w:color="000000"/>
              <w:left w:val="single" w:sz="8" w:space="0" w:color="000000"/>
              <w:bottom w:val="nil"/>
              <w:right w:val="single" w:sz="8"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2001"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ALCALDIA</w:t>
            </w:r>
          </w:p>
        </w:tc>
        <w:tc>
          <w:tcPr>
            <w:tcW w:w="3884" w:type="dxa"/>
            <w:gridSpan w:val="2"/>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INVIAS</w:t>
            </w:r>
          </w:p>
        </w:tc>
        <w:tc>
          <w:tcPr>
            <w:tcW w:w="2141" w:type="dxa"/>
            <w:vMerge w:val="restart"/>
            <w:tcBorders>
              <w:top w:val="nil"/>
              <w:left w:val="single" w:sz="8" w:space="0" w:color="000000"/>
              <w:bottom w:val="nil"/>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TOTAL</w:t>
            </w:r>
          </w:p>
        </w:tc>
      </w:tr>
      <w:tr w:rsidR="000B1282">
        <w:trPr>
          <w:trHeight w:val="330"/>
        </w:trPr>
        <w:tc>
          <w:tcPr>
            <w:tcW w:w="2443" w:type="dxa"/>
            <w:vMerge/>
            <w:tcBorders>
              <w:top w:val="single" w:sz="8" w:space="0" w:color="000000"/>
              <w:left w:val="single" w:sz="8" w:space="0" w:color="000000"/>
              <w:bottom w:val="nil"/>
              <w:right w:val="single" w:sz="8"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c>
          <w:tcPr>
            <w:tcW w:w="4013" w:type="dxa"/>
            <w:gridSpan w:val="2"/>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ESPACIO PUBLICO</w:t>
            </w:r>
          </w:p>
        </w:tc>
        <w:tc>
          <w:tcPr>
            <w:tcW w:w="1872" w:type="dxa"/>
            <w:tcBorders>
              <w:top w:val="nil"/>
              <w:left w:val="nil"/>
              <w:bottom w:val="nil"/>
              <w:right w:val="single" w:sz="8" w:space="0" w:color="000000"/>
            </w:tcBorders>
            <w:shd w:val="clear" w:color="auto" w:fill="auto"/>
            <w:vAlign w:val="center"/>
          </w:tcPr>
          <w:p w:rsidR="000B1282" w:rsidRDefault="002B74D2">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INFRAES.</w:t>
            </w:r>
          </w:p>
        </w:tc>
        <w:tc>
          <w:tcPr>
            <w:tcW w:w="2141" w:type="dxa"/>
            <w:vMerge/>
            <w:tcBorders>
              <w:top w:val="nil"/>
              <w:left w:val="single" w:sz="8" w:space="0" w:color="000000"/>
              <w:bottom w:val="nil"/>
              <w:right w:val="single" w:sz="8" w:space="0" w:color="000000"/>
            </w:tcBorders>
            <w:shd w:val="clear" w:color="auto" w:fill="auto"/>
            <w:vAlign w:val="center"/>
          </w:tcPr>
          <w:p w:rsidR="000B1282" w:rsidRDefault="000B1282">
            <w:pPr>
              <w:widowControl w:val="0"/>
              <w:pBdr>
                <w:top w:val="nil"/>
                <w:left w:val="nil"/>
                <w:bottom w:val="nil"/>
                <w:right w:val="nil"/>
                <w:between w:val="nil"/>
              </w:pBdr>
              <w:spacing w:after="0" w:line="276" w:lineRule="auto"/>
              <w:rPr>
                <w:rFonts w:ascii="Arial" w:eastAsia="Arial" w:hAnsi="Arial" w:cs="Arial"/>
                <w:b/>
                <w:color w:val="000000"/>
                <w:sz w:val="24"/>
                <w:szCs w:val="24"/>
              </w:rPr>
            </w:pPr>
          </w:p>
        </w:tc>
      </w:tr>
      <w:tr w:rsidR="000B1282">
        <w:trPr>
          <w:trHeight w:val="375"/>
        </w:trPr>
        <w:tc>
          <w:tcPr>
            <w:tcW w:w="2443" w:type="dxa"/>
            <w:tcBorders>
              <w:top w:val="single" w:sz="8" w:space="0" w:color="000000"/>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GUAJIRA</w:t>
            </w:r>
          </w:p>
        </w:tc>
        <w:tc>
          <w:tcPr>
            <w:tcW w:w="200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$ 5.914.995.891</w:t>
            </w:r>
          </w:p>
        </w:tc>
        <w:tc>
          <w:tcPr>
            <w:tcW w:w="2012"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$ 23.659.983.563</w:t>
            </w:r>
          </w:p>
        </w:tc>
        <w:tc>
          <w:tcPr>
            <w:tcW w:w="1872" w:type="dxa"/>
            <w:tcBorders>
              <w:top w:val="single" w:sz="8" w:space="0" w:color="000000"/>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w:t>
            </w:r>
          </w:p>
        </w:tc>
        <w:tc>
          <w:tcPr>
            <w:tcW w:w="2141" w:type="dxa"/>
            <w:tcBorders>
              <w:top w:val="single" w:sz="8" w:space="0" w:color="000000"/>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$ 23.659.983.563</w:t>
            </w:r>
          </w:p>
        </w:tc>
      </w:tr>
      <w:tr w:rsidR="000B1282">
        <w:trPr>
          <w:trHeight w:val="750"/>
        </w:trPr>
        <w:tc>
          <w:tcPr>
            <w:tcW w:w="2443"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STA MARTA Y CIENAGA</w:t>
            </w:r>
          </w:p>
        </w:tc>
        <w:tc>
          <w:tcPr>
            <w:tcW w:w="200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$ 8.088.039.585</w:t>
            </w:r>
          </w:p>
        </w:tc>
        <w:tc>
          <w:tcPr>
            <w:tcW w:w="2012"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$ 32.352.158.340</w:t>
            </w:r>
          </w:p>
        </w:tc>
        <w:tc>
          <w:tcPr>
            <w:tcW w:w="1872"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$ 4.977.370.476</w:t>
            </w:r>
          </w:p>
        </w:tc>
        <w:tc>
          <w:tcPr>
            <w:tcW w:w="2141"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$ 37.329.528.817</w:t>
            </w:r>
          </w:p>
        </w:tc>
      </w:tr>
      <w:tr w:rsidR="000B1282">
        <w:trPr>
          <w:trHeight w:val="375"/>
        </w:trPr>
        <w:tc>
          <w:tcPr>
            <w:tcW w:w="2443"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CARTAGENA</w:t>
            </w:r>
          </w:p>
        </w:tc>
        <w:tc>
          <w:tcPr>
            <w:tcW w:w="200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$ 5.085.574.479</w:t>
            </w:r>
          </w:p>
        </w:tc>
        <w:tc>
          <w:tcPr>
            <w:tcW w:w="2012"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$ 20.342.297.918</w:t>
            </w:r>
          </w:p>
        </w:tc>
        <w:tc>
          <w:tcPr>
            <w:tcW w:w="1872"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$ 2.572.216.116</w:t>
            </w:r>
          </w:p>
        </w:tc>
        <w:tc>
          <w:tcPr>
            <w:tcW w:w="2141"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$ 22.914.514.034</w:t>
            </w:r>
          </w:p>
        </w:tc>
      </w:tr>
      <w:tr w:rsidR="000B1282">
        <w:trPr>
          <w:trHeight w:val="375"/>
        </w:trPr>
        <w:tc>
          <w:tcPr>
            <w:tcW w:w="2443"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MORROSQUILLO </w:t>
            </w:r>
          </w:p>
        </w:tc>
        <w:tc>
          <w:tcPr>
            <w:tcW w:w="200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$ 1.122.962.673</w:t>
            </w:r>
          </w:p>
        </w:tc>
        <w:tc>
          <w:tcPr>
            <w:tcW w:w="2012"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$ 4.491.850.690</w:t>
            </w:r>
          </w:p>
        </w:tc>
        <w:tc>
          <w:tcPr>
            <w:tcW w:w="1872"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w:t>
            </w:r>
          </w:p>
        </w:tc>
        <w:tc>
          <w:tcPr>
            <w:tcW w:w="2141"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$ 4.491.850.690</w:t>
            </w:r>
          </w:p>
        </w:tc>
      </w:tr>
      <w:tr w:rsidR="000B1282">
        <w:trPr>
          <w:trHeight w:val="375"/>
        </w:trPr>
        <w:tc>
          <w:tcPr>
            <w:tcW w:w="2443"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BUENAVENTURA</w:t>
            </w:r>
          </w:p>
        </w:tc>
        <w:tc>
          <w:tcPr>
            <w:tcW w:w="200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$ 2.700.016.260</w:t>
            </w:r>
          </w:p>
        </w:tc>
        <w:tc>
          <w:tcPr>
            <w:tcW w:w="2012"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$ 10.800.065.039</w:t>
            </w:r>
          </w:p>
        </w:tc>
        <w:tc>
          <w:tcPr>
            <w:tcW w:w="1872"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$ 279.487.248</w:t>
            </w:r>
          </w:p>
        </w:tc>
        <w:tc>
          <w:tcPr>
            <w:tcW w:w="2141"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$ 11.079.552.288</w:t>
            </w:r>
          </w:p>
        </w:tc>
      </w:tr>
      <w:tr w:rsidR="000B1282">
        <w:trPr>
          <w:trHeight w:val="375"/>
        </w:trPr>
        <w:tc>
          <w:tcPr>
            <w:tcW w:w="2443" w:type="dxa"/>
            <w:tcBorders>
              <w:top w:val="nil"/>
              <w:left w:val="single" w:sz="8" w:space="0" w:color="000000"/>
              <w:bottom w:val="single" w:sz="4"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URABA</w:t>
            </w:r>
          </w:p>
        </w:tc>
        <w:tc>
          <w:tcPr>
            <w:tcW w:w="200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$ 983.166.687</w:t>
            </w:r>
          </w:p>
        </w:tc>
        <w:tc>
          <w:tcPr>
            <w:tcW w:w="2012"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$ 3.932.666.749</w:t>
            </w:r>
          </w:p>
        </w:tc>
        <w:tc>
          <w:tcPr>
            <w:tcW w:w="1872"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w:t>
            </w:r>
          </w:p>
        </w:tc>
        <w:tc>
          <w:tcPr>
            <w:tcW w:w="2141" w:type="dxa"/>
            <w:tcBorders>
              <w:top w:val="nil"/>
              <w:left w:val="nil"/>
              <w:bottom w:val="single" w:sz="4"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$ 3.932.666.749</w:t>
            </w:r>
          </w:p>
        </w:tc>
      </w:tr>
      <w:tr w:rsidR="000B1282">
        <w:trPr>
          <w:trHeight w:val="390"/>
        </w:trPr>
        <w:tc>
          <w:tcPr>
            <w:tcW w:w="2443" w:type="dxa"/>
            <w:tcBorders>
              <w:top w:val="nil"/>
              <w:left w:val="single" w:sz="8" w:space="0" w:color="000000"/>
              <w:bottom w:val="single" w:sz="8" w:space="0" w:color="000000"/>
              <w:right w:val="single" w:sz="4" w:space="0" w:color="000000"/>
            </w:tcBorders>
            <w:shd w:val="clear" w:color="auto" w:fill="auto"/>
            <w:vAlign w:val="bottom"/>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TUMACO</w:t>
            </w:r>
          </w:p>
        </w:tc>
        <w:tc>
          <w:tcPr>
            <w:tcW w:w="2001" w:type="dxa"/>
            <w:tcBorders>
              <w:top w:val="nil"/>
              <w:left w:val="nil"/>
              <w:bottom w:val="single" w:sz="4"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$ 289.334.488</w:t>
            </w:r>
          </w:p>
        </w:tc>
        <w:tc>
          <w:tcPr>
            <w:tcW w:w="2012" w:type="dxa"/>
            <w:tcBorders>
              <w:top w:val="nil"/>
              <w:left w:val="nil"/>
              <w:bottom w:val="single" w:sz="8"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$ 1.157.337.950</w:t>
            </w:r>
          </w:p>
        </w:tc>
        <w:tc>
          <w:tcPr>
            <w:tcW w:w="1872" w:type="dxa"/>
            <w:tcBorders>
              <w:top w:val="nil"/>
              <w:left w:val="nil"/>
              <w:bottom w:val="single" w:sz="8" w:space="0" w:color="000000"/>
              <w:right w:val="single" w:sz="4"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w:t>
            </w:r>
          </w:p>
        </w:tc>
        <w:tc>
          <w:tcPr>
            <w:tcW w:w="2141"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$ 1.157.337.950</w:t>
            </w:r>
          </w:p>
        </w:tc>
      </w:tr>
      <w:tr w:rsidR="000B1282">
        <w:trPr>
          <w:trHeight w:val="330"/>
        </w:trPr>
        <w:tc>
          <w:tcPr>
            <w:tcW w:w="2443" w:type="dxa"/>
            <w:tcBorders>
              <w:top w:val="nil"/>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rPr>
                <w:rFonts w:ascii="Arial" w:eastAsia="Arial" w:hAnsi="Arial" w:cs="Arial"/>
                <w:b/>
                <w:color w:val="000000"/>
                <w:sz w:val="24"/>
                <w:szCs w:val="24"/>
              </w:rPr>
            </w:pPr>
            <w:r>
              <w:rPr>
                <w:rFonts w:ascii="Arial" w:eastAsia="Arial" w:hAnsi="Arial" w:cs="Arial"/>
                <w:b/>
                <w:color w:val="000000"/>
                <w:sz w:val="24"/>
                <w:szCs w:val="24"/>
              </w:rPr>
              <w:t>TOTALES</w:t>
            </w:r>
          </w:p>
        </w:tc>
        <w:tc>
          <w:tcPr>
            <w:tcW w:w="2001" w:type="dxa"/>
            <w:tcBorders>
              <w:top w:val="single" w:sz="8" w:space="0" w:color="000000"/>
              <w:left w:val="nil"/>
              <w:bottom w:val="single" w:sz="8"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$ 24.184.090.062</w:t>
            </w:r>
          </w:p>
        </w:tc>
        <w:tc>
          <w:tcPr>
            <w:tcW w:w="2012"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$ 96.736.360.249</w:t>
            </w:r>
          </w:p>
        </w:tc>
        <w:tc>
          <w:tcPr>
            <w:tcW w:w="1872"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$ 7.829.073.841</w:t>
            </w:r>
          </w:p>
        </w:tc>
        <w:tc>
          <w:tcPr>
            <w:tcW w:w="2141" w:type="dxa"/>
            <w:tcBorders>
              <w:top w:val="nil"/>
              <w:left w:val="nil"/>
              <w:bottom w:val="single" w:sz="8" w:space="0" w:color="000000"/>
              <w:right w:val="single" w:sz="8" w:space="0" w:color="000000"/>
            </w:tcBorders>
            <w:shd w:val="clear" w:color="auto" w:fill="auto"/>
            <w:vAlign w:val="center"/>
          </w:tcPr>
          <w:p w:rsidR="000B1282" w:rsidRDefault="002B74D2">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$ 104.565.434.090</w:t>
            </w:r>
          </w:p>
        </w:tc>
      </w:tr>
      <w:tr w:rsidR="000B1282">
        <w:trPr>
          <w:trHeight w:val="330"/>
        </w:trPr>
        <w:tc>
          <w:tcPr>
            <w:tcW w:w="1046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*ESPACIO PUBLICO=Contraprestación por el uso y goce temporal y exclusivo de las zonas de uso público</w:t>
            </w:r>
          </w:p>
        </w:tc>
      </w:tr>
      <w:tr w:rsidR="000B1282">
        <w:trPr>
          <w:trHeight w:val="330"/>
        </w:trPr>
        <w:tc>
          <w:tcPr>
            <w:tcW w:w="1046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0B1282" w:rsidRDefault="002B74D2">
            <w:pPr>
              <w:spacing w:after="0" w:line="240" w:lineRule="auto"/>
              <w:rPr>
                <w:rFonts w:ascii="Arial" w:eastAsia="Arial" w:hAnsi="Arial" w:cs="Arial"/>
                <w:color w:val="000000"/>
                <w:sz w:val="24"/>
                <w:szCs w:val="24"/>
              </w:rPr>
            </w:pPr>
            <w:r>
              <w:rPr>
                <w:rFonts w:ascii="Arial" w:eastAsia="Arial" w:hAnsi="Arial" w:cs="Arial"/>
                <w:color w:val="000000"/>
                <w:sz w:val="24"/>
                <w:szCs w:val="24"/>
              </w:rPr>
              <w:t>*INFRAS. = Contraprestación por uso de infraestructura</w:t>
            </w:r>
          </w:p>
        </w:tc>
      </w:tr>
    </w:tbl>
    <w:p w:rsidR="000B1282" w:rsidRDefault="000B1282">
      <w:pPr>
        <w:spacing w:line="360" w:lineRule="auto"/>
        <w:jc w:val="both"/>
        <w:rPr>
          <w:rFonts w:ascii="Arial" w:eastAsia="Arial" w:hAnsi="Arial" w:cs="Arial"/>
          <w:color w:val="000000"/>
          <w:sz w:val="24"/>
          <w:szCs w:val="24"/>
        </w:rPr>
      </w:pPr>
    </w:p>
    <w:p w:rsidR="000B1282" w:rsidRDefault="002B74D2">
      <w:pPr>
        <w:spacing w:after="0" w:line="360" w:lineRule="auto"/>
        <w:jc w:val="both"/>
        <w:rPr>
          <w:rFonts w:ascii="Arial" w:eastAsia="Arial" w:hAnsi="Arial" w:cs="Arial"/>
          <w:sz w:val="24"/>
          <w:szCs w:val="24"/>
        </w:rPr>
      </w:pPr>
      <w:r>
        <w:rPr>
          <w:rFonts w:ascii="Arial" w:eastAsia="Arial" w:hAnsi="Arial" w:cs="Arial"/>
          <w:sz w:val="24"/>
          <w:szCs w:val="24"/>
        </w:rPr>
        <w:t xml:space="preserve">Como se puede apreciar de las anteriores tablas lo recaudado por parte de las alcaldías y distritos donde se ubican puertos es ínfimo a comparación con lo que recibe la nación a través de INVIAS, </w:t>
      </w:r>
      <w:proofErr w:type="spellStart"/>
      <w:r>
        <w:rPr>
          <w:rFonts w:ascii="Arial" w:eastAsia="Arial" w:hAnsi="Arial" w:cs="Arial"/>
          <w:sz w:val="24"/>
          <w:szCs w:val="24"/>
        </w:rPr>
        <w:t>mas</w:t>
      </w:r>
      <w:proofErr w:type="spellEnd"/>
      <w:r>
        <w:rPr>
          <w:rFonts w:ascii="Arial" w:eastAsia="Arial" w:hAnsi="Arial" w:cs="Arial"/>
          <w:sz w:val="24"/>
          <w:szCs w:val="24"/>
        </w:rPr>
        <w:t xml:space="preserve"> aun como se visualiza que las alcaldías no reciben nada por parte de las contraprestaciones de infraestructura. </w:t>
      </w:r>
    </w:p>
    <w:p w:rsidR="000B1282" w:rsidRDefault="000B1282">
      <w:pPr>
        <w:spacing w:after="0" w:line="360" w:lineRule="auto"/>
        <w:jc w:val="both"/>
        <w:rPr>
          <w:rFonts w:ascii="Arial" w:eastAsia="Arial" w:hAnsi="Arial" w:cs="Arial"/>
          <w:sz w:val="24"/>
          <w:szCs w:val="24"/>
        </w:rPr>
      </w:pPr>
    </w:p>
    <w:p w:rsidR="000B1282" w:rsidRDefault="002B74D2">
      <w:pPr>
        <w:spacing w:after="0" w:line="360" w:lineRule="auto"/>
        <w:jc w:val="both"/>
        <w:rPr>
          <w:rFonts w:ascii="Arial" w:eastAsia="Arial" w:hAnsi="Arial" w:cs="Arial"/>
          <w:sz w:val="24"/>
          <w:szCs w:val="24"/>
        </w:rPr>
      </w:pPr>
      <w:r>
        <w:rPr>
          <w:rFonts w:ascii="Arial" w:eastAsia="Arial" w:hAnsi="Arial" w:cs="Arial"/>
          <w:b/>
          <w:sz w:val="24"/>
          <w:szCs w:val="24"/>
          <w:u w:val="single"/>
        </w:rPr>
        <w:t>Se reitera que el proyecto de ley no representa esfuerzo fiscal significativo, pues la medida consiste en redistribuir los mismos recursos entre la Nación y las entidades territoriales</w:t>
      </w:r>
      <w:r>
        <w:rPr>
          <w:rFonts w:ascii="Arial" w:eastAsia="Arial" w:hAnsi="Arial" w:cs="Arial"/>
          <w:sz w:val="24"/>
          <w:szCs w:val="24"/>
        </w:rPr>
        <w:t>, mas no dejar de percibir algún tipo de recurso.</w:t>
      </w:r>
    </w:p>
    <w:p w:rsidR="000B1282" w:rsidRDefault="000B1282">
      <w:pPr>
        <w:spacing w:after="0" w:line="360" w:lineRule="auto"/>
        <w:jc w:val="both"/>
        <w:rPr>
          <w:rFonts w:ascii="Arial" w:eastAsia="Arial" w:hAnsi="Arial" w:cs="Arial"/>
          <w:sz w:val="24"/>
          <w:szCs w:val="24"/>
        </w:rPr>
      </w:pPr>
    </w:p>
    <w:p w:rsidR="000B1282" w:rsidRDefault="002B74D2">
      <w:pPr>
        <w:spacing w:after="0" w:line="360" w:lineRule="auto"/>
        <w:jc w:val="both"/>
        <w:rPr>
          <w:rFonts w:ascii="Arial" w:eastAsia="Arial" w:hAnsi="Arial" w:cs="Arial"/>
          <w:sz w:val="24"/>
          <w:szCs w:val="24"/>
        </w:rPr>
      </w:pPr>
      <w:r>
        <w:rPr>
          <w:rFonts w:ascii="Arial" w:eastAsia="Arial" w:hAnsi="Arial" w:cs="Arial"/>
          <w:sz w:val="24"/>
          <w:szCs w:val="24"/>
        </w:rPr>
        <w:t>Además, que el marco fiscal de mediano plazo de INVIAS no se verá afectado ya que en el articulado del proyecto queda explicito que la nueva distribución comienza a regir con las contraprestaciones que no estén comprometidas para de esta forma no afectar las inversiones que ya estén planificadas.</w:t>
      </w:r>
    </w:p>
    <w:p w:rsidR="000B1282" w:rsidRDefault="000B1282">
      <w:pPr>
        <w:spacing w:after="0" w:line="360" w:lineRule="auto"/>
        <w:jc w:val="both"/>
        <w:rPr>
          <w:rFonts w:ascii="Arial" w:eastAsia="Arial" w:hAnsi="Arial" w:cs="Arial"/>
          <w:sz w:val="24"/>
          <w:szCs w:val="24"/>
        </w:rPr>
      </w:pPr>
    </w:p>
    <w:p w:rsidR="000B1282" w:rsidRDefault="002B74D2">
      <w:pPr>
        <w:spacing w:after="0" w:line="360" w:lineRule="auto"/>
        <w:jc w:val="both"/>
        <w:rPr>
          <w:rFonts w:ascii="Arial" w:eastAsia="Arial" w:hAnsi="Arial" w:cs="Arial"/>
          <w:sz w:val="24"/>
          <w:szCs w:val="24"/>
        </w:rPr>
      </w:pPr>
      <w:r>
        <w:rPr>
          <w:rFonts w:ascii="Arial" w:eastAsia="Arial" w:hAnsi="Arial" w:cs="Arial"/>
          <w:sz w:val="24"/>
          <w:szCs w:val="24"/>
        </w:rPr>
        <w:t>De tal modo, causa un leve impacto fiscal negativo al presupuesto de INVIAS al disminuir el porcentaje que recibe por contraprestaciones portuarias, en cambio la promoción y aplicación de esta ley provoca mayores beneficios para los distritos y municipios con puertos marítimos, los cuales se representan en una descentralización real de recursos por parte de la nación hacia los municipios que se deberían beneficiar por tener los puertos.</w:t>
      </w:r>
    </w:p>
    <w:p w:rsidR="000B1282" w:rsidRDefault="000B1282">
      <w:pPr>
        <w:spacing w:after="0" w:line="360" w:lineRule="auto"/>
        <w:jc w:val="both"/>
        <w:rPr>
          <w:rFonts w:ascii="Arial" w:eastAsia="Arial" w:hAnsi="Arial" w:cs="Arial"/>
          <w:sz w:val="24"/>
          <w:szCs w:val="24"/>
        </w:rPr>
      </w:pPr>
    </w:p>
    <w:p w:rsidR="000B1282" w:rsidRDefault="002B74D2">
      <w:pPr>
        <w:numPr>
          <w:ilvl w:val="0"/>
          <w:numId w:val="3"/>
        </w:numPr>
        <w:pBdr>
          <w:top w:val="nil"/>
          <w:left w:val="nil"/>
          <w:bottom w:val="nil"/>
          <w:right w:val="nil"/>
          <w:between w:val="nil"/>
        </w:pBdr>
        <w:spacing w:after="0" w:line="276" w:lineRule="auto"/>
        <w:jc w:val="both"/>
        <w:rPr>
          <w:rFonts w:ascii="Arial" w:eastAsia="Arial" w:hAnsi="Arial" w:cs="Arial"/>
          <w:b/>
          <w:color w:val="221E1F"/>
          <w:sz w:val="24"/>
          <w:szCs w:val="24"/>
        </w:rPr>
      </w:pPr>
      <w:bookmarkStart w:id="2" w:name="_30j0zll" w:colFirst="0" w:colLast="0"/>
      <w:bookmarkEnd w:id="2"/>
      <w:r>
        <w:rPr>
          <w:rFonts w:ascii="Arial" w:eastAsia="Arial" w:hAnsi="Arial" w:cs="Arial"/>
          <w:b/>
          <w:color w:val="221E1F"/>
          <w:sz w:val="24"/>
          <w:szCs w:val="24"/>
        </w:rPr>
        <w:t>ANÁLISIS SOBRE POSIBLE CONFLICTO DE INTERÉS</w:t>
      </w:r>
    </w:p>
    <w:p w:rsidR="000B1282" w:rsidRDefault="000B1282">
      <w:pPr>
        <w:pBdr>
          <w:top w:val="nil"/>
          <w:left w:val="nil"/>
          <w:bottom w:val="nil"/>
          <w:right w:val="nil"/>
          <w:between w:val="nil"/>
        </w:pBdr>
        <w:spacing w:after="0" w:line="276" w:lineRule="auto"/>
        <w:jc w:val="both"/>
        <w:rPr>
          <w:rFonts w:ascii="Arial" w:eastAsia="Arial" w:hAnsi="Arial" w:cs="Arial"/>
          <w:color w:val="221E1F"/>
          <w:sz w:val="24"/>
          <w:szCs w:val="24"/>
        </w:rPr>
      </w:pPr>
    </w:p>
    <w:p w:rsidR="000B1282" w:rsidRDefault="002B74D2">
      <w:pPr>
        <w:pBdr>
          <w:top w:val="nil"/>
          <w:left w:val="nil"/>
          <w:bottom w:val="nil"/>
          <w:right w:val="nil"/>
          <w:between w:val="nil"/>
        </w:pBdr>
        <w:spacing w:after="0" w:line="276" w:lineRule="auto"/>
        <w:jc w:val="both"/>
        <w:rPr>
          <w:rFonts w:ascii="Arial" w:eastAsia="Arial" w:hAnsi="Arial" w:cs="Arial"/>
          <w:color w:val="221E1F"/>
          <w:sz w:val="24"/>
          <w:szCs w:val="24"/>
        </w:rPr>
      </w:pPr>
      <w:r>
        <w:rPr>
          <w:rFonts w:ascii="Arial" w:eastAsia="Arial" w:hAnsi="Arial" w:cs="Arial"/>
          <w:color w:val="221E1F"/>
          <w:sz w:val="24"/>
          <w:szCs w:val="24"/>
        </w:rPr>
        <w:t>De acuerdo con lo ordenado en el artículo 3º de la Ley 2003 de 2019, en concordancia con los artículos 286 y 291 de la Ley 5 de 1992 (Reglamento del Congreso), y conforme con el objetivo de la presente iniciativa, se puede concluir inicialmente:</w:t>
      </w:r>
    </w:p>
    <w:p w:rsidR="000B1282" w:rsidRDefault="000B1282">
      <w:pPr>
        <w:pBdr>
          <w:top w:val="nil"/>
          <w:left w:val="nil"/>
          <w:bottom w:val="nil"/>
          <w:right w:val="nil"/>
          <w:between w:val="nil"/>
        </w:pBdr>
        <w:spacing w:after="0" w:line="276" w:lineRule="auto"/>
        <w:jc w:val="both"/>
        <w:rPr>
          <w:rFonts w:ascii="Arial" w:eastAsia="Arial" w:hAnsi="Arial" w:cs="Arial"/>
          <w:color w:val="221E1F"/>
          <w:sz w:val="24"/>
          <w:szCs w:val="24"/>
        </w:rPr>
      </w:pPr>
    </w:p>
    <w:p w:rsidR="000B1282" w:rsidRDefault="002B74D2">
      <w:pPr>
        <w:pBdr>
          <w:top w:val="nil"/>
          <w:left w:val="nil"/>
          <w:bottom w:val="nil"/>
          <w:right w:val="nil"/>
          <w:between w:val="nil"/>
        </w:pBdr>
        <w:spacing w:after="0" w:line="276" w:lineRule="auto"/>
        <w:jc w:val="both"/>
        <w:rPr>
          <w:rFonts w:ascii="Arial" w:eastAsia="Arial" w:hAnsi="Arial" w:cs="Arial"/>
          <w:color w:val="221E1F"/>
          <w:sz w:val="24"/>
          <w:szCs w:val="24"/>
        </w:rPr>
      </w:pPr>
      <w:r>
        <w:rPr>
          <w:rFonts w:ascii="Arial" w:eastAsia="Arial" w:hAnsi="Arial" w:cs="Arial"/>
          <w:color w:val="221E1F"/>
          <w:sz w:val="24"/>
          <w:szCs w:val="24"/>
        </w:rPr>
        <w:t>Se presume que no hay motivos que puedan generar un conflicto de interés para presentar esta iniciativa de ley.</w:t>
      </w:r>
    </w:p>
    <w:p w:rsidR="000B1282" w:rsidRDefault="000B1282">
      <w:pPr>
        <w:pBdr>
          <w:top w:val="nil"/>
          <w:left w:val="nil"/>
          <w:bottom w:val="nil"/>
          <w:right w:val="nil"/>
          <w:between w:val="nil"/>
        </w:pBdr>
        <w:spacing w:after="0" w:line="276" w:lineRule="auto"/>
        <w:jc w:val="both"/>
        <w:rPr>
          <w:rFonts w:ascii="Arial" w:eastAsia="Arial" w:hAnsi="Arial" w:cs="Arial"/>
          <w:color w:val="221E1F"/>
          <w:sz w:val="24"/>
          <w:szCs w:val="24"/>
        </w:rPr>
      </w:pPr>
    </w:p>
    <w:p w:rsidR="000B1282" w:rsidRDefault="002B74D2">
      <w:pPr>
        <w:pBdr>
          <w:top w:val="nil"/>
          <w:left w:val="nil"/>
          <w:bottom w:val="nil"/>
          <w:right w:val="nil"/>
          <w:between w:val="nil"/>
        </w:pBdr>
        <w:spacing w:after="0" w:line="276" w:lineRule="auto"/>
        <w:jc w:val="both"/>
        <w:rPr>
          <w:rFonts w:ascii="Arial" w:eastAsia="Arial" w:hAnsi="Arial" w:cs="Arial"/>
          <w:color w:val="221E1F"/>
          <w:sz w:val="24"/>
          <w:szCs w:val="24"/>
        </w:rPr>
      </w:pPr>
      <w:r>
        <w:rPr>
          <w:rFonts w:ascii="Arial" w:eastAsia="Arial" w:hAnsi="Arial" w:cs="Arial"/>
          <w:color w:val="221E1F"/>
          <w:sz w:val="24"/>
          <w:szCs w:val="24"/>
        </w:rPr>
        <w:lastRenderedPageBreak/>
        <w:t xml:space="preserve">Tampoco se evidencian motivos que puedan generar un conflicto de interés en los congresistas para que puedan discutir y votar esta iniciativa de ley. </w:t>
      </w:r>
    </w:p>
    <w:p w:rsidR="000B1282" w:rsidRDefault="000B1282">
      <w:pPr>
        <w:pBdr>
          <w:top w:val="nil"/>
          <w:left w:val="nil"/>
          <w:bottom w:val="nil"/>
          <w:right w:val="nil"/>
          <w:between w:val="nil"/>
        </w:pBdr>
        <w:spacing w:after="0" w:line="276" w:lineRule="auto"/>
        <w:jc w:val="both"/>
        <w:rPr>
          <w:rFonts w:ascii="Arial" w:eastAsia="Arial" w:hAnsi="Arial" w:cs="Arial"/>
          <w:color w:val="221E1F"/>
          <w:sz w:val="24"/>
          <w:szCs w:val="24"/>
        </w:rPr>
      </w:pPr>
    </w:p>
    <w:p w:rsidR="000B1282" w:rsidRDefault="002B74D2">
      <w:pPr>
        <w:pBdr>
          <w:top w:val="nil"/>
          <w:left w:val="nil"/>
          <w:bottom w:val="nil"/>
          <w:right w:val="nil"/>
          <w:between w:val="nil"/>
        </w:pBdr>
        <w:spacing w:after="0" w:line="276" w:lineRule="auto"/>
        <w:jc w:val="both"/>
        <w:rPr>
          <w:rFonts w:ascii="Arial" w:eastAsia="Arial" w:hAnsi="Arial" w:cs="Arial"/>
          <w:color w:val="221E1F"/>
          <w:sz w:val="24"/>
          <w:szCs w:val="24"/>
        </w:rPr>
      </w:pPr>
      <w:r>
        <w:rPr>
          <w:rFonts w:ascii="Arial" w:eastAsia="Arial" w:hAnsi="Arial" w:cs="Arial"/>
          <w:color w:val="221E1F"/>
          <w:sz w:val="24"/>
          <w:szCs w:val="24"/>
        </w:rPr>
        <w:t>Sin embargo, se debe tener presente que, el conflicto de interés y el impedimento es un tema especial e individual en el que cada congresista debe analizar si puede generarle un conflicto de interés o un impedimento.</w:t>
      </w:r>
    </w:p>
    <w:p w:rsidR="000B1282" w:rsidRDefault="000B1282">
      <w:pPr>
        <w:spacing w:after="0" w:line="360" w:lineRule="auto"/>
        <w:jc w:val="both"/>
        <w:rPr>
          <w:rFonts w:ascii="Arial" w:eastAsia="Arial" w:hAnsi="Arial" w:cs="Arial"/>
          <w:sz w:val="24"/>
          <w:szCs w:val="24"/>
        </w:rPr>
      </w:pPr>
    </w:p>
    <w:p w:rsidR="000B1282" w:rsidRDefault="000B1282">
      <w:pPr>
        <w:spacing w:after="0" w:line="360" w:lineRule="auto"/>
        <w:jc w:val="both"/>
        <w:rPr>
          <w:rFonts w:ascii="Arial" w:eastAsia="Arial" w:hAnsi="Arial" w:cs="Arial"/>
          <w:sz w:val="24"/>
          <w:szCs w:val="24"/>
        </w:rPr>
      </w:pPr>
    </w:p>
    <w:p w:rsidR="000B1282" w:rsidRDefault="002B74D2" w:rsidP="002C0852">
      <w:pPr>
        <w:spacing w:after="0" w:line="360" w:lineRule="auto"/>
        <w:jc w:val="both"/>
        <w:rPr>
          <w:rFonts w:ascii="Arial" w:eastAsia="Arial" w:hAnsi="Arial" w:cs="Arial"/>
          <w:sz w:val="24"/>
          <w:szCs w:val="24"/>
        </w:rPr>
      </w:pPr>
      <w:r>
        <w:rPr>
          <w:rFonts w:ascii="Arial" w:eastAsia="Arial" w:hAnsi="Arial" w:cs="Arial"/>
          <w:sz w:val="24"/>
          <w:szCs w:val="24"/>
        </w:rPr>
        <w:t xml:space="preserve">Cordialmente, </w:t>
      </w:r>
    </w:p>
    <w:p w:rsidR="000B1282" w:rsidRDefault="000B1282">
      <w:pPr>
        <w:spacing w:after="0" w:line="360" w:lineRule="auto"/>
        <w:jc w:val="both"/>
        <w:rPr>
          <w:rFonts w:ascii="Arial" w:eastAsia="Arial" w:hAnsi="Arial" w:cs="Arial"/>
          <w:sz w:val="24"/>
          <w:szCs w:val="24"/>
        </w:rPr>
      </w:pPr>
    </w:p>
    <w:p w:rsidR="002C0852" w:rsidRDefault="002C0852">
      <w:pPr>
        <w:spacing w:after="0" w:line="360" w:lineRule="auto"/>
        <w:jc w:val="both"/>
        <w:rPr>
          <w:rFonts w:ascii="Arial" w:eastAsia="Arial" w:hAnsi="Arial" w:cs="Arial"/>
          <w:sz w:val="24"/>
          <w:szCs w:val="24"/>
        </w:rPr>
      </w:pPr>
    </w:p>
    <w:p w:rsidR="002C0852" w:rsidRDefault="002C0852">
      <w:pPr>
        <w:spacing w:after="0" w:line="360" w:lineRule="auto"/>
        <w:jc w:val="both"/>
        <w:rPr>
          <w:rFonts w:ascii="Arial" w:eastAsia="Arial" w:hAnsi="Arial" w:cs="Arial"/>
          <w:sz w:val="24"/>
          <w:szCs w:val="24"/>
        </w:rPr>
      </w:pPr>
    </w:p>
    <w:tbl>
      <w:tblPr>
        <w:tblStyle w:val="a0"/>
        <w:tblW w:w="8828" w:type="dxa"/>
        <w:tblInd w:w="5" w:type="dxa"/>
        <w:tblLayout w:type="fixed"/>
        <w:tblLook w:val="04A0" w:firstRow="1" w:lastRow="0" w:firstColumn="1" w:lastColumn="0" w:noHBand="0" w:noVBand="1"/>
      </w:tblPr>
      <w:tblGrid>
        <w:gridCol w:w="4414"/>
        <w:gridCol w:w="4414"/>
      </w:tblGrid>
      <w:tr w:rsidR="002C0852" w:rsidTr="003D3CF1">
        <w:tc>
          <w:tcPr>
            <w:tcW w:w="4414" w:type="dxa"/>
          </w:tcPr>
          <w:p w:rsidR="002C0852" w:rsidRDefault="002C0852" w:rsidP="003D3CF1">
            <w:pPr>
              <w:jc w:val="both"/>
              <w:rPr>
                <w:rFonts w:ascii="Arial" w:eastAsia="Arial" w:hAnsi="Arial" w:cs="Arial"/>
                <w:sz w:val="24"/>
                <w:szCs w:val="24"/>
              </w:rPr>
            </w:pPr>
          </w:p>
          <w:p w:rsidR="002C0852" w:rsidRDefault="002C0852" w:rsidP="003D3CF1">
            <w:pPr>
              <w:jc w:val="both"/>
              <w:rPr>
                <w:rFonts w:ascii="Arial" w:eastAsia="Arial" w:hAnsi="Arial" w:cs="Arial"/>
                <w:sz w:val="24"/>
                <w:szCs w:val="24"/>
              </w:rPr>
            </w:pPr>
          </w:p>
          <w:p w:rsidR="002C0852" w:rsidRDefault="002C0852" w:rsidP="003D3CF1">
            <w:pPr>
              <w:jc w:val="both"/>
              <w:rPr>
                <w:rFonts w:ascii="Arial" w:eastAsia="Arial" w:hAnsi="Arial" w:cs="Arial"/>
                <w:b/>
                <w:sz w:val="24"/>
                <w:szCs w:val="24"/>
              </w:rPr>
            </w:pPr>
            <w:r>
              <w:rPr>
                <w:rFonts w:ascii="Arial" w:eastAsia="Arial" w:hAnsi="Arial" w:cs="Arial"/>
                <w:sz w:val="24"/>
                <w:szCs w:val="24"/>
              </w:rPr>
              <w:t>___________________________</w:t>
            </w:r>
            <w:r>
              <w:rPr>
                <w:rFonts w:ascii="Arial" w:eastAsia="Arial" w:hAnsi="Arial" w:cs="Arial"/>
                <w:b/>
                <w:sz w:val="24"/>
                <w:szCs w:val="24"/>
              </w:rPr>
              <w:br/>
              <w:t>LEÓN FREDY MUÑOZ LOPERA</w:t>
            </w:r>
          </w:p>
          <w:p w:rsidR="002C0852" w:rsidRDefault="002C0852" w:rsidP="003D3CF1">
            <w:pPr>
              <w:jc w:val="both"/>
              <w:rPr>
                <w:rFonts w:ascii="Arial" w:eastAsia="Arial" w:hAnsi="Arial" w:cs="Arial"/>
                <w:sz w:val="24"/>
                <w:szCs w:val="24"/>
              </w:rPr>
            </w:pPr>
            <w:r>
              <w:rPr>
                <w:rFonts w:ascii="Arial" w:eastAsia="Arial" w:hAnsi="Arial" w:cs="Arial"/>
                <w:sz w:val="24"/>
                <w:szCs w:val="24"/>
              </w:rPr>
              <w:t xml:space="preserve">Representante a la Cámara </w:t>
            </w:r>
          </w:p>
          <w:p w:rsidR="002C0852" w:rsidRDefault="002C0852" w:rsidP="003D3CF1">
            <w:pPr>
              <w:jc w:val="both"/>
              <w:rPr>
                <w:rFonts w:ascii="Arial" w:eastAsia="Arial" w:hAnsi="Arial" w:cs="Arial"/>
                <w:sz w:val="24"/>
                <w:szCs w:val="24"/>
              </w:rPr>
            </w:pPr>
            <w:r>
              <w:rPr>
                <w:rFonts w:ascii="Arial" w:eastAsia="Arial" w:hAnsi="Arial" w:cs="Arial"/>
                <w:sz w:val="24"/>
                <w:szCs w:val="24"/>
              </w:rPr>
              <w:t xml:space="preserve">Partido Alianza Verde </w:t>
            </w:r>
          </w:p>
        </w:tc>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9A01BE2" wp14:editId="3E5A9687">
                  <wp:extent cx="2667000" cy="812800"/>
                  <wp:effectExtent l="0" t="0" r="0" b="0"/>
                  <wp:docPr id="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67000" cy="812800"/>
                          </a:xfrm>
                          <a:prstGeom prst="rect">
                            <a:avLst/>
                          </a:prstGeom>
                          <a:ln/>
                        </pic:spPr>
                      </pic:pic>
                    </a:graphicData>
                  </a:graphic>
                </wp:inline>
              </w:drawing>
            </w:r>
          </w:p>
        </w:tc>
      </w:tr>
      <w:tr w:rsidR="002C0852" w:rsidTr="003D3CF1">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344D8253" wp14:editId="1C8D765B">
                  <wp:extent cx="1828800" cy="781050"/>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28800" cy="781050"/>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MARÍA JOSÉ PIZARRO RODRÍGUEZ</w:t>
            </w:r>
          </w:p>
          <w:p w:rsidR="002C0852" w:rsidRDefault="002C0852" w:rsidP="003D3CF1">
            <w:pPr>
              <w:jc w:val="both"/>
              <w:rPr>
                <w:rFonts w:ascii="Arial" w:eastAsia="Arial" w:hAnsi="Arial" w:cs="Arial"/>
                <w:sz w:val="24"/>
                <w:szCs w:val="24"/>
              </w:rPr>
            </w:pPr>
            <w:r>
              <w:rPr>
                <w:rFonts w:ascii="Arial" w:eastAsia="Arial" w:hAnsi="Arial" w:cs="Arial"/>
                <w:sz w:val="24"/>
                <w:szCs w:val="24"/>
              </w:rPr>
              <w:t>Representante a la Cámara</w:t>
            </w:r>
          </w:p>
          <w:p w:rsidR="002C0852" w:rsidRDefault="002C0852" w:rsidP="003D3CF1">
            <w:pPr>
              <w:jc w:val="both"/>
              <w:rPr>
                <w:rFonts w:ascii="Arial" w:eastAsia="Arial" w:hAnsi="Arial" w:cs="Arial"/>
                <w:b/>
                <w:sz w:val="24"/>
                <w:szCs w:val="24"/>
              </w:rPr>
            </w:pPr>
            <w:r>
              <w:rPr>
                <w:rFonts w:ascii="Arial" w:eastAsia="Arial" w:hAnsi="Arial" w:cs="Arial"/>
                <w:sz w:val="24"/>
                <w:szCs w:val="24"/>
              </w:rPr>
              <w:t>Coalición Decentes</w:t>
            </w:r>
          </w:p>
        </w:tc>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A02507B" wp14:editId="45D66D34">
                  <wp:extent cx="991553" cy="544145"/>
                  <wp:effectExtent l="0" t="0" r="0" b="0"/>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991553" cy="544145"/>
                          </a:xfrm>
                          <a:prstGeom prst="rect">
                            <a:avLst/>
                          </a:prstGeom>
                          <a:ln/>
                        </pic:spPr>
                      </pic:pic>
                    </a:graphicData>
                  </a:graphic>
                </wp:inline>
              </w:drawing>
            </w:r>
          </w:p>
          <w:p w:rsidR="002C0852" w:rsidRDefault="002C0852" w:rsidP="003D3CF1">
            <w:pPr>
              <w:jc w:val="both"/>
              <w:rPr>
                <w:rFonts w:ascii="Arial" w:eastAsia="Arial" w:hAnsi="Arial" w:cs="Arial"/>
                <w:b/>
                <w:sz w:val="14"/>
                <w:szCs w:val="14"/>
              </w:rPr>
            </w:pPr>
          </w:p>
          <w:p w:rsidR="002C0852" w:rsidRDefault="002C0852" w:rsidP="003D3CF1">
            <w:pPr>
              <w:jc w:val="both"/>
              <w:rPr>
                <w:rFonts w:ascii="Arial" w:eastAsia="Arial" w:hAnsi="Arial" w:cs="Arial"/>
                <w:b/>
                <w:sz w:val="24"/>
                <w:szCs w:val="24"/>
              </w:rPr>
            </w:pPr>
            <w:r>
              <w:rPr>
                <w:rFonts w:ascii="Arial" w:eastAsia="Arial" w:hAnsi="Arial" w:cs="Arial"/>
                <w:b/>
                <w:sz w:val="24"/>
                <w:szCs w:val="24"/>
              </w:rPr>
              <w:t>JULIÁN GALLO CUBILLOS</w:t>
            </w:r>
          </w:p>
          <w:p w:rsidR="002C0852" w:rsidRDefault="002C0852" w:rsidP="003D3CF1">
            <w:pPr>
              <w:jc w:val="both"/>
              <w:rPr>
                <w:rFonts w:ascii="Arial" w:eastAsia="Arial" w:hAnsi="Arial" w:cs="Arial"/>
                <w:b/>
                <w:sz w:val="24"/>
                <w:szCs w:val="24"/>
              </w:rPr>
            </w:pPr>
            <w:r>
              <w:rPr>
                <w:rFonts w:ascii="Arial" w:eastAsia="Arial" w:hAnsi="Arial" w:cs="Arial"/>
                <w:b/>
                <w:sz w:val="24"/>
                <w:szCs w:val="24"/>
              </w:rPr>
              <w:t>Senador de la República</w:t>
            </w:r>
          </w:p>
          <w:p w:rsidR="002C0852" w:rsidRDefault="002C0852" w:rsidP="003D3CF1">
            <w:pPr>
              <w:jc w:val="both"/>
              <w:rPr>
                <w:rFonts w:ascii="Arial" w:eastAsia="Arial" w:hAnsi="Arial" w:cs="Arial"/>
                <w:b/>
                <w:sz w:val="28"/>
                <w:szCs w:val="28"/>
              </w:rPr>
            </w:pPr>
            <w:r>
              <w:rPr>
                <w:rFonts w:ascii="Arial" w:eastAsia="Arial" w:hAnsi="Arial" w:cs="Arial"/>
                <w:b/>
                <w:sz w:val="28"/>
                <w:szCs w:val="28"/>
              </w:rPr>
              <w:t>Partido Comunes</w:t>
            </w:r>
          </w:p>
        </w:tc>
      </w:tr>
      <w:tr w:rsidR="002C0852" w:rsidTr="003D3CF1">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E283ABB" wp14:editId="786205C6">
                  <wp:extent cx="2048828" cy="317296"/>
                  <wp:effectExtent l="0" t="0" r="0" b="0"/>
                  <wp:docPr id="4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048828" cy="317296"/>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Luis Alberto Albán Urbano</w:t>
            </w:r>
          </w:p>
          <w:p w:rsidR="002C0852" w:rsidRDefault="002C0852" w:rsidP="003D3CF1">
            <w:pPr>
              <w:jc w:val="both"/>
              <w:rPr>
                <w:rFonts w:ascii="Arial" w:eastAsia="Arial" w:hAnsi="Arial" w:cs="Arial"/>
                <w:b/>
                <w:sz w:val="24"/>
                <w:szCs w:val="24"/>
              </w:rPr>
            </w:pPr>
            <w:r>
              <w:rPr>
                <w:rFonts w:ascii="Arial" w:eastAsia="Arial" w:hAnsi="Arial" w:cs="Arial"/>
                <w:b/>
                <w:sz w:val="24"/>
                <w:szCs w:val="24"/>
              </w:rPr>
              <w:t>Representante a la Cámara</w:t>
            </w:r>
          </w:p>
          <w:p w:rsidR="002C0852" w:rsidRDefault="002C0852" w:rsidP="003D3CF1">
            <w:pPr>
              <w:jc w:val="both"/>
              <w:rPr>
                <w:rFonts w:ascii="Arial" w:eastAsia="Arial" w:hAnsi="Arial" w:cs="Arial"/>
                <w:b/>
                <w:sz w:val="24"/>
                <w:szCs w:val="24"/>
              </w:rPr>
            </w:pPr>
            <w:r>
              <w:rPr>
                <w:rFonts w:ascii="Arial" w:eastAsia="Arial" w:hAnsi="Arial" w:cs="Arial"/>
                <w:b/>
                <w:sz w:val="24"/>
                <w:szCs w:val="24"/>
              </w:rPr>
              <w:t>Partido Comunes</w:t>
            </w: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tc>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3848812" wp14:editId="6E650037">
                  <wp:extent cx="2562225" cy="1200150"/>
                  <wp:effectExtent l="0" t="0" r="0" b="0"/>
                  <wp:docPr id="4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562225" cy="1200150"/>
                          </a:xfrm>
                          <a:prstGeom prst="rect">
                            <a:avLst/>
                          </a:prstGeom>
                          <a:ln/>
                        </pic:spPr>
                      </pic:pic>
                    </a:graphicData>
                  </a:graphic>
                </wp:inline>
              </w:drawing>
            </w:r>
          </w:p>
        </w:tc>
      </w:tr>
      <w:tr w:rsidR="002C0852" w:rsidTr="003D3CF1">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33C62A7A" wp14:editId="545864C2">
                  <wp:extent cx="1439228" cy="533400"/>
                  <wp:effectExtent l="0" t="0" r="0" b="0"/>
                  <wp:docPr id="48"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3"/>
                          <a:srcRect/>
                          <a:stretch>
                            <a:fillRect/>
                          </a:stretch>
                        </pic:blipFill>
                        <pic:spPr>
                          <a:xfrm>
                            <a:off x="0" y="0"/>
                            <a:ext cx="1439228" cy="533400"/>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EDWIN FABIAN ORDUZ DIAZ</w:t>
            </w:r>
          </w:p>
          <w:p w:rsidR="002C0852" w:rsidRDefault="002C0852" w:rsidP="003D3CF1">
            <w:pPr>
              <w:jc w:val="both"/>
              <w:rPr>
                <w:rFonts w:ascii="Arial" w:eastAsia="Arial" w:hAnsi="Arial" w:cs="Arial"/>
                <w:b/>
                <w:sz w:val="24"/>
                <w:szCs w:val="24"/>
              </w:rPr>
            </w:pPr>
            <w:r>
              <w:rPr>
                <w:rFonts w:ascii="Arial" w:eastAsia="Arial" w:hAnsi="Arial" w:cs="Arial"/>
                <w:b/>
                <w:sz w:val="24"/>
                <w:szCs w:val="24"/>
              </w:rPr>
              <w:t>Representante a la Cámara</w:t>
            </w:r>
          </w:p>
          <w:p w:rsidR="002C0852" w:rsidRDefault="002C0852" w:rsidP="003D3CF1">
            <w:pPr>
              <w:jc w:val="both"/>
              <w:rPr>
                <w:rFonts w:ascii="Arial" w:eastAsia="Arial" w:hAnsi="Arial" w:cs="Arial"/>
                <w:b/>
                <w:sz w:val="24"/>
                <w:szCs w:val="24"/>
              </w:rPr>
            </w:pPr>
          </w:p>
        </w:tc>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5E1E4988" wp14:editId="4AF7C531">
                  <wp:extent cx="1858328" cy="504825"/>
                  <wp:effectExtent l="0" t="0" r="0" b="0"/>
                  <wp:docPr id="4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1858328" cy="504825"/>
                          </a:xfrm>
                          <a:prstGeom prst="rect">
                            <a:avLst/>
                          </a:prstGeom>
                          <a:ln/>
                        </pic:spPr>
                      </pic:pic>
                    </a:graphicData>
                  </a:graphic>
                </wp:inline>
              </w:drawing>
            </w:r>
            <w:r>
              <w:rPr>
                <w:rFonts w:ascii="Arial" w:eastAsia="Arial" w:hAnsi="Arial" w:cs="Arial"/>
                <w:b/>
                <w:sz w:val="24"/>
                <w:szCs w:val="24"/>
              </w:rPr>
              <w:br/>
              <w:t>AIDA AVELLA ESQUIVEL</w:t>
            </w:r>
            <w:r>
              <w:rPr>
                <w:rFonts w:ascii="Arial" w:eastAsia="Arial" w:hAnsi="Arial" w:cs="Arial"/>
                <w:b/>
                <w:sz w:val="24"/>
                <w:szCs w:val="24"/>
              </w:rPr>
              <w:br/>
              <w:t>Senadora de la República</w:t>
            </w:r>
            <w:r>
              <w:rPr>
                <w:rFonts w:ascii="Arial" w:eastAsia="Arial" w:hAnsi="Arial" w:cs="Arial"/>
                <w:b/>
                <w:sz w:val="24"/>
                <w:szCs w:val="24"/>
              </w:rPr>
              <w:br/>
              <w:t>Coalición Decentes-Unión Patriótica</w:t>
            </w:r>
          </w:p>
        </w:tc>
      </w:tr>
      <w:tr w:rsidR="002C0852" w:rsidTr="003D3CF1">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E54BA07" wp14:editId="33714E20">
                  <wp:extent cx="2020253" cy="642152"/>
                  <wp:effectExtent l="0" t="0" r="0" b="0"/>
                  <wp:docPr id="5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2020253" cy="642152"/>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JAIRO REINALDO CALA SUÁREZ</w:t>
            </w:r>
          </w:p>
          <w:p w:rsidR="002C0852" w:rsidRDefault="002C0852" w:rsidP="003D3CF1">
            <w:pPr>
              <w:jc w:val="both"/>
              <w:rPr>
                <w:rFonts w:ascii="Arial" w:eastAsia="Arial" w:hAnsi="Arial" w:cs="Arial"/>
                <w:b/>
                <w:sz w:val="24"/>
                <w:szCs w:val="24"/>
              </w:rPr>
            </w:pPr>
            <w:r>
              <w:rPr>
                <w:rFonts w:ascii="Arial" w:eastAsia="Arial" w:hAnsi="Arial" w:cs="Arial"/>
                <w:b/>
                <w:sz w:val="24"/>
                <w:szCs w:val="24"/>
              </w:rPr>
              <w:t>Representante a la Cámara</w:t>
            </w:r>
          </w:p>
          <w:p w:rsidR="002C0852" w:rsidRDefault="002C0852" w:rsidP="003D3CF1">
            <w:pPr>
              <w:jc w:val="both"/>
              <w:rPr>
                <w:rFonts w:ascii="Arial" w:eastAsia="Arial" w:hAnsi="Arial" w:cs="Arial"/>
                <w:b/>
                <w:sz w:val="24"/>
                <w:szCs w:val="24"/>
              </w:rPr>
            </w:pPr>
            <w:r>
              <w:rPr>
                <w:rFonts w:ascii="Arial" w:eastAsia="Arial" w:hAnsi="Arial" w:cs="Arial"/>
                <w:b/>
                <w:sz w:val="24"/>
                <w:szCs w:val="24"/>
              </w:rPr>
              <w:t>Partido COMUNES</w:t>
            </w:r>
          </w:p>
          <w:p w:rsidR="002C0852" w:rsidRDefault="002C0852" w:rsidP="003D3CF1">
            <w:pPr>
              <w:jc w:val="both"/>
              <w:rPr>
                <w:rFonts w:ascii="Arial" w:eastAsia="Arial" w:hAnsi="Arial" w:cs="Arial"/>
                <w:b/>
                <w:sz w:val="24"/>
                <w:szCs w:val="24"/>
              </w:rPr>
            </w:pPr>
          </w:p>
        </w:tc>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lastRenderedPageBreak/>
              <w:drawing>
                <wp:inline distT="114300" distB="114300" distL="114300" distR="114300" wp14:anchorId="1CCEE237" wp14:editId="47C9217C">
                  <wp:extent cx="1563053" cy="1211366"/>
                  <wp:effectExtent l="0" t="0" r="0" b="0"/>
                  <wp:docPr id="5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1563053" cy="1211366"/>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ANTONIO SANGUINO PÁEZ</w:t>
            </w:r>
          </w:p>
          <w:p w:rsidR="002C0852" w:rsidRDefault="002C0852" w:rsidP="003D3CF1">
            <w:pPr>
              <w:jc w:val="both"/>
              <w:rPr>
                <w:rFonts w:ascii="Arial" w:eastAsia="Arial" w:hAnsi="Arial" w:cs="Arial"/>
                <w:b/>
                <w:sz w:val="24"/>
                <w:szCs w:val="24"/>
              </w:rPr>
            </w:pPr>
            <w:r>
              <w:rPr>
                <w:rFonts w:ascii="Arial" w:eastAsia="Arial" w:hAnsi="Arial" w:cs="Arial"/>
                <w:b/>
                <w:sz w:val="24"/>
                <w:szCs w:val="24"/>
              </w:rPr>
              <w:t xml:space="preserve">Senador de la </w:t>
            </w:r>
            <w:proofErr w:type="spellStart"/>
            <w:r>
              <w:rPr>
                <w:rFonts w:ascii="Arial" w:eastAsia="Arial" w:hAnsi="Arial" w:cs="Arial"/>
                <w:b/>
                <w:sz w:val="24"/>
                <w:szCs w:val="24"/>
              </w:rPr>
              <w:t>Repùblica</w:t>
            </w:r>
            <w:proofErr w:type="spellEnd"/>
          </w:p>
          <w:p w:rsidR="002C0852" w:rsidRDefault="002C0852" w:rsidP="003D3CF1">
            <w:pPr>
              <w:jc w:val="both"/>
              <w:rPr>
                <w:rFonts w:ascii="Arial" w:eastAsia="Arial" w:hAnsi="Arial" w:cs="Arial"/>
                <w:b/>
                <w:sz w:val="24"/>
                <w:szCs w:val="24"/>
              </w:rPr>
            </w:pPr>
            <w:r>
              <w:rPr>
                <w:rFonts w:ascii="Arial" w:eastAsia="Arial" w:hAnsi="Arial" w:cs="Arial"/>
                <w:b/>
                <w:sz w:val="24"/>
                <w:szCs w:val="24"/>
              </w:rPr>
              <w:t>Partido Alianza Verde</w:t>
            </w:r>
          </w:p>
        </w:tc>
      </w:tr>
      <w:tr w:rsidR="002C0852" w:rsidTr="003D3CF1">
        <w:tc>
          <w:tcPr>
            <w:tcW w:w="4414" w:type="dxa"/>
          </w:tcPr>
          <w:p w:rsidR="002C0852" w:rsidRDefault="002C0852" w:rsidP="003D3CF1">
            <w:pPr>
              <w:jc w:val="both"/>
              <w:rPr>
                <w:rFonts w:ascii="Arial" w:eastAsia="Arial" w:hAnsi="Arial" w:cs="Arial"/>
                <w:b/>
                <w:sz w:val="24"/>
                <w:szCs w:val="24"/>
              </w:rPr>
            </w:pPr>
            <w:r>
              <w:rPr>
                <w:rFonts w:ascii="Arial" w:eastAsia="Arial" w:hAnsi="Arial" w:cs="Arial"/>
                <w:b/>
                <w:noProof/>
                <w:sz w:val="24"/>
                <w:szCs w:val="24"/>
              </w:rPr>
              <w:lastRenderedPageBreak/>
              <w:drawing>
                <wp:inline distT="114300" distB="114300" distL="114300" distR="114300" wp14:anchorId="0A167328" wp14:editId="1A4C8898">
                  <wp:extent cx="1686878" cy="1110018"/>
                  <wp:effectExtent l="0" t="0" r="0" b="0"/>
                  <wp:docPr id="5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1686878" cy="1110018"/>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sz w:val="24"/>
                <w:szCs w:val="24"/>
              </w:rPr>
              <w:t>WILMER LEAL PÉREZ</w:t>
            </w:r>
          </w:p>
          <w:p w:rsidR="002C0852" w:rsidRDefault="002C0852" w:rsidP="003D3CF1">
            <w:pPr>
              <w:jc w:val="both"/>
              <w:rPr>
                <w:rFonts w:ascii="Arial" w:eastAsia="Arial" w:hAnsi="Arial" w:cs="Arial"/>
                <w:sz w:val="24"/>
                <w:szCs w:val="24"/>
              </w:rPr>
            </w:pPr>
            <w:r>
              <w:rPr>
                <w:rFonts w:ascii="Arial" w:eastAsia="Arial" w:hAnsi="Arial" w:cs="Arial"/>
                <w:sz w:val="24"/>
                <w:szCs w:val="24"/>
              </w:rPr>
              <w:t>Representante a la Cámara</w:t>
            </w:r>
          </w:p>
          <w:p w:rsidR="002C0852" w:rsidRDefault="002C0852" w:rsidP="003D3CF1">
            <w:pPr>
              <w:jc w:val="both"/>
              <w:rPr>
                <w:rFonts w:ascii="Arial" w:eastAsia="Arial" w:hAnsi="Arial" w:cs="Arial"/>
                <w:sz w:val="24"/>
                <w:szCs w:val="24"/>
              </w:rPr>
            </w:pPr>
            <w:r>
              <w:rPr>
                <w:rFonts w:ascii="Arial" w:eastAsia="Arial" w:hAnsi="Arial" w:cs="Arial"/>
                <w:sz w:val="24"/>
                <w:szCs w:val="24"/>
              </w:rPr>
              <w:t>Partido Alianza Verde</w:t>
            </w:r>
          </w:p>
        </w:tc>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0520F881" wp14:editId="5CEA12B3">
                  <wp:extent cx="2667000" cy="622300"/>
                  <wp:effectExtent l="0" t="0" r="0" b="0"/>
                  <wp:docPr id="5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2667000" cy="622300"/>
                          </a:xfrm>
                          <a:prstGeom prst="rect">
                            <a:avLst/>
                          </a:prstGeom>
                          <a:ln/>
                        </pic:spPr>
                      </pic:pic>
                    </a:graphicData>
                  </a:graphic>
                </wp:inline>
              </w:drawing>
            </w: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r>
              <w:rPr>
                <w:rFonts w:ascii="Arial" w:eastAsia="Arial" w:hAnsi="Arial" w:cs="Arial"/>
                <w:b/>
                <w:sz w:val="24"/>
                <w:szCs w:val="24"/>
              </w:rPr>
              <w:t>OMAR DE JESUS RESTREPO CORREA</w:t>
            </w:r>
          </w:p>
          <w:p w:rsidR="002C0852" w:rsidRDefault="002C0852" w:rsidP="003D3CF1">
            <w:pPr>
              <w:jc w:val="both"/>
              <w:rPr>
                <w:rFonts w:ascii="Arial" w:eastAsia="Arial" w:hAnsi="Arial" w:cs="Arial"/>
                <w:sz w:val="24"/>
                <w:szCs w:val="24"/>
              </w:rPr>
            </w:pPr>
            <w:r>
              <w:rPr>
                <w:rFonts w:ascii="Arial" w:eastAsia="Arial" w:hAnsi="Arial" w:cs="Arial"/>
                <w:sz w:val="24"/>
                <w:szCs w:val="24"/>
              </w:rPr>
              <w:t>Representante a la Cámara</w:t>
            </w:r>
          </w:p>
          <w:p w:rsidR="002C0852" w:rsidRDefault="002C0852" w:rsidP="003D3CF1">
            <w:pPr>
              <w:jc w:val="both"/>
              <w:rPr>
                <w:rFonts w:ascii="Arial" w:eastAsia="Arial" w:hAnsi="Arial" w:cs="Arial"/>
                <w:sz w:val="24"/>
                <w:szCs w:val="24"/>
              </w:rPr>
            </w:pPr>
            <w:r>
              <w:rPr>
                <w:rFonts w:ascii="Arial" w:eastAsia="Arial" w:hAnsi="Arial" w:cs="Arial"/>
                <w:sz w:val="24"/>
                <w:szCs w:val="24"/>
              </w:rPr>
              <w:t>Partido Comunes</w:t>
            </w:r>
          </w:p>
        </w:tc>
      </w:tr>
      <w:tr w:rsidR="002C0852" w:rsidTr="003D3CF1">
        <w:tc>
          <w:tcPr>
            <w:tcW w:w="4414" w:type="dxa"/>
          </w:tcPr>
          <w:p w:rsidR="002C0852" w:rsidRDefault="002C0852" w:rsidP="003D3CF1">
            <w:pPr>
              <w:jc w:val="both"/>
              <w:rPr>
                <w:rFonts w:ascii="Arial" w:eastAsia="Arial" w:hAnsi="Arial" w:cs="Arial"/>
                <w:b/>
                <w:sz w:val="24"/>
                <w:szCs w:val="24"/>
              </w:rPr>
            </w:pPr>
            <w:r>
              <w:rPr>
                <w:rFonts w:ascii="Arial" w:eastAsia="Arial" w:hAnsi="Arial" w:cs="Arial"/>
                <w:b/>
                <w:sz w:val="24"/>
                <w:szCs w:val="24"/>
              </w:rPr>
              <w:t xml:space="preserve"> </w:t>
            </w:r>
            <w:r>
              <w:rPr>
                <w:noProof/>
              </w:rPr>
              <w:drawing>
                <wp:anchor distT="114300" distB="114300" distL="114300" distR="114300" simplePos="0" relativeHeight="251662336" behindDoc="1" locked="0" layoutInCell="1" hidden="0" allowOverlap="1" wp14:anchorId="1ADC52D1" wp14:editId="1161E416">
                  <wp:simplePos x="0" y="0"/>
                  <wp:positionH relativeFrom="column">
                    <wp:posOffset>66676</wp:posOffset>
                  </wp:positionH>
                  <wp:positionV relativeFrom="paragraph">
                    <wp:posOffset>222945</wp:posOffset>
                  </wp:positionV>
                  <wp:extent cx="1619250" cy="630466"/>
                  <wp:effectExtent l="0" t="0" r="0" b="0"/>
                  <wp:wrapNone/>
                  <wp:docPr id="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1619250" cy="630466"/>
                          </a:xfrm>
                          <a:prstGeom prst="rect">
                            <a:avLst/>
                          </a:prstGeom>
                          <a:ln/>
                        </pic:spPr>
                      </pic:pic>
                    </a:graphicData>
                  </a:graphic>
                </wp:anchor>
              </w:drawing>
            </w:r>
          </w:p>
          <w:p w:rsidR="002C0852" w:rsidRDefault="002C0852" w:rsidP="003D3CF1">
            <w:pPr>
              <w:jc w:val="both"/>
              <w:rPr>
                <w:rFonts w:ascii="Arial" w:eastAsia="Arial" w:hAnsi="Arial" w:cs="Arial"/>
                <w:b/>
                <w:sz w:val="24"/>
                <w:szCs w:val="24"/>
              </w:rPr>
            </w:pPr>
            <w:r>
              <w:rPr>
                <w:rFonts w:ascii="Arial" w:eastAsia="Arial" w:hAnsi="Arial" w:cs="Arial"/>
                <w:b/>
                <w:sz w:val="24"/>
                <w:szCs w:val="24"/>
              </w:rPr>
              <w:t xml:space="preserve"> </w:t>
            </w:r>
          </w:p>
          <w:p w:rsidR="002C0852" w:rsidRDefault="002C0852" w:rsidP="003D3CF1">
            <w:pPr>
              <w:jc w:val="both"/>
              <w:rPr>
                <w:rFonts w:ascii="Arial" w:eastAsia="Arial" w:hAnsi="Arial" w:cs="Arial"/>
                <w:b/>
                <w:sz w:val="24"/>
                <w:szCs w:val="24"/>
              </w:rPr>
            </w:pPr>
            <w:r>
              <w:rPr>
                <w:rFonts w:ascii="Arial" w:eastAsia="Arial" w:hAnsi="Arial" w:cs="Arial"/>
                <w:b/>
                <w:sz w:val="24"/>
                <w:szCs w:val="24"/>
              </w:rPr>
              <w:t xml:space="preserve"> </w:t>
            </w:r>
          </w:p>
          <w:p w:rsidR="002C0852" w:rsidRDefault="002C0852" w:rsidP="003D3CF1">
            <w:pPr>
              <w:jc w:val="both"/>
              <w:rPr>
                <w:rFonts w:ascii="Arial" w:eastAsia="Arial" w:hAnsi="Arial" w:cs="Arial"/>
                <w:b/>
                <w:sz w:val="24"/>
                <w:szCs w:val="24"/>
              </w:rPr>
            </w:pPr>
            <w:r>
              <w:rPr>
                <w:rFonts w:ascii="Arial" w:eastAsia="Arial" w:hAnsi="Arial" w:cs="Arial"/>
                <w:b/>
                <w:sz w:val="24"/>
                <w:szCs w:val="24"/>
              </w:rPr>
              <w:t>DAVID RACERO MAYORCA</w:t>
            </w:r>
          </w:p>
          <w:p w:rsidR="002C0852" w:rsidRDefault="002C0852" w:rsidP="003D3CF1">
            <w:pPr>
              <w:jc w:val="both"/>
              <w:rPr>
                <w:rFonts w:ascii="Arial" w:eastAsia="Arial" w:hAnsi="Arial" w:cs="Arial"/>
                <w:b/>
              </w:rPr>
            </w:pPr>
            <w:r>
              <w:rPr>
                <w:rFonts w:ascii="Arial" w:eastAsia="Arial" w:hAnsi="Arial" w:cs="Arial"/>
                <w:b/>
              </w:rPr>
              <w:t>Representante a la Cámara por Bogotá</w:t>
            </w:r>
          </w:p>
          <w:p w:rsidR="002C0852" w:rsidRDefault="002C0852" w:rsidP="003D3CF1">
            <w:pPr>
              <w:jc w:val="both"/>
              <w:rPr>
                <w:rFonts w:ascii="Arial" w:eastAsia="Arial" w:hAnsi="Arial" w:cs="Arial"/>
                <w:b/>
              </w:rPr>
            </w:pPr>
            <w:r>
              <w:rPr>
                <w:rFonts w:ascii="Arial" w:eastAsia="Arial" w:hAnsi="Arial" w:cs="Arial"/>
                <w:b/>
              </w:rPr>
              <w:t>Coalición Decentes</w:t>
            </w: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tc>
        <w:tc>
          <w:tcPr>
            <w:tcW w:w="4414" w:type="dxa"/>
          </w:tcPr>
          <w:p w:rsidR="002C0852" w:rsidRDefault="002C0852" w:rsidP="003D3CF1">
            <w:pPr>
              <w:jc w:val="both"/>
              <w:rPr>
                <w:rFonts w:ascii="Arial" w:eastAsia="Arial" w:hAnsi="Arial" w:cs="Arial"/>
                <w:b/>
                <w:sz w:val="24"/>
                <w:szCs w:val="24"/>
              </w:rPr>
            </w:pPr>
          </w:p>
        </w:tc>
      </w:tr>
      <w:tr w:rsidR="002C0852" w:rsidTr="003D3CF1">
        <w:tc>
          <w:tcPr>
            <w:tcW w:w="4414" w:type="dxa"/>
          </w:tcPr>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p w:rsidR="002C0852" w:rsidRDefault="002C0852" w:rsidP="003D3CF1">
            <w:pPr>
              <w:jc w:val="both"/>
              <w:rPr>
                <w:rFonts w:ascii="Arial" w:eastAsia="Arial" w:hAnsi="Arial" w:cs="Arial"/>
                <w:b/>
                <w:sz w:val="24"/>
                <w:szCs w:val="24"/>
              </w:rPr>
            </w:pPr>
          </w:p>
        </w:tc>
        <w:tc>
          <w:tcPr>
            <w:tcW w:w="4414" w:type="dxa"/>
          </w:tcPr>
          <w:p w:rsidR="002C0852" w:rsidRDefault="002C0852" w:rsidP="003D3CF1">
            <w:pPr>
              <w:jc w:val="both"/>
              <w:rPr>
                <w:rFonts w:ascii="Arial" w:eastAsia="Arial" w:hAnsi="Arial" w:cs="Arial"/>
                <w:b/>
                <w:sz w:val="24"/>
                <w:szCs w:val="24"/>
              </w:rPr>
            </w:pPr>
          </w:p>
        </w:tc>
      </w:tr>
    </w:tbl>
    <w:p w:rsidR="002C0852" w:rsidRDefault="002C0852">
      <w:pPr>
        <w:spacing w:after="0" w:line="360" w:lineRule="auto"/>
        <w:jc w:val="both"/>
        <w:rPr>
          <w:rFonts w:ascii="Arial" w:eastAsia="Arial" w:hAnsi="Arial" w:cs="Arial"/>
          <w:sz w:val="24"/>
          <w:szCs w:val="24"/>
        </w:rPr>
      </w:pPr>
    </w:p>
    <w:p w:rsidR="000B1282" w:rsidRDefault="000B1282">
      <w:pPr>
        <w:pBdr>
          <w:top w:val="nil"/>
          <w:left w:val="nil"/>
          <w:bottom w:val="nil"/>
          <w:right w:val="nil"/>
          <w:between w:val="nil"/>
        </w:pBdr>
        <w:spacing w:before="40" w:after="20" w:line="240" w:lineRule="auto"/>
        <w:ind w:right="20"/>
        <w:rPr>
          <w:rFonts w:ascii="Arial" w:eastAsia="Arial" w:hAnsi="Arial" w:cs="Arial"/>
          <w:b/>
          <w:color w:val="221E1F"/>
          <w:sz w:val="24"/>
          <w:szCs w:val="24"/>
        </w:rPr>
      </w:pPr>
    </w:p>
    <w:p w:rsidR="000B1282" w:rsidRDefault="000B1282">
      <w:pPr>
        <w:pBdr>
          <w:top w:val="nil"/>
          <w:left w:val="nil"/>
          <w:bottom w:val="nil"/>
          <w:right w:val="nil"/>
          <w:between w:val="nil"/>
        </w:pBdr>
        <w:spacing w:after="0" w:line="240" w:lineRule="auto"/>
        <w:rPr>
          <w:rFonts w:ascii="Arial" w:eastAsia="Arial" w:hAnsi="Arial" w:cs="Arial"/>
          <w:color w:val="000000"/>
          <w:sz w:val="24"/>
          <w:szCs w:val="24"/>
        </w:rPr>
      </w:pPr>
    </w:p>
    <w:sectPr w:rsidR="000B1282">
      <w:headerReference w:type="default" r:id="rId21"/>
      <w:footerReference w:type="default" r:id="rId2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91" w:rsidRDefault="000B4291">
      <w:pPr>
        <w:spacing w:after="0" w:line="240" w:lineRule="auto"/>
      </w:pPr>
      <w:r>
        <w:separator/>
      </w:r>
    </w:p>
  </w:endnote>
  <w:endnote w:type="continuationSeparator" w:id="0">
    <w:p w:rsidR="000B4291" w:rsidRDefault="000B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82" w:rsidRDefault="002B74D2">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3114675" cy="266700"/>
          <wp:effectExtent l="0" t="0" r="0" b="0"/>
          <wp:docPr id="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0B1282" w:rsidRDefault="000B1282">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91" w:rsidRDefault="000B4291">
      <w:pPr>
        <w:spacing w:after="0" w:line="240" w:lineRule="auto"/>
      </w:pPr>
      <w:r>
        <w:separator/>
      </w:r>
    </w:p>
  </w:footnote>
  <w:footnote w:type="continuationSeparator" w:id="0">
    <w:p w:rsidR="000B4291" w:rsidRDefault="000B4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82" w:rsidRDefault="002B74D2">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2125980" cy="626965"/>
          <wp:effectExtent l="0" t="0" r="0" b="0"/>
          <wp:docPr id="22" name="image18.png" descr="Home"/>
          <wp:cNvGraphicFramePr/>
          <a:graphic xmlns:a="http://schemas.openxmlformats.org/drawingml/2006/main">
            <a:graphicData uri="http://schemas.openxmlformats.org/drawingml/2006/picture">
              <pic:pic xmlns:pic="http://schemas.openxmlformats.org/drawingml/2006/picture">
                <pic:nvPicPr>
                  <pic:cNvPr id="0" name="image18.png" descr="Home"/>
                  <pic:cNvPicPr preferRelativeResize="0"/>
                </pic:nvPicPr>
                <pic:blipFill>
                  <a:blip r:embed="rId1"/>
                  <a:srcRect/>
                  <a:stretch>
                    <a:fillRect/>
                  </a:stretch>
                </pic:blipFill>
                <pic:spPr>
                  <a:xfrm>
                    <a:off x="0" y="0"/>
                    <a:ext cx="2125980" cy="626965"/>
                  </a:xfrm>
                  <a:prstGeom prst="rect">
                    <a:avLst/>
                  </a:prstGeom>
                  <a:ln/>
                </pic:spPr>
              </pic:pic>
            </a:graphicData>
          </a:graphic>
        </wp:inline>
      </w:drawing>
    </w:r>
  </w:p>
  <w:p w:rsidR="000B1282" w:rsidRDefault="000B128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B4C"/>
    <w:multiLevelType w:val="multilevel"/>
    <w:tmpl w:val="D0FE5576"/>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3F18F4"/>
    <w:multiLevelType w:val="multilevel"/>
    <w:tmpl w:val="ED32317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nsid w:val="3EBB5671"/>
    <w:multiLevelType w:val="multilevel"/>
    <w:tmpl w:val="C46E41CE"/>
    <w:lvl w:ilvl="0">
      <w:start w:val="1"/>
      <w:numFmt w:val="upperRoman"/>
      <w:lvlText w:val="%1."/>
      <w:lvlJc w:val="left"/>
      <w:pPr>
        <w:ind w:left="1080" w:hanging="72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562B50"/>
    <w:multiLevelType w:val="multilevel"/>
    <w:tmpl w:val="C5BE9E7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A6A2805"/>
    <w:multiLevelType w:val="multilevel"/>
    <w:tmpl w:val="11705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22136E4"/>
    <w:multiLevelType w:val="multilevel"/>
    <w:tmpl w:val="2C1A3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7780852"/>
    <w:multiLevelType w:val="multilevel"/>
    <w:tmpl w:val="A5D678C2"/>
    <w:lvl w:ilvl="0">
      <w:start w:val="1"/>
      <w:numFmt w:val="decimal"/>
      <w:lvlText w:val="%1."/>
      <w:lvlJc w:val="left"/>
      <w:pPr>
        <w:ind w:left="1860" w:hanging="360"/>
      </w:pPr>
      <w:rPr>
        <w:b/>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82"/>
    <w:rsid w:val="000B1282"/>
    <w:rsid w:val="000B4291"/>
    <w:rsid w:val="002B74D2"/>
    <w:rsid w:val="002C0852"/>
    <w:rsid w:val="00C227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0852"/>
  </w:style>
  <w:style w:type="paragraph" w:styleId="Ttulo1">
    <w:name w:val="heading 1"/>
    <w:basedOn w:val="Normal"/>
    <w:next w:val="Normal"/>
    <w:pPr>
      <w:keepNext/>
      <w:keepLines/>
      <w:spacing w:before="240" w:after="0" w:line="240" w:lineRule="auto"/>
      <w:outlineLvl w:val="0"/>
    </w:pPr>
    <w:rPr>
      <w:rFonts w:ascii="Calibri Light" w:eastAsia="Calibri Light" w:hAnsi="Calibri Light" w:cs="Calibri Light"/>
      <w:color w:val="2F5496"/>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227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0852"/>
  </w:style>
  <w:style w:type="paragraph" w:styleId="Ttulo1">
    <w:name w:val="heading 1"/>
    <w:basedOn w:val="Normal"/>
    <w:next w:val="Normal"/>
    <w:pPr>
      <w:keepNext/>
      <w:keepLines/>
      <w:spacing w:before="240" w:after="0" w:line="240" w:lineRule="auto"/>
      <w:outlineLvl w:val="0"/>
    </w:pPr>
    <w:rPr>
      <w:rFonts w:ascii="Calibri Light" w:eastAsia="Calibri Light" w:hAnsi="Calibri Light" w:cs="Calibri Light"/>
      <w:color w:val="2F5496"/>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227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secretariasenado.gov.co/senado/basedoc/acto_legislativo_05_201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6865</Words>
  <Characters>37759</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Rueda Anaya</dc:creator>
  <cp:lastModifiedBy>Ximena Rueda Anaya</cp:lastModifiedBy>
  <cp:revision>2</cp:revision>
  <dcterms:created xsi:type="dcterms:W3CDTF">2021-08-11T20:04:00Z</dcterms:created>
  <dcterms:modified xsi:type="dcterms:W3CDTF">2021-08-11T20:04:00Z</dcterms:modified>
</cp:coreProperties>
</file>