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567EC" w:rsidRDefault="00893D27">
      <w:pPr>
        <w:pBdr>
          <w:top w:val="nil"/>
          <w:left w:val="nil"/>
          <w:bottom w:val="nil"/>
          <w:right w:val="nil"/>
          <w:between w:val="nil"/>
        </w:pBdr>
        <w:spacing w:before="92" w:line="276" w:lineRule="auto"/>
        <w:rPr>
          <w:color w:val="000000"/>
        </w:rPr>
      </w:pPr>
      <w:r>
        <w:rPr>
          <w:color w:val="000000"/>
        </w:rPr>
        <w:t xml:space="preserve">Bogotá D.C., </w:t>
      </w:r>
      <w:r>
        <w:t>11 de agosto</w:t>
      </w:r>
      <w:r>
        <w:rPr>
          <w:color w:val="000000"/>
        </w:rPr>
        <w:t xml:space="preserve"> de 2021.</w:t>
      </w:r>
    </w:p>
    <w:p w14:paraId="00000002" w14:textId="77777777" w:rsidR="004567EC" w:rsidRDefault="004567EC">
      <w:pPr>
        <w:pBdr>
          <w:top w:val="nil"/>
          <w:left w:val="nil"/>
          <w:bottom w:val="nil"/>
          <w:right w:val="nil"/>
          <w:between w:val="nil"/>
        </w:pBdr>
        <w:spacing w:line="276" w:lineRule="auto"/>
        <w:rPr>
          <w:color w:val="000000"/>
        </w:rPr>
      </w:pPr>
    </w:p>
    <w:p w14:paraId="00000003" w14:textId="77777777" w:rsidR="004567EC" w:rsidRDefault="00893D27">
      <w:r>
        <w:t>Honorable Representante</w:t>
      </w:r>
    </w:p>
    <w:p w14:paraId="00000004" w14:textId="77777777" w:rsidR="004567EC" w:rsidRDefault="00893D27">
      <w:pPr>
        <w:rPr>
          <w:b/>
        </w:rPr>
      </w:pPr>
      <w:r>
        <w:rPr>
          <w:b/>
        </w:rPr>
        <w:t xml:space="preserve">Jennifer </w:t>
      </w:r>
      <w:proofErr w:type="spellStart"/>
      <w:r>
        <w:rPr>
          <w:b/>
        </w:rPr>
        <w:t>Kristin</w:t>
      </w:r>
      <w:proofErr w:type="spellEnd"/>
      <w:r>
        <w:rPr>
          <w:b/>
        </w:rPr>
        <w:t xml:space="preserve"> Arias Falla</w:t>
      </w:r>
    </w:p>
    <w:p w14:paraId="00000005" w14:textId="77777777" w:rsidR="004567EC" w:rsidRDefault="00893D27">
      <w:pPr>
        <w:rPr>
          <w:b/>
        </w:rPr>
      </w:pPr>
      <w:r>
        <w:rPr>
          <w:b/>
        </w:rPr>
        <w:t xml:space="preserve">Presidente </w:t>
      </w:r>
    </w:p>
    <w:p w14:paraId="00000006" w14:textId="77777777" w:rsidR="004567EC" w:rsidRDefault="00893D27">
      <w:pPr>
        <w:rPr>
          <w:b/>
        </w:rPr>
      </w:pPr>
      <w:r>
        <w:rPr>
          <w:b/>
        </w:rPr>
        <w:t xml:space="preserve">Cámara de Representantes </w:t>
      </w:r>
    </w:p>
    <w:p w14:paraId="00000007" w14:textId="77777777" w:rsidR="004567EC" w:rsidRDefault="00893D27">
      <w:r>
        <w:t>Bogotá D.C.</w:t>
      </w:r>
    </w:p>
    <w:p w14:paraId="00000008" w14:textId="77777777" w:rsidR="004567EC" w:rsidRDefault="004567EC">
      <w:pPr>
        <w:pBdr>
          <w:top w:val="nil"/>
          <w:left w:val="nil"/>
          <w:bottom w:val="nil"/>
          <w:right w:val="nil"/>
          <w:between w:val="nil"/>
        </w:pBdr>
        <w:spacing w:line="276" w:lineRule="auto"/>
        <w:rPr>
          <w:color w:val="000000"/>
        </w:rPr>
      </w:pPr>
    </w:p>
    <w:p w14:paraId="00000009" w14:textId="77777777" w:rsidR="004567EC" w:rsidRDefault="00893D27">
      <w:pPr>
        <w:spacing w:before="231" w:line="276" w:lineRule="auto"/>
        <w:ind w:left="850" w:right="120" w:hanging="850"/>
        <w:jc w:val="both"/>
        <w:rPr>
          <w:i/>
        </w:rPr>
      </w:pPr>
      <w:r>
        <w:rPr>
          <w:b/>
        </w:rPr>
        <w:t>Asunto:</w:t>
      </w:r>
      <w:r>
        <w:t xml:space="preserve"> Radicación Proyecto de Ley </w:t>
      </w:r>
      <w:r>
        <w:rPr>
          <w:i/>
        </w:rPr>
        <w:t>“Por medio de la cual se adoptan medidas para fomentar la garantía al derecho a la educación de los jóvenes en Colombia”.</w:t>
      </w:r>
    </w:p>
    <w:p w14:paraId="0000000A" w14:textId="77777777" w:rsidR="004567EC" w:rsidRDefault="004567EC">
      <w:pPr>
        <w:pBdr>
          <w:top w:val="nil"/>
          <w:left w:val="nil"/>
          <w:bottom w:val="nil"/>
          <w:right w:val="nil"/>
          <w:between w:val="nil"/>
        </w:pBdr>
        <w:spacing w:line="276" w:lineRule="auto"/>
      </w:pPr>
    </w:p>
    <w:p w14:paraId="0000000B" w14:textId="77777777" w:rsidR="004567EC" w:rsidRDefault="00893D27">
      <w:pPr>
        <w:pBdr>
          <w:top w:val="nil"/>
          <w:left w:val="nil"/>
          <w:bottom w:val="nil"/>
          <w:right w:val="nil"/>
          <w:between w:val="nil"/>
        </w:pBdr>
        <w:spacing w:line="276" w:lineRule="auto"/>
        <w:rPr>
          <w:color w:val="000000"/>
        </w:rPr>
      </w:pPr>
      <w:r>
        <w:rPr>
          <w:color w:val="000000"/>
        </w:rPr>
        <w:t>Honorable Presidente</w:t>
      </w:r>
      <w:r>
        <w:t>,</w:t>
      </w:r>
    </w:p>
    <w:p w14:paraId="0000000C" w14:textId="77777777" w:rsidR="004567EC" w:rsidRDefault="004567EC">
      <w:pPr>
        <w:pBdr>
          <w:top w:val="nil"/>
          <w:left w:val="nil"/>
          <w:bottom w:val="nil"/>
          <w:right w:val="nil"/>
          <w:between w:val="nil"/>
        </w:pBdr>
        <w:spacing w:line="276" w:lineRule="auto"/>
        <w:rPr>
          <w:color w:val="000000"/>
        </w:rPr>
      </w:pPr>
    </w:p>
    <w:p w14:paraId="0000000D" w14:textId="77777777" w:rsidR="004567EC" w:rsidRDefault="00893D27">
      <w:pPr>
        <w:pBdr>
          <w:top w:val="nil"/>
          <w:left w:val="nil"/>
          <w:bottom w:val="nil"/>
          <w:right w:val="nil"/>
          <w:between w:val="nil"/>
        </w:pBdr>
        <w:spacing w:line="276" w:lineRule="auto"/>
        <w:ind w:right="116"/>
        <w:jc w:val="both"/>
        <w:rPr>
          <w:color w:val="000000"/>
        </w:rPr>
      </w:pPr>
      <w:r>
        <w:rPr>
          <w:color w:val="000000"/>
        </w:rPr>
        <w:t xml:space="preserve">De conformidad con lo establecido en la Ley 5 de 1992, presentamos a consideración del Honorable Congreso de la República de Colombia el Proyecto de Ley </w:t>
      </w:r>
      <w:r>
        <w:rPr>
          <w:i/>
        </w:rPr>
        <w:t>“Por medio de la cual se adoptan medidas para fomentar la garantía al derecho a la educación de los jóv</w:t>
      </w:r>
      <w:r>
        <w:rPr>
          <w:i/>
        </w:rPr>
        <w:t>enes en Colombia.”</w:t>
      </w:r>
    </w:p>
    <w:p w14:paraId="0000000E" w14:textId="77777777" w:rsidR="004567EC" w:rsidRDefault="00893D27">
      <w:pPr>
        <w:pBdr>
          <w:top w:val="nil"/>
          <w:left w:val="nil"/>
          <w:bottom w:val="nil"/>
          <w:right w:val="nil"/>
          <w:between w:val="nil"/>
        </w:pBdr>
        <w:spacing w:before="233" w:line="276" w:lineRule="auto"/>
      </w:pPr>
      <w:r>
        <w:rPr>
          <w:color w:val="000000"/>
        </w:rPr>
        <w:t>Atentamente,</w:t>
      </w:r>
    </w:p>
    <w:p w14:paraId="0000000F" w14:textId="77777777" w:rsidR="004567EC" w:rsidRDefault="004567EC"/>
    <w:p w14:paraId="00000075" w14:textId="77777777" w:rsidR="004567EC" w:rsidRDefault="004567EC"/>
    <w:p w14:paraId="00000076" w14:textId="77777777" w:rsidR="004567EC" w:rsidRDefault="004567EC"/>
    <w:p w14:paraId="00000077" w14:textId="77777777" w:rsidR="004567EC" w:rsidRDefault="004567EC"/>
    <w:p w14:paraId="00000078" w14:textId="77777777" w:rsidR="004567EC" w:rsidRDefault="004567EC"/>
    <w:p w14:paraId="00000079" w14:textId="77777777" w:rsidR="004567EC" w:rsidRDefault="004567EC"/>
    <w:p w14:paraId="0000007A" w14:textId="77777777" w:rsidR="004567EC" w:rsidRDefault="004567EC"/>
    <w:p w14:paraId="0000007B" w14:textId="0EC45DF0" w:rsidR="00893D27" w:rsidRDefault="00893D27">
      <w:r>
        <w:br w:type="page"/>
      </w:r>
    </w:p>
    <w:p w14:paraId="1E547072" w14:textId="77777777" w:rsidR="004567EC" w:rsidRDefault="004567EC"/>
    <w:p w14:paraId="0000007C" w14:textId="77777777" w:rsidR="004567EC" w:rsidRDefault="004567EC"/>
    <w:p w14:paraId="0000007D" w14:textId="77777777" w:rsidR="004567EC" w:rsidRDefault="00893D27">
      <w:pPr>
        <w:jc w:val="center"/>
      </w:pPr>
      <w:r>
        <w:rPr>
          <w:b/>
        </w:rPr>
        <w:t xml:space="preserve">PROYECTO DE LEY </w:t>
      </w:r>
      <w:proofErr w:type="spellStart"/>
      <w:r>
        <w:rPr>
          <w:b/>
        </w:rPr>
        <w:t>N°</w:t>
      </w:r>
      <w:proofErr w:type="spellEnd"/>
      <w:r>
        <w:rPr>
          <w:b/>
        </w:rPr>
        <w:t xml:space="preserve"> ____ DE 2021 CÁMARA</w:t>
      </w:r>
    </w:p>
    <w:p w14:paraId="0000007E" w14:textId="77777777" w:rsidR="004567EC" w:rsidRDefault="00893D27">
      <w:pPr>
        <w:spacing w:line="276" w:lineRule="auto"/>
        <w:ind w:right="15"/>
        <w:jc w:val="center"/>
        <w:rPr>
          <w:b/>
          <w:i/>
        </w:rPr>
      </w:pPr>
      <w:r>
        <w:rPr>
          <w:b/>
        </w:rPr>
        <w:t>“Por medio de la cual se adoptan medidas para fomentar la garantía al derecho a la educación de los jóvenes en Colombia</w:t>
      </w:r>
      <w:r>
        <w:rPr>
          <w:b/>
          <w:i/>
        </w:rPr>
        <w:t>.”</w:t>
      </w:r>
    </w:p>
    <w:p w14:paraId="0000007F" w14:textId="77777777" w:rsidR="004567EC" w:rsidRDefault="004567EC">
      <w:pPr>
        <w:spacing w:line="276" w:lineRule="auto"/>
        <w:ind w:right="15"/>
        <w:jc w:val="center"/>
        <w:rPr>
          <w:b/>
        </w:rPr>
      </w:pPr>
    </w:p>
    <w:p w14:paraId="00000080" w14:textId="77777777" w:rsidR="004567EC" w:rsidRDefault="00893D27">
      <w:pPr>
        <w:spacing w:line="276" w:lineRule="auto"/>
        <w:ind w:right="15"/>
        <w:jc w:val="center"/>
        <w:rPr>
          <w:b/>
        </w:rPr>
      </w:pPr>
      <w:r>
        <w:rPr>
          <w:b/>
        </w:rPr>
        <w:t>EXPOSICIÓN DE MOTIVOS</w:t>
      </w:r>
    </w:p>
    <w:p w14:paraId="00000081" w14:textId="77777777" w:rsidR="004567EC" w:rsidRDefault="00893D27">
      <w:pPr>
        <w:pStyle w:val="Ttulo2"/>
        <w:numPr>
          <w:ilvl w:val="0"/>
          <w:numId w:val="1"/>
        </w:num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OBJETO DEL PROYECTO</w:t>
      </w:r>
    </w:p>
    <w:p w14:paraId="00000082" w14:textId="77777777" w:rsidR="004567EC" w:rsidRDefault="00893D27">
      <w:pPr>
        <w:spacing w:after="240" w:line="276" w:lineRule="auto"/>
        <w:jc w:val="both"/>
      </w:pPr>
      <w:r>
        <w:rPr>
          <w:color w:val="000000"/>
        </w:rPr>
        <w:t xml:space="preserve">El propósito del presente </w:t>
      </w:r>
      <w:r>
        <w:t>P</w:t>
      </w:r>
      <w:r>
        <w:rPr>
          <w:color w:val="000000"/>
        </w:rPr>
        <w:t>royecto</w:t>
      </w:r>
      <w:r>
        <w:t xml:space="preserve"> de Ley</w:t>
      </w:r>
      <w:r>
        <w:rPr>
          <w:color w:val="000000"/>
        </w:rPr>
        <w:t xml:space="preserve"> se encamin</w:t>
      </w:r>
      <w:r>
        <w:rPr>
          <w:color w:val="000000"/>
        </w:rPr>
        <w:t xml:space="preserve">a a </w:t>
      </w:r>
      <w:r>
        <w:t>establecer medidas para fomentar la garantía del derecho a la educación de los jóvenes en Colombia, a partir de las demandas sociales presentadas en el marco de la iniciativa multipartidista “Los jóvenes tienen la palabra”, la cual surgió como una resp</w:t>
      </w:r>
      <w:r>
        <w:t xml:space="preserve">uesta al Paro Nacional que tuvo lugar en el país durante el segundo trimestre de 2021. Para ello, se proponen medidas que permitan mejorar el </w:t>
      </w:r>
      <w:r>
        <w:rPr>
          <w:highlight w:val="white"/>
        </w:rPr>
        <w:t>acceso a la educación superior y que permitan que los jóvenes puedan costear sus estudios y los gastos asociados a</w:t>
      </w:r>
      <w:r>
        <w:rPr>
          <w:highlight w:val="white"/>
        </w:rPr>
        <w:t xml:space="preserve"> estos con el propósito de reducir la deserción estudiantil en el nivel superior de la educación. </w:t>
      </w:r>
    </w:p>
    <w:p w14:paraId="00000083" w14:textId="77777777" w:rsidR="004567EC" w:rsidRDefault="004567EC">
      <w:pPr>
        <w:spacing w:after="240" w:line="276" w:lineRule="auto"/>
        <w:jc w:val="both"/>
      </w:pPr>
    </w:p>
    <w:p w14:paraId="00000084" w14:textId="77777777" w:rsidR="004567EC" w:rsidRDefault="00893D27">
      <w:pPr>
        <w:pStyle w:val="Ttulo2"/>
        <w:numPr>
          <w:ilvl w:val="0"/>
          <w:numId w:val="1"/>
        </w:num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JUSTIFICACIÓN DEL PROYECTO</w:t>
      </w:r>
    </w:p>
    <w:p w14:paraId="00000085" w14:textId="77777777" w:rsidR="004567EC" w:rsidRDefault="004567EC">
      <w:pPr>
        <w:spacing w:after="240"/>
        <w:jc w:val="both"/>
        <w:rPr>
          <w:b/>
        </w:rPr>
      </w:pPr>
    </w:p>
    <w:p w14:paraId="00000086" w14:textId="77777777" w:rsidR="004567EC" w:rsidRDefault="00893D27">
      <w:pPr>
        <w:numPr>
          <w:ilvl w:val="0"/>
          <w:numId w:val="2"/>
        </w:numPr>
        <w:spacing w:after="240"/>
        <w:jc w:val="both"/>
        <w:rPr>
          <w:b/>
        </w:rPr>
      </w:pPr>
      <w:r>
        <w:rPr>
          <w:b/>
        </w:rPr>
        <w:t>Proyecto multipartidista “Los Jóvenes Tienen la Palabra”.</w:t>
      </w:r>
    </w:p>
    <w:p w14:paraId="00000087" w14:textId="77777777" w:rsidR="004567EC" w:rsidRDefault="00893D27">
      <w:pPr>
        <w:pBdr>
          <w:top w:val="nil"/>
          <w:left w:val="nil"/>
          <w:bottom w:val="nil"/>
          <w:right w:val="nil"/>
          <w:between w:val="nil"/>
        </w:pBdr>
        <w:spacing w:after="240" w:line="276" w:lineRule="auto"/>
        <w:jc w:val="both"/>
        <w:rPr>
          <w:highlight w:val="white"/>
        </w:rPr>
      </w:pPr>
      <w:r>
        <w:t>Este Proyecto de Ley se presenta en el marco de la iniciativa “Los Jóv</w:t>
      </w:r>
      <w:r>
        <w:t>enes Tienen la Palabra”, la cual nació como la respuesta de congresistas jóvenes de distintos partidos al paro nacional vivido entre los meses de abril y junio de 2021 en el país. Entendiendo que hay diversas necesidades a las cuales debe responder el Esta</w:t>
      </w:r>
      <w:r>
        <w:t>do en su conjunto, y especialmente el Con</w:t>
      </w:r>
      <w:r>
        <w:rPr>
          <w:highlight w:val="white"/>
        </w:rPr>
        <w:t>greso, por la deuda histórica que guarda con algunas poblaciones y sectores, este grupo se propuso escuchar a los jóvenes que se estaban movilizando a lo largo y ancho del país.</w:t>
      </w:r>
    </w:p>
    <w:p w14:paraId="00000088" w14:textId="77777777" w:rsidR="004567EC" w:rsidRDefault="00893D27">
      <w:pPr>
        <w:pBdr>
          <w:top w:val="nil"/>
          <w:left w:val="nil"/>
          <w:bottom w:val="nil"/>
          <w:right w:val="nil"/>
          <w:between w:val="nil"/>
        </w:pBdr>
        <w:spacing w:after="240" w:line="276" w:lineRule="auto"/>
        <w:jc w:val="both"/>
      </w:pPr>
      <w:r>
        <w:rPr>
          <w:highlight w:val="white"/>
        </w:rPr>
        <w:t>Con el acompañamiento logístico de la</w:t>
      </w:r>
      <w:r>
        <w:rPr>
          <w:highlight w:val="white"/>
        </w:rPr>
        <w:t xml:space="preserve"> Fundación Ideas para la Paz (FIP), se visitaron las ciudades y municipios con los índices más altos de desempleo juvenil, entre las cuales se encuentran: Cali, Ibagué, Pereira, Valledupar, Riohacha, Buenaventura, Tumaco, Quibdó, Villav</w:t>
      </w:r>
      <w:r>
        <w:t>icencio, Florencia y</w:t>
      </w:r>
      <w:r>
        <w:t xml:space="preserve"> Bogotá. Escuchar a jóvenes tan diversos permitió consolidar una agenda de reformas legislativas en la que congresistas, dejando de lado sus diferencias, se pusieron de acuerdo priorizando temas como la educación, el empleo y el emprendimiento, la particip</w:t>
      </w:r>
      <w:r>
        <w:t xml:space="preserve">ación ciudadana, la educación sexual y reproductiva y la reforma a la Policía. </w:t>
      </w:r>
    </w:p>
    <w:p w14:paraId="00000089" w14:textId="77777777" w:rsidR="004567EC" w:rsidRDefault="004567EC">
      <w:pPr>
        <w:pBdr>
          <w:top w:val="nil"/>
          <w:left w:val="nil"/>
          <w:bottom w:val="nil"/>
          <w:right w:val="nil"/>
          <w:between w:val="nil"/>
        </w:pBdr>
        <w:spacing w:after="240" w:line="276" w:lineRule="auto"/>
        <w:jc w:val="both"/>
      </w:pPr>
    </w:p>
    <w:p w14:paraId="0000008A" w14:textId="77777777" w:rsidR="004567EC" w:rsidRDefault="00893D27">
      <w:pPr>
        <w:widowControl w:val="0"/>
        <w:numPr>
          <w:ilvl w:val="0"/>
          <w:numId w:val="2"/>
        </w:numPr>
        <w:spacing w:after="240" w:line="276" w:lineRule="auto"/>
        <w:jc w:val="both"/>
        <w:rPr>
          <w:b/>
        </w:rPr>
      </w:pPr>
      <w:r>
        <w:rPr>
          <w:b/>
        </w:rPr>
        <w:lastRenderedPageBreak/>
        <w:t>Fundamento Constitucional.</w:t>
      </w:r>
    </w:p>
    <w:p w14:paraId="0000008B" w14:textId="77777777" w:rsidR="004567EC" w:rsidRDefault="00893D27">
      <w:pPr>
        <w:spacing w:after="240" w:line="276" w:lineRule="auto"/>
        <w:jc w:val="both"/>
        <w:rPr>
          <w:highlight w:val="white"/>
        </w:rPr>
      </w:pPr>
      <w:r>
        <w:rPr>
          <w:highlight w:val="white"/>
        </w:rPr>
        <w:t>Además de los argumentos sobre la necesidad y conveniencia de este Proyecto de Ley debe considerarse que la educación, como principio, se encuentra reconocida en el Preámbulo de la Carta Fundamental a través del “conocimiento” como medio para garantizar un</w:t>
      </w:r>
      <w:r>
        <w:rPr>
          <w:highlight w:val="white"/>
        </w:rPr>
        <w:t xml:space="preserve"> orden político, </w:t>
      </w:r>
      <w:proofErr w:type="spellStart"/>
      <w:r>
        <w:rPr>
          <w:highlight w:val="white"/>
        </w:rPr>
        <w:t>económico</w:t>
      </w:r>
      <w:proofErr w:type="spellEnd"/>
      <w:r>
        <w:rPr>
          <w:highlight w:val="white"/>
        </w:rPr>
        <w:t xml:space="preserve"> y social justo</w:t>
      </w:r>
      <w:r>
        <w:rPr>
          <w:highlight w:val="white"/>
          <w:vertAlign w:val="superscript"/>
        </w:rPr>
        <w:footnoteReference w:id="1"/>
      </w:r>
      <w:r>
        <w:rPr>
          <w:highlight w:val="white"/>
        </w:rPr>
        <w:t>. De igual forma, el artículo 67 consagra la educación tanto como un derecho así como un servicio público con función social:</w:t>
      </w:r>
    </w:p>
    <w:p w14:paraId="0000008C" w14:textId="77777777" w:rsidR="004567EC" w:rsidRDefault="00893D27">
      <w:pPr>
        <w:spacing w:after="240" w:line="276" w:lineRule="auto"/>
        <w:ind w:left="720" w:right="413"/>
        <w:jc w:val="both"/>
        <w:rPr>
          <w:i/>
        </w:rPr>
      </w:pPr>
      <w:r>
        <w:t>“</w:t>
      </w:r>
      <w:r>
        <w:rPr>
          <w:b/>
          <w:i/>
        </w:rPr>
        <w:t>Artículo 67.</w:t>
      </w:r>
      <w:r>
        <w:rPr>
          <w:i/>
        </w:rPr>
        <w:t xml:space="preserve"> La educación es un derecho de la persona y un servicio público que tiene</w:t>
      </w:r>
      <w:r>
        <w:rPr>
          <w:i/>
        </w:rPr>
        <w:t xml:space="preserve"> una función social: con ella se busca el acceso al conocimiento, a la ciencia, a la técnica, y a los demás bienes y valores de la cultura.</w:t>
      </w:r>
    </w:p>
    <w:p w14:paraId="0000008D" w14:textId="77777777" w:rsidR="004567EC" w:rsidRDefault="00893D27">
      <w:pPr>
        <w:spacing w:after="240" w:line="276" w:lineRule="auto"/>
        <w:ind w:left="720" w:right="413"/>
        <w:jc w:val="both"/>
        <w:rPr>
          <w:i/>
        </w:rPr>
      </w:pPr>
      <w:r>
        <w:rPr>
          <w:i/>
        </w:rPr>
        <w:t xml:space="preserve">La educación formara al colombiano en el respeto a los derechos humanos, a la paz y a la democracia; y en la </w:t>
      </w:r>
      <w:proofErr w:type="spellStart"/>
      <w:r>
        <w:rPr>
          <w:i/>
        </w:rPr>
        <w:t>practic</w:t>
      </w:r>
      <w:r>
        <w:rPr>
          <w:i/>
        </w:rPr>
        <w:t>a</w:t>
      </w:r>
      <w:proofErr w:type="spellEnd"/>
      <w:r>
        <w:rPr>
          <w:i/>
        </w:rPr>
        <w:t xml:space="preserve"> del trabajo y la recreación, para el mejoramiento cultural, científico, tecnológico y para la protección del ambiente.</w:t>
      </w:r>
    </w:p>
    <w:p w14:paraId="0000008E" w14:textId="77777777" w:rsidR="004567EC" w:rsidRDefault="00893D27">
      <w:pPr>
        <w:spacing w:after="240" w:line="276" w:lineRule="auto"/>
        <w:ind w:left="720" w:right="413"/>
        <w:jc w:val="both"/>
        <w:rPr>
          <w:i/>
        </w:rPr>
      </w:pPr>
      <w:r>
        <w:rPr>
          <w:i/>
        </w:rPr>
        <w:t xml:space="preserve">El Estado, la sociedad y la familia son responsables de la educación, que será obligatoria entre los cinco y los quince </w:t>
      </w:r>
      <w:proofErr w:type="gramStart"/>
      <w:r>
        <w:rPr>
          <w:i/>
        </w:rPr>
        <w:t>años de edad</w:t>
      </w:r>
      <w:proofErr w:type="gramEnd"/>
      <w:r>
        <w:rPr>
          <w:i/>
        </w:rPr>
        <w:t xml:space="preserve"> y </w:t>
      </w:r>
      <w:r>
        <w:rPr>
          <w:i/>
        </w:rPr>
        <w:t>que comprenderá como mínimo, un año de preescolar y nueve de educación básica.</w:t>
      </w:r>
    </w:p>
    <w:p w14:paraId="0000008F" w14:textId="77777777" w:rsidR="004567EC" w:rsidRDefault="00893D27">
      <w:pPr>
        <w:spacing w:after="240" w:line="276" w:lineRule="auto"/>
        <w:ind w:left="720" w:right="413"/>
        <w:jc w:val="both"/>
        <w:rPr>
          <w:i/>
        </w:rPr>
      </w:pPr>
      <w:r>
        <w:rPr>
          <w:i/>
        </w:rPr>
        <w:t>La educación será gratuita en las instituciones del Estado, sin perjuicio del cobro de derechos académicos a quienes puedan sufragarlos.</w:t>
      </w:r>
    </w:p>
    <w:p w14:paraId="00000090" w14:textId="77777777" w:rsidR="004567EC" w:rsidRDefault="00893D27">
      <w:pPr>
        <w:spacing w:after="240" w:line="276" w:lineRule="auto"/>
        <w:ind w:left="720" w:right="413"/>
        <w:jc w:val="both"/>
        <w:rPr>
          <w:i/>
        </w:rPr>
      </w:pPr>
      <w:r>
        <w:rPr>
          <w:i/>
        </w:rPr>
        <w:t xml:space="preserve">Corresponde al Estado regular y ejercer </w:t>
      </w:r>
      <w:r>
        <w:rPr>
          <w:i/>
        </w:rPr>
        <w:t xml:space="preserve">la suprema inspección y vigilancia de la educación con el fin de velar por su calidad, por el cumplimiento de sus fines y por la mejor formación moral, intelectual y física de los educandos; garantizar el adecuado cubrimiento del servicio y asegurar a los </w:t>
      </w:r>
      <w:r>
        <w:rPr>
          <w:i/>
        </w:rPr>
        <w:t>menores las condiciones necesarias para su acceso y permanencia en el sistema educativo.</w:t>
      </w:r>
    </w:p>
    <w:p w14:paraId="00000091" w14:textId="77777777" w:rsidR="004567EC" w:rsidRDefault="00893D27">
      <w:pPr>
        <w:spacing w:after="240" w:line="276" w:lineRule="auto"/>
        <w:ind w:left="720" w:right="413"/>
        <w:jc w:val="both"/>
        <w:rPr>
          <w:i/>
        </w:rPr>
      </w:pPr>
      <w:r>
        <w:rPr>
          <w:i/>
        </w:rPr>
        <w:t xml:space="preserve">La Nación y las entidades territoriales participarán en la dirección, financiación y administración de los servicios educativos estatales, en los términos que señalen </w:t>
      </w:r>
      <w:r>
        <w:rPr>
          <w:i/>
        </w:rPr>
        <w:t xml:space="preserve">la Constitución y la ley”. </w:t>
      </w:r>
    </w:p>
    <w:p w14:paraId="00000092" w14:textId="77777777" w:rsidR="004567EC" w:rsidRDefault="00893D27">
      <w:pPr>
        <w:spacing w:after="240" w:line="276" w:lineRule="auto"/>
        <w:jc w:val="both"/>
      </w:pPr>
      <w:r>
        <w:t xml:space="preserve">A su turno, en el artículo 70 la Constitución establece el deber del Estado de promover el acceso a la cultura a través de la enseñanza: </w:t>
      </w:r>
    </w:p>
    <w:p w14:paraId="00000093" w14:textId="77777777" w:rsidR="004567EC" w:rsidRDefault="00893D27">
      <w:pPr>
        <w:spacing w:after="240" w:line="276" w:lineRule="auto"/>
        <w:ind w:left="720" w:right="413"/>
        <w:jc w:val="both"/>
        <w:rPr>
          <w:i/>
        </w:rPr>
      </w:pPr>
      <w:r>
        <w:t>“</w:t>
      </w:r>
      <w:r>
        <w:rPr>
          <w:b/>
          <w:i/>
        </w:rPr>
        <w:t xml:space="preserve">Artículo 70. </w:t>
      </w:r>
      <w:r>
        <w:rPr>
          <w:i/>
        </w:rPr>
        <w:t>El Estado tiene el deber de promover y fomentar el acceso a la cultura de to</w:t>
      </w:r>
      <w:r>
        <w:rPr>
          <w:i/>
        </w:rPr>
        <w:t xml:space="preserve">dos los colombianos en igualdad de oportunidades, por medio de la educación </w:t>
      </w:r>
      <w:r>
        <w:rPr>
          <w:i/>
        </w:rPr>
        <w:lastRenderedPageBreak/>
        <w:t>permanente y la enseñanza científica, técnica, artística y profesional en todas las etapas del proceso de creación de la identidad nacional.</w:t>
      </w:r>
    </w:p>
    <w:p w14:paraId="00000094" w14:textId="77777777" w:rsidR="004567EC" w:rsidRDefault="00893D27">
      <w:pPr>
        <w:spacing w:after="240" w:line="276" w:lineRule="auto"/>
        <w:ind w:left="720" w:right="413"/>
        <w:jc w:val="both"/>
        <w:rPr>
          <w:highlight w:val="white"/>
        </w:rPr>
      </w:pPr>
      <w:r>
        <w:rPr>
          <w:i/>
        </w:rPr>
        <w:t>La cultura en sus diversas manifestacio</w:t>
      </w:r>
      <w:r>
        <w:rPr>
          <w:i/>
        </w:rPr>
        <w:t>nes es fundamento de la nacionalidad. El Estado reconoce la igualdad y dignidad de todas las que conviven en el país. El Estado promoverá la investigación, la ciencia, el desarrollo y la difusión de los valores culturales de la Nación</w:t>
      </w:r>
      <w:r>
        <w:t>”.</w:t>
      </w:r>
    </w:p>
    <w:p w14:paraId="00000095" w14:textId="77777777" w:rsidR="004567EC" w:rsidRDefault="00893D27">
      <w:pPr>
        <w:spacing w:after="240" w:line="276" w:lineRule="auto"/>
        <w:jc w:val="both"/>
      </w:pPr>
      <w:r>
        <w:rPr>
          <w:highlight w:val="white"/>
        </w:rPr>
        <w:t xml:space="preserve">Así mismo, </w:t>
      </w:r>
      <w:r>
        <w:t>el artíc</w:t>
      </w:r>
      <w:r>
        <w:t xml:space="preserve">ulo 27 que establece libertades de enseñanza, aprendizaje, investigación y cátedra, como </w:t>
      </w:r>
      <w:proofErr w:type="spellStart"/>
      <w:r>
        <w:t>garantías</w:t>
      </w:r>
      <w:proofErr w:type="spellEnd"/>
      <w:r>
        <w:t xml:space="preserve"> que contribuyen a asegurar el derecho a la educación. En el artículo 44 expresamente señala entre los derechos fundamentales de los niños, el derecho a la e</w:t>
      </w:r>
      <w:r>
        <w:t>ducación y la cultura.</w:t>
      </w:r>
    </w:p>
    <w:p w14:paraId="00000096" w14:textId="77777777" w:rsidR="004567EC" w:rsidRDefault="00893D27">
      <w:pPr>
        <w:spacing w:after="240" w:line="276" w:lineRule="auto"/>
        <w:jc w:val="both"/>
        <w:rPr>
          <w:highlight w:val="white"/>
        </w:rPr>
      </w:pPr>
      <w:r>
        <w:rPr>
          <w:highlight w:val="white"/>
        </w:rPr>
        <w:t>Sobre el carácter fundamental del derecho a la educación, la Corte Constitucional ha señalado:</w:t>
      </w:r>
    </w:p>
    <w:p w14:paraId="00000097" w14:textId="77777777" w:rsidR="004567EC" w:rsidRDefault="00893D27">
      <w:pPr>
        <w:spacing w:after="240" w:line="276" w:lineRule="auto"/>
        <w:ind w:left="720" w:right="413"/>
        <w:jc w:val="both"/>
        <w:rPr>
          <w:i/>
        </w:rPr>
      </w:pPr>
      <w:r>
        <w:rPr>
          <w:i/>
        </w:rPr>
        <w:t xml:space="preserve">“Este derecho es fundamental y goza de un carácter progresivo. En efecto, su </w:t>
      </w:r>
      <w:proofErr w:type="spellStart"/>
      <w:r>
        <w:rPr>
          <w:i/>
        </w:rPr>
        <w:t>fundamentalidad</w:t>
      </w:r>
      <w:proofErr w:type="spellEnd"/>
      <w:r>
        <w:rPr>
          <w:i/>
        </w:rPr>
        <w:t xml:space="preserve"> está dada por su estrecha relación con la dignidad humana, en su connotación de autonomía individual, ya que su práctica conlleva a la elección de un proyecto de v</w:t>
      </w:r>
      <w:r>
        <w:rPr>
          <w:i/>
        </w:rPr>
        <w:t>ida y la materialización de otros principios y valores propios del ser humano; y su progresividad la determina: i) la obligación del Estado de adoptar  medidas, en un plazo razonable, para lograr una mayor realización del derecho, de manera que la simple a</w:t>
      </w:r>
      <w:r>
        <w:rPr>
          <w:i/>
        </w:rPr>
        <w:t xml:space="preserve">ctitud pasiva de éste se opone al principio en mención (aquí encontramos la obligación del Estado de procurar el acceso progresivo de las personas a las Universidades, mediante la adopción de ciertas estrategias, dentro de las cuales encontramos facilitar </w:t>
      </w:r>
      <w:r>
        <w:rPr>
          <w:i/>
        </w:rPr>
        <w:t>mecanismos financieros que hagan posible el acceso de las personas a la educación superior, así como la garantía de que progresivamente el nivel de cupos disponibles para el acceso al servicio se vayan ampliando); (</w:t>
      </w:r>
      <w:proofErr w:type="spellStart"/>
      <w:r>
        <w:rPr>
          <w:i/>
        </w:rPr>
        <w:t>ii</w:t>
      </w:r>
      <w:proofErr w:type="spellEnd"/>
      <w:r>
        <w:rPr>
          <w:i/>
        </w:rPr>
        <w:t xml:space="preserve">) la obligación de no imponer barreras </w:t>
      </w:r>
      <w:r>
        <w:rPr>
          <w:i/>
        </w:rPr>
        <w:t>injustificadas sobre determinados grupos vulnerables y (</w:t>
      </w:r>
      <w:proofErr w:type="spellStart"/>
      <w:r>
        <w:rPr>
          <w:i/>
        </w:rPr>
        <w:t>iii</w:t>
      </w:r>
      <w:proofErr w:type="spellEnd"/>
      <w:r>
        <w:rPr>
          <w:i/>
        </w:rPr>
        <w:t>) la prohibición de adoptar medidas regresivas para la eficacia del derecho concernido”</w:t>
      </w:r>
      <w:r>
        <w:rPr>
          <w:vertAlign w:val="superscript"/>
        </w:rPr>
        <w:footnoteReference w:id="2"/>
      </w:r>
      <w:r>
        <w:rPr>
          <w:i/>
        </w:rPr>
        <w:t>.</w:t>
      </w:r>
    </w:p>
    <w:p w14:paraId="00000098" w14:textId="77777777" w:rsidR="004567EC" w:rsidRDefault="00893D27">
      <w:pPr>
        <w:widowControl w:val="0"/>
        <w:numPr>
          <w:ilvl w:val="0"/>
          <w:numId w:val="2"/>
        </w:numPr>
        <w:pBdr>
          <w:top w:val="nil"/>
          <w:left w:val="nil"/>
          <w:bottom w:val="nil"/>
          <w:right w:val="nil"/>
          <w:between w:val="nil"/>
        </w:pBdr>
        <w:spacing w:after="240" w:line="276" w:lineRule="auto"/>
        <w:jc w:val="both"/>
        <w:rPr>
          <w:b/>
        </w:rPr>
      </w:pPr>
      <w:r>
        <w:rPr>
          <w:b/>
        </w:rPr>
        <w:t>Diagnóstico y consideraciones.</w:t>
      </w:r>
    </w:p>
    <w:p w14:paraId="00000099" w14:textId="77777777" w:rsidR="004567EC" w:rsidRDefault="00893D27">
      <w:pPr>
        <w:spacing w:after="240" w:line="276" w:lineRule="auto"/>
        <w:jc w:val="both"/>
        <w:rPr>
          <w:color w:val="000000"/>
          <w:highlight w:val="white"/>
        </w:rPr>
      </w:pPr>
      <w:r>
        <w:rPr>
          <w:color w:val="000000"/>
          <w:highlight w:val="white"/>
        </w:rPr>
        <w:t>Desde noviembre de 2019 los jóvenes colombianos han expresado su inconformidad con diferentes aspectos estructurales del país a través de diferentes formas de protesta. Entre los principales reclamos se encuentra la necesidad de modificar las condiciones p</w:t>
      </w:r>
      <w:r>
        <w:rPr>
          <w:color w:val="000000"/>
          <w:highlight w:val="white"/>
        </w:rPr>
        <w:t>ara acceder</w:t>
      </w:r>
      <w:r>
        <w:rPr>
          <w:highlight w:val="white"/>
        </w:rPr>
        <w:t>, mantenerse y terminar</w:t>
      </w:r>
      <w:r>
        <w:rPr>
          <w:color w:val="000000"/>
          <w:highlight w:val="white"/>
        </w:rPr>
        <w:t xml:space="preserve"> la educación superior para aquellos jóvenes que por sus condiciones económicas o sociales resulta más difícil ingresar a una institución técnica, tecnológica o universitaria</w:t>
      </w:r>
      <w:r>
        <w:rPr>
          <w:highlight w:val="white"/>
        </w:rPr>
        <w:t>.</w:t>
      </w:r>
    </w:p>
    <w:p w14:paraId="0000009A" w14:textId="77777777" w:rsidR="004567EC" w:rsidRDefault="00893D27">
      <w:pPr>
        <w:spacing w:after="240" w:line="276" w:lineRule="auto"/>
        <w:jc w:val="both"/>
        <w:rPr>
          <w:color w:val="000000"/>
          <w:highlight w:val="white"/>
        </w:rPr>
      </w:pPr>
      <w:r>
        <w:rPr>
          <w:color w:val="000000"/>
          <w:highlight w:val="white"/>
        </w:rPr>
        <w:lastRenderedPageBreak/>
        <w:t>Tal como se reconoce en el Plan Nacional de De</w:t>
      </w:r>
      <w:r>
        <w:rPr>
          <w:color w:val="000000"/>
          <w:highlight w:val="white"/>
        </w:rPr>
        <w:t xml:space="preserve">sarrollo 2018 – 2022, </w:t>
      </w:r>
      <w:r>
        <w:rPr>
          <w:color w:val="000000"/>
        </w:rPr>
        <w:t>el bajo acceso a educación es una de las principales barreras que limitan la inclusión social y productiva de los jóvenes; apenas el 52,8% de los jóvenes entre los 17 y 21 años acceden a educación superior, de acuerdo con lo allí seña</w:t>
      </w:r>
      <w:r>
        <w:rPr>
          <w:color w:val="000000"/>
        </w:rPr>
        <w:t>lado, los jóvenes no logran acceder de manera oportuna al sistema educativo, y los que logran acceder no lo hacen en condiciones de calidad y pertinencia lo que tiene consecuencias sobre el desarrollo social y productivo de este grupo de población</w:t>
      </w:r>
      <w:r>
        <w:rPr>
          <w:color w:val="000000"/>
          <w:vertAlign w:val="superscript"/>
        </w:rPr>
        <w:footnoteReference w:id="3"/>
      </w:r>
      <w:r>
        <w:t>,</w:t>
      </w:r>
      <w:r>
        <w:rPr>
          <w:color w:val="000000"/>
        </w:rPr>
        <w:t xml:space="preserve"> lo qu</w:t>
      </w:r>
      <w:r>
        <w:rPr>
          <w:color w:val="000000"/>
        </w:rPr>
        <w:t>e, adem</w:t>
      </w:r>
      <w:r>
        <w:t>ás, termina contribuyendo a la deserción de estos jóvenes quienes ven limitadas sus posibilidades de movilidad social a través de mejores ingresos en el futuro .</w:t>
      </w:r>
    </w:p>
    <w:p w14:paraId="0000009B" w14:textId="77777777" w:rsidR="004567EC" w:rsidRDefault="00893D27">
      <w:pPr>
        <w:spacing w:after="240" w:line="276" w:lineRule="auto"/>
        <w:jc w:val="both"/>
        <w:rPr>
          <w:color w:val="000000"/>
        </w:rPr>
      </w:pPr>
      <w:r>
        <w:rPr>
          <w:color w:val="000000"/>
          <w:highlight w:val="white"/>
        </w:rPr>
        <w:t xml:space="preserve">De acuerdo con el Plan Nacional de Desarrollo vigente, </w:t>
      </w:r>
      <w:r>
        <w:rPr>
          <w:color w:val="000000"/>
        </w:rPr>
        <w:t xml:space="preserve">las actividades que desarrollan </w:t>
      </w:r>
      <w:r>
        <w:rPr>
          <w:color w:val="000000"/>
        </w:rPr>
        <w:t>los jóvenes también están relacionadas con sus ingresos; el 85,9 % de los jóvenes que ni estudian ni trabajan son pobres o están en situación de vulnerabilidad. Así mismo, el 62,6 % de los jóvenes que dedican su tiempo únicamente a trabajar están en situac</w:t>
      </w:r>
      <w:r>
        <w:rPr>
          <w:color w:val="000000"/>
        </w:rPr>
        <w:t>ión de pobreza o vulnerabilidad</w:t>
      </w:r>
      <w:r>
        <w:rPr>
          <w:color w:val="000000"/>
          <w:vertAlign w:val="superscript"/>
        </w:rPr>
        <w:footnoteReference w:id="4"/>
      </w:r>
      <w:r>
        <w:rPr>
          <w:color w:val="000000"/>
        </w:rPr>
        <w:t xml:space="preserve">. </w:t>
      </w:r>
    </w:p>
    <w:p w14:paraId="0000009C" w14:textId="77777777" w:rsidR="004567EC" w:rsidRDefault="00893D27">
      <w:pPr>
        <w:spacing w:after="240" w:line="276" w:lineRule="auto"/>
        <w:jc w:val="center"/>
        <w:rPr>
          <w:color w:val="000000"/>
          <w:highlight w:val="white"/>
        </w:rPr>
      </w:pPr>
      <w:r>
        <w:rPr>
          <w:noProof/>
          <w:color w:val="000000"/>
        </w:rPr>
        <w:drawing>
          <wp:inline distT="0" distB="0" distL="0" distR="0">
            <wp:extent cx="3389114" cy="2114073"/>
            <wp:effectExtent l="0" t="0" r="0" b="0"/>
            <wp:docPr id="7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389114" cy="2114073"/>
                    </a:xfrm>
                    <a:prstGeom prst="rect">
                      <a:avLst/>
                    </a:prstGeom>
                    <a:ln/>
                  </pic:spPr>
                </pic:pic>
              </a:graphicData>
            </a:graphic>
          </wp:inline>
        </w:drawing>
      </w:r>
    </w:p>
    <w:p w14:paraId="0000009D" w14:textId="77777777" w:rsidR="004567EC" w:rsidRDefault="00893D27">
      <w:pPr>
        <w:spacing w:after="240" w:line="276" w:lineRule="auto"/>
        <w:jc w:val="both"/>
        <w:rPr>
          <w:color w:val="000000"/>
          <w:highlight w:val="white"/>
        </w:rPr>
      </w:pPr>
      <w:r>
        <w:rPr>
          <w:color w:val="000000"/>
          <w:highlight w:val="white"/>
        </w:rPr>
        <w:t>Si bien Colombia ha avanzado en cobertura de educación superior, pasando de un 39,01% en 2010 a un 52,2% en 2019</w:t>
      </w:r>
      <w:r>
        <w:rPr>
          <w:color w:val="000000"/>
          <w:highlight w:val="white"/>
          <w:vertAlign w:val="superscript"/>
        </w:rPr>
        <w:footnoteReference w:id="5"/>
      </w:r>
      <w:r>
        <w:rPr>
          <w:color w:val="000000"/>
          <w:highlight w:val="white"/>
        </w:rPr>
        <w:t>, este incremento no se ha dado de forma equitativa para todo el país. Departamentos como Arauca, San An</w:t>
      </w:r>
      <w:r>
        <w:rPr>
          <w:color w:val="000000"/>
          <w:highlight w:val="white"/>
        </w:rPr>
        <w:t>drés y Providencia, Amazonas, Guainía, Guaviare, Vaupés y Vichada registran cifras decrecientes de cobertura. Otros departamentos como Casanare y Putumayo muestran un aumento mínimo de este indicador, como se evidencia a continuación:</w:t>
      </w:r>
    </w:p>
    <w:tbl>
      <w:tblPr>
        <w:tblStyle w:val="a8"/>
        <w:tblW w:w="8931" w:type="dxa"/>
        <w:tblInd w:w="0" w:type="dxa"/>
        <w:tblLayout w:type="fixed"/>
        <w:tblLook w:val="0400" w:firstRow="0" w:lastRow="0" w:firstColumn="0" w:lastColumn="0" w:noHBand="0" w:noVBand="1"/>
      </w:tblPr>
      <w:tblGrid>
        <w:gridCol w:w="8931"/>
      </w:tblGrid>
      <w:tr w:rsidR="004567EC" w14:paraId="0A13778E" w14:textId="77777777">
        <w:trPr>
          <w:trHeight w:val="51"/>
        </w:trPr>
        <w:tc>
          <w:tcPr>
            <w:tcW w:w="8931" w:type="dxa"/>
            <w:shd w:val="clear" w:color="auto" w:fill="F2F2F2"/>
            <w:tcMar>
              <w:top w:w="20" w:type="dxa"/>
              <w:left w:w="20" w:type="dxa"/>
              <w:bottom w:w="20" w:type="dxa"/>
              <w:right w:w="20" w:type="dxa"/>
            </w:tcMar>
            <w:vAlign w:val="bottom"/>
          </w:tcPr>
          <w:p w14:paraId="0000009E" w14:textId="77777777" w:rsidR="004567EC" w:rsidRDefault="00893D27">
            <w:r>
              <w:rPr>
                <w:b/>
                <w:color w:val="000000"/>
              </w:rPr>
              <w:t xml:space="preserve">Tasa de cobertura en </w:t>
            </w:r>
            <w:r>
              <w:rPr>
                <w:b/>
                <w:color w:val="000000"/>
              </w:rPr>
              <w:t>educación superior por departamento</w:t>
            </w:r>
          </w:p>
        </w:tc>
      </w:tr>
      <w:tr w:rsidR="004567EC" w14:paraId="27DE3F21" w14:textId="77777777">
        <w:trPr>
          <w:trHeight w:val="51"/>
        </w:trPr>
        <w:tc>
          <w:tcPr>
            <w:tcW w:w="8931" w:type="dxa"/>
            <w:shd w:val="clear" w:color="auto" w:fill="F2F2F2"/>
            <w:tcMar>
              <w:top w:w="20" w:type="dxa"/>
              <w:left w:w="20" w:type="dxa"/>
              <w:bottom w:w="20" w:type="dxa"/>
              <w:right w:w="20" w:type="dxa"/>
            </w:tcMar>
            <w:vAlign w:val="bottom"/>
          </w:tcPr>
          <w:p w14:paraId="0000009F" w14:textId="77777777" w:rsidR="004567EC" w:rsidRDefault="00893D27">
            <w:pPr>
              <w:rPr>
                <w:b/>
                <w:color w:val="000000"/>
              </w:rPr>
            </w:pPr>
            <w:r>
              <w:rPr>
                <w:b/>
                <w:color w:val="000000"/>
              </w:rPr>
              <w:t>Información nacional 2010 - 2019 </w:t>
            </w:r>
          </w:p>
        </w:tc>
      </w:tr>
    </w:tbl>
    <w:p w14:paraId="000000A0" w14:textId="77777777" w:rsidR="004567EC" w:rsidRDefault="004567EC"/>
    <w:tbl>
      <w:tblPr>
        <w:tblStyle w:val="a9"/>
        <w:tblW w:w="9006" w:type="dxa"/>
        <w:tblInd w:w="0" w:type="dxa"/>
        <w:tblLayout w:type="fixed"/>
        <w:tblLook w:val="0400" w:firstRow="0" w:lastRow="0" w:firstColumn="0" w:lastColumn="0" w:noHBand="0" w:noVBand="1"/>
      </w:tblPr>
      <w:tblGrid>
        <w:gridCol w:w="1416"/>
        <w:gridCol w:w="764"/>
        <w:gridCol w:w="764"/>
        <w:gridCol w:w="764"/>
        <w:gridCol w:w="763"/>
        <w:gridCol w:w="763"/>
        <w:gridCol w:w="763"/>
        <w:gridCol w:w="763"/>
        <w:gridCol w:w="763"/>
        <w:gridCol w:w="674"/>
        <w:gridCol w:w="809"/>
      </w:tblGrid>
      <w:tr w:rsidR="004567EC" w14:paraId="1428A5D7" w14:textId="77777777">
        <w:trPr>
          <w:trHeight w:val="257"/>
        </w:trPr>
        <w:tc>
          <w:tcPr>
            <w:tcW w:w="1417" w:type="dxa"/>
            <w:tcBorders>
              <w:top w:val="single" w:sz="8" w:space="0" w:color="000000"/>
              <w:bottom w:val="single" w:sz="8" w:space="0" w:color="000000"/>
            </w:tcBorders>
            <w:shd w:val="clear" w:color="auto" w:fill="A6A6A6"/>
            <w:tcMar>
              <w:top w:w="20" w:type="dxa"/>
              <w:left w:w="20" w:type="dxa"/>
              <w:bottom w:w="20" w:type="dxa"/>
              <w:right w:w="20" w:type="dxa"/>
            </w:tcMar>
            <w:vAlign w:val="center"/>
          </w:tcPr>
          <w:p w14:paraId="000000A1" w14:textId="77777777" w:rsidR="004567EC" w:rsidRDefault="00893D27">
            <w:r>
              <w:rPr>
                <w:b/>
                <w:color w:val="000000"/>
              </w:rPr>
              <w:t>DEPARTAMENTO</w:t>
            </w:r>
          </w:p>
        </w:tc>
        <w:tc>
          <w:tcPr>
            <w:tcW w:w="764" w:type="dxa"/>
            <w:tcBorders>
              <w:top w:val="single" w:sz="8" w:space="0" w:color="000000"/>
              <w:bottom w:val="single" w:sz="8" w:space="0" w:color="000000"/>
            </w:tcBorders>
            <w:shd w:val="clear" w:color="auto" w:fill="A6A6A6"/>
            <w:tcMar>
              <w:top w:w="20" w:type="dxa"/>
              <w:left w:w="20" w:type="dxa"/>
              <w:bottom w:w="20" w:type="dxa"/>
              <w:right w:w="20" w:type="dxa"/>
            </w:tcMar>
            <w:vAlign w:val="center"/>
          </w:tcPr>
          <w:p w14:paraId="000000A2" w14:textId="77777777" w:rsidR="004567EC" w:rsidRDefault="00893D27">
            <w:pPr>
              <w:jc w:val="center"/>
            </w:pPr>
            <w:r>
              <w:rPr>
                <w:b/>
                <w:color w:val="000000"/>
              </w:rPr>
              <w:t>2010</w:t>
            </w:r>
          </w:p>
        </w:tc>
        <w:tc>
          <w:tcPr>
            <w:tcW w:w="764" w:type="dxa"/>
            <w:tcBorders>
              <w:top w:val="single" w:sz="8" w:space="0" w:color="000000"/>
              <w:bottom w:val="single" w:sz="8" w:space="0" w:color="000000"/>
            </w:tcBorders>
            <w:shd w:val="clear" w:color="auto" w:fill="A6A6A6"/>
            <w:tcMar>
              <w:top w:w="20" w:type="dxa"/>
              <w:left w:w="20" w:type="dxa"/>
              <w:bottom w:w="20" w:type="dxa"/>
              <w:right w:w="20" w:type="dxa"/>
            </w:tcMar>
            <w:vAlign w:val="center"/>
          </w:tcPr>
          <w:p w14:paraId="000000A3" w14:textId="77777777" w:rsidR="004567EC" w:rsidRDefault="00893D27">
            <w:pPr>
              <w:jc w:val="center"/>
            </w:pPr>
            <w:r>
              <w:rPr>
                <w:b/>
                <w:color w:val="000000"/>
              </w:rPr>
              <w:t>2011</w:t>
            </w:r>
          </w:p>
        </w:tc>
        <w:tc>
          <w:tcPr>
            <w:tcW w:w="764" w:type="dxa"/>
            <w:tcBorders>
              <w:top w:val="single" w:sz="8" w:space="0" w:color="000000"/>
              <w:bottom w:val="single" w:sz="8" w:space="0" w:color="000000"/>
            </w:tcBorders>
            <w:shd w:val="clear" w:color="auto" w:fill="A6A6A6"/>
            <w:tcMar>
              <w:top w:w="20" w:type="dxa"/>
              <w:left w:w="20" w:type="dxa"/>
              <w:bottom w:w="20" w:type="dxa"/>
              <w:right w:w="20" w:type="dxa"/>
            </w:tcMar>
            <w:vAlign w:val="center"/>
          </w:tcPr>
          <w:p w14:paraId="000000A4" w14:textId="77777777" w:rsidR="004567EC" w:rsidRDefault="00893D27">
            <w:pPr>
              <w:jc w:val="center"/>
            </w:pPr>
            <w:r>
              <w:rPr>
                <w:b/>
                <w:color w:val="000000"/>
              </w:rPr>
              <w:t>2012</w:t>
            </w:r>
          </w:p>
        </w:tc>
        <w:tc>
          <w:tcPr>
            <w:tcW w:w="763" w:type="dxa"/>
            <w:tcBorders>
              <w:top w:val="single" w:sz="8" w:space="0" w:color="000000"/>
              <w:bottom w:val="single" w:sz="8" w:space="0" w:color="000000"/>
            </w:tcBorders>
            <w:shd w:val="clear" w:color="auto" w:fill="A6A6A6"/>
            <w:tcMar>
              <w:top w:w="20" w:type="dxa"/>
              <w:left w:w="20" w:type="dxa"/>
              <w:bottom w:w="20" w:type="dxa"/>
              <w:right w:w="20" w:type="dxa"/>
            </w:tcMar>
            <w:vAlign w:val="center"/>
          </w:tcPr>
          <w:p w14:paraId="000000A5" w14:textId="77777777" w:rsidR="004567EC" w:rsidRDefault="00893D27">
            <w:pPr>
              <w:jc w:val="center"/>
            </w:pPr>
            <w:r>
              <w:rPr>
                <w:b/>
                <w:color w:val="000000"/>
              </w:rPr>
              <w:t>2013</w:t>
            </w:r>
          </w:p>
        </w:tc>
        <w:tc>
          <w:tcPr>
            <w:tcW w:w="763" w:type="dxa"/>
            <w:tcBorders>
              <w:top w:val="single" w:sz="8" w:space="0" w:color="000000"/>
              <w:bottom w:val="single" w:sz="8" w:space="0" w:color="000000"/>
            </w:tcBorders>
            <w:shd w:val="clear" w:color="auto" w:fill="A6A6A6"/>
            <w:tcMar>
              <w:top w:w="20" w:type="dxa"/>
              <w:left w:w="20" w:type="dxa"/>
              <w:bottom w:w="20" w:type="dxa"/>
              <w:right w:w="20" w:type="dxa"/>
            </w:tcMar>
            <w:vAlign w:val="center"/>
          </w:tcPr>
          <w:p w14:paraId="000000A6" w14:textId="77777777" w:rsidR="004567EC" w:rsidRDefault="00893D27">
            <w:pPr>
              <w:jc w:val="center"/>
            </w:pPr>
            <w:r>
              <w:rPr>
                <w:b/>
                <w:color w:val="000000"/>
              </w:rPr>
              <w:t>2014</w:t>
            </w:r>
          </w:p>
        </w:tc>
        <w:tc>
          <w:tcPr>
            <w:tcW w:w="763" w:type="dxa"/>
            <w:tcBorders>
              <w:top w:val="single" w:sz="8" w:space="0" w:color="000000"/>
              <w:bottom w:val="single" w:sz="8" w:space="0" w:color="000000"/>
            </w:tcBorders>
            <w:shd w:val="clear" w:color="auto" w:fill="A6A6A6"/>
            <w:tcMar>
              <w:top w:w="20" w:type="dxa"/>
              <w:left w:w="20" w:type="dxa"/>
              <w:bottom w:w="20" w:type="dxa"/>
              <w:right w:w="20" w:type="dxa"/>
            </w:tcMar>
            <w:vAlign w:val="center"/>
          </w:tcPr>
          <w:p w14:paraId="000000A7" w14:textId="77777777" w:rsidR="004567EC" w:rsidRDefault="00893D27">
            <w:pPr>
              <w:jc w:val="center"/>
            </w:pPr>
            <w:r>
              <w:rPr>
                <w:b/>
                <w:color w:val="000000"/>
              </w:rPr>
              <w:t>2015</w:t>
            </w:r>
          </w:p>
        </w:tc>
        <w:tc>
          <w:tcPr>
            <w:tcW w:w="763" w:type="dxa"/>
            <w:tcBorders>
              <w:top w:val="single" w:sz="8" w:space="0" w:color="000000"/>
              <w:bottom w:val="single" w:sz="8" w:space="0" w:color="000000"/>
            </w:tcBorders>
            <w:shd w:val="clear" w:color="auto" w:fill="A6A6A6"/>
            <w:tcMar>
              <w:top w:w="20" w:type="dxa"/>
              <w:left w:w="20" w:type="dxa"/>
              <w:bottom w:w="20" w:type="dxa"/>
              <w:right w:w="20" w:type="dxa"/>
            </w:tcMar>
            <w:vAlign w:val="center"/>
          </w:tcPr>
          <w:p w14:paraId="000000A8" w14:textId="77777777" w:rsidR="004567EC" w:rsidRDefault="00893D27">
            <w:pPr>
              <w:jc w:val="center"/>
            </w:pPr>
            <w:r>
              <w:rPr>
                <w:b/>
                <w:color w:val="000000"/>
              </w:rPr>
              <w:t>2016</w:t>
            </w:r>
          </w:p>
        </w:tc>
        <w:tc>
          <w:tcPr>
            <w:tcW w:w="763" w:type="dxa"/>
            <w:tcBorders>
              <w:top w:val="single" w:sz="8" w:space="0" w:color="000000"/>
              <w:bottom w:val="single" w:sz="8" w:space="0" w:color="000000"/>
            </w:tcBorders>
            <w:shd w:val="clear" w:color="auto" w:fill="A6A6A6"/>
            <w:tcMar>
              <w:top w:w="20" w:type="dxa"/>
              <w:left w:w="20" w:type="dxa"/>
              <w:bottom w:w="20" w:type="dxa"/>
              <w:right w:w="20" w:type="dxa"/>
            </w:tcMar>
            <w:vAlign w:val="center"/>
          </w:tcPr>
          <w:p w14:paraId="000000A9" w14:textId="77777777" w:rsidR="004567EC" w:rsidRDefault="00893D27">
            <w:pPr>
              <w:jc w:val="center"/>
            </w:pPr>
            <w:r>
              <w:rPr>
                <w:b/>
                <w:color w:val="000000"/>
              </w:rPr>
              <w:t>2017</w:t>
            </w:r>
          </w:p>
        </w:tc>
        <w:tc>
          <w:tcPr>
            <w:tcW w:w="674" w:type="dxa"/>
            <w:tcBorders>
              <w:top w:val="single" w:sz="8" w:space="0" w:color="000000"/>
              <w:bottom w:val="single" w:sz="8" w:space="0" w:color="000000"/>
            </w:tcBorders>
            <w:shd w:val="clear" w:color="auto" w:fill="A6A6A6"/>
            <w:tcMar>
              <w:top w:w="20" w:type="dxa"/>
              <w:left w:w="20" w:type="dxa"/>
              <w:bottom w:w="20" w:type="dxa"/>
              <w:right w:w="20" w:type="dxa"/>
            </w:tcMar>
            <w:vAlign w:val="center"/>
          </w:tcPr>
          <w:p w14:paraId="000000AA" w14:textId="77777777" w:rsidR="004567EC" w:rsidRDefault="00893D27">
            <w:pPr>
              <w:jc w:val="center"/>
            </w:pPr>
            <w:r>
              <w:rPr>
                <w:b/>
                <w:color w:val="000000"/>
              </w:rPr>
              <w:t>2018</w:t>
            </w:r>
          </w:p>
        </w:tc>
        <w:tc>
          <w:tcPr>
            <w:tcW w:w="809" w:type="dxa"/>
            <w:tcBorders>
              <w:top w:val="single" w:sz="8" w:space="0" w:color="000000"/>
              <w:bottom w:val="single" w:sz="8" w:space="0" w:color="000000"/>
            </w:tcBorders>
            <w:shd w:val="clear" w:color="auto" w:fill="A6A6A6"/>
            <w:tcMar>
              <w:top w:w="20" w:type="dxa"/>
              <w:left w:w="20" w:type="dxa"/>
              <w:bottom w:w="20" w:type="dxa"/>
              <w:right w:w="20" w:type="dxa"/>
            </w:tcMar>
            <w:vAlign w:val="center"/>
          </w:tcPr>
          <w:p w14:paraId="000000AB" w14:textId="77777777" w:rsidR="004567EC" w:rsidRDefault="00893D27">
            <w:pPr>
              <w:jc w:val="center"/>
            </w:pPr>
            <w:r>
              <w:rPr>
                <w:b/>
                <w:color w:val="000000"/>
              </w:rPr>
              <w:t>2019</w:t>
            </w:r>
          </w:p>
        </w:tc>
      </w:tr>
      <w:tr w:rsidR="004567EC" w14:paraId="766EDC34" w14:textId="77777777">
        <w:trPr>
          <w:trHeight w:val="315"/>
        </w:trPr>
        <w:tc>
          <w:tcPr>
            <w:tcW w:w="1417" w:type="dxa"/>
            <w:tcBorders>
              <w:top w:val="single" w:sz="8" w:space="0" w:color="000000"/>
            </w:tcBorders>
            <w:shd w:val="clear" w:color="auto" w:fill="D9D9D9"/>
            <w:tcMar>
              <w:top w:w="20" w:type="dxa"/>
              <w:left w:w="20" w:type="dxa"/>
              <w:bottom w:w="20" w:type="dxa"/>
              <w:right w:w="20" w:type="dxa"/>
            </w:tcMar>
            <w:vAlign w:val="center"/>
          </w:tcPr>
          <w:p w14:paraId="000000AC" w14:textId="77777777" w:rsidR="004567EC" w:rsidRDefault="00893D27">
            <w:r>
              <w:rPr>
                <w:color w:val="000000"/>
              </w:rPr>
              <w:t>ANTIOQUIA</w:t>
            </w:r>
          </w:p>
        </w:tc>
        <w:tc>
          <w:tcPr>
            <w:tcW w:w="764" w:type="dxa"/>
            <w:tcBorders>
              <w:top w:val="single" w:sz="8" w:space="0" w:color="000000"/>
            </w:tcBorders>
            <w:shd w:val="clear" w:color="auto" w:fill="D9D9D9"/>
            <w:tcMar>
              <w:top w:w="20" w:type="dxa"/>
              <w:left w:w="20" w:type="dxa"/>
              <w:bottom w:w="20" w:type="dxa"/>
              <w:right w:w="20" w:type="dxa"/>
            </w:tcMar>
            <w:vAlign w:val="center"/>
          </w:tcPr>
          <w:p w14:paraId="000000AD" w14:textId="77777777" w:rsidR="004567EC" w:rsidRDefault="00893D27">
            <w:pPr>
              <w:jc w:val="center"/>
            </w:pPr>
            <w:r>
              <w:rPr>
                <w:color w:val="000000"/>
              </w:rPr>
              <w:t>44,0%</w:t>
            </w:r>
          </w:p>
        </w:tc>
        <w:tc>
          <w:tcPr>
            <w:tcW w:w="764" w:type="dxa"/>
            <w:tcBorders>
              <w:top w:val="single" w:sz="8" w:space="0" w:color="000000"/>
            </w:tcBorders>
            <w:shd w:val="clear" w:color="auto" w:fill="D9D9D9"/>
            <w:tcMar>
              <w:top w:w="20" w:type="dxa"/>
              <w:left w:w="20" w:type="dxa"/>
              <w:bottom w:w="20" w:type="dxa"/>
              <w:right w:w="20" w:type="dxa"/>
            </w:tcMar>
            <w:vAlign w:val="center"/>
          </w:tcPr>
          <w:p w14:paraId="000000AE" w14:textId="77777777" w:rsidR="004567EC" w:rsidRDefault="00893D27">
            <w:pPr>
              <w:jc w:val="center"/>
            </w:pPr>
            <w:r>
              <w:rPr>
                <w:color w:val="000000"/>
              </w:rPr>
              <w:t>47,5%</w:t>
            </w:r>
          </w:p>
        </w:tc>
        <w:tc>
          <w:tcPr>
            <w:tcW w:w="764" w:type="dxa"/>
            <w:tcBorders>
              <w:top w:val="single" w:sz="8" w:space="0" w:color="000000"/>
            </w:tcBorders>
            <w:shd w:val="clear" w:color="auto" w:fill="D9D9D9"/>
            <w:tcMar>
              <w:top w:w="20" w:type="dxa"/>
              <w:left w:w="20" w:type="dxa"/>
              <w:bottom w:w="20" w:type="dxa"/>
              <w:right w:w="20" w:type="dxa"/>
            </w:tcMar>
            <w:vAlign w:val="center"/>
          </w:tcPr>
          <w:p w14:paraId="000000AF" w14:textId="77777777" w:rsidR="004567EC" w:rsidRDefault="00893D27">
            <w:pPr>
              <w:jc w:val="center"/>
            </w:pPr>
            <w:r>
              <w:rPr>
                <w:color w:val="000000"/>
              </w:rPr>
              <w:t>48,3%</w:t>
            </w:r>
          </w:p>
        </w:tc>
        <w:tc>
          <w:tcPr>
            <w:tcW w:w="763" w:type="dxa"/>
            <w:tcBorders>
              <w:top w:val="single" w:sz="8" w:space="0" w:color="000000"/>
            </w:tcBorders>
            <w:shd w:val="clear" w:color="auto" w:fill="D9D9D9"/>
            <w:tcMar>
              <w:top w:w="20" w:type="dxa"/>
              <w:left w:w="20" w:type="dxa"/>
              <w:bottom w:w="20" w:type="dxa"/>
              <w:right w:w="20" w:type="dxa"/>
            </w:tcMar>
            <w:vAlign w:val="center"/>
          </w:tcPr>
          <w:p w14:paraId="000000B0" w14:textId="77777777" w:rsidR="004567EC" w:rsidRDefault="00893D27">
            <w:pPr>
              <w:jc w:val="center"/>
            </w:pPr>
            <w:r>
              <w:rPr>
                <w:color w:val="000000"/>
              </w:rPr>
              <w:t>51,4%</w:t>
            </w:r>
          </w:p>
        </w:tc>
        <w:tc>
          <w:tcPr>
            <w:tcW w:w="763" w:type="dxa"/>
            <w:tcBorders>
              <w:top w:val="single" w:sz="8" w:space="0" w:color="000000"/>
            </w:tcBorders>
            <w:shd w:val="clear" w:color="auto" w:fill="D9D9D9"/>
            <w:tcMar>
              <w:top w:w="20" w:type="dxa"/>
              <w:left w:w="20" w:type="dxa"/>
              <w:bottom w:w="20" w:type="dxa"/>
              <w:right w:w="20" w:type="dxa"/>
            </w:tcMar>
            <w:vAlign w:val="center"/>
          </w:tcPr>
          <w:p w14:paraId="000000B1" w14:textId="77777777" w:rsidR="004567EC" w:rsidRDefault="00893D27">
            <w:pPr>
              <w:jc w:val="center"/>
            </w:pPr>
            <w:r>
              <w:rPr>
                <w:color w:val="000000"/>
              </w:rPr>
              <w:t>53,1%</w:t>
            </w:r>
          </w:p>
        </w:tc>
        <w:tc>
          <w:tcPr>
            <w:tcW w:w="763" w:type="dxa"/>
            <w:tcBorders>
              <w:top w:val="single" w:sz="8" w:space="0" w:color="000000"/>
            </w:tcBorders>
            <w:shd w:val="clear" w:color="auto" w:fill="D9D9D9"/>
            <w:tcMar>
              <w:top w:w="20" w:type="dxa"/>
              <w:left w:w="20" w:type="dxa"/>
              <w:bottom w:w="20" w:type="dxa"/>
              <w:right w:w="20" w:type="dxa"/>
            </w:tcMar>
            <w:vAlign w:val="center"/>
          </w:tcPr>
          <w:p w14:paraId="000000B2" w14:textId="77777777" w:rsidR="004567EC" w:rsidRDefault="00893D27">
            <w:pPr>
              <w:jc w:val="center"/>
            </w:pPr>
            <w:r>
              <w:rPr>
                <w:color w:val="000000"/>
              </w:rPr>
              <w:t>54,4%</w:t>
            </w:r>
          </w:p>
        </w:tc>
        <w:tc>
          <w:tcPr>
            <w:tcW w:w="763" w:type="dxa"/>
            <w:tcBorders>
              <w:top w:val="single" w:sz="8" w:space="0" w:color="000000"/>
            </w:tcBorders>
            <w:shd w:val="clear" w:color="auto" w:fill="D9D9D9"/>
            <w:tcMar>
              <w:top w:w="20" w:type="dxa"/>
              <w:left w:w="20" w:type="dxa"/>
              <w:bottom w:w="20" w:type="dxa"/>
              <w:right w:w="20" w:type="dxa"/>
            </w:tcMar>
            <w:vAlign w:val="center"/>
          </w:tcPr>
          <w:p w14:paraId="000000B3" w14:textId="77777777" w:rsidR="004567EC" w:rsidRDefault="00893D27">
            <w:pPr>
              <w:jc w:val="center"/>
            </w:pPr>
            <w:r>
              <w:rPr>
                <w:color w:val="000000"/>
              </w:rPr>
              <w:t>56,1%</w:t>
            </w:r>
          </w:p>
        </w:tc>
        <w:tc>
          <w:tcPr>
            <w:tcW w:w="763" w:type="dxa"/>
            <w:tcBorders>
              <w:top w:val="single" w:sz="8" w:space="0" w:color="000000"/>
            </w:tcBorders>
            <w:shd w:val="clear" w:color="auto" w:fill="D9D9D9"/>
            <w:tcMar>
              <w:top w:w="20" w:type="dxa"/>
              <w:left w:w="20" w:type="dxa"/>
              <w:bottom w:w="20" w:type="dxa"/>
              <w:right w:w="20" w:type="dxa"/>
            </w:tcMar>
            <w:vAlign w:val="center"/>
          </w:tcPr>
          <w:p w14:paraId="000000B4" w14:textId="77777777" w:rsidR="004567EC" w:rsidRDefault="00893D27">
            <w:pPr>
              <w:jc w:val="center"/>
            </w:pPr>
            <w:r>
              <w:rPr>
                <w:color w:val="000000"/>
              </w:rPr>
              <w:t>57,8%</w:t>
            </w:r>
          </w:p>
        </w:tc>
        <w:tc>
          <w:tcPr>
            <w:tcW w:w="674" w:type="dxa"/>
            <w:tcBorders>
              <w:top w:val="single" w:sz="8" w:space="0" w:color="000000"/>
            </w:tcBorders>
            <w:shd w:val="clear" w:color="auto" w:fill="D9D9D9"/>
            <w:tcMar>
              <w:top w:w="20" w:type="dxa"/>
              <w:left w:w="20" w:type="dxa"/>
              <w:bottom w:w="20" w:type="dxa"/>
              <w:right w:w="20" w:type="dxa"/>
            </w:tcMar>
            <w:vAlign w:val="center"/>
          </w:tcPr>
          <w:p w14:paraId="000000B5" w14:textId="77777777" w:rsidR="004567EC" w:rsidRDefault="00893D27">
            <w:pPr>
              <w:jc w:val="center"/>
            </w:pPr>
            <w:r>
              <w:rPr>
                <w:color w:val="000000"/>
              </w:rPr>
              <w:t>58,2%</w:t>
            </w:r>
          </w:p>
        </w:tc>
        <w:tc>
          <w:tcPr>
            <w:tcW w:w="809" w:type="dxa"/>
            <w:tcBorders>
              <w:top w:val="single" w:sz="8" w:space="0" w:color="000000"/>
            </w:tcBorders>
            <w:shd w:val="clear" w:color="auto" w:fill="D9D9D9"/>
            <w:tcMar>
              <w:top w:w="20" w:type="dxa"/>
              <w:left w:w="20" w:type="dxa"/>
              <w:bottom w:w="20" w:type="dxa"/>
              <w:right w:w="20" w:type="dxa"/>
            </w:tcMar>
            <w:vAlign w:val="center"/>
          </w:tcPr>
          <w:p w14:paraId="000000B6" w14:textId="77777777" w:rsidR="004567EC" w:rsidRDefault="00893D27">
            <w:pPr>
              <w:jc w:val="center"/>
            </w:pPr>
            <w:r>
              <w:rPr>
                <w:color w:val="000000"/>
              </w:rPr>
              <w:t>56,4%</w:t>
            </w:r>
          </w:p>
        </w:tc>
      </w:tr>
      <w:tr w:rsidR="004567EC" w14:paraId="1602B273" w14:textId="77777777">
        <w:trPr>
          <w:trHeight w:val="300"/>
        </w:trPr>
        <w:tc>
          <w:tcPr>
            <w:tcW w:w="1417" w:type="dxa"/>
            <w:tcMar>
              <w:top w:w="20" w:type="dxa"/>
              <w:left w:w="20" w:type="dxa"/>
              <w:bottom w:w="20" w:type="dxa"/>
              <w:right w:w="20" w:type="dxa"/>
            </w:tcMar>
            <w:vAlign w:val="center"/>
          </w:tcPr>
          <w:p w14:paraId="000000B7" w14:textId="77777777" w:rsidR="004567EC" w:rsidRDefault="00893D27">
            <w:r>
              <w:rPr>
                <w:color w:val="000000"/>
              </w:rPr>
              <w:t>ATLANTICO</w:t>
            </w:r>
          </w:p>
        </w:tc>
        <w:tc>
          <w:tcPr>
            <w:tcW w:w="764" w:type="dxa"/>
            <w:tcMar>
              <w:top w:w="20" w:type="dxa"/>
              <w:left w:w="20" w:type="dxa"/>
              <w:bottom w:w="20" w:type="dxa"/>
              <w:right w:w="20" w:type="dxa"/>
            </w:tcMar>
            <w:vAlign w:val="center"/>
          </w:tcPr>
          <w:p w14:paraId="000000B8" w14:textId="77777777" w:rsidR="004567EC" w:rsidRDefault="00893D27">
            <w:pPr>
              <w:jc w:val="center"/>
            </w:pPr>
            <w:r>
              <w:rPr>
                <w:color w:val="000000"/>
              </w:rPr>
              <w:t>38,6%</w:t>
            </w:r>
          </w:p>
        </w:tc>
        <w:tc>
          <w:tcPr>
            <w:tcW w:w="764" w:type="dxa"/>
            <w:tcMar>
              <w:top w:w="20" w:type="dxa"/>
              <w:left w:w="20" w:type="dxa"/>
              <w:bottom w:w="20" w:type="dxa"/>
              <w:right w:w="20" w:type="dxa"/>
            </w:tcMar>
            <w:vAlign w:val="center"/>
          </w:tcPr>
          <w:p w14:paraId="000000B9" w14:textId="77777777" w:rsidR="004567EC" w:rsidRDefault="00893D27">
            <w:pPr>
              <w:jc w:val="center"/>
            </w:pPr>
            <w:r>
              <w:rPr>
                <w:color w:val="000000"/>
              </w:rPr>
              <w:t>40,9%</w:t>
            </w:r>
          </w:p>
        </w:tc>
        <w:tc>
          <w:tcPr>
            <w:tcW w:w="764" w:type="dxa"/>
            <w:tcMar>
              <w:top w:w="20" w:type="dxa"/>
              <w:left w:w="20" w:type="dxa"/>
              <w:bottom w:w="20" w:type="dxa"/>
              <w:right w:w="20" w:type="dxa"/>
            </w:tcMar>
            <w:vAlign w:val="center"/>
          </w:tcPr>
          <w:p w14:paraId="000000BA" w14:textId="77777777" w:rsidR="004567EC" w:rsidRDefault="00893D27">
            <w:pPr>
              <w:jc w:val="center"/>
            </w:pPr>
            <w:r>
              <w:rPr>
                <w:color w:val="000000"/>
              </w:rPr>
              <w:t>42,8%</w:t>
            </w:r>
          </w:p>
        </w:tc>
        <w:tc>
          <w:tcPr>
            <w:tcW w:w="763" w:type="dxa"/>
            <w:tcMar>
              <w:top w:w="20" w:type="dxa"/>
              <w:left w:w="20" w:type="dxa"/>
              <w:bottom w:w="20" w:type="dxa"/>
              <w:right w:w="20" w:type="dxa"/>
            </w:tcMar>
            <w:vAlign w:val="center"/>
          </w:tcPr>
          <w:p w14:paraId="000000BB" w14:textId="77777777" w:rsidR="004567EC" w:rsidRDefault="00893D27">
            <w:pPr>
              <w:jc w:val="center"/>
            </w:pPr>
            <w:r>
              <w:rPr>
                <w:color w:val="000000"/>
              </w:rPr>
              <w:t>50,4%</w:t>
            </w:r>
          </w:p>
        </w:tc>
        <w:tc>
          <w:tcPr>
            <w:tcW w:w="763" w:type="dxa"/>
            <w:tcMar>
              <w:top w:w="20" w:type="dxa"/>
              <w:left w:w="20" w:type="dxa"/>
              <w:bottom w:w="20" w:type="dxa"/>
              <w:right w:w="20" w:type="dxa"/>
            </w:tcMar>
            <w:vAlign w:val="center"/>
          </w:tcPr>
          <w:p w14:paraId="000000BC" w14:textId="77777777" w:rsidR="004567EC" w:rsidRDefault="00893D27">
            <w:pPr>
              <w:jc w:val="center"/>
            </w:pPr>
            <w:r>
              <w:rPr>
                <w:color w:val="000000"/>
              </w:rPr>
              <w:t>58,0%</w:t>
            </w:r>
          </w:p>
        </w:tc>
        <w:tc>
          <w:tcPr>
            <w:tcW w:w="763" w:type="dxa"/>
            <w:tcMar>
              <w:top w:w="20" w:type="dxa"/>
              <w:left w:w="20" w:type="dxa"/>
              <w:bottom w:w="20" w:type="dxa"/>
              <w:right w:w="20" w:type="dxa"/>
            </w:tcMar>
            <w:vAlign w:val="center"/>
          </w:tcPr>
          <w:p w14:paraId="000000BD" w14:textId="77777777" w:rsidR="004567EC" w:rsidRDefault="00893D27">
            <w:pPr>
              <w:jc w:val="center"/>
            </w:pPr>
            <w:r>
              <w:rPr>
                <w:color w:val="000000"/>
              </w:rPr>
              <w:t>59,6%</w:t>
            </w:r>
          </w:p>
        </w:tc>
        <w:tc>
          <w:tcPr>
            <w:tcW w:w="763" w:type="dxa"/>
            <w:tcMar>
              <w:top w:w="20" w:type="dxa"/>
              <w:left w:w="20" w:type="dxa"/>
              <w:bottom w:w="20" w:type="dxa"/>
              <w:right w:w="20" w:type="dxa"/>
            </w:tcMar>
            <w:vAlign w:val="center"/>
          </w:tcPr>
          <w:p w14:paraId="000000BE" w14:textId="77777777" w:rsidR="004567EC" w:rsidRDefault="00893D27">
            <w:pPr>
              <w:jc w:val="center"/>
            </w:pPr>
            <w:r>
              <w:rPr>
                <w:color w:val="000000"/>
              </w:rPr>
              <w:t>60,5%</w:t>
            </w:r>
          </w:p>
        </w:tc>
        <w:tc>
          <w:tcPr>
            <w:tcW w:w="763" w:type="dxa"/>
            <w:tcMar>
              <w:top w:w="20" w:type="dxa"/>
              <w:left w:w="20" w:type="dxa"/>
              <w:bottom w:w="20" w:type="dxa"/>
              <w:right w:w="20" w:type="dxa"/>
            </w:tcMar>
            <w:vAlign w:val="center"/>
          </w:tcPr>
          <w:p w14:paraId="000000BF" w14:textId="77777777" w:rsidR="004567EC" w:rsidRDefault="00893D27">
            <w:pPr>
              <w:jc w:val="center"/>
            </w:pPr>
            <w:r>
              <w:rPr>
                <w:color w:val="000000"/>
              </w:rPr>
              <w:t>59,7%</w:t>
            </w:r>
          </w:p>
        </w:tc>
        <w:tc>
          <w:tcPr>
            <w:tcW w:w="674" w:type="dxa"/>
            <w:tcMar>
              <w:top w:w="20" w:type="dxa"/>
              <w:left w:w="20" w:type="dxa"/>
              <w:bottom w:w="20" w:type="dxa"/>
              <w:right w:w="20" w:type="dxa"/>
            </w:tcMar>
            <w:vAlign w:val="center"/>
          </w:tcPr>
          <w:p w14:paraId="000000C0" w14:textId="77777777" w:rsidR="004567EC" w:rsidRDefault="00893D27">
            <w:pPr>
              <w:jc w:val="center"/>
            </w:pPr>
            <w:r>
              <w:rPr>
                <w:color w:val="000000"/>
              </w:rPr>
              <w:t>57,9%</w:t>
            </w:r>
          </w:p>
        </w:tc>
        <w:tc>
          <w:tcPr>
            <w:tcW w:w="809" w:type="dxa"/>
            <w:tcMar>
              <w:top w:w="20" w:type="dxa"/>
              <w:left w:w="20" w:type="dxa"/>
              <w:bottom w:w="20" w:type="dxa"/>
              <w:right w:w="20" w:type="dxa"/>
            </w:tcMar>
            <w:vAlign w:val="center"/>
          </w:tcPr>
          <w:p w14:paraId="000000C1" w14:textId="77777777" w:rsidR="004567EC" w:rsidRDefault="00893D27">
            <w:pPr>
              <w:jc w:val="center"/>
            </w:pPr>
            <w:r>
              <w:rPr>
                <w:color w:val="000000"/>
              </w:rPr>
              <w:t>54,4%</w:t>
            </w:r>
          </w:p>
        </w:tc>
      </w:tr>
      <w:tr w:rsidR="004567EC" w14:paraId="0084AD7D" w14:textId="77777777">
        <w:trPr>
          <w:trHeight w:val="300"/>
        </w:trPr>
        <w:tc>
          <w:tcPr>
            <w:tcW w:w="1417" w:type="dxa"/>
            <w:shd w:val="clear" w:color="auto" w:fill="D9D9D9"/>
            <w:tcMar>
              <w:top w:w="20" w:type="dxa"/>
              <w:left w:w="20" w:type="dxa"/>
              <w:bottom w:w="20" w:type="dxa"/>
              <w:right w:w="20" w:type="dxa"/>
            </w:tcMar>
            <w:vAlign w:val="center"/>
          </w:tcPr>
          <w:p w14:paraId="000000C2" w14:textId="77777777" w:rsidR="004567EC" w:rsidRDefault="00893D27">
            <w:r>
              <w:rPr>
                <w:color w:val="000000"/>
              </w:rPr>
              <w:t>BOGOTA D.C.</w:t>
            </w:r>
          </w:p>
        </w:tc>
        <w:tc>
          <w:tcPr>
            <w:tcW w:w="764" w:type="dxa"/>
            <w:shd w:val="clear" w:color="auto" w:fill="D9D9D9"/>
            <w:tcMar>
              <w:top w:w="20" w:type="dxa"/>
              <w:left w:w="20" w:type="dxa"/>
              <w:bottom w:w="20" w:type="dxa"/>
              <w:right w:w="20" w:type="dxa"/>
            </w:tcMar>
            <w:vAlign w:val="center"/>
          </w:tcPr>
          <w:p w14:paraId="000000C3" w14:textId="77777777" w:rsidR="004567EC" w:rsidRDefault="00893D27">
            <w:pPr>
              <w:jc w:val="center"/>
            </w:pPr>
            <w:r>
              <w:rPr>
                <w:color w:val="000000"/>
              </w:rPr>
              <w:t>76,1%</w:t>
            </w:r>
          </w:p>
        </w:tc>
        <w:tc>
          <w:tcPr>
            <w:tcW w:w="764" w:type="dxa"/>
            <w:shd w:val="clear" w:color="auto" w:fill="D9D9D9"/>
            <w:tcMar>
              <w:top w:w="20" w:type="dxa"/>
              <w:left w:w="20" w:type="dxa"/>
              <w:bottom w:w="20" w:type="dxa"/>
              <w:right w:w="20" w:type="dxa"/>
            </w:tcMar>
            <w:vAlign w:val="center"/>
          </w:tcPr>
          <w:p w14:paraId="000000C4" w14:textId="77777777" w:rsidR="004567EC" w:rsidRDefault="00893D27">
            <w:pPr>
              <w:jc w:val="center"/>
            </w:pPr>
            <w:r>
              <w:rPr>
                <w:color w:val="000000"/>
              </w:rPr>
              <w:t>83,5%</w:t>
            </w:r>
          </w:p>
        </w:tc>
        <w:tc>
          <w:tcPr>
            <w:tcW w:w="764" w:type="dxa"/>
            <w:shd w:val="clear" w:color="auto" w:fill="D9D9D9"/>
            <w:tcMar>
              <w:top w:w="20" w:type="dxa"/>
              <w:left w:w="20" w:type="dxa"/>
              <w:bottom w:w="20" w:type="dxa"/>
              <w:right w:w="20" w:type="dxa"/>
            </w:tcMar>
            <w:vAlign w:val="center"/>
          </w:tcPr>
          <w:p w14:paraId="000000C5" w14:textId="77777777" w:rsidR="004567EC" w:rsidRDefault="00893D27">
            <w:pPr>
              <w:jc w:val="center"/>
            </w:pPr>
            <w:r>
              <w:rPr>
                <w:color w:val="000000"/>
              </w:rPr>
              <w:t>87,0%</w:t>
            </w:r>
          </w:p>
        </w:tc>
        <w:tc>
          <w:tcPr>
            <w:tcW w:w="763" w:type="dxa"/>
            <w:shd w:val="clear" w:color="auto" w:fill="D9D9D9"/>
            <w:tcMar>
              <w:top w:w="20" w:type="dxa"/>
              <w:left w:w="20" w:type="dxa"/>
              <w:bottom w:w="20" w:type="dxa"/>
              <w:right w:w="20" w:type="dxa"/>
            </w:tcMar>
            <w:vAlign w:val="center"/>
          </w:tcPr>
          <w:p w14:paraId="000000C6" w14:textId="77777777" w:rsidR="004567EC" w:rsidRDefault="00893D27">
            <w:pPr>
              <w:jc w:val="center"/>
            </w:pPr>
            <w:r>
              <w:rPr>
                <w:color w:val="000000"/>
              </w:rPr>
              <w:t>92,9%</w:t>
            </w:r>
          </w:p>
        </w:tc>
        <w:tc>
          <w:tcPr>
            <w:tcW w:w="763" w:type="dxa"/>
            <w:shd w:val="clear" w:color="auto" w:fill="D9D9D9"/>
            <w:tcMar>
              <w:top w:w="20" w:type="dxa"/>
              <w:left w:w="20" w:type="dxa"/>
              <w:bottom w:w="20" w:type="dxa"/>
              <w:right w:w="20" w:type="dxa"/>
            </w:tcMar>
            <w:vAlign w:val="center"/>
          </w:tcPr>
          <w:p w14:paraId="000000C7" w14:textId="77777777" w:rsidR="004567EC" w:rsidRDefault="00893D27">
            <w:pPr>
              <w:jc w:val="center"/>
            </w:pPr>
            <w:r>
              <w:rPr>
                <w:color w:val="000000"/>
              </w:rPr>
              <w:t>98,4%</w:t>
            </w:r>
          </w:p>
        </w:tc>
        <w:tc>
          <w:tcPr>
            <w:tcW w:w="763" w:type="dxa"/>
            <w:shd w:val="clear" w:color="auto" w:fill="D9D9D9"/>
            <w:tcMar>
              <w:top w:w="20" w:type="dxa"/>
              <w:left w:w="20" w:type="dxa"/>
              <w:bottom w:w="20" w:type="dxa"/>
              <w:right w:w="20" w:type="dxa"/>
            </w:tcMar>
            <w:vAlign w:val="center"/>
          </w:tcPr>
          <w:p w14:paraId="000000C8" w14:textId="77777777" w:rsidR="004567EC" w:rsidRDefault="00893D27">
            <w:pPr>
              <w:jc w:val="center"/>
            </w:pPr>
            <w:r>
              <w:rPr>
                <w:color w:val="000000"/>
              </w:rPr>
              <w:t>101,6%</w:t>
            </w:r>
          </w:p>
        </w:tc>
        <w:tc>
          <w:tcPr>
            <w:tcW w:w="763" w:type="dxa"/>
            <w:shd w:val="clear" w:color="auto" w:fill="D9D9D9"/>
            <w:tcMar>
              <w:top w:w="20" w:type="dxa"/>
              <w:left w:w="20" w:type="dxa"/>
              <w:bottom w:w="20" w:type="dxa"/>
              <w:right w:w="20" w:type="dxa"/>
            </w:tcMar>
            <w:vAlign w:val="center"/>
          </w:tcPr>
          <w:p w14:paraId="000000C9" w14:textId="77777777" w:rsidR="004567EC" w:rsidRDefault="00893D27">
            <w:pPr>
              <w:jc w:val="center"/>
            </w:pPr>
            <w:r>
              <w:rPr>
                <w:color w:val="000000"/>
              </w:rPr>
              <w:t>109,0%</w:t>
            </w:r>
          </w:p>
        </w:tc>
        <w:tc>
          <w:tcPr>
            <w:tcW w:w="763" w:type="dxa"/>
            <w:shd w:val="clear" w:color="auto" w:fill="D9D9D9"/>
            <w:tcMar>
              <w:top w:w="20" w:type="dxa"/>
              <w:left w:w="20" w:type="dxa"/>
              <w:bottom w:w="20" w:type="dxa"/>
              <w:right w:w="20" w:type="dxa"/>
            </w:tcMar>
            <w:vAlign w:val="center"/>
          </w:tcPr>
          <w:p w14:paraId="000000CA" w14:textId="77777777" w:rsidR="004567EC" w:rsidRDefault="00893D27">
            <w:pPr>
              <w:jc w:val="center"/>
            </w:pPr>
            <w:r>
              <w:rPr>
                <w:color w:val="000000"/>
              </w:rPr>
              <w:t>113,7%</w:t>
            </w:r>
          </w:p>
        </w:tc>
        <w:tc>
          <w:tcPr>
            <w:tcW w:w="674" w:type="dxa"/>
            <w:shd w:val="clear" w:color="auto" w:fill="D9D9D9"/>
            <w:tcMar>
              <w:top w:w="20" w:type="dxa"/>
              <w:left w:w="20" w:type="dxa"/>
              <w:bottom w:w="20" w:type="dxa"/>
              <w:right w:w="20" w:type="dxa"/>
            </w:tcMar>
            <w:vAlign w:val="center"/>
          </w:tcPr>
          <w:p w14:paraId="000000CB" w14:textId="77777777" w:rsidR="004567EC" w:rsidRDefault="00893D27">
            <w:pPr>
              <w:jc w:val="center"/>
            </w:pPr>
            <w:r>
              <w:rPr>
                <w:color w:val="000000"/>
              </w:rPr>
              <w:t>115,5%</w:t>
            </w:r>
          </w:p>
        </w:tc>
        <w:tc>
          <w:tcPr>
            <w:tcW w:w="809" w:type="dxa"/>
            <w:shd w:val="clear" w:color="auto" w:fill="D9D9D9"/>
            <w:tcMar>
              <w:top w:w="20" w:type="dxa"/>
              <w:left w:w="20" w:type="dxa"/>
              <w:bottom w:w="20" w:type="dxa"/>
              <w:right w:w="20" w:type="dxa"/>
            </w:tcMar>
            <w:vAlign w:val="center"/>
          </w:tcPr>
          <w:p w14:paraId="000000CC" w14:textId="77777777" w:rsidR="004567EC" w:rsidRDefault="00893D27">
            <w:pPr>
              <w:jc w:val="center"/>
            </w:pPr>
            <w:r>
              <w:rPr>
                <w:color w:val="000000"/>
              </w:rPr>
              <w:t>111,4%</w:t>
            </w:r>
          </w:p>
        </w:tc>
      </w:tr>
      <w:tr w:rsidR="004567EC" w14:paraId="7D00415D" w14:textId="77777777">
        <w:trPr>
          <w:trHeight w:val="300"/>
        </w:trPr>
        <w:tc>
          <w:tcPr>
            <w:tcW w:w="1417" w:type="dxa"/>
            <w:tcMar>
              <w:top w:w="20" w:type="dxa"/>
              <w:left w:w="20" w:type="dxa"/>
              <w:bottom w:w="20" w:type="dxa"/>
              <w:right w:w="20" w:type="dxa"/>
            </w:tcMar>
            <w:vAlign w:val="center"/>
          </w:tcPr>
          <w:p w14:paraId="000000CD" w14:textId="77777777" w:rsidR="004567EC" w:rsidRDefault="00893D27">
            <w:r>
              <w:rPr>
                <w:color w:val="000000"/>
              </w:rPr>
              <w:t>BOLIVAR</w:t>
            </w:r>
          </w:p>
        </w:tc>
        <w:tc>
          <w:tcPr>
            <w:tcW w:w="764" w:type="dxa"/>
            <w:tcMar>
              <w:top w:w="20" w:type="dxa"/>
              <w:left w:w="20" w:type="dxa"/>
              <w:bottom w:w="20" w:type="dxa"/>
              <w:right w:w="20" w:type="dxa"/>
            </w:tcMar>
            <w:vAlign w:val="center"/>
          </w:tcPr>
          <w:p w14:paraId="000000CE" w14:textId="77777777" w:rsidR="004567EC" w:rsidRDefault="00893D27">
            <w:pPr>
              <w:jc w:val="center"/>
            </w:pPr>
            <w:r>
              <w:rPr>
                <w:color w:val="000000"/>
              </w:rPr>
              <w:t>29,4%</w:t>
            </w:r>
          </w:p>
        </w:tc>
        <w:tc>
          <w:tcPr>
            <w:tcW w:w="764" w:type="dxa"/>
            <w:tcMar>
              <w:top w:w="20" w:type="dxa"/>
              <w:left w:w="20" w:type="dxa"/>
              <w:bottom w:w="20" w:type="dxa"/>
              <w:right w:w="20" w:type="dxa"/>
            </w:tcMar>
            <w:vAlign w:val="center"/>
          </w:tcPr>
          <w:p w14:paraId="000000CF" w14:textId="77777777" w:rsidR="004567EC" w:rsidRDefault="00893D27">
            <w:pPr>
              <w:jc w:val="center"/>
            </w:pPr>
            <w:r>
              <w:rPr>
                <w:color w:val="000000"/>
              </w:rPr>
              <w:t>34,4%</w:t>
            </w:r>
          </w:p>
        </w:tc>
        <w:tc>
          <w:tcPr>
            <w:tcW w:w="764" w:type="dxa"/>
            <w:tcMar>
              <w:top w:w="20" w:type="dxa"/>
              <w:left w:w="20" w:type="dxa"/>
              <w:bottom w:w="20" w:type="dxa"/>
              <w:right w:w="20" w:type="dxa"/>
            </w:tcMar>
            <w:vAlign w:val="center"/>
          </w:tcPr>
          <w:p w14:paraId="000000D0" w14:textId="77777777" w:rsidR="004567EC" w:rsidRDefault="00893D27">
            <w:pPr>
              <w:jc w:val="center"/>
            </w:pPr>
            <w:r>
              <w:rPr>
                <w:color w:val="000000"/>
              </w:rPr>
              <w:t>35,3%</w:t>
            </w:r>
          </w:p>
        </w:tc>
        <w:tc>
          <w:tcPr>
            <w:tcW w:w="763" w:type="dxa"/>
            <w:tcMar>
              <w:top w:w="20" w:type="dxa"/>
              <w:left w:w="20" w:type="dxa"/>
              <w:bottom w:w="20" w:type="dxa"/>
              <w:right w:w="20" w:type="dxa"/>
            </w:tcMar>
            <w:vAlign w:val="center"/>
          </w:tcPr>
          <w:p w14:paraId="000000D1" w14:textId="77777777" w:rsidR="004567EC" w:rsidRDefault="00893D27">
            <w:pPr>
              <w:jc w:val="center"/>
            </w:pPr>
            <w:r>
              <w:rPr>
                <w:color w:val="000000"/>
              </w:rPr>
              <w:t>38,7%</w:t>
            </w:r>
          </w:p>
        </w:tc>
        <w:tc>
          <w:tcPr>
            <w:tcW w:w="763" w:type="dxa"/>
            <w:tcMar>
              <w:top w:w="20" w:type="dxa"/>
              <w:left w:w="20" w:type="dxa"/>
              <w:bottom w:w="20" w:type="dxa"/>
              <w:right w:w="20" w:type="dxa"/>
            </w:tcMar>
            <w:vAlign w:val="center"/>
          </w:tcPr>
          <w:p w14:paraId="000000D2" w14:textId="77777777" w:rsidR="004567EC" w:rsidRDefault="00893D27">
            <w:pPr>
              <w:jc w:val="center"/>
            </w:pPr>
            <w:r>
              <w:rPr>
                <w:color w:val="000000"/>
              </w:rPr>
              <w:t>39,0%</w:t>
            </w:r>
          </w:p>
        </w:tc>
        <w:tc>
          <w:tcPr>
            <w:tcW w:w="763" w:type="dxa"/>
            <w:tcMar>
              <w:top w:w="20" w:type="dxa"/>
              <w:left w:w="20" w:type="dxa"/>
              <w:bottom w:w="20" w:type="dxa"/>
              <w:right w:w="20" w:type="dxa"/>
            </w:tcMar>
            <w:vAlign w:val="center"/>
          </w:tcPr>
          <w:p w14:paraId="000000D3" w14:textId="77777777" w:rsidR="004567EC" w:rsidRDefault="00893D27">
            <w:pPr>
              <w:jc w:val="center"/>
            </w:pPr>
            <w:r>
              <w:rPr>
                <w:color w:val="000000"/>
              </w:rPr>
              <w:t>41,1%</w:t>
            </w:r>
          </w:p>
        </w:tc>
        <w:tc>
          <w:tcPr>
            <w:tcW w:w="763" w:type="dxa"/>
            <w:tcMar>
              <w:top w:w="20" w:type="dxa"/>
              <w:left w:w="20" w:type="dxa"/>
              <w:bottom w:w="20" w:type="dxa"/>
              <w:right w:w="20" w:type="dxa"/>
            </w:tcMar>
            <w:vAlign w:val="center"/>
          </w:tcPr>
          <w:p w14:paraId="000000D4" w14:textId="77777777" w:rsidR="004567EC" w:rsidRDefault="00893D27">
            <w:pPr>
              <w:jc w:val="center"/>
            </w:pPr>
            <w:r>
              <w:rPr>
                <w:color w:val="000000"/>
              </w:rPr>
              <w:t>42,4%</w:t>
            </w:r>
          </w:p>
        </w:tc>
        <w:tc>
          <w:tcPr>
            <w:tcW w:w="763" w:type="dxa"/>
            <w:tcMar>
              <w:top w:w="20" w:type="dxa"/>
              <w:left w:w="20" w:type="dxa"/>
              <w:bottom w:w="20" w:type="dxa"/>
              <w:right w:w="20" w:type="dxa"/>
            </w:tcMar>
            <w:vAlign w:val="center"/>
          </w:tcPr>
          <w:p w14:paraId="000000D5" w14:textId="77777777" w:rsidR="004567EC" w:rsidRDefault="00893D27">
            <w:pPr>
              <w:jc w:val="center"/>
            </w:pPr>
            <w:r>
              <w:rPr>
                <w:color w:val="000000"/>
              </w:rPr>
              <w:t>40,6%</w:t>
            </w:r>
          </w:p>
        </w:tc>
        <w:tc>
          <w:tcPr>
            <w:tcW w:w="674" w:type="dxa"/>
            <w:tcMar>
              <w:top w:w="20" w:type="dxa"/>
              <w:left w:w="20" w:type="dxa"/>
              <w:bottom w:w="20" w:type="dxa"/>
              <w:right w:w="20" w:type="dxa"/>
            </w:tcMar>
            <w:vAlign w:val="center"/>
          </w:tcPr>
          <w:p w14:paraId="000000D6" w14:textId="77777777" w:rsidR="004567EC" w:rsidRDefault="00893D27">
            <w:pPr>
              <w:jc w:val="center"/>
            </w:pPr>
            <w:r>
              <w:rPr>
                <w:color w:val="000000"/>
              </w:rPr>
              <w:t>39,6%</w:t>
            </w:r>
          </w:p>
        </w:tc>
        <w:tc>
          <w:tcPr>
            <w:tcW w:w="809" w:type="dxa"/>
            <w:tcMar>
              <w:top w:w="20" w:type="dxa"/>
              <w:left w:w="20" w:type="dxa"/>
              <w:bottom w:w="20" w:type="dxa"/>
              <w:right w:w="20" w:type="dxa"/>
            </w:tcMar>
            <w:vAlign w:val="center"/>
          </w:tcPr>
          <w:p w14:paraId="000000D7" w14:textId="77777777" w:rsidR="004567EC" w:rsidRDefault="00893D27">
            <w:pPr>
              <w:jc w:val="center"/>
            </w:pPr>
            <w:r>
              <w:rPr>
                <w:color w:val="000000"/>
              </w:rPr>
              <w:t>37,5%</w:t>
            </w:r>
          </w:p>
        </w:tc>
      </w:tr>
      <w:tr w:rsidR="004567EC" w14:paraId="0DD88C65" w14:textId="77777777">
        <w:trPr>
          <w:trHeight w:val="300"/>
        </w:trPr>
        <w:tc>
          <w:tcPr>
            <w:tcW w:w="1417" w:type="dxa"/>
            <w:shd w:val="clear" w:color="auto" w:fill="D9D9D9"/>
            <w:tcMar>
              <w:top w:w="20" w:type="dxa"/>
              <w:left w:w="20" w:type="dxa"/>
              <w:bottom w:w="20" w:type="dxa"/>
              <w:right w:w="20" w:type="dxa"/>
            </w:tcMar>
            <w:vAlign w:val="center"/>
          </w:tcPr>
          <w:p w14:paraId="000000D8" w14:textId="77777777" w:rsidR="004567EC" w:rsidRDefault="00893D27">
            <w:r>
              <w:rPr>
                <w:color w:val="000000"/>
              </w:rPr>
              <w:t>BOYACA</w:t>
            </w:r>
          </w:p>
        </w:tc>
        <w:tc>
          <w:tcPr>
            <w:tcW w:w="764" w:type="dxa"/>
            <w:shd w:val="clear" w:color="auto" w:fill="D9D9D9"/>
            <w:tcMar>
              <w:top w:w="20" w:type="dxa"/>
              <w:left w:w="20" w:type="dxa"/>
              <w:bottom w:w="20" w:type="dxa"/>
              <w:right w:w="20" w:type="dxa"/>
            </w:tcMar>
            <w:vAlign w:val="center"/>
          </w:tcPr>
          <w:p w14:paraId="000000D9" w14:textId="77777777" w:rsidR="004567EC" w:rsidRDefault="00893D27">
            <w:pPr>
              <w:jc w:val="center"/>
            </w:pPr>
            <w:r>
              <w:rPr>
                <w:color w:val="000000"/>
              </w:rPr>
              <w:t>39,2%</w:t>
            </w:r>
          </w:p>
        </w:tc>
        <w:tc>
          <w:tcPr>
            <w:tcW w:w="764" w:type="dxa"/>
            <w:shd w:val="clear" w:color="auto" w:fill="D9D9D9"/>
            <w:tcMar>
              <w:top w:w="20" w:type="dxa"/>
              <w:left w:w="20" w:type="dxa"/>
              <w:bottom w:w="20" w:type="dxa"/>
              <w:right w:w="20" w:type="dxa"/>
            </w:tcMar>
            <w:vAlign w:val="center"/>
          </w:tcPr>
          <w:p w14:paraId="000000DA" w14:textId="77777777" w:rsidR="004567EC" w:rsidRDefault="00893D27">
            <w:pPr>
              <w:jc w:val="center"/>
            </w:pPr>
            <w:r>
              <w:rPr>
                <w:color w:val="000000"/>
              </w:rPr>
              <w:t>42,1%</w:t>
            </w:r>
          </w:p>
        </w:tc>
        <w:tc>
          <w:tcPr>
            <w:tcW w:w="764" w:type="dxa"/>
            <w:shd w:val="clear" w:color="auto" w:fill="D9D9D9"/>
            <w:tcMar>
              <w:top w:w="20" w:type="dxa"/>
              <w:left w:w="20" w:type="dxa"/>
              <w:bottom w:w="20" w:type="dxa"/>
              <w:right w:w="20" w:type="dxa"/>
            </w:tcMar>
            <w:vAlign w:val="center"/>
          </w:tcPr>
          <w:p w14:paraId="000000DB" w14:textId="77777777" w:rsidR="004567EC" w:rsidRDefault="00893D27">
            <w:pPr>
              <w:jc w:val="center"/>
            </w:pPr>
            <w:r>
              <w:rPr>
                <w:color w:val="000000"/>
              </w:rPr>
              <w:t>46,4%</w:t>
            </w:r>
          </w:p>
        </w:tc>
        <w:tc>
          <w:tcPr>
            <w:tcW w:w="763" w:type="dxa"/>
            <w:shd w:val="clear" w:color="auto" w:fill="D9D9D9"/>
            <w:tcMar>
              <w:top w:w="20" w:type="dxa"/>
              <w:left w:w="20" w:type="dxa"/>
              <w:bottom w:w="20" w:type="dxa"/>
              <w:right w:w="20" w:type="dxa"/>
            </w:tcMar>
            <w:vAlign w:val="center"/>
          </w:tcPr>
          <w:p w14:paraId="000000DC" w14:textId="77777777" w:rsidR="004567EC" w:rsidRDefault="00893D27">
            <w:pPr>
              <w:jc w:val="center"/>
            </w:pPr>
            <w:r>
              <w:rPr>
                <w:color w:val="000000"/>
              </w:rPr>
              <w:t>49,5%</w:t>
            </w:r>
          </w:p>
        </w:tc>
        <w:tc>
          <w:tcPr>
            <w:tcW w:w="763" w:type="dxa"/>
            <w:shd w:val="clear" w:color="auto" w:fill="D9D9D9"/>
            <w:tcMar>
              <w:top w:w="20" w:type="dxa"/>
              <w:left w:w="20" w:type="dxa"/>
              <w:bottom w:w="20" w:type="dxa"/>
              <w:right w:w="20" w:type="dxa"/>
            </w:tcMar>
            <w:vAlign w:val="center"/>
          </w:tcPr>
          <w:p w14:paraId="000000DD" w14:textId="77777777" w:rsidR="004567EC" w:rsidRDefault="00893D27">
            <w:pPr>
              <w:jc w:val="center"/>
            </w:pPr>
            <w:r>
              <w:rPr>
                <w:color w:val="000000"/>
              </w:rPr>
              <w:t>52,1%</w:t>
            </w:r>
          </w:p>
        </w:tc>
        <w:tc>
          <w:tcPr>
            <w:tcW w:w="763" w:type="dxa"/>
            <w:shd w:val="clear" w:color="auto" w:fill="D9D9D9"/>
            <w:tcMar>
              <w:top w:w="20" w:type="dxa"/>
              <w:left w:w="20" w:type="dxa"/>
              <w:bottom w:w="20" w:type="dxa"/>
              <w:right w:w="20" w:type="dxa"/>
            </w:tcMar>
            <w:vAlign w:val="center"/>
          </w:tcPr>
          <w:p w14:paraId="000000DE" w14:textId="77777777" w:rsidR="004567EC" w:rsidRDefault="00893D27">
            <w:pPr>
              <w:jc w:val="center"/>
            </w:pPr>
            <w:r>
              <w:rPr>
                <w:color w:val="000000"/>
              </w:rPr>
              <w:t>53,9%</w:t>
            </w:r>
          </w:p>
        </w:tc>
        <w:tc>
          <w:tcPr>
            <w:tcW w:w="763" w:type="dxa"/>
            <w:shd w:val="clear" w:color="auto" w:fill="D9D9D9"/>
            <w:tcMar>
              <w:top w:w="20" w:type="dxa"/>
              <w:left w:w="20" w:type="dxa"/>
              <w:bottom w:w="20" w:type="dxa"/>
              <w:right w:w="20" w:type="dxa"/>
            </w:tcMar>
            <w:vAlign w:val="center"/>
          </w:tcPr>
          <w:p w14:paraId="000000DF" w14:textId="77777777" w:rsidR="004567EC" w:rsidRDefault="00893D27">
            <w:pPr>
              <w:jc w:val="center"/>
            </w:pPr>
            <w:r>
              <w:rPr>
                <w:color w:val="000000"/>
              </w:rPr>
              <w:t>56,4%</w:t>
            </w:r>
          </w:p>
        </w:tc>
        <w:tc>
          <w:tcPr>
            <w:tcW w:w="763" w:type="dxa"/>
            <w:shd w:val="clear" w:color="auto" w:fill="D9D9D9"/>
            <w:tcMar>
              <w:top w:w="20" w:type="dxa"/>
              <w:left w:w="20" w:type="dxa"/>
              <w:bottom w:w="20" w:type="dxa"/>
              <w:right w:w="20" w:type="dxa"/>
            </w:tcMar>
            <w:vAlign w:val="center"/>
          </w:tcPr>
          <w:p w14:paraId="000000E0" w14:textId="77777777" w:rsidR="004567EC" w:rsidRDefault="00893D27">
            <w:pPr>
              <w:jc w:val="center"/>
            </w:pPr>
            <w:r>
              <w:rPr>
                <w:color w:val="000000"/>
              </w:rPr>
              <w:t>60,4%</w:t>
            </w:r>
          </w:p>
        </w:tc>
        <w:tc>
          <w:tcPr>
            <w:tcW w:w="674" w:type="dxa"/>
            <w:shd w:val="clear" w:color="auto" w:fill="D9D9D9"/>
            <w:tcMar>
              <w:top w:w="20" w:type="dxa"/>
              <w:left w:w="20" w:type="dxa"/>
              <w:bottom w:w="20" w:type="dxa"/>
              <w:right w:w="20" w:type="dxa"/>
            </w:tcMar>
            <w:vAlign w:val="center"/>
          </w:tcPr>
          <w:p w14:paraId="000000E1" w14:textId="77777777" w:rsidR="004567EC" w:rsidRDefault="00893D27">
            <w:pPr>
              <w:jc w:val="center"/>
            </w:pPr>
            <w:r>
              <w:rPr>
                <w:color w:val="000000"/>
              </w:rPr>
              <w:t>62,4%</w:t>
            </w:r>
          </w:p>
        </w:tc>
        <w:tc>
          <w:tcPr>
            <w:tcW w:w="809" w:type="dxa"/>
            <w:shd w:val="clear" w:color="auto" w:fill="D9D9D9"/>
            <w:tcMar>
              <w:top w:w="20" w:type="dxa"/>
              <w:left w:w="20" w:type="dxa"/>
              <w:bottom w:w="20" w:type="dxa"/>
              <w:right w:w="20" w:type="dxa"/>
            </w:tcMar>
            <w:vAlign w:val="center"/>
          </w:tcPr>
          <w:p w14:paraId="000000E2" w14:textId="77777777" w:rsidR="004567EC" w:rsidRDefault="00893D27">
            <w:pPr>
              <w:jc w:val="center"/>
            </w:pPr>
            <w:r>
              <w:rPr>
                <w:color w:val="000000"/>
              </w:rPr>
              <w:t>61,6%</w:t>
            </w:r>
          </w:p>
        </w:tc>
      </w:tr>
      <w:tr w:rsidR="004567EC" w14:paraId="478EA43B" w14:textId="77777777">
        <w:trPr>
          <w:trHeight w:val="300"/>
        </w:trPr>
        <w:tc>
          <w:tcPr>
            <w:tcW w:w="1417" w:type="dxa"/>
            <w:tcMar>
              <w:top w:w="20" w:type="dxa"/>
              <w:left w:w="20" w:type="dxa"/>
              <w:bottom w:w="20" w:type="dxa"/>
              <w:right w:w="20" w:type="dxa"/>
            </w:tcMar>
            <w:vAlign w:val="center"/>
          </w:tcPr>
          <w:p w14:paraId="000000E3" w14:textId="77777777" w:rsidR="004567EC" w:rsidRDefault="00893D27">
            <w:r>
              <w:rPr>
                <w:color w:val="000000"/>
              </w:rPr>
              <w:t>CALDAS</w:t>
            </w:r>
          </w:p>
        </w:tc>
        <w:tc>
          <w:tcPr>
            <w:tcW w:w="764" w:type="dxa"/>
            <w:tcMar>
              <w:top w:w="20" w:type="dxa"/>
              <w:left w:w="20" w:type="dxa"/>
              <w:bottom w:w="20" w:type="dxa"/>
              <w:right w:w="20" w:type="dxa"/>
            </w:tcMar>
            <w:vAlign w:val="center"/>
          </w:tcPr>
          <w:p w14:paraId="000000E4" w14:textId="77777777" w:rsidR="004567EC" w:rsidRDefault="00893D27">
            <w:pPr>
              <w:jc w:val="center"/>
            </w:pPr>
            <w:r>
              <w:rPr>
                <w:color w:val="000000"/>
              </w:rPr>
              <w:t>39,1%</w:t>
            </w:r>
          </w:p>
        </w:tc>
        <w:tc>
          <w:tcPr>
            <w:tcW w:w="764" w:type="dxa"/>
            <w:tcMar>
              <w:top w:w="20" w:type="dxa"/>
              <w:left w:w="20" w:type="dxa"/>
              <w:bottom w:w="20" w:type="dxa"/>
              <w:right w:w="20" w:type="dxa"/>
            </w:tcMar>
            <w:vAlign w:val="center"/>
          </w:tcPr>
          <w:p w14:paraId="000000E5" w14:textId="77777777" w:rsidR="004567EC" w:rsidRDefault="00893D27">
            <w:pPr>
              <w:jc w:val="center"/>
            </w:pPr>
            <w:r>
              <w:rPr>
                <w:color w:val="000000"/>
              </w:rPr>
              <w:t>40,8%</w:t>
            </w:r>
          </w:p>
        </w:tc>
        <w:tc>
          <w:tcPr>
            <w:tcW w:w="764" w:type="dxa"/>
            <w:tcMar>
              <w:top w:w="20" w:type="dxa"/>
              <w:left w:w="20" w:type="dxa"/>
              <w:bottom w:w="20" w:type="dxa"/>
              <w:right w:w="20" w:type="dxa"/>
            </w:tcMar>
            <w:vAlign w:val="center"/>
          </w:tcPr>
          <w:p w14:paraId="000000E6" w14:textId="77777777" w:rsidR="004567EC" w:rsidRDefault="00893D27">
            <w:pPr>
              <w:jc w:val="center"/>
            </w:pPr>
            <w:r>
              <w:rPr>
                <w:color w:val="000000"/>
              </w:rPr>
              <w:t>43,1%</w:t>
            </w:r>
          </w:p>
        </w:tc>
        <w:tc>
          <w:tcPr>
            <w:tcW w:w="763" w:type="dxa"/>
            <w:tcMar>
              <w:top w:w="20" w:type="dxa"/>
              <w:left w:w="20" w:type="dxa"/>
              <w:bottom w:w="20" w:type="dxa"/>
              <w:right w:w="20" w:type="dxa"/>
            </w:tcMar>
            <w:vAlign w:val="center"/>
          </w:tcPr>
          <w:p w14:paraId="000000E7" w14:textId="77777777" w:rsidR="004567EC" w:rsidRDefault="00893D27">
            <w:pPr>
              <w:jc w:val="center"/>
            </w:pPr>
            <w:r>
              <w:rPr>
                <w:color w:val="000000"/>
              </w:rPr>
              <w:t>46,7%</w:t>
            </w:r>
          </w:p>
        </w:tc>
        <w:tc>
          <w:tcPr>
            <w:tcW w:w="763" w:type="dxa"/>
            <w:tcMar>
              <w:top w:w="20" w:type="dxa"/>
              <w:left w:w="20" w:type="dxa"/>
              <w:bottom w:w="20" w:type="dxa"/>
              <w:right w:w="20" w:type="dxa"/>
            </w:tcMar>
            <w:vAlign w:val="center"/>
          </w:tcPr>
          <w:p w14:paraId="000000E8" w14:textId="77777777" w:rsidR="004567EC" w:rsidRDefault="00893D27">
            <w:pPr>
              <w:jc w:val="center"/>
            </w:pPr>
            <w:r>
              <w:rPr>
                <w:color w:val="000000"/>
              </w:rPr>
              <w:t>49,8%</w:t>
            </w:r>
          </w:p>
        </w:tc>
        <w:tc>
          <w:tcPr>
            <w:tcW w:w="763" w:type="dxa"/>
            <w:tcMar>
              <w:top w:w="20" w:type="dxa"/>
              <w:left w:w="20" w:type="dxa"/>
              <w:bottom w:w="20" w:type="dxa"/>
              <w:right w:w="20" w:type="dxa"/>
            </w:tcMar>
            <w:vAlign w:val="center"/>
          </w:tcPr>
          <w:p w14:paraId="000000E9" w14:textId="77777777" w:rsidR="004567EC" w:rsidRDefault="00893D27">
            <w:pPr>
              <w:jc w:val="center"/>
            </w:pPr>
            <w:r>
              <w:rPr>
                <w:color w:val="000000"/>
              </w:rPr>
              <w:t>51,6%</w:t>
            </w:r>
          </w:p>
        </w:tc>
        <w:tc>
          <w:tcPr>
            <w:tcW w:w="763" w:type="dxa"/>
            <w:tcMar>
              <w:top w:w="20" w:type="dxa"/>
              <w:left w:w="20" w:type="dxa"/>
              <w:bottom w:w="20" w:type="dxa"/>
              <w:right w:w="20" w:type="dxa"/>
            </w:tcMar>
            <w:vAlign w:val="center"/>
          </w:tcPr>
          <w:p w14:paraId="000000EA" w14:textId="77777777" w:rsidR="004567EC" w:rsidRDefault="00893D27">
            <w:pPr>
              <w:jc w:val="center"/>
            </w:pPr>
            <w:r>
              <w:rPr>
                <w:color w:val="000000"/>
              </w:rPr>
              <w:t>55,5%</w:t>
            </w:r>
          </w:p>
        </w:tc>
        <w:tc>
          <w:tcPr>
            <w:tcW w:w="763" w:type="dxa"/>
            <w:tcMar>
              <w:top w:w="20" w:type="dxa"/>
              <w:left w:w="20" w:type="dxa"/>
              <w:bottom w:w="20" w:type="dxa"/>
              <w:right w:w="20" w:type="dxa"/>
            </w:tcMar>
            <w:vAlign w:val="center"/>
          </w:tcPr>
          <w:p w14:paraId="000000EB" w14:textId="77777777" w:rsidR="004567EC" w:rsidRDefault="00893D27">
            <w:pPr>
              <w:jc w:val="center"/>
            </w:pPr>
            <w:r>
              <w:rPr>
                <w:color w:val="000000"/>
              </w:rPr>
              <w:t>56,5%</w:t>
            </w:r>
          </w:p>
        </w:tc>
        <w:tc>
          <w:tcPr>
            <w:tcW w:w="674" w:type="dxa"/>
            <w:tcMar>
              <w:top w:w="20" w:type="dxa"/>
              <w:left w:w="20" w:type="dxa"/>
              <w:bottom w:w="20" w:type="dxa"/>
              <w:right w:w="20" w:type="dxa"/>
            </w:tcMar>
            <w:vAlign w:val="center"/>
          </w:tcPr>
          <w:p w14:paraId="000000EC" w14:textId="77777777" w:rsidR="004567EC" w:rsidRDefault="00893D27">
            <w:pPr>
              <w:jc w:val="center"/>
            </w:pPr>
            <w:r>
              <w:rPr>
                <w:color w:val="000000"/>
              </w:rPr>
              <w:t>58,4%</w:t>
            </w:r>
          </w:p>
        </w:tc>
        <w:tc>
          <w:tcPr>
            <w:tcW w:w="809" w:type="dxa"/>
            <w:tcMar>
              <w:top w:w="20" w:type="dxa"/>
              <w:left w:w="20" w:type="dxa"/>
              <w:bottom w:w="20" w:type="dxa"/>
              <w:right w:w="20" w:type="dxa"/>
            </w:tcMar>
            <w:vAlign w:val="center"/>
          </w:tcPr>
          <w:p w14:paraId="000000ED" w14:textId="77777777" w:rsidR="004567EC" w:rsidRDefault="00893D27">
            <w:pPr>
              <w:jc w:val="center"/>
            </w:pPr>
            <w:r>
              <w:rPr>
                <w:color w:val="000000"/>
              </w:rPr>
              <w:t>57,9%</w:t>
            </w:r>
          </w:p>
        </w:tc>
      </w:tr>
      <w:tr w:rsidR="004567EC" w14:paraId="463F4559" w14:textId="77777777">
        <w:trPr>
          <w:trHeight w:val="300"/>
        </w:trPr>
        <w:tc>
          <w:tcPr>
            <w:tcW w:w="1417" w:type="dxa"/>
            <w:shd w:val="clear" w:color="auto" w:fill="D9D9D9"/>
            <w:tcMar>
              <w:top w:w="20" w:type="dxa"/>
              <w:left w:w="20" w:type="dxa"/>
              <w:bottom w:w="20" w:type="dxa"/>
              <w:right w:w="20" w:type="dxa"/>
            </w:tcMar>
            <w:vAlign w:val="center"/>
          </w:tcPr>
          <w:p w14:paraId="000000EE" w14:textId="77777777" w:rsidR="004567EC" w:rsidRDefault="00893D27">
            <w:r>
              <w:rPr>
                <w:color w:val="000000"/>
              </w:rPr>
              <w:t>CAQUETA</w:t>
            </w:r>
          </w:p>
        </w:tc>
        <w:tc>
          <w:tcPr>
            <w:tcW w:w="764" w:type="dxa"/>
            <w:shd w:val="clear" w:color="auto" w:fill="D9D9D9"/>
            <w:tcMar>
              <w:top w:w="20" w:type="dxa"/>
              <w:left w:w="20" w:type="dxa"/>
              <w:bottom w:w="20" w:type="dxa"/>
              <w:right w:w="20" w:type="dxa"/>
            </w:tcMar>
            <w:vAlign w:val="center"/>
          </w:tcPr>
          <w:p w14:paraId="000000EF" w14:textId="77777777" w:rsidR="004567EC" w:rsidRDefault="00893D27">
            <w:pPr>
              <w:jc w:val="center"/>
            </w:pPr>
            <w:r>
              <w:rPr>
                <w:color w:val="000000"/>
              </w:rPr>
              <w:t>25,8%</w:t>
            </w:r>
          </w:p>
        </w:tc>
        <w:tc>
          <w:tcPr>
            <w:tcW w:w="764" w:type="dxa"/>
            <w:shd w:val="clear" w:color="auto" w:fill="D9D9D9"/>
            <w:tcMar>
              <w:top w:w="20" w:type="dxa"/>
              <w:left w:w="20" w:type="dxa"/>
              <w:bottom w:w="20" w:type="dxa"/>
              <w:right w:w="20" w:type="dxa"/>
            </w:tcMar>
            <w:vAlign w:val="center"/>
          </w:tcPr>
          <w:p w14:paraId="000000F0" w14:textId="77777777" w:rsidR="004567EC" w:rsidRDefault="00893D27">
            <w:pPr>
              <w:jc w:val="center"/>
            </w:pPr>
            <w:r>
              <w:rPr>
                <w:color w:val="000000"/>
              </w:rPr>
              <w:t>27,4%</w:t>
            </w:r>
          </w:p>
        </w:tc>
        <w:tc>
          <w:tcPr>
            <w:tcW w:w="764" w:type="dxa"/>
            <w:shd w:val="clear" w:color="auto" w:fill="D9D9D9"/>
            <w:tcMar>
              <w:top w:w="20" w:type="dxa"/>
              <w:left w:w="20" w:type="dxa"/>
              <w:bottom w:w="20" w:type="dxa"/>
              <w:right w:w="20" w:type="dxa"/>
            </w:tcMar>
            <w:vAlign w:val="center"/>
          </w:tcPr>
          <w:p w14:paraId="000000F1" w14:textId="77777777" w:rsidR="004567EC" w:rsidRDefault="00893D27">
            <w:pPr>
              <w:jc w:val="center"/>
            </w:pPr>
            <w:r>
              <w:rPr>
                <w:color w:val="000000"/>
              </w:rPr>
              <w:t>26,6%</w:t>
            </w:r>
          </w:p>
        </w:tc>
        <w:tc>
          <w:tcPr>
            <w:tcW w:w="763" w:type="dxa"/>
            <w:shd w:val="clear" w:color="auto" w:fill="D9D9D9"/>
            <w:tcMar>
              <w:top w:w="20" w:type="dxa"/>
              <w:left w:w="20" w:type="dxa"/>
              <w:bottom w:w="20" w:type="dxa"/>
              <w:right w:w="20" w:type="dxa"/>
            </w:tcMar>
            <w:vAlign w:val="center"/>
          </w:tcPr>
          <w:p w14:paraId="000000F2" w14:textId="77777777" w:rsidR="004567EC" w:rsidRDefault="00893D27">
            <w:pPr>
              <w:jc w:val="center"/>
            </w:pPr>
            <w:r>
              <w:rPr>
                <w:color w:val="000000"/>
              </w:rPr>
              <w:t>27,6%</w:t>
            </w:r>
          </w:p>
        </w:tc>
        <w:tc>
          <w:tcPr>
            <w:tcW w:w="763" w:type="dxa"/>
            <w:shd w:val="clear" w:color="auto" w:fill="D9D9D9"/>
            <w:tcMar>
              <w:top w:w="20" w:type="dxa"/>
              <w:left w:w="20" w:type="dxa"/>
              <w:bottom w:w="20" w:type="dxa"/>
              <w:right w:w="20" w:type="dxa"/>
            </w:tcMar>
            <w:vAlign w:val="center"/>
          </w:tcPr>
          <w:p w14:paraId="000000F3" w14:textId="77777777" w:rsidR="004567EC" w:rsidRDefault="00893D27">
            <w:pPr>
              <w:jc w:val="center"/>
            </w:pPr>
            <w:r>
              <w:rPr>
                <w:color w:val="000000"/>
              </w:rPr>
              <w:t>29,4%</w:t>
            </w:r>
          </w:p>
        </w:tc>
        <w:tc>
          <w:tcPr>
            <w:tcW w:w="763" w:type="dxa"/>
            <w:shd w:val="clear" w:color="auto" w:fill="D9D9D9"/>
            <w:tcMar>
              <w:top w:w="20" w:type="dxa"/>
              <w:left w:w="20" w:type="dxa"/>
              <w:bottom w:w="20" w:type="dxa"/>
              <w:right w:w="20" w:type="dxa"/>
            </w:tcMar>
            <w:vAlign w:val="center"/>
          </w:tcPr>
          <w:p w14:paraId="000000F4" w14:textId="77777777" w:rsidR="004567EC" w:rsidRDefault="00893D27">
            <w:pPr>
              <w:jc w:val="center"/>
            </w:pPr>
            <w:r>
              <w:rPr>
                <w:color w:val="000000"/>
              </w:rPr>
              <w:t>30,5%</w:t>
            </w:r>
          </w:p>
        </w:tc>
        <w:tc>
          <w:tcPr>
            <w:tcW w:w="763" w:type="dxa"/>
            <w:shd w:val="clear" w:color="auto" w:fill="D9D9D9"/>
            <w:tcMar>
              <w:top w:w="20" w:type="dxa"/>
              <w:left w:w="20" w:type="dxa"/>
              <w:bottom w:w="20" w:type="dxa"/>
              <w:right w:w="20" w:type="dxa"/>
            </w:tcMar>
            <w:vAlign w:val="center"/>
          </w:tcPr>
          <w:p w14:paraId="000000F5" w14:textId="77777777" w:rsidR="004567EC" w:rsidRDefault="00893D27">
            <w:pPr>
              <w:jc w:val="center"/>
            </w:pPr>
            <w:r>
              <w:rPr>
                <w:color w:val="000000"/>
              </w:rPr>
              <w:t>30,9%</w:t>
            </w:r>
          </w:p>
        </w:tc>
        <w:tc>
          <w:tcPr>
            <w:tcW w:w="763" w:type="dxa"/>
            <w:shd w:val="clear" w:color="auto" w:fill="D9D9D9"/>
            <w:tcMar>
              <w:top w:w="20" w:type="dxa"/>
              <w:left w:w="20" w:type="dxa"/>
              <w:bottom w:w="20" w:type="dxa"/>
              <w:right w:w="20" w:type="dxa"/>
            </w:tcMar>
            <w:vAlign w:val="center"/>
          </w:tcPr>
          <w:p w14:paraId="000000F6" w14:textId="77777777" w:rsidR="004567EC" w:rsidRDefault="00893D27">
            <w:pPr>
              <w:jc w:val="center"/>
            </w:pPr>
            <w:r>
              <w:rPr>
                <w:color w:val="000000"/>
              </w:rPr>
              <w:t>31,1%</w:t>
            </w:r>
          </w:p>
        </w:tc>
        <w:tc>
          <w:tcPr>
            <w:tcW w:w="674" w:type="dxa"/>
            <w:shd w:val="clear" w:color="auto" w:fill="D9D9D9"/>
            <w:tcMar>
              <w:top w:w="20" w:type="dxa"/>
              <w:left w:w="20" w:type="dxa"/>
              <w:bottom w:w="20" w:type="dxa"/>
              <w:right w:w="20" w:type="dxa"/>
            </w:tcMar>
            <w:vAlign w:val="center"/>
          </w:tcPr>
          <w:p w14:paraId="000000F7" w14:textId="77777777" w:rsidR="004567EC" w:rsidRDefault="00893D27">
            <w:pPr>
              <w:jc w:val="center"/>
            </w:pPr>
            <w:r>
              <w:rPr>
                <w:color w:val="000000"/>
              </w:rPr>
              <w:t>28,9%</w:t>
            </w:r>
          </w:p>
        </w:tc>
        <w:tc>
          <w:tcPr>
            <w:tcW w:w="809" w:type="dxa"/>
            <w:shd w:val="clear" w:color="auto" w:fill="D9D9D9"/>
            <w:tcMar>
              <w:top w:w="20" w:type="dxa"/>
              <w:left w:w="20" w:type="dxa"/>
              <w:bottom w:w="20" w:type="dxa"/>
              <w:right w:w="20" w:type="dxa"/>
            </w:tcMar>
            <w:vAlign w:val="center"/>
          </w:tcPr>
          <w:p w14:paraId="000000F8" w14:textId="77777777" w:rsidR="004567EC" w:rsidRDefault="00893D27">
            <w:pPr>
              <w:jc w:val="center"/>
            </w:pPr>
            <w:r>
              <w:rPr>
                <w:color w:val="000000"/>
              </w:rPr>
              <w:t>29,8%</w:t>
            </w:r>
          </w:p>
        </w:tc>
      </w:tr>
      <w:tr w:rsidR="004567EC" w14:paraId="04543FFA" w14:textId="77777777">
        <w:trPr>
          <w:trHeight w:val="300"/>
        </w:trPr>
        <w:tc>
          <w:tcPr>
            <w:tcW w:w="1417" w:type="dxa"/>
            <w:tcMar>
              <w:top w:w="20" w:type="dxa"/>
              <w:left w:w="20" w:type="dxa"/>
              <w:bottom w:w="20" w:type="dxa"/>
              <w:right w:w="20" w:type="dxa"/>
            </w:tcMar>
            <w:vAlign w:val="center"/>
          </w:tcPr>
          <w:p w14:paraId="000000F9" w14:textId="77777777" w:rsidR="004567EC" w:rsidRDefault="00893D27">
            <w:r>
              <w:rPr>
                <w:color w:val="000000"/>
              </w:rPr>
              <w:t>CAUCA</w:t>
            </w:r>
          </w:p>
        </w:tc>
        <w:tc>
          <w:tcPr>
            <w:tcW w:w="764" w:type="dxa"/>
            <w:tcMar>
              <w:top w:w="20" w:type="dxa"/>
              <w:left w:w="20" w:type="dxa"/>
              <w:bottom w:w="20" w:type="dxa"/>
              <w:right w:w="20" w:type="dxa"/>
            </w:tcMar>
            <w:vAlign w:val="center"/>
          </w:tcPr>
          <w:p w14:paraId="000000FA" w14:textId="77777777" w:rsidR="004567EC" w:rsidRDefault="00893D27">
            <w:pPr>
              <w:jc w:val="center"/>
            </w:pPr>
            <w:r>
              <w:rPr>
                <w:color w:val="000000"/>
              </w:rPr>
              <w:t>27,3%</w:t>
            </w:r>
          </w:p>
        </w:tc>
        <w:tc>
          <w:tcPr>
            <w:tcW w:w="764" w:type="dxa"/>
            <w:tcMar>
              <w:top w:w="20" w:type="dxa"/>
              <w:left w:w="20" w:type="dxa"/>
              <w:bottom w:w="20" w:type="dxa"/>
              <w:right w:w="20" w:type="dxa"/>
            </w:tcMar>
            <w:vAlign w:val="center"/>
          </w:tcPr>
          <w:p w14:paraId="000000FB" w14:textId="77777777" w:rsidR="004567EC" w:rsidRDefault="00893D27">
            <w:pPr>
              <w:jc w:val="center"/>
            </w:pPr>
            <w:r>
              <w:rPr>
                <w:color w:val="000000"/>
              </w:rPr>
              <w:t>27,4%</w:t>
            </w:r>
          </w:p>
        </w:tc>
        <w:tc>
          <w:tcPr>
            <w:tcW w:w="764" w:type="dxa"/>
            <w:tcMar>
              <w:top w:w="20" w:type="dxa"/>
              <w:left w:w="20" w:type="dxa"/>
              <w:bottom w:w="20" w:type="dxa"/>
              <w:right w:w="20" w:type="dxa"/>
            </w:tcMar>
            <w:vAlign w:val="center"/>
          </w:tcPr>
          <w:p w14:paraId="000000FC" w14:textId="77777777" w:rsidR="004567EC" w:rsidRDefault="00893D27">
            <w:pPr>
              <w:jc w:val="center"/>
            </w:pPr>
            <w:r>
              <w:rPr>
                <w:color w:val="000000"/>
              </w:rPr>
              <w:t>24,6%</w:t>
            </w:r>
          </w:p>
        </w:tc>
        <w:tc>
          <w:tcPr>
            <w:tcW w:w="763" w:type="dxa"/>
            <w:tcMar>
              <w:top w:w="20" w:type="dxa"/>
              <w:left w:w="20" w:type="dxa"/>
              <w:bottom w:w="20" w:type="dxa"/>
              <w:right w:w="20" w:type="dxa"/>
            </w:tcMar>
            <w:vAlign w:val="center"/>
          </w:tcPr>
          <w:p w14:paraId="000000FD" w14:textId="77777777" w:rsidR="004567EC" w:rsidRDefault="00893D27">
            <w:pPr>
              <w:jc w:val="center"/>
            </w:pPr>
            <w:r>
              <w:rPr>
                <w:color w:val="000000"/>
              </w:rPr>
              <w:t>28,0%</w:t>
            </w:r>
          </w:p>
        </w:tc>
        <w:tc>
          <w:tcPr>
            <w:tcW w:w="763" w:type="dxa"/>
            <w:tcMar>
              <w:top w:w="20" w:type="dxa"/>
              <w:left w:w="20" w:type="dxa"/>
              <w:bottom w:w="20" w:type="dxa"/>
              <w:right w:w="20" w:type="dxa"/>
            </w:tcMar>
            <w:vAlign w:val="center"/>
          </w:tcPr>
          <w:p w14:paraId="000000FE" w14:textId="77777777" w:rsidR="004567EC" w:rsidRDefault="00893D27">
            <w:pPr>
              <w:jc w:val="center"/>
            </w:pPr>
            <w:r>
              <w:rPr>
                <w:color w:val="000000"/>
              </w:rPr>
              <w:t>29,5%</w:t>
            </w:r>
          </w:p>
        </w:tc>
        <w:tc>
          <w:tcPr>
            <w:tcW w:w="763" w:type="dxa"/>
            <w:tcMar>
              <w:top w:w="20" w:type="dxa"/>
              <w:left w:w="20" w:type="dxa"/>
              <w:bottom w:w="20" w:type="dxa"/>
              <w:right w:w="20" w:type="dxa"/>
            </w:tcMar>
            <w:vAlign w:val="center"/>
          </w:tcPr>
          <w:p w14:paraId="000000FF" w14:textId="77777777" w:rsidR="004567EC" w:rsidRDefault="00893D27">
            <w:pPr>
              <w:jc w:val="center"/>
            </w:pPr>
            <w:r>
              <w:rPr>
                <w:color w:val="000000"/>
              </w:rPr>
              <w:t>31,5%</w:t>
            </w:r>
          </w:p>
        </w:tc>
        <w:tc>
          <w:tcPr>
            <w:tcW w:w="763" w:type="dxa"/>
            <w:tcMar>
              <w:top w:w="20" w:type="dxa"/>
              <w:left w:w="20" w:type="dxa"/>
              <w:bottom w:w="20" w:type="dxa"/>
              <w:right w:w="20" w:type="dxa"/>
            </w:tcMar>
            <w:vAlign w:val="center"/>
          </w:tcPr>
          <w:p w14:paraId="00000100" w14:textId="77777777" w:rsidR="004567EC" w:rsidRDefault="00893D27">
            <w:pPr>
              <w:jc w:val="center"/>
            </w:pPr>
            <w:r>
              <w:rPr>
                <w:color w:val="000000"/>
              </w:rPr>
              <w:t>33,6%</w:t>
            </w:r>
          </w:p>
        </w:tc>
        <w:tc>
          <w:tcPr>
            <w:tcW w:w="763" w:type="dxa"/>
            <w:tcMar>
              <w:top w:w="20" w:type="dxa"/>
              <w:left w:w="20" w:type="dxa"/>
              <w:bottom w:w="20" w:type="dxa"/>
              <w:right w:w="20" w:type="dxa"/>
            </w:tcMar>
            <w:vAlign w:val="center"/>
          </w:tcPr>
          <w:p w14:paraId="00000101" w14:textId="77777777" w:rsidR="004567EC" w:rsidRDefault="00893D27">
            <w:pPr>
              <w:jc w:val="center"/>
            </w:pPr>
            <w:r>
              <w:rPr>
                <w:color w:val="000000"/>
              </w:rPr>
              <w:t>36,1%</w:t>
            </w:r>
          </w:p>
        </w:tc>
        <w:tc>
          <w:tcPr>
            <w:tcW w:w="674" w:type="dxa"/>
            <w:tcMar>
              <w:top w:w="20" w:type="dxa"/>
              <w:left w:w="20" w:type="dxa"/>
              <w:bottom w:w="20" w:type="dxa"/>
              <w:right w:w="20" w:type="dxa"/>
            </w:tcMar>
            <w:vAlign w:val="center"/>
          </w:tcPr>
          <w:p w14:paraId="00000102" w14:textId="77777777" w:rsidR="004567EC" w:rsidRDefault="00893D27">
            <w:pPr>
              <w:jc w:val="center"/>
            </w:pPr>
            <w:r>
              <w:rPr>
                <w:color w:val="000000"/>
              </w:rPr>
              <w:t>33,9%</w:t>
            </w:r>
          </w:p>
        </w:tc>
        <w:tc>
          <w:tcPr>
            <w:tcW w:w="809" w:type="dxa"/>
            <w:tcMar>
              <w:top w:w="20" w:type="dxa"/>
              <w:left w:w="20" w:type="dxa"/>
              <w:bottom w:w="20" w:type="dxa"/>
              <w:right w:w="20" w:type="dxa"/>
            </w:tcMar>
            <w:vAlign w:val="center"/>
          </w:tcPr>
          <w:p w14:paraId="00000103" w14:textId="77777777" w:rsidR="004567EC" w:rsidRDefault="00893D27">
            <w:pPr>
              <w:jc w:val="center"/>
            </w:pPr>
            <w:r>
              <w:rPr>
                <w:color w:val="000000"/>
              </w:rPr>
              <w:t>35,6%</w:t>
            </w:r>
          </w:p>
        </w:tc>
      </w:tr>
      <w:tr w:rsidR="004567EC" w14:paraId="2F2708BA" w14:textId="77777777">
        <w:trPr>
          <w:trHeight w:val="300"/>
        </w:trPr>
        <w:tc>
          <w:tcPr>
            <w:tcW w:w="1417" w:type="dxa"/>
            <w:shd w:val="clear" w:color="auto" w:fill="D9D9D9"/>
            <w:tcMar>
              <w:top w:w="20" w:type="dxa"/>
              <w:left w:w="20" w:type="dxa"/>
              <w:bottom w:w="20" w:type="dxa"/>
              <w:right w:w="20" w:type="dxa"/>
            </w:tcMar>
            <w:vAlign w:val="center"/>
          </w:tcPr>
          <w:p w14:paraId="00000104" w14:textId="77777777" w:rsidR="004567EC" w:rsidRDefault="00893D27">
            <w:r>
              <w:rPr>
                <w:color w:val="000000"/>
              </w:rPr>
              <w:t>CESAR</w:t>
            </w:r>
          </w:p>
        </w:tc>
        <w:tc>
          <w:tcPr>
            <w:tcW w:w="764" w:type="dxa"/>
            <w:shd w:val="clear" w:color="auto" w:fill="D9D9D9"/>
            <w:tcMar>
              <w:top w:w="20" w:type="dxa"/>
              <w:left w:w="20" w:type="dxa"/>
              <w:bottom w:w="20" w:type="dxa"/>
              <w:right w:w="20" w:type="dxa"/>
            </w:tcMar>
            <w:vAlign w:val="center"/>
          </w:tcPr>
          <w:p w14:paraId="00000105" w14:textId="77777777" w:rsidR="004567EC" w:rsidRDefault="00893D27">
            <w:pPr>
              <w:jc w:val="center"/>
            </w:pPr>
            <w:r>
              <w:rPr>
                <w:color w:val="000000"/>
              </w:rPr>
              <w:t>21,8%</w:t>
            </w:r>
          </w:p>
        </w:tc>
        <w:tc>
          <w:tcPr>
            <w:tcW w:w="764" w:type="dxa"/>
            <w:shd w:val="clear" w:color="auto" w:fill="D9D9D9"/>
            <w:tcMar>
              <w:top w:w="20" w:type="dxa"/>
              <w:left w:w="20" w:type="dxa"/>
              <w:bottom w:w="20" w:type="dxa"/>
              <w:right w:w="20" w:type="dxa"/>
            </w:tcMar>
            <w:vAlign w:val="center"/>
          </w:tcPr>
          <w:p w14:paraId="00000106" w14:textId="77777777" w:rsidR="004567EC" w:rsidRDefault="00893D27">
            <w:pPr>
              <w:jc w:val="center"/>
            </w:pPr>
            <w:r>
              <w:rPr>
                <w:color w:val="000000"/>
              </w:rPr>
              <w:t>25,0%</w:t>
            </w:r>
          </w:p>
        </w:tc>
        <w:tc>
          <w:tcPr>
            <w:tcW w:w="764" w:type="dxa"/>
            <w:shd w:val="clear" w:color="auto" w:fill="D9D9D9"/>
            <w:tcMar>
              <w:top w:w="20" w:type="dxa"/>
              <w:left w:w="20" w:type="dxa"/>
              <w:bottom w:w="20" w:type="dxa"/>
              <w:right w:w="20" w:type="dxa"/>
            </w:tcMar>
            <w:vAlign w:val="center"/>
          </w:tcPr>
          <w:p w14:paraId="00000107" w14:textId="77777777" w:rsidR="004567EC" w:rsidRDefault="00893D27">
            <w:pPr>
              <w:jc w:val="center"/>
            </w:pPr>
            <w:r>
              <w:rPr>
                <w:color w:val="000000"/>
              </w:rPr>
              <w:t>26,4%</w:t>
            </w:r>
          </w:p>
        </w:tc>
        <w:tc>
          <w:tcPr>
            <w:tcW w:w="763" w:type="dxa"/>
            <w:shd w:val="clear" w:color="auto" w:fill="D9D9D9"/>
            <w:tcMar>
              <w:top w:w="20" w:type="dxa"/>
              <w:left w:w="20" w:type="dxa"/>
              <w:bottom w:w="20" w:type="dxa"/>
              <w:right w:w="20" w:type="dxa"/>
            </w:tcMar>
            <w:vAlign w:val="center"/>
          </w:tcPr>
          <w:p w14:paraId="00000108" w14:textId="77777777" w:rsidR="004567EC" w:rsidRDefault="00893D27">
            <w:pPr>
              <w:jc w:val="center"/>
            </w:pPr>
            <w:r>
              <w:rPr>
                <w:color w:val="000000"/>
              </w:rPr>
              <w:t>28,6%</w:t>
            </w:r>
          </w:p>
        </w:tc>
        <w:tc>
          <w:tcPr>
            <w:tcW w:w="763" w:type="dxa"/>
            <w:shd w:val="clear" w:color="auto" w:fill="D9D9D9"/>
            <w:tcMar>
              <w:top w:w="20" w:type="dxa"/>
              <w:left w:w="20" w:type="dxa"/>
              <w:bottom w:w="20" w:type="dxa"/>
              <w:right w:w="20" w:type="dxa"/>
            </w:tcMar>
            <w:vAlign w:val="center"/>
          </w:tcPr>
          <w:p w14:paraId="00000109" w14:textId="77777777" w:rsidR="004567EC" w:rsidRDefault="00893D27">
            <w:pPr>
              <w:jc w:val="center"/>
            </w:pPr>
            <w:r>
              <w:rPr>
                <w:color w:val="000000"/>
              </w:rPr>
              <w:t>29,8%</w:t>
            </w:r>
          </w:p>
        </w:tc>
        <w:tc>
          <w:tcPr>
            <w:tcW w:w="763" w:type="dxa"/>
            <w:shd w:val="clear" w:color="auto" w:fill="D9D9D9"/>
            <w:tcMar>
              <w:top w:w="20" w:type="dxa"/>
              <w:left w:w="20" w:type="dxa"/>
              <w:bottom w:w="20" w:type="dxa"/>
              <w:right w:w="20" w:type="dxa"/>
            </w:tcMar>
            <w:vAlign w:val="center"/>
          </w:tcPr>
          <w:p w14:paraId="0000010A" w14:textId="77777777" w:rsidR="004567EC" w:rsidRDefault="00893D27">
            <w:pPr>
              <w:jc w:val="center"/>
            </w:pPr>
            <w:r>
              <w:rPr>
                <w:color w:val="000000"/>
              </w:rPr>
              <w:t>30,4%</w:t>
            </w:r>
          </w:p>
        </w:tc>
        <w:tc>
          <w:tcPr>
            <w:tcW w:w="763" w:type="dxa"/>
            <w:shd w:val="clear" w:color="auto" w:fill="D9D9D9"/>
            <w:tcMar>
              <w:top w:w="20" w:type="dxa"/>
              <w:left w:w="20" w:type="dxa"/>
              <w:bottom w:w="20" w:type="dxa"/>
              <w:right w:w="20" w:type="dxa"/>
            </w:tcMar>
            <w:vAlign w:val="center"/>
          </w:tcPr>
          <w:p w14:paraId="0000010B" w14:textId="77777777" w:rsidR="004567EC" w:rsidRDefault="00893D27">
            <w:pPr>
              <w:jc w:val="center"/>
            </w:pPr>
            <w:r>
              <w:rPr>
                <w:color w:val="000000"/>
              </w:rPr>
              <w:t>31,1%</w:t>
            </w:r>
          </w:p>
        </w:tc>
        <w:tc>
          <w:tcPr>
            <w:tcW w:w="763" w:type="dxa"/>
            <w:shd w:val="clear" w:color="auto" w:fill="D9D9D9"/>
            <w:tcMar>
              <w:top w:w="20" w:type="dxa"/>
              <w:left w:w="20" w:type="dxa"/>
              <w:bottom w:w="20" w:type="dxa"/>
              <w:right w:w="20" w:type="dxa"/>
            </w:tcMar>
            <w:vAlign w:val="center"/>
          </w:tcPr>
          <w:p w14:paraId="0000010C" w14:textId="77777777" w:rsidR="004567EC" w:rsidRDefault="00893D27">
            <w:pPr>
              <w:jc w:val="center"/>
            </w:pPr>
            <w:r>
              <w:rPr>
                <w:color w:val="000000"/>
              </w:rPr>
              <w:t>32,8%</w:t>
            </w:r>
          </w:p>
        </w:tc>
        <w:tc>
          <w:tcPr>
            <w:tcW w:w="674" w:type="dxa"/>
            <w:shd w:val="clear" w:color="auto" w:fill="D9D9D9"/>
            <w:tcMar>
              <w:top w:w="20" w:type="dxa"/>
              <w:left w:w="20" w:type="dxa"/>
              <w:bottom w:w="20" w:type="dxa"/>
              <w:right w:w="20" w:type="dxa"/>
            </w:tcMar>
            <w:vAlign w:val="center"/>
          </w:tcPr>
          <w:p w14:paraId="0000010D" w14:textId="77777777" w:rsidR="004567EC" w:rsidRDefault="00893D27">
            <w:pPr>
              <w:jc w:val="center"/>
            </w:pPr>
            <w:r>
              <w:rPr>
                <w:color w:val="000000"/>
              </w:rPr>
              <w:t>32,6%</w:t>
            </w:r>
          </w:p>
        </w:tc>
        <w:tc>
          <w:tcPr>
            <w:tcW w:w="809" w:type="dxa"/>
            <w:shd w:val="clear" w:color="auto" w:fill="D9D9D9"/>
            <w:tcMar>
              <w:top w:w="20" w:type="dxa"/>
              <w:left w:w="20" w:type="dxa"/>
              <w:bottom w:w="20" w:type="dxa"/>
              <w:right w:w="20" w:type="dxa"/>
            </w:tcMar>
            <w:vAlign w:val="center"/>
          </w:tcPr>
          <w:p w14:paraId="0000010E" w14:textId="77777777" w:rsidR="004567EC" w:rsidRDefault="00893D27">
            <w:pPr>
              <w:jc w:val="center"/>
            </w:pPr>
            <w:r>
              <w:rPr>
                <w:color w:val="000000"/>
              </w:rPr>
              <w:t>31,6%</w:t>
            </w:r>
          </w:p>
        </w:tc>
      </w:tr>
      <w:tr w:rsidR="004567EC" w14:paraId="0786962D" w14:textId="77777777">
        <w:trPr>
          <w:trHeight w:val="300"/>
        </w:trPr>
        <w:tc>
          <w:tcPr>
            <w:tcW w:w="1417" w:type="dxa"/>
            <w:tcMar>
              <w:top w:w="20" w:type="dxa"/>
              <w:left w:w="20" w:type="dxa"/>
              <w:bottom w:w="20" w:type="dxa"/>
              <w:right w:w="20" w:type="dxa"/>
            </w:tcMar>
            <w:vAlign w:val="center"/>
          </w:tcPr>
          <w:p w14:paraId="0000010F" w14:textId="77777777" w:rsidR="004567EC" w:rsidRDefault="00893D27">
            <w:r>
              <w:rPr>
                <w:color w:val="000000"/>
              </w:rPr>
              <w:t>CORDOBA</w:t>
            </w:r>
          </w:p>
        </w:tc>
        <w:tc>
          <w:tcPr>
            <w:tcW w:w="764" w:type="dxa"/>
            <w:tcMar>
              <w:top w:w="20" w:type="dxa"/>
              <w:left w:w="20" w:type="dxa"/>
              <w:bottom w:w="20" w:type="dxa"/>
              <w:right w:w="20" w:type="dxa"/>
            </w:tcMar>
            <w:vAlign w:val="center"/>
          </w:tcPr>
          <w:p w14:paraId="00000110" w14:textId="77777777" w:rsidR="004567EC" w:rsidRDefault="00893D27">
            <w:pPr>
              <w:jc w:val="center"/>
            </w:pPr>
            <w:r>
              <w:rPr>
                <w:color w:val="000000"/>
              </w:rPr>
              <w:t>17,1%</w:t>
            </w:r>
          </w:p>
        </w:tc>
        <w:tc>
          <w:tcPr>
            <w:tcW w:w="764" w:type="dxa"/>
            <w:tcMar>
              <w:top w:w="20" w:type="dxa"/>
              <w:left w:w="20" w:type="dxa"/>
              <w:bottom w:w="20" w:type="dxa"/>
              <w:right w:w="20" w:type="dxa"/>
            </w:tcMar>
            <w:vAlign w:val="center"/>
          </w:tcPr>
          <w:p w14:paraId="00000111" w14:textId="77777777" w:rsidR="004567EC" w:rsidRDefault="00893D27">
            <w:pPr>
              <w:jc w:val="center"/>
            </w:pPr>
            <w:r>
              <w:rPr>
                <w:color w:val="000000"/>
              </w:rPr>
              <w:t>18,3%</w:t>
            </w:r>
          </w:p>
        </w:tc>
        <w:tc>
          <w:tcPr>
            <w:tcW w:w="764" w:type="dxa"/>
            <w:tcMar>
              <w:top w:w="20" w:type="dxa"/>
              <w:left w:w="20" w:type="dxa"/>
              <w:bottom w:w="20" w:type="dxa"/>
              <w:right w:w="20" w:type="dxa"/>
            </w:tcMar>
            <w:vAlign w:val="center"/>
          </w:tcPr>
          <w:p w14:paraId="00000112" w14:textId="77777777" w:rsidR="004567EC" w:rsidRDefault="00893D27">
            <w:pPr>
              <w:jc w:val="center"/>
            </w:pPr>
            <w:r>
              <w:rPr>
                <w:color w:val="000000"/>
              </w:rPr>
              <w:t>19,9%</w:t>
            </w:r>
          </w:p>
        </w:tc>
        <w:tc>
          <w:tcPr>
            <w:tcW w:w="763" w:type="dxa"/>
            <w:tcMar>
              <w:top w:w="20" w:type="dxa"/>
              <w:left w:w="20" w:type="dxa"/>
              <w:bottom w:w="20" w:type="dxa"/>
              <w:right w:w="20" w:type="dxa"/>
            </w:tcMar>
            <w:vAlign w:val="center"/>
          </w:tcPr>
          <w:p w14:paraId="00000113" w14:textId="77777777" w:rsidR="004567EC" w:rsidRDefault="00893D27">
            <w:pPr>
              <w:jc w:val="center"/>
            </w:pPr>
            <w:r>
              <w:rPr>
                <w:color w:val="000000"/>
              </w:rPr>
              <w:t>22,3%</w:t>
            </w:r>
          </w:p>
        </w:tc>
        <w:tc>
          <w:tcPr>
            <w:tcW w:w="763" w:type="dxa"/>
            <w:tcMar>
              <w:top w:w="20" w:type="dxa"/>
              <w:left w:w="20" w:type="dxa"/>
              <w:bottom w:w="20" w:type="dxa"/>
              <w:right w:w="20" w:type="dxa"/>
            </w:tcMar>
            <w:vAlign w:val="center"/>
          </w:tcPr>
          <w:p w14:paraId="00000114" w14:textId="77777777" w:rsidR="004567EC" w:rsidRDefault="00893D27">
            <w:pPr>
              <w:jc w:val="center"/>
            </w:pPr>
            <w:r>
              <w:rPr>
                <w:color w:val="000000"/>
              </w:rPr>
              <w:t>23,6%</w:t>
            </w:r>
          </w:p>
        </w:tc>
        <w:tc>
          <w:tcPr>
            <w:tcW w:w="763" w:type="dxa"/>
            <w:tcMar>
              <w:top w:w="20" w:type="dxa"/>
              <w:left w:w="20" w:type="dxa"/>
              <w:bottom w:w="20" w:type="dxa"/>
              <w:right w:w="20" w:type="dxa"/>
            </w:tcMar>
            <w:vAlign w:val="center"/>
          </w:tcPr>
          <w:p w14:paraId="00000115" w14:textId="77777777" w:rsidR="004567EC" w:rsidRDefault="00893D27">
            <w:pPr>
              <w:jc w:val="center"/>
            </w:pPr>
            <w:r>
              <w:rPr>
                <w:color w:val="000000"/>
              </w:rPr>
              <w:t>23,0%</w:t>
            </w:r>
          </w:p>
        </w:tc>
        <w:tc>
          <w:tcPr>
            <w:tcW w:w="763" w:type="dxa"/>
            <w:tcMar>
              <w:top w:w="20" w:type="dxa"/>
              <w:left w:w="20" w:type="dxa"/>
              <w:bottom w:w="20" w:type="dxa"/>
              <w:right w:w="20" w:type="dxa"/>
            </w:tcMar>
            <w:vAlign w:val="center"/>
          </w:tcPr>
          <w:p w14:paraId="00000116" w14:textId="77777777" w:rsidR="004567EC" w:rsidRDefault="00893D27">
            <w:pPr>
              <w:jc w:val="center"/>
            </w:pPr>
            <w:r>
              <w:rPr>
                <w:color w:val="000000"/>
              </w:rPr>
              <w:t>23,7%</w:t>
            </w:r>
          </w:p>
        </w:tc>
        <w:tc>
          <w:tcPr>
            <w:tcW w:w="763" w:type="dxa"/>
            <w:tcMar>
              <w:top w:w="20" w:type="dxa"/>
              <w:left w:w="20" w:type="dxa"/>
              <w:bottom w:w="20" w:type="dxa"/>
              <w:right w:w="20" w:type="dxa"/>
            </w:tcMar>
            <w:vAlign w:val="center"/>
          </w:tcPr>
          <w:p w14:paraId="00000117" w14:textId="77777777" w:rsidR="004567EC" w:rsidRDefault="00893D27">
            <w:pPr>
              <w:jc w:val="center"/>
            </w:pPr>
            <w:r>
              <w:rPr>
                <w:color w:val="000000"/>
              </w:rPr>
              <w:t>24,8%</w:t>
            </w:r>
          </w:p>
        </w:tc>
        <w:tc>
          <w:tcPr>
            <w:tcW w:w="674" w:type="dxa"/>
            <w:tcMar>
              <w:top w:w="20" w:type="dxa"/>
              <w:left w:w="20" w:type="dxa"/>
              <w:bottom w:w="20" w:type="dxa"/>
              <w:right w:w="20" w:type="dxa"/>
            </w:tcMar>
            <w:vAlign w:val="center"/>
          </w:tcPr>
          <w:p w14:paraId="00000118" w14:textId="77777777" w:rsidR="004567EC" w:rsidRDefault="00893D27">
            <w:pPr>
              <w:jc w:val="center"/>
            </w:pPr>
            <w:r>
              <w:rPr>
                <w:color w:val="000000"/>
              </w:rPr>
              <w:t>25,2%</w:t>
            </w:r>
          </w:p>
        </w:tc>
        <w:tc>
          <w:tcPr>
            <w:tcW w:w="809" w:type="dxa"/>
            <w:tcMar>
              <w:top w:w="20" w:type="dxa"/>
              <w:left w:w="20" w:type="dxa"/>
              <w:bottom w:w="20" w:type="dxa"/>
              <w:right w:w="20" w:type="dxa"/>
            </w:tcMar>
            <w:vAlign w:val="center"/>
          </w:tcPr>
          <w:p w14:paraId="00000119" w14:textId="77777777" w:rsidR="004567EC" w:rsidRDefault="00893D27">
            <w:pPr>
              <w:jc w:val="center"/>
            </w:pPr>
            <w:r>
              <w:rPr>
                <w:color w:val="000000"/>
              </w:rPr>
              <w:t>25,3%</w:t>
            </w:r>
          </w:p>
        </w:tc>
      </w:tr>
      <w:tr w:rsidR="004567EC" w14:paraId="513BDE37" w14:textId="77777777">
        <w:trPr>
          <w:trHeight w:val="300"/>
        </w:trPr>
        <w:tc>
          <w:tcPr>
            <w:tcW w:w="1417" w:type="dxa"/>
            <w:shd w:val="clear" w:color="auto" w:fill="D9D9D9"/>
            <w:tcMar>
              <w:top w:w="20" w:type="dxa"/>
              <w:left w:w="20" w:type="dxa"/>
              <w:bottom w:w="20" w:type="dxa"/>
              <w:right w:w="20" w:type="dxa"/>
            </w:tcMar>
            <w:vAlign w:val="center"/>
          </w:tcPr>
          <w:p w14:paraId="0000011A" w14:textId="77777777" w:rsidR="004567EC" w:rsidRDefault="00893D27">
            <w:r>
              <w:rPr>
                <w:color w:val="000000"/>
              </w:rPr>
              <w:t>CUNDINAMARCA</w:t>
            </w:r>
          </w:p>
        </w:tc>
        <w:tc>
          <w:tcPr>
            <w:tcW w:w="764" w:type="dxa"/>
            <w:shd w:val="clear" w:color="auto" w:fill="D9D9D9"/>
            <w:tcMar>
              <w:top w:w="20" w:type="dxa"/>
              <w:left w:w="20" w:type="dxa"/>
              <w:bottom w:w="20" w:type="dxa"/>
              <w:right w:w="20" w:type="dxa"/>
            </w:tcMar>
            <w:vAlign w:val="center"/>
          </w:tcPr>
          <w:p w14:paraId="0000011B" w14:textId="77777777" w:rsidR="004567EC" w:rsidRDefault="00893D27">
            <w:pPr>
              <w:jc w:val="center"/>
            </w:pPr>
            <w:r>
              <w:rPr>
                <w:color w:val="000000"/>
              </w:rPr>
              <w:t>23,7%</w:t>
            </w:r>
          </w:p>
        </w:tc>
        <w:tc>
          <w:tcPr>
            <w:tcW w:w="764" w:type="dxa"/>
            <w:shd w:val="clear" w:color="auto" w:fill="D9D9D9"/>
            <w:tcMar>
              <w:top w:w="20" w:type="dxa"/>
              <w:left w:w="20" w:type="dxa"/>
              <w:bottom w:w="20" w:type="dxa"/>
              <w:right w:w="20" w:type="dxa"/>
            </w:tcMar>
            <w:vAlign w:val="center"/>
          </w:tcPr>
          <w:p w14:paraId="0000011C" w14:textId="77777777" w:rsidR="004567EC" w:rsidRDefault="00893D27">
            <w:pPr>
              <w:jc w:val="center"/>
            </w:pPr>
            <w:r>
              <w:rPr>
                <w:color w:val="000000"/>
              </w:rPr>
              <w:t>22,6%</w:t>
            </w:r>
          </w:p>
        </w:tc>
        <w:tc>
          <w:tcPr>
            <w:tcW w:w="764" w:type="dxa"/>
            <w:shd w:val="clear" w:color="auto" w:fill="D9D9D9"/>
            <w:tcMar>
              <w:top w:w="20" w:type="dxa"/>
              <w:left w:w="20" w:type="dxa"/>
              <w:bottom w:w="20" w:type="dxa"/>
              <w:right w:w="20" w:type="dxa"/>
            </w:tcMar>
            <w:vAlign w:val="center"/>
          </w:tcPr>
          <w:p w14:paraId="0000011D" w14:textId="77777777" w:rsidR="004567EC" w:rsidRDefault="00893D27">
            <w:pPr>
              <w:jc w:val="center"/>
            </w:pPr>
            <w:r>
              <w:rPr>
                <w:color w:val="000000"/>
              </w:rPr>
              <w:t>24,7%</w:t>
            </w:r>
          </w:p>
        </w:tc>
        <w:tc>
          <w:tcPr>
            <w:tcW w:w="763" w:type="dxa"/>
            <w:shd w:val="clear" w:color="auto" w:fill="D9D9D9"/>
            <w:tcMar>
              <w:top w:w="20" w:type="dxa"/>
              <w:left w:w="20" w:type="dxa"/>
              <w:bottom w:w="20" w:type="dxa"/>
              <w:right w:w="20" w:type="dxa"/>
            </w:tcMar>
            <w:vAlign w:val="center"/>
          </w:tcPr>
          <w:p w14:paraId="0000011E" w14:textId="77777777" w:rsidR="004567EC" w:rsidRDefault="00893D27">
            <w:pPr>
              <w:jc w:val="center"/>
            </w:pPr>
            <w:r>
              <w:rPr>
                <w:color w:val="000000"/>
              </w:rPr>
              <w:t>27,8%</w:t>
            </w:r>
          </w:p>
        </w:tc>
        <w:tc>
          <w:tcPr>
            <w:tcW w:w="763" w:type="dxa"/>
            <w:shd w:val="clear" w:color="auto" w:fill="D9D9D9"/>
            <w:tcMar>
              <w:top w:w="20" w:type="dxa"/>
              <w:left w:w="20" w:type="dxa"/>
              <w:bottom w:w="20" w:type="dxa"/>
              <w:right w:w="20" w:type="dxa"/>
            </w:tcMar>
            <w:vAlign w:val="center"/>
          </w:tcPr>
          <w:p w14:paraId="0000011F" w14:textId="77777777" w:rsidR="004567EC" w:rsidRDefault="00893D27">
            <w:pPr>
              <w:jc w:val="center"/>
            </w:pPr>
            <w:r>
              <w:rPr>
                <w:color w:val="000000"/>
              </w:rPr>
              <w:t>30,0%</w:t>
            </w:r>
          </w:p>
        </w:tc>
        <w:tc>
          <w:tcPr>
            <w:tcW w:w="763" w:type="dxa"/>
            <w:shd w:val="clear" w:color="auto" w:fill="D9D9D9"/>
            <w:tcMar>
              <w:top w:w="20" w:type="dxa"/>
              <w:left w:w="20" w:type="dxa"/>
              <w:bottom w:w="20" w:type="dxa"/>
              <w:right w:w="20" w:type="dxa"/>
            </w:tcMar>
            <w:vAlign w:val="center"/>
          </w:tcPr>
          <w:p w14:paraId="00000120" w14:textId="77777777" w:rsidR="004567EC" w:rsidRDefault="00893D27">
            <w:pPr>
              <w:jc w:val="center"/>
            </w:pPr>
            <w:r>
              <w:rPr>
                <w:color w:val="000000"/>
              </w:rPr>
              <w:t>30,5%</w:t>
            </w:r>
          </w:p>
        </w:tc>
        <w:tc>
          <w:tcPr>
            <w:tcW w:w="763" w:type="dxa"/>
            <w:shd w:val="clear" w:color="auto" w:fill="D9D9D9"/>
            <w:tcMar>
              <w:top w:w="20" w:type="dxa"/>
              <w:left w:w="20" w:type="dxa"/>
              <w:bottom w:w="20" w:type="dxa"/>
              <w:right w:w="20" w:type="dxa"/>
            </w:tcMar>
            <w:vAlign w:val="center"/>
          </w:tcPr>
          <w:p w14:paraId="00000121" w14:textId="77777777" w:rsidR="004567EC" w:rsidRDefault="00893D27">
            <w:pPr>
              <w:jc w:val="center"/>
            </w:pPr>
            <w:r>
              <w:rPr>
                <w:color w:val="000000"/>
              </w:rPr>
              <w:t>30,1%</w:t>
            </w:r>
          </w:p>
        </w:tc>
        <w:tc>
          <w:tcPr>
            <w:tcW w:w="763" w:type="dxa"/>
            <w:shd w:val="clear" w:color="auto" w:fill="D9D9D9"/>
            <w:tcMar>
              <w:top w:w="20" w:type="dxa"/>
              <w:left w:w="20" w:type="dxa"/>
              <w:bottom w:w="20" w:type="dxa"/>
              <w:right w:w="20" w:type="dxa"/>
            </w:tcMar>
            <w:vAlign w:val="center"/>
          </w:tcPr>
          <w:p w14:paraId="00000122" w14:textId="77777777" w:rsidR="004567EC" w:rsidRDefault="00893D27">
            <w:pPr>
              <w:jc w:val="center"/>
            </w:pPr>
            <w:r>
              <w:rPr>
                <w:color w:val="000000"/>
              </w:rPr>
              <w:t>31,7%</w:t>
            </w:r>
          </w:p>
        </w:tc>
        <w:tc>
          <w:tcPr>
            <w:tcW w:w="674" w:type="dxa"/>
            <w:shd w:val="clear" w:color="auto" w:fill="D9D9D9"/>
            <w:tcMar>
              <w:top w:w="20" w:type="dxa"/>
              <w:left w:w="20" w:type="dxa"/>
              <w:bottom w:w="20" w:type="dxa"/>
              <w:right w:w="20" w:type="dxa"/>
            </w:tcMar>
            <w:vAlign w:val="center"/>
          </w:tcPr>
          <w:p w14:paraId="00000123" w14:textId="77777777" w:rsidR="004567EC" w:rsidRDefault="00893D27">
            <w:pPr>
              <w:jc w:val="center"/>
            </w:pPr>
            <w:r>
              <w:rPr>
                <w:color w:val="000000"/>
              </w:rPr>
              <w:t>30,5%</w:t>
            </w:r>
          </w:p>
        </w:tc>
        <w:tc>
          <w:tcPr>
            <w:tcW w:w="809" w:type="dxa"/>
            <w:shd w:val="clear" w:color="auto" w:fill="D9D9D9"/>
            <w:tcMar>
              <w:top w:w="20" w:type="dxa"/>
              <w:left w:w="20" w:type="dxa"/>
              <w:bottom w:w="20" w:type="dxa"/>
              <w:right w:w="20" w:type="dxa"/>
            </w:tcMar>
            <w:vAlign w:val="center"/>
          </w:tcPr>
          <w:p w14:paraId="00000124" w14:textId="77777777" w:rsidR="004567EC" w:rsidRDefault="00893D27">
            <w:pPr>
              <w:jc w:val="center"/>
            </w:pPr>
            <w:r>
              <w:rPr>
                <w:color w:val="000000"/>
              </w:rPr>
              <w:t>29,4%</w:t>
            </w:r>
          </w:p>
        </w:tc>
      </w:tr>
      <w:tr w:rsidR="004567EC" w14:paraId="00C8C1B8" w14:textId="77777777">
        <w:trPr>
          <w:trHeight w:val="300"/>
        </w:trPr>
        <w:tc>
          <w:tcPr>
            <w:tcW w:w="1417" w:type="dxa"/>
            <w:tcMar>
              <w:top w:w="20" w:type="dxa"/>
              <w:left w:w="20" w:type="dxa"/>
              <w:bottom w:w="20" w:type="dxa"/>
              <w:right w:w="20" w:type="dxa"/>
            </w:tcMar>
            <w:vAlign w:val="center"/>
          </w:tcPr>
          <w:p w14:paraId="00000125" w14:textId="77777777" w:rsidR="004567EC" w:rsidRDefault="00893D27">
            <w:r>
              <w:rPr>
                <w:color w:val="000000"/>
              </w:rPr>
              <w:t>CHOCO</w:t>
            </w:r>
          </w:p>
        </w:tc>
        <w:tc>
          <w:tcPr>
            <w:tcW w:w="764" w:type="dxa"/>
            <w:tcMar>
              <w:top w:w="20" w:type="dxa"/>
              <w:left w:w="20" w:type="dxa"/>
              <w:bottom w:w="20" w:type="dxa"/>
              <w:right w:w="20" w:type="dxa"/>
            </w:tcMar>
            <w:vAlign w:val="center"/>
          </w:tcPr>
          <w:p w14:paraId="00000126" w14:textId="77777777" w:rsidR="004567EC" w:rsidRDefault="00893D27">
            <w:pPr>
              <w:jc w:val="center"/>
            </w:pPr>
            <w:r>
              <w:rPr>
                <w:color w:val="000000"/>
              </w:rPr>
              <w:t>30,6%</w:t>
            </w:r>
          </w:p>
        </w:tc>
        <w:tc>
          <w:tcPr>
            <w:tcW w:w="764" w:type="dxa"/>
            <w:tcMar>
              <w:top w:w="20" w:type="dxa"/>
              <w:left w:w="20" w:type="dxa"/>
              <w:bottom w:w="20" w:type="dxa"/>
              <w:right w:w="20" w:type="dxa"/>
            </w:tcMar>
            <w:vAlign w:val="center"/>
          </w:tcPr>
          <w:p w14:paraId="00000127" w14:textId="77777777" w:rsidR="004567EC" w:rsidRDefault="00893D27">
            <w:pPr>
              <w:jc w:val="center"/>
            </w:pPr>
            <w:r>
              <w:rPr>
                <w:color w:val="000000"/>
              </w:rPr>
              <w:t>28,2%</w:t>
            </w:r>
          </w:p>
        </w:tc>
        <w:tc>
          <w:tcPr>
            <w:tcW w:w="764" w:type="dxa"/>
            <w:tcMar>
              <w:top w:w="20" w:type="dxa"/>
              <w:left w:w="20" w:type="dxa"/>
              <w:bottom w:w="20" w:type="dxa"/>
              <w:right w:w="20" w:type="dxa"/>
            </w:tcMar>
            <w:vAlign w:val="center"/>
          </w:tcPr>
          <w:p w14:paraId="00000128" w14:textId="77777777" w:rsidR="004567EC" w:rsidRDefault="00893D27">
            <w:pPr>
              <w:jc w:val="center"/>
            </w:pPr>
            <w:r>
              <w:rPr>
                <w:color w:val="000000"/>
              </w:rPr>
              <w:t>27,3%</w:t>
            </w:r>
          </w:p>
        </w:tc>
        <w:tc>
          <w:tcPr>
            <w:tcW w:w="763" w:type="dxa"/>
            <w:tcMar>
              <w:top w:w="20" w:type="dxa"/>
              <w:left w:w="20" w:type="dxa"/>
              <w:bottom w:w="20" w:type="dxa"/>
              <w:right w:w="20" w:type="dxa"/>
            </w:tcMar>
            <w:vAlign w:val="center"/>
          </w:tcPr>
          <w:p w14:paraId="00000129" w14:textId="77777777" w:rsidR="004567EC" w:rsidRDefault="00893D27">
            <w:pPr>
              <w:jc w:val="center"/>
            </w:pPr>
            <w:r>
              <w:rPr>
                <w:color w:val="000000"/>
              </w:rPr>
              <w:t>26,6%</w:t>
            </w:r>
          </w:p>
        </w:tc>
        <w:tc>
          <w:tcPr>
            <w:tcW w:w="763" w:type="dxa"/>
            <w:tcMar>
              <w:top w:w="20" w:type="dxa"/>
              <w:left w:w="20" w:type="dxa"/>
              <w:bottom w:w="20" w:type="dxa"/>
              <w:right w:w="20" w:type="dxa"/>
            </w:tcMar>
            <w:vAlign w:val="center"/>
          </w:tcPr>
          <w:p w14:paraId="0000012A" w14:textId="77777777" w:rsidR="004567EC" w:rsidRDefault="00893D27">
            <w:pPr>
              <w:jc w:val="center"/>
            </w:pPr>
            <w:r>
              <w:rPr>
                <w:color w:val="000000"/>
              </w:rPr>
              <w:t>26,5%</w:t>
            </w:r>
          </w:p>
        </w:tc>
        <w:tc>
          <w:tcPr>
            <w:tcW w:w="763" w:type="dxa"/>
            <w:tcMar>
              <w:top w:w="20" w:type="dxa"/>
              <w:left w:w="20" w:type="dxa"/>
              <w:bottom w:w="20" w:type="dxa"/>
              <w:right w:w="20" w:type="dxa"/>
            </w:tcMar>
            <w:vAlign w:val="center"/>
          </w:tcPr>
          <w:p w14:paraId="0000012B" w14:textId="77777777" w:rsidR="004567EC" w:rsidRDefault="00893D27">
            <w:pPr>
              <w:jc w:val="center"/>
            </w:pPr>
            <w:r>
              <w:rPr>
                <w:color w:val="000000"/>
              </w:rPr>
              <w:t>26,2%</w:t>
            </w:r>
          </w:p>
        </w:tc>
        <w:tc>
          <w:tcPr>
            <w:tcW w:w="763" w:type="dxa"/>
            <w:tcMar>
              <w:top w:w="20" w:type="dxa"/>
              <w:left w:w="20" w:type="dxa"/>
              <w:bottom w:w="20" w:type="dxa"/>
              <w:right w:w="20" w:type="dxa"/>
            </w:tcMar>
            <w:vAlign w:val="center"/>
          </w:tcPr>
          <w:p w14:paraId="0000012C" w14:textId="77777777" w:rsidR="004567EC" w:rsidRDefault="00893D27">
            <w:pPr>
              <w:jc w:val="center"/>
            </w:pPr>
            <w:r>
              <w:rPr>
                <w:color w:val="000000"/>
              </w:rPr>
              <w:t>24,3%</w:t>
            </w:r>
          </w:p>
        </w:tc>
        <w:tc>
          <w:tcPr>
            <w:tcW w:w="763" w:type="dxa"/>
            <w:tcMar>
              <w:top w:w="20" w:type="dxa"/>
              <w:left w:w="20" w:type="dxa"/>
              <w:bottom w:w="20" w:type="dxa"/>
              <w:right w:w="20" w:type="dxa"/>
            </w:tcMar>
            <w:vAlign w:val="center"/>
          </w:tcPr>
          <w:p w14:paraId="0000012D" w14:textId="77777777" w:rsidR="004567EC" w:rsidRDefault="00893D27">
            <w:pPr>
              <w:jc w:val="center"/>
            </w:pPr>
            <w:r>
              <w:rPr>
                <w:color w:val="000000"/>
              </w:rPr>
              <w:t>25,8%</w:t>
            </w:r>
          </w:p>
        </w:tc>
        <w:tc>
          <w:tcPr>
            <w:tcW w:w="674" w:type="dxa"/>
            <w:tcMar>
              <w:top w:w="20" w:type="dxa"/>
              <w:left w:w="20" w:type="dxa"/>
              <w:bottom w:w="20" w:type="dxa"/>
              <w:right w:w="20" w:type="dxa"/>
            </w:tcMar>
            <w:vAlign w:val="center"/>
          </w:tcPr>
          <w:p w14:paraId="0000012E" w14:textId="77777777" w:rsidR="004567EC" w:rsidRDefault="00893D27">
            <w:pPr>
              <w:jc w:val="center"/>
            </w:pPr>
            <w:r>
              <w:rPr>
                <w:color w:val="000000"/>
              </w:rPr>
              <w:t>25,1%</w:t>
            </w:r>
          </w:p>
        </w:tc>
        <w:tc>
          <w:tcPr>
            <w:tcW w:w="809" w:type="dxa"/>
            <w:tcMar>
              <w:top w:w="20" w:type="dxa"/>
              <w:left w:w="20" w:type="dxa"/>
              <w:bottom w:w="20" w:type="dxa"/>
              <w:right w:w="20" w:type="dxa"/>
            </w:tcMar>
            <w:vAlign w:val="center"/>
          </w:tcPr>
          <w:p w14:paraId="0000012F" w14:textId="77777777" w:rsidR="004567EC" w:rsidRDefault="00893D27">
            <w:pPr>
              <w:jc w:val="center"/>
            </w:pPr>
            <w:r>
              <w:rPr>
                <w:color w:val="000000"/>
              </w:rPr>
              <w:t>27,6%</w:t>
            </w:r>
          </w:p>
        </w:tc>
      </w:tr>
      <w:tr w:rsidR="004567EC" w14:paraId="30BC6C3D" w14:textId="77777777">
        <w:trPr>
          <w:trHeight w:val="300"/>
        </w:trPr>
        <w:tc>
          <w:tcPr>
            <w:tcW w:w="1417" w:type="dxa"/>
            <w:shd w:val="clear" w:color="auto" w:fill="D9D9D9"/>
            <w:tcMar>
              <w:top w:w="20" w:type="dxa"/>
              <w:left w:w="20" w:type="dxa"/>
              <w:bottom w:w="20" w:type="dxa"/>
              <w:right w:w="20" w:type="dxa"/>
            </w:tcMar>
            <w:vAlign w:val="center"/>
          </w:tcPr>
          <w:p w14:paraId="00000130" w14:textId="77777777" w:rsidR="004567EC" w:rsidRDefault="00893D27">
            <w:r>
              <w:rPr>
                <w:color w:val="000000"/>
              </w:rPr>
              <w:t>HUILA</w:t>
            </w:r>
          </w:p>
        </w:tc>
        <w:tc>
          <w:tcPr>
            <w:tcW w:w="764" w:type="dxa"/>
            <w:shd w:val="clear" w:color="auto" w:fill="D9D9D9"/>
            <w:tcMar>
              <w:top w:w="20" w:type="dxa"/>
              <w:left w:w="20" w:type="dxa"/>
              <w:bottom w:w="20" w:type="dxa"/>
              <w:right w:w="20" w:type="dxa"/>
            </w:tcMar>
            <w:vAlign w:val="center"/>
          </w:tcPr>
          <w:p w14:paraId="00000131" w14:textId="77777777" w:rsidR="004567EC" w:rsidRDefault="00893D27">
            <w:pPr>
              <w:jc w:val="center"/>
            </w:pPr>
            <w:r>
              <w:rPr>
                <w:color w:val="000000"/>
              </w:rPr>
              <w:t>27,3%</w:t>
            </w:r>
          </w:p>
        </w:tc>
        <w:tc>
          <w:tcPr>
            <w:tcW w:w="764" w:type="dxa"/>
            <w:shd w:val="clear" w:color="auto" w:fill="D9D9D9"/>
            <w:tcMar>
              <w:top w:w="20" w:type="dxa"/>
              <w:left w:w="20" w:type="dxa"/>
              <w:bottom w:w="20" w:type="dxa"/>
              <w:right w:w="20" w:type="dxa"/>
            </w:tcMar>
            <w:vAlign w:val="center"/>
          </w:tcPr>
          <w:p w14:paraId="00000132" w14:textId="77777777" w:rsidR="004567EC" w:rsidRDefault="00893D27">
            <w:pPr>
              <w:jc w:val="center"/>
            </w:pPr>
            <w:r>
              <w:rPr>
                <w:color w:val="000000"/>
              </w:rPr>
              <w:t>29,1%</w:t>
            </w:r>
          </w:p>
        </w:tc>
        <w:tc>
          <w:tcPr>
            <w:tcW w:w="764" w:type="dxa"/>
            <w:shd w:val="clear" w:color="auto" w:fill="D9D9D9"/>
            <w:tcMar>
              <w:top w:w="20" w:type="dxa"/>
              <w:left w:w="20" w:type="dxa"/>
              <w:bottom w:w="20" w:type="dxa"/>
              <w:right w:w="20" w:type="dxa"/>
            </w:tcMar>
            <w:vAlign w:val="center"/>
          </w:tcPr>
          <w:p w14:paraId="00000133" w14:textId="77777777" w:rsidR="004567EC" w:rsidRDefault="00893D27">
            <w:pPr>
              <w:jc w:val="center"/>
            </w:pPr>
            <w:r>
              <w:rPr>
                <w:color w:val="000000"/>
              </w:rPr>
              <w:t>31,5%</w:t>
            </w:r>
          </w:p>
        </w:tc>
        <w:tc>
          <w:tcPr>
            <w:tcW w:w="763" w:type="dxa"/>
            <w:shd w:val="clear" w:color="auto" w:fill="D9D9D9"/>
            <w:tcMar>
              <w:top w:w="20" w:type="dxa"/>
              <w:left w:w="20" w:type="dxa"/>
              <w:bottom w:w="20" w:type="dxa"/>
              <w:right w:w="20" w:type="dxa"/>
            </w:tcMar>
            <w:vAlign w:val="center"/>
          </w:tcPr>
          <w:p w14:paraId="00000134" w14:textId="77777777" w:rsidR="004567EC" w:rsidRDefault="00893D27">
            <w:pPr>
              <w:jc w:val="center"/>
            </w:pPr>
            <w:r>
              <w:rPr>
                <w:color w:val="000000"/>
              </w:rPr>
              <w:t>33,3%</w:t>
            </w:r>
          </w:p>
        </w:tc>
        <w:tc>
          <w:tcPr>
            <w:tcW w:w="763" w:type="dxa"/>
            <w:shd w:val="clear" w:color="auto" w:fill="D9D9D9"/>
            <w:tcMar>
              <w:top w:w="20" w:type="dxa"/>
              <w:left w:w="20" w:type="dxa"/>
              <w:bottom w:w="20" w:type="dxa"/>
              <w:right w:w="20" w:type="dxa"/>
            </w:tcMar>
            <w:vAlign w:val="center"/>
          </w:tcPr>
          <w:p w14:paraId="00000135" w14:textId="77777777" w:rsidR="004567EC" w:rsidRDefault="00893D27">
            <w:pPr>
              <w:jc w:val="center"/>
            </w:pPr>
            <w:r>
              <w:rPr>
                <w:color w:val="000000"/>
              </w:rPr>
              <w:t>34,0%</w:t>
            </w:r>
          </w:p>
        </w:tc>
        <w:tc>
          <w:tcPr>
            <w:tcW w:w="763" w:type="dxa"/>
            <w:shd w:val="clear" w:color="auto" w:fill="D9D9D9"/>
            <w:tcMar>
              <w:top w:w="20" w:type="dxa"/>
              <w:left w:w="20" w:type="dxa"/>
              <w:bottom w:w="20" w:type="dxa"/>
              <w:right w:w="20" w:type="dxa"/>
            </w:tcMar>
            <w:vAlign w:val="center"/>
          </w:tcPr>
          <w:p w14:paraId="00000136" w14:textId="77777777" w:rsidR="004567EC" w:rsidRDefault="00893D27">
            <w:pPr>
              <w:jc w:val="center"/>
            </w:pPr>
            <w:r>
              <w:rPr>
                <w:color w:val="000000"/>
              </w:rPr>
              <w:t>36,3%</w:t>
            </w:r>
          </w:p>
        </w:tc>
        <w:tc>
          <w:tcPr>
            <w:tcW w:w="763" w:type="dxa"/>
            <w:shd w:val="clear" w:color="auto" w:fill="D9D9D9"/>
            <w:tcMar>
              <w:top w:w="20" w:type="dxa"/>
              <w:left w:w="20" w:type="dxa"/>
              <w:bottom w:w="20" w:type="dxa"/>
              <w:right w:w="20" w:type="dxa"/>
            </w:tcMar>
            <w:vAlign w:val="center"/>
          </w:tcPr>
          <w:p w14:paraId="00000137" w14:textId="77777777" w:rsidR="004567EC" w:rsidRDefault="00893D27">
            <w:pPr>
              <w:jc w:val="center"/>
            </w:pPr>
            <w:r>
              <w:rPr>
                <w:color w:val="000000"/>
              </w:rPr>
              <w:t>38,0%</w:t>
            </w:r>
          </w:p>
        </w:tc>
        <w:tc>
          <w:tcPr>
            <w:tcW w:w="763" w:type="dxa"/>
            <w:shd w:val="clear" w:color="auto" w:fill="D9D9D9"/>
            <w:tcMar>
              <w:top w:w="20" w:type="dxa"/>
              <w:left w:w="20" w:type="dxa"/>
              <w:bottom w:w="20" w:type="dxa"/>
              <w:right w:w="20" w:type="dxa"/>
            </w:tcMar>
            <w:vAlign w:val="center"/>
          </w:tcPr>
          <w:p w14:paraId="00000138" w14:textId="77777777" w:rsidR="004567EC" w:rsidRDefault="00893D27">
            <w:pPr>
              <w:jc w:val="center"/>
            </w:pPr>
            <w:r>
              <w:rPr>
                <w:color w:val="000000"/>
              </w:rPr>
              <w:t>39,8%</w:t>
            </w:r>
          </w:p>
        </w:tc>
        <w:tc>
          <w:tcPr>
            <w:tcW w:w="674" w:type="dxa"/>
            <w:shd w:val="clear" w:color="auto" w:fill="D9D9D9"/>
            <w:tcMar>
              <w:top w:w="20" w:type="dxa"/>
              <w:left w:w="20" w:type="dxa"/>
              <w:bottom w:w="20" w:type="dxa"/>
              <w:right w:w="20" w:type="dxa"/>
            </w:tcMar>
            <w:vAlign w:val="center"/>
          </w:tcPr>
          <w:p w14:paraId="00000139" w14:textId="77777777" w:rsidR="004567EC" w:rsidRDefault="00893D27">
            <w:pPr>
              <w:jc w:val="center"/>
            </w:pPr>
            <w:r>
              <w:rPr>
                <w:color w:val="000000"/>
              </w:rPr>
              <w:t>39,9%</w:t>
            </w:r>
          </w:p>
        </w:tc>
        <w:tc>
          <w:tcPr>
            <w:tcW w:w="809" w:type="dxa"/>
            <w:shd w:val="clear" w:color="auto" w:fill="D9D9D9"/>
            <w:tcMar>
              <w:top w:w="20" w:type="dxa"/>
              <w:left w:w="20" w:type="dxa"/>
              <w:bottom w:w="20" w:type="dxa"/>
              <w:right w:w="20" w:type="dxa"/>
            </w:tcMar>
            <w:vAlign w:val="center"/>
          </w:tcPr>
          <w:p w14:paraId="0000013A" w14:textId="77777777" w:rsidR="004567EC" w:rsidRDefault="00893D27">
            <w:pPr>
              <w:jc w:val="center"/>
            </w:pPr>
            <w:r>
              <w:rPr>
                <w:color w:val="000000"/>
              </w:rPr>
              <w:t>40,5%</w:t>
            </w:r>
          </w:p>
        </w:tc>
      </w:tr>
      <w:tr w:rsidR="004567EC" w14:paraId="47912312" w14:textId="77777777">
        <w:trPr>
          <w:trHeight w:val="300"/>
        </w:trPr>
        <w:tc>
          <w:tcPr>
            <w:tcW w:w="1417" w:type="dxa"/>
            <w:tcMar>
              <w:top w:w="20" w:type="dxa"/>
              <w:left w:w="20" w:type="dxa"/>
              <w:bottom w:w="20" w:type="dxa"/>
              <w:right w:w="20" w:type="dxa"/>
            </w:tcMar>
            <w:vAlign w:val="center"/>
          </w:tcPr>
          <w:p w14:paraId="0000013B" w14:textId="77777777" w:rsidR="004567EC" w:rsidRDefault="00893D27">
            <w:r>
              <w:rPr>
                <w:color w:val="000000"/>
              </w:rPr>
              <w:t>LA GUAJIRA</w:t>
            </w:r>
          </w:p>
        </w:tc>
        <w:tc>
          <w:tcPr>
            <w:tcW w:w="764" w:type="dxa"/>
            <w:tcMar>
              <w:top w:w="20" w:type="dxa"/>
              <w:left w:w="20" w:type="dxa"/>
              <w:bottom w:w="20" w:type="dxa"/>
              <w:right w:w="20" w:type="dxa"/>
            </w:tcMar>
            <w:vAlign w:val="center"/>
          </w:tcPr>
          <w:p w14:paraId="0000013C" w14:textId="77777777" w:rsidR="004567EC" w:rsidRDefault="00893D27">
            <w:pPr>
              <w:jc w:val="center"/>
            </w:pPr>
            <w:r>
              <w:rPr>
                <w:color w:val="000000"/>
              </w:rPr>
              <w:t>22,0%</w:t>
            </w:r>
          </w:p>
        </w:tc>
        <w:tc>
          <w:tcPr>
            <w:tcW w:w="764" w:type="dxa"/>
            <w:tcMar>
              <w:top w:w="20" w:type="dxa"/>
              <w:left w:w="20" w:type="dxa"/>
              <w:bottom w:w="20" w:type="dxa"/>
              <w:right w:w="20" w:type="dxa"/>
            </w:tcMar>
            <w:vAlign w:val="center"/>
          </w:tcPr>
          <w:p w14:paraId="0000013D" w14:textId="77777777" w:rsidR="004567EC" w:rsidRDefault="00893D27">
            <w:pPr>
              <w:jc w:val="center"/>
            </w:pPr>
            <w:r>
              <w:rPr>
                <w:color w:val="000000"/>
              </w:rPr>
              <w:t>19,9%</w:t>
            </w:r>
          </w:p>
        </w:tc>
        <w:tc>
          <w:tcPr>
            <w:tcW w:w="764" w:type="dxa"/>
            <w:tcMar>
              <w:top w:w="20" w:type="dxa"/>
              <w:left w:w="20" w:type="dxa"/>
              <w:bottom w:w="20" w:type="dxa"/>
              <w:right w:w="20" w:type="dxa"/>
            </w:tcMar>
            <w:vAlign w:val="center"/>
          </w:tcPr>
          <w:p w14:paraId="0000013E" w14:textId="77777777" w:rsidR="004567EC" w:rsidRDefault="00893D27">
            <w:pPr>
              <w:jc w:val="center"/>
            </w:pPr>
            <w:r>
              <w:rPr>
                <w:color w:val="000000"/>
              </w:rPr>
              <w:t>18,8%</w:t>
            </w:r>
          </w:p>
        </w:tc>
        <w:tc>
          <w:tcPr>
            <w:tcW w:w="763" w:type="dxa"/>
            <w:tcMar>
              <w:top w:w="20" w:type="dxa"/>
              <w:left w:w="20" w:type="dxa"/>
              <w:bottom w:w="20" w:type="dxa"/>
              <w:right w:w="20" w:type="dxa"/>
            </w:tcMar>
            <w:vAlign w:val="center"/>
          </w:tcPr>
          <w:p w14:paraId="0000013F" w14:textId="77777777" w:rsidR="004567EC" w:rsidRDefault="00893D27">
            <w:pPr>
              <w:jc w:val="center"/>
            </w:pPr>
            <w:r>
              <w:rPr>
                <w:color w:val="000000"/>
              </w:rPr>
              <w:t>19,0%</w:t>
            </w:r>
          </w:p>
        </w:tc>
        <w:tc>
          <w:tcPr>
            <w:tcW w:w="763" w:type="dxa"/>
            <w:tcMar>
              <w:top w:w="20" w:type="dxa"/>
              <w:left w:w="20" w:type="dxa"/>
              <w:bottom w:w="20" w:type="dxa"/>
              <w:right w:w="20" w:type="dxa"/>
            </w:tcMar>
            <w:vAlign w:val="center"/>
          </w:tcPr>
          <w:p w14:paraId="00000140" w14:textId="77777777" w:rsidR="004567EC" w:rsidRDefault="00893D27">
            <w:pPr>
              <w:jc w:val="center"/>
            </w:pPr>
            <w:r>
              <w:rPr>
                <w:color w:val="000000"/>
              </w:rPr>
              <w:t>22,2%</w:t>
            </w:r>
          </w:p>
        </w:tc>
        <w:tc>
          <w:tcPr>
            <w:tcW w:w="763" w:type="dxa"/>
            <w:tcMar>
              <w:top w:w="20" w:type="dxa"/>
              <w:left w:w="20" w:type="dxa"/>
              <w:bottom w:w="20" w:type="dxa"/>
              <w:right w:w="20" w:type="dxa"/>
            </w:tcMar>
            <w:vAlign w:val="center"/>
          </w:tcPr>
          <w:p w14:paraId="00000141" w14:textId="77777777" w:rsidR="004567EC" w:rsidRDefault="00893D27">
            <w:pPr>
              <w:jc w:val="center"/>
            </w:pPr>
            <w:r>
              <w:rPr>
                <w:color w:val="000000"/>
              </w:rPr>
              <w:t>26,1%</w:t>
            </w:r>
          </w:p>
        </w:tc>
        <w:tc>
          <w:tcPr>
            <w:tcW w:w="763" w:type="dxa"/>
            <w:tcMar>
              <w:top w:w="20" w:type="dxa"/>
              <w:left w:w="20" w:type="dxa"/>
              <w:bottom w:w="20" w:type="dxa"/>
              <w:right w:w="20" w:type="dxa"/>
            </w:tcMar>
            <w:vAlign w:val="center"/>
          </w:tcPr>
          <w:p w14:paraId="00000142" w14:textId="77777777" w:rsidR="004567EC" w:rsidRDefault="00893D27">
            <w:pPr>
              <w:jc w:val="center"/>
            </w:pPr>
            <w:r>
              <w:rPr>
                <w:color w:val="000000"/>
              </w:rPr>
              <w:t>24,6%</w:t>
            </w:r>
          </w:p>
        </w:tc>
        <w:tc>
          <w:tcPr>
            <w:tcW w:w="763" w:type="dxa"/>
            <w:tcMar>
              <w:top w:w="20" w:type="dxa"/>
              <w:left w:w="20" w:type="dxa"/>
              <w:bottom w:w="20" w:type="dxa"/>
              <w:right w:w="20" w:type="dxa"/>
            </w:tcMar>
            <w:vAlign w:val="center"/>
          </w:tcPr>
          <w:p w14:paraId="00000143" w14:textId="77777777" w:rsidR="004567EC" w:rsidRDefault="00893D27">
            <w:pPr>
              <w:jc w:val="center"/>
            </w:pPr>
            <w:r>
              <w:rPr>
                <w:color w:val="000000"/>
              </w:rPr>
              <w:t>24,4%</w:t>
            </w:r>
          </w:p>
        </w:tc>
        <w:tc>
          <w:tcPr>
            <w:tcW w:w="674" w:type="dxa"/>
            <w:tcMar>
              <w:top w:w="20" w:type="dxa"/>
              <w:left w:w="20" w:type="dxa"/>
              <w:bottom w:w="20" w:type="dxa"/>
              <w:right w:w="20" w:type="dxa"/>
            </w:tcMar>
            <w:vAlign w:val="center"/>
          </w:tcPr>
          <w:p w14:paraId="00000144" w14:textId="77777777" w:rsidR="004567EC" w:rsidRDefault="00893D27">
            <w:pPr>
              <w:jc w:val="center"/>
            </w:pPr>
            <w:r>
              <w:rPr>
                <w:color w:val="000000"/>
              </w:rPr>
              <w:t>23,2%</w:t>
            </w:r>
          </w:p>
        </w:tc>
        <w:tc>
          <w:tcPr>
            <w:tcW w:w="809" w:type="dxa"/>
            <w:tcMar>
              <w:top w:w="20" w:type="dxa"/>
              <w:left w:w="20" w:type="dxa"/>
              <w:bottom w:w="20" w:type="dxa"/>
              <w:right w:w="20" w:type="dxa"/>
            </w:tcMar>
            <w:vAlign w:val="center"/>
          </w:tcPr>
          <w:p w14:paraId="00000145" w14:textId="77777777" w:rsidR="004567EC" w:rsidRDefault="00893D27">
            <w:pPr>
              <w:jc w:val="center"/>
            </w:pPr>
            <w:r>
              <w:rPr>
                <w:color w:val="000000"/>
              </w:rPr>
              <w:t>21,9%</w:t>
            </w:r>
          </w:p>
        </w:tc>
      </w:tr>
      <w:tr w:rsidR="004567EC" w14:paraId="25FB56C0" w14:textId="77777777">
        <w:trPr>
          <w:trHeight w:val="300"/>
        </w:trPr>
        <w:tc>
          <w:tcPr>
            <w:tcW w:w="1417" w:type="dxa"/>
            <w:shd w:val="clear" w:color="auto" w:fill="D9D9D9"/>
            <w:tcMar>
              <w:top w:w="20" w:type="dxa"/>
              <w:left w:w="20" w:type="dxa"/>
              <w:bottom w:w="20" w:type="dxa"/>
              <w:right w:w="20" w:type="dxa"/>
            </w:tcMar>
            <w:vAlign w:val="center"/>
          </w:tcPr>
          <w:p w14:paraId="00000146" w14:textId="77777777" w:rsidR="004567EC" w:rsidRDefault="00893D27">
            <w:r>
              <w:rPr>
                <w:color w:val="000000"/>
              </w:rPr>
              <w:t>MAGDALENA</w:t>
            </w:r>
          </w:p>
        </w:tc>
        <w:tc>
          <w:tcPr>
            <w:tcW w:w="764" w:type="dxa"/>
            <w:shd w:val="clear" w:color="auto" w:fill="D9D9D9"/>
            <w:tcMar>
              <w:top w:w="20" w:type="dxa"/>
              <w:left w:w="20" w:type="dxa"/>
              <w:bottom w:w="20" w:type="dxa"/>
              <w:right w:w="20" w:type="dxa"/>
            </w:tcMar>
            <w:vAlign w:val="center"/>
          </w:tcPr>
          <w:p w14:paraId="00000147" w14:textId="77777777" w:rsidR="004567EC" w:rsidRDefault="00893D27">
            <w:pPr>
              <w:jc w:val="center"/>
            </w:pPr>
            <w:r>
              <w:rPr>
                <w:color w:val="000000"/>
              </w:rPr>
              <w:t>19,7%</w:t>
            </w:r>
          </w:p>
        </w:tc>
        <w:tc>
          <w:tcPr>
            <w:tcW w:w="764" w:type="dxa"/>
            <w:shd w:val="clear" w:color="auto" w:fill="D9D9D9"/>
            <w:tcMar>
              <w:top w:w="20" w:type="dxa"/>
              <w:left w:w="20" w:type="dxa"/>
              <w:bottom w:w="20" w:type="dxa"/>
              <w:right w:w="20" w:type="dxa"/>
            </w:tcMar>
            <w:vAlign w:val="center"/>
          </w:tcPr>
          <w:p w14:paraId="00000148" w14:textId="77777777" w:rsidR="004567EC" w:rsidRDefault="00893D27">
            <w:pPr>
              <w:jc w:val="center"/>
            </w:pPr>
            <w:r>
              <w:rPr>
                <w:color w:val="000000"/>
              </w:rPr>
              <w:t>25,8%</w:t>
            </w:r>
          </w:p>
        </w:tc>
        <w:tc>
          <w:tcPr>
            <w:tcW w:w="764" w:type="dxa"/>
            <w:shd w:val="clear" w:color="auto" w:fill="D9D9D9"/>
            <w:tcMar>
              <w:top w:w="20" w:type="dxa"/>
              <w:left w:w="20" w:type="dxa"/>
              <w:bottom w:w="20" w:type="dxa"/>
              <w:right w:w="20" w:type="dxa"/>
            </w:tcMar>
            <w:vAlign w:val="center"/>
          </w:tcPr>
          <w:p w14:paraId="00000149" w14:textId="77777777" w:rsidR="004567EC" w:rsidRDefault="00893D27">
            <w:pPr>
              <w:jc w:val="center"/>
            </w:pPr>
            <w:r>
              <w:rPr>
                <w:color w:val="000000"/>
              </w:rPr>
              <w:t>28,5%</w:t>
            </w:r>
          </w:p>
        </w:tc>
        <w:tc>
          <w:tcPr>
            <w:tcW w:w="763" w:type="dxa"/>
            <w:shd w:val="clear" w:color="auto" w:fill="D9D9D9"/>
            <w:tcMar>
              <w:top w:w="20" w:type="dxa"/>
              <w:left w:w="20" w:type="dxa"/>
              <w:bottom w:w="20" w:type="dxa"/>
              <w:right w:w="20" w:type="dxa"/>
            </w:tcMar>
            <w:vAlign w:val="center"/>
          </w:tcPr>
          <w:p w14:paraId="0000014A" w14:textId="77777777" w:rsidR="004567EC" w:rsidRDefault="00893D27">
            <w:pPr>
              <w:jc w:val="center"/>
            </w:pPr>
            <w:r>
              <w:rPr>
                <w:color w:val="000000"/>
              </w:rPr>
              <w:t>30,5%</w:t>
            </w:r>
          </w:p>
        </w:tc>
        <w:tc>
          <w:tcPr>
            <w:tcW w:w="763" w:type="dxa"/>
            <w:shd w:val="clear" w:color="auto" w:fill="D9D9D9"/>
            <w:tcMar>
              <w:top w:w="20" w:type="dxa"/>
              <w:left w:w="20" w:type="dxa"/>
              <w:bottom w:w="20" w:type="dxa"/>
              <w:right w:w="20" w:type="dxa"/>
            </w:tcMar>
            <w:vAlign w:val="center"/>
          </w:tcPr>
          <w:p w14:paraId="0000014B" w14:textId="77777777" w:rsidR="004567EC" w:rsidRDefault="00893D27">
            <w:pPr>
              <w:jc w:val="center"/>
            </w:pPr>
            <w:r>
              <w:rPr>
                <w:color w:val="000000"/>
              </w:rPr>
              <w:t>30,2%</w:t>
            </w:r>
          </w:p>
        </w:tc>
        <w:tc>
          <w:tcPr>
            <w:tcW w:w="763" w:type="dxa"/>
            <w:shd w:val="clear" w:color="auto" w:fill="D9D9D9"/>
            <w:tcMar>
              <w:top w:w="20" w:type="dxa"/>
              <w:left w:w="20" w:type="dxa"/>
              <w:bottom w:w="20" w:type="dxa"/>
              <w:right w:w="20" w:type="dxa"/>
            </w:tcMar>
            <w:vAlign w:val="center"/>
          </w:tcPr>
          <w:p w14:paraId="0000014C" w14:textId="77777777" w:rsidR="004567EC" w:rsidRDefault="00893D27">
            <w:pPr>
              <w:jc w:val="center"/>
            </w:pPr>
            <w:r>
              <w:rPr>
                <w:color w:val="000000"/>
              </w:rPr>
              <w:t>32,2%</w:t>
            </w:r>
          </w:p>
        </w:tc>
        <w:tc>
          <w:tcPr>
            <w:tcW w:w="763" w:type="dxa"/>
            <w:shd w:val="clear" w:color="auto" w:fill="D9D9D9"/>
            <w:tcMar>
              <w:top w:w="20" w:type="dxa"/>
              <w:left w:w="20" w:type="dxa"/>
              <w:bottom w:w="20" w:type="dxa"/>
              <w:right w:w="20" w:type="dxa"/>
            </w:tcMar>
            <w:vAlign w:val="center"/>
          </w:tcPr>
          <w:p w14:paraId="0000014D" w14:textId="77777777" w:rsidR="004567EC" w:rsidRDefault="00893D27">
            <w:pPr>
              <w:jc w:val="center"/>
            </w:pPr>
            <w:r>
              <w:rPr>
                <w:color w:val="000000"/>
              </w:rPr>
              <w:t>31,6%</w:t>
            </w:r>
          </w:p>
        </w:tc>
        <w:tc>
          <w:tcPr>
            <w:tcW w:w="763" w:type="dxa"/>
            <w:shd w:val="clear" w:color="auto" w:fill="D9D9D9"/>
            <w:tcMar>
              <w:top w:w="20" w:type="dxa"/>
              <w:left w:w="20" w:type="dxa"/>
              <w:bottom w:w="20" w:type="dxa"/>
              <w:right w:w="20" w:type="dxa"/>
            </w:tcMar>
            <w:vAlign w:val="center"/>
          </w:tcPr>
          <w:p w14:paraId="0000014E" w14:textId="77777777" w:rsidR="004567EC" w:rsidRDefault="00893D27">
            <w:pPr>
              <w:jc w:val="center"/>
            </w:pPr>
            <w:r>
              <w:rPr>
                <w:color w:val="000000"/>
              </w:rPr>
              <w:t>31,3%</w:t>
            </w:r>
          </w:p>
        </w:tc>
        <w:tc>
          <w:tcPr>
            <w:tcW w:w="674" w:type="dxa"/>
            <w:shd w:val="clear" w:color="auto" w:fill="D9D9D9"/>
            <w:tcMar>
              <w:top w:w="20" w:type="dxa"/>
              <w:left w:w="20" w:type="dxa"/>
              <w:bottom w:w="20" w:type="dxa"/>
              <w:right w:w="20" w:type="dxa"/>
            </w:tcMar>
            <w:vAlign w:val="center"/>
          </w:tcPr>
          <w:p w14:paraId="0000014F" w14:textId="77777777" w:rsidR="004567EC" w:rsidRDefault="00893D27">
            <w:pPr>
              <w:jc w:val="center"/>
            </w:pPr>
            <w:r>
              <w:rPr>
                <w:color w:val="000000"/>
              </w:rPr>
              <w:t>27,5%</w:t>
            </w:r>
          </w:p>
        </w:tc>
        <w:tc>
          <w:tcPr>
            <w:tcW w:w="809" w:type="dxa"/>
            <w:shd w:val="clear" w:color="auto" w:fill="D9D9D9"/>
            <w:tcMar>
              <w:top w:w="20" w:type="dxa"/>
              <w:left w:w="20" w:type="dxa"/>
              <w:bottom w:w="20" w:type="dxa"/>
              <w:right w:w="20" w:type="dxa"/>
            </w:tcMar>
            <w:vAlign w:val="center"/>
          </w:tcPr>
          <w:p w14:paraId="00000150" w14:textId="77777777" w:rsidR="004567EC" w:rsidRDefault="00893D27">
            <w:pPr>
              <w:jc w:val="center"/>
            </w:pPr>
            <w:r>
              <w:rPr>
                <w:color w:val="000000"/>
              </w:rPr>
              <w:t>28,1%</w:t>
            </w:r>
          </w:p>
        </w:tc>
      </w:tr>
      <w:tr w:rsidR="004567EC" w14:paraId="363BC071" w14:textId="77777777">
        <w:trPr>
          <w:trHeight w:val="300"/>
        </w:trPr>
        <w:tc>
          <w:tcPr>
            <w:tcW w:w="1417" w:type="dxa"/>
            <w:tcMar>
              <w:top w:w="20" w:type="dxa"/>
              <w:left w:w="20" w:type="dxa"/>
              <w:bottom w:w="20" w:type="dxa"/>
              <w:right w:w="20" w:type="dxa"/>
            </w:tcMar>
            <w:vAlign w:val="center"/>
          </w:tcPr>
          <w:p w14:paraId="00000151" w14:textId="77777777" w:rsidR="004567EC" w:rsidRDefault="00893D27">
            <w:r>
              <w:rPr>
                <w:color w:val="000000"/>
              </w:rPr>
              <w:t>META</w:t>
            </w:r>
          </w:p>
        </w:tc>
        <w:tc>
          <w:tcPr>
            <w:tcW w:w="764" w:type="dxa"/>
            <w:tcMar>
              <w:top w:w="20" w:type="dxa"/>
              <w:left w:w="20" w:type="dxa"/>
              <w:bottom w:w="20" w:type="dxa"/>
              <w:right w:w="20" w:type="dxa"/>
            </w:tcMar>
            <w:vAlign w:val="center"/>
          </w:tcPr>
          <w:p w14:paraId="00000152" w14:textId="77777777" w:rsidR="004567EC" w:rsidRDefault="00893D27">
            <w:pPr>
              <w:jc w:val="center"/>
            </w:pPr>
            <w:r>
              <w:rPr>
                <w:color w:val="000000"/>
              </w:rPr>
              <w:t>26,0%</w:t>
            </w:r>
          </w:p>
        </w:tc>
        <w:tc>
          <w:tcPr>
            <w:tcW w:w="764" w:type="dxa"/>
            <w:tcMar>
              <w:top w:w="20" w:type="dxa"/>
              <w:left w:w="20" w:type="dxa"/>
              <w:bottom w:w="20" w:type="dxa"/>
              <w:right w:w="20" w:type="dxa"/>
            </w:tcMar>
            <w:vAlign w:val="center"/>
          </w:tcPr>
          <w:p w14:paraId="00000153" w14:textId="77777777" w:rsidR="004567EC" w:rsidRDefault="00893D27">
            <w:pPr>
              <w:jc w:val="center"/>
            </w:pPr>
            <w:r>
              <w:rPr>
                <w:color w:val="000000"/>
              </w:rPr>
              <w:t>29,7%</w:t>
            </w:r>
          </w:p>
        </w:tc>
        <w:tc>
          <w:tcPr>
            <w:tcW w:w="764" w:type="dxa"/>
            <w:tcMar>
              <w:top w:w="20" w:type="dxa"/>
              <w:left w:w="20" w:type="dxa"/>
              <w:bottom w:w="20" w:type="dxa"/>
              <w:right w:w="20" w:type="dxa"/>
            </w:tcMar>
            <w:vAlign w:val="center"/>
          </w:tcPr>
          <w:p w14:paraId="00000154" w14:textId="77777777" w:rsidR="004567EC" w:rsidRDefault="00893D27">
            <w:pPr>
              <w:jc w:val="center"/>
            </w:pPr>
            <w:r>
              <w:rPr>
                <w:color w:val="000000"/>
              </w:rPr>
              <w:t>31,0%</w:t>
            </w:r>
          </w:p>
        </w:tc>
        <w:tc>
          <w:tcPr>
            <w:tcW w:w="763" w:type="dxa"/>
            <w:tcMar>
              <w:top w:w="20" w:type="dxa"/>
              <w:left w:w="20" w:type="dxa"/>
              <w:bottom w:w="20" w:type="dxa"/>
              <w:right w:w="20" w:type="dxa"/>
            </w:tcMar>
            <w:vAlign w:val="center"/>
          </w:tcPr>
          <w:p w14:paraId="00000155" w14:textId="77777777" w:rsidR="004567EC" w:rsidRDefault="00893D27">
            <w:pPr>
              <w:jc w:val="center"/>
            </w:pPr>
            <w:r>
              <w:rPr>
                <w:color w:val="000000"/>
              </w:rPr>
              <w:t>33,7%</w:t>
            </w:r>
          </w:p>
        </w:tc>
        <w:tc>
          <w:tcPr>
            <w:tcW w:w="763" w:type="dxa"/>
            <w:tcMar>
              <w:top w:w="20" w:type="dxa"/>
              <w:left w:w="20" w:type="dxa"/>
              <w:bottom w:w="20" w:type="dxa"/>
              <w:right w:w="20" w:type="dxa"/>
            </w:tcMar>
            <w:vAlign w:val="center"/>
          </w:tcPr>
          <w:p w14:paraId="00000156" w14:textId="77777777" w:rsidR="004567EC" w:rsidRDefault="00893D27">
            <w:pPr>
              <w:jc w:val="center"/>
            </w:pPr>
            <w:r>
              <w:rPr>
                <w:color w:val="000000"/>
              </w:rPr>
              <w:t>33,5%</w:t>
            </w:r>
          </w:p>
        </w:tc>
        <w:tc>
          <w:tcPr>
            <w:tcW w:w="763" w:type="dxa"/>
            <w:tcMar>
              <w:top w:w="20" w:type="dxa"/>
              <w:left w:w="20" w:type="dxa"/>
              <w:bottom w:w="20" w:type="dxa"/>
              <w:right w:w="20" w:type="dxa"/>
            </w:tcMar>
            <w:vAlign w:val="center"/>
          </w:tcPr>
          <w:p w14:paraId="00000157" w14:textId="77777777" w:rsidR="004567EC" w:rsidRDefault="00893D27">
            <w:pPr>
              <w:jc w:val="center"/>
            </w:pPr>
            <w:r>
              <w:rPr>
                <w:color w:val="000000"/>
              </w:rPr>
              <w:t>34,9%</w:t>
            </w:r>
          </w:p>
        </w:tc>
        <w:tc>
          <w:tcPr>
            <w:tcW w:w="763" w:type="dxa"/>
            <w:tcMar>
              <w:top w:w="20" w:type="dxa"/>
              <w:left w:w="20" w:type="dxa"/>
              <w:bottom w:w="20" w:type="dxa"/>
              <w:right w:w="20" w:type="dxa"/>
            </w:tcMar>
            <w:vAlign w:val="center"/>
          </w:tcPr>
          <w:p w14:paraId="00000158" w14:textId="77777777" w:rsidR="004567EC" w:rsidRDefault="00893D27">
            <w:pPr>
              <w:jc w:val="center"/>
            </w:pPr>
            <w:r>
              <w:rPr>
                <w:color w:val="000000"/>
              </w:rPr>
              <w:t>36,0%</w:t>
            </w:r>
          </w:p>
        </w:tc>
        <w:tc>
          <w:tcPr>
            <w:tcW w:w="763" w:type="dxa"/>
            <w:tcMar>
              <w:top w:w="20" w:type="dxa"/>
              <w:left w:w="20" w:type="dxa"/>
              <w:bottom w:w="20" w:type="dxa"/>
              <w:right w:w="20" w:type="dxa"/>
            </w:tcMar>
            <w:vAlign w:val="center"/>
          </w:tcPr>
          <w:p w14:paraId="00000159" w14:textId="77777777" w:rsidR="004567EC" w:rsidRDefault="00893D27">
            <w:pPr>
              <w:jc w:val="center"/>
            </w:pPr>
            <w:r>
              <w:rPr>
                <w:color w:val="000000"/>
              </w:rPr>
              <w:t>33,2%</w:t>
            </w:r>
          </w:p>
        </w:tc>
        <w:tc>
          <w:tcPr>
            <w:tcW w:w="674" w:type="dxa"/>
            <w:tcMar>
              <w:top w:w="20" w:type="dxa"/>
              <w:left w:w="20" w:type="dxa"/>
              <w:bottom w:w="20" w:type="dxa"/>
              <w:right w:w="20" w:type="dxa"/>
            </w:tcMar>
            <w:vAlign w:val="center"/>
          </w:tcPr>
          <w:p w14:paraId="0000015A" w14:textId="77777777" w:rsidR="004567EC" w:rsidRDefault="00893D27">
            <w:pPr>
              <w:jc w:val="center"/>
            </w:pPr>
            <w:r>
              <w:rPr>
                <w:color w:val="000000"/>
              </w:rPr>
              <w:t>32,5%</w:t>
            </w:r>
          </w:p>
        </w:tc>
        <w:tc>
          <w:tcPr>
            <w:tcW w:w="809" w:type="dxa"/>
            <w:tcMar>
              <w:top w:w="20" w:type="dxa"/>
              <w:left w:w="20" w:type="dxa"/>
              <w:bottom w:w="20" w:type="dxa"/>
              <w:right w:w="20" w:type="dxa"/>
            </w:tcMar>
            <w:vAlign w:val="center"/>
          </w:tcPr>
          <w:p w14:paraId="0000015B" w14:textId="77777777" w:rsidR="004567EC" w:rsidRDefault="00893D27">
            <w:pPr>
              <w:jc w:val="center"/>
            </w:pPr>
            <w:r>
              <w:rPr>
                <w:color w:val="000000"/>
              </w:rPr>
              <w:t>32,7%</w:t>
            </w:r>
          </w:p>
        </w:tc>
      </w:tr>
      <w:tr w:rsidR="004567EC" w14:paraId="2D528DD6" w14:textId="77777777">
        <w:trPr>
          <w:trHeight w:val="300"/>
        </w:trPr>
        <w:tc>
          <w:tcPr>
            <w:tcW w:w="1417" w:type="dxa"/>
            <w:shd w:val="clear" w:color="auto" w:fill="D9D9D9"/>
            <w:tcMar>
              <w:top w:w="20" w:type="dxa"/>
              <w:left w:w="20" w:type="dxa"/>
              <w:bottom w:w="20" w:type="dxa"/>
              <w:right w:w="20" w:type="dxa"/>
            </w:tcMar>
            <w:vAlign w:val="center"/>
          </w:tcPr>
          <w:p w14:paraId="0000015C" w14:textId="77777777" w:rsidR="004567EC" w:rsidRDefault="00893D27">
            <w:r>
              <w:rPr>
                <w:color w:val="000000"/>
              </w:rPr>
              <w:t>NARIÑO</w:t>
            </w:r>
          </w:p>
        </w:tc>
        <w:tc>
          <w:tcPr>
            <w:tcW w:w="764" w:type="dxa"/>
            <w:shd w:val="clear" w:color="auto" w:fill="D9D9D9"/>
            <w:tcMar>
              <w:top w:w="20" w:type="dxa"/>
              <w:left w:w="20" w:type="dxa"/>
              <w:bottom w:w="20" w:type="dxa"/>
              <w:right w:w="20" w:type="dxa"/>
            </w:tcMar>
            <w:vAlign w:val="center"/>
          </w:tcPr>
          <w:p w14:paraId="0000015D" w14:textId="77777777" w:rsidR="004567EC" w:rsidRDefault="00893D27">
            <w:pPr>
              <w:jc w:val="center"/>
            </w:pPr>
            <w:r>
              <w:rPr>
                <w:color w:val="000000"/>
              </w:rPr>
              <w:t>18,7%</w:t>
            </w:r>
          </w:p>
        </w:tc>
        <w:tc>
          <w:tcPr>
            <w:tcW w:w="764" w:type="dxa"/>
            <w:shd w:val="clear" w:color="auto" w:fill="D9D9D9"/>
            <w:tcMar>
              <w:top w:w="20" w:type="dxa"/>
              <w:left w:w="20" w:type="dxa"/>
              <w:bottom w:w="20" w:type="dxa"/>
              <w:right w:w="20" w:type="dxa"/>
            </w:tcMar>
            <w:vAlign w:val="center"/>
          </w:tcPr>
          <w:p w14:paraId="0000015E" w14:textId="77777777" w:rsidR="004567EC" w:rsidRDefault="00893D27">
            <w:pPr>
              <w:jc w:val="center"/>
            </w:pPr>
            <w:r>
              <w:rPr>
                <w:color w:val="000000"/>
              </w:rPr>
              <w:t>22,0%</w:t>
            </w:r>
          </w:p>
        </w:tc>
        <w:tc>
          <w:tcPr>
            <w:tcW w:w="764" w:type="dxa"/>
            <w:shd w:val="clear" w:color="auto" w:fill="D9D9D9"/>
            <w:tcMar>
              <w:top w:w="20" w:type="dxa"/>
              <w:left w:w="20" w:type="dxa"/>
              <w:bottom w:w="20" w:type="dxa"/>
              <w:right w:w="20" w:type="dxa"/>
            </w:tcMar>
            <w:vAlign w:val="center"/>
          </w:tcPr>
          <w:p w14:paraId="0000015F" w14:textId="77777777" w:rsidR="004567EC" w:rsidRDefault="00893D27">
            <w:pPr>
              <w:jc w:val="center"/>
            </w:pPr>
            <w:r>
              <w:rPr>
                <w:color w:val="000000"/>
              </w:rPr>
              <w:t>23,0%</w:t>
            </w:r>
          </w:p>
        </w:tc>
        <w:tc>
          <w:tcPr>
            <w:tcW w:w="763" w:type="dxa"/>
            <w:shd w:val="clear" w:color="auto" w:fill="D9D9D9"/>
            <w:tcMar>
              <w:top w:w="20" w:type="dxa"/>
              <w:left w:w="20" w:type="dxa"/>
              <w:bottom w:w="20" w:type="dxa"/>
              <w:right w:w="20" w:type="dxa"/>
            </w:tcMar>
            <w:vAlign w:val="center"/>
          </w:tcPr>
          <w:p w14:paraId="00000160" w14:textId="77777777" w:rsidR="004567EC" w:rsidRDefault="00893D27">
            <w:pPr>
              <w:jc w:val="center"/>
            </w:pPr>
            <w:r>
              <w:rPr>
                <w:color w:val="000000"/>
              </w:rPr>
              <w:t>23,7%</w:t>
            </w:r>
          </w:p>
        </w:tc>
        <w:tc>
          <w:tcPr>
            <w:tcW w:w="763" w:type="dxa"/>
            <w:shd w:val="clear" w:color="auto" w:fill="D9D9D9"/>
            <w:tcMar>
              <w:top w:w="20" w:type="dxa"/>
              <w:left w:w="20" w:type="dxa"/>
              <w:bottom w:w="20" w:type="dxa"/>
              <w:right w:w="20" w:type="dxa"/>
            </w:tcMar>
            <w:vAlign w:val="center"/>
          </w:tcPr>
          <w:p w14:paraId="00000161" w14:textId="77777777" w:rsidR="004567EC" w:rsidRDefault="00893D27">
            <w:pPr>
              <w:jc w:val="center"/>
            </w:pPr>
            <w:r>
              <w:rPr>
                <w:color w:val="000000"/>
              </w:rPr>
              <w:t>24,8%</w:t>
            </w:r>
          </w:p>
        </w:tc>
        <w:tc>
          <w:tcPr>
            <w:tcW w:w="763" w:type="dxa"/>
            <w:shd w:val="clear" w:color="auto" w:fill="D9D9D9"/>
            <w:tcMar>
              <w:top w:w="20" w:type="dxa"/>
              <w:left w:w="20" w:type="dxa"/>
              <w:bottom w:w="20" w:type="dxa"/>
              <w:right w:w="20" w:type="dxa"/>
            </w:tcMar>
            <w:vAlign w:val="center"/>
          </w:tcPr>
          <w:p w14:paraId="00000162" w14:textId="77777777" w:rsidR="004567EC" w:rsidRDefault="00893D27">
            <w:pPr>
              <w:jc w:val="center"/>
            </w:pPr>
            <w:r>
              <w:rPr>
                <w:color w:val="000000"/>
              </w:rPr>
              <w:t>24,6%</w:t>
            </w:r>
          </w:p>
        </w:tc>
        <w:tc>
          <w:tcPr>
            <w:tcW w:w="763" w:type="dxa"/>
            <w:shd w:val="clear" w:color="auto" w:fill="D9D9D9"/>
            <w:tcMar>
              <w:top w:w="20" w:type="dxa"/>
              <w:left w:w="20" w:type="dxa"/>
              <w:bottom w:w="20" w:type="dxa"/>
              <w:right w:w="20" w:type="dxa"/>
            </w:tcMar>
            <w:vAlign w:val="center"/>
          </w:tcPr>
          <w:p w14:paraId="00000163" w14:textId="77777777" w:rsidR="004567EC" w:rsidRDefault="00893D27">
            <w:pPr>
              <w:jc w:val="center"/>
            </w:pPr>
            <w:r>
              <w:rPr>
                <w:color w:val="000000"/>
              </w:rPr>
              <w:t>26,6%</w:t>
            </w:r>
          </w:p>
        </w:tc>
        <w:tc>
          <w:tcPr>
            <w:tcW w:w="763" w:type="dxa"/>
            <w:shd w:val="clear" w:color="auto" w:fill="D9D9D9"/>
            <w:tcMar>
              <w:top w:w="20" w:type="dxa"/>
              <w:left w:w="20" w:type="dxa"/>
              <w:bottom w:w="20" w:type="dxa"/>
              <w:right w:w="20" w:type="dxa"/>
            </w:tcMar>
            <w:vAlign w:val="center"/>
          </w:tcPr>
          <w:p w14:paraId="00000164" w14:textId="77777777" w:rsidR="004567EC" w:rsidRDefault="00893D27">
            <w:pPr>
              <w:jc w:val="center"/>
            </w:pPr>
            <w:r>
              <w:rPr>
                <w:color w:val="000000"/>
              </w:rPr>
              <w:t>27,7%</w:t>
            </w:r>
          </w:p>
        </w:tc>
        <w:tc>
          <w:tcPr>
            <w:tcW w:w="674" w:type="dxa"/>
            <w:shd w:val="clear" w:color="auto" w:fill="D9D9D9"/>
            <w:tcMar>
              <w:top w:w="20" w:type="dxa"/>
              <w:left w:w="20" w:type="dxa"/>
              <w:bottom w:w="20" w:type="dxa"/>
              <w:right w:w="20" w:type="dxa"/>
            </w:tcMar>
            <w:vAlign w:val="center"/>
          </w:tcPr>
          <w:p w14:paraId="00000165" w14:textId="77777777" w:rsidR="004567EC" w:rsidRDefault="00893D27">
            <w:pPr>
              <w:jc w:val="center"/>
            </w:pPr>
            <w:r>
              <w:rPr>
                <w:color w:val="000000"/>
              </w:rPr>
              <w:t>27,2%</w:t>
            </w:r>
          </w:p>
        </w:tc>
        <w:tc>
          <w:tcPr>
            <w:tcW w:w="809" w:type="dxa"/>
            <w:shd w:val="clear" w:color="auto" w:fill="D9D9D9"/>
            <w:tcMar>
              <w:top w:w="20" w:type="dxa"/>
              <w:left w:w="20" w:type="dxa"/>
              <w:bottom w:w="20" w:type="dxa"/>
              <w:right w:w="20" w:type="dxa"/>
            </w:tcMar>
            <w:vAlign w:val="center"/>
          </w:tcPr>
          <w:p w14:paraId="00000166" w14:textId="77777777" w:rsidR="004567EC" w:rsidRDefault="00893D27">
            <w:pPr>
              <w:jc w:val="center"/>
            </w:pPr>
            <w:r>
              <w:rPr>
                <w:color w:val="000000"/>
              </w:rPr>
              <w:t>28,2%</w:t>
            </w:r>
          </w:p>
        </w:tc>
      </w:tr>
      <w:tr w:rsidR="004567EC" w14:paraId="53181BF7" w14:textId="77777777">
        <w:trPr>
          <w:trHeight w:val="555"/>
        </w:trPr>
        <w:tc>
          <w:tcPr>
            <w:tcW w:w="1417" w:type="dxa"/>
            <w:tcMar>
              <w:top w:w="20" w:type="dxa"/>
              <w:left w:w="20" w:type="dxa"/>
              <w:bottom w:w="20" w:type="dxa"/>
              <w:right w:w="20" w:type="dxa"/>
            </w:tcMar>
            <w:vAlign w:val="center"/>
          </w:tcPr>
          <w:p w14:paraId="00000167" w14:textId="77777777" w:rsidR="004567EC" w:rsidRDefault="00893D27">
            <w:r>
              <w:rPr>
                <w:color w:val="000000"/>
              </w:rPr>
              <w:t>NORTE DE SANTANDER</w:t>
            </w:r>
          </w:p>
        </w:tc>
        <w:tc>
          <w:tcPr>
            <w:tcW w:w="764" w:type="dxa"/>
            <w:tcMar>
              <w:top w:w="20" w:type="dxa"/>
              <w:left w:w="20" w:type="dxa"/>
              <w:bottom w:w="20" w:type="dxa"/>
              <w:right w:w="20" w:type="dxa"/>
            </w:tcMar>
            <w:vAlign w:val="center"/>
          </w:tcPr>
          <w:p w14:paraId="00000168" w14:textId="77777777" w:rsidR="004567EC" w:rsidRDefault="00893D27">
            <w:pPr>
              <w:jc w:val="center"/>
            </w:pPr>
            <w:r>
              <w:rPr>
                <w:color w:val="000000"/>
              </w:rPr>
              <w:t>41,5%</w:t>
            </w:r>
          </w:p>
        </w:tc>
        <w:tc>
          <w:tcPr>
            <w:tcW w:w="764" w:type="dxa"/>
            <w:tcMar>
              <w:top w:w="20" w:type="dxa"/>
              <w:left w:w="20" w:type="dxa"/>
              <w:bottom w:w="20" w:type="dxa"/>
              <w:right w:w="20" w:type="dxa"/>
            </w:tcMar>
            <w:vAlign w:val="center"/>
          </w:tcPr>
          <w:p w14:paraId="00000169" w14:textId="77777777" w:rsidR="004567EC" w:rsidRDefault="00893D27">
            <w:pPr>
              <w:jc w:val="center"/>
            </w:pPr>
            <w:r>
              <w:rPr>
                <w:color w:val="000000"/>
              </w:rPr>
              <w:t>45,6%</w:t>
            </w:r>
          </w:p>
        </w:tc>
        <w:tc>
          <w:tcPr>
            <w:tcW w:w="764" w:type="dxa"/>
            <w:tcMar>
              <w:top w:w="20" w:type="dxa"/>
              <w:left w:w="20" w:type="dxa"/>
              <w:bottom w:w="20" w:type="dxa"/>
              <w:right w:w="20" w:type="dxa"/>
            </w:tcMar>
            <w:vAlign w:val="center"/>
          </w:tcPr>
          <w:p w14:paraId="0000016A" w14:textId="77777777" w:rsidR="004567EC" w:rsidRDefault="00893D27">
            <w:pPr>
              <w:jc w:val="center"/>
            </w:pPr>
            <w:r>
              <w:rPr>
                <w:color w:val="000000"/>
              </w:rPr>
              <w:t>41,9%</w:t>
            </w:r>
          </w:p>
        </w:tc>
        <w:tc>
          <w:tcPr>
            <w:tcW w:w="763" w:type="dxa"/>
            <w:tcMar>
              <w:top w:w="20" w:type="dxa"/>
              <w:left w:w="20" w:type="dxa"/>
              <w:bottom w:w="20" w:type="dxa"/>
              <w:right w:w="20" w:type="dxa"/>
            </w:tcMar>
            <w:vAlign w:val="center"/>
          </w:tcPr>
          <w:p w14:paraId="0000016B" w14:textId="77777777" w:rsidR="004567EC" w:rsidRDefault="00893D27">
            <w:pPr>
              <w:jc w:val="center"/>
            </w:pPr>
            <w:r>
              <w:rPr>
                <w:color w:val="000000"/>
              </w:rPr>
              <w:t>46,2%</w:t>
            </w:r>
          </w:p>
        </w:tc>
        <w:tc>
          <w:tcPr>
            <w:tcW w:w="763" w:type="dxa"/>
            <w:tcMar>
              <w:top w:w="20" w:type="dxa"/>
              <w:left w:w="20" w:type="dxa"/>
              <w:bottom w:w="20" w:type="dxa"/>
              <w:right w:w="20" w:type="dxa"/>
            </w:tcMar>
            <w:vAlign w:val="center"/>
          </w:tcPr>
          <w:p w14:paraId="0000016C" w14:textId="77777777" w:rsidR="004567EC" w:rsidRDefault="00893D27">
            <w:pPr>
              <w:jc w:val="center"/>
            </w:pPr>
            <w:r>
              <w:rPr>
                <w:color w:val="000000"/>
              </w:rPr>
              <w:t>48,9%</w:t>
            </w:r>
          </w:p>
        </w:tc>
        <w:tc>
          <w:tcPr>
            <w:tcW w:w="763" w:type="dxa"/>
            <w:tcMar>
              <w:top w:w="20" w:type="dxa"/>
              <w:left w:w="20" w:type="dxa"/>
              <w:bottom w:w="20" w:type="dxa"/>
              <w:right w:w="20" w:type="dxa"/>
            </w:tcMar>
            <w:vAlign w:val="center"/>
          </w:tcPr>
          <w:p w14:paraId="0000016D" w14:textId="77777777" w:rsidR="004567EC" w:rsidRDefault="00893D27">
            <w:pPr>
              <w:jc w:val="center"/>
            </w:pPr>
            <w:r>
              <w:rPr>
                <w:color w:val="000000"/>
              </w:rPr>
              <w:t>51,4%</w:t>
            </w:r>
          </w:p>
        </w:tc>
        <w:tc>
          <w:tcPr>
            <w:tcW w:w="763" w:type="dxa"/>
            <w:tcMar>
              <w:top w:w="20" w:type="dxa"/>
              <w:left w:w="20" w:type="dxa"/>
              <w:bottom w:w="20" w:type="dxa"/>
              <w:right w:w="20" w:type="dxa"/>
            </w:tcMar>
            <w:vAlign w:val="center"/>
          </w:tcPr>
          <w:p w14:paraId="0000016E" w14:textId="77777777" w:rsidR="004567EC" w:rsidRDefault="00893D27">
            <w:pPr>
              <w:jc w:val="center"/>
            </w:pPr>
            <w:r>
              <w:rPr>
                <w:color w:val="000000"/>
              </w:rPr>
              <w:t>53,2%</w:t>
            </w:r>
          </w:p>
        </w:tc>
        <w:tc>
          <w:tcPr>
            <w:tcW w:w="763" w:type="dxa"/>
            <w:tcMar>
              <w:top w:w="20" w:type="dxa"/>
              <w:left w:w="20" w:type="dxa"/>
              <w:bottom w:w="20" w:type="dxa"/>
              <w:right w:w="20" w:type="dxa"/>
            </w:tcMar>
            <w:vAlign w:val="center"/>
          </w:tcPr>
          <w:p w14:paraId="0000016F" w14:textId="77777777" w:rsidR="004567EC" w:rsidRDefault="00893D27">
            <w:pPr>
              <w:jc w:val="center"/>
            </w:pPr>
            <w:r>
              <w:rPr>
                <w:color w:val="000000"/>
              </w:rPr>
              <w:t>53,5%</w:t>
            </w:r>
          </w:p>
        </w:tc>
        <w:tc>
          <w:tcPr>
            <w:tcW w:w="674" w:type="dxa"/>
            <w:tcMar>
              <w:top w:w="20" w:type="dxa"/>
              <w:left w:w="20" w:type="dxa"/>
              <w:bottom w:w="20" w:type="dxa"/>
              <w:right w:w="20" w:type="dxa"/>
            </w:tcMar>
            <w:vAlign w:val="center"/>
          </w:tcPr>
          <w:p w14:paraId="00000170" w14:textId="77777777" w:rsidR="004567EC" w:rsidRDefault="00893D27">
            <w:pPr>
              <w:jc w:val="center"/>
            </w:pPr>
            <w:r>
              <w:rPr>
                <w:color w:val="000000"/>
              </w:rPr>
              <w:t>51,2%</w:t>
            </w:r>
          </w:p>
        </w:tc>
        <w:tc>
          <w:tcPr>
            <w:tcW w:w="809" w:type="dxa"/>
            <w:tcMar>
              <w:top w:w="20" w:type="dxa"/>
              <w:left w:w="20" w:type="dxa"/>
              <w:bottom w:w="20" w:type="dxa"/>
              <w:right w:w="20" w:type="dxa"/>
            </w:tcMar>
            <w:vAlign w:val="center"/>
          </w:tcPr>
          <w:p w14:paraId="00000171" w14:textId="77777777" w:rsidR="004567EC" w:rsidRDefault="00893D27">
            <w:pPr>
              <w:jc w:val="center"/>
            </w:pPr>
            <w:r>
              <w:rPr>
                <w:color w:val="000000"/>
              </w:rPr>
              <w:t>48,2%</w:t>
            </w:r>
          </w:p>
        </w:tc>
      </w:tr>
      <w:tr w:rsidR="004567EC" w14:paraId="5EF5A8AC" w14:textId="77777777">
        <w:trPr>
          <w:trHeight w:val="300"/>
        </w:trPr>
        <w:tc>
          <w:tcPr>
            <w:tcW w:w="1417" w:type="dxa"/>
            <w:shd w:val="clear" w:color="auto" w:fill="D9D9D9"/>
            <w:tcMar>
              <w:top w:w="20" w:type="dxa"/>
              <w:left w:w="20" w:type="dxa"/>
              <w:bottom w:w="20" w:type="dxa"/>
              <w:right w:w="20" w:type="dxa"/>
            </w:tcMar>
            <w:vAlign w:val="center"/>
          </w:tcPr>
          <w:p w14:paraId="00000172" w14:textId="77777777" w:rsidR="004567EC" w:rsidRDefault="00893D27">
            <w:r>
              <w:rPr>
                <w:color w:val="000000"/>
              </w:rPr>
              <w:t>QUINDIO</w:t>
            </w:r>
          </w:p>
        </w:tc>
        <w:tc>
          <w:tcPr>
            <w:tcW w:w="764" w:type="dxa"/>
            <w:shd w:val="clear" w:color="auto" w:fill="D9D9D9"/>
            <w:tcMar>
              <w:top w:w="20" w:type="dxa"/>
              <w:left w:w="20" w:type="dxa"/>
              <w:bottom w:w="20" w:type="dxa"/>
              <w:right w:w="20" w:type="dxa"/>
            </w:tcMar>
            <w:vAlign w:val="center"/>
          </w:tcPr>
          <w:p w14:paraId="00000173" w14:textId="77777777" w:rsidR="004567EC" w:rsidRDefault="00893D27">
            <w:pPr>
              <w:jc w:val="center"/>
            </w:pPr>
            <w:r>
              <w:rPr>
                <w:color w:val="000000"/>
              </w:rPr>
              <w:t>52,3%</w:t>
            </w:r>
          </w:p>
        </w:tc>
        <w:tc>
          <w:tcPr>
            <w:tcW w:w="764" w:type="dxa"/>
            <w:shd w:val="clear" w:color="auto" w:fill="D9D9D9"/>
            <w:tcMar>
              <w:top w:w="20" w:type="dxa"/>
              <w:left w:w="20" w:type="dxa"/>
              <w:bottom w:w="20" w:type="dxa"/>
              <w:right w:w="20" w:type="dxa"/>
            </w:tcMar>
            <w:vAlign w:val="center"/>
          </w:tcPr>
          <w:p w14:paraId="00000174" w14:textId="77777777" w:rsidR="004567EC" w:rsidRDefault="00893D27">
            <w:pPr>
              <w:jc w:val="center"/>
            </w:pPr>
            <w:r>
              <w:rPr>
                <w:color w:val="000000"/>
              </w:rPr>
              <w:t>52,2%</w:t>
            </w:r>
          </w:p>
        </w:tc>
        <w:tc>
          <w:tcPr>
            <w:tcW w:w="764" w:type="dxa"/>
            <w:shd w:val="clear" w:color="auto" w:fill="D9D9D9"/>
            <w:tcMar>
              <w:top w:w="20" w:type="dxa"/>
              <w:left w:w="20" w:type="dxa"/>
              <w:bottom w:w="20" w:type="dxa"/>
              <w:right w:w="20" w:type="dxa"/>
            </w:tcMar>
            <w:vAlign w:val="center"/>
          </w:tcPr>
          <w:p w14:paraId="00000175" w14:textId="77777777" w:rsidR="004567EC" w:rsidRDefault="00893D27">
            <w:pPr>
              <w:jc w:val="center"/>
            </w:pPr>
            <w:r>
              <w:rPr>
                <w:color w:val="000000"/>
              </w:rPr>
              <w:t>58,4%</w:t>
            </w:r>
          </w:p>
        </w:tc>
        <w:tc>
          <w:tcPr>
            <w:tcW w:w="763" w:type="dxa"/>
            <w:shd w:val="clear" w:color="auto" w:fill="D9D9D9"/>
            <w:tcMar>
              <w:top w:w="20" w:type="dxa"/>
              <w:left w:w="20" w:type="dxa"/>
              <w:bottom w:w="20" w:type="dxa"/>
              <w:right w:w="20" w:type="dxa"/>
            </w:tcMar>
            <w:vAlign w:val="center"/>
          </w:tcPr>
          <w:p w14:paraId="00000176" w14:textId="77777777" w:rsidR="004567EC" w:rsidRDefault="00893D27">
            <w:pPr>
              <w:jc w:val="center"/>
            </w:pPr>
            <w:r>
              <w:rPr>
                <w:color w:val="000000"/>
              </w:rPr>
              <w:t>61,1%</w:t>
            </w:r>
          </w:p>
        </w:tc>
        <w:tc>
          <w:tcPr>
            <w:tcW w:w="763" w:type="dxa"/>
            <w:shd w:val="clear" w:color="auto" w:fill="D9D9D9"/>
            <w:tcMar>
              <w:top w:w="20" w:type="dxa"/>
              <w:left w:w="20" w:type="dxa"/>
              <w:bottom w:w="20" w:type="dxa"/>
              <w:right w:w="20" w:type="dxa"/>
            </w:tcMar>
            <w:vAlign w:val="center"/>
          </w:tcPr>
          <w:p w14:paraId="00000177" w14:textId="77777777" w:rsidR="004567EC" w:rsidRDefault="00893D27">
            <w:pPr>
              <w:jc w:val="center"/>
            </w:pPr>
            <w:r>
              <w:rPr>
                <w:color w:val="000000"/>
              </w:rPr>
              <w:t>57,0%</w:t>
            </w:r>
          </w:p>
        </w:tc>
        <w:tc>
          <w:tcPr>
            <w:tcW w:w="763" w:type="dxa"/>
            <w:shd w:val="clear" w:color="auto" w:fill="D9D9D9"/>
            <w:tcMar>
              <w:top w:w="20" w:type="dxa"/>
              <w:left w:w="20" w:type="dxa"/>
              <w:bottom w:w="20" w:type="dxa"/>
              <w:right w:w="20" w:type="dxa"/>
            </w:tcMar>
            <w:vAlign w:val="center"/>
          </w:tcPr>
          <w:p w14:paraId="00000178" w14:textId="77777777" w:rsidR="004567EC" w:rsidRDefault="00893D27">
            <w:pPr>
              <w:jc w:val="center"/>
            </w:pPr>
            <w:r>
              <w:rPr>
                <w:color w:val="000000"/>
              </w:rPr>
              <w:t>61,2%</w:t>
            </w:r>
          </w:p>
        </w:tc>
        <w:tc>
          <w:tcPr>
            <w:tcW w:w="763" w:type="dxa"/>
            <w:shd w:val="clear" w:color="auto" w:fill="D9D9D9"/>
            <w:tcMar>
              <w:top w:w="20" w:type="dxa"/>
              <w:left w:w="20" w:type="dxa"/>
              <w:bottom w:w="20" w:type="dxa"/>
              <w:right w:w="20" w:type="dxa"/>
            </w:tcMar>
            <w:vAlign w:val="center"/>
          </w:tcPr>
          <w:p w14:paraId="00000179" w14:textId="77777777" w:rsidR="004567EC" w:rsidRDefault="00893D27">
            <w:pPr>
              <w:jc w:val="center"/>
            </w:pPr>
            <w:r>
              <w:rPr>
                <w:color w:val="000000"/>
              </w:rPr>
              <w:t>64,3%</w:t>
            </w:r>
          </w:p>
        </w:tc>
        <w:tc>
          <w:tcPr>
            <w:tcW w:w="763" w:type="dxa"/>
            <w:shd w:val="clear" w:color="auto" w:fill="D9D9D9"/>
            <w:tcMar>
              <w:top w:w="20" w:type="dxa"/>
              <w:left w:w="20" w:type="dxa"/>
              <w:bottom w:w="20" w:type="dxa"/>
              <w:right w:w="20" w:type="dxa"/>
            </w:tcMar>
            <w:vAlign w:val="center"/>
          </w:tcPr>
          <w:p w14:paraId="0000017A" w14:textId="77777777" w:rsidR="004567EC" w:rsidRDefault="00893D27">
            <w:pPr>
              <w:jc w:val="center"/>
            </w:pPr>
            <w:r>
              <w:rPr>
                <w:color w:val="000000"/>
              </w:rPr>
              <w:t>59,5%</w:t>
            </w:r>
          </w:p>
        </w:tc>
        <w:tc>
          <w:tcPr>
            <w:tcW w:w="674" w:type="dxa"/>
            <w:shd w:val="clear" w:color="auto" w:fill="D9D9D9"/>
            <w:tcMar>
              <w:top w:w="20" w:type="dxa"/>
              <w:left w:w="20" w:type="dxa"/>
              <w:bottom w:w="20" w:type="dxa"/>
              <w:right w:w="20" w:type="dxa"/>
            </w:tcMar>
            <w:vAlign w:val="center"/>
          </w:tcPr>
          <w:p w14:paraId="0000017B" w14:textId="77777777" w:rsidR="004567EC" w:rsidRDefault="00893D27">
            <w:pPr>
              <w:jc w:val="center"/>
            </w:pPr>
            <w:r>
              <w:rPr>
                <w:color w:val="000000"/>
              </w:rPr>
              <w:t>67,3%</w:t>
            </w:r>
          </w:p>
        </w:tc>
        <w:tc>
          <w:tcPr>
            <w:tcW w:w="809" w:type="dxa"/>
            <w:shd w:val="clear" w:color="auto" w:fill="D9D9D9"/>
            <w:tcMar>
              <w:top w:w="20" w:type="dxa"/>
              <w:left w:w="20" w:type="dxa"/>
              <w:bottom w:w="20" w:type="dxa"/>
              <w:right w:w="20" w:type="dxa"/>
            </w:tcMar>
            <w:vAlign w:val="center"/>
          </w:tcPr>
          <w:p w14:paraId="0000017C" w14:textId="77777777" w:rsidR="004567EC" w:rsidRDefault="00893D27">
            <w:pPr>
              <w:jc w:val="center"/>
            </w:pPr>
            <w:r>
              <w:rPr>
                <w:color w:val="000000"/>
              </w:rPr>
              <w:t>63,3%</w:t>
            </w:r>
          </w:p>
        </w:tc>
      </w:tr>
      <w:tr w:rsidR="004567EC" w14:paraId="1154B570" w14:textId="77777777">
        <w:trPr>
          <w:trHeight w:val="300"/>
        </w:trPr>
        <w:tc>
          <w:tcPr>
            <w:tcW w:w="1417" w:type="dxa"/>
            <w:tcMar>
              <w:top w:w="20" w:type="dxa"/>
              <w:left w:w="20" w:type="dxa"/>
              <w:bottom w:w="20" w:type="dxa"/>
              <w:right w:w="20" w:type="dxa"/>
            </w:tcMar>
            <w:vAlign w:val="center"/>
          </w:tcPr>
          <w:p w14:paraId="0000017D" w14:textId="77777777" w:rsidR="004567EC" w:rsidRDefault="00893D27">
            <w:r>
              <w:rPr>
                <w:color w:val="000000"/>
              </w:rPr>
              <w:t>RISARALDA</w:t>
            </w:r>
          </w:p>
        </w:tc>
        <w:tc>
          <w:tcPr>
            <w:tcW w:w="764" w:type="dxa"/>
            <w:tcMar>
              <w:top w:w="20" w:type="dxa"/>
              <w:left w:w="20" w:type="dxa"/>
              <w:bottom w:w="20" w:type="dxa"/>
              <w:right w:w="20" w:type="dxa"/>
            </w:tcMar>
            <w:vAlign w:val="center"/>
          </w:tcPr>
          <w:p w14:paraId="0000017E" w14:textId="77777777" w:rsidR="004567EC" w:rsidRDefault="00893D27">
            <w:pPr>
              <w:jc w:val="center"/>
            </w:pPr>
            <w:r>
              <w:rPr>
                <w:color w:val="000000"/>
              </w:rPr>
              <w:t>43,0%</w:t>
            </w:r>
          </w:p>
        </w:tc>
        <w:tc>
          <w:tcPr>
            <w:tcW w:w="764" w:type="dxa"/>
            <w:tcMar>
              <w:top w:w="20" w:type="dxa"/>
              <w:left w:w="20" w:type="dxa"/>
              <w:bottom w:w="20" w:type="dxa"/>
              <w:right w:w="20" w:type="dxa"/>
            </w:tcMar>
            <w:vAlign w:val="center"/>
          </w:tcPr>
          <w:p w14:paraId="0000017F" w14:textId="77777777" w:rsidR="004567EC" w:rsidRDefault="00893D27">
            <w:pPr>
              <w:jc w:val="center"/>
            </w:pPr>
            <w:r>
              <w:rPr>
                <w:color w:val="000000"/>
              </w:rPr>
              <w:t>45,0%</w:t>
            </w:r>
          </w:p>
        </w:tc>
        <w:tc>
          <w:tcPr>
            <w:tcW w:w="764" w:type="dxa"/>
            <w:tcMar>
              <w:top w:w="20" w:type="dxa"/>
              <w:left w:w="20" w:type="dxa"/>
              <w:bottom w:w="20" w:type="dxa"/>
              <w:right w:w="20" w:type="dxa"/>
            </w:tcMar>
            <w:vAlign w:val="center"/>
          </w:tcPr>
          <w:p w14:paraId="00000180" w14:textId="77777777" w:rsidR="004567EC" w:rsidRDefault="00893D27">
            <w:pPr>
              <w:jc w:val="center"/>
            </w:pPr>
            <w:r>
              <w:rPr>
                <w:color w:val="000000"/>
              </w:rPr>
              <w:t>46,3%</w:t>
            </w:r>
          </w:p>
        </w:tc>
        <w:tc>
          <w:tcPr>
            <w:tcW w:w="763" w:type="dxa"/>
            <w:tcMar>
              <w:top w:w="20" w:type="dxa"/>
              <w:left w:w="20" w:type="dxa"/>
              <w:bottom w:w="20" w:type="dxa"/>
              <w:right w:w="20" w:type="dxa"/>
            </w:tcMar>
            <w:vAlign w:val="center"/>
          </w:tcPr>
          <w:p w14:paraId="00000181" w14:textId="77777777" w:rsidR="004567EC" w:rsidRDefault="00893D27">
            <w:pPr>
              <w:jc w:val="center"/>
            </w:pPr>
            <w:r>
              <w:rPr>
                <w:color w:val="000000"/>
              </w:rPr>
              <w:t>51,3%</w:t>
            </w:r>
          </w:p>
        </w:tc>
        <w:tc>
          <w:tcPr>
            <w:tcW w:w="763" w:type="dxa"/>
            <w:tcMar>
              <w:top w:w="20" w:type="dxa"/>
              <w:left w:w="20" w:type="dxa"/>
              <w:bottom w:w="20" w:type="dxa"/>
              <w:right w:w="20" w:type="dxa"/>
            </w:tcMar>
            <w:vAlign w:val="center"/>
          </w:tcPr>
          <w:p w14:paraId="00000182" w14:textId="77777777" w:rsidR="004567EC" w:rsidRDefault="00893D27">
            <w:pPr>
              <w:jc w:val="center"/>
            </w:pPr>
            <w:r>
              <w:rPr>
                <w:color w:val="000000"/>
              </w:rPr>
              <w:t>57,6%</w:t>
            </w:r>
          </w:p>
        </w:tc>
        <w:tc>
          <w:tcPr>
            <w:tcW w:w="763" w:type="dxa"/>
            <w:tcMar>
              <w:top w:w="20" w:type="dxa"/>
              <w:left w:w="20" w:type="dxa"/>
              <w:bottom w:w="20" w:type="dxa"/>
              <w:right w:w="20" w:type="dxa"/>
            </w:tcMar>
            <w:vAlign w:val="center"/>
          </w:tcPr>
          <w:p w14:paraId="00000183" w14:textId="77777777" w:rsidR="004567EC" w:rsidRDefault="00893D27">
            <w:pPr>
              <w:jc w:val="center"/>
            </w:pPr>
            <w:r>
              <w:rPr>
                <w:color w:val="000000"/>
              </w:rPr>
              <w:t>58,2%</w:t>
            </w:r>
          </w:p>
        </w:tc>
        <w:tc>
          <w:tcPr>
            <w:tcW w:w="763" w:type="dxa"/>
            <w:tcMar>
              <w:top w:w="20" w:type="dxa"/>
              <w:left w:w="20" w:type="dxa"/>
              <w:bottom w:w="20" w:type="dxa"/>
              <w:right w:w="20" w:type="dxa"/>
            </w:tcMar>
            <w:vAlign w:val="center"/>
          </w:tcPr>
          <w:p w14:paraId="00000184" w14:textId="77777777" w:rsidR="004567EC" w:rsidRDefault="00893D27">
            <w:pPr>
              <w:jc w:val="center"/>
            </w:pPr>
            <w:r>
              <w:rPr>
                <w:color w:val="000000"/>
              </w:rPr>
              <w:t>60,0%</w:t>
            </w:r>
          </w:p>
        </w:tc>
        <w:tc>
          <w:tcPr>
            <w:tcW w:w="763" w:type="dxa"/>
            <w:tcMar>
              <w:top w:w="20" w:type="dxa"/>
              <w:left w:w="20" w:type="dxa"/>
              <w:bottom w:w="20" w:type="dxa"/>
              <w:right w:w="20" w:type="dxa"/>
            </w:tcMar>
            <w:vAlign w:val="center"/>
          </w:tcPr>
          <w:p w14:paraId="00000185" w14:textId="77777777" w:rsidR="004567EC" w:rsidRDefault="00893D27">
            <w:pPr>
              <w:jc w:val="center"/>
            </w:pPr>
            <w:r>
              <w:rPr>
                <w:color w:val="000000"/>
              </w:rPr>
              <w:t>62,0%</w:t>
            </w:r>
          </w:p>
        </w:tc>
        <w:tc>
          <w:tcPr>
            <w:tcW w:w="674" w:type="dxa"/>
            <w:tcMar>
              <w:top w:w="20" w:type="dxa"/>
              <w:left w:w="20" w:type="dxa"/>
              <w:bottom w:w="20" w:type="dxa"/>
              <w:right w:w="20" w:type="dxa"/>
            </w:tcMar>
            <w:vAlign w:val="center"/>
          </w:tcPr>
          <w:p w14:paraId="00000186" w14:textId="77777777" w:rsidR="004567EC" w:rsidRDefault="00893D27">
            <w:pPr>
              <w:jc w:val="center"/>
            </w:pPr>
            <w:r>
              <w:rPr>
                <w:color w:val="000000"/>
              </w:rPr>
              <w:t>63,4%</w:t>
            </w:r>
          </w:p>
        </w:tc>
        <w:tc>
          <w:tcPr>
            <w:tcW w:w="809" w:type="dxa"/>
            <w:tcMar>
              <w:top w:w="20" w:type="dxa"/>
              <w:left w:w="20" w:type="dxa"/>
              <w:bottom w:w="20" w:type="dxa"/>
              <w:right w:w="20" w:type="dxa"/>
            </w:tcMar>
            <w:vAlign w:val="center"/>
          </w:tcPr>
          <w:p w14:paraId="00000187" w14:textId="77777777" w:rsidR="004567EC" w:rsidRDefault="00893D27">
            <w:pPr>
              <w:jc w:val="center"/>
            </w:pPr>
            <w:r>
              <w:rPr>
                <w:color w:val="000000"/>
              </w:rPr>
              <w:t>61,4%</w:t>
            </w:r>
          </w:p>
        </w:tc>
      </w:tr>
      <w:tr w:rsidR="004567EC" w14:paraId="79C15330" w14:textId="77777777">
        <w:trPr>
          <w:trHeight w:val="300"/>
        </w:trPr>
        <w:tc>
          <w:tcPr>
            <w:tcW w:w="1417" w:type="dxa"/>
            <w:shd w:val="clear" w:color="auto" w:fill="D9D9D9"/>
            <w:tcMar>
              <w:top w:w="20" w:type="dxa"/>
              <w:left w:w="20" w:type="dxa"/>
              <w:bottom w:w="20" w:type="dxa"/>
              <w:right w:w="20" w:type="dxa"/>
            </w:tcMar>
            <w:vAlign w:val="center"/>
          </w:tcPr>
          <w:p w14:paraId="00000188" w14:textId="77777777" w:rsidR="004567EC" w:rsidRDefault="00893D27">
            <w:r>
              <w:rPr>
                <w:color w:val="000000"/>
              </w:rPr>
              <w:t>SANTANDER</w:t>
            </w:r>
          </w:p>
        </w:tc>
        <w:tc>
          <w:tcPr>
            <w:tcW w:w="764" w:type="dxa"/>
            <w:shd w:val="clear" w:color="auto" w:fill="D9D9D9"/>
            <w:tcMar>
              <w:top w:w="20" w:type="dxa"/>
              <w:left w:w="20" w:type="dxa"/>
              <w:bottom w:w="20" w:type="dxa"/>
              <w:right w:w="20" w:type="dxa"/>
            </w:tcMar>
            <w:vAlign w:val="center"/>
          </w:tcPr>
          <w:p w14:paraId="00000189" w14:textId="77777777" w:rsidR="004567EC" w:rsidRDefault="00893D27">
            <w:pPr>
              <w:jc w:val="center"/>
            </w:pPr>
            <w:r>
              <w:rPr>
                <w:color w:val="000000"/>
              </w:rPr>
              <w:t>47,6%</w:t>
            </w:r>
          </w:p>
        </w:tc>
        <w:tc>
          <w:tcPr>
            <w:tcW w:w="764" w:type="dxa"/>
            <w:shd w:val="clear" w:color="auto" w:fill="D9D9D9"/>
            <w:tcMar>
              <w:top w:w="20" w:type="dxa"/>
              <w:left w:w="20" w:type="dxa"/>
              <w:bottom w:w="20" w:type="dxa"/>
              <w:right w:w="20" w:type="dxa"/>
            </w:tcMar>
            <w:vAlign w:val="center"/>
          </w:tcPr>
          <w:p w14:paraId="0000018A" w14:textId="77777777" w:rsidR="004567EC" w:rsidRDefault="00893D27">
            <w:pPr>
              <w:jc w:val="center"/>
            </w:pPr>
            <w:r>
              <w:rPr>
                <w:color w:val="000000"/>
              </w:rPr>
              <w:t>53,5%</w:t>
            </w:r>
          </w:p>
        </w:tc>
        <w:tc>
          <w:tcPr>
            <w:tcW w:w="764" w:type="dxa"/>
            <w:shd w:val="clear" w:color="auto" w:fill="D9D9D9"/>
            <w:tcMar>
              <w:top w:w="20" w:type="dxa"/>
              <w:left w:w="20" w:type="dxa"/>
              <w:bottom w:w="20" w:type="dxa"/>
              <w:right w:w="20" w:type="dxa"/>
            </w:tcMar>
            <w:vAlign w:val="center"/>
          </w:tcPr>
          <w:p w14:paraId="0000018B" w14:textId="77777777" w:rsidR="004567EC" w:rsidRDefault="00893D27">
            <w:pPr>
              <w:jc w:val="center"/>
            </w:pPr>
            <w:r>
              <w:rPr>
                <w:color w:val="000000"/>
              </w:rPr>
              <w:t>53,6%</w:t>
            </w:r>
          </w:p>
        </w:tc>
        <w:tc>
          <w:tcPr>
            <w:tcW w:w="763" w:type="dxa"/>
            <w:shd w:val="clear" w:color="auto" w:fill="D9D9D9"/>
            <w:tcMar>
              <w:top w:w="20" w:type="dxa"/>
              <w:left w:w="20" w:type="dxa"/>
              <w:bottom w:w="20" w:type="dxa"/>
              <w:right w:w="20" w:type="dxa"/>
            </w:tcMar>
            <w:vAlign w:val="center"/>
          </w:tcPr>
          <w:p w14:paraId="0000018C" w14:textId="77777777" w:rsidR="004567EC" w:rsidRDefault="00893D27">
            <w:pPr>
              <w:jc w:val="center"/>
            </w:pPr>
            <w:r>
              <w:rPr>
                <w:color w:val="000000"/>
              </w:rPr>
              <w:t>58,1%</w:t>
            </w:r>
          </w:p>
        </w:tc>
        <w:tc>
          <w:tcPr>
            <w:tcW w:w="763" w:type="dxa"/>
            <w:shd w:val="clear" w:color="auto" w:fill="D9D9D9"/>
            <w:tcMar>
              <w:top w:w="20" w:type="dxa"/>
              <w:left w:w="20" w:type="dxa"/>
              <w:bottom w:w="20" w:type="dxa"/>
              <w:right w:w="20" w:type="dxa"/>
            </w:tcMar>
            <w:vAlign w:val="center"/>
          </w:tcPr>
          <w:p w14:paraId="0000018D" w14:textId="77777777" w:rsidR="004567EC" w:rsidRDefault="00893D27">
            <w:pPr>
              <w:jc w:val="center"/>
            </w:pPr>
            <w:r>
              <w:rPr>
                <w:color w:val="000000"/>
              </w:rPr>
              <w:t>59,7%</w:t>
            </w:r>
          </w:p>
        </w:tc>
        <w:tc>
          <w:tcPr>
            <w:tcW w:w="763" w:type="dxa"/>
            <w:shd w:val="clear" w:color="auto" w:fill="D9D9D9"/>
            <w:tcMar>
              <w:top w:w="20" w:type="dxa"/>
              <w:left w:w="20" w:type="dxa"/>
              <w:bottom w:w="20" w:type="dxa"/>
              <w:right w:w="20" w:type="dxa"/>
            </w:tcMar>
            <w:vAlign w:val="center"/>
          </w:tcPr>
          <w:p w14:paraId="0000018E" w14:textId="77777777" w:rsidR="004567EC" w:rsidRDefault="00893D27">
            <w:pPr>
              <w:jc w:val="center"/>
            </w:pPr>
            <w:r>
              <w:rPr>
                <w:color w:val="000000"/>
              </w:rPr>
              <w:t>61,6%</w:t>
            </w:r>
          </w:p>
        </w:tc>
        <w:tc>
          <w:tcPr>
            <w:tcW w:w="763" w:type="dxa"/>
            <w:shd w:val="clear" w:color="auto" w:fill="D9D9D9"/>
            <w:tcMar>
              <w:top w:w="20" w:type="dxa"/>
              <w:left w:w="20" w:type="dxa"/>
              <w:bottom w:w="20" w:type="dxa"/>
              <w:right w:w="20" w:type="dxa"/>
            </w:tcMar>
            <w:vAlign w:val="center"/>
          </w:tcPr>
          <w:p w14:paraId="0000018F" w14:textId="77777777" w:rsidR="004567EC" w:rsidRDefault="00893D27">
            <w:pPr>
              <w:jc w:val="center"/>
            </w:pPr>
            <w:r>
              <w:rPr>
                <w:color w:val="000000"/>
              </w:rPr>
              <w:t>61,6%</w:t>
            </w:r>
          </w:p>
        </w:tc>
        <w:tc>
          <w:tcPr>
            <w:tcW w:w="763" w:type="dxa"/>
            <w:shd w:val="clear" w:color="auto" w:fill="D9D9D9"/>
            <w:tcMar>
              <w:top w:w="20" w:type="dxa"/>
              <w:left w:w="20" w:type="dxa"/>
              <w:bottom w:w="20" w:type="dxa"/>
              <w:right w:w="20" w:type="dxa"/>
            </w:tcMar>
            <w:vAlign w:val="center"/>
          </w:tcPr>
          <w:p w14:paraId="00000190" w14:textId="77777777" w:rsidR="004567EC" w:rsidRDefault="00893D27">
            <w:pPr>
              <w:jc w:val="center"/>
            </w:pPr>
            <w:r>
              <w:rPr>
                <w:color w:val="000000"/>
              </w:rPr>
              <w:t>61,9%</w:t>
            </w:r>
          </w:p>
        </w:tc>
        <w:tc>
          <w:tcPr>
            <w:tcW w:w="674" w:type="dxa"/>
            <w:shd w:val="clear" w:color="auto" w:fill="D9D9D9"/>
            <w:tcMar>
              <w:top w:w="20" w:type="dxa"/>
              <w:left w:w="20" w:type="dxa"/>
              <w:bottom w:w="20" w:type="dxa"/>
              <w:right w:w="20" w:type="dxa"/>
            </w:tcMar>
            <w:vAlign w:val="center"/>
          </w:tcPr>
          <w:p w14:paraId="00000191" w14:textId="77777777" w:rsidR="004567EC" w:rsidRDefault="00893D27">
            <w:pPr>
              <w:jc w:val="center"/>
            </w:pPr>
            <w:r>
              <w:rPr>
                <w:color w:val="000000"/>
              </w:rPr>
              <w:t>60,9%</w:t>
            </w:r>
          </w:p>
        </w:tc>
        <w:tc>
          <w:tcPr>
            <w:tcW w:w="809" w:type="dxa"/>
            <w:shd w:val="clear" w:color="auto" w:fill="D9D9D9"/>
            <w:tcMar>
              <w:top w:w="20" w:type="dxa"/>
              <w:left w:w="20" w:type="dxa"/>
              <w:bottom w:w="20" w:type="dxa"/>
              <w:right w:w="20" w:type="dxa"/>
            </w:tcMar>
            <w:vAlign w:val="center"/>
          </w:tcPr>
          <w:p w14:paraId="00000192" w14:textId="77777777" w:rsidR="004567EC" w:rsidRDefault="00893D27">
            <w:pPr>
              <w:jc w:val="center"/>
            </w:pPr>
            <w:r>
              <w:rPr>
                <w:color w:val="000000"/>
              </w:rPr>
              <w:t>58,6%</w:t>
            </w:r>
          </w:p>
        </w:tc>
      </w:tr>
      <w:tr w:rsidR="004567EC" w14:paraId="08A15FE9" w14:textId="77777777">
        <w:trPr>
          <w:trHeight w:val="300"/>
        </w:trPr>
        <w:tc>
          <w:tcPr>
            <w:tcW w:w="1417" w:type="dxa"/>
            <w:tcMar>
              <w:top w:w="20" w:type="dxa"/>
              <w:left w:w="20" w:type="dxa"/>
              <w:bottom w:w="20" w:type="dxa"/>
              <w:right w:w="20" w:type="dxa"/>
            </w:tcMar>
            <w:vAlign w:val="center"/>
          </w:tcPr>
          <w:p w14:paraId="00000193" w14:textId="77777777" w:rsidR="004567EC" w:rsidRDefault="00893D27">
            <w:r>
              <w:rPr>
                <w:color w:val="000000"/>
              </w:rPr>
              <w:t>SUCRE</w:t>
            </w:r>
          </w:p>
        </w:tc>
        <w:tc>
          <w:tcPr>
            <w:tcW w:w="764" w:type="dxa"/>
            <w:tcMar>
              <w:top w:w="20" w:type="dxa"/>
              <w:left w:w="20" w:type="dxa"/>
              <w:bottom w:w="20" w:type="dxa"/>
              <w:right w:w="20" w:type="dxa"/>
            </w:tcMar>
            <w:vAlign w:val="center"/>
          </w:tcPr>
          <w:p w14:paraId="00000194" w14:textId="77777777" w:rsidR="004567EC" w:rsidRDefault="00893D27">
            <w:pPr>
              <w:jc w:val="center"/>
            </w:pPr>
            <w:r>
              <w:rPr>
                <w:color w:val="000000"/>
              </w:rPr>
              <w:t>17,4%</w:t>
            </w:r>
          </w:p>
        </w:tc>
        <w:tc>
          <w:tcPr>
            <w:tcW w:w="764" w:type="dxa"/>
            <w:tcMar>
              <w:top w:w="20" w:type="dxa"/>
              <w:left w:w="20" w:type="dxa"/>
              <w:bottom w:w="20" w:type="dxa"/>
              <w:right w:w="20" w:type="dxa"/>
            </w:tcMar>
            <w:vAlign w:val="center"/>
          </w:tcPr>
          <w:p w14:paraId="00000195" w14:textId="77777777" w:rsidR="004567EC" w:rsidRDefault="00893D27">
            <w:pPr>
              <w:jc w:val="center"/>
            </w:pPr>
            <w:r>
              <w:rPr>
                <w:color w:val="000000"/>
              </w:rPr>
              <w:t>21,3%</w:t>
            </w:r>
          </w:p>
        </w:tc>
        <w:tc>
          <w:tcPr>
            <w:tcW w:w="764" w:type="dxa"/>
            <w:tcMar>
              <w:top w:w="20" w:type="dxa"/>
              <w:left w:w="20" w:type="dxa"/>
              <w:bottom w:w="20" w:type="dxa"/>
              <w:right w:w="20" w:type="dxa"/>
            </w:tcMar>
            <w:vAlign w:val="center"/>
          </w:tcPr>
          <w:p w14:paraId="00000196" w14:textId="77777777" w:rsidR="004567EC" w:rsidRDefault="00893D27">
            <w:pPr>
              <w:jc w:val="center"/>
            </w:pPr>
            <w:r>
              <w:rPr>
                <w:color w:val="000000"/>
              </w:rPr>
              <w:t>20,0%</w:t>
            </w:r>
          </w:p>
        </w:tc>
        <w:tc>
          <w:tcPr>
            <w:tcW w:w="763" w:type="dxa"/>
            <w:tcMar>
              <w:top w:w="20" w:type="dxa"/>
              <w:left w:w="20" w:type="dxa"/>
              <w:bottom w:w="20" w:type="dxa"/>
              <w:right w:w="20" w:type="dxa"/>
            </w:tcMar>
            <w:vAlign w:val="center"/>
          </w:tcPr>
          <w:p w14:paraId="00000197" w14:textId="77777777" w:rsidR="004567EC" w:rsidRDefault="00893D27">
            <w:pPr>
              <w:jc w:val="center"/>
            </w:pPr>
            <w:r>
              <w:rPr>
                <w:color w:val="000000"/>
              </w:rPr>
              <w:t>22,7%</w:t>
            </w:r>
          </w:p>
        </w:tc>
        <w:tc>
          <w:tcPr>
            <w:tcW w:w="763" w:type="dxa"/>
            <w:tcMar>
              <w:top w:w="20" w:type="dxa"/>
              <w:left w:w="20" w:type="dxa"/>
              <w:bottom w:w="20" w:type="dxa"/>
              <w:right w:w="20" w:type="dxa"/>
            </w:tcMar>
            <w:vAlign w:val="center"/>
          </w:tcPr>
          <w:p w14:paraId="00000198" w14:textId="77777777" w:rsidR="004567EC" w:rsidRDefault="00893D27">
            <w:pPr>
              <w:jc w:val="center"/>
            </w:pPr>
            <w:r>
              <w:rPr>
                <w:color w:val="000000"/>
              </w:rPr>
              <w:t>25,4%</w:t>
            </w:r>
          </w:p>
        </w:tc>
        <w:tc>
          <w:tcPr>
            <w:tcW w:w="763" w:type="dxa"/>
            <w:tcMar>
              <w:top w:w="20" w:type="dxa"/>
              <w:left w:w="20" w:type="dxa"/>
              <w:bottom w:w="20" w:type="dxa"/>
              <w:right w:w="20" w:type="dxa"/>
            </w:tcMar>
            <w:vAlign w:val="center"/>
          </w:tcPr>
          <w:p w14:paraId="00000199" w14:textId="77777777" w:rsidR="004567EC" w:rsidRDefault="00893D27">
            <w:pPr>
              <w:jc w:val="center"/>
            </w:pPr>
            <w:r>
              <w:rPr>
                <w:color w:val="000000"/>
              </w:rPr>
              <w:t>25,5%</w:t>
            </w:r>
          </w:p>
        </w:tc>
        <w:tc>
          <w:tcPr>
            <w:tcW w:w="763" w:type="dxa"/>
            <w:tcMar>
              <w:top w:w="20" w:type="dxa"/>
              <w:left w:w="20" w:type="dxa"/>
              <w:bottom w:w="20" w:type="dxa"/>
              <w:right w:w="20" w:type="dxa"/>
            </w:tcMar>
            <w:vAlign w:val="center"/>
          </w:tcPr>
          <w:p w14:paraId="0000019A" w14:textId="77777777" w:rsidR="004567EC" w:rsidRDefault="00893D27">
            <w:pPr>
              <w:jc w:val="center"/>
            </w:pPr>
            <w:r>
              <w:rPr>
                <w:color w:val="000000"/>
              </w:rPr>
              <w:t>28,0%</w:t>
            </w:r>
          </w:p>
        </w:tc>
        <w:tc>
          <w:tcPr>
            <w:tcW w:w="763" w:type="dxa"/>
            <w:tcMar>
              <w:top w:w="20" w:type="dxa"/>
              <w:left w:w="20" w:type="dxa"/>
              <w:bottom w:w="20" w:type="dxa"/>
              <w:right w:w="20" w:type="dxa"/>
            </w:tcMar>
            <w:vAlign w:val="center"/>
          </w:tcPr>
          <w:p w14:paraId="0000019B" w14:textId="77777777" w:rsidR="004567EC" w:rsidRDefault="00893D27">
            <w:pPr>
              <w:jc w:val="center"/>
            </w:pPr>
            <w:r>
              <w:rPr>
                <w:color w:val="000000"/>
              </w:rPr>
              <w:t>31,0%</w:t>
            </w:r>
          </w:p>
        </w:tc>
        <w:tc>
          <w:tcPr>
            <w:tcW w:w="674" w:type="dxa"/>
            <w:tcMar>
              <w:top w:w="20" w:type="dxa"/>
              <w:left w:w="20" w:type="dxa"/>
              <w:bottom w:w="20" w:type="dxa"/>
              <w:right w:w="20" w:type="dxa"/>
            </w:tcMar>
            <w:vAlign w:val="center"/>
          </w:tcPr>
          <w:p w14:paraId="0000019C" w14:textId="77777777" w:rsidR="004567EC" w:rsidRDefault="00893D27">
            <w:pPr>
              <w:jc w:val="center"/>
            </w:pPr>
            <w:r>
              <w:rPr>
                <w:color w:val="000000"/>
              </w:rPr>
              <w:t>28,7%</w:t>
            </w:r>
          </w:p>
        </w:tc>
        <w:tc>
          <w:tcPr>
            <w:tcW w:w="809" w:type="dxa"/>
            <w:tcMar>
              <w:top w:w="20" w:type="dxa"/>
              <w:left w:w="20" w:type="dxa"/>
              <w:bottom w:w="20" w:type="dxa"/>
              <w:right w:w="20" w:type="dxa"/>
            </w:tcMar>
            <w:vAlign w:val="center"/>
          </w:tcPr>
          <w:p w14:paraId="0000019D" w14:textId="77777777" w:rsidR="004567EC" w:rsidRDefault="00893D27">
            <w:pPr>
              <w:jc w:val="center"/>
            </w:pPr>
            <w:r>
              <w:rPr>
                <w:color w:val="000000"/>
              </w:rPr>
              <w:t>30,7%</w:t>
            </w:r>
          </w:p>
        </w:tc>
      </w:tr>
      <w:tr w:rsidR="004567EC" w14:paraId="31E930B5" w14:textId="77777777">
        <w:trPr>
          <w:trHeight w:val="300"/>
        </w:trPr>
        <w:tc>
          <w:tcPr>
            <w:tcW w:w="1417" w:type="dxa"/>
            <w:shd w:val="clear" w:color="auto" w:fill="D9D9D9"/>
            <w:tcMar>
              <w:top w:w="20" w:type="dxa"/>
              <w:left w:w="20" w:type="dxa"/>
              <w:bottom w:w="20" w:type="dxa"/>
              <w:right w:w="20" w:type="dxa"/>
            </w:tcMar>
            <w:vAlign w:val="center"/>
          </w:tcPr>
          <w:p w14:paraId="0000019E" w14:textId="77777777" w:rsidR="004567EC" w:rsidRDefault="00893D27">
            <w:r>
              <w:rPr>
                <w:color w:val="000000"/>
              </w:rPr>
              <w:t>TOLIMA</w:t>
            </w:r>
          </w:p>
        </w:tc>
        <w:tc>
          <w:tcPr>
            <w:tcW w:w="764" w:type="dxa"/>
            <w:shd w:val="clear" w:color="auto" w:fill="D9D9D9"/>
            <w:tcMar>
              <w:top w:w="20" w:type="dxa"/>
              <w:left w:w="20" w:type="dxa"/>
              <w:bottom w:w="20" w:type="dxa"/>
              <w:right w:w="20" w:type="dxa"/>
            </w:tcMar>
            <w:vAlign w:val="center"/>
          </w:tcPr>
          <w:p w14:paraId="0000019F" w14:textId="77777777" w:rsidR="004567EC" w:rsidRDefault="00893D27">
            <w:pPr>
              <w:jc w:val="center"/>
            </w:pPr>
            <w:r>
              <w:rPr>
                <w:color w:val="000000"/>
              </w:rPr>
              <w:t>28,5%</w:t>
            </w:r>
          </w:p>
        </w:tc>
        <w:tc>
          <w:tcPr>
            <w:tcW w:w="764" w:type="dxa"/>
            <w:shd w:val="clear" w:color="auto" w:fill="D9D9D9"/>
            <w:tcMar>
              <w:top w:w="20" w:type="dxa"/>
              <w:left w:w="20" w:type="dxa"/>
              <w:bottom w:w="20" w:type="dxa"/>
              <w:right w:w="20" w:type="dxa"/>
            </w:tcMar>
            <w:vAlign w:val="center"/>
          </w:tcPr>
          <w:p w14:paraId="000001A0" w14:textId="77777777" w:rsidR="004567EC" w:rsidRDefault="00893D27">
            <w:pPr>
              <w:jc w:val="center"/>
            </w:pPr>
            <w:r>
              <w:rPr>
                <w:color w:val="000000"/>
              </w:rPr>
              <w:t>34,3%</w:t>
            </w:r>
          </w:p>
        </w:tc>
        <w:tc>
          <w:tcPr>
            <w:tcW w:w="764" w:type="dxa"/>
            <w:shd w:val="clear" w:color="auto" w:fill="D9D9D9"/>
            <w:tcMar>
              <w:top w:w="20" w:type="dxa"/>
              <w:left w:w="20" w:type="dxa"/>
              <w:bottom w:w="20" w:type="dxa"/>
              <w:right w:w="20" w:type="dxa"/>
            </w:tcMar>
            <w:vAlign w:val="center"/>
          </w:tcPr>
          <w:p w14:paraId="000001A1" w14:textId="77777777" w:rsidR="004567EC" w:rsidRDefault="00893D27">
            <w:pPr>
              <w:jc w:val="center"/>
            </w:pPr>
            <w:r>
              <w:rPr>
                <w:color w:val="000000"/>
              </w:rPr>
              <w:t>36,7%</w:t>
            </w:r>
          </w:p>
        </w:tc>
        <w:tc>
          <w:tcPr>
            <w:tcW w:w="763" w:type="dxa"/>
            <w:shd w:val="clear" w:color="auto" w:fill="D9D9D9"/>
            <w:tcMar>
              <w:top w:w="20" w:type="dxa"/>
              <w:left w:w="20" w:type="dxa"/>
              <w:bottom w:w="20" w:type="dxa"/>
              <w:right w:w="20" w:type="dxa"/>
            </w:tcMar>
            <w:vAlign w:val="center"/>
          </w:tcPr>
          <w:p w14:paraId="000001A2" w14:textId="77777777" w:rsidR="004567EC" w:rsidRDefault="00893D27">
            <w:pPr>
              <w:jc w:val="center"/>
            </w:pPr>
            <w:r>
              <w:rPr>
                <w:color w:val="000000"/>
              </w:rPr>
              <w:t>39,2%</w:t>
            </w:r>
          </w:p>
        </w:tc>
        <w:tc>
          <w:tcPr>
            <w:tcW w:w="763" w:type="dxa"/>
            <w:shd w:val="clear" w:color="auto" w:fill="D9D9D9"/>
            <w:tcMar>
              <w:top w:w="20" w:type="dxa"/>
              <w:left w:w="20" w:type="dxa"/>
              <w:bottom w:w="20" w:type="dxa"/>
              <w:right w:w="20" w:type="dxa"/>
            </w:tcMar>
            <w:vAlign w:val="center"/>
          </w:tcPr>
          <w:p w14:paraId="000001A3" w14:textId="77777777" w:rsidR="004567EC" w:rsidRDefault="00893D27">
            <w:pPr>
              <w:jc w:val="center"/>
            </w:pPr>
            <w:r>
              <w:rPr>
                <w:color w:val="000000"/>
              </w:rPr>
              <w:t>42,1%</w:t>
            </w:r>
          </w:p>
        </w:tc>
        <w:tc>
          <w:tcPr>
            <w:tcW w:w="763" w:type="dxa"/>
            <w:shd w:val="clear" w:color="auto" w:fill="D9D9D9"/>
            <w:tcMar>
              <w:top w:w="20" w:type="dxa"/>
              <w:left w:w="20" w:type="dxa"/>
              <w:bottom w:w="20" w:type="dxa"/>
              <w:right w:w="20" w:type="dxa"/>
            </w:tcMar>
            <w:vAlign w:val="center"/>
          </w:tcPr>
          <w:p w14:paraId="000001A4" w14:textId="77777777" w:rsidR="004567EC" w:rsidRDefault="00893D27">
            <w:pPr>
              <w:jc w:val="center"/>
            </w:pPr>
            <w:r>
              <w:rPr>
                <w:color w:val="000000"/>
              </w:rPr>
              <w:t>41,3%</w:t>
            </w:r>
          </w:p>
        </w:tc>
        <w:tc>
          <w:tcPr>
            <w:tcW w:w="763" w:type="dxa"/>
            <w:shd w:val="clear" w:color="auto" w:fill="D9D9D9"/>
            <w:tcMar>
              <w:top w:w="20" w:type="dxa"/>
              <w:left w:w="20" w:type="dxa"/>
              <w:bottom w:w="20" w:type="dxa"/>
              <w:right w:w="20" w:type="dxa"/>
            </w:tcMar>
            <w:vAlign w:val="center"/>
          </w:tcPr>
          <w:p w14:paraId="000001A5" w14:textId="77777777" w:rsidR="004567EC" w:rsidRDefault="00893D27">
            <w:pPr>
              <w:jc w:val="center"/>
            </w:pPr>
            <w:r>
              <w:rPr>
                <w:color w:val="000000"/>
              </w:rPr>
              <w:t>42,4%</w:t>
            </w:r>
          </w:p>
        </w:tc>
        <w:tc>
          <w:tcPr>
            <w:tcW w:w="763" w:type="dxa"/>
            <w:shd w:val="clear" w:color="auto" w:fill="D9D9D9"/>
            <w:tcMar>
              <w:top w:w="20" w:type="dxa"/>
              <w:left w:w="20" w:type="dxa"/>
              <w:bottom w:w="20" w:type="dxa"/>
              <w:right w:w="20" w:type="dxa"/>
            </w:tcMar>
            <w:vAlign w:val="center"/>
          </w:tcPr>
          <w:p w14:paraId="000001A6" w14:textId="77777777" w:rsidR="004567EC" w:rsidRDefault="00893D27">
            <w:pPr>
              <w:jc w:val="center"/>
            </w:pPr>
            <w:r>
              <w:rPr>
                <w:color w:val="000000"/>
              </w:rPr>
              <w:t>44,4%</w:t>
            </w:r>
          </w:p>
        </w:tc>
        <w:tc>
          <w:tcPr>
            <w:tcW w:w="674" w:type="dxa"/>
            <w:shd w:val="clear" w:color="auto" w:fill="D9D9D9"/>
            <w:tcMar>
              <w:top w:w="20" w:type="dxa"/>
              <w:left w:w="20" w:type="dxa"/>
              <w:bottom w:w="20" w:type="dxa"/>
              <w:right w:w="20" w:type="dxa"/>
            </w:tcMar>
            <w:vAlign w:val="center"/>
          </w:tcPr>
          <w:p w14:paraId="000001A7" w14:textId="77777777" w:rsidR="004567EC" w:rsidRDefault="00893D27">
            <w:pPr>
              <w:jc w:val="center"/>
            </w:pPr>
            <w:r>
              <w:rPr>
                <w:color w:val="000000"/>
              </w:rPr>
              <w:t>43,7%</w:t>
            </w:r>
          </w:p>
        </w:tc>
        <w:tc>
          <w:tcPr>
            <w:tcW w:w="809" w:type="dxa"/>
            <w:shd w:val="clear" w:color="auto" w:fill="D9D9D9"/>
            <w:tcMar>
              <w:top w:w="20" w:type="dxa"/>
              <w:left w:w="20" w:type="dxa"/>
              <w:bottom w:w="20" w:type="dxa"/>
              <w:right w:w="20" w:type="dxa"/>
            </w:tcMar>
            <w:vAlign w:val="center"/>
          </w:tcPr>
          <w:p w14:paraId="000001A8" w14:textId="77777777" w:rsidR="004567EC" w:rsidRDefault="00893D27">
            <w:pPr>
              <w:jc w:val="center"/>
            </w:pPr>
            <w:r>
              <w:rPr>
                <w:color w:val="000000"/>
              </w:rPr>
              <w:t>41,4%</w:t>
            </w:r>
          </w:p>
        </w:tc>
      </w:tr>
      <w:tr w:rsidR="004567EC" w14:paraId="59FE5908" w14:textId="77777777">
        <w:trPr>
          <w:trHeight w:val="360"/>
        </w:trPr>
        <w:tc>
          <w:tcPr>
            <w:tcW w:w="1417" w:type="dxa"/>
            <w:tcMar>
              <w:top w:w="20" w:type="dxa"/>
              <w:left w:w="20" w:type="dxa"/>
              <w:bottom w:w="20" w:type="dxa"/>
              <w:right w:w="20" w:type="dxa"/>
            </w:tcMar>
            <w:vAlign w:val="center"/>
          </w:tcPr>
          <w:p w14:paraId="000001A9" w14:textId="77777777" w:rsidR="004567EC" w:rsidRDefault="00893D27">
            <w:r>
              <w:rPr>
                <w:color w:val="000000"/>
              </w:rPr>
              <w:t>VALLE DEL CAUCA</w:t>
            </w:r>
          </w:p>
        </w:tc>
        <w:tc>
          <w:tcPr>
            <w:tcW w:w="764" w:type="dxa"/>
            <w:tcMar>
              <w:top w:w="20" w:type="dxa"/>
              <w:left w:w="20" w:type="dxa"/>
              <w:bottom w:w="20" w:type="dxa"/>
              <w:right w:w="20" w:type="dxa"/>
            </w:tcMar>
            <w:vAlign w:val="center"/>
          </w:tcPr>
          <w:p w14:paraId="000001AA" w14:textId="77777777" w:rsidR="004567EC" w:rsidRDefault="00893D27">
            <w:pPr>
              <w:jc w:val="center"/>
            </w:pPr>
            <w:r>
              <w:rPr>
                <w:color w:val="000000"/>
              </w:rPr>
              <w:t>33,5%</w:t>
            </w:r>
          </w:p>
        </w:tc>
        <w:tc>
          <w:tcPr>
            <w:tcW w:w="764" w:type="dxa"/>
            <w:tcMar>
              <w:top w:w="20" w:type="dxa"/>
              <w:left w:w="20" w:type="dxa"/>
              <w:bottom w:w="20" w:type="dxa"/>
              <w:right w:w="20" w:type="dxa"/>
            </w:tcMar>
            <w:vAlign w:val="center"/>
          </w:tcPr>
          <w:p w14:paraId="000001AB" w14:textId="77777777" w:rsidR="004567EC" w:rsidRDefault="00893D27">
            <w:pPr>
              <w:jc w:val="center"/>
            </w:pPr>
            <w:r>
              <w:rPr>
                <w:color w:val="000000"/>
              </w:rPr>
              <w:t>36,5%</w:t>
            </w:r>
          </w:p>
        </w:tc>
        <w:tc>
          <w:tcPr>
            <w:tcW w:w="764" w:type="dxa"/>
            <w:tcMar>
              <w:top w:w="20" w:type="dxa"/>
              <w:left w:w="20" w:type="dxa"/>
              <w:bottom w:w="20" w:type="dxa"/>
              <w:right w:w="20" w:type="dxa"/>
            </w:tcMar>
            <w:vAlign w:val="center"/>
          </w:tcPr>
          <w:p w14:paraId="000001AC" w14:textId="77777777" w:rsidR="004567EC" w:rsidRDefault="00893D27">
            <w:pPr>
              <w:jc w:val="center"/>
            </w:pPr>
            <w:r>
              <w:rPr>
                <w:color w:val="000000"/>
              </w:rPr>
              <w:t>36,4%</w:t>
            </w:r>
          </w:p>
        </w:tc>
        <w:tc>
          <w:tcPr>
            <w:tcW w:w="763" w:type="dxa"/>
            <w:tcMar>
              <w:top w:w="20" w:type="dxa"/>
              <w:left w:w="20" w:type="dxa"/>
              <w:bottom w:w="20" w:type="dxa"/>
              <w:right w:w="20" w:type="dxa"/>
            </w:tcMar>
            <w:vAlign w:val="center"/>
          </w:tcPr>
          <w:p w14:paraId="000001AD" w14:textId="77777777" w:rsidR="004567EC" w:rsidRDefault="00893D27">
            <w:pPr>
              <w:jc w:val="center"/>
            </w:pPr>
            <w:r>
              <w:rPr>
                <w:color w:val="000000"/>
              </w:rPr>
              <w:t>39,4%</w:t>
            </w:r>
          </w:p>
        </w:tc>
        <w:tc>
          <w:tcPr>
            <w:tcW w:w="763" w:type="dxa"/>
            <w:tcMar>
              <w:top w:w="20" w:type="dxa"/>
              <w:left w:w="20" w:type="dxa"/>
              <w:bottom w:w="20" w:type="dxa"/>
              <w:right w:w="20" w:type="dxa"/>
            </w:tcMar>
            <w:vAlign w:val="center"/>
          </w:tcPr>
          <w:p w14:paraId="000001AE" w14:textId="77777777" w:rsidR="004567EC" w:rsidRDefault="00893D27">
            <w:pPr>
              <w:jc w:val="center"/>
            </w:pPr>
            <w:r>
              <w:rPr>
                <w:color w:val="000000"/>
              </w:rPr>
              <w:t>41,6%</w:t>
            </w:r>
          </w:p>
        </w:tc>
        <w:tc>
          <w:tcPr>
            <w:tcW w:w="763" w:type="dxa"/>
            <w:tcMar>
              <w:top w:w="20" w:type="dxa"/>
              <w:left w:w="20" w:type="dxa"/>
              <w:bottom w:w="20" w:type="dxa"/>
              <w:right w:w="20" w:type="dxa"/>
            </w:tcMar>
            <w:vAlign w:val="center"/>
          </w:tcPr>
          <w:p w14:paraId="000001AF" w14:textId="77777777" w:rsidR="004567EC" w:rsidRDefault="00893D27">
            <w:pPr>
              <w:jc w:val="center"/>
            </w:pPr>
            <w:r>
              <w:rPr>
                <w:color w:val="000000"/>
              </w:rPr>
              <w:t>43,6%</w:t>
            </w:r>
          </w:p>
        </w:tc>
        <w:tc>
          <w:tcPr>
            <w:tcW w:w="763" w:type="dxa"/>
            <w:tcMar>
              <w:top w:w="20" w:type="dxa"/>
              <w:left w:w="20" w:type="dxa"/>
              <w:bottom w:w="20" w:type="dxa"/>
              <w:right w:w="20" w:type="dxa"/>
            </w:tcMar>
            <w:vAlign w:val="center"/>
          </w:tcPr>
          <w:p w14:paraId="000001B0" w14:textId="77777777" w:rsidR="004567EC" w:rsidRDefault="00893D27">
            <w:pPr>
              <w:jc w:val="center"/>
            </w:pPr>
            <w:r>
              <w:rPr>
                <w:color w:val="000000"/>
              </w:rPr>
              <w:t>45,3%</w:t>
            </w:r>
          </w:p>
        </w:tc>
        <w:tc>
          <w:tcPr>
            <w:tcW w:w="763" w:type="dxa"/>
            <w:tcMar>
              <w:top w:w="20" w:type="dxa"/>
              <w:left w:w="20" w:type="dxa"/>
              <w:bottom w:w="20" w:type="dxa"/>
              <w:right w:w="20" w:type="dxa"/>
            </w:tcMar>
            <w:vAlign w:val="center"/>
          </w:tcPr>
          <w:p w14:paraId="000001B1" w14:textId="77777777" w:rsidR="004567EC" w:rsidRDefault="00893D27">
            <w:pPr>
              <w:jc w:val="center"/>
            </w:pPr>
            <w:r>
              <w:rPr>
                <w:color w:val="000000"/>
              </w:rPr>
              <w:t>46,3%</w:t>
            </w:r>
          </w:p>
        </w:tc>
        <w:tc>
          <w:tcPr>
            <w:tcW w:w="674" w:type="dxa"/>
            <w:tcMar>
              <w:top w:w="20" w:type="dxa"/>
              <w:left w:w="20" w:type="dxa"/>
              <w:bottom w:w="20" w:type="dxa"/>
              <w:right w:w="20" w:type="dxa"/>
            </w:tcMar>
            <w:vAlign w:val="center"/>
          </w:tcPr>
          <w:p w14:paraId="000001B2" w14:textId="77777777" w:rsidR="004567EC" w:rsidRDefault="00893D27">
            <w:pPr>
              <w:jc w:val="center"/>
            </w:pPr>
            <w:r>
              <w:rPr>
                <w:color w:val="000000"/>
              </w:rPr>
              <w:t>45,4%</w:t>
            </w:r>
          </w:p>
        </w:tc>
        <w:tc>
          <w:tcPr>
            <w:tcW w:w="809" w:type="dxa"/>
            <w:tcMar>
              <w:top w:w="20" w:type="dxa"/>
              <w:left w:w="20" w:type="dxa"/>
              <w:bottom w:w="20" w:type="dxa"/>
              <w:right w:w="20" w:type="dxa"/>
            </w:tcMar>
            <w:vAlign w:val="center"/>
          </w:tcPr>
          <w:p w14:paraId="000001B3" w14:textId="77777777" w:rsidR="004567EC" w:rsidRDefault="00893D27">
            <w:pPr>
              <w:jc w:val="center"/>
            </w:pPr>
            <w:r>
              <w:rPr>
                <w:color w:val="000000"/>
              </w:rPr>
              <w:t>45,4%</w:t>
            </w:r>
          </w:p>
        </w:tc>
      </w:tr>
      <w:tr w:rsidR="004567EC" w14:paraId="0DAA7A7A" w14:textId="77777777">
        <w:trPr>
          <w:trHeight w:val="300"/>
        </w:trPr>
        <w:tc>
          <w:tcPr>
            <w:tcW w:w="1417" w:type="dxa"/>
            <w:shd w:val="clear" w:color="auto" w:fill="D9D9D9"/>
            <w:tcMar>
              <w:top w:w="20" w:type="dxa"/>
              <w:left w:w="20" w:type="dxa"/>
              <w:bottom w:w="20" w:type="dxa"/>
              <w:right w:w="20" w:type="dxa"/>
            </w:tcMar>
            <w:vAlign w:val="center"/>
          </w:tcPr>
          <w:p w14:paraId="000001B4" w14:textId="77777777" w:rsidR="004567EC" w:rsidRDefault="00893D27">
            <w:r>
              <w:rPr>
                <w:color w:val="000000"/>
              </w:rPr>
              <w:t>ARAUCA</w:t>
            </w:r>
          </w:p>
        </w:tc>
        <w:tc>
          <w:tcPr>
            <w:tcW w:w="764" w:type="dxa"/>
            <w:shd w:val="clear" w:color="auto" w:fill="D9D9D9"/>
            <w:tcMar>
              <w:top w:w="20" w:type="dxa"/>
              <w:left w:w="20" w:type="dxa"/>
              <w:bottom w:w="20" w:type="dxa"/>
              <w:right w:w="20" w:type="dxa"/>
            </w:tcMar>
            <w:vAlign w:val="center"/>
          </w:tcPr>
          <w:p w14:paraId="000001B5" w14:textId="77777777" w:rsidR="004567EC" w:rsidRDefault="00893D27">
            <w:pPr>
              <w:jc w:val="center"/>
            </w:pPr>
            <w:r>
              <w:rPr>
                <w:color w:val="000000"/>
              </w:rPr>
              <w:t>17,2%</w:t>
            </w:r>
          </w:p>
        </w:tc>
        <w:tc>
          <w:tcPr>
            <w:tcW w:w="764" w:type="dxa"/>
            <w:shd w:val="clear" w:color="auto" w:fill="D9D9D9"/>
            <w:tcMar>
              <w:top w:w="20" w:type="dxa"/>
              <w:left w:w="20" w:type="dxa"/>
              <w:bottom w:w="20" w:type="dxa"/>
              <w:right w:w="20" w:type="dxa"/>
            </w:tcMar>
            <w:vAlign w:val="center"/>
          </w:tcPr>
          <w:p w14:paraId="000001B6" w14:textId="77777777" w:rsidR="004567EC" w:rsidRDefault="00893D27">
            <w:pPr>
              <w:jc w:val="center"/>
            </w:pPr>
            <w:r>
              <w:rPr>
                <w:color w:val="000000"/>
              </w:rPr>
              <w:t>19,7%</w:t>
            </w:r>
          </w:p>
        </w:tc>
        <w:tc>
          <w:tcPr>
            <w:tcW w:w="764" w:type="dxa"/>
            <w:shd w:val="clear" w:color="auto" w:fill="D9D9D9"/>
            <w:tcMar>
              <w:top w:w="20" w:type="dxa"/>
              <w:left w:w="20" w:type="dxa"/>
              <w:bottom w:w="20" w:type="dxa"/>
              <w:right w:w="20" w:type="dxa"/>
            </w:tcMar>
            <w:vAlign w:val="center"/>
          </w:tcPr>
          <w:p w14:paraId="000001B7" w14:textId="77777777" w:rsidR="004567EC" w:rsidRDefault="00893D27">
            <w:pPr>
              <w:jc w:val="center"/>
            </w:pPr>
            <w:r>
              <w:rPr>
                <w:color w:val="000000"/>
              </w:rPr>
              <w:t>21,0%</w:t>
            </w:r>
          </w:p>
        </w:tc>
        <w:tc>
          <w:tcPr>
            <w:tcW w:w="763" w:type="dxa"/>
            <w:shd w:val="clear" w:color="auto" w:fill="D9D9D9"/>
            <w:tcMar>
              <w:top w:w="20" w:type="dxa"/>
              <w:left w:w="20" w:type="dxa"/>
              <w:bottom w:w="20" w:type="dxa"/>
              <w:right w:w="20" w:type="dxa"/>
            </w:tcMar>
            <w:vAlign w:val="center"/>
          </w:tcPr>
          <w:p w14:paraId="000001B8" w14:textId="77777777" w:rsidR="004567EC" w:rsidRDefault="00893D27">
            <w:pPr>
              <w:jc w:val="center"/>
            </w:pPr>
            <w:r>
              <w:rPr>
                <w:color w:val="000000"/>
              </w:rPr>
              <w:t>17,3%</w:t>
            </w:r>
          </w:p>
        </w:tc>
        <w:tc>
          <w:tcPr>
            <w:tcW w:w="763" w:type="dxa"/>
            <w:shd w:val="clear" w:color="auto" w:fill="D9D9D9"/>
            <w:tcMar>
              <w:top w:w="20" w:type="dxa"/>
              <w:left w:w="20" w:type="dxa"/>
              <w:bottom w:w="20" w:type="dxa"/>
              <w:right w:w="20" w:type="dxa"/>
            </w:tcMar>
            <w:vAlign w:val="center"/>
          </w:tcPr>
          <w:p w14:paraId="000001B9" w14:textId="77777777" w:rsidR="004567EC" w:rsidRDefault="00893D27">
            <w:pPr>
              <w:jc w:val="center"/>
            </w:pPr>
            <w:r>
              <w:rPr>
                <w:color w:val="000000"/>
              </w:rPr>
              <w:t>14,8%</w:t>
            </w:r>
          </w:p>
        </w:tc>
        <w:tc>
          <w:tcPr>
            <w:tcW w:w="763" w:type="dxa"/>
            <w:shd w:val="clear" w:color="auto" w:fill="D9D9D9"/>
            <w:tcMar>
              <w:top w:w="20" w:type="dxa"/>
              <w:left w:w="20" w:type="dxa"/>
              <w:bottom w:w="20" w:type="dxa"/>
              <w:right w:w="20" w:type="dxa"/>
            </w:tcMar>
            <w:vAlign w:val="center"/>
          </w:tcPr>
          <w:p w14:paraId="000001BA" w14:textId="77777777" w:rsidR="004567EC" w:rsidRDefault="00893D27">
            <w:pPr>
              <w:jc w:val="center"/>
            </w:pPr>
            <w:r>
              <w:rPr>
                <w:color w:val="000000"/>
              </w:rPr>
              <w:t>13,9%</w:t>
            </w:r>
          </w:p>
        </w:tc>
        <w:tc>
          <w:tcPr>
            <w:tcW w:w="763" w:type="dxa"/>
            <w:shd w:val="clear" w:color="auto" w:fill="D9D9D9"/>
            <w:tcMar>
              <w:top w:w="20" w:type="dxa"/>
              <w:left w:w="20" w:type="dxa"/>
              <w:bottom w:w="20" w:type="dxa"/>
              <w:right w:w="20" w:type="dxa"/>
            </w:tcMar>
            <w:vAlign w:val="center"/>
          </w:tcPr>
          <w:p w14:paraId="000001BB" w14:textId="77777777" w:rsidR="004567EC" w:rsidRDefault="00893D27">
            <w:pPr>
              <w:jc w:val="center"/>
            </w:pPr>
            <w:r>
              <w:rPr>
                <w:color w:val="000000"/>
              </w:rPr>
              <w:t>13,3%</w:t>
            </w:r>
          </w:p>
        </w:tc>
        <w:tc>
          <w:tcPr>
            <w:tcW w:w="763" w:type="dxa"/>
            <w:shd w:val="clear" w:color="auto" w:fill="D9D9D9"/>
            <w:tcMar>
              <w:top w:w="20" w:type="dxa"/>
              <w:left w:w="20" w:type="dxa"/>
              <w:bottom w:w="20" w:type="dxa"/>
              <w:right w:w="20" w:type="dxa"/>
            </w:tcMar>
            <w:vAlign w:val="center"/>
          </w:tcPr>
          <w:p w14:paraId="000001BC" w14:textId="77777777" w:rsidR="004567EC" w:rsidRDefault="00893D27">
            <w:pPr>
              <w:jc w:val="center"/>
            </w:pPr>
            <w:r>
              <w:rPr>
                <w:color w:val="000000"/>
              </w:rPr>
              <w:t>12,8%</w:t>
            </w:r>
          </w:p>
        </w:tc>
        <w:tc>
          <w:tcPr>
            <w:tcW w:w="674" w:type="dxa"/>
            <w:shd w:val="clear" w:color="auto" w:fill="D9D9D9"/>
            <w:tcMar>
              <w:top w:w="20" w:type="dxa"/>
              <w:left w:w="20" w:type="dxa"/>
              <w:bottom w:w="20" w:type="dxa"/>
              <w:right w:w="20" w:type="dxa"/>
            </w:tcMar>
            <w:vAlign w:val="center"/>
          </w:tcPr>
          <w:p w14:paraId="000001BD" w14:textId="77777777" w:rsidR="004567EC" w:rsidRDefault="00893D27">
            <w:pPr>
              <w:jc w:val="center"/>
            </w:pPr>
            <w:r>
              <w:rPr>
                <w:color w:val="000000"/>
              </w:rPr>
              <w:t>9,8%</w:t>
            </w:r>
          </w:p>
        </w:tc>
        <w:tc>
          <w:tcPr>
            <w:tcW w:w="809" w:type="dxa"/>
            <w:shd w:val="clear" w:color="auto" w:fill="D9D9D9"/>
            <w:tcMar>
              <w:top w:w="20" w:type="dxa"/>
              <w:left w:w="20" w:type="dxa"/>
              <w:bottom w:w="20" w:type="dxa"/>
              <w:right w:w="20" w:type="dxa"/>
            </w:tcMar>
            <w:vAlign w:val="center"/>
          </w:tcPr>
          <w:p w14:paraId="000001BE" w14:textId="77777777" w:rsidR="004567EC" w:rsidRDefault="00893D27">
            <w:pPr>
              <w:jc w:val="center"/>
            </w:pPr>
            <w:r>
              <w:rPr>
                <w:color w:val="000000"/>
              </w:rPr>
              <w:t>9,0%</w:t>
            </w:r>
          </w:p>
        </w:tc>
      </w:tr>
      <w:tr w:rsidR="004567EC" w14:paraId="60294361" w14:textId="77777777">
        <w:trPr>
          <w:trHeight w:val="300"/>
        </w:trPr>
        <w:tc>
          <w:tcPr>
            <w:tcW w:w="1417" w:type="dxa"/>
            <w:tcMar>
              <w:top w:w="20" w:type="dxa"/>
              <w:left w:w="20" w:type="dxa"/>
              <w:bottom w:w="20" w:type="dxa"/>
              <w:right w:w="20" w:type="dxa"/>
            </w:tcMar>
            <w:vAlign w:val="center"/>
          </w:tcPr>
          <w:p w14:paraId="000001BF" w14:textId="77777777" w:rsidR="004567EC" w:rsidRDefault="00893D27">
            <w:r>
              <w:rPr>
                <w:color w:val="000000"/>
              </w:rPr>
              <w:t>CASANARE</w:t>
            </w:r>
          </w:p>
        </w:tc>
        <w:tc>
          <w:tcPr>
            <w:tcW w:w="764" w:type="dxa"/>
            <w:tcMar>
              <w:top w:w="20" w:type="dxa"/>
              <w:left w:w="20" w:type="dxa"/>
              <w:bottom w:w="20" w:type="dxa"/>
              <w:right w:w="20" w:type="dxa"/>
            </w:tcMar>
            <w:vAlign w:val="center"/>
          </w:tcPr>
          <w:p w14:paraId="000001C0" w14:textId="77777777" w:rsidR="004567EC" w:rsidRDefault="00893D27">
            <w:pPr>
              <w:jc w:val="center"/>
            </w:pPr>
            <w:r>
              <w:rPr>
                <w:color w:val="000000"/>
              </w:rPr>
              <w:t>25,1%</w:t>
            </w:r>
          </w:p>
        </w:tc>
        <w:tc>
          <w:tcPr>
            <w:tcW w:w="764" w:type="dxa"/>
            <w:tcMar>
              <w:top w:w="20" w:type="dxa"/>
              <w:left w:w="20" w:type="dxa"/>
              <w:bottom w:w="20" w:type="dxa"/>
              <w:right w:w="20" w:type="dxa"/>
            </w:tcMar>
            <w:vAlign w:val="center"/>
          </w:tcPr>
          <w:p w14:paraId="000001C1" w14:textId="77777777" w:rsidR="004567EC" w:rsidRDefault="00893D27">
            <w:pPr>
              <w:jc w:val="center"/>
            </w:pPr>
            <w:r>
              <w:rPr>
                <w:color w:val="000000"/>
              </w:rPr>
              <w:t>27,8%</w:t>
            </w:r>
          </w:p>
        </w:tc>
        <w:tc>
          <w:tcPr>
            <w:tcW w:w="764" w:type="dxa"/>
            <w:tcMar>
              <w:top w:w="20" w:type="dxa"/>
              <w:left w:w="20" w:type="dxa"/>
              <w:bottom w:w="20" w:type="dxa"/>
              <w:right w:w="20" w:type="dxa"/>
            </w:tcMar>
            <w:vAlign w:val="center"/>
          </w:tcPr>
          <w:p w14:paraId="000001C2" w14:textId="77777777" w:rsidR="004567EC" w:rsidRDefault="00893D27">
            <w:pPr>
              <w:jc w:val="center"/>
            </w:pPr>
            <w:r>
              <w:rPr>
                <w:color w:val="000000"/>
              </w:rPr>
              <w:t>29,3%</w:t>
            </w:r>
          </w:p>
        </w:tc>
        <w:tc>
          <w:tcPr>
            <w:tcW w:w="763" w:type="dxa"/>
            <w:tcMar>
              <w:top w:w="20" w:type="dxa"/>
              <w:left w:w="20" w:type="dxa"/>
              <w:bottom w:w="20" w:type="dxa"/>
              <w:right w:w="20" w:type="dxa"/>
            </w:tcMar>
            <w:vAlign w:val="center"/>
          </w:tcPr>
          <w:p w14:paraId="000001C3" w14:textId="77777777" w:rsidR="004567EC" w:rsidRDefault="00893D27">
            <w:pPr>
              <w:jc w:val="center"/>
            </w:pPr>
            <w:r>
              <w:rPr>
                <w:color w:val="000000"/>
              </w:rPr>
              <w:t>25,0%</w:t>
            </w:r>
          </w:p>
        </w:tc>
        <w:tc>
          <w:tcPr>
            <w:tcW w:w="763" w:type="dxa"/>
            <w:tcMar>
              <w:top w:w="20" w:type="dxa"/>
              <w:left w:w="20" w:type="dxa"/>
              <w:bottom w:w="20" w:type="dxa"/>
              <w:right w:w="20" w:type="dxa"/>
            </w:tcMar>
            <w:vAlign w:val="center"/>
          </w:tcPr>
          <w:p w14:paraId="000001C4" w14:textId="77777777" w:rsidR="004567EC" w:rsidRDefault="00893D27">
            <w:pPr>
              <w:jc w:val="center"/>
            </w:pPr>
            <w:r>
              <w:rPr>
                <w:color w:val="000000"/>
              </w:rPr>
              <w:t>25,9%</w:t>
            </w:r>
          </w:p>
        </w:tc>
        <w:tc>
          <w:tcPr>
            <w:tcW w:w="763" w:type="dxa"/>
            <w:tcMar>
              <w:top w:w="20" w:type="dxa"/>
              <w:left w:w="20" w:type="dxa"/>
              <w:bottom w:w="20" w:type="dxa"/>
              <w:right w:w="20" w:type="dxa"/>
            </w:tcMar>
            <w:vAlign w:val="center"/>
          </w:tcPr>
          <w:p w14:paraId="000001C5" w14:textId="77777777" w:rsidR="004567EC" w:rsidRDefault="00893D27">
            <w:pPr>
              <w:jc w:val="center"/>
            </w:pPr>
            <w:r>
              <w:rPr>
                <w:color w:val="000000"/>
              </w:rPr>
              <w:t>25,9%</w:t>
            </w:r>
          </w:p>
        </w:tc>
        <w:tc>
          <w:tcPr>
            <w:tcW w:w="763" w:type="dxa"/>
            <w:tcMar>
              <w:top w:w="20" w:type="dxa"/>
              <w:left w:w="20" w:type="dxa"/>
              <w:bottom w:w="20" w:type="dxa"/>
              <w:right w:w="20" w:type="dxa"/>
            </w:tcMar>
            <w:vAlign w:val="center"/>
          </w:tcPr>
          <w:p w14:paraId="000001C6" w14:textId="77777777" w:rsidR="004567EC" w:rsidRDefault="00893D27">
            <w:pPr>
              <w:jc w:val="center"/>
            </w:pPr>
            <w:r>
              <w:rPr>
                <w:color w:val="000000"/>
              </w:rPr>
              <w:t>26,9%</w:t>
            </w:r>
          </w:p>
        </w:tc>
        <w:tc>
          <w:tcPr>
            <w:tcW w:w="763" w:type="dxa"/>
            <w:tcMar>
              <w:top w:w="20" w:type="dxa"/>
              <w:left w:w="20" w:type="dxa"/>
              <w:bottom w:w="20" w:type="dxa"/>
              <w:right w:w="20" w:type="dxa"/>
            </w:tcMar>
            <w:vAlign w:val="center"/>
          </w:tcPr>
          <w:p w14:paraId="000001C7" w14:textId="77777777" w:rsidR="004567EC" w:rsidRDefault="00893D27">
            <w:pPr>
              <w:jc w:val="center"/>
            </w:pPr>
            <w:r>
              <w:rPr>
                <w:color w:val="000000"/>
              </w:rPr>
              <w:t>25,6%</w:t>
            </w:r>
          </w:p>
        </w:tc>
        <w:tc>
          <w:tcPr>
            <w:tcW w:w="674" w:type="dxa"/>
            <w:tcMar>
              <w:top w:w="20" w:type="dxa"/>
              <w:left w:w="20" w:type="dxa"/>
              <w:bottom w:w="20" w:type="dxa"/>
              <w:right w:w="20" w:type="dxa"/>
            </w:tcMar>
            <w:vAlign w:val="center"/>
          </w:tcPr>
          <w:p w14:paraId="000001C8" w14:textId="77777777" w:rsidR="004567EC" w:rsidRDefault="00893D27">
            <w:pPr>
              <w:jc w:val="center"/>
            </w:pPr>
            <w:r>
              <w:rPr>
                <w:color w:val="000000"/>
              </w:rPr>
              <w:t>23,7%</w:t>
            </w:r>
          </w:p>
        </w:tc>
        <w:tc>
          <w:tcPr>
            <w:tcW w:w="809" w:type="dxa"/>
            <w:tcMar>
              <w:top w:w="20" w:type="dxa"/>
              <w:left w:w="20" w:type="dxa"/>
              <w:bottom w:w="20" w:type="dxa"/>
              <w:right w:w="20" w:type="dxa"/>
            </w:tcMar>
            <w:vAlign w:val="center"/>
          </w:tcPr>
          <w:p w14:paraId="000001C9" w14:textId="77777777" w:rsidR="004567EC" w:rsidRDefault="00893D27">
            <w:pPr>
              <w:jc w:val="center"/>
            </w:pPr>
            <w:r>
              <w:rPr>
                <w:color w:val="000000"/>
              </w:rPr>
              <w:t>26,7%</w:t>
            </w:r>
          </w:p>
        </w:tc>
      </w:tr>
      <w:tr w:rsidR="004567EC" w14:paraId="2A0ACEC2" w14:textId="77777777">
        <w:trPr>
          <w:trHeight w:val="300"/>
        </w:trPr>
        <w:tc>
          <w:tcPr>
            <w:tcW w:w="1417" w:type="dxa"/>
            <w:shd w:val="clear" w:color="auto" w:fill="D9D9D9"/>
            <w:tcMar>
              <w:top w:w="20" w:type="dxa"/>
              <w:left w:w="20" w:type="dxa"/>
              <w:bottom w:w="20" w:type="dxa"/>
              <w:right w:w="20" w:type="dxa"/>
            </w:tcMar>
            <w:vAlign w:val="center"/>
          </w:tcPr>
          <w:p w14:paraId="000001CA" w14:textId="77777777" w:rsidR="004567EC" w:rsidRDefault="00893D27">
            <w:r>
              <w:rPr>
                <w:color w:val="000000"/>
              </w:rPr>
              <w:t>PUTUMAYO</w:t>
            </w:r>
          </w:p>
        </w:tc>
        <w:tc>
          <w:tcPr>
            <w:tcW w:w="764" w:type="dxa"/>
            <w:shd w:val="clear" w:color="auto" w:fill="D9D9D9"/>
            <w:tcMar>
              <w:top w:w="20" w:type="dxa"/>
              <w:left w:w="20" w:type="dxa"/>
              <w:bottom w:w="20" w:type="dxa"/>
              <w:right w:w="20" w:type="dxa"/>
            </w:tcMar>
            <w:vAlign w:val="center"/>
          </w:tcPr>
          <w:p w14:paraId="000001CB" w14:textId="77777777" w:rsidR="004567EC" w:rsidRDefault="00893D27">
            <w:pPr>
              <w:jc w:val="center"/>
            </w:pPr>
            <w:r>
              <w:rPr>
                <w:color w:val="000000"/>
              </w:rPr>
              <w:t>14,3%</w:t>
            </w:r>
          </w:p>
        </w:tc>
        <w:tc>
          <w:tcPr>
            <w:tcW w:w="764" w:type="dxa"/>
            <w:shd w:val="clear" w:color="auto" w:fill="D9D9D9"/>
            <w:tcMar>
              <w:top w:w="20" w:type="dxa"/>
              <w:left w:w="20" w:type="dxa"/>
              <w:bottom w:w="20" w:type="dxa"/>
              <w:right w:w="20" w:type="dxa"/>
            </w:tcMar>
            <w:vAlign w:val="center"/>
          </w:tcPr>
          <w:p w14:paraId="000001CC" w14:textId="77777777" w:rsidR="004567EC" w:rsidRDefault="00893D27">
            <w:pPr>
              <w:jc w:val="center"/>
            </w:pPr>
            <w:r>
              <w:rPr>
                <w:color w:val="000000"/>
              </w:rPr>
              <w:t>15,4%</w:t>
            </w:r>
          </w:p>
        </w:tc>
        <w:tc>
          <w:tcPr>
            <w:tcW w:w="764" w:type="dxa"/>
            <w:shd w:val="clear" w:color="auto" w:fill="D9D9D9"/>
            <w:tcMar>
              <w:top w:w="20" w:type="dxa"/>
              <w:left w:w="20" w:type="dxa"/>
              <w:bottom w:w="20" w:type="dxa"/>
              <w:right w:w="20" w:type="dxa"/>
            </w:tcMar>
            <w:vAlign w:val="center"/>
          </w:tcPr>
          <w:p w14:paraId="000001CD" w14:textId="77777777" w:rsidR="004567EC" w:rsidRDefault="00893D27">
            <w:pPr>
              <w:jc w:val="center"/>
            </w:pPr>
            <w:r>
              <w:rPr>
                <w:color w:val="000000"/>
              </w:rPr>
              <w:t>13,3%</w:t>
            </w:r>
          </w:p>
        </w:tc>
        <w:tc>
          <w:tcPr>
            <w:tcW w:w="763" w:type="dxa"/>
            <w:shd w:val="clear" w:color="auto" w:fill="D9D9D9"/>
            <w:tcMar>
              <w:top w:w="20" w:type="dxa"/>
              <w:left w:w="20" w:type="dxa"/>
              <w:bottom w:w="20" w:type="dxa"/>
              <w:right w:w="20" w:type="dxa"/>
            </w:tcMar>
            <w:vAlign w:val="center"/>
          </w:tcPr>
          <w:p w14:paraId="000001CE" w14:textId="77777777" w:rsidR="004567EC" w:rsidRDefault="00893D27">
            <w:pPr>
              <w:jc w:val="center"/>
            </w:pPr>
            <w:r>
              <w:rPr>
                <w:color w:val="000000"/>
              </w:rPr>
              <w:t>12,1%</w:t>
            </w:r>
          </w:p>
        </w:tc>
        <w:tc>
          <w:tcPr>
            <w:tcW w:w="763" w:type="dxa"/>
            <w:shd w:val="clear" w:color="auto" w:fill="D9D9D9"/>
            <w:tcMar>
              <w:top w:w="20" w:type="dxa"/>
              <w:left w:w="20" w:type="dxa"/>
              <w:bottom w:w="20" w:type="dxa"/>
              <w:right w:w="20" w:type="dxa"/>
            </w:tcMar>
            <w:vAlign w:val="center"/>
          </w:tcPr>
          <w:p w14:paraId="000001CF" w14:textId="77777777" w:rsidR="004567EC" w:rsidRDefault="00893D27">
            <w:pPr>
              <w:jc w:val="center"/>
            </w:pPr>
            <w:r>
              <w:rPr>
                <w:color w:val="000000"/>
              </w:rPr>
              <w:t>15,7%</w:t>
            </w:r>
          </w:p>
        </w:tc>
        <w:tc>
          <w:tcPr>
            <w:tcW w:w="763" w:type="dxa"/>
            <w:shd w:val="clear" w:color="auto" w:fill="D9D9D9"/>
            <w:tcMar>
              <w:top w:w="20" w:type="dxa"/>
              <w:left w:w="20" w:type="dxa"/>
              <w:bottom w:w="20" w:type="dxa"/>
              <w:right w:w="20" w:type="dxa"/>
            </w:tcMar>
            <w:vAlign w:val="center"/>
          </w:tcPr>
          <w:p w14:paraId="000001D0" w14:textId="77777777" w:rsidR="004567EC" w:rsidRDefault="00893D27">
            <w:pPr>
              <w:jc w:val="center"/>
            </w:pPr>
            <w:r>
              <w:rPr>
                <w:color w:val="000000"/>
              </w:rPr>
              <w:t>17,6%</w:t>
            </w:r>
          </w:p>
        </w:tc>
        <w:tc>
          <w:tcPr>
            <w:tcW w:w="763" w:type="dxa"/>
            <w:shd w:val="clear" w:color="auto" w:fill="D9D9D9"/>
            <w:tcMar>
              <w:top w:w="20" w:type="dxa"/>
              <w:left w:w="20" w:type="dxa"/>
              <w:bottom w:w="20" w:type="dxa"/>
              <w:right w:w="20" w:type="dxa"/>
            </w:tcMar>
            <w:vAlign w:val="center"/>
          </w:tcPr>
          <w:p w14:paraId="000001D1" w14:textId="77777777" w:rsidR="004567EC" w:rsidRDefault="00893D27">
            <w:pPr>
              <w:jc w:val="center"/>
            </w:pPr>
            <w:r>
              <w:rPr>
                <w:color w:val="000000"/>
              </w:rPr>
              <w:t>15,7%</w:t>
            </w:r>
          </w:p>
        </w:tc>
        <w:tc>
          <w:tcPr>
            <w:tcW w:w="763" w:type="dxa"/>
            <w:shd w:val="clear" w:color="auto" w:fill="D9D9D9"/>
            <w:tcMar>
              <w:top w:w="20" w:type="dxa"/>
              <w:left w:w="20" w:type="dxa"/>
              <w:bottom w:w="20" w:type="dxa"/>
              <w:right w:w="20" w:type="dxa"/>
            </w:tcMar>
            <w:vAlign w:val="center"/>
          </w:tcPr>
          <w:p w14:paraId="000001D2" w14:textId="77777777" w:rsidR="004567EC" w:rsidRDefault="00893D27">
            <w:pPr>
              <w:jc w:val="center"/>
            </w:pPr>
            <w:r>
              <w:rPr>
                <w:color w:val="000000"/>
              </w:rPr>
              <w:t>12,2%</w:t>
            </w:r>
          </w:p>
        </w:tc>
        <w:tc>
          <w:tcPr>
            <w:tcW w:w="674" w:type="dxa"/>
            <w:shd w:val="clear" w:color="auto" w:fill="D9D9D9"/>
            <w:tcMar>
              <w:top w:w="20" w:type="dxa"/>
              <w:left w:w="20" w:type="dxa"/>
              <w:bottom w:w="20" w:type="dxa"/>
              <w:right w:w="20" w:type="dxa"/>
            </w:tcMar>
            <w:vAlign w:val="center"/>
          </w:tcPr>
          <w:p w14:paraId="000001D3" w14:textId="77777777" w:rsidR="004567EC" w:rsidRDefault="00893D27">
            <w:pPr>
              <w:jc w:val="center"/>
            </w:pPr>
            <w:r>
              <w:rPr>
                <w:color w:val="000000"/>
              </w:rPr>
              <w:t>12,5%</w:t>
            </w:r>
          </w:p>
        </w:tc>
        <w:tc>
          <w:tcPr>
            <w:tcW w:w="809" w:type="dxa"/>
            <w:shd w:val="clear" w:color="auto" w:fill="D9D9D9"/>
            <w:tcMar>
              <w:top w:w="20" w:type="dxa"/>
              <w:left w:w="20" w:type="dxa"/>
              <w:bottom w:w="20" w:type="dxa"/>
              <w:right w:w="20" w:type="dxa"/>
            </w:tcMar>
            <w:vAlign w:val="center"/>
          </w:tcPr>
          <w:p w14:paraId="000001D4" w14:textId="77777777" w:rsidR="004567EC" w:rsidRDefault="00893D27">
            <w:pPr>
              <w:jc w:val="center"/>
            </w:pPr>
            <w:r>
              <w:rPr>
                <w:color w:val="000000"/>
              </w:rPr>
              <w:t>15,5%</w:t>
            </w:r>
          </w:p>
        </w:tc>
      </w:tr>
      <w:tr w:rsidR="004567EC" w14:paraId="7BAABF3D" w14:textId="77777777">
        <w:trPr>
          <w:trHeight w:val="351"/>
        </w:trPr>
        <w:tc>
          <w:tcPr>
            <w:tcW w:w="1417" w:type="dxa"/>
            <w:tcMar>
              <w:top w:w="20" w:type="dxa"/>
              <w:left w:w="20" w:type="dxa"/>
              <w:bottom w:w="20" w:type="dxa"/>
              <w:right w:w="20" w:type="dxa"/>
            </w:tcMar>
            <w:vAlign w:val="center"/>
          </w:tcPr>
          <w:p w14:paraId="000001D5" w14:textId="77777777" w:rsidR="004567EC" w:rsidRDefault="00893D27">
            <w:pPr>
              <w:rPr>
                <w:b/>
              </w:rPr>
            </w:pPr>
            <w:r>
              <w:rPr>
                <w:b/>
                <w:color w:val="000000"/>
              </w:rPr>
              <w:t xml:space="preserve">SAN ANDRES Y </w:t>
            </w:r>
            <w:r>
              <w:rPr>
                <w:b/>
                <w:color w:val="000000"/>
              </w:rPr>
              <w:lastRenderedPageBreak/>
              <w:t>PROVIDENCIA</w:t>
            </w:r>
          </w:p>
        </w:tc>
        <w:tc>
          <w:tcPr>
            <w:tcW w:w="764" w:type="dxa"/>
            <w:shd w:val="clear" w:color="auto" w:fill="00B050"/>
            <w:tcMar>
              <w:top w:w="20" w:type="dxa"/>
              <w:left w:w="20" w:type="dxa"/>
              <w:bottom w:w="20" w:type="dxa"/>
              <w:right w:w="20" w:type="dxa"/>
            </w:tcMar>
            <w:vAlign w:val="center"/>
          </w:tcPr>
          <w:p w14:paraId="000001D6" w14:textId="77777777" w:rsidR="004567EC" w:rsidRDefault="00893D27">
            <w:pPr>
              <w:jc w:val="center"/>
            </w:pPr>
            <w:r>
              <w:rPr>
                <w:color w:val="000000"/>
              </w:rPr>
              <w:lastRenderedPageBreak/>
              <w:t>32,8%</w:t>
            </w:r>
          </w:p>
        </w:tc>
        <w:tc>
          <w:tcPr>
            <w:tcW w:w="764" w:type="dxa"/>
            <w:tcMar>
              <w:top w:w="20" w:type="dxa"/>
              <w:left w:w="20" w:type="dxa"/>
              <w:bottom w:w="20" w:type="dxa"/>
              <w:right w:w="20" w:type="dxa"/>
            </w:tcMar>
            <w:vAlign w:val="center"/>
          </w:tcPr>
          <w:p w14:paraId="000001D7" w14:textId="77777777" w:rsidR="004567EC" w:rsidRDefault="00893D27">
            <w:pPr>
              <w:jc w:val="center"/>
            </w:pPr>
            <w:r>
              <w:rPr>
                <w:color w:val="000000"/>
              </w:rPr>
              <w:t>19,3%</w:t>
            </w:r>
          </w:p>
        </w:tc>
        <w:tc>
          <w:tcPr>
            <w:tcW w:w="764" w:type="dxa"/>
            <w:tcMar>
              <w:top w:w="20" w:type="dxa"/>
              <w:left w:w="20" w:type="dxa"/>
              <w:bottom w:w="20" w:type="dxa"/>
              <w:right w:w="20" w:type="dxa"/>
            </w:tcMar>
            <w:vAlign w:val="center"/>
          </w:tcPr>
          <w:p w14:paraId="000001D8" w14:textId="77777777" w:rsidR="004567EC" w:rsidRDefault="00893D27">
            <w:pPr>
              <w:jc w:val="center"/>
            </w:pPr>
            <w:r>
              <w:rPr>
                <w:color w:val="000000"/>
              </w:rPr>
              <w:t>21,6%</w:t>
            </w:r>
          </w:p>
        </w:tc>
        <w:tc>
          <w:tcPr>
            <w:tcW w:w="763" w:type="dxa"/>
            <w:tcMar>
              <w:top w:w="20" w:type="dxa"/>
              <w:left w:w="20" w:type="dxa"/>
              <w:bottom w:w="20" w:type="dxa"/>
              <w:right w:w="20" w:type="dxa"/>
            </w:tcMar>
            <w:vAlign w:val="center"/>
          </w:tcPr>
          <w:p w14:paraId="000001D9" w14:textId="77777777" w:rsidR="004567EC" w:rsidRDefault="00893D27">
            <w:pPr>
              <w:jc w:val="center"/>
            </w:pPr>
            <w:r>
              <w:rPr>
                <w:color w:val="000000"/>
              </w:rPr>
              <w:t>23,7%</w:t>
            </w:r>
          </w:p>
        </w:tc>
        <w:tc>
          <w:tcPr>
            <w:tcW w:w="763" w:type="dxa"/>
            <w:tcMar>
              <w:top w:w="20" w:type="dxa"/>
              <w:left w:w="20" w:type="dxa"/>
              <w:bottom w:w="20" w:type="dxa"/>
              <w:right w:w="20" w:type="dxa"/>
            </w:tcMar>
            <w:vAlign w:val="center"/>
          </w:tcPr>
          <w:p w14:paraId="000001DA" w14:textId="77777777" w:rsidR="004567EC" w:rsidRDefault="00893D27">
            <w:pPr>
              <w:jc w:val="center"/>
            </w:pPr>
            <w:r>
              <w:rPr>
                <w:color w:val="000000"/>
              </w:rPr>
              <w:t>35,4%</w:t>
            </w:r>
          </w:p>
        </w:tc>
        <w:tc>
          <w:tcPr>
            <w:tcW w:w="763" w:type="dxa"/>
            <w:tcMar>
              <w:top w:w="20" w:type="dxa"/>
              <w:left w:w="20" w:type="dxa"/>
              <w:bottom w:w="20" w:type="dxa"/>
              <w:right w:w="20" w:type="dxa"/>
            </w:tcMar>
            <w:vAlign w:val="center"/>
          </w:tcPr>
          <w:p w14:paraId="000001DB" w14:textId="77777777" w:rsidR="004567EC" w:rsidRDefault="00893D27">
            <w:pPr>
              <w:jc w:val="center"/>
            </w:pPr>
            <w:r>
              <w:rPr>
                <w:color w:val="000000"/>
              </w:rPr>
              <w:t>33,1%</w:t>
            </w:r>
          </w:p>
        </w:tc>
        <w:tc>
          <w:tcPr>
            <w:tcW w:w="763" w:type="dxa"/>
            <w:tcMar>
              <w:top w:w="20" w:type="dxa"/>
              <w:left w:w="20" w:type="dxa"/>
              <w:bottom w:w="20" w:type="dxa"/>
              <w:right w:w="20" w:type="dxa"/>
            </w:tcMar>
            <w:vAlign w:val="center"/>
          </w:tcPr>
          <w:p w14:paraId="000001DC" w14:textId="77777777" w:rsidR="004567EC" w:rsidRDefault="00893D27">
            <w:pPr>
              <w:jc w:val="center"/>
            </w:pPr>
            <w:r>
              <w:rPr>
                <w:color w:val="000000"/>
              </w:rPr>
              <w:t>26,1%</w:t>
            </w:r>
          </w:p>
        </w:tc>
        <w:tc>
          <w:tcPr>
            <w:tcW w:w="763" w:type="dxa"/>
            <w:tcMar>
              <w:top w:w="20" w:type="dxa"/>
              <w:left w:w="20" w:type="dxa"/>
              <w:bottom w:w="20" w:type="dxa"/>
              <w:right w:w="20" w:type="dxa"/>
            </w:tcMar>
            <w:vAlign w:val="center"/>
          </w:tcPr>
          <w:p w14:paraId="000001DD" w14:textId="77777777" w:rsidR="004567EC" w:rsidRDefault="00893D27">
            <w:pPr>
              <w:jc w:val="center"/>
            </w:pPr>
            <w:r>
              <w:rPr>
                <w:color w:val="000000"/>
              </w:rPr>
              <w:t>27,9%</w:t>
            </w:r>
          </w:p>
        </w:tc>
        <w:tc>
          <w:tcPr>
            <w:tcW w:w="674" w:type="dxa"/>
            <w:tcMar>
              <w:top w:w="20" w:type="dxa"/>
              <w:left w:w="20" w:type="dxa"/>
              <w:bottom w:w="20" w:type="dxa"/>
              <w:right w:w="20" w:type="dxa"/>
            </w:tcMar>
            <w:vAlign w:val="center"/>
          </w:tcPr>
          <w:p w14:paraId="000001DE" w14:textId="77777777" w:rsidR="004567EC" w:rsidRDefault="00893D27">
            <w:pPr>
              <w:jc w:val="center"/>
            </w:pPr>
            <w:r>
              <w:rPr>
                <w:color w:val="000000"/>
              </w:rPr>
              <w:t>30,6%</w:t>
            </w:r>
          </w:p>
        </w:tc>
        <w:tc>
          <w:tcPr>
            <w:tcW w:w="809" w:type="dxa"/>
            <w:shd w:val="clear" w:color="auto" w:fill="FF0000"/>
            <w:tcMar>
              <w:top w:w="20" w:type="dxa"/>
              <w:left w:w="20" w:type="dxa"/>
              <w:bottom w:w="20" w:type="dxa"/>
              <w:right w:w="20" w:type="dxa"/>
            </w:tcMar>
            <w:vAlign w:val="center"/>
          </w:tcPr>
          <w:p w14:paraId="000001DF" w14:textId="77777777" w:rsidR="004567EC" w:rsidRDefault="00893D27">
            <w:pPr>
              <w:jc w:val="center"/>
            </w:pPr>
            <w:r>
              <w:rPr>
                <w:color w:val="000000"/>
              </w:rPr>
              <w:t>28,1%</w:t>
            </w:r>
          </w:p>
        </w:tc>
      </w:tr>
      <w:tr w:rsidR="004567EC" w14:paraId="60779466" w14:textId="77777777">
        <w:trPr>
          <w:trHeight w:val="300"/>
        </w:trPr>
        <w:tc>
          <w:tcPr>
            <w:tcW w:w="1417" w:type="dxa"/>
            <w:shd w:val="clear" w:color="auto" w:fill="D9D9D9"/>
            <w:tcMar>
              <w:top w:w="20" w:type="dxa"/>
              <w:left w:w="20" w:type="dxa"/>
              <w:bottom w:w="20" w:type="dxa"/>
              <w:right w:w="20" w:type="dxa"/>
            </w:tcMar>
            <w:vAlign w:val="center"/>
          </w:tcPr>
          <w:p w14:paraId="000001E0" w14:textId="77777777" w:rsidR="004567EC" w:rsidRDefault="00893D27">
            <w:pPr>
              <w:rPr>
                <w:b/>
              </w:rPr>
            </w:pPr>
            <w:r>
              <w:rPr>
                <w:b/>
                <w:color w:val="000000"/>
              </w:rPr>
              <w:t>AMAZONAS</w:t>
            </w:r>
          </w:p>
        </w:tc>
        <w:tc>
          <w:tcPr>
            <w:tcW w:w="764" w:type="dxa"/>
            <w:shd w:val="clear" w:color="auto" w:fill="00B050"/>
            <w:tcMar>
              <w:top w:w="20" w:type="dxa"/>
              <w:left w:w="20" w:type="dxa"/>
              <w:bottom w:w="20" w:type="dxa"/>
              <w:right w:w="20" w:type="dxa"/>
            </w:tcMar>
            <w:vAlign w:val="center"/>
          </w:tcPr>
          <w:p w14:paraId="000001E1" w14:textId="77777777" w:rsidR="004567EC" w:rsidRDefault="00893D27">
            <w:pPr>
              <w:jc w:val="center"/>
            </w:pPr>
            <w:r>
              <w:rPr>
                <w:color w:val="000000"/>
              </w:rPr>
              <w:t>19,4%</w:t>
            </w:r>
          </w:p>
        </w:tc>
        <w:tc>
          <w:tcPr>
            <w:tcW w:w="764" w:type="dxa"/>
            <w:shd w:val="clear" w:color="auto" w:fill="D9D9D9"/>
            <w:tcMar>
              <w:top w:w="20" w:type="dxa"/>
              <w:left w:w="20" w:type="dxa"/>
              <w:bottom w:w="20" w:type="dxa"/>
              <w:right w:w="20" w:type="dxa"/>
            </w:tcMar>
            <w:vAlign w:val="center"/>
          </w:tcPr>
          <w:p w14:paraId="000001E2" w14:textId="77777777" w:rsidR="004567EC" w:rsidRDefault="00893D27">
            <w:pPr>
              <w:jc w:val="center"/>
            </w:pPr>
            <w:r>
              <w:rPr>
                <w:color w:val="000000"/>
              </w:rPr>
              <w:t>16,2%</w:t>
            </w:r>
          </w:p>
        </w:tc>
        <w:tc>
          <w:tcPr>
            <w:tcW w:w="764" w:type="dxa"/>
            <w:shd w:val="clear" w:color="auto" w:fill="D9D9D9"/>
            <w:tcMar>
              <w:top w:w="20" w:type="dxa"/>
              <w:left w:w="20" w:type="dxa"/>
              <w:bottom w:w="20" w:type="dxa"/>
              <w:right w:w="20" w:type="dxa"/>
            </w:tcMar>
            <w:vAlign w:val="center"/>
          </w:tcPr>
          <w:p w14:paraId="000001E3" w14:textId="77777777" w:rsidR="004567EC" w:rsidRDefault="00893D27">
            <w:pPr>
              <w:jc w:val="center"/>
            </w:pPr>
            <w:r>
              <w:rPr>
                <w:color w:val="000000"/>
              </w:rPr>
              <w:t>14,3%</w:t>
            </w:r>
          </w:p>
        </w:tc>
        <w:tc>
          <w:tcPr>
            <w:tcW w:w="763" w:type="dxa"/>
            <w:shd w:val="clear" w:color="auto" w:fill="D9D9D9"/>
            <w:tcMar>
              <w:top w:w="20" w:type="dxa"/>
              <w:left w:w="20" w:type="dxa"/>
              <w:bottom w:w="20" w:type="dxa"/>
              <w:right w:w="20" w:type="dxa"/>
            </w:tcMar>
            <w:vAlign w:val="center"/>
          </w:tcPr>
          <w:p w14:paraId="000001E4" w14:textId="77777777" w:rsidR="004567EC" w:rsidRDefault="00893D27">
            <w:pPr>
              <w:jc w:val="center"/>
            </w:pPr>
            <w:r>
              <w:rPr>
                <w:color w:val="000000"/>
              </w:rPr>
              <w:t>11,3%</w:t>
            </w:r>
          </w:p>
        </w:tc>
        <w:tc>
          <w:tcPr>
            <w:tcW w:w="763" w:type="dxa"/>
            <w:shd w:val="clear" w:color="auto" w:fill="D9D9D9"/>
            <w:tcMar>
              <w:top w:w="20" w:type="dxa"/>
              <w:left w:w="20" w:type="dxa"/>
              <w:bottom w:w="20" w:type="dxa"/>
              <w:right w:w="20" w:type="dxa"/>
            </w:tcMar>
            <w:vAlign w:val="center"/>
          </w:tcPr>
          <w:p w14:paraId="000001E5" w14:textId="77777777" w:rsidR="004567EC" w:rsidRDefault="00893D27">
            <w:pPr>
              <w:jc w:val="center"/>
            </w:pPr>
            <w:r>
              <w:rPr>
                <w:color w:val="000000"/>
              </w:rPr>
              <w:t>9,8%</w:t>
            </w:r>
          </w:p>
        </w:tc>
        <w:tc>
          <w:tcPr>
            <w:tcW w:w="763" w:type="dxa"/>
            <w:shd w:val="clear" w:color="auto" w:fill="D9D9D9"/>
            <w:tcMar>
              <w:top w:w="20" w:type="dxa"/>
              <w:left w:w="20" w:type="dxa"/>
              <w:bottom w:w="20" w:type="dxa"/>
              <w:right w:w="20" w:type="dxa"/>
            </w:tcMar>
            <w:vAlign w:val="center"/>
          </w:tcPr>
          <w:p w14:paraId="000001E6" w14:textId="77777777" w:rsidR="004567EC" w:rsidRDefault="00893D27">
            <w:pPr>
              <w:jc w:val="center"/>
            </w:pPr>
            <w:r>
              <w:rPr>
                <w:color w:val="000000"/>
              </w:rPr>
              <w:t>8,4%</w:t>
            </w:r>
          </w:p>
        </w:tc>
        <w:tc>
          <w:tcPr>
            <w:tcW w:w="763" w:type="dxa"/>
            <w:shd w:val="clear" w:color="auto" w:fill="D9D9D9"/>
            <w:tcMar>
              <w:top w:w="20" w:type="dxa"/>
              <w:left w:w="20" w:type="dxa"/>
              <w:bottom w:w="20" w:type="dxa"/>
              <w:right w:w="20" w:type="dxa"/>
            </w:tcMar>
            <w:vAlign w:val="center"/>
          </w:tcPr>
          <w:p w14:paraId="000001E7" w14:textId="77777777" w:rsidR="004567EC" w:rsidRDefault="00893D27">
            <w:pPr>
              <w:jc w:val="center"/>
            </w:pPr>
            <w:r>
              <w:rPr>
                <w:color w:val="000000"/>
              </w:rPr>
              <w:t>13,6%</w:t>
            </w:r>
          </w:p>
        </w:tc>
        <w:tc>
          <w:tcPr>
            <w:tcW w:w="763" w:type="dxa"/>
            <w:shd w:val="clear" w:color="auto" w:fill="D9D9D9"/>
            <w:tcMar>
              <w:top w:w="20" w:type="dxa"/>
              <w:left w:w="20" w:type="dxa"/>
              <w:bottom w:w="20" w:type="dxa"/>
              <w:right w:w="20" w:type="dxa"/>
            </w:tcMar>
            <w:vAlign w:val="center"/>
          </w:tcPr>
          <w:p w14:paraId="000001E8" w14:textId="77777777" w:rsidR="004567EC" w:rsidRDefault="00893D27">
            <w:pPr>
              <w:jc w:val="center"/>
            </w:pPr>
            <w:r>
              <w:rPr>
                <w:color w:val="000000"/>
              </w:rPr>
              <w:t>9,3%</w:t>
            </w:r>
          </w:p>
        </w:tc>
        <w:tc>
          <w:tcPr>
            <w:tcW w:w="674" w:type="dxa"/>
            <w:shd w:val="clear" w:color="auto" w:fill="D9D9D9"/>
            <w:tcMar>
              <w:top w:w="20" w:type="dxa"/>
              <w:left w:w="20" w:type="dxa"/>
              <w:bottom w:w="20" w:type="dxa"/>
              <w:right w:w="20" w:type="dxa"/>
            </w:tcMar>
            <w:vAlign w:val="center"/>
          </w:tcPr>
          <w:p w14:paraId="000001E9" w14:textId="77777777" w:rsidR="004567EC" w:rsidRDefault="00893D27">
            <w:pPr>
              <w:jc w:val="center"/>
            </w:pPr>
            <w:r>
              <w:rPr>
                <w:color w:val="000000"/>
              </w:rPr>
              <w:t>8,8%</w:t>
            </w:r>
          </w:p>
        </w:tc>
        <w:tc>
          <w:tcPr>
            <w:tcW w:w="809" w:type="dxa"/>
            <w:shd w:val="clear" w:color="auto" w:fill="FF0000"/>
            <w:tcMar>
              <w:top w:w="20" w:type="dxa"/>
              <w:left w:w="20" w:type="dxa"/>
              <w:bottom w:w="20" w:type="dxa"/>
              <w:right w:w="20" w:type="dxa"/>
            </w:tcMar>
            <w:vAlign w:val="center"/>
          </w:tcPr>
          <w:p w14:paraId="000001EA" w14:textId="77777777" w:rsidR="004567EC" w:rsidRDefault="00893D27">
            <w:pPr>
              <w:jc w:val="center"/>
            </w:pPr>
            <w:r>
              <w:rPr>
                <w:color w:val="000000"/>
              </w:rPr>
              <w:t>9,8%</w:t>
            </w:r>
          </w:p>
        </w:tc>
      </w:tr>
      <w:tr w:rsidR="004567EC" w14:paraId="6684F607" w14:textId="77777777">
        <w:trPr>
          <w:trHeight w:val="300"/>
        </w:trPr>
        <w:tc>
          <w:tcPr>
            <w:tcW w:w="1417" w:type="dxa"/>
            <w:tcMar>
              <w:top w:w="20" w:type="dxa"/>
              <w:left w:w="20" w:type="dxa"/>
              <w:bottom w:w="20" w:type="dxa"/>
              <w:right w:w="20" w:type="dxa"/>
            </w:tcMar>
            <w:vAlign w:val="center"/>
          </w:tcPr>
          <w:p w14:paraId="000001EB" w14:textId="77777777" w:rsidR="004567EC" w:rsidRDefault="00893D27">
            <w:pPr>
              <w:rPr>
                <w:b/>
              </w:rPr>
            </w:pPr>
            <w:r>
              <w:rPr>
                <w:b/>
                <w:color w:val="000000"/>
              </w:rPr>
              <w:t>GUAINIA</w:t>
            </w:r>
          </w:p>
        </w:tc>
        <w:tc>
          <w:tcPr>
            <w:tcW w:w="764" w:type="dxa"/>
            <w:shd w:val="clear" w:color="auto" w:fill="00B050"/>
            <w:tcMar>
              <w:top w:w="20" w:type="dxa"/>
              <w:left w:w="20" w:type="dxa"/>
              <w:bottom w:w="20" w:type="dxa"/>
              <w:right w:w="20" w:type="dxa"/>
            </w:tcMar>
            <w:vAlign w:val="center"/>
          </w:tcPr>
          <w:p w14:paraId="000001EC" w14:textId="77777777" w:rsidR="004567EC" w:rsidRDefault="00893D27">
            <w:pPr>
              <w:jc w:val="center"/>
            </w:pPr>
            <w:r>
              <w:rPr>
                <w:color w:val="000000"/>
              </w:rPr>
              <w:t>20,8%</w:t>
            </w:r>
          </w:p>
        </w:tc>
        <w:tc>
          <w:tcPr>
            <w:tcW w:w="764" w:type="dxa"/>
            <w:tcMar>
              <w:top w:w="20" w:type="dxa"/>
              <w:left w:w="20" w:type="dxa"/>
              <w:bottom w:w="20" w:type="dxa"/>
              <w:right w:w="20" w:type="dxa"/>
            </w:tcMar>
            <w:vAlign w:val="center"/>
          </w:tcPr>
          <w:p w14:paraId="000001ED" w14:textId="77777777" w:rsidR="004567EC" w:rsidRDefault="00893D27">
            <w:pPr>
              <w:jc w:val="center"/>
            </w:pPr>
            <w:r>
              <w:rPr>
                <w:color w:val="000000"/>
              </w:rPr>
              <w:t>20,2%</w:t>
            </w:r>
          </w:p>
        </w:tc>
        <w:tc>
          <w:tcPr>
            <w:tcW w:w="764" w:type="dxa"/>
            <w:tcMar>
              <w:top w:w="20" w:type="dxa"/>
              <w:left w:w="20" w:type="dxa"/>
              <w:bottom w:w="20" w:type="dxa"/>
              <w:right w:w="20" w:type="dxa"/>
            </w:tcMar>
            <w:vAlign w:val="center"/>
          </w:tcPr>
          <w:p w14:paraId="000001EE" w14:textId="77777777" w:rsidR="004567EC" w:rsidRDefault="00893D27">
            <w:pPr>
              <w:jc w:val="center"/>
            </w:pPr>
            <w:r>
              <w:rPr>
                <w:color w:val="000000"/>
              </w:rPr>
              <w:t>18,7%</w:t>
            </w:r>
          </w:p>
        </w:tc>
        <w:tc>
          <w:tcPr>
            <w:tcW w:w="763" w:type="dxa"/>
            <w:tcMar>
              <w:top w:w="20" w:type="dxa"/>
              <w:left w:w="20" w:type="dxa"/>
              <w:bottom w:w="20" w:type="dxa"/>
              <w:right w:w="20" w:type="dxa"/>
            </w:tcMar>
            <w:vAlign w:val="center"/>
          </w:tcPr>
          <w:p w14:paraId="000001EF" w14:textId="77777777" w:rsidR="004567EC" w:rsidRDefault="00893D27">
            <w:pPr>
              <w:jc w:val="center"/>
            </w:pPr>
            <w:r>
              <w:rPr>
                <w:color w:val="000000"/>
              </w:rPr>
              <w:t>13,8%</w:t>
            </w:r>
          </w:p>
        </w:tc>
        <w:tc>
          <w:tcPr>
            <w:tcW w:w="763" w:type="dxa"/>
            <w:tcMar>
              <w:top w:w="20" w:type="dxa"/>
              <w:left w:w="20" w:type="dxa"/>
              <w:bottom w:w="20" w:type="dxa"/>
              <w:right w:w="20" w:type="dxa"/>
            </w:tcMar>
            <w:vAlign w:val="center"/>
          </w:tcPr>
          <w:p w14:paraId="000001F0" w14:textId="77777777" w:rsidR="004567EC" w:rsidRDefault="00893D27">
            <w:pPr>
              <w:jc w:val="center"/>
            </w:pPr>
            <w:r>
              <w:rPr>
                <w:color w:val="000000"/>
              </w:rPr>
              <w:t>14,6%</w:t>
            </w:r>
          </w:p>
        </w:tc>
        <w:tc>
          <w:tcPr>
            <w:tcW w:w="763" w:type="dxa"/>
            <w:tcMar>
              <w:top w:w="20" w:type="dxa"/>
              <w:left w:w="20" w:type="dxa"/>
              <w:bottom w:w="20" w:type="dxa"/>
              <w:right w:w="20" w:type="dxa"/>
            </w:tcMar>
            <w:vAlign w:val="center"/>
          </w:tcPr>
          <w:p w14:paraId="000001F1" w14:textId="77777777" w:rsidR="004567EC" w:rsidRDefault="00893D27">
            <w:pPr>
              <w:jc w:val="center"/>
            </w:pPr>
            <w:r>
              <w:rPr>
                <w:color w:val="000000"/>
              </w:rPr>
              <w:t>14,8%</w:t>
            </w:r>
          </w:p>
        </w:tc>
        <w:tc>
          <w:tcPr>
            <w:tcW w:w="763" w:type="dxa"/>
            <w:tcMar>
              <w:top w:w="20" w:type="dxa"/>
              <w:left w:w="20" w:type="dxa"/>
              <w:bottom w:w="20" w:type="dxa"/>
              <w:right w:w="20" w:type="dxa"/>
            </w:tcMar>
            <w:vAlign w:val="center"/>
          </w:tcPr>
          <w:p w14:paraId="000001F2" w14:textId="77777777" w:rsidR="004567EC" w:rsidRDefault="00893D27">
            <w:pPr>
              <w:jc w:val="center"/>
            </w:pPr>
            <w:r>
              <w:rPr>
                <w:color w:val="000000"/>
              </w:rPr>
              <w:t>13,9%</w:t>
            </w:r>
          </w:p>
        </w:tc>
        <w:tc>
          <w:tcPr>
            <w:tcW w:w="763" w:type="dxa"/>
            <w:tcMar>
              <w:top w:w="20" w:type="dxa"/>
              <w:left w:w="20" w:type="dxa"/>
              <w:bottom w:w="20" w:type="dxa"/>
              <w:right w:w="20" w:type="dxa"/>
            </w:tcMar>
            <w:vAlign w:val="center"/>
          </w:tcPr>
          <w:p w14:paraId="000001F3" w14:textId="77777777" w:rsidR="004567EC" w:rsidRDefault="00893D27">
            <w:pPr>
              <w:jc w:val="center"/>
            </w:pPr>
            <w:r>
              <w:rPr>
                <w:color w:val="000000"/>
              </w:rPr>
              <w:t>12,7%</w:t>
            </w:r>
          </w:p>
        </w:tc>
        <w:tc>
          <w:tcPr>
            <w:tcW w:w="674" w:type="dxa"/>
            <w:tcMar>
              <w:top w:w="20" w:type="dxa"/>
              <w:left w:w="20" w:type="dxa"/>
              <w:bottom w:w="20" w:type="dxa"/>
              <w:right w:w="20" w:type="dxa"/>
            </w:tcMar>
            <w:vAlign w:val="center"/>
          </w:tcPr>
          <w:p w14:paraId="000001F4" w14:textId="77777777" w:rsidR="004567EC" w:rsidRDefault="00893D27">
            <w:pPr>
              <w:jc w:val="center"/>
            </w:pPr>
            <w:r>
              <w:rPr>
                <w:color w:val="000000"/>
              </w:rPr>
              <w:t>9,4%</w:t>
            </w:r>
          </w:p>
        </w:tc>
        <w:tc>
          <w:tcPr>
            <w:tcW w:w="809" w:type="dxa"/>
            <w:shd w:val="clear" w:color="auto" w:fill="FF0000"/>
            <w:tcMar>
              <w:top w:w="20" w:type="dxa"/>
              <w:left w:w="20" w:type="dxa"/>
              <w:bottom w:w="20" w:type="dxa"/>
              <w:right w:w="20" w:type="dxa"/>
            </w:tcMar>
            <w:vAlign w:val="center"/>
          </w:tcPr>
          <w:p w14:paraId="000001F5" w14:textId="77777777" w:rsidR="004567EC" w:rsidRDefault="00893D27">
            <w:pPr>
              <w:jc w:val="center"/>
            </w:pPr>
            <w:r>
              <w:rPr>
                <w:color w:val="000000"/>
              </w:rPr>
              <w:t>10,9%</w:t>
            </w:r>
          </w:p>
        </w:tc>
      </w:tr>
      <w:tr w:rsidR="004567EC" w14:paraId="15DF56BE" w14:textId="77777777">
        <w:trPr>
          <w:trHeight w:val="300"/>
        </w:trPr>
        <w:tc>
          <w:tcPr>
            <w:tcW w:w="1417" w:type="dxa"/>
            <w:shd w:val="clear" w:color="auto" w:fill="D9D9D9"/>
            <w:tcMar>
              <w:top w:w="20" w:type="dxa"/>
              <w:left w:w="20" w:type="dxa"/>
              <w:bottom w:w="20" w:type="dxa"/>
              <w:right w:w="20" w:type="dxa"/>
            </w:tcMar>
            <w:vAlign w:val="center"/>
          </w:tcPr>
          <w:p w14:paraId="000001F6" w14:textId="77777777" w:rsidR="004567EC" w:rsidRDefault="00893D27">
            <w:pPr>
              <w:rPr>
                <w:b/>
              </w:rPr>
            </w:pPr>
            <w:r>
              <w:rPr>
                <w:b/>
                <w:color w:val="000000"/>
              </w:rPr>
              <w:t>GUAVIARE</w:t>
            </w:r>
          </w:p>
        </w:tc>
        <w:tc>
          <w:tcPr>
            <w:tcW w:w="764" w:type="dxa"/>
            <w:shd w:val="clear" w:color="auto" w:fill="00B050"/>
            <w:tcMar>
              <w:top w:w="20" w:type="dxa"/>
              <w:left w:w="20" w:type="dxa"/>
              <w:bottom w:w="20" w:type="dxa"/>
              <w:right w:w="20" w:type="dxa"/>
            </w:tcMar>
            <w:vAlign w:val="center"/>
          </w:tcPr>
          <w:p w14:paraId="000001F7" w14:textId="77777777" w:rsidR="004567EC" w:rsidRDefault="00893D27">
            <w:pPr>
              <w:jc w:val="center"/>
            </w:pPr>
            <w:r>
              <w:rPr>
                <w:color w:val="000000"/>
              </w:rPr>
              <w:t>31,6%</w:t>
            </w:r>
          </w:p>
        </w:tc>
        <w:tc>
          <w:tcPr>
            <w:tcW w:w="764" w:type="dxa"/>
            <w:shd w:val="clear" w:color="auto" w:fill="D9D9D9"/>
            <w:tcMar>
              <w:top w:w="20" w:type="dxa"/>
              <w:left w:w="20" w:type="dxa"/>
              <w:bottom w:w="20" w:type="dxa"/>
              <w:right w:w="20" w:type="dxa"/>
            </w:tcMar>
            <w:vAlign w:val="center"/>
          </w:tcPr>
          <w:p w14:paraId="000001F8" w14:textId="77777777" w:rsidR="004567EC" w:rsidRDefault="00893D27">
            <w:pPr>
              <w:jc w:val="center"/>
            </w:pPr>
            <w:r>
              <w:rPr>
                <w:color w:val="000000"/>
              </w:rPr>
              <w:t>27,9%</w:t>
            </w:r>
          </w:p>
        </w:tc>
        <w:tc>
          <w:tcPr>
            <w:tcW w:w="764" w:type="dxa"/>
            <w:shd w:val="clear" w:color="auto" w:fill="D9D9D9"/>
            <w:tcMar>
              <w:top w:w="20" w:type="dxa"/>
              <w:left w:w="20" w:type="dxa"/>
              <w:bottom w:w="20" w:type="dxa"/>
              <w:right w:w="20" w:type="dxa"/>
            </w:tcMar>
            <w:vAlign w:val="center"/>
          </w:tcPr>
          <w:p w14:paraId="000001F9" w14:textId="77777777" w:rsidR="004567EC" w:rsidRDefault="00893D27">
            <w:pPr>
              <w:jc w:val="center"/>
            </w:pPr>
            <w:r>
              <w:rPr>
                <w:color w:val="000000"/>
              </w:rPr>
              <w:t>33,5%</w:t>
            </w:r>
          </w:p>
        </w:tc>
        <w:tc>
          <w:tcPr>
            <w:tcW w:w="763" w:type="dxa"/>
            <w:shd w:val="clear" w:color="auto" w:fill="D9D9D9"/>
            <w:tcMar>
              <w:top w:w="20" w:type="dxa"/>
              <w:left w:w="20" w:type="dxa"/>
              <w:bottom w:w="20" w:type="dxa"/>
              <w:right w:w="20" w:type="dxa"/>
            </w:tcMar>
            <w:vAlign w:val="center"/>
          </w:tcPr>
          <w:p w14:paraId="000001FA" w14:textId="77777777" w:rsidR="004567EC" w:rsidRDefault="00893D27">
            <w:pPr>
              <w:jc w:val="center"/>
            </w:pPr>
            <w:r>
              <w:rPr>
                <w:color w:val="000000"/>
              </w:rPr>
              <w:t>36,9%</w:t>
            </w:r>
          </w:p>
        </w:tc>
        <w:tc>
          <w:tcPr>
            <w:tcW w:w="763" w:type="dxa"/>
            <w:shd w:val="clear" w:color="auto" w:fill="D9D9D9"/>
            <w:tcMar>
              <w:top w:w="20" w:type="dxa"/>
              <w:left w:w="20" w:type="dxa"/>
              <w:bottom w:w="20" w:type="dxa"/>
              <w:right w:w="20" w:type="dxa"/>
            </w:tcMar>
            <w:vAlign w:val="center"/>
          </w:tcPr>
          <w:p w14:paraId="000001FB" w14:textId="77777777" w:rsidR="004567EC" w:rsidRDefault="00893D27">
            <w:pPr>
              <w:jc w:val="center"/>
            </w:pPr>
            <w:r>
              <w:rPr>
                <w:color w:val="000000"/>
              </w:rPr>
              <w:t>30,5%</w:t>
            </w:r>
          </w:p>
        </w:tc>
        <w:tc>
          <w:tcPr>
            <w:tcW w:w="763" w:type="dxa"/>
            <w:shd w:val="clear" w:color="auto" w:fill="D9D9D9"/>
            <w:tcMar>
              <w:top w:w="20" w:type="dxa"/>
              <w:left w:w="20" w:type="dxa"/>
              <w:bottom w:w="20" w:type="dxa"/>
              <w:right w:w="20" w:type="dxa"/>
            </w:tcMar>
            <w:vAlign w:val="center"/>
          </w:tcPr>
          <w:p w14:paraId="000001FC" w14:textId="77777777" w:rsidR="004567EC" w:rsidRDefault="00893D27">
            <w:pPr>
              <w:jc w:val="center"/>
            </w:pPr>
            <w:r>
              <w:rPr>
                <w:color w:val="000000"/>
              </w:rPr>
              <w:t>34,7%</w:t>
            </w:r>
          </w:p>
        </w:tc>
        <w:tc>
          <w:tcPr>
            <w:tcW w:w="763" w:type="dxa"/>
            <w:shd w:val="clear" w:color="auto" w:fill="D9D9D9"/>
            <w:tcMar>
              <w:top w:w="20" w:type="dxa"/>
              <w:left w:w="20" w:type="dxa"/>
              <w:bottom w:w="20" w:type="dxa"/>
              <w:right w:w="20" w:type="dxa"/>
            </w:tcMar>
            <w:vAlign w:val="center"/>
          </w:tcPr>
          <w:p w14:paraId="000001FD" w14:textId="77777777" w:rsidR="004567EC" w:rsidRDefault="00893D27">
            <w:pPr>
              <w:jc w:val="center"/>
            </w:pPr>
            <w:r>
              <w:rPr>
                <w:color w:val="000000"/>
              </w:rPr>
              <w:t>30,5%</w:t>
            </w:r>
          </w:p>
        </w:tc>
        <w:tc>
          <w:tcPr>
            <w:tcW w:w="763" w:type="dxa"/>
            <w:shd w:val="clear" w:color="auto" w:fill="D9D9D9"/>
            <w:tcMar>
              <w:top w:w="20" w:type="dxa"/>
              <w:left w:w="20" w:type="dxa"/>
              <w:bottom w:w="20" w:type="dxa"/>
              <w:right w:w="20" w:type="dxa"/>
            </w:tcMar>
            <w:vAlign w:val="center"/>
          </w:tcPr>
          <w:p w14:paraId="000001FE" w14:textId="77777777" w:rsidR="004567EC" w:rsidRDefault="00893D27">
            <w:pPr>
              <w:jc w:val="center"/>
            </w:pPr>
            <w:r>
              <w:rPr>
                <w:color w:val="000000"/>
              </w:rPr>
              <w:t>29,0%</w:t>
            </w:r>
          </w:p>
        </w:tc>
        <w:tc>
          <w:tcPr>
            <w:tcW w:w="674" w:type="dxa"/>
            <w:shd w:val="clear" w:color="auto" w:fill="D9D9D9"/>
            <w:tcMar>
              <w:top w:w="20" w:type="dxa"/>
              <w:left w:w="20" w:type="dxa"/>
              <w:bottom w:w="20" w:type="dxa"/>
              <w:right w:w="20" w:type="dxa"/>
            </w:tcMar>
            <w:vAlign w:val="center"/>
          </w:tcPr>
          <w:p w14:paraId="000001FF" w14:textId="77777777" w:rsidR="004567EC" w:rsidRDefault="00893D27">
            <w:pPr>
              <w:jc w:val="center"/>
            </w:pPr>
            <w:r>
              <w:rPr>
                <w:color w:val="000000"/>
              </w:rPr>
              <w:t>26,8%</w:t>
            </w:r>
          </w:p>
        </w:tc>
        <w:tc>
          <w:tcPr>
            <w:tcW w:w="809" w:type="dxa"/>
            <w:shd w:val="clear" w:color="auto" w:fill="FF0000"/>
            <w:tcMar>
              <w:top w:w="20" w:type="dxa"/>
              <w:left w:w="20" w:type="dxa"/>
              <w:bottom w:w="20" w:type="dxa"/>
              <w:right w:w="20" w:type="dxa"/>
            </w:tcMar>
            <w:vAlign w:val="center"/>
          </w:tcPr>
          <w:p w14:paraId="00000200" w14:textId="77777777" w:rsidR="004567EC" w:rsidRDefault="00893D27">
            <w:pPr>
              <w:jc w:val="center"/>
            </w:pPr>
            <w:r>
              <w:rPr>
                <w:color w:val="000000"/>
              </w:rPr>
              <w:t>24,7%</w:t>
            </w:r>
          </w:p>
        </w:tc>
      </w:tr>
      <w:tr w:rsidR="004567EC" w14:paraId="340F7597" w14:textId="77777777">
        <w:trPr>
          <w:trHeight w:val="300"/>
        </w:trPr>
        <w:tc>
          <w:tcPr>
            <w:tcW w:w="1417" w:type="dxa"/>
            <w:tcMar>
              <w:top w:w="20" w:type="dxa"/>
              <w:left w:w="20" w:type="dxa"/>
              <w:bottom w:w="20" w:type="dxa"/>
              <w:right w:w="20" w:type="dxa"/>
            </w:tcMar>
            <w:vAlign w:val="center"/>
          </w:tcPr>
          <w:p w14:paraId="00000201" w14:textId="77777777" w:rsidR="004567EC" w:rsidRDefault="00893D27">
            <w:pPr>
              <w:rPr>
                <w:b/>
              </w:rPr>
            </w:pPr>
            <w:r>
              <w:rPr>
                <w:b/>
                <w:color w:val="000000"/>
              </w:rPr>
              <w:t>VAUPES</w:t>
            </w:r>
          </w:p>
        </w:tc>
        <w:tc>
          <w:tcPr>
            <w:tcW w:w="764" w:type="dxa"/>
            <w:shd w:val="clear" w:color="auto" w:fill="00B050"/>
            <w:tcMar>
              <w:top w:w="20" w:type="dxa"/>
              <w:left w:w="20" w:type="dxa"/>
              <w:bottom w:w="20" w:type="dxa"/>
              <w:right w:w="20" w:type="dxa"/>
            </w:tcMar>
            <w:vAlign w:val="center"/>
          </w:tcPr>
          <w:p w14:paraId="00000202" w14:textId="77777777" w:rsidR="004567EC" w:rsidRDefault="00893D27">
            <w:pPr>
              <w:jc w:val="center"/>
            </w:pPr>
            <w:r>
              <w:rPr>
                <w:color w:val="000000"/>
              </w:rPr>
              <w:t>12,0%</w:t>
            </w:r>
          </w:p>
        </w:tc>
        <w:tc>
          <w:tcPr>
            <w:tcW w:w="764" w:type="dxa"/>
            <w:tcMar>
              <w:top w:w="20" w:type="dxa"/>
              <w:left w:w="20" w:type="dxa"/>
              <w:bottom w:w="20" w:type="dxa"/>
              <w:right w:w="20" w:type="dxa"/>
            </w:tcMar>
            <w:vAlign w:val="center"/>
          </w:tcPr>
          <w:p w14:paraId="00000203" w14:textId="77777777" w:rsidR="004567EC" w:rsidRDefault="00893D27">
            <w:pPr>
              <w:jc w:val="center"/>
            </w:pPr>
            <w:r>
              <w:rPr>
                <w:color w:val="000000"/>
              </w:rPr>
              <w:t>13,2%</w:t>
            </w:r>
          </w:p>
        </w:tc>
        <w:tc>
          <w:tcPr>
            <w:tcW w:w="764" w:type="dxa"/>
            <w:tcMar>
              <w:top w:w="20" w:type="dxa"/>
              <w:left w:w="20" w:type="dxa"/>
              <w:bottom w:w="20" w:type="dxa"/>
              <w:right w:w="20" w:type="dxa"/>
            </w:tcMar>
            <w:vAlign w:val="center"/>
          </w:tcPr>
          <w:p w14:paraId="00000204" w14:textId="77777777" w:rsidR="004567EC" w:rsidRDefault="00893D27">
            <w:pPr>
              <w:jc w:val="center"/>
            </w:pPr>
            <w:r>
              <w:rPr>
                <w:color w:val="000000"/>
              </w:rPr>
              <w:t>15,5%</w:t>
            </w:r>
          </w:p>
        </w:tc>
        <w:tc>
          <w:tcPr>
            <w:tcW w:w="763" w:type="dxa"/>
            <w:tcMar>
              <w:top w:w="20" w:type="dxa"/>
              <w:left w:w="20" w:type="dxa"/>
              <w:bottom w:w="20" w:type="dxa"/>
              <w:right w:w="20" w:type="dxa"/>
            </w:tcMar>
            <w:vAlign w:val="center"/>
          </w:tcPr>
          <w:p w14:paraId="00000205" w14:textId="77777777" w:rsidR="004567EC" w:rsidRDefault="00893D27">
            <w:pPr>
              <w:jc w:val="center"/>
            </w:pPr>
            <w:r>
              <w:rPr>
                <w:color w:val="000000"/>
              </w:rPr>
              <w:t>17,3%</w:t>
            </w:r>
          </w:p>
        </w:tc>
        <w:tc>
          <w:tcPr>
            <w:tcW w:w="763" w:type="dxa"/>
            <w:tcMar>
              <w:top w:w="20" w:type="dxa"/>
              <w:left w:w="20" w:type="dxa"/>
              <w:bottom w:w="20" w:type="dxa"/>
              <w:right w:w="20" w:type="dxa"/>
            </w:tcMar>
            <w:vAlign w:val="center"/>
          </w:tcPr>
          <w:p w14:paraId="00000206" w14:textId="77777777" w:rsidR="004567EC" w:rsidRDefault="00893D27">
            <w:pPr>
              <w:jc w:val="center"/>
            </w:pPr>
            <w:r>
              <w:rPr>
                <w:color w:val="000000"/>
              </w:rPr>
              <w:t>6,2%</w:t>
            </w:r>
          </w:p>
        </w:tc>
        <w:tc>
          <w:tcPr>
            <w:tcW w:w="763" w:type="dxa"/>
            <w:tcMar>
              <w:top w:w="20" w:type="dxa"/>
              <w:left w:w="20" w:type="dxa"/>
              <w:bottom w:w="20" w:type="dxa"/>
              <w:right w:w="20" w:type="dxa"/>
            </w:tcMar>
            <w:vAlign w:val="center"/>
          </w:tcPr>
          <w:p w14:paraId="00000207" w14:textId="77777777" w:rsidR="004567EC" w:rsidRDefault="00893D27">
            <w:pPr>
              <w:jc w:val="center"/>
            </w:pPr>
            <w:r>
              <w:rPr>
                <w:color w:val="000000"/>
              </w:rPr>
              <w:t>7,4%</w:t>
            </w:r>
          </w:p>
        </w:tc>
        <w:tc>
          <w:tcPr>
            <w:tcW w:w="763" w:type="dxa"/>
            <w:tcMar>
              <w:top w:w="20" w:type="dxa"/>
              <w:left w:w="20" w:type="dxa"/>
              <w:bottom w:w="20" w:type="dxa"/>
              <w:right w:w="20" w:type="dxa"/>
            </w:tcMar>
            <w:vAlign w:val="center"/>
          </w:tcPr>
          <w:p w14:paraId="00000208" w14:textId="77777777" w:rsidR="004567EC" w:rsidRDefault="00893D27">
            <w:pPr>
              <w:jc w:val="center"/>
            </w:pPr>
            <w:r>
              <w:rPr>
                <w:color w:val="000000"/>
              </w:rPr>
              <w:t>7,0%</w:t>
            </w:r>
          </w:p>
        </w:tc>
        <w:tc>
          <w:tcPr>
            <w:tcW w:w="763" w:type="dxa"/>
            <w:tcMar>
              <w:top w:w="20" w:type="dxa"/>
              <w:left w:w="20" w:type="dxa"/>
              <w:bottom w:w="20" w:type="dxa"/>
              <w:right w:w="20" w:type="dxa"/>
            </w:tcMar>
            <w:vAlign w:val="center"/>
          </w:tcPr>
          <w:p w14:paraId="00000209" w14:textId="77777777" w:rsidR="004567EC" w:rsidRDefault="00893D27">
            <w:pPr>
              <w:jc w:val="center"/>
            </w:pPr>
            <w:r>
              <w:rPr>
                <w:color w:val="000000"/>
              </w:rPr>
              <w:t>5,9%</w:t>
            </w:r>
          </w:p>
        </w:tc>
        <w:tc>
          <w:tcPr>
            <w:tcW w:w="674" w:type="dxa"/>
            <w:tcMar>
              <w:top w:w="20" w:type="dxa"/>
              <w:left w:w="20" w:type="dxa"/>
              <w:bottom w:w="20" w:type="dxa"/>
              <w:right w:w="20" w:type="dxa"/>
            </w:tcMar>
            <w:vAlign w:val="center"/>
          </w:tcPr>
          <w:p w14:paraId="0000020A" w14:textId="77777777" w:rsidR="004567EC" w:rsidRDefault="00893D27">
            <w:pPr>
              <w:jc w:val="center"/>
            </w:pPr>
            <w:r>
              <w:rPr>
                <w:color w:val="000000"/>
              </w:rPr>
              <w:t>3,8%</w:t>
            </w:r>
          </w:p>
        </w:tc>
        <w:tc>
          <w:tcPr>
            <w:tcW w:w="809" w:type="dxa"/>
            <w:shd w:val="clear" w:color="auto" w:fill="FF0000"/>
            <w:tcMar>
              <w:top w:w="20" w:type="dxa"/>
              <w:left w:w="20" w:type="dxa"/>
              <w:bottom w:w="20" w:type="dxa"/>
              <w:right w:w="20" w:type="dxa"/>
            </w:tcMar>
            <w:vAlign w:val="center"/>
          </w:tcPr>
          <w:p w14:paraId="0000020B" w14:textId="77777777" w:rsidR="004567EC" w:rsidRDefault="00893D27">
            <w:pPr>
              <w:jc w:val="center"/>
            </w:pPr>
            <w:r>
              <w:rPr>
                <w:color w:val="000000"/>
              </w:rPr>
              <w:t>2,9%</w:t>
            </w:r>
          </w:p>
        </w:tc>
      </w:tr>
      <w:tr w:rsidR="004567EC" w14:paraId="501EEF08" w14:textId="77777777">
        <w:trPr>
          <w:trHeight w:val="300"/>
        </w:trPr>
        <w:tc>
          <w:tcPr>
            <w:tcW w:w="1417" w:type="dxa"/>
            <w:tcBorders>
              <w:bottom w:val="single" w:sz="8" w:space="0" w:color="000000"/>
            </w:tcBorders>
            <w:shd w:val="clear" w:color="auto" w:fill="D9D9D9"/>
            <w:tcMar>
              <w:top w:w="20" w:type="dxa"/>
              <w:left w:w="20" w:type="dxa"/>
              <w:bottom w:w="20" w:type="dxa"/>
              <w:right w:w="20" w:type="dxa"/>
            </w:tcMar>
            <w:vAlign w:val="center"/>
          </w:tcPr>
          <w:p w14:paraId="0000020C" w14:textId="77777777" w:rsidR="004567EC" w:rsidRDefault="00893D27">
            <w:pPr>
              <w:rPr>
                <w:b/>
              </w:rPr>
            </w:pPr>
            <w:r>
              <w:rPr>
                <w:b/>
                <w:color w:val="000000"/>
              </w:rPr>
              <w:t>VICHADA</w:t>
            </w:r>
          </w:p>
        </w:tc>
        <w:tc>
          <w:tcPr>
            <w:tcW w:w="764" w:type="dxa"/>
            <w:tcBorders>
              <w:bottom w:val="single" w:sz="8" w:space="0" w:color="000000"/>
            </w:tcBorders>
            <w:shd w:val="clear" w:color="auto" w:fill="00B050"/>
            <w:tcMar>
              <w:top w:w="20" w:type="dxa"/>
              <w:left w:w="20" w:type="dxa"/>
              <w:bottom w:w="20" w:type="dxa"/>
              <w:right w:w="20" w:type="dxa"/>
            </w:tcMar>
            <w:vAlign w:val="center"/>
          </w:tcPr>
          <w:p w14:paraId="0000020D" w14:textId="77777777" w:rsidR="004567EC" w:rsidRDefault="00893D27">
            <w:pPr>
              <w:jc w:val="center"/>
            </w:pPr>
            <w:r>
              <w:rPr>
                <w:color w:val="000000"/>
              </w:rPr>
              <w:t>13,5%</w:t>
            </w:r>
          </w:p>
        </w:tc>
        <w:tc>
          <w:tcPr>
            <w:tcW w:w="764" w:type="dxa"/>
            <w:tcBorders>
              <w:bottom w:val="single" w:sz="8" w:space="0" w:color="000000"/>
            </w:tcBorders>
            <w:shd w:val="clear" w:color="auto" w:fill="D9D9D9"/>
            <w:tcMar>
              <w:top w:w="20" w:type="dxa"/>
              <w:left w:w="20" w:type="dxa"/>
              <w:bottom w:w="20" w:type="dxa"/>
              <w:right w:w="20" w:type="dxa"/>
            </w:tcMar>
            <w:vAlign w:val="center"/>
          </w:tcPr>
          <w:p w14:paraId="0000020E" w14:textId="77777777" w:rsidR="004567EC" w:rsidRDefault="00893D27">
            <w:pPr>
              <w:jc w:val="center"/>
            </w:pPr>
            <w:r>
              <w:rPr>
                <w:color w:val="000000"/>
              </w:rPr>
              <w:t>10,2%</w:t>
            </w:r>
          </w:p>
        </w:tc>
        <w:tc>
          <w:tcPr>
            <w:tcW w:w="764" w:type="dxa"/>
            <w:tcBorders>
              <w:bottom w:val="single" w:sz="8" w:space="0" w:color="000000"/>
            </w:tcBorders>
            <w:shd w:val="clear" w:color="auto" w:fill="D9D9D9"/>
            <w:tcMar>
              <w:top w:w="20" w:type="dxa"/>
              <w:left w:w="20" w:type="dxa"/>
              <w:bottom w:w="20" w:type="dxa"/>
              <w:right w:w="20" w:type="dxa"/>
            </w:tcMar>
            <w:vAlign w:val="center"/>
          </w:tcPr>
          <w:p w14:paraId="0000020F" w14:textId="77777777" w:rsidR="004567EC" w:rsidRDefault="00893D27">
            <w:pPr>
              <w:jc w:val="center"/>
            </w:pPr>
            <w:r>
              <w:rPr>
                <w:color w:val="000000"/>
              </w:rPr>
              <w:t>13,4%</w:t>
            </w:r>
          </w:p>
        </w:tc>
        <w:tc>
          <w:tcPr>
            <w:tcW w:w="763" w:type="dxa"/>
            <w:tcBorders>
              <w:bottom w:val="single" w:sz="8" w:space="0" w:color="000000"/>
            </w:tcBorders>
            <w:shd w:val="clear" w:color="auto" w:fill="D9D9D9"/>
            <w:tcMar>
              <w:top w:w="20" w:type="dxa"/>
              <w:left w:w="20" w:type="dxa"/>
              <w:bottom w:w="20" w:type="dxa"/>
              <w:right w:w="20" w:type="dxa"/>
            </w:tcMar>
            <w:vAlign w:val="center"/>
          </w:tcPr>
          <w:p w14:paraId="00000210" w14:textId="77777777" w:rsidR="004567EC" w:rsidRDefault="00893D27">
            <w:pPr>
              <w:jc w:val="center"/>
            </w:pPr>
            <w:r>
              <w:rPr>
                <w:color w:val="000000"/>
              </w:rPr>
              <w:t>10,9%</w:t>
            </w:r>
          </w:p>
        </w:tc>
        <w:tc>
          <w:tcPr>
            <w:tcW w:w="763" w:type="dxa"/>
            <w:tcBorders>
              <w:bottom w:val="single" w:sz="8" w:space="0" w:color="000000"/>
            </w:tcBorders>
            <w:shd w:val="clear" w:color="auto" w:fill="D9D9D9"/>
            <w:tcMar>
              <w:top w:w="20" w:type="dxa"/>
              <w:left w:w="20" w:type="dxa"/>
              <w:bottom w:w="20" w:type="dxa"/>
              <w:right w:w="20" w:type="dxa"/>
            </w:tcMar>
            <w:vAlign w:val="center"/>
          </w:tcPr>
          <w:p w14:paraId="00000211" w14:textId="77777777" w:rsidR="004567EC" w:rsidRDefault="00893D27">
            <w:pPr>
              <w:jc w:val="center"/>
            </w:pPr>
            <w:r>
              <w:rPr>
                <w:color w:val="000000"/>
              </w:rPr>
              <w:t>8,3%</w:t>
            </w:r>
          </w:p>
        </w:tc>
        <w:tc>
          <w:tcPr>
            <w:tcW w:w="763" w:type="dxa"/>
            <w:tcBorders>
              <w:bottom w:val="single" w:sz="8" w:space="0" w:color="000000"/>
            </w:tcBorders>
            <w:shd w:val="clear" w:color="auto" w:fill="D9D9D9"/>
            <w:tcMar>
              <w:top w:w="20" w:type="dxa"/>
              <w:left w:w="20" w:type="dxa"/>
              <w:bottom w:w="20" w:type="dxa"/>
              <w:right w:w="20" w:type="dxa"/>
            </w:tcMar>
            <w:vAlign w:val="center"/>
          </w:tcPr>
          <w:p w14:paraId="00000212" w14:textId="77777777" w:rsidR="004567EC" w:rsidRDefault="00893D27">
            <w:pPr>
              <w:jc w:val="center"/>
            </w:pPr>
            <w:r>
              <w:rPr>
                <w:color w:val="000000"/>
              </w:rPr>
              <w:t>8,5%</w:t>
            </w:r>
          </w:p>
        </w:tc>
        <w:tc>
          <w:tcPr>
            <w:tcW w:w="763" w:type="dxa"/>
            <w:tcBorders>
              <w:bottom w:val="single" w:sz="8" w:space="0" w:color="000000"/>
            </w:tcBorders>
            <w:shd w:val="clear" w:color="auto" w:fill="D9D9D9"/>
            <w:tcMar>
              <w:top w:w="20" w:type="dxa"/>
              <w:left w:w="20" w:type="dxa"/>
              <w:bottom w:w="20" w:type="dxa"/>
              <w:right w:w="20" w:type="dxa"/>
            </w:tcMar>
            <w:vAlign w:val="center"/>
          </w:tcPr>
          <w:p w14:paraId="00000213" w14:textId="77777777" w:rsidR="004567EC" w:rsidRDefault="00893D27">
            <w:pPr>
              <w:jc w:val="center"/>
            </w:pPr>
            <w:r>
              <w:rPr>
                <w:color w:val="000000"/>
              </w:rPr>
              <w:t>9,9%</w:t>
            </w:r>
          </w:p>
        </w:tc>
        <w:tc>
          <w:tcPr>
            <w:tcW w:w="763" w:type="dxa"/>
            <w:tcBorders>
              <w:bottom w:val="single" w:sz="8" w:space="0" w:color="000000"/>
            </w:tcBorders>
            <w:shd w:val="clear" w:color="auto" w:fill="D9D9D9"/>
            <w:tcMar>
              <w:top w:w="20" w:type="dxa"/>
              <w:left w:w="20" w:type="dxa"/>
              <w:bottom w:w="20" w:type="dxa"/>
              <w:right w:w="20" w:type="dxa"/>
            </w:tcMar>
            <w:vAlign w:val="center"/>
          </w:tcPr>
          <w:p w14:paraId="00000214" w14:textId="77777777" w:rsidR="004567EC" w:rsidRDefault="00893D27">
            <w:pPr>
              <w:jc w:val="center"/>
            </w:pPr>
            <w:r>
              <w:rPr>
                <w:color w:val="000000"/>
              </w:rPr>
              <w:t>7,9%</w:t>
            </w:r>
          </w:p>
        </w:tc>
        <w:tc>
          <w:tcPr>
            <w:tcW w:w="674" w:type="dxa"/>
            <w:tcBorders>
              <w:bottom w:val="single" w:sz="8" w:space="0" w:color="000000"/>
            </w:tcBorders>
            <w:shd w:val="clear" w:color="auto" w:fill="D9D9D9"/>
            <w:tcMar>
              <w:top w:w="20" w:type="dxa"/>
              <w:left w:w="20" w:type="dxa"/>
              <w:bottom w:w="20" w:type="dxa"/>
              <w:right w:w="20" w:type="dxa"/>
            </w:tcMar>
            <w:vAlign w:val="center"/>
          </w:tcPr>
          <w:p w14:paraId="00000215" w14:textId="77777777" w:rsidR="004567EC" w:rsidRDefault="00893D27">
            <w:pPr>
              <w:jc w:val="center"/>
            </w:pPr>
            <w:r>
              <w:rPr>
                <w:color w:val="000000"/>
              </w:rPr>
              <w:t>5,1%</w:t>
            </w:r>
          </w:p>
        </w:tc>
        <w:tc>
          <w:tcPr>
            <w:tcW w:w="809" w:type="dxa"/>
            <w:tcBorders>
              <w:bottom w:val="single" w:sz="8" w:space="0" w:color="000000"/>
            </w:tcBorders>
            <w:shd w:val="clear" w:color="auto" w:fill="FF0000"/>
            <w:tcMar>
              <w:top w:w="20" w:type="dxa"/>
              <w:left w:w="20" w:type="dxa"/>
              <w:bottom w:w="20" w:type="dxa"/>
              <w:right w:w="20" w:type="dxa"/>
            </w:tcMar>
            <w:vAlign w:val="center"/>
          </w:tcPr>
          <w:p w14:paraId="00000216" w14:textId="77777777" w:rsidR="004567EC" w:rsidRDefault="00893D27">
            <w:pPr>
              <w:jc w:val="center"/>
            </w:pPr>
            <w:r>
              <w:rPr>
                <w:color w:val="000000"/>
              </w:rPr>
              <w:t>4,4%</w:t>
            </w:r>
          </w:p>
        </w:tc>
      </w:tr>
      <w:tr w:rsidR="004567EC" w14:paraId="4DC4E331" w14:textId="77777777">
        <w:trPr>
          <w:trHeight w:val="315"/>
        </w:trPr>
        <w:tc>
          <w:tcPr>
            <w:tcW w:w="1417" w:type="dxa"/>
            <w:tcBorders>
              <w:top w:val="single" w:sz="8" w:space="0" w:color="000000"/>
              <w:bottom w:val="single" w:sz="8" w:space="0" w:color="000000"/>
            </w:tcBorders>
            <w:shd w:val="clear" w:color="auto" w:fill="F2F2F2"/>
            <w:tcMar>
              <w:top w:w="20" w:type="dxa"/>
              <w:left w:w="20" w:type="dxa"/>
              <w:bottom w:w="20" w:type="dxa"/>
              <w:right w:w="20" w:type="dxa"/>
            </w:tcMar>
            <w:vAlign w:val="center"/>
          </w:tcPr>
          <w:p w14:paraId="00000217" w14:textId="77777777" w:rsidR="004567EC" w:rsidRDefault="00893D27">
            <w:pPr>
              <w:rPr>
                <w:b/>
              </w:rPr>
            </w:pPr>
            <w:r>
              <w:rPr>
                <w:b/>
              </w:rPr>
              <w:t>TOTAL NACIONAL</w:t>
            </w:r>
          </w:p>
        </w:tc>
        <w:tc>
          <w:tcPr>
            <w:tcW w:w="764" w:type="dxa"/>
            <w:tcBorders>
              <w:top w:val="single" w:sz="8" w:space="0" w:color="000000"/>
              <w:bottom w:val="single" w:sz="8" w:space="0" w:color="000000"/>
            </w:tcBorders>
            <w:shd w:val="clear" w:color="auto" w:fill="F2F2F2"/>
            <w:tcMar>
              <w:top w:w="20" w:type="dxa"/>
              <w:left w:w="20" w:type="dxa"/>
              <w:bottom w:w="20" w:type="dxa"/>
              <w:right w:w="20" w:type="dxa"/>
            </w:tcMar>
            <w:vAlign w:val="center"/>
          </w:tcPr>
          <w:p w14:paraId="00000218" w14:textId="77777777" w:rsidR="004567EC" w:rsidRDefault="00893D27">
            <w:pPr>
              <w:jc w:val="center"/>
            </w:pPr>
            <w:r>
              <w:rPr>
                <w:b/>
                <w:color w:val="000000"/>
              </w:rPr>
              <w:t>39,1%</w:t>
            </w:r>
          </w:p>
        </w:tc>
        <w:tc>
          <w:tcPr>
            <w:tcW w:w="764" w:type="dxa"/>
            <w:tcBorders>
              <w:top w:val="single" w:sz="8" w:space="0" w:color="000000"/>
              <w:bottom w:val="single" w:sz="8" w:space="0" w:color="000000"/>
            </w:tcBorders>
            <w:shd w:val="clear" w:color="auto" w:fill="F2F2F2"/>
            <w:tcMar>
              <w:top w:w="20" w:type="dxa"/>
              <w:left w:w="20" w:type="dxa"/>
              <w:bottom w:w="20" w:type="dxa"/>
              <w:right w:w="20" w:type="dxa"/>
            </w:tcMar>
            <w:vAlign w:val="center"/>
          </w:tcPr>
          <w:p w14:paraId="00000219" w14:textId="77777777" w:rsidR="004567EC" w:rsidRDefault="00893D27">
            <w:pPr>
              <w:jc w:val="center"/>
            </w:pPr>
            <w:r>
              <w:rPr>
                <w:color w:val="000000"/>
              </w:rPr>
              <w:t>42,6%</w:t>
            </w:r>
          </w:p>
        </w:tc>
        <w:tc>
          <w:tcPr>
            <w:tcW w:w="764" w:type="dxa"/>
            <w:tcBorders>
              <w:top w:val="single" w:sz="8" w:space="0" w:color="000000"/>
              <w:bottom w:val="single" w:sz="8" w:space="0" w:color="000000"/>
            </w:tcBorders>
            <w:shd w:val="clear" w:color="auto" w:fill="F2F2F2"/>
            <w:tcMar>
              <w:top w:w="20" w:type="dxa"/>
              <w:left w:w="20" w:type="dxa"/>
              <w:bottom w:w="20" w:type="dxa"/>
              <w:right w:w="20" w:type="dxa"/>
            </w:tcMar>
            <w:vAlign w:val="center"/>
          </w:tcPr>
          <w:p w14:paraId="0000021A" w14:textId="77777777" w:rsidR="004567EC" w:rsidRDefault="00893D27">
            <w:pPr>
              <w:jc w:val="center"/>
            </w:pPr>
            <w:r>
              <w:rPr>
                <w:color w:val="000000"/>
              </w:rPr>
              <w:t>43,8%</w:t>
            </w:r>
          </w:p>
        </w:tc>
        <w:tc>
          <w:tcPr>
            <w:tcW w:w="763" w:type="dxa"/>
            <w:tcBorders>
              <w:top w:val="single" w:sz="8" w:space="0" w:color="000000"/>
              <w:bottom w:val="single" w:sz="8" w:space="0" w:color="000000"/>
            </w:tcBorders>
            <w:shd w:val="clear" w:color="auto" w:fill="F2F2F2"/>
            <w:tcMar>
              <w:top w:w="20" w:type="dxa"/>
              <w:left w:w="20" w:type="dxa"/>
              <w:bottom w:w="20" w:type="dxa"/>
              <w:right w:w="20" w:type="dxa"/>
            </w:tcMar>
            <w:vAlign w:val="center"/>
          </w:tcPr>
          <w:p w14:paraId="0000021B" w14:textId="77777777" w:rsidR="004567EC" w:rsidRDefault="00893D27">
            <w:pPr>
              <w:jc w:val="center"/>
            </w:pPr>
            <w:r>
              <w:rPr>
                <w:color w:val="000000"/>
              </w:rPr>
              <w:t>47,3%</w:t>
            </w:r>
          </w:p>
        </w:tc>
        <w:tc>
          <w:tcPr>
            <w:tcW w:w="763" w:type="dxa"/>
            <w:tcBorders>
              <w:top w:val="single" w:sz="8" w:space="0" w:color="000000"/>
              <w:bottom w:val="single" w:sz="8" w:space="0" w:color="000000"/>
            </w:tcBorders>
            <w:shd w:val="clear" w:color="auto" w:fill="F2F2F2"/>
            <w:tcMar>
              <w:top w:w="20" w:type="dxa"/>
              <w:left w:w="20" w:type="dxa"/>
              <w:bottom w:w="20" w:type="dxa"/>
              <w:right w:w="20" w:type="dxa"/>
            </w:tcMar>
            <w:vAlign w:val="center"/>
          </w:tcPr>
          <w:p w14:paraId="0000021C" w14:textId="77777777" w:rsidR="004567EC" w:rsidRDefault="00893D27">
            <w:pPr>
              <w:jc w:val="center"/>
            </w:pPr>
            <w:r>
              <w:rPr>
                <w:color w:val="000000"/>
              </w:rPr>
              <w:t>49,8%</w:t>
            </w:r>
          </w:p>
        </w:tc>
        <w:tc>
          <w:tcPr>
            <w:tcW w:w="763" w:type="dxa"/>
            <w:tcBorders>
              <w:top w:val="single" w:sz="8" w:space="0" w:color="000000"/>
              <w:bottom w:val="single" w:sz="8" w:space="0" w:color="000000"/>
            </w:tcBorders>
            <w:shd w:val="clear" w:color="auto" w:fill="F2F2F2"/>
            <w:tcMar>
              <w:top w:w="20" w:type="dxa"/>
              <w:left w:w="20" w:type="dxa"/>
              <w:bottom w:w="20" w:type="dxa"/>
              <w:right w:w="20" w:type="dxa"/>
            </w:tcMar>
            <w:vAlign w:val="center"/>
          </w:tcPr>
          <w:p w14:paraId="0000021D" w14:textId="77777777" w:rsidR="004567EC" w:rsidRDefault="00893D27">
            <w:pPr>
              <w:jc w:val="center"/>
            </w:pPr>
            <w:r>
              <w:rPr>
                <w:color w:val="000000"/>
              </w:rPr>
              <w:t>51,4%</w:t>
            </w:r>
          </w:p>
        </w:tc>
        <w:tc>
          <w:tcPr>
            <w:tcW w:w="763" w:type="dxa"/>
            <w:tcBorders>
              <w:top w:val="single" w:sz="8" w:space="0" w:color="000000"/>
              <w:bottom w:val="single" w:sz="8" w:space="0" w:color="000000"/>
            </w:tcBorders>
            <w:shd w:val="clear" w:color="auto" w:fill="F2F2F2"/>
            <w:tcMar>
              <w:top w:w="20" w:type="dxa"/>
              <w:left w:w="20" w:type="dxa"/>
              <w:bottom w:w="20" w:type="dxa"/>
              <w:right w:w="20" w:type="dxa"/>
            </w:tcMar>
            <w:vAlign w:val="center"/>
          </w:tcPr>
          <w:p w14:paraId="0000021E" w14:textId="77777777" w:rsidR="004567EC" w:rsidRDefault="00893D27">
            <w:pPr>
              <w:jc w:val="center"/>
            </w:pPr>
            <w:r>
              <w:rPr>
                <w:color w:val="000000"/>
              </w:rPr>
              <w:t>53,4%</w:t>
            </w:r>
          </w:p>
        </w:tc>
        <w:tc>
          <w:tcPr>
            <w:tcW w:w="763" w:type="dxa"/>
            <w:tcBorders>
              <w:top w:val="single" w:sz="8" w:space="0" w:color="000000"/>
              <w:bottom w:val="single" w:sz="8" w:space="0" w:color="000000"/>
            </w:tcBorders>
            <w:shd w:val="clear" w:color="auto" w:fill="F2F2F2"/>
            <w:tcMar>
              <w:top w:w="20" w:type="dxa"/>
              <w:left w:w="20" w:type="dxa"/>
              <w:bottom w:w="20" w:type="dxa"/>
              <w:right w:w="20" w:type="dxa"/>
            </w:tcMar>
            <w:vAlign w:val="center"/>
          </w:tcPr>
          <w:p w14:paraId="0000021F" w14:textId="77777777" w:rsidR="004567EC" w:rsidRDefault="00893D27">
            <w:pPr>
              <w:jc w:val="center"/>
            </w:pPr>
            <w:r>
              <w:rPr>
                <w:color w:val="000000"/>
              </w:rPr>
              <w:t>54,5%</w:t>
            </w:r>
          </w:p>
        </w:tc>
        <w:tc>
          <w:tcPr>
            <w:tcW w:w="674" w:type="dxa"/>
            <w:tcBorders>
              <w:top w:val="single" w:sz="8" w:space="0" w:color="000000"/>
              <w:bottom w:val="single" w:sz="8" w:space="0" w:color="000000"/>
            </w:tcBorders>
            <w:shd w:val="clear" w:color="auto" w:fill="F2F2F2"/>
            <w:tcMar>
              <w:top w:w="20" w:type="dxa"/>
              <w:left w:w="20" w:type="dxa"/>
              <w:bottom w:w="20" w:type="dxa"/>
              <w:right w:w="20" w:type="dxa"/>
            </w:tcMar>
            <w:vAlign w:val="center"/>
          </w:tcPr>
          <w:p w14:paraId="00000220" w14:textId="77777777" w:rsidR="004567EC" w:rsidRDefault="00893D27">
            <w:pPr>
              <w:jc w:val="center"/>
            </w:pPr>
            <w:r>
              <w:rPr>
                <w:color w:val="000000"/>
              </w:rPr>
              <w:t>54,0%</w:t>
            </w:r>
          </w:p>
        </w:tc>
        <w:tc>
          <w:tcPr>
            <w:tcW w:w="809" w:type="dxa"/>
            <w:tcBorders>
              <w:top w:val="single" w:sz="8" w:space="0" w:color="000000"/>
              <w:bottom w:val="single" w:sz="8" w:space="0" w:color="000000"/>
            </w:tcBorders>
            <w:shd w:val="clear" w:color="auto" w:fill="F2F2F2"/>
            <w:tcMar>
              <w:top w:w="20" w:type="dxa"/>
              <w:left w:w="20" w:type="dxa"/>
              <w:bottom w:w="20" w:type="dxa"/>
              <w:right w:w="20" w:type="dxa"/>
            </w:tcMar>
            <w:vAlign w:val="center"/>
          </w:tcPr>
          <w:p w14:paraId="00000221" w14:textId="77777777" w:rsidR="004567EC" w:rsidRDefault="00893D27">
            <w:pPr>
              <w:jc w:val="center"/>
              <w:rPr>
                <w:b/>
              </w:rPr>
            </w:pPr>
            <w:r>
              <w:rPr>
                <w:b/>
                <w:color w:val="000000"/>
              </w:rPr>
              <w:t>52,2%</w:t>
            </w:r>
          </w:p>
        </w:tc>
      </w:tr>
    </w:tbl>
    <w:p w14:paraId="00000222" w14:textId="77777777" w:rsidR="004567EC" w:rsidRDefault="00893D27">
      <w:r>
        <w:rPr>
          <w:color w:val="000000"/>
        </w:rPr>
        <w:t>Fuentes: Matrícula: MEN -Sistema Nacional de Información de Educación Superior - SNIES. Población: DANE - Estimaciones y proyecciones CNPV 2018</w:t>
      </w:r>
    </w:p>
    <w:p w14:paraId="00000223" w14:textId="77777777" w:rsidR="004567EC" w:rsidRDefault="004567EC">
      <w:pPr>
        <w:spacing w:after="240" w:line="276" w:lineRule="auto"/>
        <w:jc w:val="both"/>
        <w:rPr>
          <w:color w:val="000000"/>
          <w:highlight w:val="white"/>
        </w:rPr>
      </w:pPr>
    </w:p>
    <w:p w14:paraId="00000224" w14:textId="77777777" w:rsidR="004567EC" w:rsidRDefault="00893D27">
      <w:pPr>
        <w:spacing w:after="240" w:line="276" w:lineRule="auto"/>
        <w:jc w:val="both"/>
        <w:rPr>
          <w:color w:val="000000"/>
          <w:highlight w:val="white"/>
        </w:rPr>
      </w:pPr>
      <w:r>
        <w:rPr>
          <w:color w:val="000000"/>
          <w:highlight w:val="white"/>
        </w:rPr>
        <w:t>Por otra parte, aunque los indicadores en cobertura han mejorado en las últimas dos décadas, desde 2017 se vien</w:t>
      </w:r>
      <w:r>
        <w:rPr>
          <w:color w:val="000000"/>
          <w:highlight w:val="white"/>
        </w:rPr>
        <w:t>e presentando un fenómeno de reducción del número de estudiantes matriculados. De acuerdo con el Ministerio de Educación, en 2019 la matrícula total en educación superior fue de 2.396.250 estudiantes, esto es una reducción del 1.8% respecto a 2018, explica</w:t>
      </w:r>
      <w:r>
        <w:rPr>
          <w:color w:val="000000"/>
          <w:highlight w:val="white"/>
        </w:rPr>
        <w:t>da principalmente por una disminución en el número de estudiantes matriculados en las instituciones privadas, esto es unos de 19.700 menos, y una reducción de cerca de 32 mil estudiantes menos atendidos por el SENA, como consecuencia de transformaciones qu</w:t>
      </w:r>
      <w:r>
        <w:rPr>
          <w:color w:val="000000"/>
          <w:highlight w:val="white"/>
        </w:rPr>
        <w:t>e vendría haciendo esta última entidad para lograr una oferta más pertinente y de calidad, así como un fortalecimiento de sus programas de especialización tecnológica según se indica por parte del mismo Ministerio</w:t>
      </w:r>
      <w:r>
        <w:rPr>
          <w:color w:val="000000"/>
          <w:highlight w:val="white"/>
          <w:vertAlign w:val="superscript"/>
        </w:rPr>
        <w:footnoteReference w:id="6"/>
      </w:r>
      <w:r>
        <w:rPr>
          <w:color w:val="000000"/>
          <w:highlight w:val="white"/>
        </w:rPr>
        <w:t xml:space="preserve">. Se destaca que las demás instituciones </w:t>
      </w:r>
      <w:r>
        <w:rPr>
          <w:color w:val="000000"/>
          <w:highlight w:val="white"/>
        </w:rPr>
        <w:t>de educación superior públicas vienen presentando cifras crecientes, registrando un aumento de más de 8.100 estudiantes (un crecimiento del 1,1%).</w:t>
      </w:r>
    </w:p>
    <w:p w14:paraId="00000225" w14:textId="77777777" w:rsidR="004567EC" w:rsidRDefault="00893D27">
      <w:pPr>
        <w:spacing w:after="240" w:line="276" w:lineRule="auto"/>
        <w:jc w:val="both"/>
        <w:rPr>
          <w:color w:val="000000"/>
        </w:rPr>
      </w:pPr>
      <w:r>
        <w:rPr>
          <w:color w:val="000000"/>
          <w:highlight w:val="white"/>
        </w:rPr>
        <w:t xml:space="preserve">El acceso al derecho a la educación en el nivel superior plantea importantes retos en cuanto a la deserción. </w:t>
      </w:r>
      <w:r>
        <w:rPr>
          <w:color w:val="000000"/>
          <w:highlight w:val="white"/>
        </w:rPr>
        <w:t>Sobre este aspecto es necesario indicar que, de acuerdo con el registro del Ministerio de Educación Nacional,</w:t>
      </w:r>
      <w:r>
        <w:rPr>
          <w:color w:val="000000"/>
        </w:rPr>
        <w:t xml:space="preserve"> las estadísticas históricas de deserción y permanencia calculadas con la versión anterior del sistema (SPADIES 2.8) no son comparables con las nue</w:t>
      </w:r>
      <w:r>
        <w:rPr>
          <w:color w:val="000000"/>
        </w:rPr>
        <w:t>vas estadísticas generadas por el SPADIES 3.0 como consecuencia del cambio metodológico del sistema. Teniendo esta situación, el Ministerio de Educación Nacional recalculó los indicadores de tasa de deserción anual y creó un nuevo indicador denominado Tasa</w:t>
      </w:r>
      <w:r>
        <w:rPr>
          <w:color w:val="000000"/>
        </w:rPr>
        <w:t xml:space="preserve"> de Ausencia Intersemestral para el período comprendido entre los años 2010 a 2018</w:t>
      </w:r>
      <w:r>
        <w:rPr>
          <w:color w:val="000000"/>
          <w:vertAlign w:val="superscript"/>
        </w:rPr>
        <w:footnoteReference w:id="7"/>
      </w:r>
      <w:r>
        <w:rPr>
          <w:color w:val="000000"/>
        </w:rPr>
        <w:t xml:space="preserve">. De acuerdo con la información así calculada la Tasa de Deserción Anual habría disminuido del </w:t>
      </w:r>
      <w:r>
        <w:rPr>
          <w:color w:val="000000"/>
        </w:rPr>
        <w:lastRenderedPageBreak/>
        <w:t>11,79% en el 2010 al 9,69% en 2018 y la Tasa de Ausencia Intersemestral se ha</w:t>
      </w:r>
      <w:r>
        <w:rPr>
          <w:color w:val="000000"/>
        </w:rPr>
        <w:t>bría mantenido estable en un 15,65 en 2010 y un 15,02% en 2018.</w:t>
      </w:r>
    </w:p>
    <w:p w14:paraId="00000226" w14:textId="77777777" w:rsidR="004567EC" w:rsidRDefault="00893D27">
      <w:pPr>
        <w:spacing w:after="240"/>
      </w:pPr>
      <w:r>
        <w:rPr>
          <w:noProof/>
        </w:rPr>
        <w:drawing>
          <wp:inline distT="0" distB="0" distL="0" distR="0">
            <wp:extent cx="5612130" cy="3618230"/>
            <wp:effectExtent l="0" t="0" r="0" b="0"/>
            <wp:docPr id="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12130" cy="3618230"/>
                    </a:xfrm>
                    <a:prstGeom prst="rect">
                      <a:avLst/>
                    </a:prstGeom>
                    <a:ln/>
                  </pic:spPr>
                </pic:pic>
              </a:graphicData>
            </a:graphic>
          </wp:inline>
        </w:drawing>
      </w:r>
    </w:p>
    <w:p w14:paraId="00000227" w14:textId="77777777" w:rsidR="004567EC" w:rsidRDefault="00893D27">
      <w:pPr>
        <w:spacing w:after="240" w:line="276" w:lineRule="auto"/>
        <w:jc w:val="both"/>
        <w:rPr>
          <w:color w:val="000000"/>
        </w:rPr>
      </w:pPr>
      <w:r>
        <w:rPr>
          <w:color w:val="000000"/>
          <w:highlight w:val="white"/>
        </w:rPr>
        <w:t>A pesar de lo optimista de las cifras anteriores, debe tenerse en consideración que existen dos formas de medición de la deserción. La mostrada en la imagen arriba de este párrafo que calcul</w:t>
      </w:r>
      <w:r>
        <w:rPr>
          <w:color w:val="000000"/>
          <w:highlight w:val="white"/>
        </w:rPr>
        <w:t xml:space="preserve">a la deserción por período o deserción anual que agrupa al conjunto de estudiantes que, sin haberse graduado, acumulan dos semestres sin reanudar la matrícula en el programa académico. En este caso, cuando un estudiante deja de matricularse por un período </w:t>
      </w:r>
      <w:r>
        <w:rPr>
          <w:color w:val="000000"/>
          <w:highlight w:val="white"/>
        </w:rPr>
        <w:t>se denomina ausente, aunque se sigue considerando como activo</w:t>
      </w:r>
      <w:r>
        <w:rPr>
          <w:color w:val="000000"/>
          <w:highlight w:val="white"/>
          <w:vertAlign w:val="superscript"/>
        </w:rPr>
        <w:footnoteReference w:id="8"/>
      </w:r>
      <w:r>
        <w:rPr>
          <w:color w:val="000000"/>
          <w:highlight w:val="white"/>
        </w:rPr>
        <w:t xml:space="preserve">. </w:t>
      </w:r>
    </w:p>
    <w:p w14:paraId="00000228" w14:textId="77777777" w:rsidR="004567EC" w:rsidRDefault="00893D27">
      <w:pPr>
        <w:spacing w:after="240" w:line="276" w:lineRule="auto"/>
        <w:jc w:val="both"/>
        <w:rPr>
          <w:color w:val="000000"/>
          <w:highlight w:val="white"/>
        </w:rPr>
      </w:pPr>
      <w:r>
        <w:rPr>
          <w:color w:val="000000"/>
          <w:highlight w:val="white"/>
        </w:rPr>
        <w:t xml:space="preserve">Otra forma de medición es la deserción por cohorte, con la cual se contabiliza la deserción acumulada en cada semestre para un grupo de estudiantes que ingresaron a primer curso en un mismo </w:t>
      </w:r>
      <w:r>
        <w:rPr>
          <w:color w:val="000000"/>
          <w:highlight w:val="white"/>
        </w:rPr>
        <w:t>periodo académico (cohorte) en una institución de educación superior</w:t>
      </w:r>
      <w:r>
        <w:rPr>
          <w:color w:val="000000"/>
          <w:highlight w:val="white"/>
          <w:vertAlign w:val="superscript"/>
        </w:rPr>
        <w:footnoteReference w:id="9"/>
      </w:r>
      <w:r>
        <w:rPr>
          <w:color w:val="000000"/>
          <w:highlight w:val="white"/>
        </w:rPr>
        <w:t xml:space="preserve">. De acuerdo con el Observatorio de Educación Superior de Medellín, </w:t>
      </w:r>
      <w:r>
        <w:rPr>
          <w:color w:val="000000"/>
        </w:rPr>
        <w:t>esta metodología cataloga como desertores a aquellos estudiantes que por algún motivo no continúan sus estudios con su</w:t>
      </w:r>
      <w:r>
        <w:rPr>
          <w:color w:val="000000"/>
        </w:rPr>
        <w:t xml:space="preserve">s compañeros de cohorte, pero continúan matriculados y activos en el sistema, razón por la que, con frecuencia, el porcentaje de deserción por cohorte suele ser superior a la de deserción por período: en </w:t>
      </w:r>
      <w:r>
        <w:rPr>
          <w:color w:val="000000"/>
        </w:rPr>
        <w:lastRenderedPageBreak/>
        <w:t>Colombia, por ejemplo, la deserción por cohorte para</w:t>
      </w:r>
      <w:r>
        <w:rPr>
          <w:color w:val="000000"/>
        </w:rPr>
        <w:t xml:space="preserve"> el año 2016 se estimó en 48.8%, mientras que la deserción por período fue de 12.5%.</w:t>
      </w:r>
    </w:p>
    <w:p w14:paraId="00000229" w14:textId="77777777" w:rsidR="004567EC" w:rsidRDefault="00893D27">
      <w:pPr>
        <w:spacing w:after="240" w:line="276" w:lineRule="auto"/>
        <w:jc w:val="both"/>
        <w:rPr>
          <w:color w:val="000000"/>
        </w:rPr>
      </w:pPr>
      <w:r>
        <w:rPr>
          <w:color w:val="000000"/>
          <w:highlight w:val="white"/>
        </w:rPr>
        <w:t xml:space="preserve">De acuerdo con datos del Banco Mundial, </w:t>
      </w:r>
      <w:r>
        <w:rPr>
          <w:color w:val="000000"/>
        </w:rPr>
        <w:t>un 37% de los estudiantes que comienzan un programa universitario abandonan el sistema. Dicho indicador alcanza un 53% en el caso d</w:t>
      </w:r>
      <w:r>
        <w:rPr>
          <w:color w:val="000000"/>
        </w:rPr>
        <w:t>e los estudiantes que inician programas de ciclo corto. Según esta institución, los estudiantes de habilidad e ingresos bajos son más propensos a desertar y un 36% de los estudiantes que desertan en Colombia lo hacen al final del primer año, mientras que e</w:t>
      </w:r>
      <w:r>
        <w:rPr>
          <w:color w:val="000000"/>
        </w:rPr>
        <w:t xml:space="preserve">n Estados Unidos este porcentaje es del 15%. Así mismo, un 30% de los que abandonan el sistema lo hacen después de 4 </w:t>
      </w:r>
      <w:proofErr w:type="spellStart"/>
      <w:r>
        <w:rPr>
          <w:color w:val="000000"/>
        </w:rPr>
        <w:t>años</w:t>
      </w:r>
      <w:proofErr w:type="spellEnd"/>
      <w:r>
        <w:rPr>
          <w:color w:val="000000"/>
          <w:vertAlign w:val="superscript"/>
        </w:rPr>
        <w:footnoteReference w:id="10"/>
      </w:r>
      <w:r>
        <w:rPr>
          <w:color w:val="000000"/>
        </w:rPr>
        <w:t>, es decir, muy cerca de culminar el esfuerzo de tiempo y recursos invertidos en la formación superior.</w:t>
      </w:r>
    </w:p>
    <w:p w14:paraId="0000022A" w14:textId="77777777" w:rsidR="004567EC" w:rsidRDefault="00893D27">
      <w:pPr>
        <w:spacing w:after="240" w:line="276" w:lineRule="auto"/>
        <w:jc w:val="both"/>
        <w:rPr>
          <w:color w:val="000000"/>
        </w:rPr>
      </w:pPr>
      <w:r>
        <w:rPr>
          <w:color w:val="000000"/>
        </w:rPr>
        <w:t>Un estudio de la OCDE realizado en 2016 concluyó que las altas tasas de deserción en el sistema de educación superior colombiano lo hacen “</w:t>
      </w:r>
      <w:r>
        <w:rPr>
          <w:i/>
          <w:color w:val="000000"/>
        </w:rPr>
        <w:t>considerablemente ineficiente”</w:t>
      </w:r>
      <w:r>
        <w:rPr>
          <w:color w:val="000000"/>
        </w:rPr>
        <w:t>. De acuerdo con los hallazgos de dicho estudio, las políticas poco han ayudado a reduc</w:t>
      </w:r>
      <w:r>
        <w:rPr>
          <w:color w:val="000000"/>
        </w:rPr>
        <w:t>ir los niveles de deserción pasando de un 48% en 2004 a un 45% en 2013 de deserción por cohorte y de un 16 a un 10% en el indicador de deserción anual</w:t>
      </w:r>
      <w:r>
        <w:rPr>
          <w:color w:val="000000"/>
          <w:vertAlign w:val="superscript"/>
        </w:rPr>
        <w:footnoteReference w:id="11"/>
      </w:r>
      <w:r>
        <w:rPr>
          <w:color w:val="000000"/>
        </w:rPr>
        <w:t>.</w:t>
      </w:r>
    </w:p>
    <w:p w14:paraId="0000022B" w14:textId="77777777" w:rsidR="004567EC" w:rsidRDefault="00893D27">
      <w:pPr>
        <w:spacing w:after="240" w:line="276" w:lineRule="auto"/>
        <w:jc w:val="both"/>
        <w:rPr>
          <w:color w:val="000000"/>
        </w:rPr>
      </w:pPr>
      <w:r>
        <w:rPr>
          <w:color w:val="000000"/>
        </w:rPr>
        <w:t>De acuerdo con la OCDE, el problema de la deserción es un asunto de equidad, las tasas más altas de de</w:t>
      </w:r>
      <w:r>
        <w:rPr>
          <w:color w:val="000000"/>
        </w:rPr>
        <w:t>serción las experimentan los mismos grupos que los gobiernos están tratando de incorporar en mayor número al sistema de educación superior: estudiantes de educación técnica y tecnológica, estudiantes de familias más pobres o menos educadas y aquellos de re</w:t>
      </w:r>
      <w:r>
        <w:rPr>
          <w:color w:val="000000"/>
        </w:rPr>
        <w:t>giones y escuelas subrepresentadas</w:t>
      </w:r>
      <w:r>
        <w:rPr>
          <w:color w:val="000000"/>
          <w:vertAlign w:val="superscript"/>
        </w:rPr>
        <w:footnoteReference w:id="12"/>
      </w:r>
      <w:r>
        <w:rPr>
          <w:color w:val="000000"/>
        </w:rPr>
        <w:t xml:space="preserve">, situación esta última que se complementa con la crisis de cobertura ya analizada respecto de los </w:t>
      </w:r>
      <w:r>
        <w:rPr>
          <w:color w:val="000000"/>
          <w:highlight w:val="white"/>
        </w:rPr>
        <w:t>Departamentos como Arauca, San Andrés y Providencia, Amazonas, Guainía, Guaviare, Vaupés y Vichada</w:t>
      </w:r>
      <w:r>
        <w:rPr>
          <w:color w:val="000000"/>
        </w:rPr>
        <w:t>.</w:t>
      </w:r>
    </w:p>
    <w:p w14:paraId="0000022C" w14:textId="77777777" w:rsidR="004567EC" w:rsidRDefault="00893D27">
      <w:pPr>
        <w:spacing w:after="240" w:line="276" w:lineRule="auto"/>
        <w:jc w:val="both"/>
        <w:rPr>
          <w:color w:val="000000"/>
        </w:rPr>
      </w:pPr>
      <w:r>
        <w:rPr>
          <w:color w:val="000000"/>
          <w:highlight w:val="white"/>
        </w:rPr>
        <w:t>Por otra parte, al an</w:t>
      </w:r>
      <w:r>
        <w:rPr>
          <w:color w:val="000000"/>
          <w:highlight w:val="white"/>
        </w:rPr>
        <w:t>alizar la situación de la deserción es necesario considerar el nivel al ingreso al sistema de educación superior. De acuerdo con el Banco Mundial</w:t>
      </w:r>
      <w:r>
        <w:rPr>
          <w:color w:val="000000"/>
        </w:rPr>
        <w:t xml:space="preserve">, las diferencias en el nivel de preparación </w:t>
      </w:r>
      <w:proofErr w:type="spellStart"/>
      <w:r>
        <w:rPr>
          <w:color w:val="000000"/>
        </w:rPr>
        <w:t>académica</w:t>
      </w:r>
      <w:proofErr w:type="spellEnd"/>
      <w:r>
        <w:rPr>
          <w:color w:val="000000"/>
        </w:rPr>
        <w:t xml:space="preserve"> explican un 41% de la brecha de entrada entre el tramo </w:t>
      </w:r>
      <w:r>
        <w:rPr>
          <w:color w:val="000000"/>
        </w:rPr>
        <w:t>superior y el inferior de la distribución del ingreso de los graduados de la educación secundaria, y que la diferencias en el nivel de preparación académica y el nivel educativo de la madre explican el 71% de la brecha.</w:t>
      </w:r>
    </w:p>
    <w:p w14:paraId="0000022D" w14:textId="77777777" w:rsidR="004567EC" w:rsidRDefault="00893D27">
      <w:pPr>
        <w:spacing w:after="240" w:line="276" w:lineRule="auto"/>
        <w:jc w:val="both"/>
        <w:rPr>
          <w:color w:val="000000"/>
        </w:rPr>
      </w:pPr>
      <w:r>
        <w:rPr>
          <w:color w:val="000000"/>
          <w:highlight w:val="white"/>
        </w:rPr>
        <w:lastRenderedPageBreak/>
        <w:t>Revisadas las cifras oficiales del M</w:t>
      </w:r>
      <w:r>
        <w:rPr>
          <w:color w:val="000000"/>
          <w:highlight w:val="white"/>
        </w:rPr>
        <w:t xml:space="preserve">inisterio de Educación sobre </w:t>
      </w:r>
      <w:r>
        <w:rPr>
          <w:color w:val="000000"/>
        </w:rPr>
        <w:t>los resultados obtenidos por los nuevos estudiantes en el Examen de Estado para Ingreso a la Educación Superior del Instituto Colombiano para el Fomento de la Educación Superior –ICFES</w:t>
      </w:r>
      <w:r>
        <w:rPr>
          <w:color w:val="000000"/>
          <w:highlight w:val="white"/>
        </w:rPr>
        <w:t>, se tiene que al primer semestre de 2020 s</w:t>
      </w:r>
      <w:r>
        <w:rPr>
          <w:color w:val="000000"/>
          <w:highlight w:val="white"/>
        </w:rPr>
        <w:t>olo el 6,69% de los estudiantes que ingresaron a primer semestre acreditaron un resultado e el nivel alto del Examen de Estado, mientras que dicho indicador fue de 21% en el primer semestre de 2000. En oposición, se observa un incremento sustancial de estu</w:t>
      </w:r>
      <w:r>
        <w:rPr>
          <w:color w:val="000000"/>
          <w:highlight w:val="white"/>
        </w:rPr>
        <w:t>diantes con resultado en nivel bajo en el Examen de Estado, pasando de 21,6% en el primer semestre de 2000 a 57,5% en el primer semestre de 2020</w:t>
      </w:r>
      <w:r>
        <w:rPr>
          <w:color w:val="000000"/>
        </w:rPr>
        <w:t>, tal como se observa en las siguientes imágenes:</w:t>
      </w:r>
    </w:p>
    <w:p w14:paraId="0000022E" w14:textId="77777777" w:rsidR="004567EC" w:rsidRDefault="00893D27">
      <w:pPr>
        <w:rPr>
          <w:color w:val="000000"/>
        </w:rPr>
      </w:pPr>
      <w:r>
        <w:rPr>
          <w:noProof/>
          <w:color w:val="000000"/>
        </w:rPr>
        <w:drawing>
          <wp:inline distT="0" distB="0" distL="0" distR="0">
            <wp:extent cx="5612130" cy="3056255"/>
            <wp:effectExtent l="0" t="0" r="0" b="0"/>
            <wp:docPr id="7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612130" cy="3056255"/>
                    </a:xfrm>
                    <a:prstGeom prst="rect">
                      <a:avLst/>
                    </a:prstGeom>
                    <a:ln/>
                  </pic:spPr>
                </pic:pic>
              </a:graphicData>
            </a:graphic>
          </wp:inline>
        </w:drawing>
      </w:r>
    </w:p>
    <w:p w14:paraId="0000022F" w14:textId="77777777" w:rsidR="004567EC" w:rsidRDefault="004567EC"/>
    <w:p w14:paraId="00000230" w14:textId="77777777" w:rsidR="004567EC" w:rsidRDefault="00893D27">
      <w:r>
        <w:rPr>
          <w:noProof/>
          <w:color w:val="000000"/>
        </w:rPr>
        <w:drawing>
          <wp:inline distT="0" distB="0" distL="0" distR="0">
            <wp:extent cx="5612130" cy="2056130"/>
            <wp:effectExtent l="0" t="0" r="0" b="0"/>
            <wp:docPr id="8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612130" cy="2056130"/>
                    </a:xfrm>
                    <a:prstGeom prst="rect">
                      <a:avLst/>
                    </a:prstGeom>
                    <a:ln/>
                  </pic:spPr>
                </pic:pic>
              </a:graphicData>
            </a:graphic>
          </wp:inline>
        </w:drawing>
      </w:r>
    </w:p>
    <w:p w14:paraId="00000231" w14:textId="77777777" w:rsidR="004567EC" w:rsidRDefault="004567EC">
      <w:pPr>
        <w:spacing w:after="240" w:line="276" w:lineRule="auto"/>
        <w:jc w:val="both"/>
        <w:rPr>
          <w:color w:val="000000"/>
          <w:highlight w:val="white"/>
        </w:rPr>
      </w:pPr>
    </w:p>
    <w:p w14:paraId="00000232" w14:textId="77777777" w:rsidR="004567EC" w:rsidRDefault="00893D27">
      <w:pPr>
        <w:spacing w:after="240" w:line="276" w:lineRule="auto"/>
        <w:jc w:val="both"/>
        <w:rPr>
          <w:color w:val="000000"/>
        </w:rPr>
      </w:pPr>
      <w:r>
        <w:rPr>
          <w:color w:val="000000"/>
          <w:highlight w:val="white"/>
        </w:rPr>
        <w:t>De acuerdo con lo expuesto, se tiene que aunque el país ha logrado incrementar la cobertura en el sistema de educación superior dicho incremento no ha sido equitativo para todo el territorio nacional y se observa un importante detrimento en la cobertura en</w:t>
      </w:r>
      <w:r>
        <w:rPr>
          <w:color w:val="000000"/>
          <w:highlight w:val="white"/>
        </w:rPr>
        <w:t xml:space="preserve"> contra de las regiones más </w:t>
      </w:r>
      <w:r>
        <w:rPr>
          <w:color w:val="000000"/>
          <w:highlight w:val="white"/>
        </w:rPr>
        <w:lastRenderedPageBreak/>
        <w:t>apartadas del país que históricamente han sufrido del abandono estatal. Así mismo, se observa que, aunque han aumentado significativamente el número de estudiantes en las instituciones públicas y privadas, estos ingresan cada ve</w:t>
      </w:r>
      <w:r>
        <w:rPr>
          <w:color w:val="000000"/>
          <w:highlight w:val="white"/>
        </w:rPr>
        <w:t xml:space="preserve">z con menores condiciones académicas, situación que explica parcialmente los índices de deserción por cohorte que, como lo advierte el Banco Mundial, afectan más </w:t>
      </w:r>
      <w:r>
        <w:rPr>
          <w:color w:val="000000"/>
        </w:rPr>
        <w:t>gravemente a los estudiantes de menores ingresos.</w:t>
      </w:r>
    </w:p>
    <w:p w14:paraId="00000233" w14:textId="77777777" w:rsidR="004567EC" w:rsidRDefault="00893D27">
      <w:pPr>
        <w:spacing w:after="240" w:line="276" w:lineRule="auto"/>
        <w:jc w:val="both"/>
        <w:rPr>
          <w:color w:val="000000"/>
        </w:rPr>
      </w:pPr>
      <w:r>
        <w:rPr>
          <w:color w:val="000000"/>
        </w:rPr>
        <w:t>Por lo anterior, se requiere tomar medidas q</w:t>
      </w:r>
      <w:r>
        <w:rPr>
          <w:color w:val="000000"/>
        </w:rPr>
        <w:t>ue contribuyan activamente no solo a incrementar el acceso al sistema de educación superior para los jóvenes provenientes de familias de menores ingresos, sino, además, a garantizar la permanencia de estos en el sistema hasta la obtención del título corres</w:t>
      </w:r>
      <w:r>
        <w:rPr>
          <w:color w:val="000000"/>
        </w:rPr>
        <w:t>pondiente.</w:t>
      </w:r>
    </w:p>
    <w:p w14:paraId="00000234" w14:textId="77777777" w:rsidR="004567EC" w:rsidRDefault="00893D27">
      <w:pPr>
        <w:spacing w:after="240" w:line="276" w:lineRule="auto"/>
        <w:jc w:val="both"/>
      </w:pPr>
      <w:r>
        <w:rPr>
          <w:color w:val="000000"/>
        </w:rPr>
        <w:t xml:space="preserve">Para ello, en el presente proyecto de ley se proponen diversos tipos de medidas entre las que se encuentran criterios de acceso diferencial a favor de estudiantes provenientes de instituciones educativas estatales que no pueden competir por los </w:t>
      </w:r>
      <w:r>
        <w:rPr>
          <w:color w:val="000000"/>
        </w:rPr>
        <w:t xml:space="preserve">cupos en instituciones públicas en las mismas condiciones que los estudiantes de instituciones privadas y con acceso a educación complementaria, así como criterios diferenciados de </w:t>
      </w:r>
      <w:r>
        <w:t>créditos para las poblaciones pertenecientes a las comunidades étnicas: ind</w:t>
      </w:r>
      <w:r>
        <w:t>ígenas, afrodescendientes y palenqueras</w:t>
      </w:r>
      <w:r>
        <w:rPr>
          <w:color w:val="000000"/>
        </w:rPr>
        <w:t>, cuyo origen se encuentra principalmente en los departamentos identificados como de menor cobertura del sistema de educación superior,  condonación en el pago de intereses para estudiantes que pertenezcan a los grupo</w:t>
      </w:r>
      <w:r>
        <w:rPr>
          <w:color w:val="000000"/>
        </w:rPr>
        <w:t xml:space="preserve">s A y B del </w:t>
      </w:r>
      <w:proofErr w:type="spellStart"/>
      <w:r>
        <w:rPr>
          <w:color w:val="000000"/>
        </w:rPr>
        <w:t>Sisben</w:t>
      </w:r>
      <w:proofErr w:type="spellEnd"/>
      <w:r>
        <w:rPr>
          <w:color w:val="000000"/>
        </w:rPr>
        <w:t xml:space="preserve">, o los niveles equivalentes, a fin de aliviar la situación actual de los jóvenes que se encuentran en situación de vulnerabilidad, ayudas para el pago de transporte, gratuidad en el acceso al sistema de bibliotecas públicas, todo con el </w:t>
      </w:r>
      <w:r>
        <w:rPr>
          <w:color w:val="000000"/>
        </w:rPr>
        <w:t>propósito de aliviar no solo las cargas económicas de la población estudiantil actual, sino también ayudar a vincular a quienes no hacen parte actualmente del sistema educativo, pero quieren hacerlo.</w:t>
      </w:r>
    </w:p>
    <w:p w14:paraId="00000235" w14:textId="77777777" w:rsidR="004567EC" w:rsidRDefault="00893D27">
      <w:pPr>
        <w:spacing w:after="240" w:line="276" w:lineRule="auto"/>
        <w:jc w:val="both"/>
        <w:rPr>
          <w:color w:val="000000"/>
        </w:rPr>
      </w:pPr>
      <w:r>
        <w:rPr>
          <w:color w:val="000000"/>
        </w:rPr>
        <w:t>Respecto de la ayuda económica para el pago del transpor</w:t>
      </w:r>
      <w:r>
        <w:rPr>
          <w:color w:val="000000"/>
        </w:rPr>
        <w:t>te al sitio de estudio, esta ya es implementada en países de la región como Chile, Panamá, Uruguay o el estado de Jalisco en México, así como por países europeos como Francia o el Reino Unido y por ciudades colombianas como Barranquilla o Medellín en benef</w:t>
      </w:r>
      <w:r>
        <w:rPr>
          <w:color w:val="000000"/>
        </w:rPr>
        <w:t xml:space="preserve">icio de estudiantes de educación superior como mecanismos para facilitar el acceso y la permanencia en el servicio educativo de los estudiantes que residen en estas ciudades </w:t>
      </w:r>
      <w:proofErr w:type="spellStart"/>
      <w:r>
        <w:rPr>
          <w:color w:val="000000"/>
        </w:rPr>
        <w:t>cono</w:t>
      </w:r>
      <w:proofErr w:type="spellEnd"/>
      <w:r>
        <w:rPr>
          <w:color w:val="000000"/>
        </w:rPr>
        <w:t xml:space="preserve"> el propósito esencial de reducir la deserción estudiantil.</w:t>
      </w:r>
    </w:p>
    <w:p w14:paraId="00000236" w14:textId="77777777" w:rsidR="004567EC" w:rsidRDefault="00893D27">
      <w:pPr>
        <w:spacing w:after="240" w:line="276" w:lineRule="auto"/>
        <w:jc w:val="both"/>
        <w:rPr>
          <w:color w:val="000000"/>
        </w:rPr>
      </w:pPr>
      <w:r>
        <w:rPr>
          <w:color w:val="000000"/>
        </w:rPr>
        <w:lastRenderedPageBreak/>
        <w:t>Chile</w:t>
      </w:r>
      <w:r>
        <w:rPr>
          <w:color w:val="000000"/>
          <w:vertAlign w:val="superscript"/>
        </w:rPr>
        <w:footnoteReference w:id="13"/>
      </w:r>
      <w:r>
        <w:rPr>
          <w:color w:val="000000"/>
        </w:rPr>
        <w:t xml:space="preserve"> y Panamá</w:t>
      </w:r>
      <w:r>
        <w:rPr>
          <w:color w:val="000000"/>
          <w:vertAlign w:val="superscript"/>
        </w:rPr>
        <w:footnoteReference w:id="14"/>
      </w:r>
      <w:r>
        <w:rPr>
          <w:color w:val="000000"/>
        </w:rPr>
        <w:t xml:space="preserve"> actualmente utilizan el mecanismo de Tarjeta Nacional de Estudiante, mediante la cual los estudiantes de educación superior tienen derecho a una tarifa reducida en el transporte público. En Uruguay</w:t>
      </w:r>
      <w:r>
        <w:rPr>
          <w:color w:val="000000"/>
          <w:vertAlign w:val="superscript"/>
        </w:rPr>
        <w:footnoteReference w:id="15"/>
      </w:r>
      <w:r>
        <w:rPr>
          <w:color w:val="000000"/>
        </w:rPr>
        <w:t>, los estudiantes tienen derecho a subsidios de transpor</w:t>
      </w:r>
      <w:r>
        <w:rPr>
          <w:color w:val="000000"/>
        </w:rPr>
        <w:t>te y sus tiquetes admiten el trasbordo gratuito durante una hora, por lo que pueden utilizarse hasta dos ómnibus con un solo pasaje. Por su parte, el estado de Jalisco en México</w:t>
      </w:r>
      <w:r>
        <w:rPr>
          <w:color w:val="000000"/>
          <w:vertAlign w:val="superscript"/>
        </w:rPr>
        <w:footnoteReference w:id="16"/>
      </w:r>
      <w:r>
        <w:rPr>
          <w:color w:val="000000"/>
        </w:rPr>
        <w:t xml:space="preserve"> entrega apoyos en especie consistentes en unidades de transporte y bicicleta</w:t>
      </w:r>
      <w:r>
        <w:rPr>
          <w:color w:val="000000"/>
        </w:rPr>
        <w:t>s para facilitar el transporte de los estudiantes a sus centros de estudio.</w:t>
      </w:r>
    </w:p>
    <w:p w14:paraId="00000237" w14:textId="77777777" w:rsidR="004567EC" w:rsidRDefault="00893D27">
      <w:pPr>
        <w:spacing w:after="240" w:line="276" w:lineRule="auto"/>
        <w:jc w:val="both"/>
        <w:rPr>
          <w:color w:val="000000"/>
        </w:rPr>
      </w:pPr>
      <w:r>
        <w:rPr>
          <w:color w:val="000000"/>
        </w:rPr>
        <w:t>Francia mediante la “</w:t>
      </w:r>
      <w:proofErr w:type="spellStart"/>
      <w:r>
        <w:rPr>
          <w:i/>
          <w:color w:val="000000"/>
        </w:rPr>
        <w:t>Carte</w:t>
      </w:r>
      <w:proofErr w:type="spellEnd"/>
      <w:r>
        <w:rPr>
          <w:i/>
          <w:color w:val="000000"/>
        </w:rPr>
        <w:t xml:space="preserve"> june</w:t>
      </w:r>
      <w:r>
        <w:rPr>
          <w:color w:val="000000"/>
        </w:rPr>
        <w:t>” o tarjeta juvenil, otorga un 30% de descuento en tarifas para viajes en tren a los jóvenes entre 12 y 27 años, sin requerir que se encuentren en el</w:t>
      </w:r>
      <w:r>
        <w:rPr>
          <w:color w:val="000000"/>
        </w:rPr>
        <w:t xml:space="preserve"> sistema educativo. En el Reino Unido, los jóvenes de 16 a 25 y los mayores de esta edad que sean estudiantes de universidad presencial de tiempo completo o mayor a 15 horas a la semana tienen un 30% de descuento en tarifas para viajes en tren.</w:t>
      </w:r>
    </w:p>
    <w:p w14:paraId="00000238" w14:textId="77777777" w:rsidR="004567EC" w:rsidRDefault="00893D27">
      <w:pPr>
        <w:spacing w:after="240" w:line="276" w:lineRule="auto"/>
        <w:jc w:val="both"/>
        <w:rPr>
          <w:color w:val="000000"/>
        </w:rPr>
      </w:pPr>
      <w:r>
        <w:rPr>
          <w:color w:val="000000"/>
        </w:rPr>
        <w:t xml:space="preserve">En el caso </w:t>
      </w:r>
      <w:r>
        <w:rPr>
          <w:color w:val="000000"/>
        </w:rPr>
        <w:t xml:space="preserve">colombiano, en distrito de Barranquilla mediante el programa de Estímulo Social de Transporte -ESTE- actualmente se otorga el 40% de descuento en el pasaje de </w:t>
      </w:r>
      <w:proofErr w:type="spellStart"/>
      <w:r>
        <w:rPr>
          <w:color w:val="000000"/>
        </w:rPr>
        <w:t>Transmetro</w:t>
      </w:r>
      <w:proofErr w:type="spellEnd"/>
      <w:r>
        <w:rPr>
          <w:color w:val="000000"/>
        </w:rPr>
        <w:t xml:space="preserve">, a los estudiantes de instituciones de educación superior, técnicas y tecnológicas de </w:t>
      </w:r>
      <w:r>
        <w:rPr>
          <w:color w:val="000000"/>
        </w:rPr>
        <w:t xml:space="preserve">Barranquilla que tengan un puntaje en el </w:t>
      </w:r>
      <w:proofErr w:type="spellStart"/>
      <w:r>
        <w:rPr>
          <w:color w:val="000000"/>
        </w:rPr>
        <w:t>Sisben</w:t>
      </w:r>
      <w:proofErr w:type="spellEnd"/>
      <w:r>
        <w:rPr>
          <w:color w:val="000000"/>
        </w:rPr>
        <w:t xml:space="preserve"> menor a 54.86</w:t>
      </w:r>
      <w:r>
        <w:rPr>
          <w:color w:val="000000"/>
          <w:vertAlign w:val="superscript"/>
        </w:rPr>
        <w:footnoteReference w:id="17"/>
      </w:r>
      <w:r>
        <w:rPr>
          <w:color w:val="000000"/>
        </w:rPr>
        <w:t>.</w:t>
      </w:r>
    </w:p>
    <w:p w14:paraId="00000239" w14:textId="77777777" w:rsidR="004567EC" w:rsidRDefault="00893D27">
      <w:pPr>
        <w:spacing w:after="240" w:line="276" w:lineRule="auto"/>
        <w:jc w:val="both"/>
        <w:rPr>
          <w:color w:val="000000"/>
          <w:highlight w:val="white"/>
        </w:rPr>
      </w:pPr>
      <w:r>
        <w:rPr>
          <w:color w:val="000000"/>
        </w:rPr>
        <w:t>En la ciudad de Medellín, se otorga una tarifa diferencial que subsidia el 50% del valor de la tarifa vigente en el transporte público colectivo de pasajeros a los estudiantes de educación bá</w:t>
      </w:r>
      <w:r>
        <w:rPr>
          <w:color w:val="000000"/>
        </w:rPr>
        <w:t xml:space="preserve">sica, media y superior residentes en Medellín, que cumplan con varias siguientes condiciones, entre ellas pertenecer a los niveles de </w:t>
      </w:r>
      <w:proofErr w:type="spellStart"/>
      <w:r>
        <w:rPr>
          <w:color w:val="000000"/>
        </w:rPr>
        <w:t>Sisben</w:t>
      </w:r>
      <w:proofErr w:type="spellEnd"/>
      <w:r>
        <w:rPr>
          <w:color w:val="000000"/>
        </w:rPr>
        <w:t xml:space="preserve"> I, II, III o residir en viviendas de estratos 1, 2 o 3, según la disponibilidad de cupos </w:t>
      </w:r>
      <w:r>
        <w:rPr>
          <w:color w:val="000000"/>
          <w:vertAlign w:val="superscript"/>
        </w:rPr>
        <w:footnoteReference w:id="18"/>
      </w:r>
      <w:r>
        <w:rPr>
          <w:color w:val="000000"/>
        </w:rPr>
        <w:t>.</w:t>
      </w:r>
    </w:p>
    <w:p w14:paraId="0000023A" w14:textId="77777777" w:rsidR="004567EC" w:rsidRDefault="00893D27">
      <w:pPr>
        <w:spacing w:after="240" w:line="276" w:lineRule="auto"/>
        <w:jc w:val="both"/>
      </w:pPr>
      <w:r>
        <w:rPr>
          <w:color w:val="000000"/>
          <w:highlight w:val="white"/>
        </w:rPr>
        <w:lastRenderedPageBreak/>
        <w:t>Por otra parte, como u</w:t>
      </w:r>
      <w:r>
        <w:rPr>
          <w:color w:val="000000"/>
          <w:highlight w:val="white"/>
        </w:rPr>
        <w:t xml:space="preserve">n mecanismo para garantizar el acceso a información que permita desarrollar en debida forma los estudios, en el proyecto se prevé </w:t>
      </w:r>
      <w:r>
        <w:rPr>
          <w:color w:val="000000"/>
        </w:rPr>
        <w:t xml:space="preserve">otorgar </w:t>
      </w:r>
      <w:r>
        <w:t>acceso gratuito a los servicios que presten las bibliotecas públicas del país a quienes ostenten la calidad de estudia</w:t>
      </w:r>
      <w:r>
        <w:t xml:space="preserve">ntes y pertenezcan a los grupos A, B y C del </w:t>
      </w:r>
      <w:proofErr w:type="spellStart"/>
      <w:r>
        <w:t>Sisben</w:t>
      </w:r>
      <w:proofErr w:type="spellEnd"/>
      <w:r>
        <w:t xml:space="preserve">, o los niveles equivalentes. </w:t>
      </w:r>
    </w:p>
    <w:p w14:paraId="0000023B" w14:textId="77777777" w:rsidR="004567EC" w:rsidRDefault="00893D27">
      <w:pPr>
        <w:spacing w:after="240" w:line="276" w:lineRule="auto"/>
        <w:jc w:val="both"/>
        <w:rPr>
          <w:i/>
          <w:highlight w:val="white"/>
        </w:rPr>
      </w:pPr>
      <w:r>
        <w:t>Sobre este beneficio, debe tenerse en consideración que la Unesco ha señalado que la biblioteca pública ha de ser en principio gratuita, aunque se reconoce que, en algunos pa</w:t>
      </w:r>
      <w:r>
        <w:t>íses, se exigen suscripciones para ser miembro de una biblioteca o el pago de servicios específicos, pero ello deniega inevitablemente el acceso a quienes no están en situación de permitírselos, por lo que no deben ser una característica permanente de la f</w:t>
      </w:r>
      <w:r>
        <w:t>inanciación de las bibliotecas públicas</w:t>
      </w:r>
      <w:r>
        <w:rPr>
          <w:color w:val="000000"/>
          <w:highlight w:val="white"/>
          <w:vertAlign w:val="superscript"/>
        </w:rPr>
        <w:footnoteReference w:id="19"/>
      </w:r>
      <w:r>
        <w:rPr>
          <w:i/>
          <w:color w:val="000000"/>
          <w:highlight w:val="white"/>
        </w:rPr>
        <w:t>.</w:t>
      </w:r>
    </w:p>
    <w:p w14:paraId="0000023C" w14:textId="77777777" w:rsidR="004567EC" w:rsidRDefault="00893D27">
      <w:pPr>
        <w:pStyle w:val="Ttulo2"/>
        <w:numPr>
          <w:ilvl w:val="0"/>
          <w:numId w:val="1"/>
        </w:num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RELACIÓN DE POSIBLES CONFLICTOS DE INTERÉS</w:t>
      </w:r>
    </w:p>
    <w:p w14:paraId="0000023D" w14:textId="77777777" w:rsidR="004567EC" w:rsidRDefault="004567EC">
      <w:pPr>
        <w:pBdr>
          <w:top w:val="nil"/>
          <w:left w:val="nil"/>
          <w:bottom w:val="nil"/>
          <w:right w:val="nil"/>
          <w:between w:val="nil"/>
        </w:pBdr>
        <w:shd w:val="clear" w:color="auto" w:fill="FFFFFF"/>
        <w:jc w:val="both"/>
        <w:rPr>
          <w:color w:val="000000"/>
        </w:rPr>
      </w:pPr>
    </w:p>
    <w:p w14:paraId="0000023E" w14:textId="77777777" w:rsidR="004567EC" w:rsidRDefault="00893D27">
      <w:pPr>
        <w:spacing w:after="240" w:line="276" w:lineRule="auto"/>
        <w:jc w:val="both"/>
        <w:rPr>
          <w:highlight w:val="white"/>
        </w:rPr>
      </w:pPr>
      <w:r>
        <w:rPr>
          <w:color w:val="000000"/>
          <w:highlight w:val="white"/>
        </w:rPr>
        <w:t xml:space="preserve">En cumplimiento con lo dispuesto en el artículo 3 de la Ley 2003 de 2019, por el cual se modifica el artículo 29 de la Ley 5ª de 1992, los autores, siguiendo la jurisprudencia del Consejo de Estado sobre este tema, </w:t>
      </w:r>
      <w:r>
        <w:t>consideran</w:t>
      </w:r>
      <w:r>
        <w:rPr>
          <w:color w:val="000000"/>
          <w:highlight w:val="white"/>
        </w:rPr>
        <w:t xml:space="preserve"> que el presente proyecto de le</w:t>
      </w:r>
      <w:r>
        <w:rPr>
          <w:color w:val="000000"/>
          <w:highlight w:val="white"/>
        </w:rPr>
        <w:t>y no genera conflictos de interés para su discusión y votación por cuanto se trata de un proyecto de carácter general que no crea un beneficio o perjuicio particular, actual y directo</w:t>
      </w:r>
      <w:r>
        <w:rPr>
          <w:highlight w:val="white"/>
        </w:rPr>
        <w:t>; sin perjuicio del propio análisis que deberá hacer cada Congresista res</w:t>
      </w:r>
      <w:r>
        <w:rPr>
          <w:highlight w:val="white"/>
        </w:rPr>
        <w:t>pecto de su situación individual.</w:t>
      </w:r>
    </w:p>
    <w:p w14:paraId="0000023F" w14:textId="77777777" w:rsidR="004567EC" w:rsidRDefault="004567EC">
      <w:pPr>
        <w:spacing w:after="240" w:line="276" w:lineRule="auto"/>
        <w:jc w:val="both"/>
        <w:rPr>
          <w:highlight w:val="white"/>
        </w:rPr>
      </w:pPr>
    </w:p>
    <w:p w14:paraId="00000240" w14:textId="77777777" w:rsidR="004567EC" w:rsidRDefault="004567EC">
      <w:pPr>
        <w:spacing w:after="240" w:line="276" w:lineRule="auto"/>
        <w:jc w:val="both"/>
        <w:rPr>
          <w:highlight w:val="white"/>
        </w:rPr>
      </w:pPr>
    </w:p>
    <w:p w14:paraId="00000241" w14:textId="77777777" w:rsidR="004567EC" w:rsidRDefault="004567EC">
      <w:pPr>
        <w:spacing w:after="240" w:line="276" w:lineRule="auto"/>
        <w:jc w:val="both"/>
        <w:rPr>
          <w:highlight w:val="white"/>
        </w:rPr>
      </w:pPr>
    </w:p>
    <w:p w14:paraId="00000242" w14:textId="77777777" w:rsidR="004567EC" w:rsidRDefault="004567EC">
      <w:pPr>
        <w:spacing w:after="240" w:line="276" w:lineRule="auto"/>
        <w:jc w:val="both"/>
        <w:rPr>
          <w:highlight w:val="white"/>
        </w:rPr>
      </w:pPr>
    </w:p>
    <w:p w14:paraId="00000243" w14:textId="77777777" w:rsidR="004567EC" w:rsidRDefault="004567EC">
      <w:pPr>
        <w:spacing w:after="240" w:line="276" w:lineRule="auto"/>
        <w:jc w:val="both"/>
        <w:rPr>
          <w:highlight w:val="white"/>
        </w:rPr>
      </w:pPr>
    </w:p>
    <w:p w14:paraId="00000244" w14:textId="77777777" w:rsidR="004567EC" w:rsidRDefault="004567EC">
      <w:pPr>
        <w:spacing w:after="240" w:line="276" w:lineRule="auto"/>
        <w:jc w:val="both"/>
        <w:rPr>
          <w:highlight w:val="white"/>
        </w:rPr>
      </w:pPr>
    </w:p>
    <w:p w14:paraId="00000245" w14:textId="77777777" w:rsidR="004567EC" w:rsidRDefault="004567EC">
      <w:pPr>
        <w:spacing w:after="240" w:line="276" w:lineRule="auto"/>
        <w:jc w:val="both"/>
        <w:rPr>
          <w:highlight w:val="white"/>
        </w:rPr>
      </w:pPr>
    </w:p>
    <w:p w14:paraId="00000246" w14:textId="77777777" w:rsidR="004567EC" w:rsidRDefault="004567EC">
      <w:pPr>
        <w:spacing w:after="240" w:line="276" w:lineRule="auto"/>
        <w:jc w:val="both"/>
        <w:rPr>
          <w:highlight w:val="white"/>
        </w:rPr>
      </w:pPr>
    </w:p>
    <w:p w14:paraId="0000024B" w14:textId="77777777" w:rsidR="004567EC" w:rsidRDefault="00893D27">
      <w:pPr>
        <w:jc w:val="center"/>
        <w:rPr>
          <w:b/>
        </w:rPr>
      </w:pPr>
      <w:r>
        <w:rPr>
          <w:b/>
        </w:rPr>
        <w:lastRenderedPageBreak/>
        <w:t xml:space="preserve">PROYECTO DE LEY </w:t>
      </w:r>
      <w:proofErr w:type="spellStart"/>
      <w:r>
        <w:rPr>
          <w:b/>
        </w:rPr>
        <w:t>N°</w:t>
      </w:r>
      <w:proofErr w:type="spellEnd"/>
      <w:r>
        <w:rPr>
          <w:b/>
        </w:rPr>
        <w:t xml:space="preserve"> ____ DE 2021 CÁMARA</w:t>
      </w:r>
      <w:r>
        <w:rPr>
          <w:b/>
        </w:rPr>
        <w:br/>
        <w:t>“Por medio de la cual se adoptan medidas para fomentar la garantía al derecho a la educación de los jóvenes en Colombia”</w:t>
      </w:r>
    </w:p>
    <w:p w14:paraId="0000024C" w14:textId="77777777" w:rsidR="004567EC" w:rsidRDefault="004567EC">
      <w:pPr>
        <w:jc w:val="center"/>
      </w:pPr>
    </w:p>
    <w:p w14:paraId="0000024D" w14:textId="77777777" w:rsidR="004567EC" w:rsidRDefault="004567EC">
      <w:pPr>
        <w:jc w:val="center"/>
      </w:pPr>
    </w:p>
    <w:p w14:paraId="0000024E" w14:textId="77777777" w:rsidR="004567EC" w:rsidRDefault="00893D27">
      <w:pPr>
        <w:jc w:val="center"/>
      </w:pPr>
      <w:r>
        <w:t xml:space="preserve">EL CONGRESO DE COLOMBIA </w:t>
      </w:r>
    </w:p>
    <w:p w14:paraId="0000024F" w14:textId="77777777" w:rsidR="004567EC" w:rsidRDefault="004567EC">
      <w:pPr>
        <w:jc w:val="center"/>
      </w:pPr>
    </w:p>
    <w:p w14:paraId="00000250" w14:textId="77777777" w:rsidR="004567EC" w:rsidRDefault="00893D27">
      <w:pPr>
        <w:jc w:val="center"/>
      </w:pPr>
      <w:r>
        <w:t xml:space="preserve"> DECRETA:</w:t>
      </w:r>
    </w:p>
    <w:p w14:paraId="00000251" w14:textId="77777777" w:rsidR="004567EC" w:rsidRDefault="004567EC">
      <w:pPr>
        <w:jc w:val="center"/>
      </w:pPr>
    </w:p>
    <w:p w14:paraId="00000252" w14:textId="77777777" w:rsidR="004567EC" w:rsidRDefault="004567EC">
      <w:pPr>
        <w:jc w:val="center"/>
      </w:pPr>
    </w:p>
    <w:p w14:paraId="00000253" w14:textId="77777777" w:rsidR="004567EC" w:rsidRDefault="00893D27">
      <w:pPr>
        <w:jc w:val="both"/>
      </w:pPr>
      <w:r>
        <w:rPr>
          <w:b/>
        </w:rPr>
        <w:t>Artículo 1. OBJETO</w:t>
      </w:r>
      <w:r>
        <w:t>. La presente Ley tiene por objeto adoptar medidas para fomentar la garantía efectiva del derecho a la educación de los jóvenes en Colombia, a partir de las demandas sociales presentadas en el marco de la iniciativa multipartidista “Los j</w:t>
      </w:r>
      <w:r>
        <w:t xml:space="preserve">óvenes tienen la palabra”. </w:t>
      </w:r>
    </w:p>
    <w:p w14:paraId="00000254" w14:textId="77777777" w:rsidR="004567EC" w:rsidRDefault="004567EC">
      <w:pPr>
        <w:jc w:val="both"/>
      </w:pPr>
    </w:p>
    <w:p w14:paraId="00000255" w14:textId="77777777" w:rsidR="004567EC" w:rsidRDefault="00893D27">
      <w:pPr>
        <w:jc w:val="both"/>
      </w:pPr>
      <w:r>
        <w:rPr>
          <w:b/>
        </w:rPr>
        <w:t xml:space="preserve">Artículo 2. ÁMBITO DE APLICACIÓN. </w:t>
      </w:r>
      <w:r>
        <w:t xml:space="preserve">La presente Ley se aplicará a las personas menores de 30 años. </w:t>
      </w:r>
    </w:p>
    <w:p w14:paraId="00000256" w14:textId="77777777" w:rsidR="004567EC" w:rsidRDefault="004567EC">
      <w:pPr>
        <w:jc w:val="both"/>
        <w:rPr>
          <w:b/>
        </w:rPr>
      </w:pPr>
    </w:p>
    <w:p w14:paraId="00000257" w14:textId="77777777" w:rsidR="004567EC" w:rsidRDefault="00893D27">
      <w:pPr>
        <w:jc w:val="both"/>
      </w:pPr>
      <w:r>
        <w:rPr>
          <w:b/>
        </w:rPr>
        <w:t xml:space="preserve">Artículo 3. ACCESO DIFERENCIAL A UNIVERSIDADES PÚBLICAS. </w:t>
      </w:r>
      <w:r>
        <w:t>Las universidades públicas del país, en el marco de la autonomía univer</w:t>
      </w:r>
      <w:r>
        <w:t xml:space="preserve">sitaria, desarrollarán criterios de ingreso que garanticen un porcentaje mínimo del 20% de estudiantes provenientes de instituciones educativas estatales, atendiendo criterios de mérito dentro de este grupo de estudiantes. </w:t>
      </w:r>
    </w:p>
    <w:p w14:paraId="00000258" w14:textId="77777777" w:rsidR="004567EC" w:rsidRDefault="004567EC">
      <w:pPr>
        <w:jc w:val="both"/>
      </w:pPr>
    </w:p>
    <w:p w14:paraId="00000259" w14:textId="77777777" w:rsidR="004567EC" w:rsidRDefault="00893D27">
      <w:pPr>
        <w:jc w:val="both"/>
      </w:pPr>
      <w:r>
        <w:t>Dentro de este 20% se deberá ga</w:t>
      </w:r>
      <w:r>
        <w:t xml:space="preserve">rantizar que el 5% pertenezcan a comunidades étnicas: indígenas, afrodescendientes y palenqueras. </w:t>
      </w:r>
    </w:p>
    <w:p w14:paraId="0000025A" w14:textId="77777777" w:rsidR="004567EC" w:rsidRDefault="004567EC">
      <w:pPr>
        <w:jc w:val="both"/>
      </w:pPr>
    </w:p>
    <w:p w14:paraId="0000025B" w14:textId="77777777" w:rsidR="004567EC" w:rsidRDefault="00893D27">
      <w:pPr>
        <w:jc w:val="both"/>
      </w:pPr>
      <w:r>
        <w:rPr>
          <w:b/>
        </w:rPr>
        <w:t xml:space="preserve">Artículo 4. PROGRAMAS DE INCLUSIÓN UNIVERSITARIA. </w:t>
      </w:r>
      <w:r>
        <w:t>Las universidades públicas del país, en el marco de la autonomía universitaria, desarrollarán programas de</w:t>
      </w:r>
      <w:r>
        <w:t xml:space="preserve"> inclusión universitaria, consistentes en cursos preparatorios para la vida universitaria dirigidos a estudiantes de instituciones educativas estatales. </w:t>
      </w:r>
    </w:p>
    <w:p w14:paraId="0000025C" w14:textId="77777777" w:rsidR="004567EC" w:rsidRDefault="004567EC">
      <w:pPr>
        <w:jc w:val="both"/>
        <w:rPr>
          <w:b/>
        </w:rPr>
      </w:pPr>
    </w:p>
    <w:p w14:paraId="0000025D" w14:textId="77777777" w:rsidR="004567EC" w:rsidRDefault="00893D27">
      <w:pPr>
        <w:jc w:val="both"/>
      </w:pPr>
      <w:r>
        <w:t>Los cursos incluirán preparación para los exámenes de ingreso, idiomas, redacción, comprensión de lec</w:t>
      </w:r>
      <w:r>
        <w:t xml:space="preserve">tura y metodología de investigación y estudio. </w:t>
      </w:r>
    </w:p>
    <w:p w14:paraId="0000025E" w14:textId="77777777" w:rsidR="004567EC" w:rsidRDefault="004567EC">
      <w:pPr>
        <w:jc w:val="both"/>
        <w:rPr>
          <w:b/>
        </w:rPr>
      </w:pPr>
    </w:p>
    <w:p w14:paraId="0000025F" w14:textId="77777777" w:rsidR="004567EC" w:rsidRDefault="00893D27">
      <w:pPr>
        <w:jc w:val="both"/>
        <w:rPr>
          <w:b/>
        </w:rPr>
      </w:pPr>
      <w:r>
        <w:rPr>
          <w:b/>
        </w:rPr>
        <w:t xml:space="preserve">Artículo 5. ABONO DE TRANSPORTE MENSUAL JOVEN. </w:t>
      </w:r>
      <w:r>
        <w:t>Las entidades del orden territorial crearán en el marco de sus competencias el “abono de transporte mensual - joven”, estableciendo una tarifa diferenciada mens</w:t>
      </w:r>
      <w:r>
        <w:t xml:space="preserve">ual, correspondiente a un valor menor a aquel que resultaría de la aplicación de la tarifa diaria general correspondiente a un mes de transporte.  </w:t>
      </w:r>
    </w:p>
    <w:p w14:paraId="00000260" w14:textId="77777777" w:rsidR="004567EC" w:rsidRDefault="004567EC">
      <w:pPr>
        <w:jc w:val="both"/>
      </w:pPr>
    </w:p>
    <w:p w14:paraId="00000261" w14:textId="77777777" w:rsidR="004567EC" w:rsidRDefault="00893D27">
      <w:pPr>
        <w:jc w:val="both"/>
      </w:pPr>
      <w:r>
        <w:t>Serán beneficiarios del abono mensual de transporte, quienes cumplan el requisito establecido en el artícul</w:t>
      </w:r>
      <w:r>
        <w:t xml:space="preserve">o 2 de la presente Ley, tengan la calidad de estudiantes y pertenezcan a los grupos A, B y C del </w:t>
      </w:r>
      <w:proofErr w:type="spellStart"/>
      <w:r>
        <w:t>Sisben</w:t>
      </w:r>
      <w:proofErr w:type="spellEnd"/>
      <w:r>
        <w:t xml:space="preserve">, o los niveles equivalentes. </w:t>
      </w:r>
    </w:p>
    <w:p w14:paraId="00000262" w14:textId="77777777" w:rsidR="004567EC" w:rsidRDefault="004567EC">
      <w:pPr>
        <w:jc w:val="both"/>
      </w:pPr>
    </w:p>
    <w:p w14:paraId="00000263" w14:textId="77777777" w:rsidR="004567EC" w:rsidRDefault="00893D27">
      <w:pPr>
        <w:jc w:val="both"/>
      </w:pPr>
      <w:r>
        <w:rPr>
          <w:b/>
        </w:rPr>
        <w:t xml:space="preserve">Artículo 6. ACCESO A BIBLIOTECAS PÚBLICAS. </w:t>
      </w:r>
      <w:r>
        <w:t xml:space="preserve">Las bibliotecas públicas del país garantizarán el acceso gratuito a todos sus </w:t>
      </w:r>
      <w:r>
        <w:t xml:space="preserve">servicios, a quienes cumplan el requisito establecido </w:t>
      </w:r>
      <w:r>
        <w:lastRenderedPageBreak/>
        <w:t xml:space="preserve">en el artículo 2 de la presente Ley, tengan la calidad de estudiantes y pertenezcan a los grupos A, B y C del </w:t>
      </w:r>
      <w:proofErr w:type="spellStart"/>
      <w:r>
        <w:t>Sisben</w:t>
      </w:r>
      <w:proofErr w:type="spellEnd"/>
      <w:r>
        <w:t xml:space="preserve">, o los niveles equivalentes. </w:t>
      </w:r>
    </w:p>
    <w:p w14:paraId="00000264" w14:textId="77777777" w:rsidR="004567EC" w:rsidRDefault="004567EC">
      <w:pPr>
        <w:jc w:val="both"/>
      </w:pPr>
    </w:p>
    <w:p w14:paraId="00000265" w14:textId="77777777" w:rsidR="004567EC" w:rsidRDefault="00893D27">
      <w:pPr>
        <w:jc w:val="both"/>
      </w:pPr>
      <w:r>
        <w:rPr>
          <w:b/>
        </w:rPr>
        <w:t xml:space="preserve">Artículo 7. PAGOS POR SERVICIOS CONEXOS. </w:t>
      </w:r>
      <w:r>
        <w:t>Las universid</w:t>
      </w:r>
      <w:r>
        <w:t>ades públicas del país, en el marco de la autonomía universitaria, establecerán criterios de tarifas diferenciadas para el pago de servicios conexos educativos, tales como inscripción, matrículas, derechos de grado, certificaciones y pago de exámenes suple</w:t>
      </w:r>
      <w:r>
        <w:t xml:space="preserve">torios. </w:t>
      </w:r>
    </w:p>
    <w:p w14:paraId="00000266" w14:textId="77777777" w:rsidR="004567EC" w:rsidRDefault="004567EC">
      <w:pPr>
        <w:jc w:val="both"/>
      </w:pPr>
    </w:p>
    <w:p w14:paraId="00000267" w14:textId="77777777" w:rsidR="004567EC" w:rsidRDefault="00893D27">
      <w:pPr>
        <w:jc w:val="both"/>
      </w:pPr>
      <w:r>
        <w:t xml:space="preserve">En ningún caso, podrá negarse el otorgamiento del grado por falta de pago, siempre que se hayan cumplido los demás requisitos no pecuniarios para la obtención del título respectivo. </w:t>
      </w:r>
    </w:p>
    <w:p w14:paraId="00000268" w14:textId="77777777" w:rsidR="004567EC" w:rsidRDefault="004567EC">
      <w:pPr>
        <w:jc w:val="both"/>
        <w:rPr>
          <w:b/>
        </w:rPr>
      </w:pPr>
    </w:p>
    <w:p w14:paraId="00000269" w14:textId="77777777" w:rsidR="004567EC" w:rsidRDefault="00893D27">
      <w:pPr>
        <w:jc w:val="both"/>
      </w:pPr>
      <w:r>
        <w:rPr>
          <w:b/>
        </w:rPr>
        <w:t xml:space="preserve">Artículo 8. CONDONACIÓN DE INTERESES CRÉDITOS ICETEX. </w:t>
      </w:r>
      <w:r>
        <w:t xml:space="preserve">Por una </w:t>
      </w:r>
      <w:r>
        <w:t xml:space="preserve">sola vez, el Instituto Colombiano de Crédito Educativo y Estudios Técnicos en el Exterior – ICETEX- condonará los intereses de los créditos educativos que se encuentren en periodo de pago, en etapa de estudio. </w:t>
      </w:r>
    </w:p>
    <w:p w14:paraId="0000026A" w14:textId="77777777" w:rsidR="004567EC" w:rsidRDefault="004567EC">
      <w:pPr>
        <w:jc w:val="both"/>
      </w:pPr>
    </w:p>
    <w:p w14:paraId="0000026B" w14:textId="77777777" w:rsidR="004567EC" w:rsidRDefault="00893D27">
      <w:pPr>
        <w:jc w:val="both"/>
      </w:pPr>
      <w:r>
        <w:t>Serán beneficiarios de la condonación, quien</w:t>
      </w:r>
      <w:r>
        <w:t xml:space="preserve">es cumplan el requisito establecido en el artículo 2 de la presente Ley, tengan la calidad de estudiantes y pertenezcan a los grupos A y B del </w:t>
      </w:r>
      <w:proofErr w:type="spellStart"/>
      <w:r>
        <w:t>Sisben</w:t>
      </w:r>
      <w:proofErr w:type="spellEnd"/>
      <w:r>
        <w:t xml:space="preserve">, o los niveles equivalentes. </w:t>
      </w:r>
    </w:p>
    <w:p w14:paraId="0000026C" w14:textId="77777777" w:rsidR="004567EC" w:rsidRDefault="004567EC">
      <w:pPr>
        <w:jc w:val="both"/>
      </w:pPr>
    </w:p>
    <w:p w14:paraId="0000026D" w14:textId="77777777" w:rsidR="004567EC" w:rsidRDefault="00893D27">
      <w:pPr>
        <w:jc w:val="both"/>
      </w:pPr>
      <w:r>
        <w:rPr>
          <w:b/>
        </w:rPr>
        <w:t xml:space="preserve">Artículo 9. CRITERIOS DIFERENCIADOS EN CRÉDITOS ICETEX. </w:t>
      </w:r>
      <w:r>
        <w:t>El Instituto Colombiano de Crédito Educativo y Estudios Técnicos en el Exterior – ICETEX- establecerá intereses diferenciados de créditos para las poblaciones pertenecientes a las comunidades étnicas:</w:t>
      </w:r>
      <w:r>
        <w:t xml:space="preserve"> indígenas, afrodescendientes y palenqueras. </w:t>
      </w:r>
    </w:p>
    <w:p w14:paraId="0000026E" w14:textId="77777777" w:rsidR="004567EC" w:rsidRDefault="004567EC">
      <w:pPr>
        <w:jc w:val="both"/>
      </w:pPr>
    </w:p>
    <w:p w14:paraId="0000026F" w14:textId="77777777" w:rsidR="004567EC" w:rsidRDefault="00893D27">
      <w:pPr>
        <w:jc w:val="both"/>
      </w:pPr>
      <w:r>
        <w:t>Serán beneficiarios de los intereses diferenciados (menor a los intereses aplicados en general), quienes cumplan los requisitos establecidos en el inciso anterior, en el artículo 2 de la presente Ley, tengan l</w:t>
      </w:r>
      <w:r>
        <w:t xml:space="preserve">a calidad de estudiantes y pertenezcan a los grupos A y B del </w:t>
      </w:r>
      <w:proofErr w:type="spellStart"/>
      <w:r>
        <w:t>Sisben</w:t>
      </w:r>
      <w:proofErr w:type="spellEnd"/>
      <w:r>
        <w:t xml:space="preserve">, o los niveles equivalentes. </w:t>
      </w:r>
    </w:p>
    <w:p w14:paraId="00000270" w14:textId="77777777" w:rsidR="004567EC" w:rsidRDefault="004567EC">
      <w:pPr>
        <w:jc w:val="both"/>
      </w:pPr>
    </w:p>
    <w:p w14:paraId="00000271" w14:textId="77777777" w:rsidR="004567EC" w:rsidRDefault="00893D27">
      <w:pPr>
        <w:jc w:val="both"/>
      </w:pPr>
      <w:r>
        <w:rPr>
          <w:b/>
        </w:rPr>
        <w:t xml:space="preserve">ARTÍCULO 10. AFILIACIÓN AL SISTEMA DE SEGURIDAD SOCIAL EN SALUD. </w:t>
      </w:r>
      <w:r>
        <w:t>La afiliación al sistema de seguridad social en salud, en calidad de beneficiarios en razón</w:t>
      </w:r>
      <w:r>
        <w:t xml:space="preserve"> a la condición de estudiantes, no se suspenderá en los periodos de vacaciones académicas. </w:t>
      </w:r>
    </w:p>
    <w:p w14:paraId="00000272" w14:textId="77777777" w:rsidR="004567EC" w:rsidRDefault="004567EC">
      <w:pPr>
        <w:jc w:val="both"/>
      </w:pPr>
    </w:p>
    <w:p w14:paraId="00000273" w14:textId="77777777" w:rsidR="004567EC" w:rsidRDefault="00893D27">
      <w:pPr>
        <w:jc w:val="both"/>
      </w:pPr>
      <w:r>
        <w:t xml:space="preserve">Las entidades prestadoras de </w:t>
      </w:r>
      <w:proofErr w:type="gramStart"/>
      <w:r>
        <w:t>salud,</w:t>
      </w:r>
      <w:proofErr w:type="gramEnd"/>
      <w:r>
        <w:t xml:space="preserve"> no podrán suspender los servicios en salud durante los periodos vacacionales y se otorgará un plazo de un mes y medio una vez i</w:t>
      </w:r>
      <w:r>
        <w:t>niciado el periodo escolar respectivo, para el aporte de la documentación que acredite la calidad de estudiante.</w:t>
      </w:r>
    </w:p>
    <w:p w14:paraId="00000274" w14:textId="77777777" w:rsidR="004567EC" w:rsidRDefault="004567EC">
      <w:pPr>
        <w:jc w:val="both"/>
        <w:rPr>
          <w:b/>
        </w:rPr>
      </w:pPr>
    </w:p>
    <w:p w14:paraId="00000275" w14:textId="77777777" w:rsidR="004567EC" w:rsidRDefault="00893D27">
      <w:pPr>
        <w:jc w:val="both"/>
      </w:pPr>
      <w:r>
        <w:rPr>
          <w:b/>
        </w:rPr>
        <w:t xml:space="preserve">ARTÍCULO 11. VIGENCIA Y DEROGATORIA. </w:t>
      </w:r>
      <w:r>
        <w:t>La presente Ley rige a partir de su promulgación y deroga todas las normas que le sean contrarias.</w:t>
      </w:r>
    </w:p>
    <w:p w14:paraId="00000276" w14:textId="77777777" w:rsidR="004567EC" w:rsidRDefault="004567EC"/>
    <w:p w14:paraId="00000277" w14:textId="77777777" w:rsidR="004567EC" w:rsidRDefault="004567EC">
      <w:pPr>
        <w:spacing w:before="233" w:line="276" w:lineRule="auto"/>
      </w:pPr>
    </w:p>
    <w:p w14:paraId="00000278" w14:textId="77777777" w:rsidR="004567EC" w:rsidRDefault="004567EC">
      <w:pPr>
        <w:spacing w:before="233" w:line="276" w:lineRule="auto"/>
      </w:pPr>
    </w:p>
    <w:p w14:paraId="000002DE" w14:textId="77777777" w:rsidR="004567EC" w:rsidRDefault="004567EC"/>
    <w:sectPr w:rsidR="004567EC">
      <w:headerReference w:type="default" r:id="rId12"/>
      <w:footerReference w:type="default" r:id="rId13"/>
      <w:pgSz w:w="12240" w:h="15840"/>
      <w:pgMar w:top="1500" w:right="1580" w:bottom="280" w:left="16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C4846" w14:textId="77777777" w:rsidR="00000000" w:rsidRDefault="00893D27">
      <w:r>
        <w:separator/>
      </w:r>
    </w:p>
  </w:endnote>
  <w:endnote w:type="continuationSeparator" w:id="0">
    <w:p w14:paraId="263C6DC6" w14:textId="77777777" w:rsidR="00000000" w:rsidRDefault="0089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F4" w14:textId="77777777" w:rsidR="004567EC" w:rsidRDefault="004567EC">
    <w:pPr>
      <w:tabs>
        <w:tab w:val="center" w:pos="4419"/>
        <w:tab w:val="right" w:pos="8838"/>
      </w:tabs>
      <w:jc w:val="center"/>
      <w:rPr>
        <w:rFonts w:ascii="Century Gothic" w:eastAsia="Century Gothic" w:hAnsi="Century Gothic" w:cs="Century Gothic"/>
        <w:sz w:val="20"/>
        <w:szCs w:val="20"/>
      </w:rPr>
    </w:pPr>
  </w:p>
  <w:p w14:paraId="000002F5" w14:textId="77777777" w:rsidR="004567EC" w:rsidRDefault="00893D27">
    <w:pPr>
      <w:pBdr>
        <w:top w:val="nil"/>
        <w:left w:val="nil"/>
        <w:bottom w:val="nil"/>
        <w:right w:val="nil"/>
        <w:between w:val="nil"/>
      </w:pBdr>
      <w:tabs>
        <w:tab w:val="center" w:pos="4419"/>
        <w:tab w:val="right" w:pos="8838"/>
      </w:tabs>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Edificio Nuevo del Congreso Carrera 7ª No. 8-68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6E39A" w14:textId="77777777" w:rsidR="00000000" w:rsidRDefault="00893D27">
      <w:r>
        <w:separator/>
      </w:r>
    </w:p>
  </w:footnote>
  <w:footnote w:type="continuationSeparator" w:id="0">
    <w:p w14:paraId="2DE6F027" w14:textId="77777777" w:rsidR="00000000" w:rsidRDefault="00893D27">
      <w:r>
        <w:continuationSeparator/>
      </w:r>
    </w:p>
  </w:footnote>
  <w:footnote w:id="1">
    <w:p w14:paraId="000002F6" w14:textId="77777777" w:rsidR="004567EC" w:rsidRDefault="00893D27">
      <w:pPr>
        <w:jc w:val="both"/>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r>
        <w:rPr>
          <w:rFonts w:ascii="Calibri" w:eastAsia="Calibri" w:hAnsi="Calibri" w:cs="Calibri"/>
          <w:color w:val="222222"/>
          <w:sz w:val="20"/>
          <w:szCs w:val="20"/>
          <w:highlight w:val="white"/>
        </w:rPr>
        <w:t>Manrique-Niño, J. I. (2009). </w:t>
      </w:r>
      <w:r>
        <w:rPr>
          <w:rFonts w:ascii="Calibri" w:eastAsia="Calibri" w:hAnsi="Calibri" w:cs="Calibri"/>
          <w:i/>
          <w:color w:val="222222"/>
          <w:sz w:val="20"/>
          <w:szCs w:val="20"/>
        </w:rPr>
        <w:t>Protección constitucional del derecho a la educación y responsabilidad estatal por falla en el servicio de la educación</w:t>
      </w:r>
      <w:r>
        <w:rPr>
          <w:rFonts w:ascii="Calibri" w:eastAsia="Calibri" w:hAnsi="Calibri" w:cs="Calibri"/>
          <w:color w:val="222222"/>
          <w:sz w:val="20"/>
          <w:szCs w:val="20"/>
          <w:highlight w:val="white"/>
        </w:rPr>
        <w:t xml:space="preserve"> (Doctoral </w:t>
      </w:r>
      <w:proofErr w:type="spellStart"/>
      <w:r>
        <w:rPr>
          <w:rFonts w:ascii="Calibri" w:eastAsia="Calibri" w:hAnsi="Calibri" w:cs="Calibri"/>
          <w:color w:val="222222"/>
          <w:sz w:val="20"/>
          <w:szCs w:val="20"/>
          <w:highlight w:val="white"/>
        </w:rPr>
        <w:t>dissertation</w:t>
      </w:r>
      <w:proofErr w:type="spellEnd"/>
      <w:r>
        <w:rPr>
          <w:rFonts w:ascii="Calibri" w:eastAsia="Calibri" w:hAnsi="Calibri" w:cs="Calibri"/>
          <w:color w:val="222222"/>
          <w:sz w:val="20"/>
          <w:szCs w:val="20"/>
          <w:highlight w:val="white"/>
        </w:rPr>
        <w:t>, Universidad del Rosario).</w:t>
      </w:r>
    </w:p>
  </w:footnote>
  <w:footnote w:id="2">
    <w:p w14:paraId="000002F7" w14:textId="77777777" w:rsidR="004567EC" w:rsidRDefault="00893D27">
      <w:pPr>
        <w:widowControl w:val="0"/>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Corte Constitucional. (2012). M.P. Jorge Ignacio Pretelt Chaljub. Bogotá D.C. </w:t>
      </w:r>
    </w:p>
  </w:footnote>
  <w:footnote w:id="3">
    <w:p w14:paraId="000002DF" w14:textId="77777777" w:rsidR="004567EC" w:rsidRDefault="00893D27">
      <w:pPr>
        <w:widowControl w:val="0"/>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Departamento Nacional de Planeación. (2019). Bases para el Plan Nacional de Desarrollo 2018 - 2022. Pacto por Colombia, pacto por la equidad. p. 370.</w:t>
      </w:r>
    </w:p>
  </w:footnote>
  <w:footnote w:id="4">
    <w:p w14:paraId="000002E0" w14:textId="77777777" w:rsidR="004567EC" w:rsidRDefault="00893D27">
      <w:pPr>
        <w:widowControl w:val="0"/>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proofErr w:type="spellStart"/>
      <w:r>
        <w:rPr>
          <w:rFonts w:ascii="Calibri" w:eastAsia="Calibri" w:hAnsi="Calibri" w:cs="Calibri"/>
          <w:i/>
          <w:color w:val="000000"/>
          <w:sz w:val="20"/>
          <w:szCs w:val="20"/>
        </w:rPr>
        <w:t>Op</w:t>
      </w:r>
      <w:proofErr w:type="spellEnd"/>
      <w:r>
        <w:rPr>
          <w:rFonts w:ascii="Calibri" w:eastAsia="Calibri" w:hAnsi="Calibri" w:cs="Calibri"/>
          <w:i/>
          <w:color w:val="000000"/>
          <w:sz w:val="20"/>
          <w:szCs w:val="20"/>
        </w:rPr>
        <w:t>. cit.,</w:t>
      </w:r>
      <w:r>
        <w:rPr>
          <w:rFonts w:ascii="Calibri" w:eastAsia="Calibri" w:hAnsi="Calibri" w:cs="Calibri"/>
          <w:color w:val="000000"/>
          <w:sz w:val="20"/>
          <w:szCs w:val="20"/>
        </w:rPr>
        <w:t xml:space="preserve"> p. 369.</w:t>
      </w:r>
    </w:p>
  </w:footnote>
  <w:footnote w:id="5">
    <w:p w14:paraId="000002E1" w14:textId="77777777" w:rsidR="004567EC" w:rsidRDefault="00893D27">
      <w:pPr>
        <w:widowControl w:val="0"/>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vertAlign w:val="superscript"/>
        </w:rPr>
        <w:t xml:space="preserve"> </w:t>
      </w:r>
      <w:r>
        <w:rPr>
          <w:rFonts w:ascii="Calibri" w:eastAsia="Calibri" w:hAnsi="Calibri" w:cs="Calibri"/>
          <w:color w:val="000000"/>
          <w:sz w:val="20"/>
          <w:szCs w:val="20"/>
        </w:rPr>
        <w:t>Sistema para la Prevención de la Deserción de la Educación Superior -SPADIES, (2021</w:t>
      </w:r>
      <w:r>
        <w:rPr>
          <w:rFonts w:ascii="Calibri" w:eastAsia="Calibri" w:hAnsi="Calibri" w:cs="Calibri"/>
          <w:color w:val="000000"/>
          <w:sz w:val="20"/>
          <w:szCs w:val="20"/>
        </w:rPr>
        <w:t>). Tasa de cobertura en educación superior por departamento. Consultado el 15 de julio de 2021.</w:t>
      </w:r>
    </w:p>
  </w:footnote>
  <w:footnote w:id="6">
    <w:p w14:paraId="000002E2" w14:textId="77777777" w:rsidR="004567EC" w:rsidRDefault="00893D27">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Sistema Nacional de Información de Educación Superior - SNIES. (2019). Recuperado de </w:t>
      </w:r>
      <w:hyperlink r:id="rId1">
        <w:r>
          <w:rPr>
            <w:rFonts w:ascii="Calibri" w:eastAsia="Calibri" w:hAnsi="Calibri" w:cs="Calibri"/>
            <w:color w:val="0000FF"/>
            <w:sz w:val="20"/>
            <w:szCs w:val="20"/>
            <w:u w:val="single"/>
          </w:rPr>
          <w:t>https:</w:t>
        </w:r>
        <w:r>
          <w:rPr>
            <w:rFonts w:ascii="Calibri" w:eastAsia="Calibri" w:hAnsi="Calibri" w:cs="Calibri"/>
            <w:color w:val="0000FF"/>
            <w:sz w:val="20"/>
            <w:szCs w:val="20"/>
            <w:u w:val="single"/>
          </w:rPr>
          <w:t>//snies.mineducacion.gov.co/portal/401926</w:t>
        </w:r>
      </w:hyperlink>
      <w:r>
        <w:rPr>
          <w:rFonts w:ascii="Calibri" w:eastAsia="Calibri" w:hAnsi="Calibri" w:cs="Calibri"/>
          <w:color w:val="000000"/>
          <w:sz w:val="20"/>
          <w:szCs w:val="20"/>
        </w:rPr>
        <w:t xml:space="preserve">. </w:t>
      </w:r>
    </w:p>
  </w:footnote>
  <w:footnote w:id="7">
    <w:p w14:paraId="000002E3" w14:textId="77777777" w:rsidR="004567EC" w:rsidRDefault="00893D27">
      <w:pPr>
        <w:widowControl w:val="0"/>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vertAlign w:val="superscript"/>
        </w:rPr>
        <w:t xml:space="preserve"> </w:t>
      </w:r>
      <w:r>
        <w:rPr>
          <w:rFonts w:ascii="Calibri" w:eastAsia="Calibri" w:hAnsi="Calibri" w:cs="Calibri"/>
          <w:color w:val="000000"/>
          <w:sz w:val="20"/>
          <w:szCs w:val="20"/>
        </w:rPr>
        <w:t xml:space="preserve">Ministerio de Educación Nacional. (2021). Estadísticas de deserción y permanencia en educación superior SPADIES 3.0. </w:t>
      </w:r>
      <w:proofErr w:type="gramStart"/>
      <w:r>
        <w:rPr>
          <w:rFonts w:ascii="Calibri" w:eastAsia="Calibri" w:hAnsi="Calibri" w:cs="Calibri"/>
          <w:color w:val="000000"/>
          <w:sz w:val="20"/>
          <w:szCs w:val="20"/>
        </w:rPr>
        <w:t>Histórico indicadores</w:t>
      </w:r>
      <w:proofErr w:type="gramEnd"/>
      <w:r>
        <w:rPr>
          <w:rFonts w:ascii="Calibri" w:eastAsia="Calibri" w:hAnsi="Calibri" w:cs="Calibri"/>
          <w:color w:val="000000"/>
          <w:sz w:val="20"/>
          <w:szCs w:val="20"/>
        </w:rPr>
        <w:t xml:space="preserve"> 2010 – 2018. Recuperado de </w:t>
      </w:r>
      <w:hyperlink r:id="rId2">
        <w:r>
          <w:rPr>
            <w:rFonts w:ascii="Calibri" w:eastAsia="Calibri" w:hAnsi="Calibri" w:cs="Calibri"/>
            <w:color w:val="0000FF"/>
            <w:sz w:val="20"/>
            <w:szCs w:val="20"/>
            <w:u w:val="single"/>
          </w:rPr>
          <w:t>https://www.mineducacion.gov.co/sistemasdeinformacion/1735/articles-357549_recurso_7.pdf</w:t>
        </w:r>
      </w:hyperlink>
      <w:r>
        <w:rPr>
          <w:rFonts w:ascii="Calibri" w:eastAsia="Calibri" w:hAnsi="Calibri" w:cs="Calibri"/>
          <w:color w:val="000000"/>
          <w:sz w:val="20"/>
          <w:szCs w:val="20"/>
        </w:rPr>
        <w:t xml:space="preserve"> </w:t>
      </w:r>
    </w:p>
  </w:footnote>
  <w:footnote w:id="8">
    <w:p w14:paraId="000002E4" w14:textId="77777777" w:rsidR="004567EC" w:rsidRDefault="00893D27">
      <w:pPr>
        <w:widowControl w:val="0"/>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highlight w:val="white"/>
        </w:rPr>
        <w:t>Observatorio de Educación Superior de Medellín</w:t>
      </w:r>
      <w:r>
        <w:rPr>
          <w:rFonts w:ascii="Calibri" w:eastAsia="Calibri" w:hAnsi="Calibri" w:cs="Calibri"/>
          <w:color w:val="000000"/>
          <w:sz w:val="20"/>
          <w:szCs w:val="20"/>
        </w:rPr>
        <w:t xml:space="preserve">. (2017). </w:t>
      </w:r>
      <w:r>
        <w:rPr>
          <w:rFonts w:ascii="Calibri" w:eastAsia="Calibri" w:hAnsi="Calibri" w:cs="Calibri"/>
          <w:i/>
          <w:color w:val="000000"/>
          <w:sz w:val="20"/>
          <w:szCs w:val="20"/>
        </w:rPr>
        <w:t xml:space="preserve">Deserción en la Educación Superior. </w:t>
      </w:r>
      <w:r>
        <w:rPr>
          <w:rFonts w:ascii="Calibri" w:eastAsia="Calibri" w:hAnsi="Calibri" w:cs="Calibri"/>
          <w:color w:val="000000"/>
          <w:sz w:val="20"/>
          <w:szCs w:val="20"/>
        </w:rPr>
        <w:t xml:space="preserve">Boletín Julio. p. 10. Disponible en </w:t>
      </w:r>
      <w:hyperlink r:id="rId3">
        <w:r>
          <w:rPr>
            <w:rFonts w:ascii="Calibri" w:eastAsia="Calibri" w:hAnsi="Calibri" w:cs="Calibri"/>
            <w:color w:val="0000FF"/>
            <w:sz w:val="20"/>
            <w:szCs w:val="20"/>
            <w:u w:val="single"/>
          </w:rPr>
          <w:t>https://www.sapiencia.gov.co/wp-content/uploads/2017/07/B</w:t>
        </w:r>
        <w:r>
          <w:rPr>
            <w:rFonts w:ascii="Calibri" w:eastAsia="Calibri" w:hAnsi="Calibri" w:cs="Calibri"/>
            <w:color w:val="0000FF"/>
            <w:sz w:val="20"/>
            <w:szCs w:val="20"/>
            <w:u w:val="single"/>
          </w:rPr>
          <w:t>OLETIN_ODES_DESERCION_EN_LA_EDUCACION_SUPERIOR.pdf</w:t>
        </w:r>
      </w:hyperlink>
      <w:r>
        <w:rPr>
          <w:rFonts w:ascii="Calibri" w:eastAsia="Calibri" w:hAnsi="Calibri" w:cs="Calibri"/>
          <w:color w:val="000000"/>
          <w:sz w:val="20"/>
          <w:szCs w:val="20"/>
        </w:rPr>
        <w:t xml:space="preserve"> </w:t>
      </w:r>
    </w:p>
  </w:footnote>
  <w:footnote w:id="9">
    <w:p w14:paraId="000002E5" w14:textId="77777777" w:rsidR="004567EC" w:rsidRDefault="00893D27">
      <w:pPr>
        <w:widowControl w:val="0"/>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proofErr w:type="spellStart"/>
      <w:r>
        <w:rPr>
          <w:rFonts w:ascii="Calibri" w:eastAsia="Calibri" w:hAnsi="Calibri" w:cs="Calibri"/>
          <w:i/>
          <w:color w:val="000000"/>
          <w:sz w:val="20"/>
          <w:szCs w:val="20"/>
        </w:rPr>
        <w:t>Op</w:t>
      </w:r>
      <w:proofErr w:type="spellEnd"/>
      <w:r>
        <w:rPr>
          <w:rFonts w:ascii="Calibri" w:eastAsia="Calibri" w:hAnsi="Calibri" w:cs="Calibri"/>
          <w:i/>
          <w:color w:val="000000"/>
          <w:sz w:val="20"/>
          <w:szCs w:val="20"/>
        </w:rPr>
        <w:t xml:space="preserve">. cit. </w:t>
      </w:r>
      <w:r>
        <w:rPr>
          <w:rFonts w:ascii="Calibri" w:eastAsia="Calibri" w:hAnsi="Calibri" w:cs="Calibri"/>
          <w:color w:val="000000"/>
          <w:sz w:val="20"/>
          <w:szCs w:val="20"/>
        </w:rPr>
        <w:t>p. 10.</w:t>
      </w:r>
    </w:p>
  </w:footnote>
  <w:footnote w:id="10">
    <w:p w14:paraId="000002E6" w14:textId="77777777" w:rsidR="004567EC" w:rsidRDefault="00893D27">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vertAlign w:val="superscript"/>
        </w:rPr>
        <w:t xml:space="preserve"> </w:t>
      </w:r>
      <w:r>
        <w:rPr>
          <w:rFonts w:ascii="Calibri" w:eastAsia="Calibri" w:hAnsi="Calibri" w:cs="Calibri"/>
          <w:color w:val="000000"/>
          <w:sz w:val="20"/>
          <w:szCs w:val="20"/>
        </w:rPr>
        <w:t xml:space="preserve">Ferreyra, </w:t>
      </w:r>
      <w:proofErr w:type="spellStart"/>
      <w:r>
        <w:rPr>
          <w:rFonts w:ascii="Calibri" w:eastAsia="Calibri" w:hAnsi="Calibri" w:cs="Calibri"/>
          <w:color w:val="000000"/>
          <w:sz w:val="20"/>
          <w:szCs w:val="20"/>
        </w:rPr>
        <w:t>Maria</w:t>
      </w:r>
      <w:proofErr w:type="spellEnd"/>
      <w:r>
        <w:rPr>
          <w:rFonts w:ascii="Calibri" w:eastAsia="Calibri" w:hAnsi="Calibri" w:cs="Calibri"/>
          <w:color w:val="000000"/>
          <w:sz w:val="20"/>
          <w:szCs w:val="20"/>
        </w:rPr>
        <w:t xml:space="preserve"> Marta; </w:t>
      </w:r>
      <w:proofErr w:type="spellStart"/>
      <w:r>
        <w:rPr>
          <w:rFonts w:ascii="Calibri" w:eastAsia="Calibri" w:hAnsi="Calibri" w:cs="Calibri"/>
          <w:color w:val="000000"/>
          <w:sz w:val="20"/>
          <w:szCs w:val="20"/>
        </w:rPr>
        <w:t>Avitabile</w:t>
      </w:r>
      <w:proofErr w:type="spellEnd"/>
      <w:r>
        <w:rPr>
          <w:rFonts w:ascii="Calibri" w:eastAsia="Calibri" w:hAnsi="Calibri" w:cs="Calibri"/>
          <w:color w:val="000000"/>
          <w:sz w:val="20"/>
          <w:szCs w:val="20"/>
        </w:rPr>
        <w:t xml:space="preserve">, Ciro; Botero Álvarez, Javier; </w:t>
      </w:r>
      <w:proofErr w:type="spellStart"/>
      <w:r>
        <w:rPr>
          <w:rFonts w:ascii="Calibri" w:eastAsia="Calibri" w:hAnsi="Calibri" w:cs="Calibri"/>
          <w:color w:val="000000"/>
          <w:sz w:val="20"/>
          <w:szCs w:val="20"/>
        </w:rPr>
        <w:t>Haimovich</w:t>
      </w:r>
      <w:proofErr w:type="spellEnd"/>
      <w:r>
        <w:rPr>
          <w:rFonts w:ascii="Calibri" w:eastAsia="Calibri" w:hAnsi="Calibri" w:cs="Calibri"/>
          <w:color w:val="000000"/>
          <w:sz w:val="20"/>
          <w:szCs w:val="20"/>
        </w:rPr>
        <w:t xml:space="preserve"> Paz, Francisco; Urzúa, Sergio. (2017). At a </w:t>
      </w:r>
      <w:proofErr w:type="spellStart"/>
      <w:proofErr w:type="gramStart"/>
      <w:r>
        <w:rPr>
          <w:rFonts w:ascii="Calibri" w:eastAsia="Calibri" w:hAnsi="Calibri" w:cs="Calibri"/>
          <w:color w:val="000000"/>
          <w:sz w:val="20"/>
          <w:szCs w:val="20"/>
        </w:rPr>
        <w:t>Crossroads</w:t>
      </w:r>
      <w:proofErr w:type="spellEnd"/>
      <w:r>
        <w:rPr>
          <w:rFonts w:ascii="Calibri" w:eastAsia="Calibri" w:hAnsi="Calibri" w:cs="Calibri"/>
          <w:color w:val="000000"/>
          <w:sz w:val="20"/>
          <w:szCs w:val="20"/>
        </w:rPr>
        <w:t xml:space="preserve"> :</w:t>
      </w:r>
      <w:proofErr w:type="gram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Higher</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Education</w:t>
      </w:r>
      <w:proofErr w:type="spellEnd"/>
      <w:r>
        <w:rPr>
          <w:rFonts w:ascii="Calibri" w:eastAsia="Calibri" w:hAnsi="Calibri" w:cs="Calibri"/>
          <w:color w:val="000000"/>
          <w:sz w:val="20"/>
          <w:szCs w:val="20"/>
        </w:rPr>
        <w:t xml:space="preserve"> in </w:t>
      </w:r>
      <w:proofErr w:type="spellStart"/>
      <w:r>
        <w:rPr>
          <w:rFonts w:ascii="Calibri" w:eastAsia="Calibri" w:hAnsi="Calibri" w:cs="Calibri"/>
          <w:color w:val="000000"/>
          <w:sz w:val="20"/>
          <w:szCs w:val="20"/>
        </w:rPr>
        <w:t>Latin</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America</w:t>
      </w:r>
      <w:proofErr w:type="spellEnd"/>
      <w:r>
        <w:rPr>
          <w:rFonts w:ascii="Calibri" w:eastAsia="Calibri" w:hAnsi="Calibri" w:cs="Calibri"/>
          <w:color w:val="000000"/>
          <w:sz w:val="20"/>
          <w:szCs w:val="20"/>
        </w:rPr>
        <w:t xml:space="preserve"> and the </w:t>
      </w:r>
      <w:proofErr w:type="spellStart"/>
      <w:r>
        <w:rPr>
          <w:rFonts w:ascii="Calibri" w:eastAsia="Calibri" w:hAnsi="Calibri" w:cs="Calibri"/>
          <w:color w:val="000000"/>
          <w:sz w:val="20"/>
          <w:szCs w:val="20"/>
        </w:rPr>
        <w:t>Caribbean</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Directions</w:t>
      </w:r>
      <w:proofErr w:type="spellEnd"/>
      <w:r>
        <w:rPr>
          <w:rFonts w:ascii="Calibri" w:eastAsia="Calibri" w:hAnsi="Calibri" w:cs="Calibri"/>
          <w:color w:val="000000"/>
          <w:sz w:val="20"/>
          <w:szCs w:val="20"/>
        </w:rPr>
        <w:t xml:space="preserve"> in </w:t>
      </w:r>
      <w:proofErr w:type="spellStart"/>
      <w:r>
        <w:rPr>
          <w:rFonts w:ascii="Calibri" w:eastAsia="Calibri" w:hAnsi="Calibri" w:cs="Calibri"/>
          <w:color w:val="000000"/>
          <w:sz w:val="20"/>
          <w:szCs w:val="20"/>
        </w:rPr>
        <w:t>Development</w:t>
      </w:r>
      <w:proofErr w:type="spellEnd"/>
      <w:r>
        <w:rPr>
          <w:rFonts w:ascii="Calibri" w:eastAsia="Calibri" w:hAnsi="Calibri" w:cs="Calibri"/>
          <w:color w:val="000000"/>
          <w:sz w:val="20"/>
          <w:szCs w:val="20"/>
        </w:rPr>
        <w:t xml:space="preserve">—Human </w:t>
      </w:r>
      <w:proofErr w:type="spellStart"/>
      <w:proofErr w:type="gramStart"/>
      <w:r>
        <w:rPr>
          <w:rFonts w:ascii="Calibri" w:eastAsia="Calibri" w:hAnsi="Calibri" w:cs="Calibri"/>
          <w:color w:val="000000"/>
          <w:sz w:val="20"/>
          <w:szCs w:val="20"/>
        </w:rPr>
        <w:t>Development</w:t>
      </w:r>
      <w:proofErr w:type="spellEnd"/>
      <w:r>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World</w:t>
      </w:r>
      <w:proofErr w:type="spellEnd"/>
      <w:r>
        <w:rPr>
          <w:rFonts w:ascii="Calibri" w:eastAsia="Calibri" w:hAnsi="Calibri" w:cs="Calibri"/>
          <w:color w:val="000000"/>
          <w:sz w:val="20"/>
          <w:szCs w:val="20"/>
        </w:rPr>
        <w:t xml:space="preserve"> Bank, Washington, DC. © </w:t>
      </w:r>
      <w:proofErr w:type="spellStart"/>
      <w:r>
        <w:rPr>
          <w:rFonts w:ascii="Calibri" w:eastAsia="Calibri" w:hAnsi="Calibri" w:cs="Calibri"/>
          <w:color w:val="000000"/>
          <w:sz w:val="20"/>
          <w:szCs w:val="20"/>
        </w:rPr>
        <w:t>World</w:t>
      </w:r>
      <w:proofErr w:type="spellEnd"/>
      <w:r>
        <w:rPr>
          <w:rFonts w:ascii="Calibri" w:eastAsia="Calibri" w:hAnsi="Calibri" w:cs="Calibri"/>
          <w:color w:val="000000"/>
          <w:sz w:val="20"/>
          <w:szCs w:val="20"/>
        </w:rPr>
        <w:t xml:space="preserve"> Bank. </w:t>
      </w:r>
      <w:hyperlink r:id="rId4">
        <w:r>
          <w:rPr>
            <w:rFonts w:ascii="Calibri" w:eastAsia="Calibri" w:hAnsi="Calibri" w:cs="Calibri"/>
            <w:color w:val="000000"/>
            <w:sz w:val="20"/>
            <w:szCs w:val="20"/>
            <w:u w:val="single"/>
          </w:rPr>
          <w:t>https://openknowledge.worldbank.org/handle/10986/26489</w:t>
        </w:r>
      </w:hyperlink>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License</w:t>
      </w:r>
      <w:proofErr w:type="spellEnd"/>
      <w:r>
        <w:rPr>
          <w:rFonts w:ascii="Calibri" w:eastAsia="Calibri" w:hAnsi="Calibri" w:cs="Calibri"/>
          <w:color w:val="000000"/>
          <w:sz w:val="20"/>
          <w:szCs w:val="20"/>
        </w:rPr>
        <w:t>: CC BY 3.0 IGO.</w:t>
      </w:r>
    </w:p>
  </w:footnote>
  <w:footnote w:id="11">
    <w:p w14:paraId="000002E7" w14:textId="77777777" w:rsidR="004567EC" w:rsidRDefault="00893D27">
      <w:pPr>
        <w:jc w:val="both"/>
        <w:rPr>
          <w:rFonts w:ascii="Calibri" w:eastAsia="Calibri" w:hAnsi="Calibri" w:cs="Calibri"/>
          <w:sz w:val="20"/>
          <w:szCs w:val="20"/>
        </w:rPr>
      </w:pPr>
      <w:r>
        <w:rPr>
          <w:vertAlign w:val="superscript"/>
        </w:rPr>
        <w:footnoteRef/>
      </w:r>
      <w:r>
        <w:rPr>
          <w:rFonts w:ascii="Calibri" w:eastAsia="Calibri" w:hAnsi="Calibri" w:cs="Calibri"/>
          <w:sz w:val="20"/>
          <w:szCs w:val="20"/>
          <w:vertAlign w:val="superscript"/>
        </w:rPr>
        <w:t xml:space="preserve"> </w:t>
      </w:r>
      <w:r>
        <w:rPr>
          <w:rFonts w:ascii="Calibri" w:eastAsia="Calibri" w:hAnsi="Calibri" w:cs="Calibri"/>
          <w:sz w:val="20"/>
          <w:szCs w:val="20"/>
        </w:rPr>
        <w:t xml:space="preserve">OCDE. (2016). </w:t>
      </w:r>
      <w:proofErr w:type="spellStart"/>
      <w:r>
        <w:rPr>
          <w:rFonts w:ascii="Calibri" w:eastAsia="Calibri" w:hAnsi="Calibri" w:cs="Calibri"/>
          <w:sz w:val="20"/>
          <w:szCs w:val="20"/>
        </w:rPr>
        <w:t>Reviews</w:t>
      </w:r>
      <w:proofErr w:type="spellEnd"/>
      <w:r>
        <w:rPr>
          <w:rFonts w:ascii="Calibri" w:eastAsia="Calibri" w:hAnsi="Calibri" w:cs="Calibri"/>
          <w:sz w:val="20"/>
          <w:szCs w:val="20"/>
        </w:rPr>
        <w:t xml:space="preserve"> of </w:t>
      </w:r>
      <w:proofErr w:type="spellStart"/>
      <w:r>
        <w:rPr>
          <w:rFonts w:ascii="Calibri" w:eastAsia="Calibri" w:hAnsi="Calibri" w:cs="Calibri"/>
          <w:sz w:val="20"/>
          <w:szCs w:val="20"/>
        </w:rPr>
        <w:t>National</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Policies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for</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Education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Education</w:t>
      </w:r>
      <w:proofErr w:type="spellEnd"/>
      <w:r>
        <w:rPr>
          <w:rFonts w:ascii="Calibri" w:eastAsia="Calibri" w:hAnsi="Calibri" w:cs="Calibri"/>
          <w:sz w:val="20"/>
          <w:szCs w:val="20"/>
        </w:rPr>
        <w:t xml:space="preserve"> in Colombia, p. 260. Recuperado de: </w:t>
      </w:r>
      <w:hyperlink r:id="rId5">
        <w:r>
          <w:rPr>
            <w:rFonts w:ascii="Calibri" w:eastAsia="Calibri" w:hAnsi="Calibri" w:cs="Calibri"/>
            <w:color w:val="0000FF"/>
            <w:sz w:val="20"/>
            <w:szCs w:val="20"/>
            <w:u w:val="single"/>
          </w:rPr>
          <w:t>http://dx.</w:t>
        </w:r>
        <w:r>
          <w:rPr>
            <w:rFonts w:ascii="Calibri" w:eastAsia="Calibri" w:hAnsi="Calibri" w:cs="Calibri"/>
            <w:color w:val="0000FF"/>
            <w:sz w:val="20"/>
            <w:szCs w:val="20"/>
            <w:u w:val="single"/>
          </w:rPr>
          <w:t>doi.org/10.1787/9789264250604-en</w:t>
        </w:r>
      </w:hyperlink>
      <w:r>
        <w:rPr>
          <w:rFonts w:ascii="Calibri" w:eastAsia="Calibri" w:hAnsi="Calibri" w:cs="Calibri"/>
          <w:sz w:val="20"/>
          <w:szCs w:val="20"/>
        </w:rPr>
        <w:t xml:space="preserve">. </w:t>
      </w:r>
    </w:p>
  </w:footnote>
  <w:footnote w:id="12">
    <w:p w14:paraId="000002E8" w14:textId="77777777" w:rsidR="004567EC" w:rsidRDefault="00893D27">
      <w:pPr>
        <w:widowControl w:val="0"/>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proofErr w:type="spellStart"/>
      <w:r>
        <w:rPr>
          <w:rFonts w:ascii="Calibri" w:eastAsia="Calibri" w:hAnsi="Calibri" w:cs="Calibri"/>
          <w:i/>
          <w:color w:val="000000"/>
          <w:sz w:val="20"/>
          <w:szCs w:val="20"/>
        </w:rPr>
        <w:t>Op</w:t>
      </w:r>
      <w:proofErr w:type="spellEnd"/>
      <w:r>
        <w:rPr>
          <w:rFonts w:ascii="Calibri" w:eastAsia="Calibri" w:hAnsi="Calibri" w:cs="Calibri"/>
          <w:i/>
          <w:color w:val="000000"/>
          <w:sz w:val="20"/>
          <w:szCs w:val="20"/>
        </w:rPr>
        <w:t xml:space="preserve">. cit., </w:t>
      </w:r>
      <w:r>
        <w:rPr>
          <w:rFonts w:ascii="Calibri" w:eastAsia="Calibri" w:hAnsi="Calibri" w:cs="Calibri"/>
          <w:color w:val="000000"/>
          <w:sz w:val="20"/>
          <w:szCs w:val="20"/>
        </w:rPr>
        <w:t>p. 260.</w:t>
      </w:r>
    </w:p>
  </w:footnote>
  <w:footnote w:id="13">
    <w:p w14:paraId="000002E9" w14:textId="77777777" w:rsidR="004567EC" w:rsidRDefault="00893D27">
      <w:pPr>
        <w:widowControl w:val="0"/>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Brichetti</w:t>
      </w:r>
      <w:proofErr w:type="spellEnd"/>
      <w:r>
        <w:rPr>
          <w:rFonts w:ascii="Calibri" w:eastAsia="Calibri" w:hAnsi="Calibri" w:cs="Calibri"/>
          <w:color w:val="000000"/>
          <w:sz w:val="20"/>
          <w:szCs w:val="20"/>
        </w:rPr>
        <w:t xml:space="preserve">, J. P. (2020). Los subsidios al transporte público en Santiago de Chile: un análisis de incidencia distributiva. Recuperado de: </w:t>
      </w:r>
      <w:hyperlink r:id="rId6">
        <w:r>
          <w:rPr>
            <w:rFonts w:ascii="Calibri" w:eastAsia="Calibri" w:hAnsi="Calibri" w:cs="Calibri"/>
            <w:color w:val="0000FF"/>
            <w:sz w:val="20"/>
            <w:szCs w:val="20"/>
            <w:u w:val="single"/>
          </w:rPr>
          <w:t>https://repositorio.udesa.edu.ar/jspui/bitstream/10908/17720/1/%5bP%5d%5bW%5d%20M.%20Eco.%20Brichetti%2c%20Juan%20P</w:t>
        </w:r>
        <w:r>
          <w:rPr>
            <w:rFonts w:ascii="Calibri" w:eastAsia="Calibri" w:hAnsi="Calibri" w:cs="Calibri"/>
            <w:color w:val="0000FF"/>
            <w:sz w:val="20"/>
            <w:szCs w:val="20"/>
            <w:u w:val="single"/>
          </w:rPr>
          <w:t>ablo.pdf</w:t>
        </w:r>
      </w:hyperlink>
      <w:r>
        <w:rPr>
          <w:rFonts w:ascii="Calibri" w:eastAsia="Calibri" w:hAnsi="Calibri" w:cs="Calibri"/>
          <w:color w:val="000000"/>
          <w:sz w:val="20"/>
          <w:szCs w:val="20"/>
        </w:rPr>
        <w:t xml:space="preserve"> </w:t>
      </w:r>
    </w:p>
  </w:footnote>
  <w:footnote w:id="14">
    <w:p w14:paraId="000002EA" w14:textId="77777777" w:rsidR="004567EC" w:rsidRDefault="00893D27">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r>
        <w:rPr>
          <w:rFonts w:ascii="Calibri" w:eastAsia="Calibri" w:hAnsi="Calibri" w:cs="Calibri"/>
          <w:color w:val="222222"/>
          <w:sz w:val="20"/>
          <w:szCs w:val="20"/>
          <w:highlight w:val="white"/>
        </w:rPr>
        <w:t xml:space="preserve">Rivas, M. E., </w:t>
      </w:r>
      <w:proofErr w:type="spellStart"/>
      <w:r>
        <w:rPr>
          <w:rFonts w:ascii="Calibri" w:eastAsia="Calibri" w:hAnsi="Calibri" w:cs="Calibri"/>
          <w:color w:val="222222"/>
          <w:sz w:val="20"/>
          <w:szCs w:val="20"/>
          <w:highlight w:val="white"/>
        </w:rPr>
        <w:t>Serebrisky</w:t>
      </w:r>
      <w:proofErr w:type="spellEnd"/>
      <w:r>
        <w:rPr>
          <w:rFonts w:ascii="Calibri" w:eastAsia="Calibri" w:hAnsi="Calibri" w:cs="Calibri"/>
          <w:color w:val="222222"/>
          <w:sz w:val="20"/>
          <w:szCs w:val="20"/>
          <w:highlight w:val="white"/>
        </w:rPr>
        <w:t xml:space="preserve">, T., &amp; Suárez-Alemán, A. (2018). </w:t>
      </w:r>
      <w:proofErr w:type="gramStart"/>
      <w:r>
        <w:rPr>
          <w:rFonts w:ascii="Calibri" w:eastAsia="Calibri" w:hAnsi="Calibri" w:cs="Calibri"/>
          <w:color w:val="222222"/>
          <w:sz w:val="20"/>
          <w:szCs w:val="20"/>
          <w:highlight w:val="white"/>
        </w:rPr>
        <w:t>¿ Qué</w:t>
      </w:r>
      <w:proofErr w:type="gramEnd"/>
      <w:r>
        <w:rPr>
          <w:rFonts w:ascii="Calibri" w:eastAsia="Calibri" w:hAnsi="Calibri" w:cs="Calibri"/>
          <w:color w:val="222222"/>
          <w:sz w:val="20"/>
          <w:szCs w:val="20"/>
          <w:highlight w:val="white"/>
        </w:rPr>
        <w:t xml:space="preserve"> tan asequible es el transporte en América Latina y el Caribe?. </w:t>
      </w:r>
      <w:r>
        <w:rPr>
          <w:rFonts w:ascii="Calibri" w:eastAsia="Calibri" w:hAnsi="Calibri" w:cs="Calibri"/>
          <w:i/>
          <w:color w:val="222222"/>
          <w:sz w:val="20"/>
          <w:szCs w:val="20"/>
        </w:rPr>
        <w:t>Nota técnica del BID</w:t>
      </w:r>
      <w:r>
        <w:rPr>
          <w:rFonts w:ascii="Calibri" w:eastAsia="Calibri" w:hAnsi="Calibri" w:cs="Calibri"/>
          <w:color w:val="222222"/>
          <w:sz w:val="20"/>
          <w:szCs w:val="20"/>
          <w:highlight w:val="white"/>
        </w:rPr>
        <w:t xml:space="preserve">, (1588). p. 15. Recuperado de: </w:t>
      </w:r>
      <w:hyperlink r:id="rId7">
        <w:r>
          <w:rPr>
            <w:rFonts w:ascii="Calibri" w:eastAsia="Calibri" w:hAnsi="Calibri" w:cs="Calibri"/>
            <w:color w:val="0000FF"/>
            <w:sz w:val="20"/>
            <w:szCs w:val="20"/>
            <w:highlight w:val="white"/>
            <w:u w:val="single"/>
          </w:rPr>
          <w:t>https://publications.iadb.org/publications/spanish/document/Qué_tan_asequible_es_el_transporte_en_América_Latina_y_el_Caribe_es_es.pdf</w:t>
        </w:r>
      </w:hyperlink>
      <w:r>
        <w:rPr>
          <w:rFonts w:ascii="Calibri" w:eastAsia="Calibri" w:hAnsi="Calibri" w:cs="Calibri"/>
          <w:color w:val="222222"/>
          <w:sz w:val="20"/>
          <w:szCs w:val="20"/>
          <w:highlight w:val="white"/>
        </w:rPr>
        <w:t xml:space="preserve"> </w:t>
      </w:r>
    </w:p>
  </w:footnote>
  <w:footnote w:id="15">
    <w:p w14:paraId="000002EB" w14:textId="77777777" w:rsidR="004567EC" w:rsidRDefault="00893D27">
      <w:pPr>
        <w:pBdr>
          <w:top w:val="nil"/>
          <w:left w:val="nil"/>
          <w:bottom w:val="nil"/>
          <w:right w:val="nil"/>
          <w:between w:val="nil"/>
        </w:pBdr>
        <w:jc w:val="both"/>
        <w:rPr>
          <w:rFonts w:ascii="Calibri" w:eastAsia="Calibri" w:hAnsi="Calibri" w:cs="Calibri"/>
          <w:color w:val="222222"/>
          <w:sz w:val="20"/>
          <w:szCs w:val="20"/>
          <w:highlight w:val="white"/>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222222"/>
          <w:sz w:val="20"/>
          <w:szCs w:val="20"/>
          <w:highlight w:val="white"/>
        </w:rPr>
        <w:t>Benítez Forte, G. (</w:t>
      </w:r>
      <w:r>
        <w:rPr>
          <w:rFonts w:ascii="Calibri" w:eastAsia="Calibri" w:hAnsi="Calibri" w:cs="Calibri"/>
          <w:color w:val="222222"/>
          <w:sz w:val="20"/>
          <w:szCs w:val="20"/>
          <w:highlight w:val="white"/>
        </w:rPr>
        <w:t xml:space="preserve">2020.). Progresividad y focalización en los subsidios del transporte público de Montevideo. Tesis de maestría. Universidad de la República (Uruguay). Facultad de Ciencias Sociales. Recuperado de: </w:t>
      </w:r>
      <w:hyperlink r:id="rId8">
        <w:r>
          <w:rPr>
            <w:rFonts w:ascii="Calibri" w:eastAsia="Calibri" w:hAnsi="Calibri" w:cs="Calibri"/>
            <w:color w:val="222222"/>
            <w:sz w:val="20"/>
            <w:szCs w:val="20"/>
            <w:highlight w:val="white"/>
          </w:rPr>
          <w:t>https://hdl.handle.net/20.500.12008/26311</w:t>
        </w:r>
      </w:hyperlink>
      <w:r>
        <w:rPr>
          <w:rFonts w:ascii="Calibri" w:eastAsia="Calibri" w:hAnsi="Calibri" w:cs="Calibri"/>
          <w:color w:val="222222"/>
          <w:sz w:val="20"/>
          <w:szCs w:val="20"/>
          <w:highlight w:val="white"/>
        </w:rPr>
        <w:t>.</w:t>
      </w:r>
    </w:p>
  </w:footnote>
  <w:footnote w:id="16">
    <w:p w14:paraId="000002EC" w14:textId="77777777" w:rsidR="004567EC" w:rsidRDefault="00893D27">
      <w:pPr>
        <w:widowControl w:val="0"/>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222222"/>
          <w:sz w:val="20"/>
          <w:szCs w:val="20"/>
          <w:highlight w:val="white"/>
        </w:rPr>
        <w:t xml:space="preserve"> Ciudad </w:t>
      </w:r>
      <w:proofErr w:type="spellStart"/>
      <w:r>
        <w:rPr>
          <w:rFonts w:ascii="Calibri" w:eastAsia="Calibri" w:hAnsi="Calibri" w:cs="Calibri"/>
          <w:color w:val="222222"/>
          <w:sz w:val="20"/>
          <w:szCs w:val="20"/>
          <w:highlight w:val="white"/>
        </w:rPr>
        <w:t>Guzman</w:t>
      </w:r>
      <w:proofErr w:type="spellEnd"/>
      <w:r>
        <w:rPr>
          <w:rFonts w:ascii="Calibri" w:eastAsia="Calibri" w:hAnsi="Calibri" w:cs="Calibri"/>
          <w:color w:val="222222"/>
          <w:sz w:val="20"/>
          <w:szCs w:val="20"/>
          <w:highlight w:val="white"/>
        </w:rPr>
        <w:t>. (2017). Apoyo al transporte para estudiantes.</w:t>
      </w:r>
      <w:r>
        <w:rPr>
          <w:rFonts w:ascii="Calibri" w:eastAsia="Calibri" w:hAnsi="Calibri" w:cs="Calibri"/>
          <w:color w:val="000000"/>
          <w:sz w:val="20"/>
          <w:szCs w:val="20"/>
        </w:rPr>
        <w:t xml:space="preserve"> </w:t>
      </w:r>
      <w:r>
        <w:rPr>
          <w:rFonts w:ascii="Calibri" w:eastAsia="Calibri" w:hAnsi="Calibri" w:cs="Calibri"/>
          <w:color w:val="222222"/>
          <w:sz w:val="20"/>
          <w:szCs w:val="20"/>
          <w:highlight w:val="white"/>
        </w:rPr>
        <w:t>Recuperado de:</w:t>
      </w:r>
      <w:r>
        <w:rPr>
          <w:rFonts w:ascii="Calibri" w:eastAsia="Calibri" w:hAnsi="Calibri" w:cs="Calibri"/>
          <w:color w:val="000000"/>
          <w:sz w:val="20"/>
          <w:szCs w:val="20"/>
        </w:rPr>
        <w:t xml:space="preserve"> </w:t>
      </w:r>
      <w:hyperlink r:id="rId9">
        <w:r>
          <w:rPr>
            <w:rFonts w:ascii="Calibri" w:eastAsia="Calibri" w:hAnsi="Calibri" w:cs="Calibri"/>
            <w:color w:val="0000FF"/>
            <w:sz w:val="20"/>
            <w:szCs w:val="20"/>
            <w:u w:val="single"/>
          </w:rPr>
          <w:t>http://www.ciudadguzman.gob.mx/Documentos/Paginas/operacion_1310_ROP-Apoyo_al_Transporte_para_Estudiantes_11-03-17.pdf</w:t>
        </w:r>
      </w:hyperlink>
      <w:r>
        <w:rPr>
          <w:rFonts w:ascii="Calibri" w:eastAsia="Calibri" w:hAnsi="Calibri" w:cs="Calibri"/>
          <w:color w:val="000000"/>
          <w:sz w:val="20"/>
          <w:szCs w:val="20"/>
        </w:rPr>
        <w:t xml:space="preserve"> </w:t>
      </w:r>
    </w:p>
  </w:footnote>
  <w:footnote w:id="17">
    <w:p w14:paraId="000002ED" w14:textId="77777777" w:rsidR="004567EC" w:rsidRDefault="00893D27">
      <w:pPr>
        <w:widowControl w:val="0"/>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Alcaldía de Barranquilla. (2019). Estímulo de transporte inicia inscripc</w:t>
      </w:r>
      <w:r>
        <w:rPr>
          <w:rFonts w:ascii="Calibri" w:eastAsia="Calibri" w:hAnsi="Calibri" w:cs="Calibri"/>
          <w:color w:val="000000"/>
          <w:sz w:val="20"/>
          <w:szCs w:val="20"/>
        </w:rPr>
        <w:t xml:space="preserve">iones para nuevos beneficiarios. Recuperado de: </w:t>
      </w:r>
      <w:hyperlink r:id="rId10">
        <w:r>
          <w:rPr>
            <w:rFonts w:ascii="Calibri" w:eastAsia="Calibri" w:hAnsi="Calibri" w:cs="Calibri"/>
            <w:color w:val="0000FF"/>
            <w:sz w:val="20"/>
            <w:szCs w:val="20"/>
            <w:u w:val="single"/>
          </w:rPr>
          <w:t>https://www.barranquilla.gov.co/gestionsocial/estimulo-de-transporte-inic</w:t>
        </w:r>
        <w:r>
          <w:rPr>
            <w:rFonts w:ascii="Calibri" w:eastAsia="Calibri" w:hAnsi="Calibri" w:cs="Calibri"/>
            <w:color w:val="0000FF"/>
            <w:sz w:val="20"/>
            <w:szCs w:val="20"/>
            <w:u w:val="single"/>
          </w:rPr>
          <w:t>ia-inscripciones-para-nuevos-beneficiarios</w:t>
        </w:r>
      </w:hyperlink>
      <w:r>
        <w:rPr>
          <w:rFonts w:ascii="Calibri" w:eastAsia="Calibri" w:hAnsi="Calibri" w:cs="Calibri"/>
          <w:color w:val="000000"/>
          <w:sz w:val="20"/>
          <w:szCs w:val="20"/>
        </w:rPr>
        <w:t xml:space="preserve"> </w:t>
      </w:r>
    </w:p>
  </w:footnote>
  <w:footnote w:id="18">
    <w:p w14:paraId="000002EE" w14:textId="77777777" w:rsidR="004567EC" w:rsidRDefault="00893D27">
      <w:pPr>
        <w:widowControl w:val="0"/>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Alcaldía de Medellín. (2017). Decreto 1038 de 2007. Recuperado de: </w:t>
      </w:r>
      <w:hyperlink r:id="rId11">
        <w:r>
          <w:rPr>
            <w:rFonts w:ascii="Calibri" w:eastAsia="Calibri" w:hAnsi="Calibri" w:cs="Calibri"/>
            <w:color w:val="0000FF"/>
            <w:sz w:val="20"/>
            <w:szCs w:val="20"/>
            <w:u w:val="single"/>
          </w:rPr>
          <w:t>https:</w:t>
        </w:r>
        <w:r>
          <w:rPr>
            <w:rFonts w:ascii="Calibri" w:eastAsia="Calibri" w:hAnsi="Calibri" w:cs="Calibri"/>
            <w:color w:val="0000FF"/>
            <w:sz w:val="20"/>
            <w:szCs w:val="20"/>
            <w:u w:val="single"/>
          </w:rPr>
          <w:t>//www.medellin.gov.co/movilidad/jdownloads/Normas/Normatividad/Decretos%20Municipales/2007/2007-decreto1038.pdf</w:t>
        </w:r>
      </w:hyperlink>
      <w:r>
        <w:rPr>
          <w:rFonts w:ascii="Calibri" w:eastAsia="Calibri" w:hAnsi="Calibri" w:cs="Calibri"/>
          <w:color w:val="000000"/>
          <w:sz w:val="20"/>
          <w:szCs w:val="20"/>
        </w:rPr>
        <w:t xml:space="preserve"> </w:t>
      </w:r>
    </w:p>
  </w:footnote>
  <w:footnote w:id="19">
    <w:p w14:paraId="000002EF" w14:textId="77777777" w:rsidR="004567EC" w:rsidRDefault="00893D27">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highlight w:val="white"/>
        </w:rPr>
        <w:t>Organización de las Naciones Unidas para la Educación, la Ciencia y la Cultura -UNESCO. (2001). Directrices IFLA/UNESCO para el desarrollo de</w:t>
      </w:r>
      <w:r>
        <w:rPr>
          <w:rFonts w:ascii="Calibri" w:eastAsia="Calibri" w:hAnsi="Calibri" w:cs="Calibri"/>
          <w:color w:val="000000"/>
          <w:sz w:val="20"/>
          <w:szCs w:val="20"/>
          <w:highlight w:val="white"/>
        </w:rPr>
        <w:t xml:space="preserve">l servicio de bibliotecas públicas. Federación Internacional de Asociaciones de Bibliotecarios y Bibliotecas. Recuperado de: </w:t>
      </w:r>
      <w:hyperlink r:id="rId12">
        <w:r>
          <w:rPr>
            <w:rFonts w:ascii="Calibri" w:eastAsia="Calibri" w:hAnsi="Calibri" w:cs="Calibri"/>
            <w:color w:val="1155CC"/>
            <w:sz w:val="20"/>
            <w:szCs w:val="20"/>
            <w:highlight w:val="white"/>
            <w:u w:val="single"/>
          </w:rPr>
          <w:t>https://www.ifla</w:t>
        </w:r>
        <w:r>
          <w:rPr>
            <w:rFonts w:ascii="Calibri" w:eastAsia="Calibri" w:hAnsi="Calibri" w:cs="Calibri"/>
            <w:color w:val="1155CC"/>
            <w:sz w:val="20"/>
            <w:szCs w:val="20"/>
            <w:highlight w:val="white"/>
            <w:u w:val="single"/>
          </w:rPr>
          <w:t>.org/files/assets/hq/publications/archive/the-public-library-service/pg01-s.pdf</w:t>
        </w:r>
      </w:hyperlink>
      <w:r>
        <w:rPr>
          <w:rFonts w:ascii="Calibri" w:eastAsia="Calibri" w:hAnsi="Calibri" w:cs="Calibri"/>
          <w:color w:val="000000"/>
          <w:sz w:val="20"/>
          <w:szCs w:val="20"/>
          <w:highlight w:val="white"/>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F0" w14:textId="77777777" w:rsidR="004567EC" w:rsidRDefault="00893D27">
    <w:r>
      <w:rPr>
        <w:noProof/>
      </w:rPr>
      <w:drawing>
        <wp:anchor distT="0" distB="0" distL="0" distR="0" simplePos="0" relativeHeight="251658240" behindDoc="0" locked="0" layoutInCell="1" hidden="0" allowOverlap="1">
          <wp:simplePos x="0" y="0"/>
          <wp:positionH relativeFrom="column">
            <wp:posOffset>1638948</wp:posOffset>
          </wp:positionH>
          <wp:positionV relativeFrom="paragraph">
            <wp:posOffset>-43814</wp:posOffset>
          </wp:positionV>
          <wp:extent cx="2154555" cy="580390"/>
          <wp:effectExtent l="0" t="0" r="0" b="0"/>
          <wp:wrapSquare wrapText="bothSides" distT="0" distB="0" distL="0" distR="0"/>
          <wp:docPr id="7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2154555" cy="580390"/>
                  </a:xfrm>
                  <a:prstGeom prst="rect">
                    <a:avLst/>
                  </a:prstGeom>
                  <a:ln/>
                </pic:spPr>
              </pic:pic>
            </a:graphicData>
          </a:graphic>
        </wp:anchor>
      </w:drawing>
    </w:r>
  </w:p>
  <w:p w14:paraId="000002F1" w14:textId="77777777" w:rsidR="004567EC" w:rsidRDefault="004567EC">
    <w:pPr>
      <w:pBdr>
        <w:top w:val="nil"/>
        <w:left w:val="nil"/>
        <w:bottom w:val="nil"/>
        <w:right w:val="nil"/>
        <w:between w:val="nil"/>
      </w:pBdr>
      <w:tabs>
        <w:tab w:val="left" w:pos="1167"/>
        <w:tab w:val="right" w:pos="8838"/>
      </w:tabs>
      <w:jc w:val="center"/>
      <w:rPr>
        <w:rFonts w:ascii="Calibri" w:eastAsia="Calibri" w:hAnsi="Calibri" w:cs="Calibri"/>
        <w:b/>
        <w:color w:val="000000"/>
      </w:rPr>
    </w:pPr>
  </w:p>
  <w:p w14:paraId="000002F2" w14:textId="77777777" w:rsidR="004567EC" w:rsidRDefault="004567EC">
    <w:pPr>
      <w:pBdr>
        <w:top w:val="nil"/>
        <w:left w:val="nil"/>
        <w:bottom w:val="nil"/>
        <w:right w:val="nil"/>
        <w:between w:val="nil"/>
      </w:pBdr>
      <w:tabs>
        <w:tab w:val="center" w:pos="4419"/>
        <w:tab w:val="right" w:pos="8838"/>
      </w:tabs>
      <w:rPr>
        <w:color w:val="000000"/>
      </w:rPr>
    </w:pPr>
  </w:p>
  <w:p w14:paraId="000002F3" w14:textId="77777777" w:rsidR="004567EC" w:rsidRDefault="004567EC">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55172"/>
    <w:multiLevelType w:val="multilevel"/>
    <w:tmpl w:val="B34CF70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5D862400"/>
    <w:multiLevelType w:val="multilevel"/>
    <w:tmpl w:val="BE9AC09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EC"/>
    <w:rsid w:val="004567EC"/>
    <w:rsid w:val="00893D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5324D"/>
  <w15:docId w15:val="{E1CB2230-563B-407D-8B7B-1E54A143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C9C"/>
    <w:rPr>
      <w:lang w:eastAsia="es-MX"/>
    </w:rPr>
  </w:style>
  <w:style w:type="paragraph" w:styleId="Ttulo1">
    <w:name w:val="heading 1"/>
    <w:basedOn w:val="Normal"/>
    <w:link w:val="Ttulo1Car"/>
    <w:uiPriority w:val="9"/>
    <w:qFormat/>
    <w:rsid w:val="002059D5"/>
    <w:pPr>
      <w:widowControl w:val="0"/>
      <w:autoSpaceDE w:val="0"/>
      <w:autoSpaceDN w:val="0"/>
      <w:spacing w:before="240" w:after="240" w:line="360" w:lineRule="auto"/>
      <w:ind w:left="102"/>
      <w:outlineLvl w:val="0"/>
    </w:pPr>
    <w:rPr>
      <w:rFonts w:ascii="Calibri" w:eastAsia="Arial" w:hAnsi="Calibri" w:cs="Arial"/>
      <w:b/>
      <w:bCs/>
      <w:sz w:val="22"/>
      <w:lang w:val="es-ES" w:eastAsia="es-ES" w:bidi="es-ES"/>
    </w:rPr>
  </w:style>
  <w:style w:type="paragraph" w:styleId="Ttulo2">
    <w:name w:val="heading 2"/>
    <w:basedOn w:val="Normal"/>
    <w:next w:val="Normal"/>
    <w:uiPriority w:val="9"/>
    <w:unhideWhenUsed/>
    <w:qFormat/>
    <w:rsid w:val="002059D5"/>
    <w:pPr>
      <w:keepNext/>
      <w:keepLines/>
      <w:widowControl w:val="0"/>
      <w:autoSpaceDE w:val="0"/>
      <w:autoSpaceDN w:val="0"/>
      <w:spacing w:before="360" w:after="120"/>
      <w:jc w:val="both"/>
      <w:outlineLvl w:val="1"/>
    </w:pPr>
    <w:rPr>
      <w:rFonts w:ascii="Calibri" w:eastAsia="Arial" w:hAnsi="Calibri" w:cs="Arial"/>
      <w:b/>
      <w:sz w:val="22"/>
      <w:szCs w:val="36"/>
      <w:lang w:val="es-ES" w:eastAsia="es-ES" w:bidi="es-ES"/>
    </w:rPr>
  </w:style>
  <w:style w:type="paragraph" w:styleId="Ttulo3">
    <w:name w:val="heading 3"/>
    <w:basedOn w:val="Normal"/>
    <w:next w:val="Normal"/>
    <w:uiPriority w:val="9"/>
    <w:semiHidden/>
    <w:unhideWhenUsed/>
    <w:qFormat/>
    <w:rsid w:val="002059D5"/>
    <w:pPr>
      <w:keepNext/>
      <w:keepLines/>
      <w:widowControl w:val="0"/>
      <w:autoSpaceDE w:val="0"/>
      <w:autoSpaceDN w:val="0"/>
      <w:spacing w:before="280" w:after="80"/>
      <w:jc w:val="both"/>
      <w:outlineLvl w:val="2"/>
    </w:pPr>
    <w:rPr>
      <w:rFonts w:ascii="Calibri" w:eastAsia="Arial" w:hAnsi="Calibri" w:cs="Arial"/>
      <w:b/>
      <w:sz w:val="22"/>
      <w:szCs w:val="28"/>
      <w:lang w:val="es-ES" w:eastAsia="es-ES" w:bidi="es-ES"/>
    </w:rPr>
  </w:style>
  <w:style w:type="paragraph" w:styleId="Ttulo4">
    <w:name w:val="heading 4"/>
    <w:basedOn w:val="Normal"/>
    <w:next w:val="Normal"/>
    <w:uiPriority w:val="9"/>
    <w:semiHidden/>
    <w:unhideWhenUsed/>
    <w:qFormat/>
    <w:pPr>
      <w:keepNext/>
      <w:keepLines/>
      <w:widowControl w:val="0"/>
      <w:autoSpaceDE w:val="0"/>
      <w:autoSpaceDN w:val="0"/>
      <w:spacing w:before="240" w:after="40"/>
      <w:outlineLvl w:val="3"/>
    </w:pPr>
    <w:rPr>
      <w:rFonts w:ascii="Arial" w:eastAsia="Arial" w:hAnsi="Arial" w:cs="Arial"/>
      <w:b/>
      <w:lang w:val="es-ES" w:eastAsia="es-ES" w:bidi="es-ES"/>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widowControl w:val="0"/>
      <w:autoSpaceDE w:val="0"/>
      <w:autoSpaceDN w:val="0"/>
      <w:spacing w:before="480" w:after="120"/>
    </w:pPr>
    <w:rPr>
      <w:rFonts w:ascii="Arial" w:eastAsia="Arial" w:hAnsi="Arial" w:cs="Arial"/>
      <w:b/>
      <w:sz w:val="72"/>
      <w:szCs w:val="72"/>
      <w:lang w:val="es-ES" w:eastAsia="es-ES" w:bidi="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1"/>
    <w:rsid w:val="002059D5"/>
    <w:rPr>
      <w:rFonts w:ascii="Calibri" w:hAnsi="Calibri"/>
      <w:b/>
      <w:bCs/>
      <w:szCs w:val="24"/>
      <w:lang w:eastAsia="es-ES" w:bidi="es-ES"/>
    </w:rPr>
  </w:style>
  <w:style w:type="paragraph" w:styleId="Textoindependiente">
    <w:name w:val="Body Text"/>
    <w:basedOn w:val="Normal"/>
    <w:link w:val="TextoindependienteCar"/>
    <w:uiPriority w:val="1"/>
    <w:qFormat/>
    <w:rsid w:val="00700EB7"/>
    <w:pPr>
      <w:widowControl w:val="0"/>
      <w:autoSpaceDE w:val="0"/>
      <w:autoSpaceDN w:val="0"/>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700EB7"/>
    <w:rPr>
      <w:rFonts w:ascii="Arial" w:eastAsia="Arial" w:hAnsi="Arial" w:cs="Arial"/>
      <w:sz w:val="24"/>
      <w:szCs w:val="24"/>
      <w:lang w:val="es-ES" w:eastAsia="es-ES" w:bidi="es-ES"/>
    </w:rPr>
  </w:style>
  <w:style w:type="paragraph" w:styleId="Prrafodelista">
    <w:name w:val="List Paragraph"/>
    <w:basedOn w:val="Normal"/>
    <w:uiPriority w:val="34"/>
    <w:qFormat/>
    <w:rsid w:val="00700EB7"/>
    <w:pPr>
      <w:widowControl w:val="0"/>
      <w:autoSpaceDE w:val="0"/>
      <w:autoSpaceDN w:val="0"/>
    </w:pPr>
    <w:rPr>
      <w:rFonts w:ascii="Arial" w:eastAsia="Arial" w:hAnsi="Arial" w:cs="Arial"/>
      <w:sz w:val="22"/>
      <w:szCs w:val="22"/>
      <w:lang w:val="es-ES" w:eastAsia="es-ES" w:bidi="es-ES"/>
    </w:rPr>
  </w:style>
  <w:style w:type="paragraph" w:styleId="NormalWeb">
    <w:name w:val="Normal (Web)"/>
    <w:basedOn w:val="Normal"/>
    <w:uiPriority w:val="99"/>
    <w:unhideWhenUsed/>
    <w:rsid w:val="00700EB7"/>
    <w:pPr>
      <w:spacing w:before="100" w:beforeAutospacing="1" w:after="100" w:afterAutospacing="1"/>
    </w:pPr>
    <w:rPr>
      <w:lang w:eastAsia="es-CO"/>
    </w:rPr>
  </w:style>
  <w:style w:type="character" w:styleId="Refdenotaalpie">
    <w:name w:val="footnote reference"/>
    <w:basedOn w:val="Fuentedeprrafopredeter"/>
    <w:uiPriority w:val="99"/>
    <w:semiHidden/>
    <w:unhideWhenUsed/>
    <w:rsid w:val="00700EB7"/>
  </w:style>
  <w:style w:type="paragraph" w:styleId="Encabezado">
    <w:name w:val="header"/>
    <w:basedOn w:val="Normal"/>
    <w:link w:val="EncabezadoCar"/>
    <w:uiPriority w:val="99"/>
    <w:unhideWhenUsed/>
    <w:rsid w:val="00700EB7"/>
    <w:pPr>
      <w:widowControl w:val="0"/>
      <w:tabs>
        <w:tab w:val="center" w:pos="4419"/>
        <w:tab w:val="right" w:pos="8838"/>
      </w:tabs>
      <w:autoSpaceDE w:val="0"/>
      <w:autoSpaceDN w:val="0"/>
    </w:pPr>
    <w:rPr>
      <w:rFonts w:ascii="Arial" w:eastAsia="Arial" w:hAnsi="Arial" w:cs="Arial"/>
      <w:sz w:val="22"/>
      <w:szCs w:val="22"/>
      <w:lang w:val="es-ES" w:eastAsia="es-ES" w:bidi="es-ES"/>
    </w:rPr>
  </w:style>
  <w:style w:type="character" w:customStyle="1" w:styleId="EncabezadoCar">
    <w:name w:val="Encabezado Car"/>
    <w:basedOn w:val="Fuentedeprrafopredeter"/>
    <w:link w:val="Encabezado"/>
    <w:uiPriority w:val="99"/>
    <w:rsid w:val="00700EB7"/>
    <w:rPr>
      <w:rFonts w:ascii="Arial" w:eastAsia="Arial" w:hAnsi="Arial" w:cs="Arial"/>
      <w:lang w:val="es-ES" w:eastAsia="es-ES" w:bidi="es-ES"/>
    </w:rPr>
  </w:style>
  <w:style w:type="paragraph" w:styleId="Piedepgina">
    <w:name w:val="footer"/>
    <w:basedOn w:val="Normal"/>
    <w:link w:val="PiedepginaCar"/>
    <w:unhideWhenUsed/>
    <w:rsid w:val="00700EB7"/>
    <w:pPr>
      <w:widowControl w:val="0"/>
      <w:tabs>
        <w:tab w:val="center" w:pos="4419"/>
        <w:tab w:val="right" w:pos="8838"/>
      </w:tabs>
      <w:autoSpaceDE w:val="0"/>
      <w:autoSpaceDN w:val="0"/>
    </w:pPr>
    <w:rPr>
      <w:rFonts w:ascii="Arial" w:eastAsia="Arial" w:hAnsi="Arial" w:cs="Arial"/>
      <w:sz w:val="22"/>
      <w:szCs w:val="22"/>
      <w:lang w:val="es-ES" w:eastAsia="es-ES" w:bidi="es-ES"/>
    </w:rPr>
  </w:style>
  <w:style w:type="character" w:customStyle="1" w:styleId="PiedepginaCar">
    <w:name w:val="Pie de página Car"/>
    <w:basedOn w:val="Fuentedeprrafopredeter"/>
    <w:link w:val="Piedepgina"/>
    <w:rsid w:val="00700EB7"/>
    <w:rPr>
      <w:rFonts w:ascii="Arial" w:eastAsia="Arial" w:hAnsi="Arial" w:cs="Arial"/>
      <w:lang w:val="es-ES" w:eastAsia="es-ES" w:bidi="es-ES"/>
    </w:rPr>
  </w:style>
  <w:style w:type="paragraph" w:customStyle="1" w:styleId="Cuerpo">
    <w:name w:val="Cuerpo"/>
    <w:rsid w:val="00700EB7"/>
    <w:pPr>
      <w:pBdr>
        <w:top w:val="nil"/>
        <w:left w:val="nil"/>
        <w:bottom w:val="nil"/>
        <w:right w:val="nil"/>
        <w:between w:val="nil"/>
        <w:bar w:val="nil"/>
      </w:pBdr>
    </w:pPr>
    <w:rPr>
      <w:rFonts w:ascii="Calibri" w:eastAsia="Calibri" w:hAnsi="Calibri" w:cs="Calibri"/>
      <w:color w:val="000000"/>
      <w:u w:color="000000"/>
      <w:bdr w:val="nil"/>
      <w:lang w:val="es-ES_tradnl" w:eastAsia="es-ES_tradnl"/>
    </w:rPr>
  </w:style>
  <w:style w:type="paragraph" w:styleId="Textonotapie">
    <w:name w:val="footnote text"/>
    <w:basedOn w:val="Normal"/>
    <w:link w:val="TextonotapieCar"/>
    <w:uiPriority w:val="99"/>
    <w:semiHidden/>
    <w:unhideWhenUsed/>
    <w:rsid w:val="00700EB7"/>
    <w:pPr>
      <w:widowControl w:val="0"/>
      <w:autoSpaceDE w:val="0"/>
      <w:autoSpaceDN w:val="0"/>
    </w:pPr>
    <w:rPr>
      <w:rFonts w:ascii="Arial" w:eastAsia="Arial" w:hAnsi="Arial" w:cs="Arial"/>
      <w:sz w:val="20"/>
      <w:szCs w:val="20"/>
      <w:lang w:val="es-ES" w:eastAsia="es-ES" w:bidi="es-ES"/>
    </w:rPr>
  </w:style>
  <w:style w:type="character" w:customStyle="1" w:styleId="TextonotapieCar">
    <w:name w:val="Texto nota pie Car"/>
    <w:basedOn w:val="Fuentedeprrafopredeter"/>
    <w:link w:val="Textonotapie"/>
    <w:uiPriority w:val="99"/>
    <w:semiHidden/>
    <w:rsid w:val="00700EB7"/>
    <w:rPr>
      <w:rFonts w:ascii="Arial" w:eastAsia="Arial" w:hAnsi="Arial" w:cs="Arial"/>
      <w:sz w:val="20"/>
      <w:szCs w:val="20"/>
      <w:lang w:val="es-ES" w:eastAsia="es-ES" w:bidi="es-ES"/>
    </w:rPr>
  </w:style>
  <w:style w:type="character" w:styleId="Hipervnculo">
    <w:name w:val="Hyperlink"/>
    <w:basedOn w:val="Fuentedeprrafopredeter"/>
    <w:uiPriority w:val="99"/>
    <w:unhideWhenUsed/>
    <w:rsid w:val="00700EB7"/>
    <w:rPr>
      <w:color w:val="0000FF"/>
      <w:u w:val="single"/>
    </w:rPr>
  </w:style>
  <w:style w:type="table" w:styleId="Tablaconcuadrcula">
    <w:name w:val="Table Grid"/>
    <w:basedOn w:val="Tablanormal"/>
    <w:uiPriority w:val="39"/>
    <w:rsid w:val="00A67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9820F9"/>
    <w:rPr>
      <w:color w:val="954F72" w:themeColor="followedHyperlink"/>
      <w:u w:val="single"/>
    </w:rPr>
  </w:style>
  <w:style w:type="paragraph" w:styleId="Revisin">
    <w:name w:val="Revision"/>
    <w:hidden/>
    <w:uiPriority w:val="99"/>
    <w:semiHidden/>
    <w:rsid w:val="00FD139D"/>
    <w:rPr>
      <w:lang w:eastAsia="es-ES" w:bidi="es-ES"/>
    </w:rPr>
  </w:style>
  <w:style w:type="character" w:styleId="Refdecomentario">
    <w:name w:val="annotation reference"/>
    <w:basedOn w:val="Fuentedeprrafopredeter"/>
    <w:uiPriority w:val="99"/>
    <w:semiHidden/>
    <w:unhideWhenUsed/>
    <w:rsid w:val="000A7672"/>
    <w:rPr>
      <w:sz w:val="16"/>
      <w:szCs w:val="16"/>
    </w:rPr>
  </w:style>
  <w:style w:type="paragraph" w:styleId="Textocomentario">
    <w:name w:val="annotation text"/>
    <w:basedOn w:val="Normal"/>
    <w:link w:val="TextocomentarioCar"/>
    <w:uiPriority w:val="99"/>
    <w:semiHidden/>
    <w:unhideWhenUsed/>
    <w:rsid w:val="000A7672"/>
    <w:rPr>
      <w:sz w:val="20"/>
      <w:szCs w:val="20"/>
    </w:rPr>
  </w:style>
  <w:style w:type="character" w:customStyle="1" w:styleId="TextocomentarioCar">
    <w:name w:val="Texto comentario Car"/>
    <w:basedOn w:val="Fuentedeprrafopredeter"/>
    <w:link w:val="Textocomentario"/>
    <w:uiPriority w:val="99"/>
    <w:semiHidden/>
    <w:rsid w:val="000A7672"/>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0A7672"/>
    <w:rPr>
      <w:b/>
      <w:bCs/>
    </w:rPr>
  </w:style>
  <w:style w:type="character" w:customStyle="1" w:styleId="AsuntodelcomentarioCar">
    <w:name w:val="Asunto del comentario Car"/>
    <w:basedOn w:val="TextocomentarioCar"/>
    <w:link w:val="Asuntodelcomentario"/>
    <w:uiPriority w:val="99"/>
    <w:semiHidden/>
    <w:rsid w:val="000A7672"/>
    <w:rPr>
      <w:rFonts w:ascii="Arial" w:eastAsia="Arial" w:hAnsi="Arial" w:cs="Arial"/>
      <w:b/>
      <w:bCs/>
      <w:sz w:val="20"/>
      <w:szCs w:val="20"/>
      <w:lang w:val="es-ES" w:eastAsia="es-ES" w:bidi="es-ES"/>
    </w:rPr>
  </w:style>
  <w:style w:type="paragraph" w:styleId="Textodeglobo">
    <w:name w:val="Balloon Text"/>
    <w:basedOn w:val="Normal"/>
    <w:link w:val="TextodegloboCar"/>
    <w:uiPriority w:val="99"/>
    <w:semiHidden/>
    <w:unhideWhenUsed/>
    <w:rsid w:val="000A767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7672"/>
    <w:rPr>
      <w:rFonts w:ascii="Segoe UI" w:eastAsia="Arial" w:hAnsi="Segoe UI" w:cs="Segoe UI"/>
      <w:sz w:val="18"/>
      <w:szCs w:val="18"/>
      <w:lang w:val="es-ES" w:eastAsia="es-ES" w:bidi="es-ES"/>
    </w:rPr>
  </w:style>
  <w:style w:type="paragraph" w:styleId="Subttulo">
    <w:name w:val="Subtitle"/>
    <w:basedOn w:val="Normal"/>
    <w:next w:val="Normal"/>
    <w:uiPriority w:val="11"/>
    <w:qFormat/>
    <w:pPr>
      <w:keepNext/>
      <w:keepLines/>
      <w:widowControl w:val="0"/>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character" w:customStyle="1" w:styleId="apple-converted-space">
    <w:name w:val="apple-converted-space"/>
    <w:basedOn w:val="Fuentedeprrafopredeter"/>
    <w:rsid w:val="005E6420"/>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character" w:styleId="Mencinsinresolver">
    <w:name w:val="Unresolved Mention"/>
    <w:basedOn w:val="Fuentedeprrafopredeter"/>
    <w:uiPriority w:val="99"/>
    <w:semiHidden/>
    <w:unhideWhenUsed/>
    <w:rsid w:val="000B798E"/>
    <w:rPr>
      <w:color w:val="605E5C"/>
      <w:shd w:val="clear" w:color="auto" w:fill="E1DFDD"/>
    </w:r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CellMar>
        <w:top w:w="15" w:type="dxa"/>
        <w:left w:w="15" w:type="dxa"/>
        <w:bottom w:w="15" w:type="dxa"/>
        <w:right w:w="15"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hdl.handle.net/20.500.12008/26311" TargetMode="External"/><Relationship Id="rId3" Type="http://schemas.openxmlformats.org/officeDocument/2006/relationships/hyperlink" Target="https://www.sapiencia.gov.co/wp-content/uploads/2017/07/BOLETIN_ODES_DESERCION_EN_LA_EDUCACION_SUPERIOR.pdf" TargetMode="External"/><Relationship Id="rId7" Type="http://schemas.openxmlformats.org/officeDocument/2006/relationships/hyperlink" Target="https://publications.iadb.org/publications/spanish/document/Qu%C3%A9_tan_asequible_es_el_transporte_en_Am%C3%A9rica_Latina_y_el_Caribe_es_es.pdf" TargetMode="External"/><Relationship Id="rId12" Type="http://schemas.openxmlformats.org/officeDocument/2006/relationships/hyperlink" Target="https://www.ifla.org/files/assets/hq/publications/archive/the-public-library-service/pg01-s.pdf" TargetMode="External"/><Relationship Id="rId2" Type="http://schemas.openxmlformats.org/officeDocument/2006/relationships/hyperlink" Target="https://www.mineducacion.gov.co/sistemasdeinformacion/1735/articles-357549_recurso_7.pdf" TargetMode="External"/><Relationship Id="rId1" Type="http://schemas.openxmlformats.org/officeDocument/2006/relationships/hyperlink" Target="https://snies.mineducacion.gov.co/portal/401926" TargetMode="External"/><Relationship Id="rId6" Type="http://schemas.openxmlformats.org/officeDocument/2006/relationships/hyperlink" Target="https://repositorio.udesa.edu.ar/jspui/bitstream/10908/17720/1/%5bP%5d%5bW%5d%20M.%20Eco.%20Brichetti%2c%20Juan%20Pablo.pdf" TargetMode="External"/><Relationship Id="rId11" Type="http://schemas.openxmlformats.org/officeDocument/2006/relationships/hyperlink" Target="https://www.medellin.gov.co/movilidad/jdownloads/Normas/Normatividad/Decretos%20Municipales/2007/2007-decreto1038.pdf" TargetMode="External"/><Relationship Id="rId5" Type="http://schemas.openxmlformats.org/officeDocument/2006/relationships/hyperlink" Target="http://dx.doi.org/10.1787/9789264250604-en" TargetMode="External"/><Relationship Id="rId10" Type="http://schemas.openxmlformats.org/officeDocument/2006/relationships/hyperlink" Target="https://www.barranquilla.gov.co/gestionsocial/estimulo-de-transporte-inicia-inscripciones-para-nuevos-beneficiarios" TargetMode="External"/><Relationship Id="rId4" Type="http://schemas.openxmlformats.org/officeDocument/2006/relationships/hyperlink" Target="https://openknowledge.worldbank.org/handle/10986/26489" TargetMode="External"/><Relationship Id="rId9" Type="http://schemas.openxmlformats.org/officeDocument/2006/relationships/hyperlink" Target="http://www.ciudadguzman.gob.mx/Documentos/Paginas/operacion_1310_ROP-Apoyo_al_Transporte_para_Estudiantes_11-03-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cdCldU13ieCByJqAhhm8v2j0Aw==">AMUW2mXYm9C+IpE1xiYOOUANoWrXxjUU3bzsXpcCSV7CwJac32LtBmTKe6h0bC6sJM/KapXNSLcZ5WMEjqJIOoOaSRSKhbeMY+6N4CajPf2V3Ec8WC+SgPU=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4388</Words>
  <Characters>24138</Characters>
  <Application>Microsoft Office Word</Application>
  <DocSecurity>0</DocSecurity>
  <Lines>201</Lines>
  <Paragraphs>56</Paragraphs>
  <ScaleCrop>false</ScaleCrop>
  <Company/>
  <LinksUpToDate>false</LinksUpToDate>
  <CharactersWithSpaces>28470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NGM</dc:creator>
  <cp:lastModifiedBy>Nelson Gonzalez</cp:lastModifiedBy>
  <cp:revision>2</cp:revision>
  <dcterms:created xsi:type="dcterms:W3CDTF">2021-08-11T15:53:00Z</dcterms:created>
  <dcterms:modified xsi:type="dcterms:W3CDTF">2021-08-11T15:53:00Z</dcterms:modified>
</cp:coreProperties>
</file>