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B7" w:rsidRPr="00390A7D" w:rsidRDefault="005B2B8B" w:rsidP="003C6CB7">
      <w:pPr>
        <w:tabs>
          <w:tab w:val="left" w:pos="0"/>
        </w:tabs>
        <w:spacing w:after="0" w:line="240" w:lineRule="auto"/>
        <w:jc w:val="both"/>
        <w:rPr>
          <w:rFonts w:ascii="Bookman Old Style" w:eastAsia="Arial Narrow" w:hAnsi="Bookman Old Style" w:cs="Arial Narrow"/>
          <w:b/>
        </w:rPr>
      </w:pPr>
      <w:r>
        <w:rPr>
          <w:rFonts w:ascii="Bookman Old Style" w:eastAsia="Arial Narrow" w:hAnsi="Bookman Old Style" w:cs="Arial Narrow"/>
          <w:b/>
        </w:rPr>
        <w:t>Bogotá D.C, 28</w:t>
      </w:r>
      <w:r w:rsidR="003C6CB7" w:rsidRPr="00390A7D">
        <w:rPr>
          <w:rFonts w:ascii="Bookman Old Style" w:eastAsia="Arial Narrow" w:hAnsi="Bookman Old Style" w:cs="Arial Narrow"/>
          <w:b/>
        </w:rPr>
        <w:t xml:space="preserve"> de julio de 2021</w:t>
      </w: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p>
    <w:p w:rsidR="003C6CB7" w:rsidRDefault="003C6CB7" w:rsidP="003C6CB7">
      <w:pPr>
        <w:tabs>
          <w:tab w:val="left" w:pos="0"/>
        </w:tabs>
        <w:spacing w:after="0" w:line="240" w:lineRule="auto"/>
        <w:jc w:val="both"/>
        <w:rPr>
          <w:rFonts w:ascii="Bookman Old Style" w:eastAsia="Arial Narrow" w:hAnsi="Bookman Old Style" w:cs="Arial Narrow"/>
        </w:rPr>
      </w:pPr>
    </w:p>
    <w:p w:rsidR="003C6CB7" w:rsidRPr="00390A7D"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Doctor</w:t>
      </w: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r w:rsidRPr="00390A7D">
        <w:rPr>
          <w:rFonts w:ascii="Bookman Old Style" w:eastAsia="Arial Narrow" w:hAnsi="Bookman Old Style" w:cs="Arial Narrow"/>
          <w:b/>
        </w:rPr>
        <w:t>JORGE HUMBERTO MANTILLA SERRANO</w:t>
      </w:r>
    </w:p>
    <w:p w:rsidR="003C6CB7"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Secretario General </w:t>
      </w:r>
    </w:p>
    <w:p w:rsidR="003C6CB7" w:rsidRPr="00390A7D"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Cámara de Representantes </w:t>
      </w: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r>
        <w:rPr>
          <w:rFonts w:ascii="Bookman Old Style" w:eastAsia="Arial Narrow" w:hAnsi="Bookman Old Style" w:cs="Arial Narrow"/>
        </w:rPr>
        <w:t>Ciudad</w:t>
      </w:r>
    </w:p>
    <w:p w:rsidR="003C6CB7" w:rsidRPr="00390A7D" w:rsidRDefault="003C6CB7" w:rsidP="003C6CB7">
      <w:pPr>
        <w:tabs>
          <w:tab w:val="left" w:pos="0"/>
        </w:tabs>
        <w:spacing w:after="0" w:line="240" w:lineRule="auto"/>
        <w:ind w:left="3540"/>
        <w:jc w:val="both"/>
        <w:rPr>
          <w:rFonts w:ascii="Bookman Old Style" w:eastAsia="Arial Narrow" w:hAnsi="Bookman Old Style" w:cs="Arial Narrow"/>
          <w:b/>
        </w:rPr>
      </w:pPr>
    </w:p>
    <w:p w:rsidR="003C6CB7" w:rsidRPr="00390A7D" w:rsidRDefault="003C6CB7" w:rsidP="003C6CB7">
      <w:pPr>
        <w:spacing w:after="0" w:line="240" w:lineRule="auto"/>
        <w:jc w:val="both"/>
        <w:rPr>
          <w:rFonts w:ascii="Bookman Old Style" w:eastAsia="Arial Narrow" w:hAnsi="Bookman Old Style" w:cs="Arial Narrow"/>
          <w:b/>
        </w:rPr>
      </w:pPr>
    </w:p>
    <w:p w:rsidR="003C6CB7" w:rsidRPr="003C6CB7" w:rsidRDefault="003C6CB7" w:rsidP="003C6CB7">
      <w:pPr>
        <w:spacing w:after="0" w:line="240" w:lineRule="auto"/>
        <w:ind w:left="708"/>
        <w:jc w:val="both"/>
        <w:rPr>
          <w:rFonts w:ascii="Bookman Old Style" w:eastAsia="Arial Narrow" w:hAnsi="Bookman Old Style" w:cs="Arial Narrow"/>
          <w:b/>
        </w:rPr>
      </w:pPr>
      <w:r w:rsidRPr="00390A7D">
        <w:rPr>
          <w:rFonts w:ascii="Bookman Old Style" w:eastAsia="Arial Narrow" w:hAnsi="Bookman Old Style" w:cs="Arial Narrow"/>
          <w:b/>
        </w:rPr>
        <w:t xml:space="preserve">Ref.: </w:t>
      </w:r>
      <w:r w:rsidRPr="00390A7D">
        <w:rPr>
          <w:rFonts w:ascii="Bookman Old Style" w:eastAsia="Arial Narrow" w:hAnsi="Bookman Old Style" w:cs="Arial Narrow"/>
        </w:rPr>
        <w:t>Radicación</w:t>
      </w:r>
      <w:r w:rsidRPr="00390A7D">
        <w:rPr>
          <w:rFonts w:ascii="Bookman Old Style" w:eastAsia="Arial Narrow" w:hAnsi="Bookman Old Style" w:cs="Arial Narrow"/>
          <w:b/>
        </w:rPr>
        <w:t xml:space="preserve"> </w:t>
      </w:r>
      <w:r w:rsidRPr="00390A7D">
        <w:rPr>
          <w:rFonts w:ascii="Bookman Old Style" w:eastAsia="Arial Narrow" w:hAnsi="Bookman Old Style" w:cs="Arial Narrow"/>
        </w:rPr>
        <w:t xml:space="preserve">Proyecto de Ley </w:t>
      </w:r>
      <w:r w:rsidRPr="003C6CB7">
        <w:rPr>
          <w:rFonts w:ascii="Bookman Old Style" w:eastAsia="Arial Narrow" w:hAnsi="Bookman Old Style" w:cs="Arial Narrow"/>
          <w:b/>
        </w:rPr>
        <w:t>“POR MEDIO DE LA CUAL SE FORTALECE LA PLANEACIÓN ESTRATÉGICA, SE CREAN LOS MECANISMOS DE COORDINACIÓN Y CONCURRENCIA ENTRE LAS AUTORIDADES NACIONALES Y TERRITORIALES Y DE PARTICIPACIÓN CIUDADANA PARA LA EXPLORACIÓN Y EXPLOTACIÓN DEL SUBSUELO Y DE RECURSOS NATURALES NO RENOVABLES Y SE DICTAN OTRAS DISPOSICIONES”</w:t>
      </w:r>
    </w:p>
    <w:p w:rsidR="003C6CB7" w:rsidRPr="00390A7D" w:rsidRDefault="003C6CB7" w:rsidP="003C6CB7">
      <w:pPr>
        <w:spacing w:after="0" w:line="240" w:lineRule="auto"/>
        <w:jc w:val="center"/>
        <w:rPr>
          <w:rFonts w:ascii="Bookman Old Style" w:eastAsia="Arial Narrow" w:hAnsi="Bookman Old Style" w:cs="Arial Narrow"/>
          <w:highlight w:val="white"/>
        </w:rPr>
      </w:pPr>
    </w:p>
    <w:p w:rsidR="003C6CB7" w:rsidRPr="00390A7D" w:rsidRDefault="003C6CB7" w:rsidP="003C6CB7">
      <w:pPr>
        <w:spacing w:after="0" w:line="240" w:lineRule="auto"/>
        <w:jc w:val="center"/>
        <w:rPr>
          <w:rFonts w:ascii="Bookman Old Style" w:eastAsia="Arial Narrow" w:hAnsi="Bookman Old Style" w:cs="Arial Narrow"/>
          <w:highlight w:val="white"/>
        </w:rPr>
      </w:pPr>
    </w:p>
    <w:p w:rsidR="003C6CB7" w:rsidRPr="00390A7D" w:rsidRDefault="003C6CB7" w:rsidP="003C6CB7">
      <w:pPr>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Apreciado Secretario: </w:t>
      </w:r>
    </w:p>
    <w:p w:rsidR="003C6CB7" w:rsidRPr="00390A7D" w:rsidRDefault="003C6CB7" w:rsidP="003C6CB7">
      <w:pPr>
        <w:spacing w:after="0" w:line="240" w:lineRule="auto"/>
        <w:jc w:val="both"/>
        <w:rPr>
          <w:rFonts w:ascii="Bookman Old Style" w:eastAsia="Arial Narrow" w:hAnsi="Bookman Old Style" w:cs="Arial Narrow"/>
        </w:rPr>
      </w:pPr>
    </w:p>
    <w:p w:rsidR="003C6CB7" w:rsidRPr="00390A7D" w:rsidRDefault="003C6CB7" w:rsidP="003C6CB7">
      <w:pPr>
        <w:spacing w:after="0" w:line="240" w:lineRule="auto"/>
        <w:jc w:val="both"/>
        <w:rPr>
          <w:rFonts w:ascii="Bookman Old Style" w:eastAsia="Arial Narrow" w:hAnsi="Bookman Old Style" w:cs="Arial Narrow"/>
        </w:rPr>
      </w:pPr>
    </w:p>
    <w:p w:rsidR="003C6CB7" w:rsidRPr="00390A7D" w:rsidRDefault="003C6CB7" w:rsidP="003C6CB7">
      <w:pPr>
        <w:spacing w:after="0" w:line="240" w:lineRule="auto"/>
        <w:jc w:val="both"/>
        <w:rPr>
          <w:rFonts w:ascii="Bookman Old Style" w:eastAsia="Arial Narrow" w:hAnsi="Bookman Old Style" w:cs="Arial Narrow"/>
          <w:b/>
          <w:highlight w:val="white"/>
        </w:rPr>
      </w:pPr>
      <w:r w:rsidRPr="00390A7D">
        <w:rPr>
          <w:rFonts w:ascii="Bookman Old Style" w:eastAsia="Arial Narrow" w:hAnsi="Bookman Old Style" w:cs="Arial Narrow"/>
        </w:rPr>
        <w:t xml:space="preserve">Atendiendo a lo estipulado en los artículos 139 y </w:t>
      </w:r>
      <w:r w:rsidR="00C2660B">
        <w:rPr>
          <w:rFonts w:ascii="Bookman Old Style" w:eastAsia="Arial Narrow" w:hAnsi="Bookman Old Style" w:cs="Arial Narrow"/>
        </w:rPr>
        <w:t>140 de la Ley 5 de 1992 presentamos</w:t>
      </w:r>
      <w:r w:rsidRPr="00390A7D">
        <w:rPr>
          <w:rFonts w:ascii="Bookman Old Style" w:eastAsia="Arial Narrow" w:hAnsi="Bookman Old Style" w:cs="Arial Narrow"/>
        </w:rPr>
        <w:t xml:space="preserve"> a consideración del Congreso de la República el Proyecto de Ley </w:t>
      </w:r>
      <w:r w:rsidRPr="003C6CB7">
        <w:rPr>
          <w:rFonts w:ascii="Bookman Old Style" w:eastAsia="Arial Narrow" w:hAnsi="Bookman Old Style" w:cs="Arial Narrow"/>
          <w:b/>
        </w:rPr>
        <w:t>“POR MEDIO DE LA CUAL SE FORTALECE LA PLANEACIÓN ESTRATÉGICA, SE CREAN LOS MECANISMOS DE COORDINACIÓN Y CONCURRENCIA ENTRE LAS AUTORIDADES NACIONALES Y TERRITORIALES Y DE PARTICIPACIÓN CIUDADANA PARA LA EXPLORACIÓN Y EXPLOTACIÓN DEL SUBSUELO Y DE RECURSOS NATURALES NO RENOVABLES Y SE DICTAN OTRAS DISPOSICIONES”</w:t>
      </w:r>
      <w:r>
        <w:rPr>
          <w:rFonts w:ascii="Bookman Old Style" w:eastAsia="Arial Narrow" w:hAnsi="Bookman Old Style" w:cs="Arial Narrow"/>
          <w:b/>
        </w:rPr>
        <w:t>.</w:t>
      </w:r>
      <w:r w:rsidRPr="00390A7D">
        <w:rPr>
          <w:rFonts w:ascii="Bookman Old Style" w:eastAsia="Arial Narrow" w:hAnsi="Bookman Old Style" w:cs="Arial Narrow"/>
          <w:b/>
          <w:highlight w:val="white"/>
        </w:rPr>
        <w:t xml:space="preserve"> </w:t>
      </w:r>
      <w:r w:rsidRPr="00390A7D">
        <w:rPr>
          <w:rFonts w:ascii="Bookman Old Style" w:eastAsia="Arial Narrow" w:hAnsi="Bookman Old Style" w:cs="Arial Narrow"/>
          <w:highlight w:val="white"/>
        </w:rPr>
        <w:t xml:space="preserve">El Proyecto de Ley cumple las disposiciones correspondientes a la iniciativa legislativa y demás consagradas en la Constitución y la citada ley. </w:t>
      </w:r>
    </w:p>
    <w:p w:rsidR="003C6CB7" w:rsidRPr="00390A7D" w:rsidRDefault="003C6CB7" w:rsidP="003C6CB7">
      <w:pPr>
        <w:spacing w:after="0" w:line="240" w:lineRule="auto"/>
        <w:jc w:val="both"/>
        <w:rPr>
          <w:rFonts w:ascii="Bookman Old Style" w:eastAsia="Arial Narrow" w:hAnsi="Bookman Old Style" w:cs="Arial Narrow"/>
        </w:rPr>
      </w:pPr>
    </w:p>
    <w:p w:rsidR="003C6CB7" w:rsidRPr="00390A7D" w:rsidRDefault="00C2660B" w:rsidP="003C6CB7">
      <w:pPr>
        <w:spacing w:after="0" w:line="240" w:lineRule="auto"/>
        <w:jc w:val="both"/>
        <w:rPr>
          <w:rFonts w:ascii="Bookman Old Style" w:eastAsia="Arial Narrow" w:hAnsi="Bookman Old Style" w:cs="Arial Narrow"/>
        </w:rPr>
      </w:pPr>
      <w:r>
        <w:rPr>
          <w:rFonts w:ascii="Bookman Old Style" w:eastAsia="Arial Narrow" w:hAnsi="Bookman Old Style" w:cs="Arial Narrow"/>
        </w:rPr>
        <w:t>Agradecemos</w:t>
      </w:r>
      <w:r w:rsidR="003C6CB7" w:rsidRPr="00390A7D">
        <w:rPr>
          <w:rFonts w:ascii="Bookman Old Style" w:eastAsia="Arial Narrow" w:hAnsi="Bookman Old Style" w:cs="Arial Narrow"/>
        </w:rPr>
        <w:t xml:space="preserve"> surtir el trámite legislativo previsto en el artículo 144 de la Ley 5 de 1992. </w:t>
      </w:r>
    </w:p>
    <w:p w:rsidR="003C6CB7" w:rsidRPr="00390A7D" w:rsidRDefault="003C6CB7" w:rsidP="003C6CB7">
      <w:pPr>
        <w:tabs>
          <w:tab w:val="left" w:pos="0"/>
        </w:tabs>
        <w:spacing w:after="0" w:line="240" w:lineRule="auto"/>
        <w:jc w:val="both"/>
        <w:rPr>
          <w:rFonts w:ascii="Bookman Old Style" w:eastAsia="Arial Narrow" w:hAnsi="Bookman Old Style" w:cs="Arial Narrow"/>
        </w:rPr>
      </w:pPr>
    </w:p>
    <w:p w:rsidR="003C6CB7" w:rsidRPr="00390A7D"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Cordial Saludo,   </w:t>
      </w:r>
    </w:p>
    <w:p w:rsidR="003C6CB7" w:rsidRPr="00390A7D" w:rsidRDefault="003C6CB7" w:rsidP="003C6CB7">
      <w:pPr>
        <w:spacing w:after="0" w:line="240" w:lineRule="auto"/>
        <w:jc w:val="both"/>
        <w:rPr>
          <w:rFonts w:ascii="Bookman Old Style" w:eastAsia="Arial Narrow" w:hAnsi="Bookman Old Style" w:cs="Arial Narrow"/>
          <w:b/>
        </w:rPr>
      </w:pPr>
    </w:p>
    <w:p w:rsidR="003C6CB7" w:rsidRPr="00390A7D" w:rsidRDefault="00C2660B" w:rsidP="00C2660B">
      <w:pPr>
        <w:spacing w:after="0" w:line="240" w:lineRule="auto"/>
        <w:rPr>
          <w:rFonts w:ascii="Bookman Old Style" w:eastAsia="Arial Narrow" w:hAnsi="Bookman Old Style" w:cs="Arial Narrow"/>
          <w:b/>
        </w:rPr>
      </w:pPr>
      <w:r>
        <w:rPr>
          <w:rFonts w:ascii="Bookman Old Style" w:eastAsia="Arial Narrow" w:hAnsi="Bookman Old Style" w:cs="Arial Narrow"/>
          <w:b/>
        </w:rPr>
        <w:t xml:space="preserve">           </w:t>
      </w:r>
      <w:r w:rsidRPr="003206B3">
        <w:rPr>
          <w:noProof/>
          <w:sz w:val="24"/>
          <w:szCs w:val="24"/>
          <w:lang w:val="es-CO" w:eastAsia="es-CO"/>
        </w:rPr>
        <w:drawing>
          <wp:inline distT="0" distB="0" distL="0" distR="0" wp14:anchorId="6390FFE3" wp14:editId="4CB585E0">
            <wp:extent cx="933450" cy="987190"/>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255" cy="1003905"/>
                    </a:xfrm>
                    <a:prstGeom prst="rect">
                      <a:avLst/>
                    </a:prstGeom>
                    <a:noFill/>
                  </pic:spPr>
                </pic:pic>
              </a:graphicData>
            </a:graphic>
          </wp:inline>
        </w:drawing>
      </w:r>
      <w:r>
        <w:rPr>
          <w:rFonts w:ascii="Bookman Old Style" w:eastAsia="Arial Narrow" w:hAnsi="Bookman Old Style" w:cs="Arial Narrow"/>
          <w:b/>
        </w:rPr>
        <w:tab/>
      </w:r>
      <w:r>
        <w:rPr>
          <w:rFonts w:ascii="Bookman Old Style" w:eastAsia="Arial Narrow" w:hAnsi="Bookman Old Style" w:cs="Arial Narrow"/>
          <w:b/>
        </w:rPr>
        <w:tab/>
      </w:r>
      <w:r>
        <w:rPr>
          <w:rFonts w:ascii="Bookman Old Style" w:eastAsia="Arial Narrow" w:hAnsi="Bookman Old Style" w:cs="Arial Narrow"/>
          <w:b/>
        </w:rPr>
        <w:tab/>
      </w:r>
      <w:r>
        <w:rPr>
          <w:rFonts w:ascii="Bookman Old Style" w:eastAsia="Arial Narrow" w:hAnsi="Bookman Old Style" w:cs="Arial Narrow"/>
          <w:b/>
        </w:rPr>
        <w:tab/>
        <w:t xml:space="preserve">     </w:t>
      </w:r>
      <w:r>
        <w:rPr>
          <w:noProof/>
          <w:lang w:val="es-CO" w:eastAsia="es-CO"/>
        </w:rPr>
        <w:drawing>
          <wp:inline distT="0" distB="0" distL="0" distR="0" wp14:anchorId="7EDBA9B0" wp14:editId="2D2A8FD8">
            <wp:extent cx="1771650" cy="38100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tretch>
                      <a:fillRect/>
                    </a:stretch>
                  </pic:blipFill>
                  <pic:spPr>
                    <a:xfrm>
                      <a:off x="0" y="0"/>
                      <a:ext cx="1771650" cy="381000"/>
                    </a:xfrm>
                    <a:prstGeom prst="rect">
                      <a:avLst/>
                    </a:prstGeom>
                  </pic:spPr>
                </pic:pic>
              </a:graphicData>
            </a:graphic>
          </wp:inline>
        </w:drawing>
      </w:r>
    </w:p>
    <w:p w:rsidR="003C6CB7" w:rsidRPr="00390A7D" w:rsidRDefault="003C6CB7" w:rsidP="003C6CB7">
      <w:pPr>
        <w:spacing w:after="0" w:line="240" w:lineRule="auto"/>
        <w:rPr>
          <w:rFonts w:ascii="Bookman Old Style" w:eastAsia="Arial Narrow" w:hAnsi="Bookman Old Style" w:cs="Arial Narrow"/>
          <w:b/>
          <w:sz w:val="24"/>
          <w:szCs w:val="24"/>
        </w:rPr>
      </w:pPr>
      <w:r w:rsidRPr="00390A7D">
        <w:rPr>
          <w:rFonts w:ascii="Bookman Old Style" w:eastAsia="Arial Narrow" w:hAnsi="Bookman Old Style" w:cs="Arial Narrow"/>
          <w:b/>
          <w:sz w:val="24"/>
          <w:szCs w:val="24"/>
        </w:rPr>
        <w:t>HECTOR VERGARA SIERRA</w:t>
      </w:r>
      <w:r w:rsidR="00C2660B">
        <w:rPr>
          <w:rFonts w:ascii="Bookman Old Style" w:eastAsia="Arial Narrow" w:hAnsi="Bookman Old Style" w:cs="Arial Narrow"/>
          <w:b/>
          <w:sz w:val="24"/>
          <w:szCs w:val="24"/>
        </w:rPr>
        <w:tab/>
      </w:r>
      <w:r w:rsidR="00C2660B">
        <w:rPr>
          <w:rFonts w:ascii="Bookman Old Style" w:eastAsia="Arial Narrow" w:hAnsi="Bookman Old Style" w:cs="Arial Narrow"/>
          <w:b/>
          <w:sz w:val="24"/>
          <w:szCs w:val="24"/>
        </w:rPr>
        <w:tab/>
      </w:r>
      <w:r w:rsidR="00C2660B">
        <w:rPr>
          <w:rFonts w:ascii="Bookman Old Style" w:eastAsia="Arial Narrow" w:hAnsi="Bookman Old Style" w:cs="Arial Narrow"/>
          <w:b/>
          <w:sz w:val="24"/>
          <w:szCs w:val="24"/>
        </w:rPr>
        <w:tab/>
        <w:t>CÉSAR LORDUY MALDONADO</w:t>
      </w:r>
    </w:p>
    <w:p w:rsidR="003C6CB7" w:rsidRPr="003C6CB7" w:rsidRDefault="003C6CB7" w:rsidP="003C6CB7">
      <w:pPr>
        <w:spacing w:after="0" w:line="240" w:lineRule="auto"/>
        <w:rPr>
          <w:rFonts w:ascii="Bookman Old Style" w:eastAsia="Arial Narrow" w:hAnsi="Bookman Old Style" w:cs="Arial Narrow"/>
          <w:sz w:val="24"/>
          <w:szCs w:val="24"/>
        </w:rPr>
      </w:pPr>
      <w:r w:rsidRPr="003C6CB7">
        <w:rPr>
          <w:rFonts w:ascii="Bookman Old Style" w:eastAsia="Arial Narrow" w:hAnsi="Bookman Old Style" w:cs="Arial Narrow"/>
          <w:sz w:val="24"/>
          <w:szCs w:val="24"/>
        </w:rPr>
        <w:t>H. Representante a la Cámara</w:t>
      </w:r>
      <w:r w:rsidR="00C2660B">
        <w:rPr>
          <w:rFonts w:ascii="Bookman Old Style" w:eastAsia="Arial Narrow" w:hAnsi="Bookman Old Style" w:cs="Arial Narrow"/>
          <w:sz w:val="24"/>
          <w:szCs w:val="24"/>
        </w:rPr>
        <w:tab/>
      </w:r>
      <w:r w:rsidR="00C2660B">
        <w:rPr>
          <w:rFonts w:ascii="Bookman Old Style" w:eastAsia="Arial Narrow" w:hAnsi="Bookman Old Style" w:cs="Arial Narrow"/>
          <w:sz w:val="24"/>
          <w:szCs w:val="24"/>
        </w:rPr>
        <w:tab/>
      </w:r>
      <w:r w:rsidR="00C2660B" w:rsidRPr="003C6CB7">
        <w:rPr>
          <w:rFonts w:ascii="Bookman Old Style" w:eastAsia="Arial Narrow" w:hAnsi="Bookman Old Style" w:cs="Arial Narrow"/>
          <w:sz w:val="24"/>
          <w:szCs w:val="24"/>
        </w:rPr>
        <w:t>H. Representante a la Cámara</w:t>
      </w:r>
    </w:p>
    <w:p w:rsidR="00C2660B" w:rsidRPr="003C6CB7" w:rsidRDefault="003C6CB7" w:rsidP="00C2660B">
      <w:pPr>
        <w:spacing w:after="0" w:line="240" w:lineRule="auto"/>
        <w:rPr>
          <w:rFonts w:ascii="Bookman Old Style" w:eastAsia="Arial Narrow" w:hAnsi="Bookman Old Style" w:cs="Arial Narrow"/>
          <w:sz w:val="24"/>
          <w:szCs w:val="24"/>
        </w:rPr>
      </w:pPr>
      <w:r w:rsidRPr="003C6CB7">
        <w:rPr>
          <w:rFonts w:ascii="Bookman Old Style" w:eastAsia="Arial Narrow" w:hAnsi="Bookman Old Style" w:cs="Arial Narrow"/>
          <w:sz w:val="24"/>
          <w:szCs w:val="24"/>
        </w:rPr>
        <w:t>Departamento de Sucre</w:t>
      </w:r>
      <w:r w:rsidR="00C2660B">
        <w:rPr>
          <w:rFonts w:ascii="Bookman Old Style" w:eastAsia="Arial Narrow" w:hAnsi="Bookman Old Style" w:cs="Arial Narrow"/>
          <w:sz w:val="24"/>
          <w:szCs w:val="24"/>
        </w:rPr>
        <w:tab/>
      </w:r>
      <w:r w:rsidR="00C2660B">
        <w:rPr>
          <w:rFonts w:ascii="Bookman Old Style" w:eastAsia="Arial Narrow" w:hAnsi="Bookman Old Style" w:cs="Arial Narrow"/>
          <w:sz w:val="24"/>
          <w:szCs w:val="24"/>
        </w:rPr>
        <w:tab/>
      </w:r>
      <w:r w:rsidR="00C2660B">
        <w:rPr>
          <w:rFonts w:ascii="Bookman Old Style" w:eastAsia="Arial Narrow" w:hAnsi="Bookman Old Style" w:cs="Arial Narrow"/>
          <w:sz w:val="24"/>
          <w:szCs w:val="24"/>
        </w:rPr>
        <w:tab/>
      </w:r>
      <w:r w:rsidR="00C2660B">
        <w:rPr>
          <w:rFonts w:ascii="Bookman Old Style" w:eastAsia="Arial Narrow" w:hAnsi="Bookman Old Style" w:cs="Arial Narrow"/>
          <w:sz w:val="24"/>
          <w:szCs w:val="24"/>
        </w:rPr>
        <w:tab/>
      </w:r>
      <w:r w:rsidR="00C2660B" w:rsidRPr="003C6CB7">
        <w:rPr>
          <w:rFonts w:ascii="Bookman Old Style" w:eastAsia="Arial Narrow" w:hAnsi="Bookman Old Style" w:cs="Arial Narrow"/>
          <w:sz w:val="24"/>
          <w:szCs w:val="24"/>
        </w:rPr>
        <w:t xml:space="preserve">Departamento de </w:t>
      </w:r>
      <w:r w:rsidR="00C2660B">
        <w:rPr>
          <w:rFonts w:ascii="Bookman Old Style" w:eastAsia="Arial Narrow" w:hAnsi="Bookman Old Style" w:cs="Arial Narrow"/>
          <w:sz w:val="24"/>
          <w:szCs w:val="24"/>
        </w:rPr>
        <w:t>Atlántico</w:t>
      </w:r>
    </w:p>
    <w:p w:rsidR="00C2660B" w:rsidRDefault="00C2660B" w:rsidP="00C2660B">
      <w:pPr>
        <w:pStyle w:val="Sinespaciado"/>
        <w:rPr>
          <w:rFonts w:ascii="Bookman Old Style" w:eastAsia="Arial Narrow" w:hAnsi="Bookman Old Style"/>
          <w:b/>
          <w:sz w:val="24"/>
        </w:rPr>
      </w:pPr>
      <w:r>
        <w:rPr>
          <w:rFonts w:ascii="Bookman Old Style" w:hAnsi="Bookman Old Style" w:cs="Arial"/>
          <w:noProof/>
          <w:sz w:val="24"/>
          <w:szCs w:val="24"/>
          <w:lang w:val="es-CO" w:eastAsia="es-CO"/>
        </w:rPr>
        <w:lastRenderedPageBreak/>
        <w:drawing>
          <wp:inline distT="0" distB="0" distL="0" distR="0" wp14:anchorId="539BE05F" wp14:editId="1DFB7EAC">
            <wp:extent cx="1742440" cy="967505"/>
            <wp:effectExtent l="0" t="0" r="1016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21-07-19 a la(s) 1.19.30 p. m..png"/>
                    <pic:cNvPicPr/>
                  </pic:nvPicPr>
                  <pic:blipFill rotWithShape="1">
                    <a:blip r:embed="rId10">
                      <a:extLst>
                        <a:ext uri="{28A0092B-C50C-407E-A947-70E740481C1C}">
                          <a14:useLocalDpi xmlns:a14="http://schemas.microsoft.com/office/drawing/2010/main" val="0"/>
                        </a:ext>
                      </a:extLst>
                    </a:blip>
                    <a:srcRect l="5509"/>
                    <a:stretch/>
                  </pic:blipFill>
                  <pic:spPr bwMode="auto">
                    <a:xfrm>
                      <a:off x="0" y="0"/>
                      <a:ext cx="1751909" cy="972763"/>
                    </a:xfrm>
                    <a:prstGeom prst="rect">
                      <a:avLst/>
                    </a:prstGeom>
                    <a:ln>
                      <a:noFill/>
                    </a:ln>
                    <a:extLst>
                      <a:ext uri="{53640926-AAD7-44D8-BBD7-CCE9431645EC}">
                        <a14:shadowObscured xmlns:a14="http://schemas.microsoft.com/office/drawing/2010/main"/>
                      </a:ext>
                    </a:extLst>
                  </pic:spPr>
                </pic:pic>
              </a:graphicData>
            </a:graphic>
          </wp:inline>
        </w:drawing>
      </w:r>
      <w:r w:rsidR="00ED54DD">
        <w:rPr>
          <w:rFonts w:ascii="Bookman Old Style" w:eastAsia="Arial Narrow" w:hAnsi="Bookman Old Style"/>
          <w:b/>
          <w:sz w:val="24"/>
        </w:rPr>
        <w:tab/>
      </w:r>
      <w:r w:rsidR="00ED54DD">
        <w:rPr>
          <w:rFonts w:ascii="Bookman Old Style" w:eastAsia="Arial Narrow" w:hAnsi="Bookman Old Style"/>
          <w:b/>
          <w:sz w:val="24"/>
        </w:rPr>
        <w:tab/>
      </w:r>
      <w:r w:rsidR="00ED54DD">
        <w:rPr>
          <w:rFonts w:ascii="Bookman Old Style" w:eastAsia="Arial Narrow" w:hAnsi="Bookman Old Style"/>
          <w:b/>
          <w:sz w:val="24"/>
        </w:rPr>
        <w:tab/>
      </w:r>
      <w:r w:rsidR="00ED54DD">
        <w:rPr>
          <w:rFonts w:ascii="Bookman Old Style" w:eastAsia="Arial Narrow" w:hAnsi="Bookman Old Style"/>
          <w:b/>
          <w:sz w:val="24"/>
        </w:rPr>
        <w:tab/>
      </w:r>
      <w:r w:rsidR="00ED54DD">
        <w:rPr>
          <w:rFonts w:ascii="Bookman Old Style" w:eastAsia="Arial Narrow" w:hAnsi="Bookman Old Style"/>
          <w:b/>
          <w:sz w:val="24"/>
        </w:rPr>
        <w:tab/>
      </w:r>
      <w:r w:rsidR="00ED54DD">
        <w:rPr>
          <w:rFonts w:ascii="Bookman Old Style" w:eastAsia="Arial Narrow" w:hAnsi="Bookman Old Style"/>
          <w:b/>
          <w:noProof/>
          <w:sz w:val="24"/>
          <w:lang w:val="es-CO" w:eastAsia="es-CO"/>
        </w:rPr>
        <w:drawing>
          <wp:inline distT="0" distB="0" distL="0" distR="0" wp14:anchorId="3B62B143">
            <wp:extent cx="1597025" cy="786765"/>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7025" cy="786765"/>
                    </a:xfrm>
                    <a:prstGeom prst="rect">
                      <a:avLst/>
                    </a:prstGeom>
                    <a:noFill/>
                  </pic:spPr>
                </pic:pic>
              </a:graphicData>
            </a:graphic>
          </wp:inline>
        </w:drawing>
      </w:r>
    </w:p>
    <w:p w:rsidR="003C6CB7" w:rsidRPr="005B2B8B" w:rsidRDefault="00C2660B" w:rsidP="00C2660B">
      <w:pPr>
        <w:pStyle w:val="Sinespaciado"/>
        <w:rPr>
          <w:rFonts w:ascii="Bookman Old Style" w:eastAsia="Arial Narrow" w:hAnsi="Bookman Old Style"/>
          <w:b/>
          <w:sz w:val="24"/>
          <w:lang w:val="en-US"/>
        </w:rPr>
      </w:pPr>
      <w:r w:rsidRPr="005B2B8B">
        <w:rPr>
          <w:rFonts w:ascii="Bookman Old Style" w:eastAsia="Arial Narrow" w:hAnsi="Bookman Old Style"/>
          <w:b/>
          <w:sz w:val="24"/>
          <w:lang w:val="en-US"/>
        </w:rPr>
        <w:t>ANDRÉS CALLE AGUAS</w:t>
      </w:r>
      <w:r w:rsidR="00ED54DD" w:rsidRPr="005B2B8B">
        <w:rPr>
          <w:rFonts w:ascii="Bookman Old Style" w:eastAsia="Arial Narrow" w:hAnsi="Bookman Old Style"/>
          <w:b/>
          <w:sz w:val="24"/>
          <w:lang w:val="en-US"/>
        </w:rPr>
        <w:tab/>
      </w:r>
      <w:r w:rsidR="00ED54DD" w:rsidRPr="005B2B8B">
        <w:rPr>
          <w:rFonts w:ascii="Bookman Old Style" w:eastAsia="Arial Narrow" w:hAnsi="Bookman Old Style"/>
          <w:b/>
          <w:sz w:val="24"/>
          <w:lang w:val="en-US"/>
        </w:rPr>
        <w:tab/>
      </w:r>
      <w:r w:rsidR="00ED54DD" w:rsidRPr="005B2B8B">
        <w:rPr>
          <w:rFonts w:ascii="Bookman Old Style" w:eastAsia="Arial Narrow" w:hAnsi="Bookman Old Style"/>
          <w:b/>
          <w:sz w:val="24"/>
          <w:lang w:val="en-US"/>
        </w:rPr>
        <w:tab/>
        <w:t>WADITH MANZUR IMBETT</w:t>
      </w:r>
    </w:p>
    <w:p w:rsidR="00C2660B" w:rsidRPr="00C2660B" w:rsidRDefault="00C2660B" w:rsidP="00C2660B">
      <w:pPr>
        <w:pStyle w:val="Sinespaciado"/>
        <w:rPr>
          <w:rFonts w:ascii="Bookman Old Style" w:hAnsi="Bookman Old Style" w:cs="Arial"/>
          <w:sz w:val="24"/>
        </w:rPr>
      </w:pPr>
      <w:r w:rsidRPr="00C2660B">
        <w:rPr>
          <w:rFonts w:ascii="Bookman Old Style" w:eastAsia="Arial Narrow" w:hAnsi="Bookman Old Style"/>
          <w:sz w:val="24"/>
        </w:rPr>
        <w:t xml:space="preserve">H. Representante a la </w:t>
      </w:r>
      <w:r>
        <w:rPr>
          <w:rFonts w:ascii="Bookman Old Style" w:eastAsia="Arial Narrow" w:hAnsi="Bookman Old Style"/>
          <w:sz w:val="24"/>
        </w:rPr>
        <w:t>Cámara</w:t>
      </w:r>
      <w:r w:rsidR="00ED54DD">
        <w:rPr>
          <w:rFonts w:ascii="Bookman Old Style" w:eastAsia="Arial Narrow" w:hAnsi="Bookman Old Style"/>
          <w:sz w:val="24"/>
        </w:rPr>
        <w:tab/>
      </w:r>
      <w:r w:rsidR="00ED54DD">
        <w:rPr>
          <w:rFonts w:ascii="Bookman Old Style" w:eastAsia="Arial Narrow" w:hAnsi="Bookman Old Style"/>
          <w:sz w:val="24"/>
        </w:rPr>
        <w:tab/>
      </w:r>
      <w:r w:rsidR="00ED54DD" w:rsidRPr="00C2660B">
        <w:rPr>
          <w:rFonts w:ascii="Bookman Old Style" w:eastAsia="Arial Narrow" w:hAnsi="Bookman Old Style"/>
          <w:sz w:val="24"/>
        </w:rPr>
        <w:t xml:space="preserve">H. Representante a la </w:t>
      </w:r>
      <w:r w:rsidR="00ED54DD">
        <w:rPr>
          <w:rFonts w:ascii="Bookman Old Style" w:eastAsia="Arial Narrow" w:hAnsi="Bookman Old Style"/>
          <w:sz w:val="24"/>
        </w:rPr>
        <w:t>Cámara</w:t>
      </w:r>
    </w:p>
    <w:p w:rsidR="00C2660B" w:rsidRDefault="00C2660B" w:rsidP="00C2660B">
      <w:pPr>
        <w:pStyle w:val="Sinespaciado"/>
        <w:rPr>
          <w:rFonts w:cs="Arial"/>
        </w:rPr>
      </w:pPr>
      <w:r w:rsidRPr="00C2660B">
        <w:rPr>
          <w:rFonts w:ascii="Bookman Old Style" w:eastAsia="Arial Narrow" w:hAnsi="Bookman Old Style"/>
          <w:sz w:val="24"/>
        </w:rPr>
        <w:t xml:space="preserve">Departamento de </w:t>
      </w:r>
      <w:r>
        <w:rPr>
          <w:rFonts w:ascii="Bookman Old Style" w:eastAsia="Arial Narrow" w:hAnsi="Bookman Old Style"/>
          <w:sz w:val="24"/>
        </w:rPr>
        <w:t>Córdoba</w:t>
      </w:r>
      <w:r w:rsidR="00ED54DD">
        <w:rPr>
          <w:rFonts w:ascii="Bookman Old Style" w:eastAsia="Arial Narrow" w:hAnsi="Bookman Old Style"/>
          <w:sz w:val="24"/>
        </w:rPr>
        <w:tab/>
      </w:r>
      <w:r w:rsidR="00ED54DD">
        <w:rPr>
          <w:rFonts w:ascii="Bookman Old Style" w:eastAsia="Arial Narrow" w:hAnsi="Bookman Old Style"/>
          <w:sz w:val="24"/>
        </w:rPr>
        <w:tab/>
      </w:r>
      <w:r w:rsidR="00ED54DD">
        <w:rPr>
          <w:rFonts w:ascii="Bookman Old Style" w:eastAsia="Arial Narrow" w:hAnsi="Bookman Old Style"/>
          <w:sz w:val="24"/>
        </w:rPr>
        <w:tab/>
      </w:r>
      <w:r w:rsidR="00ED54DD" w:rsidRPr="00C2660B">
        <w:rPr>
          <w:rFonts w:ascii="Bookman Old Style" w:eastAsia="Arial Narrow" w:hAnsi="Bookman Old Style"/>
          <w:sz w:val="24"/>
        </w:rPr>
        <w:t xml:space="preserve">Departamento de </w:t>
      </w:r>
      <w:r w:rsidR="00ED54DD">
        <w:rPr>
          <w:rFonts w:ascii="Bookman Old Style" w:eastAsia="Arial Narrow" w:hAnsi="Bookman Old Style"/>
          <w:sz w:val="24"/>
        </w:rPr>
        <w:t>Córdoba</w:t>
      </w:r>
      <w:r>
        <w:rPr>
          <w:rFonts w:eastAsia="Arial Narrow"/>
        </w:rPr>
        <w:tab/>
      </w:r>
    </w:p>
    <w:p w:rsidR="002A5C32" w:rsidRDefault="002A5C32" w:rsidP="002A5C32">
      <w:pPr>
        <w:rPr>
          <w:rFonts w:ascii="Bookman Old Style" w:hAnsi="Bookman Old Style" w:cs="Arial"/>
          <w:b/>
          <w:sz w:val="24"/>
          <w:szCs w:val="24"/>
        </w:rPr>
      </w:pPr>
    </w:p>
    <w:p w:rsidR="0057264E" w:rsidRDefault="00A17576" w:rsidP="002A5C32">
      <w:pPr>
        <w:pStyle w:val="Sinespaciado"/>
      </w:pPr>
      <w:r>
        <w:rPr>
          <w:noProof/>
          <w:lang w:val="es-CO" w:eastAsia="es-CO"/>
        </w:rPr>
        <w:drawing>
          <wp:anchor distT="0" distB="0" distL="114300" distR="114300" simplePos="0" relativeHeight="251659264" behindDoc="1" locked="0" layoutInCell="1" allowOverlap="1" wp14:anchorId="03141214" wp14:editId="34062D9B">
            <wp:simplePos x="0" y="0"/>
            <wp:positionH relativeFrom="margin">
              <wp:align>left</wp:align>
            </wp:positionH>
            <wp:positionV relativeFrom="paragraph">
              <wp:posOffset>8890</wp:posOffset>
            </wp:positionV>
            <wp:extent cx="2025650" cy="704215"/>
            <wp:effectExtent l="0" t="0" r="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25650" cy="704215"/>
                    </a:xfrm>
                    <a:prstGeom prst="rect">
                      <a:avLst/>
                    </a:prstGeom>
                  </pic:spPr>
                </pic:pic>
              </a:graphicData>
            </a:graphic>
          </wp:anchor>
        </w:drawing>
      </w:r>
      <w:r w:rsidR="002A5C32">
        <w:tab/>
      </w:r>
      <w:r w:rsidR="002A5C32">
        <w:tab/>
      </w:r>
      <w:r w:rsidR="002A5C32">
        <w:tab/>
      </w:r>
      <w:r w:rsidR="002A5C32">
        <w:tab/>
        <w:t xml:space="preserve">                                                </w:t>
      </w:r>
      <w:r w:rsidR="002A5C32" w:rsidRPr="001D6C5E">
        <w:rPr>
          <w:rFonts w:ascii="Arial" w:hAnsi="Arial"/>
          <w:noProof/>
          <w:lang w:val="es-CO" w:eastAsia="es-CO"/>
        </w:rPr>
        <w:drawing>
          <wp:inline distT="0" distB="0" distL="0" distR="0" wp14:anchorId="7A06CC92" wp14:editId="71E2FA51">
            <wp:extent cx="1857375" cy="723226"/>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2206" cy="729001"/>
                    </a:xfrm>
                    <a:prstGeom prst="rect">
                      <a:avLst/>
                    </a:prstGeom>
                    <a:noFill/>
                    <a:ln>
                      <a:noFill/>
                    </a:ln>
                  </pic:spPr>
                </pic:pic>
              </a:graphicData>
            </a:graphic>
          </wp:inline>
        </w:drawing>
      </w:r>
    </w:p>
    <w:p w:rsidR="0057264E" w:rsidRPr="00A17576" w:rsidRDefault="00A17576" w:rsidP="00A17576">
      <w:pPr>
        <w:pStyle w:val="Sinespaciado"/>
        <w:rPr>
          <w:rFonts w:ascii="Bookman Old Style" w:hAnsi="Bookman Old Style"/>
          <w:b/>
          <w:sz w:val="24"/>
        </w:rPr>
      </w:pPr>
      <w:r w:rsidRPr="00A17576">
        <w:rPr>
          <w:rFonts w:ascii="Bookman Old Style" w:hAnsi="Bookman Old Style"/>
          <w:b/>
          <w:sz w:val="24"/>
        </w:rPr>
        <w:t>JOSÉ LUIS PINEDO CAMPO</w:t>
      </w:r>
      <w:r w:rsidR="002A5C32">
        <w:rPr>
          <w:rFonts w:ascii="Bookman Old Style" w:hAnsi="Bookman Old Style"/>
          <w:b/>
          <w:sz w:val="24"/>
        </w:rPr>
        <w:tab/>
      </w:r>
      <w:r w:rsidR="002A5C32">
        <w:rPr>
          <w:rFonts w:ascii="Bookman Old Style" w:hAnsi="Bookman Old Style"/>
          <w:b/>
          <w:sz w:val="24"/>
        </w:rPr>
        <w:tab/>
      </w:r>
      <w:r w:rsidR="002A5C32">
        <w:rPr>
          <w:rFonts w:ascii="Bookman Old Style" w:hAnsi="Bookman Old Style"/>
          <w:b/>
          <w:sz w:val="24"/>
        </w:rPr>
        <w:tab/>
        <w:t>MODESTO AGUILERA VIDES</w:t>
      </w:r>
    </w:p>
    <w:p w:rsidR="00A17576" w:rsidRPr="00A17576" w:rsidRDefault="00A17576" w:rsidP="00A17576">
      <w:pPr>
        <w:pStyle w:val="Sinespaciado"/>
        <w:rPr>
          <w:rFonts w:ascii="Bookman Old Style" w:hAnsi="Bookman Old Style"/>
          <w:sz w:val="24"/>
        </w:rPr>
      </w:pPr>
      <w:r w:rsidRPr="00A17576">
        <w:rPr>
          <w:rFonts w:ascii="Bookman Old Style" w:eastAsia="Arial Narrow" w:hAnsi="Bookman Old Style"/>
          <w:sz w:val="24"/>
        </w:rPr>
        <w:t>H. Representante a la Cámara</w:t>
      </w:r>
      <w:r w:rsidR="002A5C32">
        <w:rPr>
          <w:rFonts w:ascii="Bookman Old Style" w:eastAsia="Arial Narrow" w:hAnsi="Bookman Old Style"/>
          <w:sz w:val="24"/>
        </w:rPr>
        <w:tab/>
      </w:r>
      <w:r w:rsidR="002A5C32">
        <w:rPr>
          <w:rFonts w:ascii="Bookman Old Style" w:eastAsia="Arial Narrow" w:hAnsi="Bookman Old Style"/>
          <w:sz w:val="24"/>
        </w:rPr>
        <w:tab/>
      </w:r>
      <w:r w:rsidR="002A5C32" w:rsidRPr="00A17576">
        <w:rPr>
          <w:rFonts w:ascii="Bookman Old Style" w:eastAsia="Arial Narrow" w:hAnsi="Bookman Old Style"/>
          <w:sz w:val="24"/>
        </w:rPr>
        <w:t>H. Representante a la Cámara</w:t>
      </w:r>
    </w:p>
    <w:p w:rsidR="002A5C32" w:rsidRPr="00A17576" w:rsidRDefault="00A17576" w:rsidP="002A5C32">
      <w:pPr>
        <w:pStyle w:val="Sinespaciado"/>
        <w:rPr>
          <w:rFonts w:ascii="Bookman Old Style" w:hAnsi="Bookman Old Style"/>
          <w:sz w:val="24"/>
        </w:rPr>
      </w:pPr>
      <w:r w:rsidRPr="00A17576">
        <w:rPr>
          <w:rFonts w:ascii="Bookman Old Style" w:eastAsia="Arial Narrow" w:hAnsi="Bookman Old Style"/>
          <w:sz w:val="24"/>
        </w:rPr>
        <w:t xml:space="preserve">Departamento de </w:t>
      </w:r>
      <w:r w:rsidR="009A7DB6">
        <w:rPr>
          <w:rFonts w:ascii="Bookman Old Style" w:eastAsia="Arial Narrow" w:hAnsi="Bookman Old Style"/>
          <w:sz w:val="24"/>
        </w:rPr>
        <w:t>Magdalena</w:t>
      </w:r>
      <w:r w:rsidR="002A5C32">
        <w:rPr>
          <w:rFonts w:ascii="Bookman Old Style" w:eastAsia="Arial Narrow" w:hAnsi="Bookman Old Style"/>
          <w:sz w:val="24"/>
        </w:rPr>
        <w:tab/>
      </w:r>
      <w:r w:rsidR="002A5C32">
        <w:rPr>
          <w:rFonts w:ascii="Bookman Old Style" w:eastAsia="Arial Narrow" w:hAnsi="Bookman Old Style"/>
          <w:sz w:val="24"/>
        </w:rPr>
        <w:tab/>
      </w:r>
      <w:r w:rsidR="002A5C32">
        <w:rPr>
          <w:rFonts w:ascii="Bookman Old Style" w:eastAsia="Arial Narrow" w:hAnsi="Bookman Old Style"/>
          <w:sz w:val="24"/>
        </w:rPr>
        <w:tab/>
      </w:r>
      <w:r w:rsidR="002A5C32" w:rsidRPr="00A17576">
        <w:rPr>
          <w:rFonts w:ascii="Bookman Old Style" w:eastAsia="Arial Narrow" w:hAnsi="Bookman Old Style"/>
          <w:sz w:val="24"/>
        </w:rPr>
        <w:t xml:space="preserve">Departamento de </w:t>
      </w:r>
      <w:r w:rsidR="002A5C32">
        <w:rPr>
          <w:rFonts w:ascii="Bookman Old Style" w:eastAsia="Arial Narrow" w:hAnsi="Bookman Old Style"/>
          <w:sz w:val="24"/>
        </w:rPr>
        <w:t>Atlántico</w:t>
      </w:r>
    </w:p>
    <w:p w:rsidR="0057264E" w:rsidRPr="00A17576" w:rsidRDefault="0057264E" w:rsidP="00A17576">
      <w:pPr>
        <w:pStyle w:val="Sinespaciado"/>
        <w:rPr>
          <w:rFonts w:ascii="Bookman Old Style" w:hAnsi="Bookman Old Style"/>
          <w:sz w:val="24"/>
        </w:rPr>
      </w:pPr>
    </w:p>
    <w:p w:rsidR="0057264E" w:rsidRDefault="0057264E" w:rsidP="00D20F78">
      <w:pPr>
        <w:jc w:val="center"/>
        <w:rPr>
          <w:rFonts w:ascii="Bookman Old Style" w:hAnsi="Bookman Old Style" w:cs="Arial"/>
          <w:b/>
          <w:sz w:val="24"/>
          <w:szCs w:val="24"/>
        </w:rPr>
      </w:pPr>
    </w:p>
    <w:p w:rsidR="0057264E" w:rsidRDefault="0057264E" w:rsidP="00D20F78">
      <w:pPr>
        <w:jc w:val="center"/>
        <w:rPr>
          <w:rFonts w:ascii="Bookman Old Style" w:hAnsi="Bookman Old Style" w:cs="Arial"/>
          <w:b/>
          <w:sz w:val="24"/>
          <w:szCs w:val="24"/>
        </w:rPr>
      </w:pPr>
    </w:p>
    <w:p w:rsidR="0057264E" w:rsidRDefault="0057264E" w:rsidP="00D20F78">
      <w:pPr>
        <w:jc w:val="center"/>
        <w:rPr>
          <w:rFonts w:ascii="Bookman Old Style" w:hAnsi="Bookman Old Style" w:cs="Arial"/>
          <w:b/>
          <w:sz w:val="24"/>
          <w:szCs w:val="24"/>
        </w:rPr>
      </w:pPr>
    </w:p>
    <w:p w:rsidR="0057264E" w:rsidRDefault="0057264E" w:rsidP="00D20F78">
      <w:pPr>
        <w:jc w:val="center"/>
        <w:rPr>
          <w:rFonts w:ascii="Bookman Old Style" w:hAnsi="Bookman Old Style" w:cs="Arial"/>
          <w:b/>
          <w:sz w:val="24"/>
          <w:szCs w:val="24"/>
        </w:rPr>
      </w:pPr>
    </w:p>
    <w:p w:rsidR="0057264E" w:rsidRDefault="0057264E" w:rsidP="00D20F78">
      <w:pPr>
        <w:jc w:val="center"/>
        <w:rPr>
          <w:rFonts w:ascii="Bookman Old Style" w:hAnsi="Bookman Old Style" w:cs="Arial"/>
          <w:b/>
          <w:sz w:val="24"/>
          <w:szCs w:val="24"/>
        </w:rPr>
      </w:pPr>
    </w:p>
    <w:p w:rsidR="0057264E" w:rsidRDefault="0057264E" w:rsidP="00D20F78">
      <w:pPr>
        <w:jc w:val="center"/>
        <w:rPr>
          <w:rFonts w:ascii="Bookman Old Style" w:hAnsi="Bookman Old Style" w:cs="Arial"/>
          <w:b/>
          <w:sz w:val="24"/>
          <w:szCs w:val="24"/>
        </w:rPr>
      </w:pPr>
    </w:p>
    <w:p w:rsidR="0057264E" w:rsidRDefault="0057264E" w:rsidP="00D20F78">
      <w:pPr>
        <w:jc w:val="center"/>
        <w:rPr>
          <w:rFonts w:ascii="Bookman Old Style" w:hAnsi="Bookman Old Style" w:cs="Arial"/>
          <w:b/>
          <w:sz w:val="24"/>
          <w:szCs w:val="24"/>
        </w:rPr>
      </w:pPr>
    </w:p>
    <w:p w:rsidR="0057264E" w:rsidRDefault="0057264E" w:rsidP="00D20F78">
      <w:pPr>
        <w:jc w:val="center"/>
        <w:rPr>
          <w:rFonts w:ascii="Bookman Old Style" w:hAnsi="Bookman Old Style" w:cs="Arial"/>
          <w:b/>
          <w:sz w:val="24"/>
          <w:szCs w:val="24"/>
        </w:rPr>
      </w:pPr>
    </w:p>
    <w:p w:rsidR="0057264E" w:rsidRDefault="0057264E" w:rsidP="00D20F78">
      <w:pPr>
        <w:jc w:val="center"/>
        <w:rPr>
          <w:rFonts w:ascii="Bookman Old Style" w:hAnsi="Bookman Old Style" w:cs="Arial"/>
          <w:b/>
          <w:sz w:val="24"/>
          <w:szCs w:val="24"/>
        </w:rPr>
      </w:pPr>
    </w:p>
    <w:p w:rsidR="0057264E" w:rsidRDefault="0057264E" w:rsidP="00D20F78">
      <w:pPr>
        <w:jc w:val="center"/>
        <w:rPr>
          <w:rFonts w:ascii="Bookman Old Style" w:hAnsi="Bookman Old Style" w:cs="Arial"/>
          <w:b/>
          <w:sz w:val="24"/>
          <w:szCs w:val="24"/>
        </w:rPr>
      </w:pPr>
    </w:p>
    <w:p w:rsidR="0057264E" w:rsidRDefault="0057264E" w:rsidP="00B24E3E">
      <w:pPr>
        <w:rPr>
          <w:rFonts w:ascii="Bookman Old Style" w:hAnsi="Bookman Old Style" w:cs="Arial"/>
          <w:b/>
          <w:sz w:val="24"/>
          <w:szCs w:val="24"/>
        </w:rPr>
      </w:pPr>
    </w:p>
    <w:p w:rsidR="0057264E" w:rsidRDefault="0057264E" w:rsidP="00D20F78">
      <w:pPr>
        <w:jc w:val="center"/>
        <w:rPr>
          <w:rFonts w:ascii="Bookman Old Style" w:hAnsi="Bookman Old Style" w:cs="Arial"/>
          <w:b/>
          <w:sz w:val="24"/>
          <w:szCs w:val="24"/>
        </w:rPr>
      </w:pPr>
    </w:p>
    <w:p w:rsidR="0057264E" w:rsidRDefault="0057264E" w:rsidP="00D20F78">
      <w:pPr>
        <w:jc w:val="center"/>
        <w:rPr>
          <w:rFonts w:ascii="Bookman Old Style" w:hAnsi="Bookman Old Style" w:cs="Arial"/>
          <w:b/>
          <w:sz w:val="24"/>
          <w:szCs w:val="24"/>
        </w:rPr>
      </w:pPr>
    </w:p>
    <w:p w:rsidR="0057264E" w:rsidRDefault="0057264E" w:rsidP="00D20F78">
      <w:pPr>
        <w:jc w:val="center"/>
        <w:rPr>
          <w:rFonts w:ascii="Bookman Old Style" w:hAnsi="Bookman Old Style" w:cs="Arial"/>
          <w:b/>
          <w:sz w:val="24"/>
          <w:szCs w:val="24"/>
        </w:rPr>
      </w:pPr>
    </w:p>
    <w:p w:rsidR="00D20F78" w:rsidRPr="004164E9" w:rsidRDefault="00D20F78" w:rsidP="00D20F78">
      <w:pPr>
        <w:jc w:val="center"/>
        <w:rPr>
          <w:rFonts w:ascii="Bookman Old Style" w:hAnsi="Bookman Old Style" w:cs="Arial"/>
          <w:b/>
          <w:sz w:val="24"/>
          <w:szCs w:val="24"/>
        </w:rPr>
      </w:pPr>
      <w:r w:rsidRPr="004164E9">
        <w:rPr>
          <w:rFonts w:ascii="Bookman Old Style" w:hAnsi="Bookman Old Style" w:cs="Arial"/>
          <w:b/>
          <w:sz w:val="24"/>
          <w:szCs w:val="24"/>
        </w:rPr>
        <w:lastRenderedPageBreak/>
        <w:t xml:space="preserve">PROYECTO DE </w:t>
      </w:r>
      <w:r w:rsidR="009E6D68">
        <w:rPr>
          <w:rFonts w:ascii="Bookman Old Style" w:hAnsi="Bookman Old Style" w:cs="Arial"/>
          <w:b/>
          <w:sz w:val="24"/>
          <w:szCs w:val="24"/>
        </w:rPr>
        <w:t>LEY No._________________ DE 2021</w:t>
      </w:r>
    </w:p>
    <w:p w:rsidR="00D20F78" w:rsidRPr="004164E9" w:rsidRDefault="00D20F78" w:rsidP="00D20F78">
      <w:pPr>
        <w:pStyle w:val="Sinespaciado"/>
        <w:rPr>
          <w:rFonts w:ascii="Bookman Old Style" w:hAnsi="Bookman Old Style"/>
        </w:rPr>
      </w:pPr>
    </w:p>
    <w:p w:rsidR="00D20F78" w:rsidRPr="004164E9" w:rsidRDefault="00D20F78" w:rsidP="00D20F78">
      <w:pPr>
        <w:jc w:val="center"/>
        <w:rPr>
          <w:rFonts w:ascii="Bookman Old Style" w:hAnsi="Bookman Old Style" w:cs="Arial"/>
          <w:b/>
          <w:sz w:val="21"/>
          <w:szCs w:val="21"/>
        </w:rPr>
      </w:pPr>
      <w:r w:rsidRPr="004164E9">
        <w:rPr>
          <w:rFonts w:ascii="Bookman Old Style" w:hAnsi="Bookman Old Style" w:cs="Arial"/>
          <w:b/>
          <w:sz w:val="24"/>
          <w:szCs w:val="24"/>
        </w:rPr>
        <w:t>“POR MEDIO DE</w:t>
      </w:r>
      <w:r>
        <w:rPr>
          <w:rFonts w:ascii="Bookman Old Style" w:hAnsi="Bookman Old Style" w:cs="Arial"/>
          <w:b/>
          <w:sz w:val="24"/>
          <w:szCs w:val="24"/>
        </w:rPr>
        <w:t xml:space="preserve"> </w:t>
      </w:r>
      <w:r w:rsidRPr="004164E9">
        <w:rPr>
          <w:rFonts w:ascii="Bookman Old Style" w:hAnsi="Bookman Old Style" w:cs="Arial"/>
          <w:b/>
          <w:sz w:val="24"/>
          <w:szCs w:val="24"/>
        </w:rPr>
        <w:t>L</w:t>
      </w:r>
      <w:r>
        <w:rPr>
          <w:rFonts w:ascii="Bookman Old Style" w:hAnsi="Bookman Old Style" w:cs="Arial"/>
          <w:b/>
          <w:sz w:val="24"/>
          <w:szCs w:val="24"/>
        </w:rPr>
        <w:t>A</w:t>
      </w:r>
      <w:r w:rsidRPr="004164E9">
        <w:rPr>
          <w:rFonts w:ascii="Bookman Old Style" w:hAnsi="Bookman Old Style" w:cs="Arial"/>
          <w:b/>
          <w:sz w:val="24"/>
          <w:szCs w:val="24"/>
        </w:rPr>
        <w:t xml:space="preserve"> CUAL SE</w:t>
      </w:r>
      <w:r>
        <w:rPr>
          <w:rFonts w:ascii="Bookman Old Style" w:hAnsi="Bookman Old Style" w:cs="Arial"/>
          <w:b/>
          <w:sz w:val="24"/>
          <w:szCs w:val="24"/>
        </w:rPr>
        <w:t xml:space="preserve"> FORTALECE LA PLANEACIÓN ESTRATÉGICA, SE</w:t>
      </w:r>
      <w:r w:rsidRPr="004164E9">
        <w:rPr>
          <w:rFonts w:ascii="Bookman Old Style" w:hAnsi="Bookman Old Style" w:cs="Arial"/>
          <w:b/>
          <w:sz w:val="24"/>
          <w:szCs w:val="24"/>
        </w:rPr>
        <w:t xml:space="preserve"> CREA</w:t>
      </w:r>
      <w:r>
        <w:rPr>
          <w:rFonts w:ascii="Bookman Old Style" w:hAnsi="Bookman Old Style" w:cs="Arial"/>
          <w:b/>
          <w:sz w:val="24"/>
          <w:szCs w:val="24"/>
        </w:rPr>
        <w:t>N</w:t>
      </w:r>
      <w:r w:rsidRPr="004164E9">
        <w:rPr>
          <w:rFonts w:ascii="Bookman Old Style" w:hAnsi="Bookman Old Style" w:cs="Arial"/>
          <w:b/>
          <w:sz w:val="24"/>
          <w:szCs w:val="24"/>
        </w:rPr>
        <w:t xml:space="preserve"> </w:t>
      </w:r>
      <w:r>
        <w:rPr>
          <w:rFonts w:ascii="Bookman Old Style" w:hAnsi="Bookman Old Style" w:cs="Arial"/>
          <w:b/>
          <w:sz w:val="24"/>
          <w:szCs w:val="24"/>
        </w:rPr>
        <w:t>LOS</w:t>
      </w:r>
      <w:r w:rsidRPr="004164E9">
        <w:rPr>
          <w:rFonts w:ascii="Bookman Old Style" w:hAnsi="Bookman Old Style" w:cs="Arial"/>
          <w:b/>
          <w:sz w:val="24"/>
          <w:szCs w:val="24"/>
        </w:rPr>
        <w:t xml:space="preserve"> </w:t>
      </w:r>
      <w:r>
        <w:rPr>
          <w:rFonts w:ascii="Bookman Old Style" w:hAnsi="Bookman Old Style" w:cs="Arial"/>
          <w:b/>
          <w:sz w:val="24"/>
          <w:szCs w:val="24"/>
        </w:rPr>
        <w:t>MECANISMOS DE COORDINACIÓN Y</w:t>
      </w:r>
      <w:r w:rsidRPr="004164E9">
        <w:rPr>
          <w:rFonts w:ascii="Bookman Old Style" w:hAnsi="Bookman Old Style" w:cs="Arial"/>
          <w:b/>
          <w:sz w:val="24"/>
          <w:szCs w:val="24"/>
        </w:rPr>
        <w:t xml:space="preserve"> CONCURRENCIA</w:t>
      </w:r>
      <w:r>
        <w:rPr>
          <w:rFonts w:ascii="Bookman Old Style" w:hAnsi="Bookman Old Style" w:cs="Arial"/>
          <w:b/>
          <w:sz w:val="24"/>
          <w:szCs w:val="24"/>
        </w:rPr>
        <w:t xml:space="preserve"> ENTRE LAS AUTORIDADES NACIONALES Y TERRITORIALES Y DE PARTICIPACIÓN CIUDADANA</w:t>
      </w:r>
      <w:r w:rsidRPr="004164E9">
        <w:rPr>
          <w:rFonts w:ascii="Bookman Old Style" w:hAnsi="Bookman Old Style" w:cs="Arial"/>
          <w:b/>
          <w:sz w:val="24"/>
          <w:szCs w:val="24"/>
        </w:rPr>
        <w:t xml:space="preserve"> </w:t>
      </w:r>
      <w:r>
        <w:rPr>
          <w:rFonts w:ascii="Bookman Old Style" w:hAnsi="Bookman Old Style" w:cs="Arial"/>
          <w:b/>
          <w:sz w:val="24"/>
          <w:szCs w:val="24"/>
        </w:rPr>
        <w:t>PARA LA EXPLORACIÓN Y EXPLOTACIÓ</w:t>
      </w:r>
      <w:r w:rsidRPr="004164E9">
        <w:rPr>
          <w:rFonts w:ascii="Bookman Old Style" w:hAnsi="Bookman Old Style" w:cs="Arial"/>
          <w:b/>
          <w:sz w:val="24"/>
          <w:szCs w:val="24"/>
        </w:rPr>
        <w:t>N</w:t>
      </w:r>
      <w:r>
        <w:rPr>
          <w:rFonts w:ascii="Bookman Old Style" w:hAnsi="Bookman Old Style" w:cs="Arial"/>
          <w:b/>
          <w:sz w:val="24"/>
          <w:szCs w:val="24"/>
        </w:rPr>
        <w:t xml:space="preserve"> DEL SUBSUELO Y</w:t>
      </w:r>
      <w:r w:rsidRPr="004164E9">
        <w:rPr>
          <w:rFonts w:ascii="Bookman Old Style" w:hAnsi="Bookman Old Style" w:cs="Arial"/>
          <w:b/>
          <w:sz w:val="24"/>
          <w:szCs w:val="24"/>
        </w:rPr>
        <w:t xml:space="preserve"> DE RECURSOS NATURALES NO </w:t>
      </w:r>
      <w:r w:rsidR="009E6D68" w:rsidRPr="004164E9">
        <w:rPr>
          <w:rFonts w:ascii="Bookman Old Style" w:hAnsi="Bookman Old Style" w:cs="Arial"/>
          <w:b/>
          <w:sz w:val="24"/>
          <w:szCs w:val="24"/>
        </w:rPr>
        <w:t>RENOVABLES</w:t>
      </w:r>
      <w:r w:rsidR="009E6D68">
        <w:rPr>
          <w:rFonts w:ascii="Bookman Old Style" w:hAnsi="Bookman Old Style" w:cs="Arial"/>
          <w:b/>
          <w:sz w:val="24"/>
          <w:szCs w:val="24"/>
        </w:rPr>
        <w:t xml:space="preserve"> Y</w:t>
      </w:r>
      <w:r>
        <w:rPr>
          <w:rFonts w:ascii="Bookman Old Style" w:hAnsi="Bookman Old Style" w:cs="Arial"/>
          <w:b/>
          <w:sz w:val="24"/>
          <w:szCs w:val="24"/>
        </w:rPr>
        <w:t xml:space="preserve"> SE DICTAN OTRAS DISPOSICIONES</w:t>
      </w:r>
      <w:r w:rsidRPr="004164E9">
        <w:rPr>
          <w:rFonts w:ascii="Bookman Old Style" w:hAnsi="Bookman Old Style" w:cs="Arial"/>
          <w:b/>
          <w:sz w:val="24"/>
          <w:szCs w:val="24"/>
        </w:rPr>
        <w:t>”</w:t>
      </w:r>
    </w:p>
    <w:p w:rsidR="00D20F78" w:rsidRPr="004164E9" w:rsidRDefault="00D20F78" w:rsidP="00D20F78">
      <w:pPr>
        <w:pStyle w:val="Sinespaciado"/>
        <w:rPr>
          <w:rFonts w:ascii="Bookman Old Style" w:hAnsi="Bookman Old Style"/>
        </w:rPr>
      </w:pPr>
    </w:p>
    <w:p w:rsidR="00D20F78" w:rsidRPr="004164E9" w:rsidRDefault="00D20F78" w:rsidP="00D20F78">
      <w:pPr>
        <w:jc w:val="center"/>
        <w:rPr>
          <w:rFonts w:ascii="Bookman Old Style" w:hAnsi="Bookman Old Style" w:cs="Arial"/>
          <w:b/>
          <w:sz w:val="24"/>
          <w:szCs w:val="24"/>
        </w:rPr>
      </w:pPr>
      <w:r w:rsidRPr="004164E9">
        <w:rPr>
          <w:rFonts w:ascii="Bookman Old Style" w:hAnsi="Bookman Old Style" w:cs="Arial"/>
          <w:b/>
          <w:sz w:val="24"/>
          <w:szCs w:val="24"/>
        </w:rPr>
        <w:t xml:space="preserve">“EL CONGRESO DE LA REPÚBLICA </w:t>
      </w:r>
    </w:p>
    <w:p w:rsidR="00D20F78" w:rsidRPr="004164E9" w:rsidRDefault="00D20F78" w:rsidP="00D20F78">
      <w:pPr>
        <w:jc w:val="center"/>
        <w:rPr>
          <w:rFonts w:ascii="Bookman Old Style" w:hAnsi="Bookman Old Style" w:cs="Arial"/>
          <w:b/>
          <w:sz w:val="24"/>
          <w:szCs w:val="24"/>
        </w:rPr>
      </w:pPr>
      <w:r w:rsidRPr="004164E9">
        <w:rPr>
          <w:rFonts w:ascii="Bookman Old Style" w:hAnsi="Bookman Old Style" w:cs="Arial"/>
          <w:b/>
          <w:sz w:val="24"/>
          <w:szCs w:val="24"/>
        </w:rPr>
        <w:t>DECRETA”</w:t>
      </w:r>
    </w:p>
    <w:p w:rsidR="00D20F78" w:rsidRDefault="00D20F78" w:rsidP="00D20F78">
      <w:pPr>
        <w:jc w:val="center"/>
        <w:rPr>
          <w:rFonts w:ascii="Bookman Old Style" w:hAnsi="Bookman Old Style" w:cs="Arial"/>
          <w:b/>
          <w:sz w:val="24"/>
          <w:szCs w:val="24"/>
        </w:rPr>
      </w:pPr>
      <w:r>
        <w:rPr>
          <w:rFonts w:ascii="Bookman Old Style" w:hAnsi="Bookman Old Style" w:cs="Arial"/>
          <w:b/>
          <w:sz w:val="24"/>
          <w:szCs w:val="24"/>
        </w:rPr>
        <w:t>TÍTULO I</w:t>
      </w:r>
    </w:p>
    <w:p w:rsidR="00D20F78" w:rsidRPr="004164E9" w:rsidRDefault="00D20F78" w:rsidP="00D20F78">
      <w:pPr>
        <w:jc w:val="center"/>
        <w:rPr>
          <w:rFonts w:ascii="Bookman Old Style" w:hAnsi="Bookman Old Style" w:cs="Arial"/>
          <w:b/>
          <w:sz w:val="24"/>
          <w:szCs w:val="24"/>
        </w:rPr>
      </w:pPr>
      <w:r>
        <w:rPr>
          <w:rFonts w:ascii="Bookman Old Style" w:hAnsi="Bookman Old Style" w:cs="Arial"/>
          <w:b/>
          <w:sz w:val="24"/>
          <w:szCs w:val="24"/>
        </w:rPr>
        <w:t>DISPOSICIONES GENERALES</w:t>
      </w:r>
    </w:p>
    <w:p w:rsidR="00D20F78" w:rsidRDefault="00D20F78" w:rsidP="00D20F78">
      <w:pPr>
        <w:jc w:val="both"/>
        <w:rPr>
          <w:rFonts w:ascii="Bookman Old Style" w:hAnsi="Bookman Old Style" w:cs="Arial"/>
          <w:iCs/>
          <w:sz w:val="24"/>
          <w:szCs w:val="24"/>
          <w:lang w:val="es-CO"/>
        </w:rPr>
      </w:pPr>
      <w:r w:rsidRPr="004164E9">
        <w:rPr>
          <w:rFonts w:ascii="Bookman Old Style" w:hAnsi="Bookman Old Style" w:cs="Arial"/>
          <w:b/>
          <w:sz w:val="24"/>
          <w:szCs w:val="24"/>
        </w:rPr>
        <w:t>A</w:t>
      </w:r>
      <w:r>
        <w:rPr>
          <w:rFonts w:ascii="Bookman Old Style" w:hAnsi="Bookman Old Style" w:cs="Arial"/>
          <w:b/>
          <w:sz w:val="24"/>
          <w:szCs w:val="24"/>
        </w:rPr>
        <w:t>rtículo P</w:t>
      </w:r>
      <w:r w:rsidRPr="004164E9">
        <w:rPr>
          <w:rFonts w:ascii="Bookman Old Style" w:hAnsi="Bookman Old Style" w:cs="Arial"/>
          <w:b/>
          <w:sz w:val="24"/>
          <w:szCs w:val="24"/>
        </w:rPr>
        <w:t>rimero. Objeto</w:t>
      </w:r>
      <w:r w:rsidRPr="004164E9">
        <w:rPr>
          <w:rFonts w:ascii="Bookman Old Style" w:hAnsi="Bookman Old Style" w:cs="Arial"/>
          <w:sz w:val="24"/>
          <w:szCs w:val="24"/>
        </w:rPr>
        <w:t xml:space="preserve">. </w:t>
      </w:r>
      <w:r>
        <w:rPr>
          <w:rFonts w:ascii="Bookman Old Style" w:hAnsi="Bookman Old Style" w:cs="Arial"/>
          <w:iCs/>
          <w:sz w:val="24"/>
          <w:szCs w:val="24"/>
          <w:lang w:val="es-CO"/>
        </w:rPr>
        <w:t xml:space="preserve">La presente </w:t>
      </w:r>
      <w:r>
        <w:rPr>
          <w:rFonts w:ascii="Bookman Old Style" w:hAnsi="Bookman Old Style" w:cs="Arial"/>
          <w:iCs/>
          <w:smallCaps/>
          <w:sz w:val="24"/>
          <w:szCs w:val="24"/>
          <w:lang w:val="es-CO"/>
        </w:rPr>
        <w:t>l</w:t>
      </w:r>
      <w:r w:rsidRPr="006118BD">
        <w:rPr>
          <w:rFonts w:ascii="Bookman Old Style" w:hAnsi="Bookman Old Style" w:cs="Arial"/>
          <w:iCs/>
          <w:sz w:val="24"/>
          <w:szCs w:val="24"/>
          <w:lang w:val="es-CO"/>
        </w:rPr>
        <w:t>ey tiene por objeto fortalecer las competencias en materia de planeación estratégica para la exploración y explotación del subsuelo y de los recursos naturales no renovables; establecer los instrumentos de coordinación y concurrencia entre las autoridades nacionales y territoriales para la exploración y explotación del subsuelo y de recursos naturales no renovables, así como crear los mecanismos de participación ciudadana para la exploración y explotación del subsuelo y de los re</w:t>
      </w:r>
      <w:r>
        <w:rPr>
          <w:rFonts w:ascii="Bookman Old Style" w:hAnsi="Bookman Old Style" w:cs="Arial"/>
          <w:iCs/>
          <w:sz w:val="24"/>
          <w:szCs w:val="24"/>
          <w:lang w:val="es-CO"/>
        </w:rPr>
        <w:t>cursos naturales no renovables.</w:t>
      </w:r>
    </w:p>
    <w:p w:rsidR="00D20F78" w:rsidRPr="0023355E" w:rsidRDefault="00D20F78" w:rsidP="00D20F78">
      <w:pPr>
        <w:spacing w:after="0"/>
        <w:ind w:right="49"/>
        <w:jc w:val="both"/>
        <w:rPr>
          <w:rFonts w:ascii="Bookman Old Style" w:eastAsia="Times New Roman" w:hAnsi="Bookman Old Style" w:cs="Arial"/>
          <w:iCs/>
          <w:sz w:val="24"/>
        </w:rPr>
      </w:pPr>
      <w:r w:rsidRPr="0023355E">
        <w:rPr>
          <w:rFonts w:ascii="Bookman Old Style" w:eastAsia="Times New Roman" w:hAnsi="Bookman Old Style" w:cs="Arial"/>
          <w:b/>
          <w:bCs/>
          <w:iCs/>
          <w:sz w:val="24"/>
        </w:rPr>
        <w:t xml:space="preserve">Artículo </w:t>
      </w:r>
      <w:r>
        <w:rPr>
          <w:rFonts w:ascii="Bookman Old Style" w:eastAsia="Times New Roman" w:hAnsi="Bookman Old Style" w:cs="Arial"/>
          <w:b/>
          <w:bCs/>
          <w:iCs/>
          <w:sz w:val="24"/>
        </w:rPr>
        <w:t>Segundo</w:t>
      </w:r>
      <w:r w:rsidRPr="0023355E">
        <w:rPr>
          <w:rFonts w:ascii="Bookman Old Style" w:eastAsia="Times New Roman" w:hAnsi="Bookman Old Style" w:cs="Arial"/>
          <w:b/>
          <w:bCs/>
          <w:iCs/>
          <w:sz w:val="24"/>
        </w:rPr>
        <w:t>.</w:t>
      </w:r>
      <w:r w:rsidRPr="0023355E">
        <w:rPr>
          <w:rFonts w:ascii="Bookman Old Style" w:eastAsia="Times New Roman" w:hAnsi="Bookman Old Style" w:cs="Arial"/>
          <w:b/>
          <w:iCs/>
          <w:sz w:val="24"/>
        </w:rPr>
        <w:t xml:space="preserve"> Ámbito de aplicación.</w:t>
      </w:r>
      <w:r w:rsidRPr="0023355E">
        <w:rPr>
          <w:rFonts w:ascii="Bookman Old Style" w:eastAsia="Times New Roman" w:hAnsi="Bookman Old Style" w:cs="Arial"/>
          <w:iCs/>
          <w:sz w:val="24"/>
        </w:rPr>
        <w:t xml:space="preserve"> Las normas estipuladas en la presente Ley se aplicarán </w:t>
      </w:r>
      <w:r>
        <w:rPr>
          <w:rFonts w:ascii="Bookman Old Style" w:hAnsi="Bookman Old Style" w:cs="Arial"/>
          <w:iCs/>
          <w:sz w:val="24"/>
          <w:szCs w:val="24"/>
          <w:lang w:val="es-CO"/>
        </w:rPr>
        <w:t>en los diferentes procesos y etapas de</w:t>
      </w:r>
      <w:r w:rsidRPr="006118BD">
        <w:rPr>
          <w:rFonts w:ascii="Bookman Old Style" w:hAnsi="Bookman Old Style" w:cs="Arial"/>
          <w:iCs/>
          <w:sz w:val="24"/>
          <w:szCs w:val="24"/>
          <w:lang w:val="es-CO"/>
        </w:rPr>
        <w:t xml:space="preserve"> exploración y explotación del subsuelo y de los recursos naturales no renovables</w:t>
      </w:r>
      <w:r>
        <w:rPr>
          <w:rFonts w:ascii="Bookman Old Style" w:hAnsi="Bookman Old Style" w:cs="Arial"/>
          <w:iCs/>
          <w:sz w:val="24"/>
          <w:szCs w:val="24"/>
          <w:lang w:val="es-CO"/>
        </w:rPr>
        <w:t>.</w:t>
      </w:r>
    </w:p>
    <w:p w:rsidR="00D20F78" w:rsidRDefault="00D20F78" w:rsidP="00D20F78">
      <w:pPr>
        <w:pStyle w:val="Sinespaciado"/>
        <w:rPr>
          <w:lang w:val="es-CO"/>
        </w:rPr>
      </w:pPr>
    </w:p>
    <w:p w:rsidR="00D20F78" w:rsidRPr="00CD6611" w:rsidRDefault="00D20F78" w:rsidP="00D20F78">
      <w:pPr>
        <w:jc w:val="both"/>
        <w:rPr>
          <w:rFonts w:ascii="Bookman Old Style" w:hAnsi="Bookman Old Style" w:cs="Arial"/>
          <w:iCs/>
          <w:sz w:val="24"/>
          <w:szCs w:val="24"/>
          <w:lang w:val="es-CO"/>
        </w:rPr>
      </w:pPr>
      <w:r w:rsidRPr="00CD6611">
        <w:rPr>
          <w:rFonts w:ascii="Bookman Old Style" w:hAnsi="Bookman Old Style" w:cs="Arial"/>
          <w:b/>
          <w:bCs/>
          <w:iCs/>
          <w:sz w:val="24"/>
          <w:szCs w:val="24"/>
          <w:lang w:val="es-CO"/>
        </w:rPr>
        <w:t xml:space="preserve">Artículo </w:t>
      </w:r>
      <w:r>
        <w:rPr>
          <w:rFonts w:ascii="Bookman Old Style" w:hAnsi="Bookman Old Style" w:cs="Arial"/>
          <w:b/>
          <w:bCs/>
          <w:iCs/>
          <w:sz w:val="24"/>
          <w:szCs w:val="24"/>
          <w:lang w:val="es-CO"/>
        </w:rPr>
        <w:t>Tercero</w:t>
      </w:r>
      <w:r w:rsidRPr="00CD6611">
        <w:rPr>
          <w:rFonts w:ascii="Bookman Old Style" w:hAnsi="Bookman Old Style" w:cs="Arial"/>
          <w:b/>
          <w:bCs/>
          <w:iCs/>
          <w:sz w:val="24"/>
          <w:szCs w:val="24"/>
          <w:lang w:val="es-CO"/>
        </w:rPr>
        <w:t>. Definiciones.</w:t>
      </w:r>
      <w:r w:rsidRPr="00CD6611">
        <w:rPr>
          <w:rFonts w:ascii="Bookman Old Style" w:hAnsi="Bookman Old Style" w:cs="Arial"/>
          <w:iCs/>
          <w:sz w:val="24"/>
          <w:szCs w:val="24"/>
          <w:lang w:val="es-CO"/>
        </w:rPr>
        <w:t xml:space="preserve"> Para la aplicación de la presente Ley, se deberán considerar las siguientes definiciones:</w:t>
      </w:r>
    </w:p>
    <w:p w:rsidR="00D20F78" w:rsidRDefault="00D20F78" w:rsidP="00D20F78">
      <w:pPr>
        <w:pStyle w:val="Prrafodelista"/>
        <w:numPr>
          <w:ilvl w:val="0"/>
          <w:numId w:val="6"/>
        </w:numPr>
        <w:jc w:val="both"/>
        <w:rPr>
          <w:rFonts w:ascii="Bookman Old Style" w:hAnsi="Bookman Old Style" w:cs="Arial"/>
          <w:iCs/>
          <w:sz w:val="24"/>
          <w:szCs w:val="24"/>
          <w:lang w:val="es-CO"/>
        </w:rPr>
      </w:pPr>
      <w:r w:rsidRPr="00007359">
        <w:rPr>
          <w:rFonts w:ascii="Bookman Old Style" w:hAnsi="Bookman Old Style" w:cs="Arial"/>
          <w:b/>
          <w:bCs/>
          <w:iCs/>
          <w:sz w:val="24"/>
          <w:szCs w:val="24"/>
          <w:lang w:val="es-CO"/>
        </w:rPr>
        <w:t>Área de influencia:</w:t>
      </w:r>
      <w:r w:rsidRPr="00007359">
        <w:rPr>
          <w:rFonts w:ascii="Bookman Old Style" w:hAnsi="Bookman Old Style" w:cs="Arial"/>
          <w:iCs/>
          <w:sz w:val="24"/>
          <w:szCs w:val="24"/>
          <w:lang w:val="es-CO"/>
        </w:rPr>
        <w:t xml:space="preserve"> Para los efectos de lo dispuesto en esta ley, el área de influencia de las actividades y proyectos de exploración y explotación del subsuelo y de los recursos naturales no renovables será el determinado por la Agencia Nacional de Minería - ANM, y la Agencia Nacional de Hidrocarburos - ANH, o quienes hagan sus veces, para la asignación de áreas en los respectivos contratos de </w:t>
      </w:r>
      <w:r w:rsidRPr="00007359">
        <w:rPr>
          <w:rFonts w:ascii="Bookman Old Style" w:hAnsi="Bookman Old Style" w:cs="Arial"/>
          <w:iCs/>
          <w:sz w:val="24"/>
          <w:szCs w:val="24"/>
          <w:lang w:val="es-CO"/>
        </w:rPr>
        <w:lastRenderedPageBreak/>
        <w:t xml:space="preserve">concesión minera, en los contratos de hidrocarburos,  en la regulación aplicable al proyecto o actividad y, en general, según el marco reglamentario contractual y normativo aplicable a cada contrato o convenio en específico.  </w:t>
      </w:r>
    </w:p>
    <w:p w:rsidR="00D20F78" w:rsidRPr="00007359" w:rsidRDefault="00D20F78" w:rsidP="00D20F78">
      <w:pPr>
        <w:pStyle w:val="Prrafodelista"/>
        <w:jc w:val="both"/>
        <w:rPr>
          <w:rFonts w:ascii="Bookman Old Style" w:hAnsi="Bookman Old Style" w:cs="Arial"/>
          <w:iCs/>
          <w:sz w:val="24"/>
          <w:szCs w:val="24"/>
          <w:lang w:val="es-CO"/>
        </w:rPr>
      </w:pPr>
    </w:p>
    <w:p w:rsidR="00D20F78" w:rsidRDefault="00D20F78" w:rsidP="00D20F78">
      <w:pPr>
        <w:pStyle w:val="Prrafodelista"/>
        <w:numPr>
          <w:ilvl w:val="0"/>
          <w:numId w:val="6"/>
        </w:numPr>
        <w:jc w:val="both"/>
        <w:rPr>
          <w:rFonts w:ascii="Bookman Old Style" w:hAnsi="Bookman Old Style" w:cs="Arial"/>
          <w:iCs/>
          <w:sz w:val="24"/>
          <w:szCs w:val="24"/>
          <w:lang w:val="es-CO"/>
        </w:rPr>
      </w:pPr>
      <w:r w:rsidRPr="00007359">
        <w:rPr>
          <w:rFonts w:ascii="Bookman Old Style" w:hAnsi="Bookman Old Style" w:cs="Arial"/>
          <w:b/>
          <w:bCs/>
          <w:iCs/>
          <w:sz w:val="24"/>
          <w:szCs w:val="24"/>
          <w:lang w:val="es-CO"/>
        </w:rPr>
        <w:t>Asuntos prioritarios de desarrollo territorial:</w:t>
      </w:r>
      <w:r w:rsidRPr="00007359">
        <w:rPr>
          <w:rFonts w:ascii="Bookman Old Style" w:hAnsi="Bookman Old Style" w:cs="Arial"/>
          <w:iCs/>
          <w:sz w:val="24"/>
          <w:szCs w:val="24"/>
          <w:lang w:val="es-CO"/>
        </w:rPr>
        <w:t xml:space="preserve"> Son las líneas estratégicas incluidas en los instrumentos de planeación del territorio, regional y/o local, que deberán ser priorizadas en los instrumentos de gestión social y en las cláusulas sociales de los títulos mineros, contratos de hidrocarburos, así como de cualquier otra figura o instrumento que por mandato legal autorice la exploración y explotación del subsuelo y de los recursos naturales no renovables, según corresponda, y en las inversiones con cargo a los recursos del Sistema General de Regalías. </w:t>
      </w:r>
    </w:p>
    <w:p w:rsidR="00D20F78" w:rsidRPr="006A5672" w:rsidRDefault="00D20F78" w:rsidP="00D20F78">
      <w:pPr>
        <w:pStyle w:val="Prrafodelista"/>
        <w:rPr>
          <w:rFonts w:ascii="Bookman Old Style" w:hAnsi="Bookman Old Style" w:cs="Arial"/>
          <w:iCs/>
          <w:sz w:val="24"/>
          <w:szCs w:val="24"/>
          <w:lang w:val="es-CO"/>
        </w:rPr>
      </w:pPr>
    </w:p>
    <w:p w:rsidR="00D20F78" w:rsidRPr="006A5672" w:rsidRDefault="00D20F78" w:rsidP="00D20F78">
      <w:pPr>
        <w:pStyle w:val="Prrafodelista"/>
        <w:numPr>
          <w:ilvl w:val="0"/>
          <w:numId w:val="6"/>
        </w:numPr>
        <w:jc w:val="both"/>
        <w:rPr>
          <w:rFonts w:ascii="Bookman Old Style" w:hAnsi="Bookman Old Style" w:cs="Arial"/>
          <w:iCs/>
          <w:sz w:val="24"/>
          <w:szCs w:val="24"/>
          <w:lang w:val="es-CO"/>
        </w:rPr>
      </w:pPr>
      <w:r w:rsidRPr="006A5672">
        <w:rPr>
          <w:rFonts w:ascii="Bookman Old Style" w:hAnsi="Bookman Old Style" w:cs="Arial"/>
          <w:b/>
          <w:bCs/>
          <w:iCs/>
          <w:sz w:val="24"/>
          <w:szCs w:val="24"/>
          <w:lang w:val="es-CO"/>
        </w:rPr>
        <w:t>Caracterización técnica:</w:t>
      </w:r>
      <w:r w:rsidRPr="006A5672">
        <w:rPr>
          <w:rFonts w:ascii="Bookman Old Style" w:hAnsi="Bookman Old Style" w:cs="Arial"/>
          <w:iCs/>
          <w:sz w:val="24"/>
          <w:szCs w:val="24"/>
          <w:lang w:val="es-CO"/>
        </w:rPr>
        <w:t xml:space="preserve"> Análisis mediante el cual la ANM y la ANH, o quienes hagan sus veces, identifican las áreas con potencial para la exploración y explotación del subsuelo y de los recursos naturales no renovables en la jurisdicción de los municipios, así como aquella información complementaria relevante de carácter económico, ambiental, social, entre otras, que podría generar restricciones para el desarrollo de las actividades mineras o de hidrocarburos.</w:t>
      </w:r>
    </w:p>
    <w:p w:rsidR="00D20F78" w:rsidRPr="00007359" w:rsidRDefault="00D20F78" w:rsidP="00D20F78">
      <w:pPr>
        <w:pStyle w:val="Prrafodelista"/>
        <w:rPr>
          <w:rFonts w:ascii="Bookman Old Style" w:hAnsi="Bookman Old Style" w:cs="Arial"/>
          <w:iCs/>
          <w:sz w:val="24"/>
          <w:szCs w:val="24"/>
          <w:lang w:val="es-CO"/>
        </w:rPr>
      </w:pPr>
    </w:p>
    <w:p w:rsidR="00D20F78" w:rsidRPr="00007359" w:rsidRDefault="00D20F78" w:rsidP="00D20F78">
      <w:pPr>
        <w:pStyle w:val="Prrafodelista"/>
        <w:numPr>
          <w:ilvl w:val="0"/>
          <w:numId w:val="6"/>
        </w:numPr>
        <w:jc w:val="both"/>
        <w:rPr>
          <w:rFonts w:ascii="Bookman Old Style" w:hAnsi="Bookman Old Style" w:cs="Arial"/>
          <w:iCs/>
          <w:sz w:val="24"/>
          <w:szCs w:val="24"/>
        </w:rPr>
      </w:pPr>
      <w:r w:rsidRPr="00007359">
        <w:rPr>
          <w:rFonts w:ascii="Bookman Old Style" w:hAnsi="Bookman Old Style" w:cs="Arial"/>
          <w:b/>
          <w:bCs/>
          <w:iCs/>
          <w:sz w:val="24"/>
          <w:szCs w:val="24"/>
          <w:lang w:val="es-CO"/>
        </w:rPr>
        <w:t>Instrumentos de gestión social:</w:t>
      </w:r>
      <w:r w:rsidRPr="00007359">
        <w:rPr>
          <w:rFonts w:ascii="Bookman Old Style" w:hAnsi="Bookman Old Style" w:cs="Arial"/>
          <w:iCs/>
          <w:sz w:val="24"/>
          <w:szCs w:val="24"/>
          <w:lang w:val="es-CO"/>
        </w:rPr>
        <w:t xml:space="preserve"> Son los programas, proyectos, actividades e inversiones sociales que se incluyan en los contratos suscritos por la ANM o la ANH, o quienes hagan sus veces, para la exploración o explotación del subsuelo y de los recursos naturales no renovables, para garantizar el desarrollo sostenible en los territorios, según la regulación que establezca cada agencia para tal fin.</w:t>
      </w:r>
    </w:p>
    <w:p w:rsidR="00D20F78" w:rsidRDefault="00D20F78" w:rsidP="00D20F78">
      <w:pPr>
        <w:jc w:val="both"/>
        <w:rPr>
          <w:rFonts w:ascii="Bookman Old Style" w:hAnsi="Bookman Old Style" w:cs="Arial"/>
          <w:iCs/>
          <w:sz w:val="24"/>
          <w:szCs w:val="24"/>
          <w:lang w:val="es-CO"/>
        </w:rPr>
      </w:pPr>
      <w:r w:rsidRPr="004164E9">
        <w:rPr>
          <w:rFonts w:ascii="Bookman Old Style" w:hAnsi="Bookman Old Style" w:cs="Arial"/>
          <w:b/>
          <w:sz w:val="24"/>
          <w:szCs w:val="24"/>
        </w:rPr>
        <w:t xml:space="preserve">Artículo </w:t>
      </w:r>
      <w:r>
        <w:rPr>
          <w:rFonts w:ascii="Bookman Old Style" w:hAnsi="Bookman Old Style" w:cs="Arial"/>
          <w:b/>
          <w:sz w:val="24"/>
          <w:szCs w:val="24"/>
        </w:rPr>
        <w:t>Cuarto</w:t>
      </w:r>
      <w:r w:rsidRPr="004164E9">
        <w:rPr>
          <w:rFonts w:ascii="Bookman Old Style" w:hAnsi="Bookman Old Style" w:cs="Arial"/>
          <w:b/>
          <w:sz w:val="24"/>
          <w:szCs w:val="24"/>
        </w:rPr>
        <w:t xml:space="preserve">. </w:t>
      </w:r>
      <w:r w:rsidRPr="006118BD">
        <w:rPr>
          <w:rFonts w:ascii="Bookman Old Style" w:hAnsi="Bookman Old Style" w:cs="Arial"/>
          <w:b/>
          <w:bCs/>
          <w:iCs/>
          <w:sz w:val="24"/>
          <w:szCs w:val="24"/>
          <w:lang w:val="es-CO"/>
        </w:rPr>
        <w:t>Criterios constitucionales.</w:t>
      </w:r>
      <w:r w:rsidRPr="006118BD">
        <w:rPr>
          <w:rFonts w:ascii="Bookman Old Style" w:hAnsi="Bookman Old Style" w:cs="Arial"/>
          <w:b/>
          <w:iCs/>
          <w:sz w:val="24"/>
          <w:szCs w:val="24"/>
          <w:lang w:val="es-CO"/>
        </w:rPr>
        <w:t xml:space="preserve"> </w:t>
      </w:r>
      <w:r w:rsidRPr="006118BD">
        <w:rPr>
          <w:rFonts w:ascii="Bookman Old Style" w:hAnsi="Bookman Old Style" w:cs="Arial"/>
          <w:iCs/>
          <w:sz w:val="24"/>
          <w:szCs w:val="24"/>
          <w:lang w:val="es-CO"/>
        </w:rPr>
        <w:t xml:space="preserve">Para la interpretación de la presente Ley, se deberán aplicar, entre otros, los siguientes  criterios constitucionales:  participación ciudadana y pluralidad; coordinación y concurrencia entre la nación y el territorio; inexistencia de poder de veto de las entidades territoriales para la exploración y explotación del subsuelo y de los recursos naturales no renovables; </w:t>
      </w:r>
      <w:proofErr w:type="spellStart"/>
      <w:r w:rsidRPr="006118BD">
        <w:rPr>
          <w:rFonts w:ascii="Bookman Old Style" w:hAnsi="Bookman Old Style" w:cs="Arial"/>
          <w:iCs/>
          <w:sz w:val="24"/>
          <w:szCs w:val="24"/>
          <w:lang w:val="es-CO"/>
        </w:rPr>
        <w:t>diferencialidad</w:t>
      </w:r>
      <w:proofErr w:type="spellEnd"/>
      <w:r w:rsidRPr="006118BD">
        <w:rPr>
          <w:rFonts w:ascii="Bookman Old Style" w:hAnsi="Bookman Old Style" w:cs="Arial"/>
          <w:iCs/>
          <w:sz w:val="24"/>
          <w:szCs w:val="24"/>
          <w:lang w:val="es-CO"/>
        </w:rPr>
        <w:t xml:space="preserve"> y gradualidad; enfoque territorial; legitimidad y representatividad; información previa, </w:t>
      </w:r>
      <w:r w:rsidRPr="006118BD">
        <w:rPr>
          <w:rFonts w:ascii="Bookman Old Style" w:hAnsi="Bookman Old Style" w:cs="Arial"/>
          <w:iCs/>
          <w:sz w:val="24"/>
          <w:szCs w:val="24"/>
          <w:lang w:val="es-CO"/>
        </w:rPr>
        <w:lastRenderedPageBreak/>
        <w:t>permanente, transparente, clara y suficiente; desarrollo sostenible; diálogo, comunicación y confianza; respeto, protección y garantía de los derechos humanos; coordinación y fortalecimiento de la capacidad institucional nacional y territorial; buena fe y sostenibilidad fiscal.</w:t>
      </w:r>
    </w:p>
    <w:p w:rsidR="00D20F78" w:rsidRDefault="00D20F78" w:rsidP="00D20F78">
      <w:pPr>
        <w:jc w:val="both"/>
        <w:rPr>
          <w:rFonts w:ascii="Bookman Old Style" w:hAnsi="Bookman Old Style" w:cs="Arial"/>
          <w:iCs/>
          <w:sz w:val="24"/>
          <w:szCs w:val="24"/>
          <w:lang w:val="es-CO"/>
        </w:rPr>
      </w:pPr>
      <w:r w:rsidRPr="0023355E">
        <w:rPr>
          <w:rFonts w:ascii="Bookman Old Style" w:hAnsi="Bookman Old Style" w:cs="Arial"/>
          <w:b/>
          <w:iCs/>
          <w:sz w:val="24"/>
          <w:szCs w:val="24"/>
          <w:lang w:val="es-CO"/>
        </w:rPr>
        <w:t xml:space="preserve">Artículo </w:t>
      </w:r>
      <w:r>
        <w:rPr>
          <w:rFonts w:ascii="Bookman Old Style" w:hAnsi="Bookman Old Style" w:cs="Arial"/>
          <w:b/>
          <w:iCs/>
          <w:sz w:val="24"/>
          <w:szCs w:val="24"/>
          <w:lang w:val="es-CO"/>
        </w:rPr>
        <w:t>Quinto</w:t>
      </w:r>
      <w:r w:rsidRPr="0023355E">
        <w:rPr>
          <w:rFonts w:ascii="Bookman Old Style" w:hAnsi="Bookman Old Style" w:cs="Arial"/>
          <w:b/>
          <w:iCs/>
          <w:sz w:val="24"/>
          <w:szCs w:val="24"/>
          <w:lang w:val="es-CO"/>
        </w:rPr>
        <w:t>. Exploración y explotación incluyente.</w:t>
      </w:r>
      <w:r w:rsidRPr="0023355E">
        <w:rPr>
          <w:rFonts w:ascii="Bookman Old Style" w:hAnsi="Bookman Old Style" w:cs="Arial"/>
          <w:iCs/>
          <w:sz w:val="24"/>
          <w:szCs w:val="24"/>
          <w:lang w:val="es-CO"/>
        </w:rPr>
        <w:t xml:space="preserve"> La exploración y explotación de los recursos naturales no renovables deberá garantizar el desarrollo regional y nacional, incluyendo en el proceso de adjudicación, planifica</w:t>
      </w:r>
      <w:r>
        <w:rPr>
          <w:rFonts w:ascii="Bookman Old Style" w:hAnsi="Bookman Old Style" w:cs="Arial"/>
          <w:iCs/>
          <w:sz w:val="24"/>
          <w:szCs w:val="24"/>
          <w:lang w:val="es-CO"/>
        </w:rPr>
        <w:t>ción y ejecución a la comunidad y</w:t>
      </w:r>
      <w:r w:rsidRPr="0023355E">
        <w:rPr>
          <w:rFonts w:ascii="Bookman Old Style" w:hAnsi="Bookman Old Style" w:cs="Arial"/>
          <w:iCs/>
          <w:sz w:val="24"/>
          <w:szCs w:val="24"/>
          <w:lang w:val="es-CO"/>
        </w:rPr>
        <w:t xml:space="preserve"> a las autoridades locales y nacionales</w:t>
      </w:r>
      <w:r>
        <w:rPr>
          <w:rFonts w:ascii="Bookman Old Style" w:hAnsi="Bookman Old Style" w:cs="Arial"/>
          <w:iCs/>
          <w:sz w:val="24"/>
          <w:szCs w:val="24"/>
          <w:lang w:val="es-CO"/>
        </w:rPr>
        <w:t xml:space="preserve"> </w:t>
      </w:r>
      <w:r w:rsidRPr="00AF66DD">
        <w:rPr>
          <w:rFonts w:ascii="Bookman Old Style" w:hAnsi="Bookman Old Style" w:cs="Arial"/>
          <w:iCs/>
          <w:sz w:val="24"/>
          <w:szCs w:val="24"/>
          <w:lang w:val="es-CO"/>
        </w:rPr>
        <w:t>de acuerdo con los instrumentos y mecanismos est</w:t>
      </w:r>
      <w:r>
        <w:rPr>
          <w:rFonts w:ascii="Bookman Old Style" w:hAnsi="Bookman Old Style" w:cs="Arial"/>
          <w:iCs/>
          <w:sz w:val="24"/>
          <w:szCs w:val="24"/>
          <w:lang w:val="es-CO"/>
        </w:rPr>
        <w:t>ablecidos mediante la presente L</w:t>
      </w:r>
      <w:r w:rsidRPr="00AF66DD">
        <w:rPr>
          <w:rFonts w:ascii="Bookman Old Style" w:hAnsi="Bookman Old Style" w:cs="Arial"/>
          <w:iCs/>
          <w:sz w:val="24"/>
          <w:szCs w:val="24"/>
          <w:lang w:val="es-CO"/>
        </w:rPr>
        <w:t>ey.</w:t>
      </w:r>
    </w:p>
    <w:p w:rsidR="00D20F78" w:rsidRDefault="00D20F78" w:rsidP="00D20F78">
      <w:pPr>
        <w:jc w:val="center"/>
        <w:rPr>
          <w:rFonts w:ascii="Bookman Old Style" w:hAnsi="Bookman Old Style" w:cs="Arial"/>
          <w:b/>
          <w:iCs/>
          <w:sz w:val="24"/>
          <w:szCs w:val="24"/>
          <w:lang w:val="es-CO"/>
        </w:rPr>
      </w:pPr>
      <w:r>
        <w:rPr>
          <w:rFonts w:ascii="Bookman Old Style" w:hAnsi="Bookman Old Style" w:cs="Arial"/>
          <w:b/>
          <w:iCs/>
          <w:sz w:val="24"/>
          <w:szCs w:val="24"/>
          <w:lang w:val="es-CO"/>
        </w:rPr>
        <w:t>TÍTULO II</w:t>
      </w:r>
    </w:p>
    <w:p w:rsidR="00D20F78" w:rsidRPr="0023355E" w:rsidRDefault="00D20F78" w:rsidP="00D20F78">
      <w:pPr>
        <w:jc w:val="center"/>
        <w:rPr>
          <w:rFonts w:ascii="Bookman Old Style" w:hAnsi="Bookman Old Style" w:cs="Arial"/>
          <w:b/>
          <w:iCs/>
          <w:sz w:val="24"/>
          <w:szCs w:val="24"/>
          <w:lang w:val="es-CO"/>
        </w:rPr>
      </w:pPr>
      <w:r>
        <w:rPr>
          <w:rFonts w:ascii="Bookman Old Style" w:hAnsi="Bookman Old Style" w:cs="Arial"/>
          <w:b/>
          <w:iCs/>
          <w:sz w:val="24"/>
          <w:szCs w:val="24"/>
          <w:lang w:val="es-CO"/>
        </w:rPr>
        <w:t>COORDINACIÓN Y CONCURRENCIA</w:t>
      </w:r>
    </w:p>
    <w:p w:rsidR="00D20F78" w:rsidRPr="006118BD" w:rsidRDefault="00D20F78" w:rsidP="00D20F78">
      <w:pPr>
        <w:jc w:val="both"/>
        <w:rPr>
          <w:rFonts w:ascii="Bookman Old Style" w:hAnsi="Bookman Old Style" w:cs="Arial"/>
          <w:iCs/>
          <w:sz w:val="24"/>
          <w:szCs w:val="24"/>
          <w:lang w:val="es-CO"/>
        </w:rPr>
      </w:pPr>
      <w:r w:rsidRPr="004164E9">
        <w:rPr>
          <w:rFonts w:ascii="Bookman Old Style" w:hAnsi="Bookman Old Style" w:cs="Arial"/>
          <w:b/>
          <w:sz w:val="24"/>
          <w:szCs w:val="24"/>
        </w:rPr>
        <w:t xml:space="preserve">Artículo </w:t>
      </w:r>
      <w:r>
        <w:rPr>
          <w:rFonts w:ascii="Bookman Old Style" w:hAnsi="Bookman Old Style" w:cs="Arial"/>
          <w:b/>
          <w:sz w:val="24"/>
          <w:szCs w:val="24"/>
        </w:rPr>
        <w:t>Sexto.</w:t>
      </w:r>
      <w:r w:rsidRPr="006118BD">
        <w:rPr>
          <w:rFonts w:ascii="Bookman Old Style" w:hAnsi="Bookman Old Style" w:cs="Arial"/>
          <w:b/>
          <w:bCs/>
          <w:i/>
          <w:iCs/>
          <w:sz w:val="24"/>
          <w:szCs w:val="24"/>
          <w:lang w:val="es-CO"/>
        </w:rPr>
        <w:t xml:space="preserve"> </w:t>
      </w:r>
      <w:r w:rsidRPr="006118BD">
        <w:rPr>
          <w:rFonts w:ascii="Bookman Old Style" w:hAnsi="Bookman Old Style" w:cs="Arial"/>
          <w:b/>
          <w:bCs/>
          <w:iCs/>
          <w:sz w:val="24"/>
          <w:szCs w:val="24"/>
          <w:lang w:val="es-CO"/>
        </w:rPr>
        <w:t xml:space="preserve">Mesa general y particular de coordinación y concurrencia. </w:t>
      </w:r>
      <w:r w:rsidRPr="006118BD">
        <w:rPr>
          <w:rFonts w:ascii="Bookman Old Style" w:hAnsi="Bookman Old Style" w:cs="Arial"/>
          <w:iCs/>
          <w:sz w:val="24"/>
          <w:szCs w:val="24"/>
          <w:lang w:val="es-CO"/>
        </w:rPr>
        <w:t>Créanse las Mesas Generales y Particulares de Coordinación y Concurrencia por departamento, con el fin de promover la coordinación y la concurrencia de las competencias entre las autoridades nacionales y territoriales, para la exploración y explotación del subsuelo y de los recursos naturales no renovables.</w:t>
      </w:r>
    </w:p>
    <w:p w:rsidR="00D20F78" w:rsidRDefault="00D20F78" w:rsidP="00D20F78">
      <w:pPr>
        <w:jc w:val="both"/>
        <w:rPr>
          <w:rFonts w:ascii="Bookman Old Style" w:hAnsi="Bookman Old Style" w:cs="Arial"/>
          <w:iCs/>
          <w:sz w:val="24"/>
          <w:szCs w:val="24"/>
          <w:lang w:val="es-CO"/>
        </w:rPr>
      </w:pPr>
      <w:r w:rsidRPr="006118BD">
        <w:rPr>
          <w:rFonts w:ascii="Bookman Old Style" w:hAnsi="Bookman Old Style" w:cs="Arial"/>
          <w:iCs/>
          <w:sz w:val="24"/>
          <w:szCs w:val="24"/>
          <w:lang w:val="es-CO"/>
        </w:rPr>
        <w:t>La Secretaría Técnica de las Mesas Generales y Particulares de Coordinación y Concurrencia estarán a cargo de la Unidad de Planeación Minero Energética - UPME. El Ministerio de Minas y Energía reglamentará las funciones de la Secretaría Técnica.</w:t>
      </w:r>
    </w:p>
    <w:p w:rsidR="00D20F78" w:rsidRPr="00750FB3" w:rsidRDefault="00D20F78" w:rsidP="00D20F78">
      <w:pPr>
        <w:spacing w:after="0"/>
        <w:ind w:right="-93"/>
        <w:jc w:val="both"/>
        <w:rPr>
          <w:rFonts w:ascii="Bookman Old Style" w:hAnsi="Bookman Old Style" w:cs="Arial"/>
          <w:iCs/>
          <w:sz w:val="24"/>
          <w:szCs w:val="24"/>
          <w:lang w:val="es-CO"/>
        </w:rPr>
      </w:pPr>
      <w:r w:rsidRPr="00750FB3">
        <w:rPr>
          <w:rFonts w:ascii="Bookman Old Style" w:hAnsi="Bookman Old Style" w:cs="Arial"/>
          <w:b/>
          <w:iCs/>
          <w:sz w:val="24"/>
          <w:szCs w:val="24"/>
          <w:lang w:val="es-CO"/>
        </w:rPr>
        <w:t xml:space="preserve">Artículo </w:t>
      </w:r>
      <w:r>
        <w:rPr>
          <w:rFonts w:ascii="Bookman Old Style" w:hAnsi="Bookman Old Style" w:cs="Arial"/>
          <w:b/>
          <w:iCs/>
          <w:sz w:val="24"/>
          <w:szCs w:val="24"/>
          <w:lang w:val="es-CO"/>
        </w:rPr>
        <w:t>Séptimo</w:t>
      </w:r>
      <w:r w:rsidRPr="00750FB3">
        <w:rPr>
          <w:rFonts w:ascii="Bookman Old Style" w:hAnsi="Bookman Old Style" w:cs="Arial"/>
          <w:b/>
          <w:iCs/>
          <w:sz w:val="24"/>
          <w:szCs w:val="24"/>
          <w:lang w:val="es-CO"/>
        </w:rPr>
        <w:t>. Integrantes de la mesa general.</w:t>
      </w:r>
      <w:r w:rsidRPr="00750FB3">
        <w:rPr>
          <w:rFonts w:ascii="Bookman Old Style" w:hAnsi="Bookman Old Style" w:cs="Arial"/>
          <w:iCs/>
          <w:sz w:val="24"/>
          <w:szCs w:val="24"/>
          <w:lang w:val="es-CO"/>
        </w:rPr>
        <w:t xml:space="preserve"> </w:t>
      </w:r>
      <w:r>
        <w:rPr>
          <w:rFonts w:ascii="Bookman Old Style" w:hAnsi="Bookman Old Style" w:cs="Arial"/>
          <w:iCs/>
          <w:sz w:val="24"/>
          <w:szCs w:val="24"/>
          <w:lang w:val="es-CO"/>
        </w:rPr>
        <w:t xml:space="preserve">La Mesa General </w:t>
      </w:r>
      <w:r w:rsidRPr="00750FB3">
        <w:rPr>
          <w:rFonts w:ascii="Bookman Old Style" w:hAnsi="Bookman Old Style" w:cs="Arial"/>
          <w:iCs/>
          <w:sz w:val="24"/>
          <w:szCs w:val="24"/>
          <w:lang w:val="es-CO"/>
        </w:rPr>
        <w:t>de Coordinación y Concurrencia estará integrada por los gobernadores y alcaldes municipales y distritales del respectivo departamento, un representante del Ministerio de Minas y Energía, la ANM y la ANH, o quien haga sus veces, y la autoridad ambiental competente. El Ministerio Público se convocará en calidad de garante.</w:t>
      </w:r>
    </w:p>
    <w:p w:rsidR="00D20F78" w:rsidRPr="00750FB3" w:rsidRDefault="00D20F78" w:rsidP="00D20F78">
      <w:pPr>
        <w:pStyle w:val="Sinespaciado"/>
        <w:rPr>
          <w:lang w:val="es-CO"/>
        </w:rPr>
      </w:pPr>
    </w:p>
    <w:p w:rsidR="00D20F78" w:rsidRPr="00750FB3" w:rsidRDefault="00D20F78" w:rsidP="00D20F78">
      <w:pPr>
        <w:spacing w:after="0"/>
        <w:ind w:right="-93"/>
        <w:jc w:val="both"/>
        <w:rPr>
          <w:rFonts w:ascii="Bookman Old Style" w:hAnsi="Bookman Old Style" w:cs="Arial"/>
          <w:iCs/>
          <w:sz w:val="24"/>
          <w:szCs w:val="24"/>
          <w:lang w:val="es-CO"/>
        </w:rPr>
      </w:pPr>
      <w:r w:rsidRPr="00750FB3">
        <w:rPr>
          <w:rFonts w:ascii="Bookman Old Style" w:hAnsi="Bookman Old Style" w:cs="Arial"/>
          <w:b/>
          <w:iCs/>
          <w:sz w:val="24"/>
          <w:szCs w:val="24"/>
          <w:lang w:val="es-CO"/>
        </w:rPr>
        <w:t>Parágrafo</w:t>
      </w:r>
      <w:r>
        <w:rPr>
          <w:rFonts w:ascii="Bookman Old Style" w:hAnsi="Bookman Old Style" w:cs="Arial"/>
          <w:b/>
          <w:iCs/>
          <w:sz w:val="24"/>
          <w:szCs w:val="24"/>
          <w:lang w:val="es-CO"/>
        </w:rPr>
        <w:t xml:space="preserve"> Primero</w:t>
      </w:r>
      <w:r w:rsidRPr="00750FB3">
        <w:rPr>
          <w:rFonts w:ascii="Bookman Old Style" w:hAnsi="Bookman Old Style" w:cs="Arial"/>
          <w:b/>
          <w:iCs/>
          <w:sz w:val="24"/>
          <w:szCs w:val="24"/>
          <w:lang w:val="es-CO"/>
        </w:rPr>
        <w:t>.</w:t>
      </w:r>
      <w:r w:rsidRPr="00750FB3">
        <w:rPr>
          <w:rFonts w:ascii="Bookman Old Style" w:hAnsi="Bookman Old Style" w:cs="Arial"/>
          <w:iCs/>
          <w:sz w:val="24"/>
          <w:szCs w:val="24"/>
          <w:lang w:val="es-CO"/>
        </w:rPr>
        <w:t xml:space="preserve"> El Servicio Geológico Colombiano - SGC proveerá la información técnica y geológica necesaria y disponible durante los procesos y escenarios de coordinación, concurrencia y participación ciudadana, y podrá asistir a las mesas de coordinación para brindar el soporte correspondiente.</w:t>
      </w:r>
    </w:p>
    <w:p w:rsidR="00D20F78" w:rsidRPr="00750FB3" w:rsidRDefault="00D20F78" w:rsidP="00D20F78">
      <w:pPr>
        <w:pStyle w:val="Sinespaciado"/>
        <w:rPr>
          <w:lang w:val="es-CO"/>
        </w:rPr>
      </w:pPr>
    </w:p>
    <w:p w:rsidR="00D20F78" w:rsidRDefault="00D20F78" w:rsidP="00D20F78">
      <w:pPr>
        <w:spacing w:after="0"/>
        <w:ind w:right="-93"/>
        <w:jc w:val="both"/>
        <w:rPr>
          <w:rFonts w:ascii="Bookman Old Style" w:hAnsi="Bookman Old Style" w:cs="Arial"/>
          <w:iCs/>
          <w:sz w:val="24"/>
          <w:szCs w:val="24"/>
          <w:lang w:val="es-CO"/>
        </w:rPr>
      </w:pPr>
      <w:r w:rsidRPr="00750FB3">
        <w:rPr>
          <w:rFonts w:ascii="Bookman Old Style" w:hAnsi="Bookman Old Style" w:cs="Arial"/>
          <w:b/>
          <w:iCs/>
          <w:sz w:val="24"/>
          <w:szCs w:val="24"/>
          <w:lang w:val="es-CO"/>
        </w:rPr>
        <w:lastRenderedPageBreak/>
        <w:t>Parágrafo</w:t>
      </w:r>
      <w:r>
        <w:rPr>
          <w:rFonts w:ascii="Bookman Old Style" w:hAnsi="Bookman Old Style" w:cs="Arial"/>
          <w:b/>
          <w:iCs/>
          <w:sz w:val="24"/>
          <w:szCs w:val="24"/>
          <w:lang w:val="es-CO"/>
        </w:rPr>
        <w:t xml:space="preserve"> Segundo</w:t>
      </w:r>
      <w:r w:rsidRPr="00750FB3">
        <w:rPr>
          <w:rFonts w:ascii="Bookman Old Style" w:hAnsi="Bookman Old Style" w:cs="Arial"/>
          <w:b/>
          <w:iCs/>
          <w:sz w:val="24"/>
          <w:szCs w:val="24"/>
          <w:lang w:val="es-CO"/>
        </w:rPr>
        <w:t>.</w:t>
      </w:r>
      <w:r w:rsidRPr="00750FB3">
        <w:rPr>
          <w:rFonts w:ascii="Bookman Old Style" w:hAnsi="Bookman Old Style" w:cs="Arial"/>
          <w:iCs/>
          <w:sz w:val="24"/>
          <w:szCs w:val="24"/>
          <w:lang w:val="es-CO"/>
        </w:rPr>
        <w:t xml:space="preserve"> La </w:t>
      </w:r>
      <w:r w:rsidRPr="006118BD">
        <w:rPr>
          <w:rFonts w:ascii="Bookman Old Style" w:hAnsi="Bookman Old Style" w:cs="Arial"/>
          <w:iCs/>
          <w:sz w:val="24"/>
          <w:szCs w:val="24"/>
          <w:lang w:val="es-CO"/>
        </w:rPr>
        <w:t>Unidad de Planeación Minero Energética - UPME</w:t>
      </w:r>
      <w:r w:rsidRPr="00750FB3">
        <w:rPr>
          <w:rFonts w:ascii="Bookman Old Style" w:hAnsi="Bookman Old Style" w:cs="Arial"/>
          <w:iCs/>
          <w:sz w:val="24"/>
          <w:szCs w:val="24"/>
          <w:lang w:val="es-CO"/>
        </w:rPr>
        <w:t xml:space="preserve"> proveerá la información en materia de planeación estratégica sectorial durante los procesos y escenarios de coordinación, concurrencia y participación ciudadana.</w:t>
      </w:r>
    </w:p>
    <w:p w:rsidR="00D20F78" w:rsidRPr="00750FB3" w:rsidRDefault="00D20F78" w:rsidP="00D20F78">
      <w:pPr>
        <w:pStyle w:val="Sinespaciado"/>
        <w:rPr>
          <w:lang w:val="es-CO"/>
        </w:rPr>
      </w:pPr>
    </w:p>
    <w:p w:rsidR="00D20F78" w:rsidRPr="00750FB3" w:rsidRDefault="00D20F78" w:rsidP="00D20F78">
      <w:pPr>
        <w:jc w:val="both"/>
        <w:rPr>
          <w:rFonts w:ascii="Bookman Old Style" w:hAnsi="Bookman Old Style" w:cs="Arial"/>
          <w:iCs/>
          <w:sz w:val="24"/>
          <w:szCs w:val="24"/>
          <w:lang w:val="es-CO"/>
        </w:rPr>
      </w:pPr>
      <w:r w:rsidRPr="00750FB3">
        <w:rPr>
          <w:rFonts w:ascii="Bookman Old Style" w:hAnsi="Bookman Old Style" w:cs="Arial"/>
          <w:b/>
          <w:bCs/>
          <w:iCs/>
          <w:sz w:val="24"/>
          <w:szCs w:val="24"/>
          <w:lang w:val="es-CO"/>
        </w:rPr>
        <w:t xml:space="preserve">Artículo </w:t>
      </w:r>
      <w:r>
        <w:rPr>
          <w:rFonts w:ascii="Bookman Old Style" w:hAnsi="Bookman Old Style" w:cs="Arial"/>
          <w:b/>
          <w:bCs/>
          <w:iCs/>
          <w:sz w:val="24"/>
          <w:szCs w:val="24"/>
          <w:lang w:val="es-CO"/>
        </w:rPr>
        <w:t>Octavo</w:t>
      </w:r>
      <w:r w:rsidRPr="00750FB3">
        <w:rPr>
          <w:rFonts w:ascii="Bookman Old Style" w:hAnsi="Bookman Old Style" w:cs="Arial"/>
          <w:b/>
          <w:bCs/>
          <w:iCs/>
          <w:sz w:val="24"/>
          <w:szCs w:val="24"/>
          <w:lang w:val="es-CO"/>
        </w:rPr>
        <w:t xml:space="preserve">. Asuntos a tratar en la mesa general de coordinación y concurrencia. </w:t>
      </w:r>
      <w:r w:rsidRPr="00750FB3">
        <w:rPr>
          <w:rFonts w:ascii="Bookman Old Style" w:hAnsi="Bookman Old Style" w:cs="Arial"/>
          <w:iCs/>
          <w:sz w:val="24"/>
          <w:szCs w:val="24"/>
          <w:lang w:val="es-CO"/>
        </w:rPr>
        <w:t>En la Mesa General de Coordinación y Concurrencia se expondrán y discutirán los siguientes asuntos relacionados con la exploración y explotación del subsuelo y de los recursos naturales no renovables:</w:t>
      </w:r>
    </w:p>
    <w:p w:rsidR="00D20F78" w:rsidRPr="00750FB3" w:rsidRDefault="00D20F78" w:rsidP="00D20F78">
      <w:pPr>
        <w:numPr>
          <w:ilvl w:val="0"/>
          <w:numId w:val="3"/>
        </w:numPr>
        <w:jc w:val="both"/>
        <w:rPr>
          <w:rFonts w:ascii="Bookman Old Style" w:hAnsi="Bookman Old Style" w:cs="Arial"/>
          <w:iCs/>
          <w:sz w:val="24"/>
          <w:szCs w:val="24"/>
          <w:lang w:val="es-CO"/>
        </w:rPr>
      </w:pPr>
      <w:r w:rsidRPr="00750FB3">
        <w:rPr>
          <w:rFonts w:ascii="Bookman Old Style" w:hAnsi="Bookman Old Style" w:cs="Arial"/>
          <w:iCs/>
          <w:sz w:val="24"/>
          <w:szCs w:val="24"/>
          <w:lang w:val="es-CO"/>
        </w:rPr>
        <w:t>Rendición de cuentas de las sesiones y consensos de las Mesas Particulares</w:t>
      </w:r>
      <w:r>
        <w:rPr>
          <w:rFonts w:ascii="Bookman Old Style" w:hAnsi="Bookman Old Style" w:cs="Arial"/>
          <w:iCs/>
          <w:sz w:val="24"/>
          <w:szCs w:val="24"/>
          <w:lang w:val="es-CO"/>
        </w:rPr>
        <w:t xml:space="preserve"> de Coordinación y Concurrencia de las que trata el artículo noveno de la presente Ley.</w:t>
      </w:r>
    </w:p>
    <w:p w:rsidR="00D20F78" w:rsidRPr="00750FB3" w:rsidRDefault="00D20F78" w:rsidP="00D20F78">
      <w:pPr>
        <w:numPr>
          <w:ilvl w:val="0"/>
          <w:numId w:val="3"/>
        </w:numPr>
        <w:jc w:val="both"/>
        <w:rPr>
          <w:rFonts w:ascii="Bookman Old Style" w:hAnsi="Bookman Old Style" w:cs="Arial"/>
          <w:iCs/>
          <w:sz w:val="24"/>
          <w:szCs w:val="24"/>
          <w:lang w:val="es-CO"/>
        </w:rPr>
      </w:pPr>
      <w:r w:rsidRPr="00750FB3">
        <w:rPr>
          <w:rFonts w:ascii="Bookman Old Style" w:hAnsi="Bookman Old Style" w:cs="Arial"/>
          <w:iCs/>
          <w:sz w:val="24"/>
          <w:szCs w:val="24"/>
          <w:lang w:val="es-CO"/>
        </w:rPr>
        <w:t>Seguimiento asuntos prioritarios de desarrollo territorial determinados en el año anterior.</w:t>
      </w:r>
    </w:p>
    <w:p w:rsidR="00D20F78" w:rsidRPr="00750FB3" w:rsidRDefault="00D20F78" w:rsidP="00D20F78">
      <w:pPr>
        <w:numPr>
          <w:ilvl w:val="0"/>
          <w:numId w:val="3"/>
        </w:numPr>
        <w:jc w:val="both"/>
        <w:rPr>
          <w:rFonts w:ascii="Bookman Old Style" w:hAnsi="Bookman Old Style" w:cs="Arial"/>
          <w:iCs/>
          <w:sz w:val="24"/>
          <w:szCs w:val="24"/>
          <w:lang w:val="es-CO"/>
        </w:rPr>
      </w:pPr>
      <w:r w:rsidRPr="00750FB3">
        <w:rPr>
          <w:rFonts w:ascii="Bookman Old Style" w:hAnsi="Bookman Old Style" w:cs="Arial"/>
          <w:iCs/>
          <w:sz w:val="24"/>
          <w:szCs w:val="24"/>
          <w:lang w:val="es-CO"/>
        </w:rPr>
        <w:t>Avances en instrumentos de gestión social, relacionados con los asuntos prioritarios de desarrollo territorial, en el marco de la fiscalización y seguimiento a los proyectos mineros y de hidrocarburos.</w:t>
      </w:r>
    </w:p>
    <w:p w:rsidR="00D20F78" w:rsidRPr="00750FB3" w:rsidRDefault="00D20F78" w:rsidP="00D20F78">
      <w:pPr>
        <w:numPr>
          <w:ilvl w:val="0"/>
          <w:numId w:val="3"/>
        </w:numPr>
        <w:jc w:val="both"/>
        <w:rPr>
          <w:rFonts w:ascii="Bookman Old Style" w:hAnsi="Bookman Old Style" w:cs="Arial"/>
          <w:iCs/>
          <w:sz w:val="24"/>
          <w:szCs w:val="24"/>
          <w:lang w:val="es-CO"/>
        </w:rPr>
      </w:pPr>
      <w:r w:rsidRPr="00750FB3">
        <w:rPr>
          <w:rFonts w:ascii="Bookman Old Style" w:hAnsi="Bookman Old Style" w:cs="Arial"/>
          <w:iCs/>
          <w:sz w:val="24"/>
          <w:szCs w:val="24"/>
          <w:lang w:val="es-CO"/>
        </w:rPr>
        <w:t>Los demás asuntos de desarrollo territorial asociados a la exploración y explotación de recursos naturales no renovables y del subsuelo que la Mesa decida discutir.</w:t>
      </w:r>
    </w:p>
    <w:p w:rsidR="00D20F78" w:rsidRPr="00282038" w:rsidRDefault="00D20F78" w:rsidP="00D20F78">
      <w:pPr>
        <w:jc w:val="both"/>
        <w:rPr>
          <w:rFonts w:ascii="Bookman Old Style" w:hAnsi="Bookman Old Style" w:cs="Arial"/>
          <w:iCs/>
          <w:sz w:val="24"/>
          <w:szCs w:val="24"/>
          <w:lang w:val="es-CO"/>
        </w:rPr>
      </w:pPr>
      <w:r w:rsidRPr="00282038">
        <w:rPr>
          <w:rFonts w:ascii="Bookman Old Style" w:hAnsi="Bookman Old Style" w:cs="Arial"/>
          <w:b/>
          <w:bCs/>
          <w:iCs/>
          <w:sz w:val="24"/>
          <w:szCs w:val="24"/>
          <w:lang w:val="es-CO"/>
        </w:rPr>
        <w:t xml:space="preserve">Artículo </w:t>
      </w:r>
      <w:r>
        <w:rPr>
          <w:rFonts w:ascii="Bookman Old Style" w:hAnsi="Bookman Old Style" w:cs="Arial"/>
          <w:b/>
          <w:bCs/>
          <w:iCs/>
          <w:sz w:val="24"/>
          <w:szCs w:val="24"/>
          <w:lang w:val="es-CO"/>
        </w:rPr>
        <w:t>Noveno</w:t>
      </w:r>
      <w:r w:rsidRPr="00282038">
        <w:rPr>
          <w:rFonts w:ascii="Bookman Old Style" w:hAnsi="Bookman Old Style" w:cs="Arial"/>
          <w:b/>
          <w:bCs/>
          <w:iCs/>
          <w:sz w:val="24"/>
          <w:szCs w:val="24"/>
          <w:lang w:val="es-CO"/>
        </w:rPr>
        <w:t xml:space="preserve">. Mesas particulares de coordinación y concurrencia. </w:t>
      </w:r>
      <w:r w:rsidRPr="00282038">
        <w:rPr>
          <w:rFonts w:ascii="Bookman Old Style" w:hAnsi="Bookman Old Style" w:cs="Arial"/>
          <w:iCs/>
          <w:sz w:val="24"/>
          <w:szCs w:val="24"/>
          <w:lang w:val="es-CO"/>
        </w:rPr>
        <w:t>La Mesa de Coordinación y Concurrencia se deber</w:t>
      </w:r>
      <w:r>
        <w:rPr>
          <w:rFonts w:ascii="Bookman Old Style" w:hAnsi="Bookman Old Style" w:cs="Arial"/>
          <w:iCs/>
          <w:sz w:val="24"/>
          <w:szCs w:val="24"/>
          <w:lang w:val="es-CO"/>
        </w:rPr>
        <w:t>á convocar de manera particular</w:t>
      </w:r>
      <w:r w:rsidRPr="00282038">
        <w:rPr>
          <w:rFonts w:ascii="Bookman Old Style" w:hAnsi="Bookman Old Style" w:cs="Arial"/>
          <w:iCs/>
          <w:sz w:val="24"/>
          <w:szCs w:val="24"/>
          <w:lang w:val="es-CO"/>
        </w:rPr>
        <w:t xml:space="preserve"> para tratar los temas a los que se refiere el artículo </w:t>
      </w:r>
      <w:r>
        <w:rPr>
          <w:rFonts w:ascii="Bookman Old Style" w:hAnsi="Bookman Old Style" w:cs="Arial"/>
          <w:bCs/>
          <w:iCs/>
          <w:sz w:val="24"/>
          <w:szCs w:val="24"/>
          <w:lang w:val="es-CO"/>
        </w:rPr>
        <w:t>décimo</w:t>
      </w:r>
      <w:r>
        <w:rPr>
          <w:rFonts w:ascii="Bookman Old Style" w:hAnsi="Bookman Old Style" w:cs="Arial"/>
          <w:iCs/>
          <w:sz w:val="24"/>
          <w:szCs w:val="24"/>
          <w:lang w:val="es-CO"/>
        </w:rPr>
        <w:t xml:space="preserve"> de la presente L</w:t>
      </w:r>
      <w:r w:rsidRPr="00282038">
        <w:rPr>
          <w:rFonts w:ascii="Bookman Old Style" w:hAnsi="Bookman Old Style" w:cs="Arial"/>
          <w:iCs/>
          <w:sz w:val="24"/>
          <w:szCs w:val="24"/>
          <w:lang w:val="es-CO"/>
        </w:rPr>
        <w:t xml:space="preserve">ey, para lo cual sólo serán convocados el gobernador, los alcaldes del área de influencia, el Ministerio de Minas y Energía, la </w:t>
      </w:r>
      <w:r>
        <w:rPr>
          <w:rFonts w:ascii="Bookman Old Style" w:hAnsi="Bookman Old Style" w:cs="Arial"/>
          <w:iCs/>
          <w:sz w:val="24"/>
          <w:szCs w:val="24"/>
          <w:lang w:val="es-CO"/>
        </w:rPr>
        <w:t xml:space="preserve">Agencia Nacional de Hidrocarburos - </w:t>
      </w:r>
      <w:r w:rsidRPr="00282038">
        <w:rPr>
          <w:rFonts w:ascii="Bookman Old Style" w:hAnsi="Bookman Old Style" w:cs="Arial"/>
          <w:iCs/>
          <w:sz w:val="24"/>
          <w:szCs w:val="24"/>
          <w:lang w:val="es-CO"/>
        </w:rPr>
        <w:t xml:space="preserve">ANH o la </w:t>
      </w:r>
      <w:r>
        <w:rPr>
          <w:rFonts w:ascii="Bookman Old Style" w:hAnsi="Bookman Old Style" w:cs="Arial"/>
          <w:iCs/>
          <w:sz w:val="24"/>
          <w:szCs w:val="24"/>
          <w:lang w:val="es-CO"/>
        </w:rPr>
        <w:t xml:space="preserve">Agencia Nacional de Minería - </w:t>
      </w:r>
      <w:r w:rsidRPr="00282038">
        <w:rPr>
          <w:rFonts w:ascii="Bookman Old Style" w:hAnsi="Bookman Old Style" w:cs="Arial"/>
          <w:iCs/>
          <w:sz w:val="24"/>
          <w:szCs w:val="24"/>
          <w:lang w:val="es-CO"/>
        </w:rPr>
        <w:t xml:space="preserve">ANM, o quien haga sus veces, según el tema a tratar, y a la autoridad ambiental competente. </w:t>
      </w:r>
    </w:p>
    <w:p w:rsidR="00D20F78" w:rsidRPr="00282038" w:rsidRDefault="00D20F78" w:rsidP="00D20F78">
      <w:pPr>
        <w:jc w:val="both"/>
        <w:rPr>
          <w:rFonts w:ascii="Bookman Old Style" w:hAnsi="Bookman Old Style" w:cs="Arial"/>
          <w:iCs/>
          <w:sz w:val="24"/>
          <w:szCs w:val="24"/>
          <w:lang w:val="es-CO"/>
        </w:rPr>
      </w:pPr>
      <w:r w:rsidRPr="00282038">
        <w:rPr>
          <w:rFonts w:ascii="Bookman Old Style" w:hAnsi="Bookman Old Style" w:cs="Arial"/>
          <w:iCs/>
          <w:sz w:val="24"/>
          <w:szCs w:val="24"/>
          <w:lang w:val="es-CO"/>
        </w:rPr>
        <w:t xml:space="preserve">Para sesionar, deberán estar presentes los alcaldes convocados, el representante de la ANH o de la ANM, o quien haga sus veces, según el </w:t>
      </w:r>
      <w:r>
        <w:rPr>
          <w:rFonts w:ascii="Bookman Old Style" w:hAnsi="Bookman Old Style" w:cs="Arial"/>
          <w:iCs/>
          <w:sz w:val="24"/>
          <w:szCs w:val="24"/>
          <w:lang w:val="es-CO"/>
        </w:rPr>
        <w:t>asunto</w:t>
      </w:r>
      <w:r w:rsidRPr="00282038">
        <w:rPr>
          <w:rFonts w:ascii="Bookman Old Style" w:hAnsi="Bookman Old Style" w:cs="Arial"/>
          <w:iCs/>
          <w:sz w:val="24"/>
          <w:szCs w:val="24"/>
          <w:lang w:val="es-CO"/>
        </w:rPr>
        <w:t xml:space="preserve"> a tratar. </w:t>
      </w:r>
    </w:p>
    <w:p w:rsidR="00D20F78" w:rsidRDefault="00D20F78" w:rsidP="00D20F78">
      <w:pPr>
        <w:jc w:val="both"/>
        <w:rPr>
          <w:rFonts w:ascii="Bookman Old Style" w:hAnsi="Bookman Old Style" w:cs="Arial"/>
          <w:iCs/>
          <w:sz w:val="24"/>
          <w:szCs w:val="24"/>
          <w:lang w:val="es-CO"/>
        </w:rPr>
      </w:pPr>
      <w:r w:rsidRPr="00282038">
        <w:rPr>
          <w:rFonts w:ascii="Bookman Old Style" w:hAnsi="Bookman Old Style" w:cs="Arial"/>
          <w:b/>
          <w:iCs/>
          <w:sz w:val="24"/>
          <w:szCs w:val="24"/>
          <w:lang w:val="es-CO"/>
        </w:rPr>
        <w:lastRenderedPageBreak/>
        <w:t xml:space="preserve">Parágrafo. </w:t>
      </w:r>
      <w:r w:rsidRPr="00282038">
        <w:rPr>
          <w:rFonts w:ascii="Bookman Old Style" w:hAnsi="Bookman Old Style" w:cs="Arial"/>
          <w:iCs/>
          <w:sz w:val="24"/>
          <w:szCs w:val="24"/>
          <w:lang w:val="es-CO"/>
        </w:rPr>
        <w:t>La inasistencia injustificada a la Mesa Particular de Coordinación y Concurrencia de los alcaldes convocados, de</w:t>
      </w:r>
      <w:r>
        <w:rPr>
          <w:rFonts w:ascii="Bookman Old Style" w:hAnsi="Bookman Old Style" w:cs="Arial"/>
          <w:iCs/>
          <w:sz w:val="24"/>
          <w:szCs w:val="24"/>
          <w:lang w:val="es-CO"/>
        </w:rPr>
        <w:t xml:space="preserve"> </w:t>
      </w:r>
      <w:r w:rsidRPr="00282038">
        <w:rPr>
          <w:rFonts w:ascii="Bookman Old Style" w:hAnsi="Bookman Old Style" w:cs="Arial"/>
          <w:iCs/>
          <w:sz w:val="24"/>
          <w:szCs w:val="24"/>
          <w:lang w:val="es-CO"/>
        </w:rPr>
        <w:t>l</w:t>
      </w:r>
      <w:r>
        <w:rPr>
          <w:rFonts w:ascii="Bookman Old Style" w:hAnsi="Bookman Old Style" w:cs="Arial"/>
          <w:iCs/>
          <w:sz w:val="24"/>
          <w:szCs w:val="24"/>
          <w:lang w:val="es-CO"/>
        </w:rPr>
        <w:t>os</w:t>
      </w:r>
      <w:r w:rsidRPr="00282038">
        <w:rPr>
          <w:rFonts w:ascii="Bookman Old Style" w:hAnsi="Bookman Old Style" w:cs="Arial"/>
          <w:iCs/>
          <w:sz w:val="24"/>
          <w:szCs w:val="24"/>
          <w:lang w:val="es-CO"/>
        </w:rPr>
        <w:t xml:space="preserve"> representante</w:t>
      </w:r>
      <w:r>
        <w:rPr>
          <w:rFonts w:ascii="Bookman Old Style" w:hAnsi="Bookman Old Style" w:cs="Arial"/>
          <w:iCs/>
          <w:sz w:val="24"/>
          <w:szCs w:val="24"/>
          <w:lang w:val="es-CO"/>
        </w:rPr>
        <w:t>s</w:t>
      </w:r>
      <w:r w:rsidRPr="00282038">
        <w:rPr>
          <w:rFonts w:ascii="Bookman Old Style" w:hAnsi="Bookman Old Style" w:cs="Arial"/>
          <w:iCs/>
          <w:sz w:val="24"/>
          <w:szCs w:val="24"/>
          <w:lang w:val="es-CO"/>
        </w:rPr>
        <w:t xml:space="preserve"> del Ministerio de Minas y Energía y/o la ANM y/o la ANH, o quien haga sus veces, dará lugar a </w:t>
      </w:r>
      <w:r w:rsidRPr="00D34456">
        <w:rPr>
          <w:rFonts w:ascii="Bookman Old Style" w:hAnsi="Bookman Old Style" w:cs="Arial"/>
          <w:iCs/>
          <w:sz w:val="24"/>
          <w:szCs w:val="24"/>
          <w:lang w:val="es-CO"/>
        </w:rPr>
        <w:t>las investigaciones correspondientes</w:t>
      </w:r>
      <w:r w:rsidRPr="00282038">
        <w:rPr>
          <w:rFonts w:ascii="Bookman Old Style" w:hAnsi="Bookman Old Style" w:cs="Arial"/>
          <w:iCs/>
          <w:sz w:val="24"/>
          <w:szCs w:val="24"/>
          <w:lang w:val="es-CO"/>
        </w:rPr>
        <w:t xml:space="preserve"> y no interrumpirá el proceso de coordinación y concurrencia. De su inasistencia se dejará constancia en el Acta y se continuará con el proceso establecido en la presente Ley.</w:t>
      </w:r>
    </w:p>
    <w:p w:rsidR="00D20F78" w:rsidRPr="00282038" w:rsidRDefault="00D20F78" w:rsidP="00D20F78">
      <w:pPr>
        <w:jc w:val="both"/>
        <w:rPr>
          <w:rFonts w:ascii="Bookman Old Style" w:hAnsi="Bookman Old Style" w:cs="Arial"/>
          <w:iCs/>
          <w:sz w:val="24"/>
          <w:szCs w:val="24"/>
          <w:lang w:val="es-CO"/>
        </w:rPr>
      </w:pPr>
      <w:r w:rsidRPr="00282038">
        <w:rPr>
          <w:rFonts w:ascii="Bookman Old Style" w:hAnsi="Bookman Old Style" w:cs="Arial"/>
          <w:b/>
          <w:bCs/>
          <w:iCs/>
          <w:sz w:val="24"/>
          <w:szCs w:val="24"/>
          <w:lang w:val="es-CO"/>
        </w:rPr>
        <w:t xml:space="preserve">Artículo </w:t>
      </w:r>
      <w:r>
        <w:rPr>
          <w:rFonts w:ascii="Bookman Old Style" w:hAnsi="Bookman Old Style" w:cs="Arial"/>
          <w:b/>
          <w:bCs/>
          <w:iCs/>
          <w:sz w:val="24"/>
          <w:szCs w:val="24"/>
          <w:lang w:val="es-CO"/>
        </w:rPr>
        <w:t xml:space="preserve">Décimo. </w:t>
      </w:r>
      <w:r w:rsidRPr="00282038">
        <w:rPr>
          <w:rFonts w:ascii="Bookman Old Style" w:hAnsi="Bookman Old Style" w:cs="Arial"/>
          <w:b/>
          <w:bCs/>
          <w:iCs/>
          <w:sz w:val="24"/>
          <w:szCs w:val="24"/>
          <w:lang w:val="es-CO"/>
        </w:rPr>
        <w:t>Asuntos a tratar en la mesa particular de coordinación y concurrencia.</w:t>
      </w:r>
      <w:r w:rsidRPr="00282038">
        <w:rPr>
          <w:rFonts w:ascii="Bookman Old Style" w:hAnsi="Bookman Old Style" w:cs="Arial"/>
          <w:b/>
          <w:bCs/>
          <w:i/>
          <w:iCs/>
          <w:sz w:val="24"/>
          <w:szCs w:val="24"/>
          <w:lang w:val="es-CO"/>
        </w:rPr>
        <w:t xml:space="preserve"> </w:t>
      </w:r>
      <w:r w:rsidRPr="00282038">
        <w:rPr>
          <w:rFonts w:ascii="Bookman Old Style" w:hAnsi="Bookman Old Style" w:cs="Arial"/>
          <w:iCs/>
          <w:sz w:val="24"/>
          <w:szCs w:val="24"/>
          <w:lang w:val="es-CO"/>
        </w:rPr>
        <w:t>La Mesa Particular de Coordinación y Concurrencia tratará los siguientes asuntos relacionados con la exploración y explotación del subsuelo y de los recursos naturales no renovables:</w:t>
      </w:r>
    </w:p>
    <w:p w:rsidR="00D20F78" w:rsidRPr="00282038" w:rsidRDefault="00D20F78" w:rsidP="00D20F78">
      <w:pPr>
        <w:numPr>
          <w:ilvl w:val="0"/>
          <w:numId w:val="4"/>
        </w:numPr>
        <w:ind w:left="426"/>
        <w:jc w:val="both"/>
        <w:rPr>
          <w:rFonts w:ascii="Bookman Old Style" w:hAnsi="Bookman Old Style" w:cs="Arial"/>
          <w:b/>
          <w:bCs/>
          <w:iCs/>
          <w:sz w:val="24"/>
          <w:szCs w:val="24"/>
          <w:lang w:val="es-CO"/>
        </w:rPr>
      </w:pPr>
      <w:bookmarkStart w:id="0" w:name="_Hlk49976879"/>
      <w:r w:rsidRPr="00282038">
        <w:rPr>
          <w:rFonts w:ascii="Bookman Old Style" w:hAnsi="Bookman Old Style" w:cs="Arial"/>
          <w:b/>
          <w:bCs/>
          <w:iCs/>
          <w:sz w:val="24"/>
          <w:szCs w:val="24"/>
          <w:lang w:val="es-CO"/>
        </w:rPr>
        <w:t>Presentación y discusión de las áreas con potencial minero o de hidrocarburos y definición de asuntos prioritarios de desarrollo.</w:t>
      </w:r>
    </w:p>
    <w:bookmarkEnd w:id="0"/>
    <w:p w:rsidR="00D20F78" w:rsidRPr="00282038" w:rsidRDefault="00D20F78" w:rsidP="00D20F78">
      <w:pPr>
        <w:jc w:val="both"/>
        <w:rPr>
          <w:rFonts w:ascii="Bookman Old Style" w:hAnsi="Bookman Old Style" w:cs="Arial"/>
          <w:iCs/>
          <w:sz w:val="24"/>
          <w:szCs w:val="24"/>
          <w:lang w:val="es-CO"/>
        </w:rPr>
      </w:pPr>
      <w:r w:rsidRPr="00282038">
        <w:rPr>
          <w:rFonts w:ascii="Bookman Old Style" w:hAnsi="Bookman Old Style" w:cs="Arial"/>
          <w:iCs/>
          <w:sz w:val="24"/>
          <w:szCs w:val="24"/>
          <w:lang w:val="es-CO"/>
        </w:rPr>
        <w:t xml:space="preserve">Para la asignación de áreas relacionadas con la exploración y explotación del subsuelo y de los recursos naturales no renovables, la ANM o la ANH, o quien haga sus veces, deberán solicitar a la Secretaría Técnica la activación de la Mesa Particular de Coordinación y Concurrencia, con el fin de presentar y discutir la caracterización técnica de las áreas susceptibles de contratación, de conformidad con los protocolos y/o procedimientos que cada agencia, o quien haga sus veces, adopte para tal fin. </w:t>
      </w:r>
    </w:p>
    <w:p w:rsidR="00D20F78" w:rsidRPr="00282038" w:rsidRDefault="00D20F78" w:rsidP="00D20F78">
      <w:pPr>
        <w:jc w:val="both"/>
        <w:rPr>
          <w:rFonts w:ascii="Bookman Old Style" w:hAnsi="Bookman Old Style" w:cs="Arial"/>
          <w:iCs/>
          <w:sz w:val="24"/>
          <w:szCs w:val="24"/>
          <w:lang w:val="es-CO"/>
        </w:rPr>
      </w:pPr>
      <w:r w:rsidRPr="00282038">
        <w:rPr>
          <w:rFonts w:ascii="Bookman Old Style" w:hAnsi="Bookman Old Style" w:cs="Arial"/>
          <w:iCs/>
          <w:sz w:val="24"/>
          <w:szCs w:val="24"/>
          <w:lang w:val="es-CO"/>
        </w:rPr>
        <w:t xml:space="preserve">Con al menos quince (15) días calendario de anticipación a la fecha de celebración de la Mesa Particular de Coordinación y Concurrencia, la ANM o la ANH, o quien haga sus veces, enviará o dará acceso a la caracterización técnica y a toda la información soporte a los demás integrantes de la Mesa y a los invitados. </w:t>
      </w:r>
    </w:p>
    <w:p w:rsidR="00D20F78" w:rsidRPr="00282038" w:rsidRDefault="00D20F78" w:rsidP="00D20F78">
      <w:pPr>
        <w:jc w:val="both"/>
        <w:rPr>
          <w:rFonts w:ascii="Bookman Old Style" w:hAnsi="Bookman Old Style" w:cs="Arial"/>
          <w:iCs/>
          <w:sz w:val="24"/>
          <w:szCs w:val="24"/>
          <w:lang w:val="es-CO"/>
        </w:rPr>
      </w:pPr>
      <w:r w:rsidRPr="00282038">
        <w:rPr>
          <w:rFonts w:ascii="Bookman Old Style" w:hAnsi="Bookman Old Style" w:cs="Arial"/>
          <w:iCs/>
          <w:sz w:val="24"/>
          <w:szCs w:val="24"/>
          <w:lang w:val="es-CO"/>
        </w:rPr>
        <w:t xml:space="preserve">En este escenario, el alcalde o su delegado, expondrá las variables técnicas en el marco de sus competencias, y una propuesta de asuntos prioritarios de desarrollo territorial que considere pertinentes de sus planes de ordenamiento territorial, según lo dispuesto en la Ley de 388 de 1997 y demás normas aplicables. En caso de que se vayan a tratar aspectos del Plan de Ordenamiento Departamental, el gobernador hará su presentación respectiva. </w:t>
      </w:r>
    </w:p>
    <w:p w:rsidR="00D20F78" w:rsidRDefault="00D20F78" w:rsidP="00D20F78">
      <w:pPr>
        <w:jc w:val="both"/>
        <w:rPr>
          <w:rFonts w:ascii="Bookman Old Style" w:hAnsi="Bookman Old Style" w:cs="Arial"/>
          <w:iCs/>
          <w:sz w:val="24"/>
          <w:szCs w:val="24"/>
          <w:lang w:val="es-CO"/>
        </w:rPr>
      </w:pPr>
      <w:r w:rsidRPr="00282038">
        <w:rPr>
          <w:rFonts w:ascii="Bookman Old Style" w:hAnsi="Bookman Old Style" w:cs="Arial"/>
          <w:iCs/>
          <w:sz w:val="24"/>
          <w:szCs w:val="24"/>
          <w:lang w:val="es-CO"/>
        </w:rPr>
        <w:t>Los demás integrantes podrán exponer la información técnica en el marco de sus competencias que consideren pertinente.</w:t>
      </w:r>
    </w:p>
    <w:p w:rsidR="00D20F78" w:rsidRPr="00282038" w:rsidRDefault="00D20F78" w:rsidP="00D20F78">
      <w:pPr>
        <w:jc w:val="both"/>
        <w:rPr>
          <w:rFonts w:ascii="Bookman Old Style" w:hAnsi="Bookman Old Style" w:cs="Arial"/>
          <w:iCs/>
          <w:sz w:val="24"/>
          <w:szCs w:val="24"/>
          <w:lang w:val="es-CO"/>
        </w:rPr>
      </w:pPr>
      <w:r w:rsidRPr="00282038">
        <w:rPr>
          <w:rFonts w:ascii="Bookman Old Style" w:hAnsi="Bookman Old Style" w:cs="Arial"/>
          <w:iCs/>
          <w:sz w:val="24"/>
          <w:szCs w:val="24"/>
          <w:lang w:val="es-CO"/>
        </w:rPr>
        <w:lastRenderedPageBreak/>
        <w:t xml:space="preserve">De manera previa a la Mesa Particular de Coordinación y Concurrencia, la ANM o la ANH, o quien haga sus veces, deberá adelantar la Audiencia Pública Regional para asuntos prioritarios de desarrollo de la que trata el </w:t>
      </w:r>
      <w:r w:rsidRPr="00007359">
        <w:rPr>
          <w:rFonts w:ascii="Bookman Old Style" w:hAnsi="Bookman Old Style" w:cs="Arial"/>
          <w:iCs/>
          <w:sz w:val="24"/>
          <w:szCs w:val="24"/>
          <w:lang w:val="es-CO"/>
        </w:rPr>
        <w:t xml:space="preserve">artículo decimosexto </w:t>
      </w:r>
      <w:r>
        <w:rPr>
          <w:rFonts w:ascii="Bookman Old Style" w:hAnsi="Bookman Old Style" w:cs="Arial"/>
          <w:iCs/>
          <w:sz w:val="24"/>
          <w:szCs w:val="24"/>
          <w:lang w:val="es-CO"/>
        </w:rPr>
        <w:t xml:space="preserve">de la presente Ley </w:t>
      </w:r>
      <w:r w:rsidRPr="00282038">
        <w:rPr>
          <w:rFonts w:ascii="Bookman Old Style" w:hAnsi="Bookman Old Style" w:cs="Arial"/>
          <w:iCs/>
          <w:sz w:val="24"/>
          <w:szCs w:val="24"/>
          <w:lang w:val="es-CO"/>
        </w:rPr>
        <w:t xml:space="preserve">y deberá aportar el acta que se derive de la misma como insumo para la toma de decisiones sobre asuntos prioritarios de desarrollo en la Mesa Particular de Coordinación y Concurrencia. </w:t>
      </w:r>
    </w:p>
    <w:p w:rsidR="00D20F78" w:rsidRPr="00282038" w:rsidRDefault="00D20F78" w:rsidP="00D20F78">
      <w:pPr>
        <w:jc w:val="both"/>
        <w:rPr>
          <w:rFonts w:ascii="Bookman Old Style" w:hAnsi="Bookman Old Style" w:cs="Arial"/>
          <w:iCs/>
          <w:sz w:val="24"/>
          <w:szCs w:val="24"/>
          <w:lang w:val="es-CO"/>
        </w:rPr>
      </w:pPr>
      <w:r w:rsidRPr="00282038">
        <w:rPr>
          <w:rFonts w:ascii="Bookman Old Style" w:hAnsi="Bookman Old Style" w:cs="Arial"/>
          <w:iCs/>
          <w:sz w:val="24"/>
          <w:szCs w:val="24"/>
          <w:lang w:val="es-CO"/>
        </w:rPr>
        <w:t xml:space="preserve">Con la información suministrada, los integrantes de la Mesa Particular de Coordinación y Concurrencia definirán los asuntos prioritarios de desarrollo territorial que, posteriormente, en coordinación y análisis con la ANM o la ANH, o quien haga sus veces, deberán ser tenidos en cuenta en los instrumentos de gestión social, y en las cláusulas de los títulos mineros, contratos de hidrocarburos, así como en cualquier otra figura o instrumento que autorice la exploración y explotación del subsuelo y de los recursos naturales no renovables, según corresponda, y podrán ser insumo para las inversiones con cargo a los recursos del Sistema General de Regalías. </w:t>
      </w:r>
    </w:p>
    <w:p w:rsidR="00D20F78" w:rsidRPr="00282038" w:rsidRDefault="00D20F78" w:rsidP="00D20F78">
      <w:pPr>
        <w:jc w:val="both"/>
        <w:rPr>
          <w:rFonts w:ascii="Bookman Old Style" w:hAnsi="Bookman Old Style" w:cs="Arial"/>
          <w:iCs/>
          <w:sz w:val="24"/>
          <w:szCs w:val="24"/>
          <w:lang w:val="es-CO"/>
        </w:rPr>
      </w:pPr>
      <w:r w:rsidRPr="00282038">
        <w:rPr>
          <w:rFonts w:ascii="Bookman Old Style" w:hAnsi="Bookman Old Style" w:cs="Arial"/>
          <w:iCs/>
          <w:sz w:val="24"/>
          <w:szCs w:val="24"/>
          <w:lang w:val="es-CO"/>
        </w:rPr>
        <w:t>Los asuntos prioritarios de desarrollo territorial serán proporcionales y acordes a las características de los proyectos y sus ciclos, a la dimensión del proyecto minero o de hidrocarburos, a las características del territorio, a la viabilidad técnica, operativa y económica de los proyectos y al respeto de la sostenibilidad fiscal.</w:t>
      </w:r>
    </w:p>
    <w:p w:rsidR="00D20F78" w:rsidRPr="00282038" w:rsidRDefault="00D20F78" w:rsidP="00D20F78">
      <w:pPr>
        <w:numPr>
          <w:ilvl w:val="0"/>
          <w:numId w:val="4"/>
        </w:numPr>
        <w:ind w:left="426"/>
        <w:jc w:val="both"/>
        <w:rPr>
          <w:rFonts w:ascii="Bookman Old Style" w:hAnsi="Bookman Old Style" w:cs="Arial"/>
          <w:b/>
          <w:bCs/>
          <w:iCs/>
          <w:sz w:val="24"/>
          <w:szCs w:val="24"/>
          <w:lang w:val="es-CO"/>
        </w:rPr>
      </w:pPr>
      <w:bookmarkStart w:id="1" w:name="_Hlk49976916"/>
      <w:r w:rsidRPr="00282038">
        <w:rPr>
          <w:rFonts w:ascii="Bookman Old Style" w:hAnsi="Bookman Old Style" w:cs="Arial"/>
          <w:b/>
          <w:bCs/>
          <w:iCs/>
          <w:sz w:val="24"/>
          <w:szCs w:val="24"/>
          <w:lang w:val="es-CO"/>
        </w:rPr>
        <w:t>Conflictividad y diálogo asociado a la exploración y explotación del subsuelo y de recursos naturales no renovables.</w:t>
      </w:r>
    </w:p>
    <w:bookmarkEnd w:id="1"/>
    <w:p w:rsidR="00D20F78" w:rsidRDefault="00D20F78" w:rsidP="00D20F78">
      <w:pPr>
        <w:jc w:val="both"/>
        <w:rPr>
          <w:rFonts w:ascii="Bookman Old Style" w:hAnsi="Bookman Old Style" w:cs="Arial"/>
          <w:iCs/>
          <w:sz w:val="24"/>
          <w:szCs w:val="24"/>
          <w:lang w:val="es-CO"/>
        </w:rPr>
      </w:pPr>
      <w:r w:rsidRPr="00282038">
        <w:rPr>
          <w:rFonts w:ascii="Bookman Old Style" w:hAnsi="Bookman Old Style" w:cs="Arial"/>
          <w:iCs/>
          <w:sz w:val="24"/>
          <w:szCs w:val="24"/>
          <w:lang w:val="es-CO"/>
        </w:rPr>
        <w:t xml:space="preserve">La Mesa Particular de Coordinación y Concurrencia se convocará para sesionar como escenario de diálogo temprano para la solución de controversias sociales que involucren la exploración y explotación del subsuelo y de los recursos naturales no renovables. Para atender dichas situaciones, los integrantes de la Mesa solicitarán a la Secretaría Técnica convocar a los actores que consideren relevantes para tal fin. El objeto de la Mesa será proponer un plan de acompañamiento para resolver la controversia. De ser el caso, las actas que se suscriban en desarrollo de esta Mesa servirán de insumo y antecedente para la posterior solución de la controversia por parte de la autoridad competente. </w:t>
      </w:r>
    </w:p>
    <w:p w:rsidR="005B2B8B" w:rsidRDefault="005B2B8B" w:rsidP="00D20F78">
      <w:pPr>
        <w:jc w:val="both"/>
        <w:rPr>
          <w:rFonts w:ascii="Bookman Old Style" w:hAnsi="Bookman Old Style" w:cs="Arial"/>
          <w:iCs/>
          <w:sz w:val="24"/>
          <w:szCs w:val="24"/>
          <w:lang w:val="es-CO"/>
        </w:rPr>
      </w:pPr>
    </w:p>
    <w:p w:rsidR="00D20F78" w:rsidRPr="00282038" w:rsidRDefault="00D20F78" w:rsidP="00D20F78">
      <w:pPr>
        <w:numPr>
          <w:ilvl w:val="0"/>
          <w:numId w:val="4"/>
        </w:numPr>
        <w:ind w:left="426"/>
        <w:jc w:val="both"/>
        <w:rPr>
          <w:rFonts w:ascii="Bookman Old Style" w:hAnsi="Bookman Old Style" w:cs="Arial"/>
          <w:b/>
          <w:iCs/>
          <w:sz w:val="24"/>
          <w:szCs w:val="24"/>
          <w:lang w:val="es-CO"/>
        </w:rPr>
      </w:pPr>
      <w:bookmarkStart w:id="2" w:name="_Hlk49976932"/>
      <w:r w:rsidRPr="00282038">
        <w:rPr>
          <w:rFonts w:ascii="Bookman Old Style" w:hAnsi="Bookman Old Style" w:cs="Arial"/>
          <w:b/>
          <w:bCs/>
          <w:iCs/>
          <w:sz w:val="24"/>
          <w:szCs w:val="24"/>
          <w:lang w:val="es-CO"/>
        </w:rPr>
        <w:lastRenderedPageBreak/>
        <w:t>Ordenamiento</w:t>
      </w:r>
      <w:r w:rsidRPr="00282038">
        <w:rPr>
          <w:rFonts w:ascii="Bookman Old Style" w:hAnsi="Bookman Old Style" w:cs="Arial"/>
          <w:b/>
          <w:iCs/>
          <w:sz w:val="24"/>
          <w:szCs w:val="24"/>
          <w:lang w:val="es-CO"/>
        </w:rPr>
        <w:t xml:space="preserve"> territorial</w:t>
      </w:r>
      <w:bookmarkEnd w:id="2"/>
      <w:r w:rsidRPr="00282038">
        <w:rPr>
          <w:rFonts w:ascii="Bookman Old Style" w:hAnsi="Bookman Old Style" w:cs="Arial"/>
          <w:b/>
          <w:iCs/>
          <w:sz w:val="24"/>
          <w:szCs w:val="24"/>
          <w:lang w:val="es-CO"/>
        </w:rPr>
        <w:t>.</w:t>
      </w:r>
    </w:p>
    <w:p w:rsidR="00D20F78" w:rsidRPr="00282038" w:rsidRDefault="00D20F78" w:rsidP="00D20F78">
      <w:pPr>
        <w:jc w:val="both"/>
        <w:rPr>
          <w:rFonts w:ascii="Bookman Old Style" w:hAnsi="Bookman Old Style" w:cs="Arial"/>
          <w:iCs/>
          <w:sz w:val="24"/>
          <w:szCs w:val="24"/>
          <w:lang w:val="es-CO"/>
        </w:rPr>
      </w:pPr>
      <w:r w:rsidRPr="00282038">
        <w:rPr>
          <w:rFonts w:ascii="Bookman Old Style" w:hAnsi="Bookman Old Style" w:cs="Arial"/>
          <w:iCs/>
          <w:sz w:val="24"/>
          <w:szCs w:val="24"/>
          <w:lang w:val="es-CO"/>
        </w:rPr>
        <w:t>La Mesa Particular</w:t>
      </w:r>
      <w:r>
        <w:rPr>
          <w:rFonts w:ascii="Bookman Old Style" w:hAnsi="Bookman Old Style" w:cs="Arial"/>
          <w:iCs/>
          <w:sz w:val="24"/>
          <w:szCs w:val="24"/>
          <w:lang w:val="es-CO"/>
        </w:rPr>
        <w:t xml:space="preserve"> de Coordinación y Concurrencia</w:t>
      </w:r>
      <w:r w:rsidRPr="00282038">
        <w:rPr>
          <w:rFonts w:ascii="Bookman Old Style" w:hAnsi="Bookman Old Style" w:cs="Arial"/>
          <w:iCs/>
          <w:sz w:val="24"/>
          <w:szCs w:val="24"/>
          <w:lang w:val="es-CO"/>
        </w:rPr>
        <w:t xml:space="preserve"> deberá ser convocada cuando el alcalde o gobernador, en la formulación, adopción, adecuación, revisión o ajuste de los planes de ordenamiento territorial, pretenda incidir, restringir o limitar la exploración y explotación del subsuelo y de los recursos naturales no renovables, y </w:t>
      </w:r>
      <w:r w:rsidRPr="00007359">
        <w:rPr>
          <w:rFonts w:ascii="Bookman Old Style" w:hAnsi="Bookman Old Style" w:cs="Arial"/>
          <w:iCs/>
          <w:sz w:val="24"/>
          <w:szCs w:val="24"/>
          <w:lang w:val="es-CO"/>
        </w:rPr>
        <w:t>sesionará y se regirá por lo dispuesto en el Título III de la presente ley.</w:t>
      </w:r>
    </w:p>
    <w:p w:rsidR="00D20F78" w:rsidRPr="00282038" w:rsidRDefault="00D20F78" w:rsidP="00D20F78">
      <w:pPr>
        <w:jc w:val="both"/>
        <w:rPr>
          <w:rFonts w:ascii="Bookman Old Style" w:hAnsi="Bookman Old Style" w:cs="Arial"/>
          <w:iCs/>
          <w:sz w:val="24"/>
          <w:szCs w:val="24"/>
          <w:lang w:val="es-CO"/>
        </w:rPr>
      </w:pPr>
      <w:r w:rsidRPr="00282038">
        <w:rPr>
          <w:rFonts w:ascii="Bookman Old Style" w:hAnsi="Bookman Old Style" w:cs="Arial"/>
          <w:b/>
          <w:bCs/>
          <w:iCs/>
          <w:sz w:val="24"/>
          <w:szCs w:val="24"/>
          <w:lang w:val="es-CO"/>
        </w:rPr>
        <w:t xml:space="preserve">Parágrafo Primero. </w:t>
      </w:r>
      <w:r w:rsidRPr="00282038">
        <w:rPr>
          <w:rFonts w:ascii="Bookman Old Style" w:hAnsi="Bookman Old Style" w:cs="Arial"/>
          <w:iCs/>
          <w:sz w:val="24"/>
          <w:szCs w:val="24"/>
          <w:lang w:val="es-CO"/>
        </w:rPr>
        <w:t xml:space="preserve">La Secretaría Técnica podrá suspender o aplazar la sesión, por una sola vez, debiéndose reanudar la Mesa Particular de Coordinación y Concurrencia dentro de los treinta (30) días calendario siguientes, donde se presentará por parte de la ANM o la ANH, o quien haga sus veces, el informe técnico final con los análisis técnicos solicitados. En caso de inasistencia de </w:t>
      </w:r>
      <w:r w:rsidR="009E6D68" w:rsidRPr="00282038">
        <w:rPr>
          <w:rFonts w:ascii="Bookman Old Style" w:hAnsi="Bookman Old Style" w:cs="Arial"/>
          <w:iCs/>
          <w:sz w:val="24"/>
          <w:szCs w:val="24"/>
          <w:lang w:val="es-CO"/>
        </w:rPr>
        <w:t>los gobernadores</w:t>
      </w:r>
      <w:r w:rsidRPr="00282038">
        <w:rPr>
          <w:rFonts w:ascii="Bookman Old Style" w:hAnsi="Bookman Old Style" w:cs="Arial"/>
          <w:iCs/>
          <w:sz w:val="24"/>
          <w:szCs w:val="24"/>
          <w:lang w:val="es-CO"/>
        </w:rPr>
        <w:t xml:space="preserve"> o de los alcaldes convocados a la reanudación de la mesa técnica, o de sus representantes, el área susceptible de contratación para el desarrollo de actividades y proyectos para la exploración y explotación del subsuelo y de los recursos naturales no renovables, se podrá continuar con los procesos de asignación y contratación minera o de hidrocarburos. </w:t>
      </w:r>
    </w:p>
    <w:p w:rsidR="00D20F78" w:rsidRPr="00B64275" w:rsidRDefault="00D20F78" w:rsidP="00D20F78">
      <w:pPr>
        <w:jc w:val="both"/>
        <w:rPr>
          <w:rFonts w:ascii="Bookman Old Style" w:hAnsi="Bookman Old Style" w:cs="Arial"/>
          <w:iCs/>
          <w:sz w:val="24"/>
          <w:szCs w:val="24"/>
          <w:lang w:val="es-CO"/>
        </w:rPr>
      </w:pPr>
      <w:r w:rsidRPr="00B64275">
        <w:rPr>
          <w:rFonts w:ascii="Bookman Old Style" w:hAnsi="Bookman Old Style" w:cs="Arial"/>
          <w:b/>
          <w:bCs/>
          <w:iCs/>
          <w:sz w:val="24"/>
          <w:szCs w:val="24"/>
          <w:lang w:val="es-CO"/>
        </w:rPr>
        <w:t>Parágrafo Segundo.</w:t>
      </w:r>
      <w:r w:rsidRPr="00B64275">
        <w:rPr>
          <w:rFonts w:ascii="Bookman Old Style" w:hAnsi="Bookman Old Style" w:cs="Arial"/>
          <w:iCs/>
          <w:sz w:val="24"/>
          <w:szCs w:val="24"/>
          <w:lang w:val="es-CO"/>
        </w:rPr>
        <w:t xml:space="preserve"> La información técnica y las Actas de Coordinación y Concurrencia suscritas en la Mesa harán parte de los respectivos procedimientos administrativos para la contratación minera o de hidrocarburos. Asimismo, el Acta que se suscriba en la Mesa Particular de Coordinación y Concurrencia constituirá un insumo técnico para los planes de ordenamiento territorial, departamental, municipal o distrital, y en los Planes de Desarrollo, departamental, municipal o distrital, en los términos establecidos en esta Ley y en las demá</w:t>
      </w:r>
      <w:r>
        <w:rPr>
          <w:rFonts w:ascii="Bookman Old Style" w:hAnsi="Bookman Old Style" w:cs="Arial"/>
          <w:iCs/>
          <w:sz w:val="24"/>
          <w:szCs w:val="24"/>
          <w:lang w:val="es-CO"/>
        </w:rPr>
        <w:t>s L</w:t>
      </w:r>
      <w:r w:rsidRPr="00B64275">
        <w:rPr>
          <w:rFonts w:ascii="Bookman Old Style" w:hAnsi="Bookman Old Style" w:cs="Arial"/>
          <w:iCs/>
          <w:sz w:val="24"/>
          <w:szCs w:val="24"/>
          <w:lang w:val="es-CO"/>
        </w:rPr>
        <w:t>eyes pertinentes y concordantes.</w:t>
      </w:r>
    </w:p>
    <w:p w:rsidR="00D20F78" w:rsidRDefault="00D20F78" w:rsidP="00D20F78">
      <w:pPr>
        <w:jc w:val="both"/>
        <w:rPr>
          <w:rFonts w:ascii="Bookman Old Style" w:hAnsi="Bookman Old Style" w:cs="Arial"/>
          <w:iCs/>
          <w:sz w:val="24"/>
          <w:szCs w:val="24"/>
          <w:lang w:val="es-CO"/>
        </w:rPr>
      </w:pPr>
      <w:r w:rsidRPr="00B64275">
        <w:rPr>
          <w:rFonts w:ascii="Bookman Old Style" w:hAnsi="Bookman Old Style" w:cs="Arial"/>
          <w:b/>
          <w:bCs/>
          <w:iCs/>
          <w:sz w:val="24"/>
          <w:szCs w:val="24"/>
          <w:lang w:val="es-CO"/>
        </w:rPr>
        <w:t>Parágrafo Tercero.</w:t>
      </w:r>
      <w:r w:rsidRPr="00B64275">
        <w:rPr>
          <w:rFonts w:ascii="Bookman Old Style" w:hAnsi="Bookman Old Style" w:cs="Arial"/>
          <w:iCs/>
          <w:sz w:val="24"/>
          <w:szCs w:val="24"/>
          <w:lang w:val="es-CO"/>
        </w:rPr>
        <w:t xml:space="preserve"> Los asuntos prioritarios de desarrollo territorial pactados deberán ser revisados por la Mesa Particular de Coordinación y Concurrencia cada cinco (5) años. En caso de realizarse ajustes, estos deberán</w:t>
      </w:r>
      <w:r>
        <w:rPr>
          <w:rFonts w:ascii="Bookman Old Style" w:hAnsi="Bookman Old Style" w:cs="Arial"/>
          <w:iCs/>
          <w:sz w:val="24"/>
          <w:szCs w:val="24"/>
          <w:lang w:val="es-CO"/>
        </w:rPr>
        <w:t xml:space="preserve"> ser consagrados en Acta</w:t>
      </w:r>
      <w:r w:rsidRPr="00B64275">
        <w:rPr>
          <w:rFonts w:ascii="Bookman Old Style" w:hAnsi="Bookman Old Style" w:cs="Arial"/>
          <w:iCs/>
          <w:sz w:val="24"/>
          <w:szCs w:val="24"/>
          <w:lang w:val="es-CO"/>
        </w:rPr>
        <w:t xml:space="preserve"> que servirá de insumo para la construcción de los instrumentos de gestión social, que no ha</w:t>
      </w:r>
      <w:r>
        <w:rPr>
          <w:rFonts w:ascii="Bookman Old Style" w:hAnsi="Bookman Old Style" w:cs="Arial"/>
          <w:iCs/>
          <w:sz w:val="24"/>
          <w:szCs w:val="24"/>
          <w:lang w:val="es-CO"/>
        </w:rPr>
        <w:t>yan</w:t>
      </w:r>
      <w:r w:rsidRPr="00B64275">
        <w:rPr>
          <w:rFonts w:ascii="Bookman Old Style" w:hAnsi="Bookman Old Style" w:cs="Arial"/>
          <w:iCs/>
          <w:sz w:val="24"/>
          <w:szCs w:val="24"/>
          <w:lang w:val="es-CO"/>
        </w:rPr>
        <w:t xml:space="preserve"> sido aprobados por la ANM o la ANH, o quien haga sus veces.</w:t>
      </w:r>
    </w:p>
    <w:p w:rsidR="00D20F78" w:rsidRPr="00B64275" w:rsidRDefault="00D20F78" w:rsidP="00D20F78">
      <w:pPr>
        <w:jc w:val="both"/>
        <w:rPr>
          <w:rFonts w:ascii="Bookman Old Style" w:hAnsi="Bookman Old Style" w:cs="Arial"/>
          <w:iCs/>
          <w:sz w:val="24"/>
          <w:szCs w:val="24"/>
          <w:lang w:val="es-CO"/>
        </w:rPr>
      </w:pPr>
      <w:r w:rsidRPr="00B64275">
        <w:rPr>
          <w:rFonts w:ascii="Bookman Old Style" w:hAnsi="Bookman Old Style" w:cs="Arial"/>
          <w:b/>
          <w:bCs/>
          <w:iCs/>
          <w:sz w:val="24"/>
          <w:szCs w:val="24"/>
          <w:lang w:val="es-CO"/>
        </w:rPr>
        <w:t>Artículo</w:t>
      </w:r>
      <w:r>
        <w:rPr>
          <w:rFonts w:ascii="Bookman Old Style" w:hAnsi="Bookman Old Style" w:cs="Arial"/>
          <w:b/>
          <w:bCs/>
          <w:iCs/>
          <w:sz w:val="24"/>
          <w:szCs w:val="24"/>
          <w:lang w:val="es-CO"/>
        </w:rPr>
        <w:t xml:space="preserve"> Decimoprimero</w:t>
      </w:r>
      <w:r w:rsidRPr="00B64275">
        <w:rPr>
          <w:rFonts w:ascii="Bookman Old Style" w:hAnsi="Bookman Old Style" w:cs="Arial"/>
          <w:b/>
          <w:bCs/>
          <w:iCs/>
          <w:sz w:val="24"/>
          <w:szCs w:val="24"/>
          <w:lang w:val="es-CO"/>
        </w:rPr>
        <w:t>. Convocatoria.</w:t>
      </w:r>
      <w:r w:rsidRPr="00B64275">
        <w:rPr>
          <w:rFonts w:ascii="Bookman Old Style" w:hAnsi="Bookman Old Style" w:cs="Arial"/>
          <w:i/>
          <w:iCs/>
          <w:sz w:val="24"/>
          <w:szCs w:val="24"/>
          <w:lang w:val="es-CO"/>
        </w:rPr>
        <w:t xml:space="preserve"> </w:t>
      </w:r>
      <w:r w:rsidRPr="00B64275">
        <w:rPr>
          <w:rFonts w:ascii="Bookman Old Style" w:hAnsi="Bookman Old Style" w:cs="Arial"/>
          <w:iCs/>
          <w:sz w:val="24"/>
          <w:szCs w:val="24"/>
          <w:lang w:val="es-CO"/>
        </w:rPr>
        <w:t xml:space="preserve">La Mesa General de Coordinación y Concurrencia se reunirá, como mínimo, una (1) vez al año, </w:t>
      </w:r>
      <w:r w:rsidRPr="00B64275">
        <w:rPr>
          <w:rFonts w:ascii="Bookman Old Style" w:hAnsi="Bookman Old Style" w:cs="Arial"/>
          <w:iCs/>
          <w:sz w:val="24"/>
          <w:szCs w:val="24"/>
          <w:lang w:val="es-CO"/>
        </w:rPr>
        <w:lastRenderedPageBreak/>
        <w:t>sin perjuicio de que cualquiera de los integrantes pueda solicitar a la Secretaría Técnica reuniones extraordinarias o reuniones de las Mesas Particulares de Coordinación y Concurrencia, las cuales se convocarán siguiendo los principios de necesidad, eficacia y economía.</w:t>
      </w:r>
    </w:p>
    <w:p w:rsidR="00D20F78" w:rsidRPr="00B64275" w:rsidRDefault="00D20F78" w:rsidP="00D20F78">
      <w:pPr>
        <w:jc w:val="both"/>
        <w:rPr>
          <w:rFonts w:ascii="Bookman Old Style" w:hAnsi="Bookman Old Style" w:cs="Arial"/>
          <w:iCs/>
          <w:sz w:val="24"/>
          <w:szCs w:val="24"/>
          <w:lang w:val="es-CO"/>
        </w:rPr>
      </w:pPr>
      <w:r w:rsidRPr="00B64275">
        <w:rPr>
          <w:rFonts w:ascii="Bookman Old Style" w:hAnsi="Bookman Old Style" w:cs="Arial"/>
          <w:iCs/>
          <w:sz w:val="24"/>
          <w:szCs w:val="24"/>
          <w:lang w:val="es-CO"/>
        </w:rPr>
        <w:t xml:space="preserve">La Secretaría Técnica de las Mesas realizará la convocatoria de las Mesas de Coordinación y Concurrencia a las que se refieren </w:t>
      </w:r>
      <w:r w:rsidRPr="00402E92">
        <w:rPr>
          <w:rFonts w:ascii="Bookman Old Style" w:hAnsi="Bookman Old Style" w:cs="Arial"/>
          <w:iCs/>
          <w:sz w:val="24"/>
          <w:szCs w:val="24"/>
          <w:lang w:val="es-CO"/>
        </w:rPr>
        <w:t xml:space="preserve">los artículos </w:t>
      </w:r>
      <w:r w:rsidRPr="00402E92">
        <w:rPr>
          <w:rFonts w:ascii="Bookman Old Style" w:hAnsi="Bookman Old Style" w:cs="Arial"/>
          <w:bCs/>
          <w:iCs/>
          <w:sz w:val="24"/>
          <w:szCs w:val="24"/>
          <w:lang w:val="es-CO"/>
        </w:rPr>
        <w:t>sexto y noveno</w:t>
      </w:r>
      <w:r w:rsidRPr="00B64275">
        <w:rPr>
          <w:rFonts w:ascii="Bookman Old Style" w:hAnsi="Bookman Old Style" w:cs="Arial"/>
          <w:iCs/>
          <w:sz w:val="24"/>
          <w:szCs w:val="24"/>
          <w:lang w:val="es-CO"/>
        </w:rPr>
        <w:t xml:space="preserve"> de la presente Ley, y definirá la fecha y lugar de celebración de estas, las cuales se llevarán a cabo dentro de los sesenta (60) días calendario siguiente a su convocatoria.</w:t>
      </w:r>
    </w:p>
    <w:p w:rsidR="00D20F78" w:rsidRDefault="00D20F78" w:rsidP="00D20F78">
      <w:pPr>
        <w:jc w:val="both"/>
        <w:rPr>
          <w:rFonts w:ascii="Bookman Old Style" w:hAnsi="Bookman Old Style" w:cs="Arial"/>
          <w:iCs/>
          <w:sz w:val="24"/>
          <w:szCs w:val="24"/>
          <w:lang w:val="es-CO"/>
        </w:rPr>
      </w:pPr>
      <w:r w:rsidRPr="0093466F">
        <w:rPr>
          <w:rFonts w:ascii="Bookman Old Style" w:hAnsi="Bookman Old Style" w:cs="Arial"/>
          <w:iCs/>
          <w:sz w:val="24"/>
          <w:szCs w:val="24"/>
          <w:lang w:val="es-CO"/>
        </w:rPr>
        <w:t>El gobernador</w:t>
      </w:r>
      <w:r>
        <w:rPr>
          <w:rFonts w:ascii="Bookman Old Style" w:hAnsi="Bookman Old Style" w:cs="Arial"/>
          <w:iCs/>
          <w:sz w:val="24"/>
          <w:szCs w:val="24"/>
          <w:lang w:val="es-CO"/>
        </w:rPr>
        <w:t xml:space="preserve"> </w:t>
      </w:r>
      <w:r w:rsidRPr="0093466F">
        <w:rPr>
          <w:rFonts w:ascii="Bookman Old Style" w:hAnsi="Bookman Old Style" w:cs="Arial"/>
          <w:iCs/>
          <w:sz w:val="24"/>
          <w:szCs w:val="24"/>
          <w:lang w:val="es-CO"/>
        </w:rPr>
        <w:t>deberá estar presente en las Mesas de Coordinación y Concurrencia, cuando los asuntos a tratar versen sobre el Plan de Ordenamiento Departamental.</w:t>
      </w:r>
    </w:p>
    <w:p w:rsidR="00D20F78" w:rsidRPr="0093466F" w:rsidRDefault="00D20F78" w:rsidP="00D20F78">
      <w:pPr>
        <w:jc w:val="both"/>
        <w:rPr>
          <w:rFonts w:ascii="Bookman Old Style" w:hAnsi="Bookman Old Style" w:cs="Arial"/>
          <w:iCs/>
          <w:sz w:val="24"/>
          <w:szCs w:val="24"/>
          <w:lang w:val="es-CO"/>
        </w:rPr>
      </w:pPr>
      <w:r w:rsidRPr="0093466F">
        <w:rPr>
          <w:rFonts w:ascii="Bookman Old Style" w:hAnsi="Bookman Old Style" w:cs="Arial"/>
          <w:iCs/>
          <w:sz w:val="24"/>
          <w:szCs w:val="24"/>
          <w:lang w:val="es-CO"/>
        </w:rPr>
        <w:t>Los</w:t>
      </w:r>
      <w:r w:rsidRPr="0093466F">
        <w:rPr>
          <w:rFonts w:ascii="Bookman Old Style" w:hAnsi="Bookman Old Style" w:cs="Arial"/>
          <w:b/>
          <w:bCs/>
          <w:iCs/>
          <w:sz w:val="24"/>
          <w:szCs w:val="24"/>
          <w:lang w:val="es-CO"/>
        </w:rPr>
        <w:t xml:space="preserve"> </w:t>
      </w:r>
      <w:r w:rsidRPr="0093466F">
        <w:rPr>
          <w:rFonts w:ascii="Bookman Old Style" w:hAnsi="Bookman Old Style" w:cs="Arial"/>
          <w:iCs/>
          <w:sz w:val="24"/>
          <w:szCs w:val="24"/>
          <w:lang w:val="es-CO"/>
        </w:rPr>
        <w:t>gobernadores y alcaldes convocados a las Mesas de Coordinación y Concurrencia podrán delegar su participación</w:t>
      </w:r>
      <w:r>
        <w:rPr>
          <w:rFonts w:ascii="Bookman Old Style" w:hAnsi="Bookman Old Style" w:cs="Arial"/>
          <w:iCs/>
          <w:sz w:val="24"/>
          <w:szCs w:val="24"/>
          <w:lang w:val="es-CO"/>
        </w:rPr>
        <w:t xml:space="preserve"> a quienes ostenten la calidad de secretario de despacho</w:t>
      </w:r>
      <w:r w:rsidRPr="0093466F">
        <w:rPr>
          <w:rFonts w:ascii="Bookman Old Style" w:hAnsi="Bookman Old Style" w:cs="Arial"/>
          <w:iCs/>
          <w:sz w:val="24"/>
          <w:szCs w:val="24"/>
          <w:lang w:val="es-CO"/>
        </w:rPr>
        <w:t xml:space="preserve"> conforme a la Ley y con plenos efectos vinculantes.</w:t>
      </w:r>
    </w:p>
    <w:p w:rsidR="00D20F78" w:rsidRPr="0093466F" w:rsidRDefault="00D20F78" w:rsidP="00D20F78">
      <w:pPr>
        <w:jc w:val="both"/>
        <w:rPr>
          <w:rFonts w:ascii="Bookman Old Style" w:hAnsi="Bookman Old Style" w:cs="Arial"/>
          <w:iCs/>
          <w:sz w:val="24"/>
          <w:szCs w:val="24"/>
          <w:lang w:val="es-CO"/>
        </w:rPr>
      </w:pPr>
      <w:r w:rsidRPr="0093466F">
        <w:rPr>
          <w:rFonts w:ascii="Bookman Old Style" w:hAnsi="Bookman Old Style" w:cs="Arial"/>
          <w:iCs/>
          <w:sz w:val="24"/>
          <w:szCs w:val="24"/>
          <w:lang w:val="es-CO"/>
        </w:rPr>
        <w:t>A las sesiones de la Mesa General de Coordinación y Concurrencia deberán ser convocados los representantes de la comunidad designados en las Audiencias Públicas Regionales de Asuntos Prioritarios de Desarrollo Territorial de las que trata el artículo</w:t>
      </w:r>
      <w:r>
        <w:rPr>
          <w:rFonts w:ascii="Bookman Old Style" w:hAnsi="Bookman Old Style" w:cs="Arial"/>
          <w:iCs/>
          <w:sz w:val="24"/>
          <w:szCs w:val="24"/>
          <w:lang w:val="es-CO"/>
        </w:rPr>
        <w:t xml:space="preserve"> decimosexto</w:t>
      </w:r>
      <w:r w:rsidRPr="0093466F">
        <w:rPr>
          <w:rFonts w:ascii="Bookman Old Style" w:hAnsi="Bookman Old Style" w:cs="Arial"/>
          <w:iCs/>
          <w:sz w:val="24"/>
          <w:szCs w:val="24"/>
          <w:lang w:val="es-CO"/>
        </w:rPr>
        <w:t xml:space="preserve"> de la presente ley.</w:t>
      </w:r>
    </w:p>
    <w:p w:rsidR="00D20F78" w:rsidRPr="0093466F" w:rsidRDefault="00D20F78" w:rsidP="00D20F78">
      <w:pPr>
        <w:jc w:val="both"/>
        <w:rPr>
          <w:rFonts w:ascii="Bookman Old Style" w:hAnsi="Bookman Old Style" w:cs="Arial"/>
          <w:iCs/>
          <w:sz w:val="24"/>
          <w:szCs w:val="24"/>
          <w:lang w:val="es-CO"/>
        </w:rPr>
      </w:pPr>
      <w:r w:rsidRPr="0093466F">
        <w:rPr>
          <w:rFonts w:ascii="Bookman Old Style" w:hAnsi="Bookman Old Style" w:cs="Arial"/>
          <w:b/>
          <w:bCs/>
          <w:iCs/>
          <w:sz w:val="24"/>
          <w:szCs w:val="24"/>
          <w:lang w:val="es-CO"/>
        </w:rPr>
        <w:t>Parágrafo Primero</w:t>
      </w:r>
      <w:r w:rsidRPr="0093466F">
        <w:rPr>
          <w:rFonts w:ascii="Bookman Old Style" w:hAnsi="Bookman Old Style" w:cs="Arial"/>
          <w:iCs/>
          <w:sz w:val="24"/>
          <w:szCs w:val="24"/>
          <w:lang w:val="es-CO"/>
        </w:rPr>
        <w:t xml:space="preserve">. </w:t>
      </w:r>
      <w:r>
        <w:rPr>
          <w:rFonts w:ascii="Bookman Old Style" w:hAnsi="Bookman Old Style" w:cs="Arial"/>
          <w:iCs/>
          <w:sz w:val="24"/>
          <w:szCs w:val="24"/>
          <w:lang w:val="es-CO"/>
        </w:rPr>
        <w:t>P</w:t>
      </w:r>
      <w:r w:rsidRPr="0093466F">
        <w:rPr>
          <w:rFonts w:ascii="Bookman Old Style" w:hAnsi="Bookman Old Style" w:cs="Arial"/>
          <w:iCs/>
          <w:sz w:val="24"/>
          <w:szCs w:val="24"/>
          <w:lang w:val="es-CO"/>
        </w:rPr>
        <w:t>ara proyectos conjuntos de minería e hidrocarburos, podrá convocarse de manera independiente</w:t>
      </w:r>
      <w:r>
        <w:rPr>
          <w:rFonts w:ascii="Bookman Old Style" w:hAnsi="Bookman Old Style" w:cs="Arial"/>
          <w:iCs/>
          <w:sz w:val="24"/>
          <w:szCs w:val="24"/>
          <w:lang w:val="es-CO"/>
        </w:rPr>
        <w:t xml:space="preserve"> la mesa para</w:t>
      </w:r>
      <w:r w:rsidRPr="0093466F">
        <w:rPr>
          <w:rFonts w:ascii="Bookman Old Style" w:hAnsi="Bookman Old Style" w:cs="Arial"/>
          <w:iCs/>
          <w:sz w:val="24"/>
          <w:szCs w:val="24"/>
          <w:lang w:val="es-CO"/>
        </w:rPr>
        <w:t xml:space="preserve"> la exploración y explotación de recursos mineros y para la exploración y producción de hidrocarburos, </w:t>
      </w:r>
      <w:r>
        <w:rPr>
          <w:rFonts w:ascii="Bookman Old Style" w:hAnsi="Bookman Old Style" w:cs="Arial"/>
          <w:iCs/>
          <w:sz w:val="24"/>
          <w:szCs w:val="24"/>
          <w:lang w:val="es-CO"/>
        </w:rPr>
        <w:t>según considere</w:t>
      </w:r>
      <w:r w:rsidRPr="0093466F">
        <w:rPr>
          <w:rFonts w:ascii="Bookman Old Style" w:hAnsi="Bookman Old Style" w:cs="Arial"/>
          <w:iCs/>
          <w:sz w:val="24"/>
          <w:szCs w:val="24"/>
          <w:lang w:val="es-CO"/>
        </w:rPr>
        <w:t xml:space="preserve"> la Secretaría Técnica.</w:t>
      </w:r>
    </w:p>
    <w:p w:rsidR="00D20F78" w:rsidRPr="0093466F" w:rsidRDefault="00D20F78" w:rsidP="00D20F78">
      <w:pPr>
        <w:jc w:val="both"/>
        <w:rPr>
          <w:rFonts w:ascii="Bookman Old Style" w:hAnsi="Bookman Old Style" w:cs="Arial"/>
          <w:iCs/>
          <w:sz w:val="24"/>
          <w:szCs w:val="24"/>
          <w:lang w:val="es-CO"/>
        </w:rPr>
      </w:pPr>
      <w:r w:rsidRPr="0093466F">
        <w:rPr>
          <w:rFonts w:ascii="Bookman Old Style" w:hAnsi="Bookman Old Style" w:cs="Arial"/>
          <w:b/>
          <w:bCs/>
          <w:iCs/>
          <w:sz w:val="24"/>
          <w:szCs w:val="24"/>
          <w:lang w:val="es-CO"/>
        </w:rPr>
        <w:t xml:space="preserve">Parágrafo Segundo. </w:t>
      </w:r>
      <w:r w:rsidRPr="0093466F">
        <w:rPr>
          <w:rFonts w:ascii="Bookman Old Style" w:hAnsi="Bookman Old Style" w:cs="Arial"/>
          <w:iCs/>
          <w:sz w:val="24"/>
          <w:szCs w:val="24"/>
          <w:lang w:val="es-CO"/>
        </w:rPr>
        <w:t>En virtud del principio de eficiencia y economía,</w:t>
      </w:r>
      <w:r w:rsidRPr="0093466F">
        <w:rPr>
          <w:rFonts w:ascii="Bookman Old Style" w:hAnsi="Bookman Old Style" w:cs="Arial"/>
          <w:b/>
          <w:bCs/>
          <w:iCs/>
          <w:sz w:val="24"/>
          <w:szCs w:val="24"/>
          <w:lang w:val="es-CO"/>
        </w:rPr>
        <w:t xml:space="preserve"> </w:t>
      </w:r>
      <w:r w:rsidRPr="0093466F">
        <w:rPr>
          <w:rFonts w:ascii="Bookman Old Style" w:hAnsi="Bookman Old Style" w:cs="Arial"/>
          <w:iCs/>
          <w:sz w:val="24"/>
          <w:szCs w:val="24"/>
          <w:lang w:val="es-CO"/>
        </w:rPr>
        <w:t>las Mesas de Coordinación y Concurrencia podrá ser convocada</w:t>
      </w:r>
      <w:r>
        <w:rPr>
          <w:rFonts w:ascii="Bookman Old Style" w:hAnsi="Bookman Old Style" w:cs="Arial"/>
          <w:iCs/>
          <w:sz w:val="24"/>
          <w:szCs w:val="24"/>
          <w:lang w:val="es-CO"/>
        </w:rPr>
        <w:t>s</w:t>
      </w:r>
      <w:r w:rsidRPr="0093466F">
        <w:rPr>
          <w:rFonts w:ascii="Bookman Old Style" w:hAnsi="Bookman Old Style" w:cs="Arial"/>
          <w:iCs/>
          <w:sz w:val="24"/>
          <w:szCs w:val="24"/>
          <w:lang w:val="es-CO"/>
        </w:rPr>
        <w:t xml:space="preserve"> conjuntamente para dos o más departamentos.</w:t>
      </w:r>
    </w:p>
    <w:p w:rsidR="00D20F78" w:rsidRPr="0093466F" w:rsidRDefault="00D20F78" w:rsidP="00D20F78">
      <w:pPr>
        <w:jc w:val="both"/>
        <w:rPr>
          <w:rFonts w:ascii="Bookman Old Style" w:hAnsi="Bookman Old Style" w:cs="Arial"/>
          <w:iCs/>
          <w:sz w:val="24"/>
          <w:szCs w:val="24"/>
          <w:lang w:val="es-CO"/>
        </w:rPr>
      </w:pPr>
      <w:r w:rsidRPr="0093466F">
        <w:rPr>
          <w:rFonts w:ascii="Bookman Old Style" w:hAnsi="Bookman Old Style" w:cs="Arial"/>
          <w:b/>
          <w:bCs/>
          <w:iCs/>
          <w:sz w:val="24"/>
          <w:szCs w:val="24"/>
          <w:lang w:val="es-CO"/>
        </w:rPr>
        <w:t>Artículo</w:t>
      </w:r>
      <w:r>
        <w:rPr>
          <w:rFonts w:ascii="Bookman Old Style" w:hAnsi="Bookman Old Style" w:cs="Arial"/>
          <w:b/>
          <w:bCs/>
          <w:iCs/>
          <w:sz w:val="24"/>
          <w:szCs w:val="24"/>
          <w:lang w:val="es-CO"/>
        </w:rPr>
        <w:t xml:space="preserve"> Decimosegundo</w:t>
      </w:r>
      <w:r w:rsidRPr="0093466F">
        <w:rPr>
          <w:rFonts w:ascii="Bookman Old Style" w:hAnsi="Bookman Old Style" w:cs="Arial"/>
          <w:b/>
          <w:bCs/>
          <w:iCs/>
          <w:sz w:val="24"/>
          <w:szCs w:val="24"/>
          <w:lang w:val="es-CO"/>
        </w:rPr>
        <w:t>. Acta de coordinación y concurrencia.</w:t>
      </w:r>
      <w:r w:rsidRPr="0093466F">
        <w:rPr>
          <w:rFonts w:ascii="Bookman Old Style" w:hAnsi="Bookman Old Style" w:cs="Arial"/>
          <w:i/>
          <w:iCs/>
          <w:sz w:val="24"/>
          <w:szCs w:val="24"/>
          <w:lang w:val="es-CO"/>
        </w:rPr>
        <w:t xml:space="preserve"> </w:t>
      </w:r>
      <w:r w:rsidRPr="0093466F">
        <w:rPr>
          <w:rFonts w:ascii="Bookman Old Style" w:hAnsi="Bookman Old Style" w:cs="Arial"/>
          <w:iCs/>
          <w:sz w:val="24"/>
          <w:szCs w:val="24"/>
          <w:lang w:val="es-CO"/>
        </w:rPr>
        <w:t>Los asuntos tratados en las Mesas de Coordinación y Concurrencia deberán ser consignados en el Acta de Coordinación y Concurrencia, la cual deberá suscribirse por sus integrantes. En caso de que los asuntos versen sobre el plan de ordenamiento departamental, el Acta debe suscribirse tambié</w:t>
      </w:r>
      <w:r>
        <w:rPr>
          <w:rFonts w:ascii="Bookman Old Style" w:hAnsi="Bookman Old Style" w:cs="Arial"/>
          <w:iCs/>
          <w:sz w:val="24"/>
          <w:szCs w:val="24"/>
          <w:lang w:val="es-CO"/>
        </w:rPr>
        <w:t>n por el gobernador o su delegado</w:t>
      </w:r>
      <w:r w:rsidRPr="0093466F">
        <w:rPr>
          <w:rFonts w:ascii="Bookman Old Style" w:hAnsi="Bookman Old Style" w:cs="Arial"/>
          <w:iCs/>
          <w:sz w:val="24"/>
          <w:szCs w:val="24"/>
          <w:lang w:val="es-CO"/>
        </w:rPr>
        <w:t xml:space="preserve">. En caso de que un miembro de la Mesa no </w:t>
      </w:r>
      <w:r w:rsidRPr="0093466F">
        <w:rPr>
          <w:rFonts w:ascii="Bookman Old Style" w:hAnsi="Bookman Old Style" w:cs="Arial"/>
          <w:iCs/>
          <w:sz w:val="24"/>
          <w:szCs w:val="24"/>
          <w:lang w:val="es-CO"/>
        </w:rPr>
        <w:lastRenderedPageBreak/>
        <w:t>suscriba el acta, tal situación y las razones por las cuales no la suscribe, deberán consignarse en la misma.</w:t>
      </w:r>
    </w:p>
    <w:p w:rsidR="00D20F78" w:rsidRDefault="00D20F78" w:rsidP="00D20F78">
      <w:pPr>
        <w:jc w:val="both"/>
        <w:rPr>
          <w:rFonts w:ascii="Bookman Old Style" w:hAnsi="Bookman Old Style" w:cs="Arial"/>
          <w:iCs/>
          <w:sz w:val="24"/>
          <w:szCs w:val="24"/>
          <w:lang w:val="es-CO"/>
        </w:rPr>
      </w:pPr>
      <w:r w:rsidRPr="0093466F">
        <w:rPr>
          <w:rFonts w:ascii="Bookman Old Style" w:hAnsi="Bookman Old Style" w:cs="Arial"/>
          <w:iCs/>
          <w:sz w:val="24"/>
          <w:szCs w:val="24"/>
          <w:lang w:val="es-CO"/>
        </w:rPr>
        <w:t xml:space="preserve">Para el caso del literal a) del </w:t>
      </w:r>
      <w:r w:rsidRPr="00C752BB">
        <w:rPr>
          <w:rFonts w:ascii="Bookman Old Style" w:hAnsi="Bookman Old Style" w:cs="Arial"/>
          <w:iCs/>
          <w:sz w:val="24"/>
          <w:szCs w:val="24"/>
          <w:lang w:val="es-CO"/>
        </w:rPr>
        <w:t xml:space="preserve">artículo </w:t>
      </w:r>
      <w:r w:rsidRPr="00C752BB">
        <w:rPr>
          <w:rFonts w:ascii="Bookman Old Style" w:hAnsi="Bookman Old Style" w:cs="Arial"/>
          <w:bCs/>
          <w:iCs/>
          <w:sz w:val="24"/>
          <w:szCs w:val="24"/>
          <w:lang w:val="es-CO"/>
        </w:rPr>
        <w:t>décimo,</w:t>
      </w:r>
      <w:r w:rsidRPr="0093466F">
        <w:rPr>
          <w:rFonts w:ascii="Bookman Old Style" w:hAnsi="Bookman Old Style" w:cs="Arial"/>
          <w:b/>
          <w:bCs/>
          <w:iCs/>
          <w:sz w:val="24"/>
          <w:szCs w:val="24"/>
          <w:lang w:val="es-CO"/>
        </w:rPr>
        <w:t xml:space="preserve"> </w:t>
      </w:r>
      <w:r w:rsidRPr="0093466F">
        <w:rPr>
          <w:rFonts w:ascii="Bookman Old Style" w:hAnsi="Bookman Old Style" w:cs="Arial"/>
          <w:iCs/>
          <w:sz w:val="24"/>
          <w:szCs w:val="24"/>
          <w:lang w:val="es-CO"/>
        </w:rPr>
        <w:t>dentro de los treinta (30) días calendario siguientes a la celebración de la Mesa Particular de Coordinación y Concurrencia, o de su rea</w:t>
      </w:r>
      <w:r>
        <w:rPr>
          <w:rFonts w:ascii="Bookman Old Style" w:hAnsi="Bookman Old Style" w:cs="Arial"/>
          <w:iCs/>
          <w:sz w:val="24"/>
          <w:szCs w:val="24"/>
          <w:lang w:val="es-CO"/>
        </w:rPr>
        <w:t>nudación, el contenido del acta</w:t>
      </w:r>
      <w:r w:rsidRPr="0093466F">
        <w:rPr>
          <w:rFonts w:ascii="Bookman Old Style" w:hAnsi="Bookman Old Style" w:cs="Arial"/>
          <w:iCs/>
          <w:sz w:val="24"/>
          <w:szCs w:val="24"/>
          <w:lang w:val="es-CO"/>
        </w:rPr>
        <w:t xml:space="preserve"> será adoptado mediante resolución por la ANM y/o por la ANH, o quien haga sus veces, y continuará el proceso de asignación de áreas y/o de contratac</w:t>
      </w:r>
      <w:r>
        <w:rPr>
          <w:rFonts w:ascii="Bookman Old Style" w:hAnsi="Bookman Old Style" w:cs="Arial"/>
          <w:iCs/>
          <w:sz w:val="24"/>
          <w:szCs w:val="24"/>
          <w:lang w:val="es-CO"/>
        </w:rPr>
        <w:t>ión minera o de hidrocarburos.</w:t>
      </w:r>
    </w:p>
    <w:p w:rsidR="00D20F78" w:rsidRDefault="00D20F78" w:rsidP="00D20F78">
      <w:pPr>
        <w:jc w:val="center"/>
        <w:rPr>
          <w:rFonts w:ascii="Bookman Old Style" w:hAnsi="Bookman Old Style" w:cs="Arial"/>
          <w:b/>
          <w:iCs/>
          <w:sz w:val="24"/>
          <w:szCs w:val="24"/>
          <w:lang w:val="es-CO"/>
        </w:rPr>
      </w:pPr>
      <w:r>
        <w:rPr>
          <w:rFonts w:ascii="Bookman Old Style" w:hAnsi="Bookman Old Style" w:cs="Arial"/>
          <w:b/>
          <w:iCs/>
          <w:sz w:val="24"/>
          <w:szCs w:val="24"/>
          <w:lang w:val="es-CO"/>
        </w:rPr>
        <w:t>TÍTULO III</w:t>
      </w:r>
    </w:p>
    <w:p w:rsidR="00D20F78" w:rsidRPr="00C752BB" w:rsidRDefault="00D20F78" w:rsidP="00D20F78">
      <w:pPr>
        <w:jc w:val="center"/>
        <w:rPr>
          <w:rFonts w:ascii="Bookman Old Style" w:hAnsi="Bookman Old Style" w:cs="Arial"/>
          <w:b/>
          <w:iCs/>
          <w:sz w:val="24"/>
          <w:szCs w:val="24"/>
          <w:lang w:val="es-CO"/>
        </w:rPr>
      </w:pPr>
      <w:r>
        <w:rPr>
          <w:rFonts w:ascii="Bookman Old Style" w:hAnsi="Bookman Old Style" w:cs="Arial"/>
          <w:b/>
          <w:iCs/>
          <w:sz w:val="24"/>
          <w:szCs w:val="24"/>
          <w:lang w:val="es-CO"/>
        </w:rPr>
        <w:t>ORDENAMIENTO TERRITORIAL</w:t>
      </w:r>
    </w:p>
    <w:p w:rsidR="00D20F78" w:rsidRPr="00F26189" w:rsidRDefault="00D20F78" w:rsidP="00D20F78">
      <w:pPr>
        <w:jc w:val="both"/>
        <w:rPr>
          <w:rFonts w:ascii="Bookman Old Style" w:hAnsi="Bookman Old Style" w:cs="Arial"/>
          <w:iCs/>
          <w:sz w:val="24"/>
          <w:szCs w:val="24"/>
          <w:lang w:val="es-CO"/>
        </w:rPr>
      </w:pPr>
      <w:r>
        <w:rPr>
          <w:rFonts w:ascii="Bookman Old Style" w:hAnsi="Bookman Old Style" w:cs="Arial"/>
          <w:b/>
          <w:bCs/>
          <w:iCs/>
          <w:sz w:val="24"/>
          <w:szCs w:val="24"/>
          <w:lang w:val="es-CO"/>
        </w:rPr>
        <w:t>Artí</w:t>
      </w:r>
      <w:r w:rsidRPr="00F26189">
        <w:rPr>
          <w:rFonts w:ascii="Bookman Old Style" w:hAnsi="Bookman Old Style" w:cs="Arial"/>
          <w:b/>
          <w:bCs/>
          <w:iCs/>
          <w:sz w:val="24"/>
          <w:szCs w:val="24"/>
          <w:lang w:val="es-CO"/>
        </w:rPr>
        <w:t>culo Decimo</w:t>
      </w:r>
      <w:r>
        <w:rPr>
          <w:rFonts w:ascii="Bookman Old Style" w:hAnsi="Bookman Old Style" w:cs="Arial"/>
          <w:b/>
          <w:bCs/>
          <w:iCs/>
          <w:sz w:val="24"/>
          <w:szCs w:val="24"/>
          <w:lang w:val="es-CO"/>
        </w:rPr>
        <w:t>tercero</w:t>
      </w:r>
      <w:r w:rsidRPr="00F26189">
        <w:rPr>
          <w:rFonts w:ascii="Bookman Old Style" w:hAnsi="Bookman Old Style" w:cs="Arial"/>
          <w:b/>
          <w:bCs/>
          <w:iCs/>
          <w:sz w:val="24"/>
          <w:szCs w:val="24"/>
          <w:lang w:val="es-CO"/>
        </w:rPr>
        <w:t>.</w:t>
      </w:r>
      <w:r w:rsidRPr="00F26189">
        <w:rPr>
          <w:rFonts w:ascii="Bookman Old Style" w:hAnsi="Bookman Old Style" w:cs="Arial"/>
          <w:b/>
          <w:bCs/>
          <w:i/>
          <w:iCs/>
          <w:sz w:val="24"/>
          <w:szCs w:val="24"/>
          <w:lang w:val="es-CO"/>
        </w:rPr>
        <w:t xml:space="preserve"> </w:t>
      </w:r>
      <w:r w:rsidRPr="00F26189">
        <w:rPr>
          <w:rFonts w:ascii="Bookman Old Style" w:hAnsi="Bookman Old Style" w:cs="Arial"/>
          <w:b/>
          <w:bCs/>
          <w:iCs/>
          <w:sz w:val="24"/>
          <w:szCs w:val="24"/>
          <w:lang w:val="es-CO"/>
        </w:rPr>
        <w:t>Acta de coordinación y concurrencia en los planes de ordenamiento territorial.</w:t>
      </w:r>
      <w:r w:rsidRPr="00F26189">
        <w:rPr>
          <w:rFonts w:ascii="Bookman Old Style" w:hAnsi="Bookman Old Style" w:cs="Arial"/>
          <w:i/>
          <w:iCs/>
          <w:sz w:val="24"/>
          <w:szCs w:val="24"/>
          <w:lang w:val="es-CO"/>
        </w:rPr>
        <w:t xml:space="preserve"> </w:t>
      </w:r>
      <w:r w:rsidRPr="00F26189">
        <w:rPr>
          <w:rFonts w:ascii="Bookman Old Style" w:hAnsi="Bookman Old Style" w:cs="Arial"/>
          <w:iCs/>
          <w:sz w:val="24"/>
          <w:szCs w:val="24"/>
          <w:lang w:val="es-CO"/>
        </w:rPr>
        <w:t xml:space="preserve">Realizada la Mesa Particular de Coordinación y Concurrencia de la que trata el </w:t>
      </w:r>
      <w:r w:rsidRPr="00C752BB">
        <w:rPr>
          <w:rFonts w:ascii="Bookman Old Style" w:hAnsi="Bookman Old Style" w:cs="Arial"/>
          <w:bCs/>
          <w:iCs/>
          <w:sz w:val="24"/>
          <w:szCs w:val="24"/>
          <w:lang w:val="es-CO"/>
        </w:rPr>
        <w:t>literal c del artículo décimo,</w:t>
      </w:r>
      <w:r w:rsidRPr="00F26189">
        <w:rPr>
          <w:rFonts w:ascii="Bookman Old Style" w:hAnsi="Bookman Old Style" w:cs="Arial"/>
          <w:iCs/>
          <w:sz w:val="24"/>
          <w:szCs w:val="24"/>
          <w:lang w:val="es-CO"/>
        </w:rPr>
        <w:t xml:space="preserve"> y suscrita el Acta, esta será un insumo obligatorio para</w:t>
      </w:r>
      <w:r>
        <w:rPr>
          <w:rFonts w:ascii="Bookman Old Style" w:hAnsi="Bookman Old Style" w:cs="Arial"/>
          <w:iCs/>
          <w:sz w:val="24"/>
          <w:szCs w:val="24"/>
          <w:lang w:val="es-CO"/>
        </w:rPr>
        <w:t xml:space="preserve"> los municipios o departamentos</w:t>
      </w:r>
      <w:r w:rsidRPr="00F26189">
        <w:rPr>
          <w:rFonts w:ascii="Bookman Old Style" w:hAnsi="Bookman Old Style" w:cs="Arial"/>
          <w:iCs/>
          <w:sz w:val="24"/>
          <w:szCs w:val="24"/>
          <w:lang w:val="es-CO"/>
        </w:rPr>
        <w:t xml:space="preserve"> en los procesos de formulación, adopción, adecuación, revisión o ajuste de su respectivo plan de ordenamiento territorial conforme a la ley. </w:t>
      </w:r>
    </w:p>
    <w:p w:rsidR="00D20F78" w:rsidRPr="00F26189" w:rsidRDefault="00D20F78" w:rsidP="00D20F78">
      <w:pPr>
        <w:jc w:val="both"/>
        <w:rPr>
          <w:rFonts w:ascii="Bookman Old Style" w:hAnsi="Bookman Old Style" w:cs="Arial"/>
          <w:iCs/>
          <w:sz w:val="24"/>
          <w:szCs w:val="24"/>
          <w:lang w:val="es-CO"/>
        </w:rPr>
      </w:pPr>
      <w:r w:rsidRPr="00F26189">
        <w:rPr>
          <w:rFonts w:ascii="Bookman Old Style" w:hAnsi="Bookman Old Style" w:cs="Arial"/>
          <w:b/>
          <w:bCs/>
          <w:iCs/>
          <w:sz w:val="24"/>
          <w:szCs w:val="24"/>
          <w:lang w:val="es-CO"/>
        </w:rPr>
        <w:t xml:space="preserve">Artículo </w:t>
      </w:r>
      <w:r>
        <w:rPr>
          <w:rFonts w:ascii="Bookman Old Style" w:hAnsi="Bookman Old Style" w:cs="Arial"/>
          <w:b/>
          <w:bCs/>
          <w:iCs/>
          <w:sz w:val="24"/>
          <w:szCs w:val="24"/>
          <w:lang w:val="es-CO"/>
        </w:rPr>
        <w:t>Decimocuarto</w:t>
      </w:r>
      <w:r w:rsidRPr="00F26189">
        <w:rPr>
          <w:rFonts w:ascii="Bookman Old Style" w:hAnsi="Bookman Old Style" w:cs="Arial"/>
          <w:b/>
          <w:bCs/>
          <w:iCs/>
          <w:sz w:val="24"/>
          <w:szCs w:val="24"/>
          <w:lang w:val="es-CO"/>
        </w:rPr>
        <w:t>. Formulación, adopción, adecuación, revisión y ajuste de los planes de ordenamiento territorial.</w:t>
      </w:r>
      <w:r w:rsidRPr="00F26189">
        <w:rPr>
          <w:rFonts w:ascii="Bookman Old Style" w:hAnsi="Bookman Old Style" w:cs="Arial"/>
          <w:iCs/>
          <w:sz w:val="24"/>
          <w:szCs w:val="24"/>
          <w:lang w:val="es-CO"/>
        </w:rPr>
        <w:t xml:space="preserve"> En el momento en que un alcalde o gobernador inicie la formulación, adopción, adecuación, revisión y ajustes de los planes de ordenamiento territorial, deberá comunicarlo de oficio a la Secretaría Técnica de la Mesa General de Coordinación y Concurrencia.</w:t>
      </w:r>
    </w:p>
    <w:p w:rsidR="00D20F78" w:rsidRPr="00F26189" w:rsidRDefault="00D20F78" w:rsidP="00D20F78">
      <w:pPr>
        <w:jc w:val="both"/>
        <w:rPr>
          <w:rFonts w:ascii="Bookman Old Style" w:hAnsi="Bookman Old Style" w:cs="Arial"/>
          <w:i/>
          <w:iCs/>
          <w:sz w:val="24"/>
          <w:szCs w:val="24"/>
          <w:lang w:val="es-CO"/>
        </w:rPr>
      </w:pPr>
      <w:r w:rsidRPr="00F26189">
        <w:rPr>
          <w:rFonts w:ascii="Bookman Old Style" w:hAnsi="Bookman Old Style" w:cs="Arial"/>
          <w:iCs/>
          <w:sz w:val="24"/>
          <w:szCs w:val="24"/>
          <w:lang w:val="es-CO"/>
        </w:rPr>
        <w:t>En caso que el alcalde o gobernador en la formulación, adopción, adecuación, revisión o ajuste de los planes de ordenamiento territorial, pretenda incidir, restringir o limitar la exploración y explotación del subsuelo y de los recursos naturales no renovables, sin importar su iniciativa, se deberá atender el siguiente procedimiento</w:t>
      </w:r>
      <w:r w:rsidRPr="00F26189">
        <w:rPr>
          <w:rFonts w:ascii="Bookman Old Style" w:hAnsi="Bookman Old Style" w:cs="Arial"/>
          <w:i/>
          <w:iCs/>
          <w:sz w:val="24"/>
          <w:szCs w:val="24"/>
          <w:lang w:val="es-CO"/>
        </w:rPr>
        <w:t>:</w:t>
      </w:r>
    </w:p>
    <w:p w:rsidR="00D20F78" w:rsidRPr="00F26189" w:rsidRDefault="00D20F78" w:rsidP="00D20F78">
      <w:pPr>
        <w:jc w:val="both"/>
        <w:rPr>
          <w:rFonts w:ascii="Bookman Old Style" w:hAnsi="Bookman Old Style" w:cs="Arial"/>
          <w:iCs/>
          <w:sz w:val="24"/>
          <w:szCs w:val="24"/>
          <w:lang w:val="es-CO"/>
        </w:rPr>
      </w:pPr>
      <w:r w:rsidRPr="00033784">
        <w:rPr>
          <w:rFonts w:ascii="Bookman Old Style" w:hAnsi="Bookman Old Style" w:cs="Arial"/>
          <w:b/>
          <w:iCs/>
          <w:sz w:val="24"/>
          <w:szCs w:val="24"/>
          <w:lang w:val="es-CO"/>
        </w:rPr>
        <w:t>1.</w:t>
      </w:r>
      <w:r w:rsidRPr="00F26189">
        <w:rPr>
          <w:rFonts w:ascii="Bookman Old Style" w:hAnsi="Bookman Old Style" w:cs="Arial"/>
          <w:iCs/>
          <w:sz w:val="24"/>
          <w:szCs w:val="24"/>
          <w:lang w:val="es-CO"/>
        </w:rPr>
        <w:t xml:space="preserve"> De forma previa a la etapa de concertación ambiental, el alcalde o gobernador deberá notificar por escrito a la Secretaría Técnica de la Mesa de Coordinación y Concurrencia, y adjuntar un informe técnico que incluya todos los soportes del plan de ordenamiento territorial propuesto, con el fin de que se convoque a la Mesa Particular de Coordinación y </w:t>
      </w:r>
      <w:r w:rsidRPr="00F26189">
        <w:rPr>
          <w:rFonts w:ascii="Bookman Old Style" w:hAnsi="Bookman Old Style" w:cs="Arial"/>
          <w:iCs/>
          <w:sz w:val="24"/>
          <w:szCs w:val="24"/>
          <w:lang w:val="es-CO"/>
        </w:rPr>
        <w:lastRenderedPageBreak/>
        <w:t xml:space="preserve">Concurrencia para realizar la respectiva discusión técnica, dentro de los sesenta (60) días calendario siguientes a la fecha de notificación.  </w:t>
      </w:r>
    </w:p>
    <w:p w:rsidR="00D20F78" w:rsidRPr="00F26189" w:rsidRDefault="00D20F78" w:rsidP="00D20F78">
      <w:pPr>
        <w:jc w:val="both"/>
        <w:rPr>
          <w:rFonts w:ascii="Bookman Old Style" w:hAnsi="Bookman Old Style" w:cs="Arial"/>
          <w:iCs/>
          <w:sz w:val="24"/>
          <w:szCs w:val="24"/>
          <w:lang w:val="es-CO"/>
        </w:rPr>
      </w:pPr>
      <w:r w:rsidRPr="00033784">
        <w:rPr>
          <w:rFonts w:ascii="Bookman Old Style" w:hAnsi="Bookman Old Style" w:cs="Arial"/>
          <w:b/>
          <w:iCs/>
          <w:sz w:val="24"/>
          <w:szCs w:val="24"/>
          <w:lang w:val="es-CO"/>
        </w:rPr>
        <w:t>2.</w:t>
      </w:r>
      <w:r w:rsidRPr="00F26189">
        <w:rPr>
          <w:rFonts w:ascii="Bookman Old Style" w:hAnsi="Bookman Old Style" w:cs="Arial"/>
          <w:iCs/>
          <w:sz w:val="24"/>
          <w:szCs w:val="24"/>
          <w:lang w:val="es-CO"/>
        </w:rPr>
        <w:t xml:space="preserve"> Hasta tanto no se lleve a cabo la sesión de la Mesa Particular convocada, el alcalde o gobernador no podrá presentar el proyecto de plan de ordenamiento territorial al Concejo Municipal o Distrital o a la Asamblea Departamental, con las variables que pretendan incidir, restringir o limitar la exploración y explotación del subsuelo y de los recursos naturales no renovables.</w:t>
      </w:r>
    </w:p>
    <w:p w:rsidR="00D20F78" w:rsidRPr="00F26189" w:rsidRDefault="00D20F78" w:rsidP="00D20F78">
      <w:pPr>
        <w:jc w:val="both"/>
        <w:rPr>
          <w:rFonts w:ascii="Bookman Old Style" w:hAnsi="Bookman Old Style" w:cs="Arial"/>
          <w:i/>
          <w:iCs/>
          <w:sz w:val="24"/>
          <w:szCs w:val="24"/>
          <w:lang w:val="es-CO"/>
        </w:rPr>
      </w:pPr>
      <w:r w:rsidRPr="00033784">
        <w:rPr>
          <w:rFonts w:ascii="Bookman Old Style" w:hAnsi="Bookman Old Style" w:cs="Arial"/>
          <w:b/>
          <w:iCs/>
          <w:sz w:val="24"/>
          <w:szCs w:val="24"/>
          <w:lang w:val="es-CO"/>
        </w:rPr>
        <w:t>3.</w:t>
      </w:r>
      <w:r w:rsidRPr="00F26189">
        <w:rPr>
          <w:rFonts w:ascii="Bookman Old Style" w:hAnsi="Bookman Old Style" w:cs="Arial"/>
          <w:iCs/>
          <w:sz w:val="24"/>
          <w:szCs w:val="24"/>
          <w:lang w:val="es-CO"/>
        </w:rPr>
        <w:t xml:space="preserve"> Dentro de los veinte (20) días calendario siguientes a la convocatoria, los demás integrantes de la Mesa Particular, previo a la sesión, deberán remitir la información técnica relativa a las compatibilidades de la exploración y explotación del subsuelo y de los recursos naturales no renovables, con los demás usos del suelo.</w:t>
      </w:r>
    </w:p>
    <w:p w:rsidR="00D20F78" w:rsidRPr="00F26189" w:rsidRDefault="00D20F78" w:rsidP="00D20F78">
      <w:pPr>
        <w:jc w:val="both"/>
        <w:rPr>
          <w:rFonts w:ascii="Bookman Old Style" w:hAnsi="Bookman Old Style" w:cs="Arial"/>
          <w:iCs/>
          <w:sz w:val="24"/>
          <w:szCs w:val="24"/>
          <w:lang w:val="es-CO"/>
        </w:rPr>
      </w:pPr>
      <w:r w:rsidRPr="00033784">
        <w:rPr>
          <w:rFonts w:ascii="Bookman Old Style" w:hAnsi="Bookman Old Style" w:cs="Arial"/>
          <w:b/>
          <w:iCs/>
          <w:sz w:val="24"/>
          <w:szCs w:val="24"/>
          <w:lang w:val="es-CO"/>
        </w:rPr>
        <w:t>4.</w:t>
      </w:r>
      <w:r w:rsidRPr="00F26189">
        <w:rPr>
          <w:rFonts w:ascii="Bookman Old Style" w:hAnsi="Bookman Old Style" w:cs="Arial"/>
          <w:iCs/>
          <w:sz w:val="24"/>
          <w:szCs w:val="24"/>
          <w:lang w:val="es-CO"/>
        </w:rPr>
        <w:t xml:space="preserve"> La Mesa Particular revisará el proyecto de plan de ordenamiento territorial con fundamento en los análisis técnicos presentados por los integrantes de esta Mesa, con el fin de definir su viabilidad técnica y jurídica. Una vez haya un acuerdo, se suscribirá el Acta de Coordinación y Concurrencia.</w:t>
      </w:r>
    </w:p>
    <w:p w:rsidR="00D20F78" w:rsidRPr="00F26189" w:rsidRDefault="00D20F78" w:rsidP="00D20F78">
      <w:pPr>
        <w:jc w:val="both"/>
        <w:rPr>
          <w:rFonts w:ascii="Bookman Old Style" w:hAnsi="Bookman Old Style" w:cs="Arial"/>
          <w:iCs/>
          <w:sz w:val="24"/>
          <w:szCs w:val="24"/>
          <w:lang w:val="es-CO"/>
        </w:rPr>
      </w:pPr>
      <w:r w:rsidRPr="00033784">
        <w:rPr>
          <w:rFonts w:ascii="Bookman Old Style" w:hAnsi="Bookman Old Style" w:cs="Arial"/>
          <w:b/>
          <w:iCs/>
          <w:sz w:val="24"/>
          <w:szCs w:val="24"/>
          <w:lang w:val="es-CO"/>
        </w:rPr>
        <w:t>5.</w:t>
      </w:r>
      <w:r w:rsidRPr="00F26189">
        <w:rPr>
          <w:rFonts w:ascii="Bookman Old Style" w:hAnsi="Bookman Old Style" w:cs="Arial"/>
          <w:iCs/>
          <w:sz w:val="24"/>
          <w:szCs w:val="24"/>
          <w:lang w:val="es-CO"/>
        </w:rPr>
        <w:t xml:space="preserve"> Cuando en la Mesa Particular de Coordinación y Concurrencia no se llegue a un consenso técnico en el plazo establecido sobre las restricciones o limitaciones sugeridas en el proyecto de plan de ordenamiento territorial, el alcalde o el gobernador que insistan en ellas, deberá prese</w:t>
      </w:r>
      <w:r>
        <w:rPr>
          <w:rFonts w:ascii="Bookman Old Style" w:hAnsi="Bookman Old Style" w:cs="Arial"/>
          <w:iCs/>
          <w:sz w:val="24"/>
          <w:szCs w:val="24"/>
          <w:lang w:val="es-CO"/>
        </w:rPr>
        <w:t>ntar ante la Secretaría Técnica</w:t>
      </w:r>
      <w:r w:rsidRPr="00F26189">
        <w:rPr>
          <w:rFonts w:ascii="Bookman Old Style" w:hAnsi="Bookman Old Style" w:cs="Arial"/>
          <w:iCs/>
          <w:sz w:val="24"/>
          <w:szCs w:val="24"/>
          <w:lang w:val="es-CO"/>
        </w:rPr>
        <w:t xml:space="preserve"> en un término de diez (10) días calendario contados a partir de que se levante la sesión de la Mesa Particular de Coordinación y Concurrencia, una actualización del informe técnico, con las justificaciones técnicas adicionales, sobre las restricciones o limitaciones que se pretenden establecer. El Ministerio de Minas y Energía deberá pronunciarse mediante acto administrativo dentro de los treinta (30) días </w:t>
      </w:r>
      <w:proofErr w:type="gramStart"/>
      <w:r w:rsidRPr="00F26189">
        <w:rPr>
          <w:rFonts w:ascii="Bookman Old Style" w:hAnsi="Bookman Old Style" w:cs="Arial"/>
          <w:iCs/>
          <w:sz w:val="24"/>
          <w:szCs w:val="24"/>
          <w:lang w:val="es-CO"/>
        </w:rPr>
        <w:t>calendario siguientes</w:t>
      </w:r>
      <w:proofErr w:type="gramEnd"/>
      <w:r w:rsidRPr="00F26189">
        <w:rPr>
          <w:rFonts w:ascii="Bookman Old Style" w:hAnsi="Bookman Old Style" w:cs="Arial"/>
          <w:iCs/>
          <w:sz w:val="24"/>
          <w:szCs w:val="24"/>
          <w:lang w:val="es-CO"/>
        </w:rPr>
        <w:t xml:space="preserve"> a la presentación del informe técnico, con base en los criteri</w:t>
      </w:r>
      <w:r>
        <w:rPr>
          <w:rFonts w:ascii="Bookman Old Style" w:hAnsi="Bookman Old Style" w:cs="Arial"/>
          <w:iCs/>
          <w:sz w:val="24"/>
          <w:szCs w:val="24"/>
          <w:lang w:val="es-CO"/>
        </w:rPr>
        <w:t>os establecidos en la presente L</w:t>
      </w:r>
      <w:r w:rsidRPr="00F26189">
        <w:rPr>
          <w:rFonts w:ascii="Bookman Old Style" w:hAnsi="Bookman Old Style" w:cs="Arial"/>
          <w:iCs/>
          <w:sz w:val="24"/>
          <w:szCs w:val="24"/>
          <w:lang w:val="es-CO"/>
        </w:rPr>
        <w:t xml:space="preserve">ey. La decisión será vinculante para la adopción de los planes de ordenamiento territorial correspondientes. </w:t>
      </w:r>
    </w:p>
    <w:p w:rsidR="00D20F78" w:rsidRPr="00F26189" w:rsidRDefault="00D20F78" w:rsidP="00D20F78">
      <w:pPr>
        <w:jc w:val="both"/>
        <w:rPr>
          <w:rFonts w:ascii="Bookman Old Style" w:hAnsi="Bookman Old Style" w:cs="Arial"/>
          <w:iCs/>
          <w:sz w:val="24"/>
          <w:szCs w:val="24"/>
          <w:lang w:val="es-CO"/>
        </w:rPr>
      </w:pPr>
      <w:r w:rsidRPr="00033784">
        <w:rPr>
          <w:rFonts w:ascii="Bookman Old Style" w:hAnsi="Bookman Old Style" w:cs="Arial"/>
          <w:b/>
          <w:iCs/>
          <w:sz w:val="24"/>
          <w:szCs w:val="24"/>
          <w:lang w:val="es-CO"/>
        </w:rPr>
        <w:t>6.</w:t>
      </w:r>
      <w:r w:rsidRPr="00F26189">
        <w:rPr>
          <w:rFonts w:ascii="Bookman Old Style" w:hAnsi="Bookman Old Style" w:cs="Arial"/>
          <w:iCs/>
          <w:sz w:val="24"/>
          <w:szCs w:val="24"/>
          <w:lang w:val="es-CO"/>
        </w:rPr>
        <w:t xml:space="preserve"> Una vez suscrita el Acta de Coordinación y Concurrencia en la que esté consignado el acuerdo, o en firme la resolución del Ministerio de Minas y Energía para el caso en que no hubo acuerdo, el alcalde o el gobernador podrá continuar con el trámite para la presentación del proyecto de plan </w:t>
      </w:r>
      <w:r w:rsidRPr="00F26189">
        <w:rPr>
          <w:rFonts w:ascii="Bookman Old Style" w:hAnsi="Bookman Old Style" w:cs="Arial"/>
          <w:iCs/>
          <w:sz w:val="24"/>
          <w:szCs w:val="24"/>
          <w:lang w:val="es-CO"/>
        </w:rPr>
        <w:lastRenderedPageBreak/>
        <w:t>de ordenamiento territorial ante el Concejo Municipal o Distrital o la Asamblea Departamental, según corresponda, incluyendo lo definido en el Acta de Coordinación y Concurrencia, o en la resolución del Ministerio de Minas y Energía.</w:t>
      </w:r>
    </w:p>
    <w:p w:rsidR="00D20F78" w:rsidRPr="00F26189" w:rsidRDefault="00D20F78" w:rsidP="00D20F78">
      <w:pPr>
        <w:jc w:val="both"/>
        <w:rPr>
          <w:rFonts w:ascii="Bookman Old Style" w:hAnsi="Bookman Old Style" w:cs="Arial"/>
          <w:iCs/>
          <w:sz w:val="24"/>
          <w:szCs w:val="24"/>
          <w:lang w:val="es-CO"/>
        </w:rPr>
      </w:pPr>
      <w:r w:rsidRPr="00033784">
        <w:rPr>
          <w:rFonts w:ascii="Bookman Old Style" w:hAnsi="Bookman Old Style" w:cs="Arial"/>
          <w:b/>
          <w:iCs/>
          <w:sz w:val="24"/>
          <w:szCs w:val="24"/>
          <w:lang w:val="es-CO"/>
        </w:rPr>
        <w:t>7.</w:t>
      </w:r>
      <w:r w:rsidRPr="00F26189">
        <w:rPr>
          <w:rFonts w:ascii="Bookman Old Style" w:hAnsi="Bookman Old Style" w:cs="Arial"/>
          <w:iCs/>
          <w:sz w:val="24"/>
          <w:szCs w:val="24"/>
          <w:lang w:val="es-CO"/>
        </w:rPr>
        <w:t xml:space="preserve"> En caso de que el Concejo Municipal Distrital o la Asamblea Departamental pretendan modificar el contenido del proyecto del plan de ordenamiento territorial, según lo definido en el Acta de Coordinación y Concurrencia o en la resolución del Ministerio de Minas y Energía, deberá comunicarlo por escrito a la Secretaría Técnica de la Mesa Particular de Coordinación y Concurrencia, y adjuntar un informe técnico justificando su propuesta dentro de los diez (10) días calendario siguientes a la comunicación enviada a la Secretaría Técnica y deberá invitar al Ministerio de Minas y Energía, quien podrá invitar a quienes considere convenientes, a una sesión del Concejo Municipal o Distrital o la Asamblea Departamental, con el fin de discutir las modificaciones que se pretende incluir al proyecto de plan de ordenamiento territorial. </w:t>
      </w:r>
    </w:p>
    <w:p w:rsidR="00D20F78" w:rsidRPr="00F26189" w:rsidRDefault="00D20F78" w:rsidP="00D20F78">
      <w:pPr>
        <w:jc w:val="both"/>
        <w:rPr>
          <w:rFonts w:ascii="Bookman Old Style" w:hAnsi="Bookman Old Style" w:cs="Arial"/>
          <w:iCs/>
          <w:sz w:val="24"/>
          <w:szCs w:val="24"/>
          <w:lang w:val="es-CO"/>
        </w:rPr>
      </w:pPr>
      <w:r w:rsidRPr="00033784">
        <w:rPr>
          <w:rFonts w:ascii="Bookman Old Style" w:hAnsi="Bookman Old Style" w:cs="Arial"/>
          <w:b/>
          <w:iCs/>
          <w:sz w:val="24"/>
          <w:szCs w:val="24"/>
          <w:lang w:val="es-CO"/>
        </w:rPr>
        <w:t>8.</w:t>
      </w:r>
      <w:r w:rsidRPr="00F26189">
        <w:rPr>
          <w:rFonts w:ascii="Bookman Old Style" w:hAnsi="Bookman Old Style" w:cs="Arial"/>
          <w:iCs/>
          <w:sz w:val="24"/>
          <w:szCs w:val="24"/>
          <w:lang w:val="es-CO"/>
        </w:rPr>
        <w:t xml:space="preserve"> En caso de que después de la sesión del Concejo Municipal o Distrital o de la Asamblea Departamental, no se llegue a un acuerdo, el Ministerio de Minas y Energía deberá pronunciarse dentro de los treinta (30) días calendario siguientes, con base en los criterios establecidos en la presente ley, y la decisión que tome será vinculante para la adopción de los planes de ordenamiento territorial correspondientes, en lo que se refiere a la exploración y explotación del subsuelo y de recursos naturales no renovables. </w:t>
      </w:r>
    </w:p>
    <w:p w:rsidR="00D20F78" w:rsidRPr="00F26189" w:rsidRDefault="00D20F78" w:rsidP="00D20F78">
      <w:pPr>
        <w:jc w:val="both"/>
        <w:rPr>
          <w:rFonts w:ascii="Bookman Old Style" w:hAnsi="Bookman Old Style" w:cs="Arial"/>
          <w:iCs/>
          <w:sz w:val="24"/>
          <w:szCs w:val="24"/>
          <w:lang w:val="es-CO"/>
        </w:rPr>
      </w:pPr>
      <w:r w:rsidRPr="00F26189">
        <w:rPr>
          <w:rFonts w:ascii="Bookman Old Style" w:hAnsi="Bookman Old Style" w:cs="Arial"/>
          <w:b/>
          <w:iCs/>
          <w:sz w:val="24"/>
          <w:szCs w:val="24"/>
          <w:lang w:val="es-CO"/>
        </w:rPr>
        <w:t xml:space="preserve">Parágrafo Primero. </w:t>
      </w:r>
      <w:r w:rsidRPr="00F26189">
        <w:rPr>
          <w:rFonts w:ascii="Bookman Old Style" w:hAnsi="Bookman Old Style" w:cs="Arial"/>
          <w:iCs/>
          <w:sz w:val="24"/>
          <w:szCs w:val="24"/>
          <w:lang w:val="es-CO"/>
        </w:rPr>
        <w:t xml:space="preserve">El acto administrativo del Ministerio de Minas y Energía deberá ser motivado y evaluar expresamente las razones por las cuales se aceptan o no los argumentos expuestos por los interesados dentro del procedimiento establecido en la presente Ley. </w:t>
      </w:r>
    </w:p>
    <w:p w:rsidR="00D20F78" w:rsidRPr="00F26189" w:rsidRDefault="00D20F78" w:rsidP="00D20F78">
      <w:pPr>
        <w:jc w:val="both"/>
        <w:rPr>
          <w:rFonts w:ascii="Bookman Old Style" w:hAnsi="Bookman Old Style" w:cs="Arial"/>
          <w:iCs/>
          <w:sz w:val="24"/>
          <w:szCs w:val="24"/>
          <w:lang w:val="es-CO"/>
        </w:rPr>
      </w:pPr>
      <w:r w:rsidRPr="00F26189">
        <w:rPr>
          <w:rFonts w:ascii="Bookman Old Style" w:hAnsi="Bookman Old Style" w:cs="Arial"/>
          <w:b/>
          <w:iCs/>
          <w:sz w:val="24"/>
          <w:szCs w:val="24"/>
          <w:lang w:val="es-CO"/>
        </w:rPr>
        <w:t xml:space="preserve">Parágrafo Segundo. </w:t>
      </w:r>
      <w:r w:rsidRPr="00F26189">
        <w:rPr>
          <w:rFonts w:ascii="Bookman Old Style" w:hAnsi="Bookman Old Style" w:cs="Arial"/>
          <w:iCs/>
          <w:sz w:val="24"/>
          <w:szCs w:val="24"/>
          <w:lang w:val="es-CO"/>
        </w:rPr>
        <w:t>Las Actas de Coordinación y Concurrencia o la decisión adoptada por el Ministerio de Minas y Energía, según corresponda, se tendrán en cuenta para la concertación ambiental prevista en la Ley 388 de 1997.</w:t>
      </w:r>
    </w:p>
    <w:p w:rsidR="00D20F78" w:rsidRPr="00F26189" w:rsidRDefault="00D20F78" w:rsidP="00D20F78">
      <w:pPr>
        <w:jc w:val="both"/>
        <w:rPr>
          <w:rFonts w:ascii="Bookman Old Style" w:hAnsi="Bookman Old Style" w:cs="Arial"/>
          <w:iCs/>
          <w:sz w:val="24"/>
          <w:szCs w:val="24"/>
          <w:lang w:val="es-CO"/>
        </w:rPr>
      </w:pPr>
      <w:r>
        <w:rPr>
          <w:rFonts w:ascii="Bookman Old Style" w:hAnsi="Bookman Old Style" w:cs="Arial"/>
          <w:b/>
          <w:bCs/>
          <w:iCs/>
          <w:sz w:val="24"/>
          <w:szCs w:val="24"/>
          <w:lang w:val="es-CO"/>
        </w:rPr>
        <w:t>Artí</w:t>
      </w:r>
      <w:r w:rsidRPr="00F26189">
        <w:rPr>
          <w:rFonts w:ascii="Bookman Old Style" w:hAnsi="Bookman Old Style" w:cs="Arial"/>
          <w:b/>
          <w:bCs/>
          <w:iCs/>
          <w:sz w:val="24"/>
          <w:szCs w:val="24"/>
          <w:lang w:val="es-CO"/>
        </w:rPr>
        <w:t>culo Decimo</w:t>
      </w:r>
      <w:r>
        <w:rPr>
          <w:rFonts w:ascii="Bookman Old Style" w:hAnsi="Bookman Old Style" w:cs="Arial"/>
          <w:b/>
          <w:bCs/>
          <w:iCs/>
          <w:sz w:val="24"/>
          <w:szCs w:val="24"/>
          <w:lang w:val="es-CO"/>
        </w:rPr>
        <w:t>quint</w:t>
      </w:r>
      <w:r w:rsidRPr="00F26189">
        <w:rPr>
          <w:rFonts w:ascii="Bookman Old Style" w:hAnsi="Bookman Old Style" w:cs="Arial"/>
          <w:b/>
          <w:bCs/>
          <w:iCs/>
          <w:sz w:val="24"/>
          <w:szCs w:val="24"/>
          <w:lang w:val="es-CO"/>
        </w:rPr>
        <w:t>o.</w:t>
      </w:r>
      <w:r w:rsidRPr="00F26189">
        <w:rPr>
          <w:rFonts w:ascii="Bookman Old Style" w:hAnsi="Bookman Old Style" w:cs="Arial"/>
          <w:i/>
          <w:iCs/>
          <w:sz w:val="24"/>
          <w:szCs w:val="24"/>
          <w:lang w:val="es-CO"/>
        </w:rPr>
        <w:t xml:space="preserve"> </w:t>
      </w:r>
      <w:r w:rsidRPr="00F26189">
        <w:rPr>
          <w:rFonts w:ascii="Bookman Old Style" w:hAnsi="Bookman Old Style" w:cs="Arial"/>
          <w:b/>
          <w:bCs/>
          <w:iCs/>
          <w:sz w:val="24"/>
          <w:szCs w:val="24"/>
          <w:lang w:val="es-CO"/>
        </w:rPr>
        <w:t xml:space="preserve">Criterios técnicos para la toma de decisiones. </w:t>
      </w:r>
      <w:r w:rsidRPr="00F26189">
        <w:rPr>
          <w:rFonts w:ascii="Bookman Old Style" w:hAnsi="Bookman Old Style" w:cs="Arial"/>
          <w:iCs/>
          <w:sz w:val="24"/>
          <w:szCs w:val="24"/>
          <w:lang w:val="es-CO"/>
        </w:rPr>
        <w:t xml:space="preserve">El acto administrativo que expida el Ministerio de Minas y Energía, cuando deba pronunciarse sobre un proyecto de plan de ordenamiento territorial </w:t>
      </w:r>
      <w:r w:rsidRPr="00F26189">
        <w:rPr>
          <w:rFonts w:ascii="Bookman Old Style" w:hAnsi="Bookman Old Style" w:cs="Arial"/>
          <w:iCs/>
          <w:sz w:val="24"/>
          <w:szCs w:val="24"/>
          <w:lang w:val="es-CO"/>
        </w:rPr>
        <w:lastRenderedPageBreak/>
        <w:t>que pretenda incidir, restringir o limitar la exploración y explotación del subsuelo y de los recursos naturales no renovables, deberá motivarse en los siguientes criterios técnicos:</w:t>
      </w:r>
    </w:p>
    <w:p w:rsidR="00D20F78" w:rsidRPr="00F26189" w:rsidRDefault="00D20F78" w:rsidP="00D20F78">
      <w:pPr>
        <w:numPr>
          <w:ilvl w:val="0"/>
          <w:numId w:val="5"/>
        </w:numPr>
        <w:ind w:left="426"/>
        <w:jc w:val="both"/>
        <w:rPr>
          <w:rFonts w:ascii="Bookman Old Style" w:hAnsi="Bookman Old Style" w:cs="Arial"/>
          <w:iCs/>
          <w:sz w:val="24"/>
          <w:szCs w:val="24"/>
          <w:lang w:val="es-CO"/>
        </w:rPr>
      </w:pPr>
      <w:r w:rsidRPr="00F26189">
        <w:rPr>
          <w:rFonts w:ascii="Bookman Old Style" w:hAnsi="Bookman Old Style" w:cs="Arial"/>
          <w:iCs/>
          <w:sz w:val="24"/>
          <w:szCs w:val="24"/>
          <w:lang w:val="es-CO"/>
        </w:rPr>
        <w:t>Pertinencia de los argumentos técnicos presentados, así como la suficiencia de la información aportada a la Mesa Particular de Coordinación y Concurrencia.</w:t>
      </w:r>
    </w:p>
    <w:p w:rsidR="00D20F78" w:rsidRPr="00F26189" w:rsidRDefault="00D20F78" w:rsidP="00D20F78">
      <w:pPr>
        <w:numPr>
          <w:ilvl w:val="0"/>
          <w:numId w:val="5"/>
        </w:numPr>
        <w:ind w:left="426"/>
        <w:jc w:val="both"/>
        <w:rPr>
          <w:rFonts w:ascii="Bookman Old Style" w:hAnsi="Bookman Old Style" w:cs="Arial"/>
          <w:iCs/>
          <w:sz w:val="24"/>
          <w:szCs w:val="24"/>
          <w:lang w:val="es-CO"/>
        </w:rPr>
      </w:pPr>
      <w:r w:rsidRPr="00F26189">
        <w:rPr>
          <w:rFonts w:ascii="Bookman Old Style" w:hAnsi="Bookman Old Style" w:cs="Arial"/>
          <w:iCs/>
          <w:sz w:val="24"/>
          <w:szCs w:val="24"/>
          <w:lang w:val="es-CO"/>
        </w:rPr>
        <w:t>Compatibilidad de la exploración y explotación del subsuelo y de los recursos naturales no renovables sobre los usos del suelo.</w:t>
      </w:r>
    </w:p>
    <w:p w:rsidR="00D20F78" w:rsidRPr="00F26189" w:rsidRDefault="00D20F78" w:rsidP="00D20F78">
      <w:pPr>
        <w:numPr>
          <w:ilvl w:val="0"/>
          <w:numId w:val="5"/>
        </w:numPr>
        <w:ind w:left="426"/>
        <w:jc w:val="both"/>
        <w:rPr>
          <w:rFonts w:ascii="Bookman Old Style" w:hAnsi="Bookman Old Style" w:cs="Arial"/>
          <w:iCs/>
          <w:sz w:val="24"/>
          <w:szCs w:val="24"/>
          <w:lang w:val="es-CO"/>
        </w:rPr>
      </w:pPr>
      <w:r w:rsidRPr="00F26189">
        <w:rPr>
          <w:rFonts w:ascii="Bookman Old Style" w:hAnsi="Bookman Old Style" w:cs="Arial"/>
          <w:iCs/>
          <w:sz w:val="24"/>
          <w:szCs w:val="24"/>
          <w:lang w:val="es-CO"/>
        </w:rPr>
        <w:t>Sostenibilidad fiscal, entendida como la posibilidad de generar ingresos para los municipios y para la Nación, con el fin de alcanzar de manera progresiva los objetivos del Estado Social de Derecho.</w:t>
      </w:r>
    </w:p>
    <w:p w:rsidR="00D20F78" w:rsidRPr="00F26189" w:rsidRDefault="00D20F78" w:rsidP="00D20F78">
      <w:pPr>
        <w:numPr>
          <w:ilvl w:val="0"/>
          <w:numId w:val="5"/>
        </w:numPr>
        <w:ind w:left="426"/>
        <w:jc w:val="both"/>
        <w:rPr>
          <w:rFonts w:ascii="Bookman Old Style" w:hAnsi="Bookman Old Style" w:cs="Arial"/>
          <w:iCs/>
          <w:sz w:val="24"/>
          <w:szCs w:val="24"/>
          <w:lang w:val="es-CO"/>
        </w:rPr>
      </w:pPr>
      <w:r w:rsidRPr="00F26189">
        <w:rPr>
          <w:rFonts w:ascii="Bookman Old Style" w:hAnsi="Bookman Old Style" w:cs="Arial"/>
          <w:iCs/>
          <w:sz w:val="24"/>
          <w:szCs w:val="24"/>
          <w:lang w:val="es-CO"/>
        </w:rPr>
        <w:t xml:space="preserve">Determinantes </w:t>
      </w:r>
      <w:proofErr w:type="gramStart"/>
      <w:r w:rsidRPr="00F26189">
        <w:rPr>
          <w:rFonts w:ascii="Bookman Old Style" w:hAnsi="Bookman Old Style" w:cs="Arial"/>
          <w:iCs/>
          <w:sz w:val="24"/>
          <w:szCs w:val="24"/>
          <w:lang w:val="es-CO"/>
        </w:rPr>
        <w:t>del ordenamiento territorial previsto</w:t>
      </w:r>
      <w:r>
        <w:rPr>
          <w:rFonts w:ascii="Bookman Old Style" w:hAnsi="Bookman Old Style" w:cs="Arial"/>
          <w:iCs/>
          <w:sz w:val="24"/>
          <w:szCs w:val="24"/>
          <w:lang w:val="es-CO"/>
        </w:rPr>
        <w:t>s</w:t>
      </w:r>
      <w:proofErr w:type="gramEnd"/>
      <w:r w:rsidRPr="00F26189">
        <w:rPr>
          <w:rFonts w:ascii="Bookman Old Style" w:hAnsi="Bookman Old Style" w:cs="Arial"/>
          <w:iCs/>
          <w:sz w:val="24"/>
          <w:szCs w:val="24"/>
          <w:lang w:val="es-CO"/>
        </w:rPr>
        <w:t xml:space="preserve"> en el artículo 10 de la Ley 388 de 1998, y demás normas que la complementen, aclaren, modifiquen, adicionen y sustituyan.</w:t>
      </w:r>
    </w:p>
    <w:p w:rsidR="00D20F78" w:rsidRPr="00F26189" w:rsidRDefault="00D20F78" w:rsidP="00D20F78">
      <w:pPr>
        <w:numPr>
          <w:ilvl w:val="0"/>
          <w:numId w:val="5"/>
        </w:numPr>
        <w:ind w:left="426"/>
        <w:jc w:val="both"/>
        <w:rPr>
          <w:rFonts w:ascii="Bookman Old Style" w:hAnsi="Bookman Old Style" w:cs="Arial"/>
          <w:iCs/>
          <w:sz w:val="24"/>
          <w:szCs w:val="24"/>
          <w:lang w:val="es-CO"/>
        </w:rPr>
      </w:pPr>
      <w:r w:rsidRPr="00F26189">
        <w:rPr>
          <w:rFonts w:ascii="Bookman Old Style" w:hAnsi="Bookman Old Style" w:cs="Arial"/>
          <w:iCs/>
          <w:sz w:val="24"/>
          <w:szCs w:val="24"/>
          <w:lang w:val="es-CO"/>
        </w:rPr>
        <w:t>Exclusiones y</w:t>
      </w:r>
      <w:r>
        <w:rPr>
          <w:rFonts w:ascii="Bookman Old Style" w:hAnsi="Bookman Old Style" w:cs="Arial"/>
          <w:iCs/>
          <w:sz w:val="24"/>
          <w:szCs w:val="24"/>
          <w:lang w:val="es-CO"/>
        </w:rPr>
        <w:t xml:space="preserve"> restricciones previstas en la L</w:t>
      </w:r>
      <w:r w:rsidRPr="00F26189">
        <w:rPr>
          <w:rFonts w:ascii="Bookman Old Style" w:hAnsi="Bookman Old Style" w:cs="Arial"/>
          <w:iCs/>
          <w:sz w:val="24"/>
          <w:szCs w:val="24"/>
          <w:lang w:val="es-CO"/>
        </w:rPr>
        <w:t>ey para la exploración y explotación del subsuelo y de los recursos naturales no renovables.</w:t>
      </w:r>
    </w:p>
    <w:p w:rsidR="00D20F78" w:rsidRPr="00F26189" w:rsidRDefault="00D20F78" w:rsidP="00D20F78">
      <w:pPr>
        <w:numPr>
          <w:ilvl w:val="0"/>
          <w:numId w:val="5"/>
        </w:numPr>
        <w:ind w:left="426"/>
        <w:jc w:val="both"/>
        <w:rPr>
          <w:rFonts w:ascii="Bookman Old Style" w:hAnsi="Bookman Old Style" w:cs="Arial"/>
          <w:iCs/>
          <w:sz w:val="24"/>
          <w:szCs w:val="24"/>
          <w:lang w:val="es-CO"/>
        </w:rPr>
      </w:pPr>
      <w:r w:rsidRPr="00F26189">
        <w:rPr>
          <w:rFonts w:ascii="Bookman Old Style" w:hAnsi="Bookman Old Style" w:cs="Arial"/>
          <w:iCs/>
          <w:sz w:val="24"/>
          <w:szCs w:val="24"/>
          <w:lang w:val="es-CO"/>
        </w:rPr>
        <w:t>Articulación con instrumentos de planeación territorial.</w:t>
      </w:r>
    </w:p>
    <w:p w:rsidR="00D20F78" w:rsidRPr="00F26189" w:rsidRDefault="00D20F78" w:rsidP="00D20F78">
      <w:pPr>
        <w:numPr>
          <w:ilvl w:val="0"/>
          <w:numId w:val="5"/>
        </w:numPr>
        <w:ind w:left="426"/>
        <w:jc w:val="both"/>
        <w:rPr>
          <w:rFonts w:ascii="Bookman Old Style" w:hAnsi="Bookman Old Style" w:cs="Arial"/>
          <w:iCs/>
          <w:sz w:val="24"/>
          <w:szCs w:val="24"/>
          <w:lang w:val="es-CO"/>
        </w:rPr>
      </w:pPr>
      <w:r w:rsidRPr="00F26189">
        <w:rPr>
          <w:rFonts w:ascii="Bookman Old Style" w:hAnsi="Bookman Old Style" w:cs="Arial"/>
          <w:iCs/>
          <w:sz w:val="24"/>
          <w:szCs w:val="24"/>
          <w:lang w:val="es-CO"/>
        </w:rPr>
        <w:t>Desarrollo sostenible, entendido como el equilibrio del crecimiento económico, el bienestar social y la protección del medio ambiente.</w:t>
      </w:r>
    </w:p>
    <w:p w:rsidR="00D20F78" w:rsidRPr="00F26189" w:rsidRDefault="00D20F78" w:rsidP="00D20F78">
      <w:pPr>
        <w:numPr>
          <w:ilvl w:val="0"/>
          <w:numId w:val="5"/>
        </w:numPr>
        <w:ind w:left="426"/>
        <w:jc w:val="both"/>
        <w:rPr>
          <w:rFonts w:ascii="Bookman Old Style" w:hAnsi="Bookman Old Style" w:cs="Arial"/>
          <w:iCs/>
          <w:sz w:val="24"/>
          <w:szCs w:val="24"/>
          <w:lang w:val="es-CO"/>
        </w:rPr>
      </w:pPr>
      <w:r w:rsidRPr="00F26189">
        <w:rPr>
          <w:rFonts w:ascii="Bookman Old Style" w:hAnsi="Bookman Old Style" w:cs="Arial"/>
          <w:iCs/>
          <w:sz w:val="24"/>
          <w:szCs w:val="24"/>
          <w:lang w:val="es-CO"/>
        </w:rPr>
        <w:t>Mitigación del riesgo y exigencias técnicas para la exploración y explotación del subsuelo y de los re</w:t>
      </w:r>
      <w:r>
        <w:rPr>
          <w:rFonts w:ascii="Bookman Old Style" w:hAnsi="Bookman Old Style" w:cs="Arial"/>
          <w:iCs/>
          <w:sz w:val="24"/>
          <w:szCs w:val="24"/>
          <w:lang w:val="es-CO"/>
        </w:rPr>
        <w:t>cursos naturales no renovables.</w:t>
      </w:r>
    </w:p>
    <w:p w:rsidR="00D20F78" w:rsidRPr="002C4800" w:rsidRDefault="00D20F78" w:rsidP="00D20F78">
      <w:pPr>
        <w:jc w:val="center"/>
        <w:rPr>
          <w:rFonts w:ascii="Bookman Old Style" w:hAnsi="Bookman Old Style" w:cs="Arial"/>
          <w:b/>
          <w:bCs/>
          <w:iCs/>
          <w:sz w:val="24"/>
          <w:szCs w:val="24"/>
          <w:lang w:val="es-CO"/>
        </w:rPr>
      </w:pPr>
      <w:bookmarkStart w:id="3" w:name="_Hlk49977323"/>
      <w:r w:rsidRPr="002C4800">
        <w:rPr>
          <w:rFonts w:ascii="Bookman Old Style" w:hAnsi="Bookman Old Style" w:cs="Arial"/>
          <w:b/>
          <w:bCs/>
          <w:iCs/>
          <w:sz w:val="24"/>
          <w:szCs w:val="24"/>
          <w:lang w:val="es-CO"/>
        </w:rPr>
        <w:t>TÍTULO IV</w:t>
      </w:r>
    </w:p>
    <w:p w:rsidR="00D20F78" w:rsidRDefault="00D20F78" w:rsidP="00D20F78">
      <w:pPr>
        <w:jc w:val="center"/>
        <w:rPr>
          <w:rFonts w:ascii="Bookman Old Style" w:hAnsi="Bookman Old Style" w:cs="Arial"/>
          <w:b/>
          <w:bCs/>
          <w:iCs/>
          <w:sz w:val="24"/>
          <w:szCs w:val="24"/>
          <w:lang w:val="es-CO"/>
        </w:rPr>
      </w:pPr>
      <w:r>
        <w:rPr>
          <w:rFonts w:ascii="Bookman Old Style" w:hAnsi="Bookman Old Style" w:cs="Arial"/>
          <w:b/>
          <w:bCs/>
          <w:iCs/>
          <w:sz w:val="24"/>
          <w:szCs w:val="24"/>
          <w:lang w:val="es-CO"/>
        </w:rPr>
        <w:t>PARTICIPACIÓN CIUDADANA</w:t>
      </w:r>
    </w:p>
    <w:p w:rsidR="00D20F78" w:rsidRPr="00A20A8B" w:rsidRDefault="00D20F78" w:rsidP="00D20F78">
      <w:pPr>
        <w:jc w:val="both"/>
        <w:rPr>
          <w:rFonts w:ascii="Bookman Old Style" w:hAnsi="Bookman Old Style" w:cs="Arial"/>
          <w:iCs/>
          <w:sz w:val="24"/>
          <w:szCs w:val="24"/>
          <w:lang w:val="es-CO"/>
        </w:rPr>
      </w:pPr>
      <w:r w:rsidRPr="00A20A8B">
        <w:rPr>
          <w:rFonts w:ascii="Bookman Old Style" w:hAnsi="Bookman Old Style" w:cs="Arial"/>
          <w:b/>
          <w:bCs/>
          <w:iCs/>
          <w:sz w:val="24"/>
          <w:szCs w:val="24"/>
          <w:lang w:val="es-CO"/>
        </w:rPr>
        <w:t>Articulo Decimo</w:t>
      </w:r>
      <w:r>
        <w:rPr>
          <w:rFonts w:ascii="Bookman Old Style" w:hAnsi="Bookman Old Style" w:cs="Arial"/>
          <w:b/>
          <w:bCs/>
          <w:iCs/>
          <w:sz w:val="24"/>
          <w:szCs w:val="24"/>
          <w:lang w:val="es-CO"/>
        </w:rPr>
        <w:t>sexto</w:t>
      </w:r>
      <w:r w:rsidRPr="00A20A8B">
        <w:rPr>
          <w:rFonts w:ascii="Bookman Old Style" w:hAnsi="Bookman Old Style" w:cs="Arial"/>
          <w:b/>
          <w:bCs/>
          <w:iCs/>
          <w:sz w:val="24"/>
          <w:szCs w:val="24"/>
          <w:lang w:val="es-CO"/>
        </w:rPr>
        <w:t>.</w:t>
      </w:r>
      <w:r w:rsidRPr="00F26189">
        <w:rPr>
          <w:rFonts w:ascii="Bookman Old Style" w:hAnsi="Bookman Old Style" w:cs="Arial"/>
          <w:b/>
          <w:bCs/>
          <w:i/>
          <w:iCs/>
          <w:sz w:val="24"/>
          <w:szCs w:val="24"/>
          <w:lang w:val="es-CO"/>
        </w:rPr>
        <w:t xml:space="preserve"> </w:t>
      </w:r>
      <w:r w:rsidRPr="00A20A8B">
        <w:rPr>
          <w:rFonts w:ascii="Bookman Old Style" w:hAnsi="Bookman Old Style" w:cs="Arial"/>
          <w:b/>
          <w:bCs/>
          <w:iCs/>
          <w:sz w:val="24"/>
          <w:szCs w:val="24"/>
          <w:lang w:val="es-CO"/>
        </w:rPr>
        <w:t>Audiencia pública regional de asuntos prioritarios de desarrollo.</w:t>
      </w:r>
      <w:r w:rsidRPr="00F26189">
        <w:rPr>
          <w:rFonts w:ascii="Bookman Old Style" w:hAnsi="Bookman Old Style" w:cs="Arial"/>
          <w:b/>
          <w:bCs/>
          <w:i/>
          <w:iCs/>
          <w:sz w:val="24"/>
          <w:szCs w:val="24"/>
          <w:lang w:val="es-CO"/>
        </w:rPr>
        <w:t xml:space="preserve"> </w:t>
      </w:r>
      <w:r w:rsidRPr="00A20A8B">
        <w:rPr>
          <w:rFonts w:ascii="Bookman Old Style" w:hAnsi="Bookman Old Style" w:cs="Arial"/>
          <w:iCs/>
          <w:sz w:val="24"/>
          <w:szCs w:val="24"/>
          <w:lang w:val="es-CO"/>
        </w:rPr>
        <w:t>Créase la Audiencia Pública Regional de Asuntos Prioritarios de Desarrollo Territorial, como mecanismo de participación ciudadana de carácter obligatorio, en la cual se identificarán por parte de los asistentes, los asuntos prioritarios de desarrollo, los cuales serán de observancia para la toma de decisiones por parte de las Mesas de Coordinación y Concurrencia de las que tratan los artículos</w:t>
      </w:r>
      <w:r>
        <w:rPr>
          <w:rFonts w:ascii="Bookman Old Style" w:hAnsi="Bookman Old Style" w:cs="Arial"/>
          <w:iCs/>
          <w:sz w:val="24"/>
          <w:szCs w:val="24"/>
          <w:lang w:val="es-CO"/>
        </w:rPr>
        <w:t xml:space="preserve"> </w:t>
      </w:r>
      <w:r>
        <w:rPr>
          <w:rFonts w:ascii="Bookman Old Style" w:hAnsi="Bookman Old Style" w:cs="Arial"/>
          <w:iCs/>
          <w:sz w:val="24"/>
          <w:szCs w:val="24"/>
          <w:lang w:val="es-CO"/>
        </w:rPr>
        <w:lastRenderedPageBreak/>
        <w:t>sexto y noveno de la presente L</w:t>
      </w:r>
      <w:r w:rsidRPr="00A20A8B">
        <w:rPr>
          <w:rFonts w:ascii="Bookman Old Style" w:hAnsi="Bookman Old Style" w:cs="Arial"/>
          <w:iCs/>
          <w:sz w:val="24"/>
          <w:szCs w:val="24"/>
          <w:lang w:val="es-CO"/>
        </w:rPr>
        <w:t xml:space="preserve">ey, cuando estas sesionen para definir estos asuntos. </w:t>
      </w:r>
    </w:p>
    <w:bookmarkEnd w:id="3"/>
    <w:p w:rsidR="00D20F78" w:rsidRPr="00A20A8B" w:rsidRDefault="00D20F78" w:rsidP="00D20F78">
      <w:pPr>
        <w:jc w:val="both"/>
        <w:rPr>
          <w:rFonts w:ascii="Bookman Old Style" w:hAnsi="Bookman Old Style" w:cs="Arial"/>
          <w:iCs/>
          <w:sz w:val="24"/>
          <w:szCs w:val="24"/>
          <w:lang w:val="es-CO"/>
        </w:rPr>
      </w:pPr>
      <w:r w:rsidRPr="00A20A8B">
        <w:rPr>
          <w:rFonts w:ascii="Bookman Old Style" w:hAnsi="Bookman Old Style" w:cs="Arial"/>
          <w:iCs/>
          <w:sz w:val="24"/>
          <w:szCs w:val="24"/>
          <w:lang w:val="es-CO"/>
        </w:rPr>
        <w:t xml:space="preserve">Cuando la ANM o la ANH, o quien haga sus veces, sea informada sobre la convocatoria a la Mesa Particular de Coordinación y Concurrencia para la definición de Asuntos Prioritarios de Desarrollo, tendrá quince (15) días calendario para convocar a la Audiencia Pública Regional para Asuntos Prioritarios de Desarrollo Territorial, que deberá llevarse a cabo de manera posterior los treinta (30) días calendario siguientes. </w:t>
      </w:r>
    </w:p>
    <w:p w:rsidR="00D20F78" w:rsidRPr="00A20A8B" w:rsidRDefault="00D20F78" w:rsidP="00D20F78">
      <w:pPr>
        <w:jc w:val="both"/>
        <w:rPr>
          <w:rFonts w:ascii="Bookman Old Style" w:hAnsi="Bookman Old Style" w:cs="Arial"/>
          <w:iCs/>
          <w:sz w:val="24"/>
          <w:szCs w:val="24"/>
          <w:lang w:val="es-CO"/>
        </w:rPr>
      </w:pPr>
      <w:r w:rsidRPr="00A20A8B">
        <w:rPr>
          <w:rFonts w:ascii="Bookman Old Style" w:hAnsi="Bookman Old Style" w:cs="Arial"/>
          <w:iCs/>
          <w:sz w:val="24"/>
          <w:szCs w:val="24"/>
          <w:lang w:val="es-CO"/>
        </w:rPr>
        <w:t>La Secretaría Técnica de la audiencia pública será ejercida por la UPME</w:t>
      </w:r>
      <w:r>
        <w:rPr>
          <w:rFonts w:ascii="Bookman Old Style" w:hAnsi="Bookman Old Style" w:cs="Arial"/>
          <w:iCs/>
          <w:sz w:val="24"/>
          <w:szCs w:val="24"/>
          <w:lang w:val="es-CO"/>
        </w:rPr>
        <w:t>.</w:t>
      </w:r>
    </w:p>
    <w:p w:rsidR="00D20F78" w:rsidRPr="00C379CA" w:rsidRDefault="00D20F78" w:rsidP="00D20F78">
      <w:pPr>
        <w:jc w:val="both"/>
        <w:rPr>
          <w:rFonts w:ascii="Bookman Old Style" w:hAnsi="Bookman Old Style" w:cs="Arial"/>
          <w:iCs/>
          <w:sz w:val="24"/>
          <w:szCs w:val="24"/>
          <w:lang w:val="es-CO"/>
        </w:rPr>
      </w:pPr>
      <w:r w:rsidRPr="00A20A8B">
        <w:rPr>
          <w:rFonts w:ascii="Bookman Old Style" w:hAnsi="Bookman Old Style" w:cs="Arial"/>
          <w:b/>
          <w:bCs/>
          <w:iCs/>
          <w:sz w:val="24"/>
          <w:szCs w:val="24"/>
          <w:lang w:val="es-CO"/>
        </w:rPr>
        <w:t xml:space="preserve">Parágrafo Primero. </w:t>
      </w:r>
      <w:r w:rsidRPr="00A20A8B">
        <w:rPr>
          <w:rFonts w:ascii="Bookman Old Style" w:hAnsi="Bookman Old Style" w:cs="Arial"/>
          <w:iCs/>
          <w:sz w:val="24"/>
          <w:szCs w:val="24"/>
          <w:lang w:val="es-CO"/>
        </w:rPr>
        <w:t>Serán convocados a participar, entre otros, la ciudadanía en general, y sus representantes legítimos, organizaciones sin ánimo de lucro, la academia y representantes de los concejos municipales o distritales y asambleas departamentales, quienes deberán surtir un proceso de inscripción. Será obligatoria la pa</w:t>
      </w:r>
      <w:r>
        <w:rPr>
          <w:rFonts w:ascii="Bookman Old Style" w:hAnsi="Bookman Old Style" w:cs="Arial"/>
          <w:iCs/>
          <w:sz w:val="24"/>
          <w:szCs w:val="24"/>
          <w:lang w:val="es-CO"/>
        </w:rPr>
        <w:t>rticipación de los gobernadores</w:t>
      </w:r>
      <w:r w:rsidRPr="00A20A8B">
        <w:rPr>
          <w:rFonts w:ascii="Bookman Old Style" w:hAnsi="Bookman Old Style" w:cs="Arial"/>
          <w:iCs/>
          <w:sz w:val="24"/>
          <w:szCs w:val="24"/>
          <w:lang w:val="es-CO"/>
        </w:rPr>
        <w:t xml:space="preserve"> y los alcaldes o sus delegados, de los municipios ubicados en el área con potencial para la exploración y explotación del subsuelo y de los recursos naturales no renovables, objeto de la caracterización técnica, conforme a lo establecido en la presente Ley. También deberán invitar a participar al Ministerio de Ambiente y Desarrollo Sostenible y </w:t>
      </w:r>
      <w:r w:rsidRPr="00901C0B">
        <w:rPr>
          <w:rFonts w:ascii="Bookman Old Style" w:hAnsi="Bookman Old Style" w:cs="Arial"/>
          <w:iCs/>
          <w:sz w:val="24"/>
          <w:szCs w:val="24"/>
          <w:lang w:val="es-CO"/>
        </w:rPr>
        <w:t>al Ministerio Público</w:t>
      </w:r>
      <w:r w:rsidRPr="00C379CA">
        <w:rPr>
          <w:rFonts w:ascii="Bookman Old Style" w:hAnsi="Bookman Old Style" w:cs="Arial"/>
          <w:iCs/>
          <w:sz w:val="24"/>
          <w:szCs w:val="24"/>
          <w:lang w:val="es-CO"/>
        </w:rPr>
        <w:t>.</w:t>
      </w:r>
    </w:p>
    <w:p w:rsidR="00D20F78" w:rsidRPr="00A20A8B" w:rsidRDefault="00D20F78" w:rsidP="00D20F78">
      <w:pPr>
        <w:jc w:val="both"/>
        <w:rPr>
          <w:rFonts w:ascii="Bookman Old Style" w:hAnsi="Bookman Old Style" w:cs="Arial"/>
          <w:iCs/>
          <w:sz w:val="24"/>
          <w:szCs w:val="24"/>
          <w:lang w:val="es-CO"/>
        </w:rPr>
      </w:pPr>
      <w:r>
        <w:rPr>
          <w:rFonts w:ascii="Bookman Old Style" w:hAnsi="Bookman Old Style" w:cs="Arial"/>
          <w:b/>
          <w:iCs/>
          <w:sz w:val="24"/>
          <w:szCs w:val="24"/>
          <w:lang w:val="es-CO"/>
        </w:rPr>
        <w:t xml:space="preserve">Parágrafo Segundo. </w:t>
      </w:r>
      <w:r w:rsidRPr="00C379CA">
        <w:rPr>
          <w:rFonts w:ascii="Bookman Old Style" w:hAnsi="Bookman Old Style" w:cs="Arial"/>
          <w:iCs/>
          <w:sz w:val="24"/>
          <w:szCs w:val="24"/>
          <w:lang w:val="es-CO"/>
        </w:rPr>
        <w:t xml:space="preserve">La inasistencia injustificada a la </w:t>
      </w:r>
      <w:r>
        <w:rPr>
          <w:rFonts w:ascii="Bookman Old Style" w:hAnsi="Bookman Old Style" w:cs="Arial"/>
          <w:iCs/>
          <w:sz w:val="24"/>
          <w:szCs w:val="24"/>
          <w:lang w:val="es-CO"/>
        </w:rPr>
        <w:t>a</w:t>
      </w:r>
      <w:r w:rsidRPr="00C379CA">
        <w:rPr>
          <w:rFonts w:ascii="Bookman Old Style" w:hAnsi="Bookman Old Style" w:cs="Arial"/>
          <w:iCs/>
          <w:sz w:val="24"/>
          <w:szCs w:val="24"/>
          <w:lang w:val="es-CO"/>
        </w:rPr>
        <w:t xml:space="preserve">udiencia pública regional de asuntos prioritarios de desarrollo de alguno de los participantes </w:t>
      </w:r>
      <w:r>
        <w:rPr>
          <w:rFonts w:ascii="Bookman Old Style" w:hAnsi="Bookman Old Style" w:cs="Arial"/>
          <w:iCs/>
          <w:sz w:val="24"/>
          <w:szCs w:val="24"/>
          <w:lang w:val="es-CO"/>
        </w:rPr>
        <w:t>con asistencia obligatoria</w:t>
      </w:r>
      <w:r w:rsidRPr="00C379CA">
        <w:rPr>
          <w:rFonts w:ascii="Bookman Old Style" w:hAnsi="Bookman Old Style" w:cs="Arial"/>
          <w:iCs/>
          <w:sz w:val="24"/>
          <w:szCs w:val="24"/>
          <w:lang w:val="es-CO"/>
        </w:rPr>
        <w:t>, dará lugar a las investigaciones correspondientes y no interrumpirá la realización de esta. De su inasisten</w:t>
      </w:r>
      <w:r>
        <w:rPr>
          <w:rFonts w:ascii="Bookman Old Style" w:hAnsi="Bookman Old Style" w:cs="Arial"/>
          <w:iCs/>
          <w:sz w:val="24"/>
          <w:szCs w:val="24"/>
          <w:lang w:val="es-CO"/>
        </w:rPr>
        <w:t>cia se dejará constancia en el a</w:t>
      </w:r>
      <w:r w:rsidRPr="00C379CA">
        <w:rPr>
          <w:rFonts w:ascii="Bookman Old Style" w:hAnsi="Bookman Old Style" w:cs="Arial"/>
          <w:iCs/>
          <w:sz w:val="24"/>
          <w:szCs w:val="24"/>
          <w:lang w:val="es-CO"/>
        </w:rPr>
        <w:t>cta y se continuará con el proceso establecido en la presente Ley</w:t>
      </w:r>
      <w:r>
        <w:rPr>
          <w:rFonts w:ascii="Bookman Old Style" w:hAnsi="Bookman Old Style" w:cs="Arial"/>
          <w:iCs/>
          <w:sz w:val="24"/>
          <w:szCs w:val="24"/>
          <w:lang w:val="es-CO"/>
        </w:rPr>
        <w:t>.</w:t>
      </w:r>
    </w:p>
    <w:p w:rsidR="00D20F78" w:rsidRPr="00A20A8B" w:rsidRDefault="00D20F78" w:rsidP="00D20F78">
      <w:pPr>
        <w:jc w:val="both"/>
        <w:rPr>
          <w:rFonts w:ascii="Bookman Old Style" w:hAnsi="Bookman Old Style" w:cs="Arial"/>
          <w:iCs/>
          <w:sz w:val="24"/>
          <w:szCs w:val="24"/>
          <w:lang w:val="es-CO"/>
        </w:rPr>
      </w:pPr>
      <w:r w:rsidRPr="00A20A8B">
        <w:rPr>
          <w:rFonts w:ascii="Bookman Old Style" w:hAnsi="Bookman Old Style" w:cs="Arial"/>
          <w:b/>
          <w:iCs/>
          <w:sz w:val="24"/>
          <w:szCs w:val="24"/>
          <w:lang w:val="es-CO"/>
        </w:rPr>
        <w:t xml:space="preserve">Parágrafo </w:t>
      </w:r>
      <w:r>
        <w:rPr>
          <w:rFonts w:ascii="Bookman Old Style" w:hAnsi="Bookman Old Style" w:cs="Arial"/>
          <w:b/>
          <w:iCs/>
          <w:sz w:val="24"/>
          <w:szCs w:val="24"/>
          <w:lang w:val="es-CO"/>
        </w:rPr>
        <w:t>Tercero</w:t>
      </w:r>
      <w:r w:rsidRPr="00A20A8B">
        <w:rPr>
          <w:rFonts w:ascii="Bookman Old Style" w:hAnsi="Bookman Old Style" w:cs="Arial"/>
          <w:b/>
          <w:iCs/>
          <w:sz w:val="24"/>
          <w:szCs w:val="24"/>
          <w:lang w:val="es-CO"/>
        </w:rPr>
        <w:t xml:space="preserve">. </w:t>
      </w:r>
      <w:r w:rsidRPr="00A20A8B">
        <w:rPr>
          <w:rFonts w:ascii="Bookman Old Style" w:hAnsi="Bookman Old Style" w:cs="Arial"/>
          <w:iCs/>
          <w:sz w:val="24"/>
          <w:szCs w:val="24"/>
          <w:lang w:val="es-CO"/>
        </w:rPr>
        <w:t>El desarrollo de la audiencia pública de Asuntos Prioritarios de Desarrollo Territorial será reglamentado por parte del Ministerio de Minas y Energía.</w:t>
      </w:r>
    </w:p>
    <w:p w:rsidR="00D20F78" w:rsidRPr="00A20A8B" w:rsidRDefault="00D20F78" w:rsidP="00D20F78">
      <w:pPr>
        <w:jc w:val="both"/>
        <w:rPr>
          <w:rFonts w:ascii="Bookman Old Style" w:hAnsi="Bookman Old Style" w:cs="Arial"/>
          <w:iCs/>
          <w:sz w:val="24"/>
          <w:szCs w:val="24"/>
          <w:lang w:val="es-CO"/>
        </w:rPr>
      </w:pPr>
      <w:r w:rsidRPr="00A20A8B">
        <w:rPr>
          <w:rFonts w:ascii="Bookman Old Style" w:hAnsi="Bookman Old Style" w:cs="Arial"/>
          <w:b/>
          <w:bCs/>
          <w:iCs/>
          <w:sz w:val="24"/>
          <w:szCs w:val="24"/>
          <w:lang w:val="es-CO"/>
        </w:rPr>
        <w:t xml:space="preserve">Parágrafo </w:t>
      </w:r>
      <w:r>
        <w:rPr>
          <w:rFonts w:ascii="Bookman Old Style" w:hAnsi="Bookman Old Style" w:cs="Arial"/>
          <w:b/>
          <w:bCs/>
          <w:iCs/>
          <w:sz w:val="24"/>
          <w:szCs w:val="24"/>
          <w:lang w:val="es-CO"/>
        </w:rPr>
        <w:t>Cuarto</w:t>
      </w:r>
      <w:r w:rsidRPr="00A20A8B">
        <w:rPr>
          <w:rFonts w:ascii="Bookman Old Style" w:hAnsi="Bookman Old Style" w:cs="Arial"/>
          <w:b/>
          <w:bCs/>
          <w:iCs/>
          <w:sz w:val="24"/>
          <w:szCs w:val="24"/>
          <w:lang w:val="es-CO"/>
        </w:rPr>
        <w:t>.</w:t>
      </w:r>
      <w:r w:rsidRPr="00A20A8B">
        <w:rPr>
          <w:rFonts w:ascii="Bookman Old Style" w:hAnsi="Bookman Old Style" w:cs="Arial"/>
          <w:iCs/>
          <w:sz w:val="24"/>
          <w:szCs w:val="24"/>
          <w:lang w:val="es-CO"/>
        </w:rPr>
        <w:t xml:space="preserve"> La audiencia pública de Asuntos Prioritarios de Desarrollo Territorial podrá llevarse a cabo de manera virtual con ayuda de las tecnologías de la información y las comunicaciones. Para el efecto, la Secretaría Técnica en coordinación con los integrantes de la Mesa Particular de Coordinación y Concurrencia, pondrá a disposición de los interesados los medios electrónicos y virtuales necesarios para el recibo, </w:t>
      </w:r>
      <w:r w:rsidRPr="00A20A8B">
        <w:rPr>
          <w:rFonts w:ascii="Bookman Old Style" w:hAnsi="Bookman Old Style" w:cs="Arial"/>
          <w:iCs/>
          <w:sz w:val="24"/>
          <w:szCs w:val="24"/>
          <w:lang w:val="es-CO"/>
        </w:rPr>
        <w:lastRenderedPageBreak/>
        <w:t xml:space="preserve">envío y difusión de la información, así como para la realización y retransmisión de las audiencias y reuniones, de acuerdo con lo reglamentado por el Ministerio de Minas y Energía. </w:t>
      </w:r>
    </w:p>
    <w:p w:rsidR="00D20F78" w:rsidRPr="00A20A8B" w:rsidRDefault="00D20F78" w:rsidP="00D20F78">
      <w:pPr>
        <w:jc w:val="both"/>
        <w:rPr>
          <w:rFonts w:ascii="Bookman Old Style" w:hAnsi="Bookman Old Style" w:cs="Arial"/>
          <w:iCs/>
          <w:sz w:val="24"/>
          <w:szCs w:val="24"/>
          <w:lang w:val="es-CO"/>
        </w:rPr>
      </w:pPr>
      <w:r w:rsidRPr="00A20A8B">
        <w:rPr>
          <w:rFonts w:ascii="Bookman Old Style" w:hAnsi="Bookman Old Style" w:cs="Arial"/>
          <w:b/>
          <w:bCs/>
          <w:iCs/>
          <w:sz w:val="24"/>
          <w:szCs w:val="24"/>
          <w:lang w:val="es-CO"/>
        </w:rPr>
        <w:t>Articulo Decimo</w:t>
      </w:r>
      <w:r>
        <w:rPr>
          <w:rFonts w:ascii="Bookman Old Style" w:hAnsi="Bookman Old Style" w:cs="Arial"/>
          <w:b/>
          <w:bCs/>
          <w:iCs/>
          <w:sz w:val="24"/>
          <w:szCs w:val="24"/>
          <w:lang w:val="es-CO"/>
        </w:rPr>
        <w:t>séptim</w:t>
      </w:r>
      <w:r w:rsidRPr="00A20A8B">
        <w:rPr>
          <w:rFonts w:ascii="Bookman Old Style" w:hAnsi="Bookman Old Style" w:cs="Arial"/>
          <w:b/>
          <w:bCs/>
          <w:iCs/>
          <w:sz w:val="24"/>
          <w:szCs w:val="24"/>
          <w:lang w:val="es-CO"/>
        </w:rPr>
        <w:t xml:space="preserve">o. </w:t>
      </w:r>
      <w:bookmarkStart w:id="4" w:name="_Hlk49977372"/>
      <w:r w:rsidRPr="00A20A8B">
        <w:rPr>
          <w:rFonts w:ascii="Bookman Old Style" w:hAnsi="Bookman Old Style" w:cs="Arial"/>
          <w:b/>
          <w:bCs/>
          <w:iCs/>
          <w:sz w:val="24"/>
          <w:szCs w:val="24"/>
          <w:lang w:val="es-CO"/>
        </w:rPr>
        <w:t xml:space="preserve">Audiencia en la etapa de explotación y producción. </w:t>
      </w:r>
      <w:bookmarkEnd w:id="4"/>
      <w:r w:rsidRPr="00A20A8B">
        <w:rPr>
          <w:rFonts w:ascii="Bookman Old Style" w:hAnsi="Bookman Old Style" w:cs="Arial"/>
          <w:iCs/>
          <w:sz w:val="24"/>
          <w:szCs w:val="24"/>
          <w:lang w:val="es-CO"/>
        </w:rPr>
        <w:t xml:space="preserve">Créase la audiencia pública en la etapa de explotación para proyectos de gran minería y de producción para los proyectos de hidrocarburos, como mecanismo de participación ciudadana obligatorio, que tendrá como objetivo servir de insumo para la construcción de los instrumentos de gestión social, en el marco de los Asuntos Prioritarios de Desarrollo Territorial definidos por la Mesa Particular de Coordinación y Concurrencia. </w:t>
      </w:r>
    </w:p>
    <w:p w:rsidR="00D20F78" w:rsidRDefault="00D20F78" w:rsidP="00D20F78">
      <w:pPr>
        <w:jc w:val="both"/>
        <w:rPr>
          <w:rFonts w:ascii="Bookman Old Style" w:hAnsi="Bookman Old Style" w:cs="Arial"/>
          <w:b/>
          <w:bCs/>
          <w:iCs/>
          <w:sz w:val="24"/>
          <w:szCs w:val="24"/>
          <w:lang w:val="es-CO"/>
        </w:rPr>
      </w:pPr>
      <w:r w:rsidRPr="00A20A8B">
        <w:rPr>
          <w:rFonts w:ascii="Bookman Old Style" w:hAnsi="Bookman Old Style" w:cs="Arial"/>
          <w:iCs/>
          <w:sz w:val="24"/>
          <w:szCs w:val="24"/>
          <w:lang w:val="es-CO"/>
        </w:rPr>
        <w:t xml:space="preserve">La ANM o la ANH, o quien haga sus veces, celebrará la Audiencia dentro de los primeros ciento ochenta (180) días calendario </w:t>
      </w:r>
      <w:r>
        <w:rPr>
          <w:rFonts w:ascii="Bookman Old Style" w:hAnsi="Bookman Old Style" w:cs="Arial"/>
          <w:iCs/>
          <w:sz w:val="24"/>
          <w:szCs w:val="24"/>
          <w:lang w:val="es-CO"/>
        </w:rPr>
        <w:t>antes de finalizar</w:t>
      </w:r>
      <w:r w:rsidRPr="00A20A8B">
        <w:rPr>
          <w:rFonts w:ascii="Bookman Old Style" w:hAnsi="Bookman Old Style" w:cs="Arial"/>
          <w:iCs/>
          <w:sz w:val="24"/>
          <w:szCs w:val="24"/>
          <w:lang w:val="es-CO"/>
        </w:rPr>
        <w:t xml:space="preserve"> la fase de explotación en el caso de los proyectos mineros, y de producción para los proyectos de hidrocarburos. La Audiencia en la etapa de explotación y producción, según corresponda, se convocará con una antelación mínima de treinta (30) días calendario a la fecha de su celebración.</w:t>
      </w:r>
      <w:r w:rsidRPr="00A20A8B">
        <w:rPr>
          <w:rFonts w:ascii="Bookman Old Style" w:hAnsi="Bookman Old Style" w:cs="Arial"/>
          <w:b/>
          <w:bCs/>
          <w:iCs/>
          <w:sz w:val="24"/>
          <w:szCs w:val="24"/>
          <w:lang w:val="es-CO"/>
        </w:rPr>
        <w:t xml:space="preserve"> </w:t>
      </w:r>
    </w:p>
    <w:p w:rsidR="00D20F78" w:rsidRPr="00662048" w:rsidRDefault="00D20F78" w:rsidP="00D20F78">
      <w:pPr>
        <w:spacing w:after="0"/>
        <w:jc w:val="both"/>
        <w:rPr>
          <w:rFonts w:ascii="Bookman Old Style" w:hAnsi="Bookman Old Style" w:cs="Arial"/>
          <w:iCs/>
          <w:sz w:val="24"/>
          <w:szCs w:val="24"/>
          <w:lang w:val="es-CO"/>
        </w:rPr>
      </w:pPr>
      <w:r w:rsidRPr="00662048">
        <w:rPr>
          <w:rFonts w:ascii="Bookman Old Style" w:hAnsi="Bookman Old Style" w:cs="Arial"/>
          <w:iCs/>
          <w:sz w:val="24"/>
          <w:szCs w:val="24"/>
          <w:lang w:val="es-CO"/>
        </w:rPr>
        <w:t xml:space="preserve">La ANM o la ANH, o quien haga sus veces, celebrará la Audiencia dentro de los primeros ciento ochenta (180) días calendario antes de finalizar la fase de exploración. La Audiencia en la etapa de explotación y producción, según corresponda, se convocará con una antelación mínima de treinta (30) días calendario a la fecha de su celebración. </w:t>
      </w:r>
    </w:p>
    <w:p w:rsidR="00D20F78" w:rsidRDefault="00D20F78" w:rsidP="00D20F78">
      <w:pPr>
        <w:pStyle w:val="Sinespaciado"/>
        <w:rPr>
          <w:lang w:val="es-CO"/>
        </w:rPr>
      </w:pPr>
    </w:p>
    <w:p w:rsidR="00D20F78" w:rsidRDefault="00D20F78" w:rsidP="00D20F78">
      <w:pPr>
        <w:jc w:val="both"/>
        <w:rPr>
          <w:rFonts w:ascii="Bookman Old Style" w:hAnsi="Bookman Old Style" w:cs="Arial"/>
          <w:iCs/>
          <w:sz w:val="24"/>
          <w:szCs w:val="24"/>
          <w:lang w:val="es-CO"/>
        </w:rPr>
      </w:pPr>
      <w:r w:rsidRPr="00A20A8B">
        <w:rPr>
          <w:rFonts w:ascii="Bookman Old Style" w:hAnsi="Bookman Old Style" w:cs="Arial"/>
          <w:b/>
          <w:iCs/>
          <w:sz w:val="24"/>
          <w:szCs w:val="24"/>
          <w:lang w:val="es-CO"/>
        </w:rPr>
        <w:t>Parágrafo Primero.</w:t>
      </w:r>
      <w:r w:rsidRPr="00F26189">
        <w:rPr>
          <w:rFonts w:ascii="Bookman Old Style" w:hAnsi="Bookman Old Style" w:cs="Arial"/>
          <w:i/>
          <w:iCs/>
          <w:sz w:val="24"/>
          <w:szCs w:val="24"/>
          <w:lang w:val="es-CO"/>
        </w:rPr>
        <w:t xml:space="preserve"> </w:t>
      </w:r>
      <w:r w:rsidRPr="00A20A8B">
        <w:rPr>
          <w:rFonts w:ascii="Bookman Old Style" w:hAnsi="Bookman Old Style" w:cs="Arial"/>
          <w:iCs/>
          <w:sz w:val="24"/>
          <w:szCs w:val="24"/>
          <w:lang w:val="es-CO"/>
        </w:rPr>
        <w:t xml:space="preserve">Serán convocados a participar, entre otros, la ciudadanía en general, y sus representantes legítimos, organizaciones sin ánimo de lucro y la academia, quienes deberán surtir el proceso de inscripción establecido. También podrán participar sin necesidad de registro, el Ministerio Público, las autoridades competentes, los Gobernadores, o sus delegados, y los alcaldes, o sus delegados, de los municipios ubicados en el área de influencia del proyecto </w:t>
      </w:r>
      <w:r>
        <w:rPr>
          <w:rFonts w:ascii="Bookman Old Style" w:hAnsi="Bookman Old Style" w:cs="Arial"/>
          <w:iCs/>
          <w:sz w:val="24"/>
          <w:szCs w:val="24"/>
          <w:lang w:val="es-CO"/>
        </w:rPr>
        <w:t xml:space="preserve">de gran </w:t>
      </w:r>
      <w:r w:rsidRPr="00A20A8B">
        <w:rPr>
          <w:rFonts w:ascii="Bookman Old Style" w:hAnsi="Bookman Old Style" w:cs="Arial"/>
          <w:iCs/>
          <w:sz w:val="24"/>
          <w:szCs w:val="24"/>
          <w:lang w:val="es-CO"/>
        </w:rPr>
        <w:t>miner</w:t>
      </w:r>
      <w:r>
        <w:rPr>
          <w:rFonts w:ascii="Bookman Old Style" w:hAnsi="Bookman Old Style" w:cs="Arial"/>
          <w:iCs/>
          <w:sz w:val="24"/>
          <w:szCs w:val="24"/>
          <w:lang w:val="es-CO"/>
        </w:rPr>
        <w:t>ía</w:t>
      </w:r>
      <w:r w:rsidRPr="00A20A8B">
        <w:rPr>
          <w:rFonts w:ascii="Bookman Old Style" w:hAnsi="Bookman Old Style" w:cs="Arial"/>
          <w:iCs/>
          <w:sz w:val="24"/>
          <w:szCs w:val="24"/>
          <w:lang w:val="es-CO"/>
        </w:rPr>
        <w:t xml:space="preserve"> o de hidrocarburos.</w:t>
      </w:r>
    </w:p>
    <w:p w:rsidR="00D20F78" w:rsidRPr="00E868DC" w:rsidRDefault="00D20F78" w:rsidP="00D20F78">
      <w:pPr>
        <w:jc w:val="both"/>
        <w:rPr>
          <w:rFonts w:ascii="Bookman Old Style" w:hAnsi="Bookman Old Style" w:cs="Arial"/>
          <w:iCs/>
          <w:sz w:val="24"/>
          <w:szCs w:val="24"/>
          <w:lang w:val="es-CO"/>
        </w:rPr>
      </w:pPr>
      <w:r>
        <w:rPr>
          <w:rFonts w:ascii="Bookman Old Style" w:hAnsi="Bookman Old Style" w:cs="Arial"/>
          <w:b/>
          <w:iCs/>
          <w:sz w:val="24"/>
          <w:szCs w:val="24"/>
          <w:lang w:val="es-CO"/>
        </w:rPr>
        <w:t xml:space="preserve">Parágrafo Segundo. </w:t>
      </w:r>
      <w:r>
        <w:rPr>
          <w:rFonts w:ascii="Bookman Old Style" w:hAnsi="Bookman Old Style" w:cs="Arial"/>
          <w:iCs/>
          <w:sz w:val="24"/>
          <w:szCs w:val="24"/>
          <w:lang w:val="es-CO"/>
        </w:rPr>
        <w:t xml:space="preserve">Para efectos de definir los proyectos a incluirse dentro de los instrumentos de gestión social, se deberán tener en cuenta los lineamientos estipulados en la Ley 2045 de 2020, teniendo en cuenta el </w:t>
      </w:r>
      <w:r>
        <w:rPr>
          <w:rFonts w:ascii="Bookman Old Style" w:hAnsi="Bookman Old Style" w:cs="Arial"/>
          <w:iCs/>
          <w:sz w:val="24"/>
          <w:szCs w:val="24"/>
          <w:lang w:val="es-CO"/>
        </w:rPr>
        <w:lastRenderedPageBreak/>
        <w:t xml:space="preserve">ámbito de aplicación </w:t>
      </w:r>
      <w:r w:rsidRPr="00662048">
        <w:rPr>
          <w:rFonts w:ascii="Bookman Old Style" w:hAnsi="Bookman Old Style" w:cs="Arial"/>
          <w:iCs/>
          <w:sz w:val="24"/>
          <w:szCs w:val="24"/>
          <w:lang w:val="es-CO"/>
        </w:rPr>
        <w:t>en ella previsto, y las demás que la adicionen, modifiquen o sustituyan</w:t>
      </w:r>
      <w:r>
        <w:rPr>
          <w:rFonts w:ascii="Bookman Old Style" w:hAnsi="Bookman Old Style" w:cs="Arial"/>
          <w:iCs/>
          <w:sz w:val="24"/>
          <w:szCs w:val="24"/>
          <w:lang w:val="es-CO"/>
        </w:rPr>
        <w:t>.</w:t>
      </w:r>
    </w:p>
    <w:p w:rsidR="00D20F78" w:rsidRPr="00A20A8B" w:rsidRDefault="00D20F78" w:rsidP="00D20F78">
      <w:pPr>
        <w:jc w:val="both"/>
        <w:rPr>
          <w:rFonts w:ascii="Bookman Old Style" w:hAnsi="Bookman Old Style" w:cs="Arial"/>
          <w:iCs/>
          <w:sz w:val="24"/>
          <w:szCs w:val="24"/>
          <w:lang w:val="es-CO"/>
        </w:rPr>
      </w:pPr>
      <w:r>
        <w:rPr>
          <w:rFonts w:ascii="Bookman Old Style" w:hAnsi="Bookman Old Style" w:cs="Arial"/>
          <w:b/>
          <w:bCs/>
          <w:iCs/>
          <w:sz w:val="24"/>
          <w:szCs w:val="24"/>
          <w:lang w:val="es-CO"/>
        </w:rPr>
        <w:t>Articulo Decimoctav</w:t>
      </w:r>
      <w:r w:rsidRPr="00A20A8B">
        <w:rPr>
          <w:rFonts w:ascii="Bookman Old Style" w:hAnsi="Bookman Old Style" w:cs="Arial"/>
          <w:b/>
          <w:bCs/>
          <w:iCs/>
          <w:sz w:val="24"/>
          <w:szCs w:val="24"/>
          <w:lang w:val="es-CO"/>
        </w:rPr>
        <w:t>o.</w:t>
      </w:r>
      <w:r w:rsidRPr="00F26189">
        <w:rPr>
          <w:rFonts w:ascii="Bookman Old Style" w:hAnsi="Bookman Old Style" w:cs="Arial"/>
          <w:b/>
          <w:bCs/>
          <w:i/>
          <w:iCs/>
          <w:sz w:val="24"/>
          <w:szCs w:val="24"/>
          <w:lang w:val="es-CO"/>
        </w:rPr>
        <w:t xml:space="preserve"> </w:t>
      </w:r>
      <w:r w:rsidRPr="00A20A8B">
        <w:rPr>
          <w:rFonts w:ascii="Bookman Old Style" w:hAnsi="Bookman Old Style" w:cs="Arial"/>
          <w:b/>
          <w:bCs/>
          <w:iCs/>
          <w:sz w:val="24"/>
          <w:szCs w:val="24"/>
          <w:lang w:val="es-CO"/>
        </w:rPr>
        <w:t>Desarrollo de la audiencia en la etapa de explotación y producción.</w:t>
      </w:r>
      <w:r w:rsidRPr="00F26189">
        <w:rPr>
          <w:rFonts w:ascii="Bookman Old Style" w:hAnsi="Bookman Old Style" w:cs="Arial"/>
          <w:b/>
          <w:bCs/>
          <w:i/>
          <w:iCs/>
          <w:sz w:val="24"/>
          <w:szCs w:val="24"/>
          <w:lang w:val="es-CO"/>
        </w:rPr>
        <w:t xml:space="preserve"> </w:t>
      </w:r>
      <w:r w:rsidRPr="00A20A8B">
        <w:rPr>
          <w:rFonts w:ascii="Bookman Old Style" w:hAnsi="Bookman Old Style" w:cs="Arial"/>
          <w:iCs/>
          <w:sz w:val="24"/>
          <w:szCs w:val="24"/>
          <w:lang w:val="es-CO"/>
        </w:rPr>
        <w:t>La Audiencia Pública en la etapa de explotación y producción será presidida por el representante de la ANM o</w:t>
      </w:r>
      <w:r>
        <w:rPr>
          <w:rFonts w:ascii="Bookman Old Style" w:hAnsi="Bookman Old Style" w:cs="Arial"/>
          <w:iCs/>
          <w:sz w:val="24"/>
          <w:szCs w:val="24"/>
          <w:lang w:val="es-CO"/>
        </w:rPr>
        <w:t xml:space="preserve"> la ANH, o quien haga sus veces. La</w:t>
      </w:r>
      <w:r w:rsidRPr="00A20A8B">
        <w:rPr>
          <w:rFonts w:ascii="Bookman Old Style" w:hAnsi="Bookman Old Style" w:cs="Arial"/>
          <w:iCs/>
          <w:sz w:val="24"/>
          <w:szCs w:val="24"/>
          <w:lang w:val="es-CO"/>
        </w:rPr>
        <w:t xml:space="preserve"> Secretaría Técnica estará cargo de la UPME.</w:t>
      </w:r>
      <w:r w:rsidRPr="00A20A8B">
        <w:rPr>
          <w:rFonts w:ascii="Bookman Old Style" w:hAnsi="Bookman Old Style" w:cs="Arial"/>
          <w:b/>
          <w:bCs/>
          <w:iCs/>
          <w:sz w:val="24"/>
          <w:szCs w:val="24"/>
          <w:lang w:val="es-CO"/>
        </w:rPr>
        <w:t xml:space="preserve"> </w:t>
      </w:r>
      <w:r w:rsidRPr="00A20A8B">
        <w:rPr>
          <w:rFonts w:ascii="Bookman Old Style" w:hAnsi="Bookman Old Style" w:cs="Arial"/>
          <w:iCs/>
          <w:sz w:val="24"/>
          <w:szCs w:val="24"/>
          <w:lang w:val="es-CO"/>
        </w:rPr>
        <w:t xml:space="preserve">En esta audiencia, el titular y/o contratista de derechos de explotación minera de gran minería o de producción de hidrocarburos, explicará el proyecto a los asistentes, lo cual servirá de insumo para los instrumentos de gestión social en el marco de las necesidades prioritarias de desarrollo territorial. El desarrollo de la Audiencia constará en medios electrónicos y de su contenido se dejará constancia en acta suscrita por la Secretaria Técnica de la audiencia con las principales conclusiones e inquietudes presentadas. </w:t>
      </w:r>
    </w:p>
    <w:p w:rsidR="00D20F78" w:rsidRPr="00A20A8B" w:rsidRDefault="00D20F78" w:rsidP="00D20F78">
      <w:pPr>
        <w:jc w:val="both"/>
        <w:rPr>
          <w:rFonts w:ascii="Bookman Old Style" w:hAnsi="Bookman Old Style" w:cs="Arial"/>
          <w:iCs/>
          <w:sz w:val="24"/>
          <w:szCs w:val="24"/>
          <w:lang w:val="es-CO"/>
        </w:rPr>
      </w:pPr>
      <w:r w:rsidRPr="00A20A8B">
        <w:rPr>
          <w:rFonts w:ascii="Bookman Old Style" w:hAnsi="Bookman Old Style" w:cs="Arial"/>
          <w:b/>
          <w:bCs/>
          <w:iCs/>
          <w:sz w:val="24"/>
          <w:szCs w:val="24"/>
          <w:lang w:val="es-CO"/>
        </w:rPr>
        <w:t xml:space="preserve">Parágrafo Primero. </w:t>
      </w:r>
      <w:r w:rsidRPr="00A20A8B">
        <w:rPr>
          <w:rFonts w:ascii="Bookman Old Style" w:hAnsi="Bookman Old Style" w:cs="Arial"/>
          <w:iCs/>
          <w:sz w:val="24"/>
          <w:szCs w:val="24"/>
          <w:lang w:val="es-CO"/>
        </w:rPr>
        <w:t xml:space="preserve">El desarrollo de la Audiencia pública en la etapa de explotación y producción será reglamentado por el Ministerio de Minas y Energía, y no es de aplicación para los contratos mineros o de hidrocarburos que al momento de entrada en vigencia de la presente ley, ya se encuentren en etapa de explotación o producción. </w:t>
      </w:r>
    </w:p>
    <w:p w:rsidR="00D20F78" w:rsidRDefault="00D20F78" w:rsidP="00D20F78">
      <w:pPr>
        <w:jc w:val="both"/>
        <w:rPr>
          <w:rFonts w:ascii="Bookman Old Style" w:hAnsi="Bookman Old Style" w:cs="Arial"/>
          <w:iCs/>
          <w:sz w:val="24"/>
          <w:szCs w:val="24"/>
          <w:lang w:val="es-CO"/>
        </w:rPr>
      </w:pPr>
      <w:r w:rsidRPr="00A20A8B">
        <w:rPr>
          <w:rFonts w:ascii="Bookman Old Style" w:hAnsi="Bookman Old Style" w:cs="Arial"/>
          <w:b/>
          <w:bCs/>
          <w:iCs/>
          <w:sz w:val="24"/>
          <w:szCs w:val="24"/>
          <w:lang w:val="es-CO"/>
        </w:rPr>
        <w:t xml:space="preserve">Parágrafo Segundo. </w:t>
      </w:r>
      <w:r w:rsidRPr="00A20A8B">
        <w:rPr>
          <w:rFonts w:ascii="Bookman Old Style" w:hAnsi="Bookman Old Style" w:cs="Arial"/>
          <w:iCs/>
          <w:sz w:val="24"/>
          <w:szCs w:val="24"/>
          <w:lang w:val="es-CO"/>
        </w:rPr>
        <w:t>La audiencia pública en la etapa de explotación y producción podrá llevarse a cabo de manera virtual con ayuda de las tecnologías de la información y las comunicaciones. Para el efecto, la Secretaría Técnica en coordinación con los integrantes de la Mesa Particular de Coordinación y Concurrencia, pondrá a disposición de los interesados los medios electrónicos y virtuales necesarios para el recibo, envío y difusión de la información, así como para la realización y retransmisión de las audiencias y reuniones, de acuerdo con lo reglamentado por el</w:t>
      </w:r>
      <w:r>
        <w:rPr>
          <w:rFonts w:ascii="Bookman Old Style" w:hAnsi="Bookman Old Style" w:cs="Arial"/>
          <w:iCs/>
          <w:sz w:val="24"/>
          <w:szCs w:val="24"/>
          <w:lang w:val="es-CO"/>
        </w:rPr>
        <w:t xml:space="preserve"> Ministerio de Minas y Energía.</w:t>
      </w:r>
    </w:p>
    <w:p w:rsidR="00D20F78" w:rsidRDefault="00D20F78" w:rsidP="00D20F78">
      <w:pPr>
        <w:jc w:val="center"/>
        <w:rPr>
          <w:rFonts w:ascii="Bookman Old Style" w:hAnsi="Bookman Old Style" w:cs="Arial"/>
          <w:b/>
          <w:iCs/>
          <w:sz w:val="24"/>
          <w:szCs w:val="24"/>
          <w:lang w:val="es-CO"/>
        </w:rPr>
      </w:pPr>
      <w:r>
        <w:rPr>
          <w:rFonts w:ascii="Bookman Old Style" w:hAnsi="Bookman Old Style" w:cs="Arial"/>
          <w:b/>
          <w:iCs/>
          <w:sz w:val="24"/>
          <w:szCs w:val="24"/>
          <w:lang w:val="es-CO"/>
        </w:rPr>
        <w:t>TÍTULO V</w:t>
      </w:r>
    </w:p>
    <w:p w:rsidR="00D20F78" w:rsidRPr="00E868DC" w:rsidRDefault="00D20F78" w:rsidP="00D20F78">
      <w:pPr>
        <w:jc w:val="center"/>
        <w:rPr>
          <w:rFonts w:ascii="Bookman Old Style" w:hAnsi="Bookman Old Style" w:cs="Arial"/>
          <w:b/>
          <w:iCs/>
          <w:sz w:val="24"/>
          <w:szCs w:val="24"/>
          <w:lang w:val="es-CO"/>
        </w:rPr>
      </w:pPr>
      <w:r>
        <w:rPr>
          <w:rFonts w:ascii="Bookman Old Style" w:hAnsi="Bookman Old Style" w:cs="Arial"/>
          <w:b/>
          <w:iCs/>
          <w:sz w:val="24"/>
          <w:szCs w:val="24"/>
          <w:lang w:val="es-CO"/>
        </w:rPr>
        <w:t>SOSTENIBILIDAD DE LOS INSTRUMENTOS DE COORDINACIÓN Y CONCURRENCIA</w:t>
      </w:r>
    </w:p>
    <w:p w:rsidR="00D20F78" w:rsidRPr="00CD6611" w:rsidRDefault="00D20F78" w:rsidP="00D20F78">
      <w:pPr>
        <w:jc w:val="both"/>
        <w:rPr>
          <w:rFonts w:ascii="Bookman Old Style" w:hAnsi="Bookman Old Style" w:cs="Arial"/>
          <w:iCs/>
          <w:sz w:val="24"/>
          <w:szCs w:val="24"/>
          <w:lang w:val="es-CO"/>
        </w:rPr>
      </w:pPr>
      <w:r w:rsidRPr="00E868DC">
        <w:rPr>
          <w:rFonts w:ascii="Bookman Old Style" w:hAnsi="Bookman Old Style" w:cs="Arial"/>
          <w:b/>
          <w:bCs/>
          <w:iCs/>
          <w:sz w:val="24"/>
          <w:szCs w:val="24"/>
          <w:lang w:val="es-CO"/>
        </w:rPr>
        <w:t>Artículo Decimonoveno. Tasa para la financiación de las audiencias públicas regionales.</w:t>
      </w:r>
      <w:r w:rsidRPr="00A20A8B">
        <w:rPr>
          <w:rFonts w:ascii="Bookman Old Style" w:hAnsi="Bookman Old Style" w:cs="Arial"/>
          <w:i/>
          <w:iCs/>
          <w:sz w:val="24"/>
          <w:szCs w:val="24"/>
          <w:lang w:val="es-CO"/>
        </w:rPr>
        <w:t xml:space="preserve"> </w:t>
      </w:r>
      <w:r w:rsidRPr="00CD6611">
        <w:rPr>
          <w:rFonts w:ascii="Bookman Old Style" w:hAnsi="Bookman Old Style" w:cs="Arial"/>
          <w:iCs/>
          <w:sz w:val="24"/>
          <w:szCs w:val="24"/>
          <w:lang w:val="es-CO"/>
        </w:rPr>
        <w:t xml:space="preserve">Créase el Fondo de Coordinación y Concurrencia como un patrimonio autónomo, con el objeto de cofinanciar los costos de la preparación de la información, convocatoria, logística, ejecución y </w:t>
      </w:r>
      <w:r w:rsidRPr="00CD6611">
        <w:rPr>
          <w:rFonts w:ascii="Bookman Old Style" w:hAnsi="Bookman Old Style" w:cs="Arial"/>
          <w:iCs/>
          <w:sz w:val="24"/>
          <w:szCs w:val="24"/>
          <w:lang w:val="es-CO"/>
        </w:rPr>
        <w:lastRenderedPageBreak/>
        <w:t>seguimiento en que incurra la Secretaría Técnica de la Mesa de Coordinación y Concurrencia, y la ANM o ANH, o quien haga sus veces, por concepto del Seguimiento de los Asuntos Prioritarios de Desarrollo Territorial por parte de las Mesas de Coordinación y Concurrencia de que trata la presente Ley. Dicho Fondo será reglamentado por el Ministerio de Minas y Energía y administrado por una fiducia que seleccione el Ministerio de Minas y Energía para tal fin.</w:t>
      </w:r>
    </w:p>
    <w:p w:rsidR="00D20F78" w:rsidRPr="00CD6611" w:rsidRDefault="00D20F78" w:rsidP="00D20F78">
      <w:pPr>
        <w:jc w:val="both"/>
        <w:rPr>
          <w:rFonts w:ascii="Bookman Old Style" w:hAnsi="Bookman Old Style" w:cs="Arial"/>
          <w:iCs/>
          <w:sz w:val="24"/>
          <w:szCs w:val="24"/>
          <w:lang w:val="es-CO"/>
        </w:rPr>
      </w:pPr>
      <w:r w:rsidRPr="00CD6611">
        <w:rPr>
          <w:rFonts w:ascii="Bookman Old Style" w:hAnsi="Bookman Old Style" w:cs="Arial"/>
          <w:iCs/>
          <w:sz w:val="24"/>
          <w:szCs w:val="24"/>
          <w:lang w:val="es-CO"/>
        </w:rPr>
        <w:t xml:space="preserve">Para el efecto se crea una tasa con destino al Fondo, que será asumida por la persona natural o jurídica </w:t>
      </w:r>
      <w:r>
        <w:rPr>
          <w:rFonts w:ascii="Bookman Old Style" w:hAnsi="Bookman Old Style" w:cs="Arial"/>
          <w:iCs/>
          <w:sz w:val="24"/>
          <w:szCs w:val="24"/>
          <w:lang w:val="es-CO"/>
        </w:rPr>
        <w:t>a quien se le o</w:t>
      </w:r>
      <w:r w:rsidRPr="00CD6611">
        <w:rPr>
          <w:rFonts w:ascii="Bookman Old Style" w:hAnsi="Bookman Old Style" w:cs="Arial"/>
          <w:iCs/>
          <w:sz w:val="24"/>
          <w:szCs w:val="24"/>
          <w:lang w:val="es-CO"/>
        </w:rPr>
        <w:t>torg</w:t>
      </w:r>
      <w:r>
        <w:rPr>
          <w:rFonts w:ascii="Bookman Old Style" w:hAnsi="Bookman Old Style" w:cs="Arial"/>
          <w:iCs/>
          <w:sz w:val="24"/>
          <w:szCs w:val="24"/>
          <w:lang w:val="es-CO"/>
        </w:rPr>
        <w:t>ue</w:t>
      </w:r>
      <w:r w:rsidRPr="00CD6611">
        <w:rPr>
          <w:rFonts w:ascii="Bookman Old Style" w:hAnsi="Bookman Old Style" w:cs="Arial"/>
          <w:iCs/>
          <w:sz w:val="24"/>
          <w:szCs w:val="24"/>
          <w:lang w:val="es-CO"/>
        </w:rPr>
        <w:t xml:space="preserve"> un contrato de concesión minera de gran minería o de contratos para la exploración y producción de hidrocarburos. </w:t>
      </w:r>
    </w:p>
    <w:p w:rsidR="00D20F78" w:rsidRPr="00CD6611" w:rsidRDefault="00D20F78" w:rsidP="00D20F78">
      <w:pPr>
        <w:jc w:val="both"/>
        <w:rPr>
          <w:rFonts w:ascii="Bookman Old Style" w:hAnsi="Bookman Old Style" w:cs="Arial"/>
          <w:iCs/>
          <w:sz w:val="24"/>
          <w:szCs w:val="24"/>
          <w:lang w:val="es-CO"/>
        </w:rPr>
      </w:pPr>
      <w:r w:rsidRPr="00CD6611">
        <w:rPr>
          <w:rFonts w:ascii="Bookman Old Style" w:hAnsi="Bookman Old Style" w:cs="Arial"/>
          <w:iCs/>
          <w:sz w:val="24"/>
          <w:szCs w:val="24"/>
          <w:lang w:val="es-CO"/>
        </w:rPr>
        <w:t>La tasa será recaudada por la ANM o la ANH, o quién haga sus veces, según el caso, al momento de la suscripción del contrato, y será girada al Fondo de Coordinación y Concurrencia, creado mediante el presente artículo.</w:t>
      </w:r>
    </w:p>
    <w:p w:rsidR="00D20F78" w:rsidRPr="00CD6611" w:rsidRDefault="00D20F78" w:rsidP="00D20F78">
      <w:pPr>
        <w:jc w:val="both"/>
        <w:rPr>
          <w:rFonts w:ascii="Bookman Old Style" w:hAnsi="Bookman Old Style" w:cs="Arial"/>
          <w:iCs/>
          <w:sz w:val="24"/>
          <w:szCs w:val="24"/>
          <w:lang w:val="es-CO"/>
        </w:rPr>
      </w:pPr>
      <w:r w:rsidRPr="00CD6611">
        <w:rPr>
          <w:rFonts w:ascii="Bookman Old Style" w:hAnsi="Bookman Old Style" w:cs="Arial"/>
          <w:iCs/>
          <w:sz w:val="24"/>
          <w:szCs w:val="24"/>
          <w:lang w:val="es-CO"/>
        </w:rPr>
        <w:t xml:space="preserve">El hecho generador será el otorgamiento de un contrato de concesión minera de gran minería o de un contrato para la exploración y producción de hidrocarburos. Procederá también cuando en un contrato ya existente, contando con licencia ambiental, se dé el cambio de etapa en el ciclo minero o de hidrocarburos. </w:t>
      </w:r>
    </w:p>
    <w:p w:rsidR="00D20F78" w:rsidRPr="00CD6611" w:rsidRDefault="00D20F78" w:rsidP="00D20F78">
      <w:pPr>
        <w:jc w:val="both"/>
        <w:rPr>
          <w:rFonts w:ascii="Bookman Old Style" w:hAnsi="Bookman Old Style" w:cs="Arial"/>
          <w:iCs/>
          <w:sz w:val="24"/>
          <w:szCs w:val="24"/>
          <w:lang w:val="es-CO"/>
        </w:rPr>
      </w:pPr>
      <w:r w:rsidRPr="00CD6611">
        <w:rPr>
          <w:rFonts w:ascii="Bookman Old Style" w:hAnsi="Bookman Old Style" w:cs="Arial"/>
          <w:iCs/>
          <w:sz w:val="24"/>
          <w:szCs w:val="24"/>
          <w:lang w:val="es-CO"/>
        </w:rPr>
        <w:t>La base para la liquidación de la tasa estará determinada por la extensión del área objeto del contrato de concesión minera de gran minería o del contrato para la exploración y producción de hidrocarburos, o por el área de su prórroga.</w:t>
      </w:r>
    </w:p>
    <w:p w:rsidR="00D20F78" w:rsidRPr="00CD6611" w:rsidRDefault="00D20F78" w:rsidP="00D20F78">
      <w:pPr>
        <w:jc w:val="both"/>
        <w:rPr>
          <w:rFonts w:ascii="Bookman Old Style" w:hAnsi="Bookman Old Style" w:cs="Arial"/>
          <w:iCs/>
          <w:sz w:val="24"/>
          <w:szCs w:val="24"/>
          <w:lang w:val="es-CO"/>
        </w:rPr>
      </w:pPr>
      <w:r w:rsidRPr="00CD6611">
        <w:rPr>
          <w:rFonts w:ascii="Bookman Old Style" w:hAnsi="Bookman Old Style" w:cs="Arial"/>
          <w:iCs/>
          <w:sz w:val="24"/>
          <w:szCs w:val="24"/>
          <w:lang w:val="es-CO"/>
        </w:rPr>
        <w:t>La tarifa será equivalente a un (1) salario mínimo diario legal vigente por hectárea; a uno punto veinticinco (1.25) salarios mínimos diarios legales vigentes por hectárea para cambio de etapa; y a uno punto cinco (1.5) salarios mínimos diarios legales vigentes por hectárea para las prórrogas de los contratos.</w:t>
      </w:r>
    </w:p>
    <w:p w:rsidR="00D20F78" w:rsidRPr="00CD6611" w:rsidRDefault="00D20F78" w:rsidP="00D20F78">
      <w:pPr>
        <w:jc w:val="both"/>
        <w:rPr>
          <w:rFonts w:ascii="Bookman Old Style" w:hAnsi="Bookman Old Style" w:cs="Arial"/>
          <w:iCs/>
          <w:sz w:val="24"/>
          <w:szCs w:val="24"/>
          <w:lang w:val="es-CO"/>
        </w:rPr>
      </w:pPr>
      <w:r w:rsidRPr="00CD6611">
        <w:rPr>
          <w:rFonts w:ascii="Bookman Old Style" w:hAnsi="Bookman Old Style" w:cs="Arial"/>
          <w:b/>
          <w:bCs/>
          <w:iCs/>
          <w:sz w:val="24"/>
          <w:szCs w:val="24"/>
          <w:lang w:val="es-CO"/>
        </w:rPr>
        <w:t>Parágrafo Primero.</w:t>
      </w:r>
      <w:r w:rsidRPr="00CD6611">
        <w:rPr>
          <w:rFonts w:ascii="Bookman Old Style" w:hAnsi="Bookman Old Style" w:cs="Arial"/>
          <w:iCs/>
          <w:sz w:val="24"/>
          <w:szCs w:val="24"/>
          <w:lang w:val="es-CO"/>
        </w:rPr>
        <w:t xml:space="preserve"> En todo caso, el Ministerio de Minas y Energía y sus entidades adscritas podrán disponer de recursos de su presupuesto para llevar a cabo las Mesas de Coordinación y Concurrencia y las Audiencias Públicas Regionales de Asuntos Prioritarios de Desarrollo Territorial.</w:t>
      </w:r>
    </w:p>
    <w:p w:rsidR="00D20F78" w:rsidRDefault="00D20F78" w:rsidP="00D20F78">
      <w:pPr>
        <w:jc w:val="both"/>
        <w:rPr>
          <w:rFonts w:ascii="Bookman Old Style" w:hAnsi="Bookman Old Style" w:cs="Arial"/>
          <w:iCs/>
          <w:sz w:val="24"/>
          <w:szCs w:val="24"/>
          <w:lang w:val="es-CO"/>
        </w:rPr>
      </w:pPr>
      <w:r w:rsidRPr="00CD6611">
        <w:rPr>
          <w:rFonts w:ascii="Bookman Old Style" w:hAnsi="Bookman Old Style" w:cs="Arial"/>
          <w:b/>
          <w:bCs/>
          <w:iCs/>
          <w:sz w:val="24"/>
          <w:szCs w:val="24"/>
          <w:lang w:val="es-CO"/>
        </w:rPr>
        <w:lastRenderedPageBreak/>
        <w:t>Parágrafo Segundo</w:t>
      </w:r>
      <w:r>
        <w:rPr>
          <w:rFonts w:ascii="Bookman Old Style" w:hAnsi="Bookman Old Style" w:cs="Arial"/>
          <w:iCs/>
          <w:sz w:val="24"/>
          <w:szCs w:val="24"/>
          <w:lang w:val="es-CO"/>
        </w:rPr>
        <w:t>.</w:t>
      </w:r>
      <w:r w:rsidRPr="00CD6611">
        <w:rPr>
          <w:rFonts w:ascii="Bookman Old Style" w:hAnsi="Bookman Old Style" w:cs="Arial"/>
          <w:iCs/>
          <w:sz w:val="24"/>
          <w:szCs w:val="24"/>
          <w:lang w:val="es-CO"/>
        </w:rPr>
        <w:t xml:space="preserve"> En los contratos de exploración y producción de hidrocarburos, se tendrán en cuenta las devoluciones de área previstas contractualmente, con el fin de determinar la base gravable y la tarifa que se aplicará para el presente tributo.</w:t>
      </w:r>
    </w:p>
    <w:p w:rsidR="00D20F78" w:rsidRDefault="00D20F78" w:rsidP="00D20F78">
      <w:pPr>
        <w:jc w:val="center"/>
        <w:rPr>
          <w:rFonts w:ascii="Bookman Old Style" w:hAnsi="Bookman Old Style" w:cs="Arial"/>
          <w:b/>
          <w:iCs/>
          <w:sz w:val="24"/>
          <w:szCs w:val="24"/>
          <w:lang w:val="es-CO"/>
        </w:rPr>
      </w:pPr>
      <w:r>
        <w:rPr>
          <w:rFonts w:ascii="Bookman Old Style" w:hAnsi="Bookman Old Style" w:cs="Arial"/>
          <w:b/>
          <w:iCs/>
          <w:sz w:val="24"/>
          <w:szCs w:val="24"/>
          <w:lang w:val="es-CO"/>
        </w:rPr>
        <w:t>TÍTULO VI</w:t>
      </w:r>
    </w:p>
    <w:p w:rsidR="00D20F78" w:rsidRPr="00B9640B" w:rsidRDefault="00D20F78" w:rsidP="00D20F78">
      <w:pPr>
        <w:jc w:val="center"/>
        <w:rPr>
          <w:rFonts w:ascii="Bookman Old Style" w:hAnsi="Bookman Old Style" w:cs="Arial"/>
          <w:b/>
          <w:iCs/>
          <w:sz w:val="24"/>
          <w:szCs w:val="24"/>
          <w:lang w:val="es-CO"/>
        </w:rPr>
      </w:pPr>
      <w:r>
        <w:rPr>
          <w:rFonts w:ascii="Bookman Old Style" w:hAnsi="Bookman Old Style" w:cs="Arial"/>
          <w:b/>
          <w:iCs/>
          <w:sz w:val="24"/>
          <w:szCs w:val="24"/>
          <w:lang w:val="es-CO"/>
        </w:rPr>
        <w:t>DISPOSICIONES FINALES</w:t>
      </w:r>
    </w:p>
    <w:p w:rsidR="00D20F78" w:rsidRPr="00CD6611" w:rsidRDefault="00D20F78" w:rsidP="00D20F78">
      <w:pPr>
        <w:spacing w:after="0"/>
        <w:ind w:right="49"/>
        <w:jc w:val="both"/>
        <w:rPr>
          <w:rFonts w:ascii="Bookman Old Style" w:eastAsia="Times New Roman" w:hAnsi="Bookman Old Style" w:cs="Times New Roman"/>
          <w:iCs/>
          <w:sz w:val="24"/>
          <w:szCs w:val="24"/>
        </w:rPr>
      </w:pPr>
      <w:r>
        <w:rPr>
          <w:rFonts w:ascii="Bookman Old Style" w:eastAsia="Times New Roman" w:hAnsi="Bookman Old Style" w:cs="Times New Roman"/>
          <w:b/>
          <w:iCs/>
          <w:sz w:val="24"/>
          <w:szCs w:val="24"/>
        </w:rPr>
        <w:t>Artí</w:t>
      </w:r>
      <w:r w:rsidRPr="00CD6611">
        <w:rPr>
          <w:rFonts w:ascii="Bookman Old Style" w:eastAsia="Times New Roman" w:hAnsi="Bookman Old Style" w:cs="Times New Roman"/>
          <w:b/>
          <w:iCs/>
          <w:sz w:val="24"/>
          <w:szCs w:val="24"/>
        </w:rPr>
        <w:t xml:space="preserve">culo </w:t>
      </w:r>
      <w:r>
        <w:rPr>
          <w:rFonts w:ascii="Bookman Old Style" w:eastAsia="Times New Roman" w:hAnsi="Bookman Old Style" w:cs="Times New Roman"/>
          <w:b/>
          <w:iCs/>
          <w:sz w:val="24"/>
          <w:szCs w:val="24"/>
        </w:rPr>
        <w:t>Vigésimo</w:t>
      </w:r>
      <w:r w:rsidRPr="00CD6611">
        <w:rPr>
          <w:rFonts w:ascii="Bookman Old Style" w:eastAsia="Times New Roman" w:hAnsi="Bookman Old Style" w:cs="Times New Roman"/>
          <w:b/>
          <w:iCs/>
          <w:sz w:val="24"/>
          <w:szCs w:val="24"/>
        </w:rPr>
        <w:t xml:space="preserve">. Proyectos y actividades en ejecución. </w:t>
      </w:r>
      <w:r w:rsidRPr="00CD6611">
        <w:rPr>
          <w:rFonts w:ascii="Bookman Old Style" w:eastAsia="Times New Roman" w:hAnsi="Bookman Old Style" w:cs="Times New Roman"/>
          <w:iCs/>
          <w:sz w:val="24"/>
          <w:szCs w:val="24"/>
        </w:rPr>
        <w:t>Podrán acogerse voluntariamente a las disposiciones de esta ley, los titulares de contratos, licencias o derechos mineros o de hidrocarburos de cualquier modalidad</w:t>
      </w:r>
      <w:r>
        <w:rPr>
          <w:rFonts w:ascii="Bookman Old Style" w:eastAsia="Times New Roman" w:hAnsi="Bookman Old Style" w:cs="Times New Roman"/>
          <w:iCs/>
          <w:sz w:val="24"/>
          <w:szCs w:val="24"/>
        </w:rPr>
        <w:t xml:space="preserve"> que se encuentre en ejecución.</w:t>
      </w:r>
    </w:p>
    <w:p w:rsidR="00D20F78" w:rsidRDefault="00D20F78" w:rsidP="00D20F78">
      <w:pPr>
        <w:pStyle w:val="Sinespaciado"/>
        <w:rPr>
          <w:lang w:val="es-CO"/>
        </w:rPr>
      </w:pPr>
    </w:p>
    <w:p w:rsidR="00D20F78" w:rsidRPr="003217A3" w:rsidRDefault="00D20F78" w:rsidP="00D20F78">
      <w:pPr>
        <w:jc w:val="both"/>
        <w:rPr>
          <w:rFonts w:ascii="Bookman Old Style" w:hAnsi="Bookman Old Style" w:cs="Arial"/>
          <w:iCs/>
          <w:sz w:val="24"/>
          <w:szCs w:val="24"/>
          <w:lang w:val="es-CO"/>
        </w:rPr>
      </w:pPr>
      <w:r w:rsidRPr="003217A3">
        <w:rPr>
          <w:rFonts w:ascii="Bookman Old Style" w:hAnsi="Bookman Old Style" w:cs="Arial"/>
          <w:b/>
          <w:iCs/>
          <w:sz w:val="24"/>
          <w:szCs w:val="24"/>
          <w:lang w:val="es-CO"/>
        </w:rPr>
        <w:t xml:space="preserve">Artículo </w:t>
      </w:r>
      <w:r>
        <w:rPr>
          <w:rFonts w:ascii="Bookman Old Style" w:hAnsi="Bookman Old Style" w:cs="Arial"/>
          <w:b/>
          <w:iCs/>
          <w:sz w:val="24"/>
          <w:szCs w:val="24"/>
          <w:lang w:val="es-CO"/>
        </w:rPr>
        <w:t>Vigesimoprimero</w:t>
      </w:r>
      <w:r w:rsidRPr="003217A3">
        <w:rPr>
          <w:rFonts w:ascii="Bookman Old Style" w:hAnsi="Bookman Old Style" w:cs="Arial"/>
          <w:b/>
          <w:i/>
          <w:iCs/>
          <w:sz w:val="24"/>
          <w:szCs w:val="24"/>
          <w:lang w:val="es-CO"/>
        </w:rPr>
        <w:t xml:space="preserve">. </w:t>
      </w:r>
      <w:r w:rsidRPr="003217A3">
        <w:rPr>
          <w:rFonts w:ascii="Bookman Old Style" w:hAnsi="Bookman Old Style" w:cs="Arial"/>
          <w:b/>
          <w:iCs/>
          <w:sz w:val="24"/>
          <w:szCs w:val="24"/>
          <w:lang w:val="es-CO"/>
        </w:rPr>
        <w:t>Consulta previa.</w:t>
      </w:r>
      <w:r w:rsidRPr="003217A3">
        <w:rPr>
          <w:rFonts w:ascii="Bookman Old Style" w:hAnsi="Bookman Old Style" w:cs="Arial"/>
          <w:i/>
          <w:iCs/>
          <w:sz w:val="24"/>
          <w:szCs w:val="24"/>
          <w:lang w:val="es-CO"/>
        </w:rPr>
        <w:t xml:space="preserve"> </w:t>
      </w:r>
      <w:r w:rsidRPr="003217A3">
        <w:rPr>
          <w:rFonts w:ascii="Bookman Old Style" w:hAnsi="Bookman Old Style" w:cs="Arial"/>
          <w:iCs/>
          <w:sz w:val="24"/>
          <w:szCs w:val="24"/>
          <w:lang w:val="es-CO"/>
        </w:rPr>
        <w:t>La presente Ley se aplicará sin perjuicio de los procesos de consulta previa que se deban realizar en las actividades y proyectos de exploración y explotación del subsuelo y de los recursos naturales no renovables.</w:t>
      </w:r>
    </w:p>
    <w:p w:rsidR="00D20F78" w:rsidRPr="003217A3" w:rsidRDefault="00D20F78" w:rsidP="00D20F78">
      <w:pPr>
        <w:jc w:val="both"/>
        <w:rPr>
          <w:rFonts w:ascii="Bookman Old Style" w:hAnsi="Bookman Old Style" w:cs="Arial"/>
          <w:iCs/>
          <w:sz w:val="24"/>
          <w:szCs w:val="24"/>
          <w:lang w:val="es-CO"/>
        </w:rPr>
      </w:pPr>
      <w:r>
        <w:rPr>
          <w:rFonts w:ascii="Bookman Old Style" w:hAnsi="Bookman Old Style" w:cs="Arial"/>
          <w:b/>
          <w:bCs/>
          <w:iCs/>
          <w:sz w:val="24"/>
          <w:szCs w:val="24"/>
          <w:lang w:val="es-CO"/>
        </w:rPr>
        <w:t>Artículo Vige</w:t>
      </w:r>
      <w:r w:rsidRPr="003217A3">
        <w:rPr>
          <w:rFonts w:ascii="Bookman Old Style" w:hAnsi="Bookman Old Style" w:cs="Arial"/>
          <w:b/>
          <w:bCs/>
          <w:iCs/>
          <w:sz w:val="24"/>
          <w:szCs w:val="24"/>
          <w:lang w:val="es-CO"/>
        </w:rPr>
        <w:t>simo</w:t>
      </w:r>
      <w:r>
        <w:rPr>
          <w:rFonts w:ascii="Bookman Old Style" w:hAnsi="Bookman Old Style" w:cs="Arial"/>
          <w:b/>
          <w:bCs/>
          <w:iCs/>
          <w:sz w:val="24"/>
          <w:szCs w:val="24"/>
          <w:lang w:val="es-CO"/>
        </w:rPr>
        <w:t>segundo</w:t>
      </w:r>
      <w:r w:rsidRPr="003217A3">
        <w:rPr>
          <w:rFonts w:ascii="Bookman Old Style" w:hAnsi="Bookman Old Style" w:cs="Arial"/>
          <w:b/>
          <w:bCs/>
          <w:i/>
          <w:iCs/>
          <w:sz w:val="24"/>
          <w:szCs w:val="24"/>
          <w:lang w:val="es-CO"/>
        </w:rPr>
        <w:t xml:space="preserve">. </w:t>
      </w:r>
      <w:r w:rsidRPr="003217A3">
        <w:rPr>
          <w:rFonts w:ascii="Bookman Old Style" w:hAnsi="Bookman Old Style" w:cs="Arial"/>
          <w:b/>
          <w:bCs/>
          <w:iCs/>
          <w:sz w:val="24"/>
          <w:szCs w:val="24"/>
          <w:lang w:val="es-CO"/>
        </w:rPr>
        <w:t xml:space="preserve">Inexistencia de poder de veto. </w:t>
      </w:r>
      <w:r w:rsidRPr="003217A3">
        <w:rPr>
          <w:rFonts w:ascii="Bookman Old Style" w:hAnsi="Bookman Old Style" w:cs="Arial"/>
          <w:iCs/>
          <w:sz w:val="24"/>
          <w:szCs w:val="24"/>
          <w:lang w:val="es-CO"/>
        </w:rPr>
        <w:t xml:space="preserve">Las entidades territoriales no podrán prohibir unilateralmente la exploración y explotación del subsuelo y de los recursos naturales no renovables en su jurisdicción mediante ningún instrumento jurídico o político. </w:t>
      </w:r>
    </w:p>
    <w:p w:rsidR="00D20F78" w:rsidRPr="003217A3" w:rsidRDefault="00D20F78" w:rsidP="00D20F78">
      <w:pPr>
        <w:jc w:val="both"/>
        <w:rPr>
          <w:rFonts w:ascii="Bookman Old Style" w:hAnsi="Bookman Old Style" w:cs="Arial"/>
          <w:iCs/>
          <w:sz w:val="24"/>
          <w:szCs w:val="24"/>
          <w:lang w:val="es-CO"/>
        </w:rPr>
      </w:pPr>
      <w:r w:rsidRPr="003217A3">
        <w:rPr>
          <w:rFonts w:ascii="Bookman Old Style" w:hAnsi="Bookman Old Style" w:cs="Arial"/>
          <w:iCs/>
          <w:sz w:val="24"/>
          <w:szCs w:val="24"/>
          <w:lang w:val="es-CO"/>
        </w:rPr>
        <w:t>La participación de las entidades territoriales en la definición de la exploración y explotación del subsuelo y de los recursos naturales no renovables sólo se podrá realizar en los escenarios de coordinación y concurrencia dispuestos por esta ley.</w:t>
      </w:r>
    </w:p>
    <w:p w:rsidR="00D20F78" w:rsidRDefault="00D20F78" w:rsidP="00D20F78">
      <w:pPr>
        <w:jc w:val="both"/>
        <w:rPr>
          <w:rFonts w:ascii="Bookman Old Style" w:hAnsi="Bookman Old Style" w:cs="Arial"/>
          <w:iCs/>
          <w:sz w:val="24"/>
          <w:szCs w:val="24"/>
          <w:lang w:val="es-CO"/>
        </w:rPr>
      </w:pPr>
      <w:r w:rsidRPr="003217A3">
        <w:rPr>
          <w:rFonts w:ascii="Bookman Old Style" w:hAnsi="Bookman Old Style" w:cs="Arial"/>
          <w:b/>
          <w:bCs/>
          <w:iCs/>
          <w:sz w:val="24"/>
          <w:szCs w:val="24"/>
          <w:lang w:val="es-CO"/>
        </w:rPr>
        <w:t>Parágrafo.</w:t>
      </w:r>
      <w:r w:rsidRPr="003217A3">
        <w:rPr>
          <w:rFonts w:ascii="Bookman Old Style" w:hAnsi="Bookman Old Style" w:cs="Arial"/>
          <w:iCs/>
          <w:sz w:val="24"/>
          <w:szCs w:val="24"/>
          <w:lang w:val="es-CO"/>
        </w:rPr>
        <w:t xml:space="preserve"> La exploración y explotación del subsuelo y de los recursos naturales no renovables se entenderán permitidos, siempre que no exista una exclusión legal, o no hayan sido condicionadas conforme a las disposiciones de la presente ley, aun cuando los planes de ordenamiento territorial no contemplen expresamente la exploración y explotación del subsuelo y de los recursos naturales no renovables.</w:t>
      </w:r>
    </w:p>
    <w:p w:rsidR="00D20F78" w:rsidRPr="00666DFD" w:rsidRDefault="00D20F78" w:rsidP="00D20F78">
      <w:pPr>
        <w:jc w:val="both"/>
        <w:rPr>
          <w:rFonts w:ascii="Bookman Old Style" w:hAnsi="Bookman Old Style" w:cs="Arial"/>
          <w:iCs/>
          <w:sz w:val="24"/>
          <w:szCs w:val="24"/>
          <w:lang w:val="es-CO"/>
        </w:rPr>
      </w:pPr>
      <w:r w:rsidRPr="00666DFD">
        <w:rPr>
          <w:rFonts w:ascii="Bookman Old Style" w:hAnsi="Bookman Old Style" w:cs="Arial"/>
          <w:b/>
          <w:iCs/>
          <w:sz w:val="24"/>
          <w:szCs w:val="24"/>
          <w:lang w:val="es-CO"/>
        </w:rPr>
        <w:t>Artículo Vigesimotercero</w:t>
      </w:r>
      <w:r>
        <w:rPr>
          <w:rFonts w:ascii="Bookman Old Style" w:hAnsi="Bookman Old Style" w:cs="Arial"/>
          <w:b/>
          <w:iCs/>
          <w:sz w:val="24"/>
          <w:szCs w:val="24"/>
          <w:lang w:val="es-CO"/>
        </w:rPr>
        <w:t xml:space="preserve">. Incorporación en los procedimientos de la ANH y la ANM. </w:t>
      </w:r>
      <w:r>
        <w:rPr>
          <w:rFonts w:ascii="Bookman Old Style" w:hAnsi="Bookman Old Style" w:cs="Arial"/>
          <w:iCs/>
          <w:sz w:val="24"/>
          <w:szCs w:val="24"/>
          <w:lang w:val="es-CO"/>
        </w:rPr>
        <w:t xml:space="preserve">Dentro de los seis (6) meses posteriores a la entrada en vigencia de la presente Ley, la ANH y la ANM deberán incorpora las disposiciones de la presente Ley dentro de sus procedimientos para la </w:t>
      </w:r>
      <w:r>
        <w:rPr>
          <w:rFonts w:ascii="Bookman Old Style" w:hAnsi="Bookman Old Style" w:cs="Arial"/>
          <w:iCs/>
          <w:sz w:val="24"/>
          <w:szCs w:val="24"/>
          <w:lang w:val="es-CO"/>
        </w:rPr>
        <w:lastRenderedPageBreak/>
        <w:t xml:space="preserve">celebración de contratos y/o convenios de exploración o explotación de recursos naturales no renovables. </w:t>
      </w:r>
    </w:p>
    <w:p w:rsidR="00D20F78" w:rsidRDefault="00D20F78" w:rsidP="00D20F78">
      <w:pPr>
        <w:jc w:val="both"/>
        <w:rPr>
          <w:rFonts w:ascii="Bookman Old Style" w:hAnsi="Bookman Old Style" w:cs="Arial"/>
          <w:iCs/>
          <w:sz w:val="24"/>
          <w:szCs w:val="24"/>
          <w:lang w:val="es-CO"/>
        </w:rPr>
      </w:pPr>
      <w:r w:rsidRPr="00666DFD">
        <w:rPr>
          <w:rFonts w:ascii="Bookman Old Style" w:hAnsi="Bookman Old Style" w:cs="Arial"/>
          <w:b/>
          <w:iCs/>
          <w:sz w:val="24"/>
          <w:szCs w:val="24"/>
          <w:lang w:val="es-CO"/>
        </w:rPr>
        <w:t>Artículo Vigesimo</w:t>
      </w:r>
      <w:r>
        <w:rPr>
          <w:rFonts w:ascii="Bookman Old Style" w:hAnsi="Bookman Old Style" w:cs="Arial"/>
          <w:b/>
          <w:iCs/>
          <w:sz w:val="24"/>
          <w:szCs w:val="24"/>
          <w:lang w:val="es-CO"/>
        </w:rPr>
        <w:t>cuart</w:t>
      </w:r>
      <w:r w:rsidRPr="00666DFD">
        <w:rPr>
          <w:rFonts w:ascii="Bookman Old Style" w:hAnsi="Bookman Old Style" w:cs="Arial"/>
          <w:b/>
          <w:iCs/>
          <w:sz w:val="24"/>
          <w:szCs w:val="24"/>
          <w:lang w:val="es-CO"/>
        </w:rPr>
        <w:t>o</w:t>
      </w:r>
      <w:r>
        <w:rPr>
          <w:rFonts w:ascii="Bookman Old Style" w:hAnsi="Bookman Old Style" w:cs="Arial"/>
          <w:b/>
          <w:iCs/>
          <w:sz w:val="24"/>
          <w:szCs w:val="24"/>
          <w:lang w:val="es-CO"/>
        </w:rPr>
        <w:t xml:space="preserve">. Vigencia. </w:t>
      </w:r>
      <w:r>
        <w:rPr>
          <w:rFonts w:ascii="Bookman Old Style" w:hAnsi="Bookman Old Style" w:cs="Arial"/>
          <w:iCs/>
          <w:sz w:val="24"/>
          <w:szCs w:val="24"/>
          <w:lang w:val="es-CO"/>
        </w:rPr>
        <w:t xml:space="preserve">La presente Ley entrará en vigencia a partir de su sanción y promulgación y deroga cualquier disposición que le sea contraria. </w:t>
      </w:r>
    </w:p>
    <w:p w:rsidR="005B2B8B" w:rsidRPr="00666DFD" w:rsidRDefault="005B2B8B" w:rsidP="005B2B8B">
      <w:pPr>
        <w:pStyle w:val="Sinespaciado"/>
        <w:rPr>
          <w:lang w:val="es-CO"/>
        </w:rPr>
      </w:pPr>
    </w:p>
    <w:p w:rsidR="00D20F78" w:rsidRPr="004164E9" w:rsidRDefault="00D20F78" w:rsidP="00D20F78">
      <w:pPr>
        <w:jc w:val="center"/>
        <w:rPr>
          <w:rFonts w:ascii="Bookman Old Style" w:hAnsi="Bookman Old Style" w:cs="Arial"/>
          <w:b/>
          <w:sz w:val="24"/>
          <w:szCs w:val="24"/>
          <w:u w:val="single"/>
        </w:rPr>
      </w:pPr>
      <w:r w:rsidRPr="004164E9">
        <w:rPr>
          <w:rFonts w:ascii="Bookman Old Style" w:hAnsi="Bookman Old Style" w:cs="Arial"/>
          <w:b/>
          <w:sz w:val="24"/>
          <w:szCs w:val="24"/>
          <w:u w:val="single"/>
        </w:rPr>
        <w:t>EXPOSICIÓN DE MOTIVOS PROYECTO DE LEY</w:t>
      </w:r>
    </w:p>
    <w:p w:rsidR="00D20F78" w:rsidRPr="004164E9" w:rsidRDefault="00D20F78" w:rsidP="00D20F78">
      <w:pPr>
        <w:jc w:val="center"/>
        <w:rPr>
          <w:rFonts w:ascii="Bookman Old Style" w:hAnsi="Bookman Old Style" w:cs="Arial"/>
          <w:b/>
          <w:sz w:val="21"/>
          <w:szCs w:val="21"/>
        </w:rPr>
      </w:pPr>
      <w:r w:rsidRPr="004164E9">
        <w:rPr>
          <w:rFonts w:ascii="Bookman Old Style" w:hAnsi="Bookman Old Style" w:cs="Arial"/>
          <w:b/>
          <w:sz w:val="24"/>
          <w:szCs w:val="24"/>
        </w:rPr>
        <w:t xml:space="preserve">“POR MEDIO DEL CUAL SE CREA EL </w:t>
      </w:r>
      <w:r>
        <w:rPr>
          <w:rFonts w:ascii="Bookman Old Style" w:hAnsi="Bookman Old Style" w:cs="Arial"/>
          <w:b/>
          <w:sz w:val="24"/>
          <w:szCs w:val="24"/>
        </w:rPr>
        <w:t>MECANISMO DE COORDINACIÓN Y</w:t>
      </w:r>
      <w:r w:rsidRPr="004164E9">
        <w:rPr>
          <w:rFonts w:ascii="Bookman Old Style" w:hAnsi="Bookman Old Style" w:cs="Arial"/>
          <w:b/>
          <w:sz w:val="24"/>
          <w:szCs w:val="24"/>
        </w:rPr>
        <w:t xml:space="preserve"> CONCURRENCIA</w:t>
      </w:r>
      <w:r>
        <w:rPr>
          <w:rFonts w:ascii="Bookman Old Style" w:hAnsi="Bookman Old Style" w:cs="Arial"/>
          <w:b/>
          <w:sz w:val="24"/>
          <w:szCs w:val="24"/>
        </w:rPr>
        <w:t xml:space="preserve"> NACIÓN – TERRITORIO Y EL MECANÍSMO DE PARTICIPACIÓN CIUDADANA</w:t>
      </w:r>
      <w:r w:rsidRPr="004164E9">
        <w:rPr>
          <w:rFonts w:ascii="Bookman Old Style" w:hAnsi="Bookman Old Style" w:cs="Arial"/>
          <w:b/>
          <w:sz w:val="24"/>
          <w:szCs w:val="24"/>
        </w:rPr>
        <w:t xml:space="preserve"> </w:t>
      </w:r>
      <w:r>
        <w:rPr>
          <w:rFonts w:ascii="Bookman Old Style" w:hAnsi="Bookman Old Style" w:cs="Arial"/>
          <w:b/>
          <w:sz w:val="24"/>
          <w:szCs w:val="24"/>
        </w:rPr>
        <w:t>PARA LA EXPLORACIÓN Y EXPLOTACIÓ</w:t>
      </w:r>
      <w:r w:rsidRPr="004164E9">
        <w:rPr>
          <w:rFonts w:ascii="Bookman Old Style" w:hAnsi="Bookman Old Style" w:cs="Arial"/>
          <w:b/>
          <w:sz w:val="24"/>
          <w:szCs w:val="24"/>
        </w:rPr>
        <w:t>N</w:t>
      </w:r>
      <w:r>
        <w:rPr>
          <w:rFonts w:ascii="Bookman Old Style" w:hAnsi="Bookman Old Style" w:cs="Arial"/>
          <w:b/>
          <w:sz w:val="24"/>
          <w:szCs w:val="24"/>
        </w:rPr>
        <w:t xml:space="preserve"> DEL SUBSUELO Y</w:t>
      </w:r>
      <w:r w:rsidRPr="004164E9">
        <w:rPr>
          <w:rFonts w:ascii="Bookman Old Style" w:hAnsi="Bookman Old Style" w:cs="Arial"/>
          <w:b/>
          <w:sz w:val="24"/>
          <w:szCs w:val="24"/>
        </w:rPr>
        <w:t xml:space="preserve"> DE RECURSOS NATURALES NO </w:t>
      </w:r>
      <w:r w:rsidR="009E6D68" w:rsidRPr="004164E9">
        <w:rPr>
          <w:rFonts w:ascii="Bookman Old Style" w:hAnsi="Bookman Old Style" w:cs="Arial"/>
          <w:b/>
          <w:sz w:val="24"/>
          <w:szCs w:val="24"/>
        </w:rPr>
        <w:t>RENOVABLES</w:t>
      </w:r>
      <w:r w:rsidR="009E6D68">
        <w:rPr>
          <w:rFonts w:ascii="Bookman Old Style" w:hAnsi="Bookman Old Style" w:cs="Arial"/>
          <w:b/>
          <w:sz w:val="24"/>
          <w:szCs w:val="24"/>
        </w:rPr>
        <w:t xml:space="preserve"> Y</w:t>
      </w:r>
      <w:r>
        <w:rPr>
          <w:rFonts w:ascii="Bookman Old Style" w:hAnsi="Bookman Old Style" w:cs="Arial"/>
          <w:b/>
          <w:sz w:val="24"/>
          <w:szCs w:val="24"/>
        </w:rPr>
        <w:t xml:space="preserve"> SE DICTAN OTRAS DISPOSICIONES</w:t>
      </w:r>
      <w:r w:rsidRPr="004164E9">
        <w:rPr>
          <w:rFonts w:ascii="Bookman Old Style" w:hAnsi="Bookman Old Style" w:cs="Arial"/>
          <w:b/>
          <w:sz w:val="24"/>
          <w:szCs w:val="24"/>
        </w:rPr>
        <w:t>”</w:t>
      </w:r>
    </w:p>
    <w:p w:rsidR="00D20F78" w:rsidRPr="004164E9" w:rsidRDefault="00D20F78" w:rsidP="00D20F78">
      <w:pPr>
        <w:pStyle w:val="Sinespaciado"/>
      </w:pPr>
    </w:p>
    <w:p w:rsidR="00D20F78" w:rsidRPr="004164E9" w:rsidRDefault="00D20F78" w:rsidP="00D20F78">
      <w:pPr>
        <w:pStyle w:val="Prrafodelista"/>
        <w:numPr>
          <w:ilvl w:val="0"/>
          <w:numId w:val="1"/>
        </w:numPr>
        <w:rPr>
          <w:rFonts w:ascii="Bookman Old Style" w:hAnsi="Bookman Old Style" w:cs="Arial"/>
          <w:b/>
          <w:sz w:val="21"/>
          <w:szCs w:val="21"/>
          <w:u w:val="single"/>
        </w:rPr>
      </w:pPr>
      <w:r w:rsidRPr="004164E9">
        <w:rPr>
          <w:rFonts w:ascii="Bookman Old Style" w:hAnsi="Bookman Old Style" w:cs="Arial"/>
          <w:b/>
          <w:sz w:val="24"/>
          <w:szCs w:val="24"/>
          <w:u w:val="single"/>
        </w:rPr>
        <w:t>INICIATIVAS LEGISLATIVAS</w:t>
      </w:r>
      <w:r w:rsidRPr="004164E9">
        <w:rPr>
          <w:rFonts w:ascii="Bookman Old Style" w:hAnsi="Bookman Old Style" w:cs="Arial"/>
          <w:b/>
          <w:sz w:val="21"/>
          <w:szCs w:val="21"/>
          <w:u w:val="single"/>
        </w:rPr>
        <w:t xml:space="preserve">. </w:t>
      </w:r>
    </w:p>
    <w:p w:rsidR="00D20F78" w:rsidRPr="004164E9" w:rsidRDefault="00D20F78" w:rsidP="00D20F78">
      <w:pPr>
        <w:pStyle w:val="Prrafodelista"/>
        <w:rPr>
          <w:rFonts w:ascii="Bookman Old Style" w:hAnsi="Bookman Old Style" w:cs="Arial"/>
          <w:b/>
          <w:sz w:val="21"/>
          <w:szCs w:val="21"/>
          <w:u w:val="single"/>
        </w:rPr>
      </w:pPr>
    </w:p>
    <w:p w:rsidR="00D20F78" w:rsidRPr="004164E9" w:rsidRDefault="00D20F78" w:rsidP="00D20F78">
      <w:pPr>
        <w:spacing w:line="360" w:lineRule="auto"/>
        <w:jc w:val="both"/>
        <w:rPr>
          <w:rFonts w:ascii="Bookman Old Style" w:hAnsi="Bookman Old Style" w:cs="Arial"/>
          <w:sz w:val="24"/>
          <w:szCs w:val="28"/>
        </w:rPr>
      </w:pPr>
      <w:r w:rsidRPr="004164E9">
        <w:rPr>
          <w:rFonts w:ascii="Bookman Old Style" w:hAnsi="Bookman Old Style" w:cs="Arial"/>
          <w:sz w:val="24"/>
          <w:szCs w:val="28"/>
        </w:rPr>
        <w:t xml:space="preserve">    El artículo 150° de la Constitución Política establece:</w:t>
      </w:r>
    </w:p>
    <w:p w:rsidR="00D20F78" w:rsidRPr="004164E9" w:rsidRDefault="00D20F78" w:rsidP="00D20F78">
      <w:pPr>
        <w:pStyle w:val="Prrafodelista"/>
        <w:spacing w:line="240" w:lineRule="auto"/>
        <w:ind w:right="474"/>
        <w:jc w:val="both"/>
        <w:rPr>
          <w:rFonts w:ascii="Bookman Old Style" w:hAnsi="Bookman Old Style" w:cs="Arial"/>
          <w:i/>
          <w:sz w:val="24"/>
          <w:szCs w:val="28"/>
        </w:rPr>
      </w:pPr>
      <w:r w:rsidRPr="004164E9">
        <w:rPr>
          <w:rFonts w:ascii="Bookman Old Style" w:hAnsi="Bookman Old Style" w:cs="Arial"/>
          <w:i/>
          <w:sz w:val="24"/>
          <w:szCs w:val="28"/>
        </w:rPr>
        <w:t>“Corresponde al Congreso hacer las leyes (…)”.</w:t>
      </w:r>
    </w:p>
    <w:p w:rsidR="00D20F78" w:rsidRPr="004164E9" w:rsidRDefault="00D20F78" w:rsidP="00D20F78">
      <w:pPr>
        <w:spacing w:line="360" w:lineRule="auto"/>
        <w:jc w:val="both"/>
        <w:rPr>
          <w:rFonts w:ascii="Bookman Old Style" w:hAnsi="Bookman Old Style" w:cs="Arial"/>
          <w:sz w:val="24"/>
          <w:szCs w:val="28"/>
        </w:rPr>
      </w:pPr>
      <w:r w:rsidRPr="004164E9">
        <w:rPr>
          <w:rFonts w:ascii="Bookman Old Style" w:hAnsi="Bookman Old Style" w:cs="Arial"/>
          <w:sz w:val="24"/>
          <w:szCs w:val="28"/>
        </w:rPr>
        <w:t>Así mismo, el mismo texto constitucional consagra en su artículo 154° lo que sigue:</w:t>
      </w:r>
    </w:p>
    <w:p w:rsidR="00D20F78" w:rsidRPr="004164E9" w:rsidRDefault="00D20F78" w:rsidP="00D20F78">
      <w:pPr>
        <w:pStyle w:val="Prrafodelista"/>
        <w:spacing w:line="240" w:lineRule="auto"/>
        <w:ind w:right="474"/>
        <w:jc w:val="both"/>
        <w:rPr>
          <w:rFonts w:ascii="Bookman Old Style" w:hAnsi="Bookman Old Style" w:cs="Arial"/>
          <w:sz w:val="24"/>
          <w:szCs w:val="28"/>
        </w:rPr>
      </w:pPr>
      <w:r w:rsidRPr="004164E9">
        <w:rPr>
          <w:rFonts w:ascii="Bookman Old Style" w:hAnsi="Bookman Old Style" w:cs="Arial"/>
          <w:i/>
          <w:sz w:val="24"/>
          <w:szCs w:val="28"/>
        </w:rPr>
        <w:t xml:space="preserve">“Las leyes pueden tener origen en cualquiera de las Cámaras </w:t>
      </w:r>
      <w:r w:rsidRPr="004164E9">
        <w:rPr>
          <w:rFonts w:ascii="Bookman Old Style" w:hAnsi="Bookman Old Style" w:cs="Arial"/>
          <w:i/>
          <w:sz w:val="24"/>
          <w:szCs w:val="28"/>
          <w:u w:val="single"/>
        </w:rPr>
        <w:t>a propuesta de sus respectivos miembros,</w:t>
      </w:r>
      <w:r w:rsidRPr="004164E9">
        <w:rPr>
          <w:rFonts w:ascii="Bookman Old Style" w:hAnsi="Bookman Old Style" w:cs="Arial"/>
          <w:i/>
          <w:sz w:val="24"/>
          <w:szCs w:val="28"/>
        </w:rPr>
        <w:t xml:space="preserve"> del Gobierno Nacional, de las entidades señaladas en el artículo </w:t>
      </w:r>
      <w:hyperlink r:id="rId14" w:anchor="156" w:history="1">
        <w:r w:rsidRPr="004164E9">
          <w:rPr>
            <w:rFonts w:ascii="Bookman Old Style" w:hAnsi="Bookman Old Style" w:cs="Arial"/>
            <w:i/>
            <w:sz w:val="24"/>
            <w:szCs w:val="28"/>
          </w:rPr>
          <w:t>156</w:t>
        </w:r>
      </w:hyperlink>
      <w:r w:rsidRPr="004164E9">
        <w:rPr>
          <w:rFonts w:ascii="Bookman Old Style" w:hAnsi="Bookman Old Style" w:cs="Arial"/>
          <w:i/>
          <w:sz w:val="24"/>
          <w:szCs w:val="28"/>
        </w:rPr>
        <w:t xml:space="preserve">, o por iniciativa popular en los casos previstos en la Constitución (…).” </w:t>
      </w:r>
      <w:r w:rsidRPr="004164E9">
        <w:rPr>
          <w:rFonts w:ascii="Bookman Old Style" w:hAnsi="Bookman Old Style" w:cs="Arial"/>
          <w:sz w:val="24"/>
          <w:szCs w:val="28"/>
        </w:rPr>
        <w:t>(Subrayado fuera de texto).</w:t>
      </w:r>
    </w:p>
    <w:p w:rsidR="00D20F78" w:rsidRPr="004164E9" w:rsidRDefault="00D20F78" w:rsidP="00D20F78">
      <w:pPr>
        <w:pStyle w:val="Sinespaciado"/>
        <w:ind w:left="720"/>
        <w:rPr>
          <w:rFonts w:ascii="Bookman Old Style" w:hAnsi="Bookman Old Style"/>
        </w:rPr>
      </w:pPr>
    </w:p>
    <w:p w:rsidR="00D20F78" w:rsidRPr="004164E9" w:rsidRDefault="00D20F78" w:rsidP="00D20F78">
      <w:pPr>
        <w:jc w:val="both"/>
        <w:rPr>
          <w:rFonts w:ascii="Bookman Old Style" w:hAnsi="Bookman Old Style" w:cs="Arial"/>
          <w:sz w:val="24"/>
          <w:szCs w:val="28"/>
        </w:rPr>
      </w:pPr>
      <w:r w:rsidRPr="004164E9">
        <w:rPr>
          <w:rFonts w:ascii="Bookman Old Style" w:hAnsi="Bookman Old Style" w:cs="Arial"/>
          <w:sz w:val="24"/>
          <w:szCs w:val="28"/>
        </w:rPr>
        <w:t>En el desarrollo legal, la Ley 5ta de 1992 estableció en su artículo 140º, modificado por el artículo 13 de la Ley 974 de 2005, lo que a continuación se indica: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Pueden presentar proyectos de ley:</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1. Los Senadores y </w:t>
      </w:r>
      <w:r w:rsidRPr="005A4C34">
        <w:rPr>
          <w:rFonts w:ascii="Bookman Old Style" w:hAnsi="Bookman Old Style" w:cs="Arial"/>
          <w:i/>
        </w:rPr>
        <w:t>Representantes a la Cámara individualmente</w:t>
      </w:r>
      <w:r w:rsidRPr="004164E9">
        <w:rPr>
          <w:rFonts w:ascii="Bookman Old Style" w:hAnsi="Bookman Old Style" w:cs="Arial"/>
          <w:i/>
        </w:rPr>
        <w:t xml:space="preserve"> y a través de las bancadas.</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2. El Gobierno Nacional, a través de los Ministros del Despacho.</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3. La Corte Constitucional.</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4. El Consejo Superior de la Judicatura.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lastRenderedPageBreak/>
        <w:t>5. La Corte Suprema de Justicia.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6. El Consejo de Estado.</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7. El Consejo Nacional Electoral.</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8. El Procurador General de la Nación.</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9. El Contralor General de la República.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10. El Fiscal General de la Nación.</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11. El Defensor del Pueblo. </w:t>
      </w:r>
    </w:p>
    <w:p w:rsidR="00D20F78"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     (Subrayado fuera de texto).</w:t>
      </w:r>
    </w:p>
    <w:p w:rsidR="005B2B8B" w:rsidRDefault="005B2B8B" w:rsidP="00D20F78">
      <w:pPr>
        <w:pStyle w:val="Sinespaciado"/>
        <w:ind w:left="720" w:right="333"/>
        <w:rPr>
          <w:rFonts w:ascii="Bookman Old Style" w:hAnsi="Bookman Old Style" w:cs="Arial"/>
          <w:i/>
        </w:rPr>
      </w:pPr>
    </w:p>
    <w:p w:rsidR="00D20F78" w:rsidRPr="004164E9" w:rsidRDefault="00D20F78" w:rsidP="00D20F78">
      <w:pPr>
        <w:pStyle w:val="Prrafodelista"/>
        <w:numPr>
          <w:ilvl w:val="0"/>
          <w:numId w:val="1"/>
        </w:numPr>
        <w:rPr>
          <w:rFonts w:ascii="Bookman Old Style" w:hAnsi="Bookman Old Style" w:cs="Arial"/>
          <w:b/>
          <w:sz w:val="24"/>
          <w:szCs w:val="24"/>
          <w:u w:val="single"/>
        </w:rPr>
      </w:pPr>
      <w:r w:rsidRPr="004164E9">
        <w:rPr>
          <w:rFonts w:ascii="Bookman Old Style" w:hAnsi="Bookman Old Style" w:cs="Arial"/>
          <w:b/>
          <w:sz w:val="24"/>
          <w:szCs w:val="24"/>
          <w:u w:val="single"/>
        </w:rPr>
        <w:t xml:space="preserve">ANTECEDENTES </w:t>
      </w:r>
    </w:p>
    <w:p w:rsidR="00D20F78" w:rsidRPr="004164E9" w:rsidRDefault="00D20F78" w:rsidP="00D20F78">
      <w:pPr>
        <w:pStyle w:val="Sinespaciado"/>
      </w:pPr>
    </w:p>
    <w:p w:rsidR="00D20F78" w:rsidRPr="004164E9" w:rsidRDefault="00D20F78" w:rsidP="00D20F78">
      <w:pPr>
        <w:ind w:left="426"/>
        <w:jc w:val="both"/>
        <w:rPr>
          <w:rFonts w:ascii="Bookman Old Style" w:hAnsi="Bookman Old Style" w:cs="Arial"/>
          <w:b/>
          <w:sz w:val="24"/>
          <w:szCs w:val="24"/>
        </w:rPr>
      </w:pPr>
      <w:r w:rsidRPr="004164E9">
        <w:rPr>
          <w:rFonts w:ascii="Bookman Old Style" w:hAnsi="Bookman Old Style" w:cs="Arial"/>
          <w:b/>
          <w:sz w:val="24"/>
          <w:szCs w:val="24"/>
        </w:rPr>
        <w:t>2.1. FUNDAMENTOS CONSTITUCIONALES</w:t>
      </w:r>
    </w:p>
    <w:p w:rsidR="00D20F78" w:rsidRDefault="00D20F78" w:rsidP="00D20F78">
      <w:pPr>
        <w:jc w:val="both"/>
        <w:rPr>
          <w:rFonts w:ascii="Bookman Old Style" w:hAnsi="Bookman Old Style" w:cs="Arial"/>
          <w:sz w:val="24"/>
          <w:szCs w:val="24"/>
        </w:rPr>
      </w:pPr>
      <w:r>
        <w:rPr>
          <w:rFonts w:ascii="Bookman Old Style" w:hAnsi="Bookman Old Style" w:cs="Arial"/>
          <w:sz w:val="24"/>
          <w:szCs w:val="24"/>
        </w:rPr>
        <w:t xml:space="preserve">El artículo 1 de la carta constitucional colombiana establece que </w:t>
      </w:r>
      <w:r w:rsidRPr="00791ED8">
        <w:rPr>
          <w:rFonts w:ascii="Bookman Old Style" w:hAnsi="Bookman Old Style" w:cs="Arial"/>
          <w:sz w:val="24"/>
          <w:szCs w:val="24"/>
        </w:rPr>
        <w:t>Colombia es un Estado unitario con autonomía de sus entidades territoriales</w:t>
      </w:r>
      <w:r>
        <w:rPr>
          <w:rFonts w:ascii="Bookman Old Style" w:hAnsi="Bookman Old Style" w:cs="Arial"/>
          <w:sz w:val="24"/>
          <w:szCs w:val="24"/>
        </w:rPr>
        <w:t>.</w:t>
      </w:r>
    </w:p>
    <w:p w:rsidR="00D20F78" w:rsidRDefault="009E6D68" w:rsidP="00D20F78">
      <w:pPr>
        <w:jc w:val="both"/>
        <w:rPr>
          <w:rFonts w:ascii="Bookman Old Style" w:hAnsi="Bookman Old Style" w:cs="Arial"/>
          <w:sz w:val="24"/>
          <w:szCs w:val="24"/>
        </w:rPr>
      </w:pPr>
      <w:r>
        <w:rPr>
          <w:rFonts w:ascii="Bookman Old Style" w:hAnsi="Bookman Old Style" w:cs="Arial"/>
          <w:sz w:val="24"/>
          <w:szCs w:val="24"/>
        </w:rPr>
        <w:t>Asimismo,</w:t>
      </w:r>
      <w:r w:rsidR="00D20F78">
        <w:rPr>
          <w:rFonts w:ascii="Bookman Old Style" w:hAnsi="Bookman Old Style" w:cs="Arial"/>
          <w:sz w:val="24"/>
          <w:szCs w:val="24"/>
        </w:rPr>
        <w:t xml:space="preserve"> indica en su artículo 288 que </w:t>
      </w:r>
      <w:r w:rsidR="00D20F78" w:rsidRPr="00791ED8">
        <w:rPr>
          <w:rFonts w:ascii="Bookman Old Style" w:hAnsi="Bookman Old Style" w:cs="Arial"/>
          <w:sz w:val="24"/>
          <w:szCs w:val="24"/>
        </w:rPr>
        <w:t>las competencias de</w:t>
      </w:r>
      <w:r w:rsidR="00D20F78">
        <w:rPr>
          <w:rFonts w:ascii="Bookman Old Style" w:hAnsi="Bookman Old Style" w:cs="Arial"/>
          <w:sz w:val="24"/>
          <w:szCs w:val="24"/>
        </w:rPr>
        <w:t xml:space="preserve"> la Nación y de las autoridades territoriales descentralizadas </w:t>
      </w:r>
      <w:r w:rsidR="00D20F78" w:rsidRPr="00791ED8">
        <w:rPr>
          <w:rFonts w:ascii="Bookman Old Style" w:hAnsi="Bookman Old Style" w:cs="Arial"/>
          <w:sz w:val="24"/>
          <w:szCs w:val="24"/>
        </w:rPr>
        <w:t>deben armonizarse a la luz de los principios de coordinación, concurrencia y subsidiariedad</w:t>
      </w:r>
      <w:r w:rsidR="00D20F78">
        <w:rPr>
          <w:rFonts w:ascii="Bookman Old Style" w:hAnsi="Bookman Old Style" w:cs="Arial"/>
          <w:sz w:val="24"/>
          <w:szCs w:val="24"/>
        </w:rPr>
        <w:t>.</w:t>
      </w:r>
    </w:p>
    <w:p w:rsidR="00D20F78" w:rsidRPr="004164E9"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t xml:space="preserve">El </w:t>
      </w:r>
      <w:r>
        <w:rPr>
          <w:rFonts w:ascii="Bookman Old Style" w:hAnsi="Bookman Old Style" w:cs="Arial"/>
          <w:sz w:val="24"/>
          <w:szCs w:val="24"/>
        </w:rPr>
        <w:t>a</w:t>
      </w:r>
      <w:r w:rsidRPr="004164E9">
        <w:rPr>
          <w:rFonts w:ascii="Bookman Old Style" w:hAnsi="Bookman Old Style" w:cs="Arial"/>
          <w:sz w:val="24"/>
          <w:szCs w:val="24"/>
        </w:rPr>
        <w:t xml:space="preserve">rtículo 332 de la constitución política de Colombia </w:t>
      </w:r>
      <w:r>
        <w:rPr>
          <w:rFonts w:ascii="Bookman Old Style" w:hAnsi="Bookman Old Style" w:cs="Arial"/>
          <w:sz w:val="24"/>
          <w:szCs w:val="24"/>
        </w:rPr>
        <w:t>consagra</w:t>
      </w:r>
      <w:r w:rsidRPr="004164E9">
        <w:rPr>
          <w:rFonts w:ascii="Bookman Old Style" w:hAnsi="Bookman Old Style" w:cs="Arial"/>
          <w:sz w:val="24"/>
          <w:szCs w:val="24"/>
        </w:rPr>
        <w:t xml:space="preserve"> que el Estado es propietario de los recursos del subsuelo y de los recursos naturales no renovables, propiedad que es reiterada en los artículos 5° y 7° de la Ley 685 del 2001.</w:t>
      </w:r>
    </w:p>
    <w:p w:rsidR="00D20F78" w:rsidRPr="004164E9" w:rsidRDefault="00D20F78" w:rsidP="00D20F78">
      <w:pPr>
        <w:jc w:val="both"/>
        <w:rPr>
          <w:rFonts w:ascii="Bookman Old Style" w:hAnsi="Bookman Old Style" w:cs="Arial"/>
          <w:sz w:val="24"/>
          <w:szCs w:val="24"/>
        </w:rPr>
      </w:pPr>
      <w:r>
        <w:rPr>
          <w:rFonts w:ascii="Bookman Old Style" w:hAnsi="Bookman Old Style" w:cs="Arial"/>
          <w:sz w:val="24"/>
          <w:szCs w:val="24"/>
        </w:rPr>
        <w:t>El a</w:t>
      </w:r>
      <w:r w:rsidRPr="004164E9">
        <w:rPr>
          <w:rFonts w:ascii="Bookman Old Style" w:hAnsi="Bookman Old Style" w:cs="Arial"/>
          <w:sz w:val="24"/>
          <w:szCs w:val="24"/>
        </w:rPr>
        <w:t xml:space="preserve">rtículo 334 dispone que el Estado </w:t>
      </w:r>
      <w:proofErr w:type="gramStart"/>
      <w:r w:rsidRPr="004164E9">
        <w:rPr>
          <w:rFonts w:ascii="Bookman Old Style" w:hAnsi="Bookman Old Style" w:cs="Arial"/>
          <w:sz w:val="24"/>
          <w:szCs w:val="24"/>
        </w:rPr>
        <w:t>intervendrá</w:t>
      </w:r>
      <w:proofErr w:type="gramEnd"/>
      <w:r w:rsidRPr="004164E9">
        <w:rPr>
          <w:rFonts w:ascii="Bookman Old Style" w:hAnsi="Bookman Old Style" w:cs="Arial"/>
          <w:sz w:val="24"/>
          <w:szCs w:val="24"/>
        </w:rPr>
        <w:t xml:space="preserve">, por mandato legal, en la explotación de los recursos naturales para racionalizar la economía con el fin de mejorar, en el plano nacional y territorial, la calidad de vida de sus habitantes. </w:t>
      </w:r>
    </w:p>
    <w:p w:rsidR="00D20F78" w:rsidRPr="004164E9" w:rsidRDefault="00D20F78" w:rsidP="00D20F78">
      <w:pPr>
        <w:jc w:val="both"/>
        <w:rPr>
          <w:rFonts w:ascii="Bookman Old Style" w:hAnsi="Bookman Old Style" w:cs="Arial"/>
          <w:sz w:val="24"/>
          <w:szCs w:val="24"/>
        </w:rPr>
      </w:pPr>
      <w:r>
        <w:rPr>
          <w:rFonts w:ascii="Bookman Old Style" w:hAnsi="Bookman Old Style" w:cs="Arial"/>
          <w:sz w:val="24"/>
          <w:szCs w:val="24"/>
        </w:rPr>
        <w:t>El a</w:t>
      </w:r>
      <w:r w:rsidRPr="004164E9">
        <w:rPr>
          <w:rFonts w:ascii="Bookman Old Style" w:hAnsi="Bookman Old Style" w:cs="Arial"/>
          <w:sz w:val="24"/>
          <w:szCs w:val="24"/>
        </w:rPr>
        <w:t>rtículo 360</w:t>
      </w:r>
      <w:r>
        <w:rPr>
          <w:rFonts w:ascii="Bookman Old Style" w:hAnsi="Bookman Old Style" w:cs="Arial"/>
          <w:sz w:val="24"/>
          <w:szCs w:val="24"/>
        </w:rPr>
        <w:t>, además del artículo 361,</w:t>
      </w:r>
      <w:r w:rsidRPr="004164E9">
        <w:rPr>
          <w:rFonts w:ascii="Bookman Old Style" w:hAnsi="Bookman Old Style" w:cs="Arial"/>
          <w:sz w:val="24"/>
          <w:szCs w:val="24"/>
        </w:rPr>
        <w:t xml:space="preserve"> establece que 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p>
    <w:p w:rsidR="00D20F78" w:rsidRDefault="00D20F78" w:rsidP="00D20F78">
      <w:pPr>
        <w:jc w:val="both"/>
        <w:rPr>
          <w:rFonts w:ascii="Bookman Old Style" w:hAnsi="Bookman Old Style" w:cs="Arial"/>
          <w:sz w:val="24"/>
          <w:szCs w:val="24"/>
        </w:rPr>
      </w:pPr>
      <w:r>
        <w:rPr>
          <w:rFonts w:ascii="Bookman Old Style" w:hAnsi="Bookman Old Style" w:cs="Arial"/>
          <w:sz w:val="24"/>
          <w:szCs w:val="24"/>
        </w:rPr>
        <w:t>El a</w:t>
      </w:r>
      <w:r w:rsidRPr="004164E9">
        <w:rPr>
          <w:rFonts w:ascii="Bookman Old Style" w:hAnsi="Bookman Old Style" w:cs="Arial"/>
          <w:sz w:val="24"/>
          <w:szCs w:val="24"/>
        </w:rPr>
        <w:t xml:space="preserve">rtículo 80 de la constitución política </w:t>
      </w:r>
      <w:r>
        <w:rPr>
          <w:rFonts w:ascii="Bookman Old Style" w:hAnsi="Bookman Old Style" w:cs="Arial"/>
          <w:sz w:val="24"/>
          <w:szCs w:val="24"/>
        </w:rPr>
        <w:t>dispone que el E</w:t>
      </w:r>
      <w:r w:rsidRPr="004164E9">
        <w:rPr>
          <w:rFonts w:ascii="Bookman Old Style" w:hAnsi="Bookman Old Style" w:cs="Arial"/>
          <w:sz w:val="24"/>
          <w:szCs w:val="24"/>
        </w:rPr>
        <w:t xml:space="preserve">stado </w:t>
      </w:r>
      <w:proofErr w:type="gramStart"/>
      <w:r w:rsidRPr="004164E9">
        <w:rPr>
          <w:rFonts w:ascii="Bookman Old Style" w:hAnsi="Bookman Old Style" w:cs="Arial"/>
          <w:sz w:val="24"/>
          <w:szCs w:val="24"/>
        </w:rPr>
        <w:t>planificará</w:t>
      </w:r>
      <w:proofErr w:type="gramEnd"/>
      <w:r w:rsidRPr="004164E9">
        <w:rPr>
          <w:rFonts w:ascii="Bookman Old Style" w:hAnsi="Bookman Old Style" w:cs="Arial"/>
          <w:sz w:val="24"/>
          <w:szCs w:val="24"/>
        </w:rPr>
        <w:t xml:space="preserve"> el manejo y aprovechamiento de los recursos naturales, para garantizar su desarrollo sostenible, su conservación, restauración o sustitución.</w:t>
      </w:r>
    </w:p>
    <w:p w:rsidR="00D20F78" w:rsidRDefault="00D20F78" w:rsidP="00D20F78">
      <w:pPr>
        <w:jc w:val="both"/>
        <w:rPr>
          <w:rFonts w:ascii="Bookman Old Style" w:hAnsi="Bookman Old Style" w:cs="Arial"/>
          <w:sz w:val="24"/>
          <w:szCs w:val="24"/>
        </w:rPr>
      </w:pPr>
      <w:r>
        <w:rPr>
          <w:rFonts w:ascii="Bookman Old Style" w:hAnsi="Bookman Old Style" w:cs="Arial"/>
          <w:sz w:val="24"/>
          <w:szCs w:val="24"/>
        </w:rPr>
        <w:t>E</w:t>
      </w:r>
      <w:r w:rsidRPr="001819C9">
        <w:rPr>
          <w:rFonts w:ascii="Bookman Old Style" w:hAnsi="Bookman Old Style" w:cs="Arial"/>
          <w:sz w:val="24"/>
          <w:szCs w:val="24"/>
        </w:rPr>
        <w:t xml:space="preserve">l artículo 286 de la Constitución Política de Colombia indica que son entidades territoriales los departamentos, los distritos, los municipios y los </w:t>
      </w:r>
      <w:r w:rsidRPr="001819C9">
        <w:rPr>
          <w:rFonts w:ascii="Bookman Old Style" w:hAnsi="Bookman Old Style" w:cs="Arial"/>
          <w:sz w:val="24"/>
          <w:szCs w:val="24"/>
        </w:rPr>
        <w:lastRenderedPageBreak/>
        <w:t>territorios indígenas, y el artículo 287 señala que los entes territoriales tienen autonomía para la gestión de sus intereses con las limitaciones que establezcan la Constitución y a le ley.</w:t>
      </w:r>
    </w:p>
    <w:p w:rsidR="00D20F78" w:rsidRDefault="00D20F78" w:rsidP="00D20F78">
      <w:pPr>
        <w:jc w:val="both"/>
        <w:rPr>
          <w:rFonts w:ascii="Bookman Old Style" w:hAnsi="Bookman Old Style" w:cs="Arial"/>
          <w:sz w:val="24"/>
          <w:szCs w:val="24"/>
        </w:rPr>
      </w:pPr>
      <w:r>
        <w:rPr>
          <w:rFonts w:ascii="Bookman Old Style" w:hAnsi="Bookman Old Style" w:cs="Arial"/>
          <w:sz w:val="24"/>
          <w:szCs w:val="24"/>
        </w:rPr>
        <w:t>De manera complementaria, el a</w:t>
      </w:r>
      <w:r w:rsidRPr="004164E9">
        <w:rPr>
          <w:rFonts w:ascii="Bookman Old Style" w:hAnsi="Bookman Old Style" w:cs="Arial"/>
          <w:sz w:val="24"/>
          <w:szCs w:val="24"/>
        </w:rPr>
        <w:t xml:space="preserve">rtículo 288 </w:t>
      </w:r>
      <w:r>
        <w:rPr>
          <w:rFonts w:ascii="Bookman Old Style" w:hAnsi="Bookman Old Style" w:cs="Arial"/>
          <w:sz w:val="24"/>
          <w:szCs w:val="24"/>
        </w:rPr>
        <w:t>declara que la L</w:t>
      </w:r>
      <w:r w:rsidRPr="004164E9">
        <w:rPr>
          <w:rFonts w:ascii="Bookman Old Style" w:hAnsi="Bookman Old Style" w:cs="Arial"/>
          <w:sz w:val="24"/>
          <w:szCs w:val="24"/>
        </w:rPr>
        <w:t>ey orgánica de ordenamiento territorial establecerá la distrib</w:t>
      </w:r>
      <w:r>
        <w:rPr>
          <w:rFonts w:ascii="Bookman Old Style" w:hAnsi="Bookman Old Style" w:cs="Arial"/>
          <w:sz w:val="24"/>
          <w:szCs w:val="24"/>
        </w:rPr>
        <w:t>ución de competencias entre la N</w:t>
      </w:r>
      <w:r w:rsidRPr="004164E9">
        <w:rPr>
          <w:rFonts w:ascii="Bookman Old Style" w:hAnsi="Bookman Old Style" w:cs="Arial"/>
          <w:sz w:val="24"/>
          <w:szCs w:val="24"/>
        </w:rPr>
        <w:t xml:space="preserve">ación y las entidades territoriales. </w:t>
      </w:r>
    </w:p>
    <w:p w:rsidR="00D20F78" w:rsidRPr="001819C9" w:rsidRDefault="00D20F78" w:rsidP="00D20F78">
      <w:pPr>
        <w:spacing w:after="0"/>
        <w:jc w:val="both"/>
        <w:rPr>
          <w:rFonts w:ascii="Bookman Old Style" w:hAnsi="Bookman Old Style" w:cs="Arial"/>
          <w:sz w:val="24"/>
          <w:szCs w:val="24"/>
        </w:rPr>
      </w:pPr>
      <w:r w:rsidRPr="001819C9">
        <w:rPr>
          <w:rFonts w:ascii="Bookman Old Style" w:hAnsi="Bookman Old Style" w:cs="Arial"/>
          <w:sz w:val="24"/>
          <w:szCs w:val="24"/>
        </w:rPr>
        <w:t xml:space="preserve">En lo que se refiere a los departamentos, el artículo 298 indica que los departamentos tienen funciones administrativas, de coordinación, de complementariedad de la acción municipal, de intermediación entre la Nación y la unidad municipal y de prestación de los servidos que determine la Constitución y la ley, y aclara que será la ley quien reglamente dichas atribuciones otorgadas por la Constitución. </w:t>
      </w:r>
    </w:p>
    <w:p w:rsidR="00D20F78" w:rsidRDefault="00D20F78" w:rsidP="00D20F78">
      <w:pPr>
        <w:pStyle w:val="Sinespaciado"/>
      </w:pPr>
    </w:p>
    <w:p w:rsidR="00D20F78" w:rsidRPr="00662048" w:rsidRDefault="00D20F78" w:rsidP="00D20F78">
      <w:pPr>
        <w:spacing w:after="0"/>
        <w:jc w:val="both"/>
        <w:rPr>
          <w:rFonts w:ascii="Bookman Old Style" w:hAnsi="Bookman Old Style" w:cs="Arial"/>
          <w:sz w:val="24"/>
          <w:szCs w:val="24"/>
        </w:rPr>
      </w:pPr>
      <w:r w:rsidRPr="00662048">
        <w:rPr>
          <w:rFonts w:ascii="Bookman Old Style" w:hAnsi="Bookman Old Style" w:cs="Arial"/>
          <w:sz w:val="24"/>
          <w:szCs w:val="24"/>
        </w:rPr>
        <w:t>El artículo 40 de la Carta Política de 1991, establece que “</w:t>
      </w:r>
      <w:r>
        <w:rPr>
          <w:rFonts w:ascii="Bookman Old Style" w:hAnsi="Bookman Old Style" w:cs="Arial"/>
          <w:i/>
          <w:iCs/>
          <w:sz w:val="24"/>
          <w:szCs w:val="24"/>
        </w:rPr>
        <w:t>T</w:t>
      </w:r>
      <w:r w:rsidRPr="00662048">
        <w:rPr>
          <w:rFonts w:ascii="Bookman Old Style" w:hAnsi="Bookman Old Style" w:cs="Arial"/>
          <w:i/>
          <w:iCs/>
          <w:sz w:val="24"/>
          <w:szCs w:val="24"/>
        </w:rPr>
        <w:t xml:space="preserve">odo ciudadano tiene derecho a participar en la conformación, ejercicio y control del poder político. Para hacer efectivo este derecho puede: (…) 2. Tomar parte en elecciones, plebiscitos, referendos, consultas populares y otras formas de participación democrática”. </w:t>
      </w:r>
    </w:p>
    <w:p w:rsidR="00D20F78" w:rsidRPr="00662048" w:rsidRDefault="00D20F78" w:rsidP="00D20F78">
      <w:pPr>
        <w:pStyle w:val="Prrafodelista"/>
        <w:spacing w:after="0"/>
        <w:jc w:val="both"/>
        <w:rPr>
          <w:rFonts w:ascii="Bookman Old Style" w:hAnsi="Bookman Old Style" w:cs="Arial"/>
          <w:sz w:val="24"/>
          <w:szCs w:val="24"/>
        </w:rPr>
      </w:pPr>
    </w:p>
    <w:p w:rsidR="00D20F78" w:rsidRPr="00662048" w:rsidRDefault="00D20F78" w:rsidP="00D20F78">
      <w:pPr>
        <w:spacing w:after="0"/>
        <w:jc w:val="both"/>
        <w:rPr>
          <w:rFonts w:ascii="Bookman Old Style" w:hAnsi="Bookman Old Style" w:cs="Arial"/>
          <w:sz w:val="24"/>
          <w:szCs w:val="24"/>
        </w:rPr>
      </w:pPr>
      <w:r w:rsidRPr="00662048">
        <w:rPr>
          <w:rFonts w:ascii="Bookman Old Style" w:hAnsi="Bookman Old Style" w:cs="Arial"/>
          <w:sz w:val="24"/>
          <w:szCs w:val="24"/>
        </w:rPr>
        <w:t>De manera complementaria, el artículo 103 señala que “</w:t>
      </w:r>
      <w:r>
        <w:rPr>
          <w:rFonts w:ascii="Bookman Old Style" w:hAnsi="Bookman Old Style" w:cs="Arial"/>
          <w:i/>
          <w:iCs/>
          <w:sz w:val="24"/>
          <w:szCs w:val="24"/>
        </w:rPr>
        <w:t>S</w:t>
      </w:r>
      <w:r w:rsidRPr="00662048">
        <w:rPr>
          <w:rFonts w:ascii="Bookman Old Style" w:hAnsi="Bookman Old Style" w:cs="Arial"/>
          <w:i/>
          <w:iCs/>
          <w:sz w:val="24"/>
          <w:szCs w:val="24"/>
        </w:rPr>
        <w:t>on mecanismos de participación del pueblo en ejercicio de su soberanía: el voto, el plebiscito, el referendo, la consulta popular, el cabildo abierto, la iniciativa legislativa y la revocatoria del mandato. La ley los reglamentará”.</w:t>
      </w:r>
    </w:p>
    <w:p w:rsidR="00D20F78" w:rsidRPr="00662048" w:rsidRDefault="00D20F78" w:rsidP="00D20F78">
      <w:pPr>
        <w:pStyle w:val="Prrafodelista"/>
        <w:spacing w:after="0"/>
        <w:jc w:val="both"/>
        <w:rPr>
          <w:rFonts w:ascii="Bookman Old Style" w:hAnsi="Bookman Old Style" w:cs="Arial"/>
          <w:sz w:val="24"/>
          <w:szCs w:val="24"/>
        </w:rPr>
      </w:pPr>
    </w:p>
    <w:p w:rsidR="00D20F78" w:rsidRPr="00662048" w:rsidRDefault="00D20F78" w:rsidP="00D20F78">
      <w:pPr>
        <w:spacing w:after="0"/>
        <w:jc w:val="both"/>
        <w:rPr>
          <w:rFonts w:ascii="Bookman Old Style" w:hAnsi="Bookman Old Style" w:cs="Arial"/>
          <w:sz w:val="24"/>
          <w:szCs w:val="24"/>
        </w:rPr>
      </w:pPr>
      <w:r w:rsidRPr="00662048">
        <w:rPr>
          <w:rFonts w:ascii="Bookman Old Style" w:hAnsi="Bookman Old Style" w:cs="Arial"/>
          <w:sz w:val="24"/>
          <w:szCs w:val="24"/>
        </w:rPr>
        <w:t>El artículo 104 se refiere a la consulta popular nacional y el 105 a la posibilidad de los alcaldes y gobernadores de realizar consultas populares para decidir sobre asuntos de competencia del respectivo departamento o municipio.</w:t>
      </w:r>
    </w:p>
    <w:p w:rsidR="00D20F78" w:rsidRPr="00662048" w:rsidRDefault="00D20F78" w:rsidP="00D20F78">
      <w:pPr>
        <w:pStyle w:val="Prrafodelista"/>
        <w:spacing w:after="0"/>
        <w:jc w:val="both"/>
        <w:rPr>
          <w:rFonts w:ascii="Bookman Old Style" w:hAnsi="Bookman Old Style" w:cs="Arial"/>
          <w:sz w:val="24"/>
          <w:szCs w:val="24"/>
        </w:rPr>
      </w:pPr>
    </w:p>
    <w:p w:rsidR="00D20F78" w:rsidRPr="00662048" w:rsidRDefault="00D20F78" w:rsidP="00D20F78">
      <w:pPr>
        <w:spacing w:after="0"/>
        <w:jc w:val="both"/>
        <w:rPr>
          <w:rFonts w:ascii="Bookman Old Style" w:hAnsi="Bookman Old Style" w:cs="Arial"/>
          <w:sz w:val="24"/>
          <w:szCs w:val="24"/>
        </w:rPr>
      </w:pPr>
      <w:r w:rsidRPr="00662048">
        <w:rPr>
          <w:rFonts w:ascii="Bookman Old Style" w:hAnsi="Bookman Old Style" w:cs="Arial"/>
          <w:sz w:val="24"/>
          <w:szCs w:val="24"/>
        </w:rPr>
        <w:t>Por su parte, el artículo 79 superior, señala que en materia ambiental la ley debe garantizar la participación de la comunidad en las decisiones que le afecten. Y, por otro lado, también se ha entendido a la participación como un deber ciudadano con el objeto de aportar a la construcción de sociedad y de país desde el artículo 95 de la Constitución.</w:t>
      </w:r>
    </w:p>
    <w:p w:rsidR="00D20F78" w:rsidRDefault="00D20F78" w:rsidP="00D20F78">
      <w:pPr>
        <w:pStyle w:val="Sinespaciado"/>
      </w:pPr>
    </w:p>
    <w:p w:rsidR="00D20F78" w:rsidRPr="004164E9"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lastRenderedPageBreak/>
        <w:t xml:space="preserve">Las competencias atribuidas a los distintos niveles territoriales serán ejercidas conforme a los principios de coordinación, concurrencia y subsidiariedad en </w:t>
      </w:r>
      <w:r>
        <w:rPr>
          <w:rFonts w:ascii="Bookman Old Style" w:hAnsi="Bookman Old Style" w:cs="Arial"/>
          <w:sz w:val="24"/>
          <w:szCs w:val="24"/>
        </w:rPr>
        <w:t>los términos que establezca la L</w:t>
      </w:r>
      <w:r w:rsidRPr="004164E9">
        <w:rPr>
          <w:rFonts w:ascii="Bookman Old Style" w:hAnsi="Bookman Old Style" w:cs="Arial"/>
          <w:sz w:val="24"/>
          <w:szCs w:val="24"/>
        </w:rPr>
        <w:t>ey.</w:t>
      </w:r>
    </w:p>
    <w:p w:rsidR="00D20F78"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t xml:space="preserve">Además, deberá prevenir y controlar los factores de deterioro ambiental, imponer las sanciones legales y exigir la reparación de los daños causados. </w:t>
      </w:r>
    </w:p>
    <w:p w:rsidR="00D20F78" w:rsidRPr="001819C9" w:rsidRDefault="00D20F78" w:rsidP="00D20F78">
      <w:pPr>
        <w:spacing w:after="0"/>
        <w:jc w:val="both"/>
        <w:rPr>
          <w:rFonts w:ascii="Bookman Old Style" w:hAnsi="Bookman Old Style" w:cs="Arial"/>
          <w:sz w:val="24"/>
          <w:szCs w:val="24"/>
        </w:rPr>
      </w:pPr>
      <w:r w:rsidRPr="001819C9">
        <w:rPr>
          <w:rFonts w:ascii="Bookman Old Style" w:hAnsi="Bookman Old Style" w:cs="Arial"/>
          <w:sz w:val="24"/>
          <w:szCs w:val="24"/>
        </w:rPr>
        <w:t>En cuanto a la organización departamental, la Constitución Política de 1991 señala que en cada municipio habrá un gobernador como jefe de la administración seccional, que ejercerá su representación legal, y será elegido popularmente (artículo 303 de la Constitución), cuyas atribuciones están enlistadas en el artículo 305, dentro de las que destacan “cumplir y hacer cumplir la Constitución, las leyes, los decretos del Gobierno y las ordenanzas de las Asambleas Departamentales”.</w:t>
      </w:r>
    </w:p>
    <w:p w:rsidR="00D20F78" w:rsidRPr="001819C9" w:rsidRDefault="00D20F78" w:rsidP="00D20F78">
      <w:pPr>
        <w:spacing w:after="0"/>
        <w:jc w:val="both"/>
        <w:rPr>
          <w:rFonts w:ascii="Bookman Old Style" w:hAnsi="Bookman Old Style" w:cs="Arial"/>
          <w:sz w:val="24"/>
          <w:szCs w:val="24"/>
        </w:rPr>
      </w:pPr>
    </w:p>
    <w:p w:rsidR="00D20F78" w:rsidRPr="001819C9" w:rsidRDefault="00D20F78" w:rsidP="00D20F78">
      <w:pPr>
        <w:spacing w:after="0"/>
        <w:jc w:val="both"/>
        <w:rPr>
          <w:rFonts w:ascii="Bookman Old Style" w:hAnsi="Bookman Old Style" w:cs="Arial"/>
          <w:sz w:val="24"/>
          <w:szCs w:val="24"/>
        </w:rPr>
      </w:pPr>
      <w:r w:rsidRPr="001819C9">
        <w:rPr>
          <w:rFonts w:ascii="Bookman Old Style" w:hAnsi="Bookman Old Style" w:cs="Arial"/>
          <w:sz w:val="24"/>
          <w:szCs w:val="24"/>
        </w:rPr>
        <w:t xml:space="preserve">Así mismo, indica también que habrá una corporación </w:t>
      </w:r>
      <w:proofErr w:type="gramStart"/>
      <w:r w:rsidRPr="001819C9">
        <w:rPr>
          <w:rFonts w:ascii="Bookman Old Style" w:hAnsi="Bookman Old Style" w:cs="Arial"/>
          <w:sz w:val="24"/>
          <w:szCs w:val="24"/>
        </w:rPr>
        <w:t>político</w:t>
      </w:r>
      <w:proofErr w:type="gramEnd"/>
      <w:r w:rsidRPr="001819C9">
        <w:rPr>
          <w:rFonts w:ascii="Bookman Old Style" w:hAnsi="Bookman Old Style" w:cs="Arial"/>
          <w:sz w:val="24"/>
          <w:szCs w:val="24"/>
        </w:rPr>
        <w:t xml:space="preserve"> administrativa elegida popularmente denominada asamblea departamental (artículo 299 de la Constitución). Sus funciones se encuentran incorporadas en el artículo 300.</w:t>
      </w:r>
    </w:p>
    <w:p w:rsidR="00D20F78" w:rsidRPr="001819C9" w:rsidRDefault="00D20F78" w:rsidP="00D20F78">
      <w:pPr>
        <w:spacing w:after="0"/>
        <w:jc w:val="both"/>
        <w:rPr>
          <w:rFonts w:ascii="Bookman Old Style" w:hAnsi="Bookman Old Style" w:cs="Arial"/>
          <w:sz w:val="24"/>
          <w:szCs w:val="24"/>
        </w:rPr>
      </w:pPr>
    </w:p>
    <w:p w:rsidR="00D20F78" w:rsidRPr="001819C9" w:rsidRDefault="00D20F78" w:rsidP="00D20F78">
      <w:pPr>
        <w:spacing w:after="0"/>
        <w:jc w:val="both"/>
        <w:rPr>
          <w:rFonts w:ascii="Bookman Old Style" w:hAnsi="Bookman Old Style" w:cs="Arial"/>
          <w:sz w:val="24"/>
          <w:szCs w:val="24"/>
        </w:rPr>
      </w:pPr>
      <w:r w:rsidRPr="001819C9">
        <w:rPr>
          <w:rFonts w:ascii="Bookman Old Style" w:hAnsi="Bookman Old Style" w:cs="Arial"/>
          <w:sz w:val="24"/>
          <w:szCs w:val="24"/>
        </w:rPr>
        <w:t xml:space="preserve">Por otro lado, el artículo 311 de la Constitución Política, señala que a los municipios les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 </w:t>
      </w:r>
    </w:p>
    <w:p w:rsidR="00D20F78" w:rsidRPr="001819C9" w:rsidRDefault="00D20F78" w:rsidP="00D20F78">
      <w:pPr>
        <w:spacing w:after="0"/>
        <w:jc w:val="both"/>
        <w:rPr>
          <w:rFonts w:ascii="Bookman Old Style" w:hAnsi="Bookman Old Style" w:cs="Arial"/>
          <w:sz w:val="24"/>
          <w:szCs w:val="24"/>
        </w:rPr>
      </w:pPr>
    </w:p>
    <w:p w:rsidR="00D20F78" w:rsidRPr="001819C9" w:rsidRDefault="00D20F78" w:rsidP="00D20F78">
      <w:pPr>
        <w:spacing w:after="0"/>
        <w:jc w:val="both"/>
        <w:rPr>
          <w:rFonts w:ascii="Bookman Old Style" w:hAnsi="Bookman Old Style" w:cs="Arial"/>
          <w:sz w:val="24"/>
          <w:szCs w:val="24"/>
        </w:rPr>
      </w:pPr>
      <w:r w:rsidRPr="001819C9">
        <w:rPr>
          <w:rFonts w:ascii="Bookman Old Style" w:hAnsi="Bookman Old Style" w:cs="Arial"/>
          <w:sz w:val="24"/>
          <w:szCs w:val="24"/>
        </w:rPr>
        <w:t xml:space="preserve">En cuanto a la organización del municipio, la Constitución Política de 1991 señala que en cada municipio habrá un alcalde elegido popularmente como jefe de la administración local y que ejercerá su representación legal (artículo 314 de la Constitución), cuyas atribuciones están enlistadas en el artículo 315, dentro de las que destacan </w:t>
      </w:r>
      <w:r>
        <w:rPr>
          <w:rFonts w:ascii="Bookman Old Style" w:hAnsi="Bookman Old Style" w:cs="Arial"/>
          <w:sz w:val="24"/>
          <w:szCs w:val="24"/>
        </w:rPr>
        <w:t>“c</w:t>
      </w:r>
      <w:r w:rsidRPr="001819C9">
        <w:rPr>
          <w:rFonts w:ascii="Bookman Old Style" w:hAnsi="Bookman Old Style" w:cs="Arial"/>
          <w:sz w:val="24"/>
          <w:szCs w:val="24"/>
        </w:rPr>
        <w:t>umplir y hacer cumplir la Constitución,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p>
    <w:p w:rsidR="00D20F78" w:rsidRPr="001819C9" w:rsidRDefault="00D20F78" w:rsidP="00D20F78">
      <w:pPr>
        <w:spacing w:after="0"/>
        <w:jc w:val="both"/>
        <w:rPr>
          <w:rFonts w:ascii="Bookman Old Style" w:hAnsi="Bookman Old Style" w:cs="Arial"/>
          <w:sz w:val="24"/>
          <w:szCs w:val="24"/>
        </w:rPr>
      </w:pPr>
    </w:p>
    <w:p w:rsidR="00D20F78" w:rsidRDefault="00D20F78" w:rsidP="00D20F78">
      <w:pPr>
        <w:jc w:val="both"/>
        <w:rPr>
          <w:rFonts w:ascii="Bookman Old Style" w:hAnsi="Bookman Old Style" w:cs="Arial"/>
          <w:sz w:val="24"/>
          <w:szCs w:val="24"/>
        </w:rPr>
      </w:pPr>
      <w:r w:rsidRPr="001819C9">
        <w:rPr>
          <w:rFonts w:ascii="Bookman Old Style" w:hAnsi="Bookman Old Style" w:cs="Arial"/>
          <w:sz w:val="24"/>
          <w:szCs w:val="24"/>
        </w:rPr>
        <w:lastRenderedPageBreak/>
        <w:t xml:space="preserve">A su vez, habrá una corporación </w:t>
      </w:r>
      <w:proofErr w:type="gramStart"/>
      <w:r w:rsidRPr="001819C9">
        <w:rPr>
          <w:rFonts w:ascii="Bookman Old Style" w:hAnsi="Bookman Old Style" w:cs="Arial"/>
          <w:sz w:val="24"/>
          <w:szCs w:val="24"/>
        </w:rPr>
        <w:t>político</w:t>
      </w:r>
      <w:proofErr w:type="gramEnd"/>
      <w:r w:rsidRPr="001819C9">
        <w:rPr>
          <w:rFonts w:ascii="Bookman Old Style" w:hAnsi="Bookman Old Style" w:cs="Arial"/>
          <w:sz w:val="24"/>
          <w:szCs w:val="24"/>
        </w:rPr>
        <w:t xml:space="preserve"> administrativa elegida popularmente, denominada concejo municipal (artículo 312 de la Constitución). Las competencias de los concejos municipales están enunciadas en el artículo 313 de la Constitución Política, dentro de las que destacan: “(…) 7. Reglamentar los usos del suelo y, dentro de los límites que fije la ley, vigilar y controlar las actividades relacionadas con la construcción y enajenación de inmuebles destinados a vivienda. (…) 9. Dictar las normas necesarias para el control, la preservación y defensa del patrimonio ecológico y cultural del municipio.”</w:t>
      </w:r>
    </w:p>
    <w:p w:rsidR="00D20F78" w:rsidRPr="00662048" w:rsidRDefault="00D20F78" w:rsidP="00D20F78">
      <w:pPr>
        <w:spacing w:after="0"/>
        <w:jc w:val="both"/>
        <w:rPr>
          <w:rFonts w:ascii="Bookman Old Style" w:hAnsi="Bookman Old Style" w:cs="Arial"/>
          <w:sz w:val="24"/>
          <w:szCs w:val="24"/>
        </w:rPr>
      </w:pPr>
      <w:r w:rsidRPr="00662048">
        <w:rPr>
          <w:rFonts w:ascii="Bookman Old Style" w:hAnsi="Bookman Old Style" w:cs="Arial"/>
          <w:sz w:val="24"/>
          <w:szCs w:val="24"/>
        </w:rPr>
        <w:t>El artículo 40 de la Carta Política de 1991, establece que “</w:t>
      </w:r>
      <w:r>
        <w:rPr>
          <w:rFonts w:ascii="Bookman Old Style" w:hAnsi="Bookman Old Style" w:cs="Arial"/>
          <w:i/>
          <w:iCs/>
          <w:sz w:val="24"/>
          <w:szCs w:val="24"/>
        </w:rPr>
        <w:t>T</w:t>
      </w:r>
      <w:r w:rsidRPr="00662048">
        <w:rPr>
          <w:rFonts w:ascii="Bookman Old Style" w:hAnsi="Bookman Old Style" w:cs="Arial"/>
          <w:i/>
          <w:iCs/>
          <w:sz w:val="24"/>
          <w:szCs w:val="24"/>
        </w:rPr>
        <w:t xml:space="preserve">odo ciudadano tiene derecho a participar en la conformación, ejercicio y control del poder político. Para hacer efectivo este derecho puede: (…) 2. Tomar parte en elecciones, plebiscitos, referendos, consultas populares y otras formas de participación democrática”. </w:t>
      </w:r>
    </w:p>
    <w:p w:rsidR="00D20F78" w:rsidRPr="00662048" w:rsidRDefault="00D20F78" w:rsidP="00D20F78">
      <w:pPr>
        <w:pStyle w:val="Prrafodelista"/>
        <w:spacing w:after="0"/>
        <w:jc w:val="both"/>
        <w:rPr>
          <w:rFonts w:ascii="Bookman Old Style" w:hAnsi="Bookman Old Style" w:cs="Arial"/>
          <w:sz w:val="24"/>
          <w:szCs w:val="24"/>
        </w:rPr>
      </w:pPr>
    </w:p>
    <w:p w:rsidR="00D20F78" w:rsidRPr="00662048" w:rsidRDefault="00D20F78" w:rsidP="00D20F78">
      <w:pPr>
        <w:spacing w:after="0"/>
        <w:jc w:val="both"/>
        <w:rPr>
          <w:rFonts w:ascii="Bookman Old Style" w:hAnsi="Bookman Old Style" w:cs="Arial"/>
          <w:sz w:val="24"/>
          <w:szCs w:val="24"/>
        </w:rPr>
      </w:pPr>
      <w:r w:rsidRPr="00662048">
        <w:rPr>
          <w:rFonts w:ascii="Bookman Old Style" w:hAnsi="Bookman Old Style" w:cs="Arial"/>
          <w:sz w:val="24"/>
          <w:szCs w:val="24"/>
        </w:rPr>
        <w:t>De manera complementaria, el artículo 103 señala que “</w:t>
      </w:r>
      <w:r>
        <w:rPr>
          <w:rFonts w:ascii="Bookman Old Style" w:hAnsi="Bookman Old Style" w:cs="Arial"/>
          <w:i/>
          <w:iCs/>
          <w:sz w:val="24"/>
          <w:szCs w:val="24"/>
        </w:rPr>
        <w:t>S</w:t>
      </w:r>
      <w:r w:rsidRPr="00662048">
        <w:rPr>
          <w:rFonts w:ascii="Bookman Old Style" w:hAnsi="Bookman Old Style" w:cs="Arial"/>
          <w:i/>
          <w:iCs/>
          <w:sz w:val="24"/>
          <w:szCs w:val="24"/>
        </w:rPr>
        <w:t>on mecanismos de participación del pueblo en ejercicio de su soberanía: el voto, el plebiscito, el referendo, la consulta popular, el cabildo abierto, la iniciativa legislativa y la revocatoria del mandato. La ley los reglamentará”.</w:t>
      </w:r>
    </w:p>
    <w:p w:rsidR="00D20F78" w:rsidRPr="00662048" w:rsidRDefault="00D20F78" w:rsidP="00D20F78">
      <w:pPr>
        <w:pStyle w:val="Prrafodelista"/>
        <w:spacing w:after="0"/>
        <w:jc w:val="both"/>
        <w:rPr>
          <w:rFonts w:ascii="Bookman Old Style" w:hAnsi="Bookman Old Style" w:cs="Arial"/>
          <w:sz w:val="24"/>
          <w:szCs w:val="24"/>
        </w:rPr>
      </w:pPr>
    </w:p>
    <w:p w:rsidR="00D20F78" w:rsidRPr="00662048" w:rsidRDefault="00D20F78" w:rsidP="00D20F78">
      <w:pPr>
        <w:spacing w:after="0"/>
        <w:jc w:val="both"/>
        <w:rPr>
          <w:rFonts w:ascii="Bookman Old Style" w:hAnsi="Bookman Old Style" w:cs="Arial"/>
          <w:sz w:val="24"/>
          <w:szCs w:val="24"/>
        </w:rPr>
      </w:pPr>
      <w:r w:rsidRPr="00662048">
        <w:rPr>
          <w:rFonts w:ascii="Bookman Old Style" w:hAnsi="Bookman Old Style" w:cs="Arial"/>
          <w:sz w:val="24"/>
          <w:szCs w:val="24"/>
        </w:rPr>
        <w:t>El artículo 104 se refiere a la consulta popular nacional y el 105 a la posibilidad de los alcaldes y gobernadores de realizar consultas populares para decidir sobre asuntos de competencia del respectivo departamento o municipio.</w:t>
      </w:r>
    </w:p>
    <w:p w:rsidR="00D20F78" w:rsidRPr="00662048" w:rsidRDefault="00D20F78" w:rsidP="00D20F78">
      <w:pPr>
        <w:pStyle w:val="Prrafodelista"/>
        <w:spacing w:after="0"/>
        <w:jc w:val="both"/>
        <w:rPr>
          <w:rFonts w:ascii="Bookman Old Style" w:hAnsi="Bookman Old Style" w:cs="Arial"/>
          <w:sz w:val="24"/>
          <w:szCs w:val="24"/>
        </w:rPr>
      </w:pPr>
    </w:p>
    <w:p w:rsidR="00D20F78" w:rsidRPr="00662048" w:rsidRDefault="00D20F78" w:rsidP="00D20F78">
      <w:pPr>
        <w:spacing w:after="0"/>
        <w:jc w:val="both"/>
        <w:rPr>
          <w:rFonts w:ascii="Bookman Old Style" w:hAnsi="Bookman Old Style" w:cs="Arial"/>
          <w:sz w:val="24"/>
          <w:szCs w:val="24"/>
        </w:rPr>
      </w:pPr>
      <w:r w:rsidRPr="00662048">
        <w:rPr>
          <w:rFonts w:ascii="Bookman Old Style" w:hAnsi="Bookman Old Style" w:cs="Arial"/>
          <w:sz w:val="24"/>
          <w:szCs w:val="24"/>
        </w:rPr>
        <w:t>Por su parte, el artículo 79 superior, señala que en materia ambiental la ley debe garantizar la participación de la comunidad en las decisiones que le afecten. Y, por otro lado, también se ha entendido a la participación como un deber ciudadano con el objeto de aportar a la construcción de sociedad y de país desde el artículo 95 de la Constitución.</w:t>
      </w:r>
    </w:p>
    <w:p w:rsidR="00D20F78" w:rsidRDefault="00D20F78" w:rsidP="00D20F78">
      <w:pPr>
        <w:pStyle w:val="Sinespaciado"/>
      </w:pPr>
    </w:p>
    <w:p w:rsidR="00D20F78" w:rsidRPr="004164E9" w:rsidRDefault="00D20F78" w:rsidP="00D20F78">
      <w:pPr>
        <w:ind w:left="426"/>
        <w:jc w:val="both"/>
        <w:rPr>
          <w:rFonts w:ascii="Bookman Old Style" w:hAnsi="Bookman Old Style" w:cs="Arial"/>
          <w:b/>
          <w:sz w:val="24"/>
          <w:szCs w:val="24"/>
        </w:rPr>
      </w:pPr>
      <w:r w:rsidRPr="004164E9">
        <w:rPr>
          <w:rFonts w:ascii="Bookman Old Style" w:hAnsi="Bookman Old Style" w:cs="Arial"/>
          <w:b/>
          <w:sz w:val="24"/>
          <w:szCs w:val="24"/>
        </w:rPr>
        <w:t xml:space="preserve">2.2. </w:t>
      </w:r>
      <w:r>
        <w:rPr>
          <w:rFonts w:ascii="Bookman Old Style" w:hAnsi="Bookman Old Style" w:cs="Arial"/>
          <w:b/>
          <w:sz w:val="24"/>
          <w:szCs w:val="24"/>
        </w:rPr>
        <w:t>DESARROLLO JURISPRUDENCIAL</w:t>
      </w:r>
    </w:p>
    <w:p w:rsidR="00D20F78" w:rsidRPr="00791ED8" w:rsidRDefault="00D20F78" w:rsidP="00D20F78">
      <w:pPr>
        <w:spacing w:after="0"/>
        <w:jc w:val="both"/>
        <w:rPr>
          <w:rFonts w:ascii="Bookman Old Style" w:hAnsi="Bookman Old Style" w:cs="Arial"/>
          <w:sz w:val="24"/>
        </w:rPr>
      </w:pPr>
      <w:bookmarkStart w:id="5" w:name="_Hlk49244010"/>
      <w:r>
        <w:rPr>
          <w:rFonts w:ascii="Bookman Old Style" w:hAnsi="Bookman Old Style" w:cs="Arial"/>
          <w:sz w:val="24"/>
        </w:rPr>
        <w:t>L</w:t>
      </w:r>
      <w:r w:rsidRPr="00791ED8">
        <w:rPr>
          <w:rFonts w:ascii="Bookman Old Style" w:hAnsi="Bookman Old Style" w:cs="Arial"/>
          <w:sz w:val="24"/>
        </w:rPr>
        <w:t>a Corte Constitucional, máximo guardián de la Constitución Política de Colombia, ha estructurado un</w:t>
      </w:r>
      <w:r>
        <w:rPr>
          <w:rFonts w:ascii="Bookman Old Style" w:hAnsi="Bookman Old Style" w:cs="Arial"/>
          <w:sz w:val="24"/>
        </w:rPr>
        <w:t>a clara línea jurisprudencial (s</w:t>
      </w:r>
      <w:r w:rsidRPr="00791ED8">
        <w:rPr>
          <w:rFonts w:ascii="Bookman Old Style" w:hAnsi="Bookman Old Style" w:cs="Arial"/>
          <w:sz w:val="24"/>
        </w:rPr>
        <w:t xml:space="preserve">entencias C-123 de 2014, C-035 de 2016, C-273 de 2016, C-389 de 2016, SU-095 de 2018, C-053 de 2019, </w:t>
      </w:r>
      <w:r w:rsidRPr="00791ED8">
        <w:rPr>
          <w:rStyle w:val="normaltextrun"/>
          <w:rFonts w:ascii="Bookman Old Style" w:hAnsi="Bookman Old Style"/>
          <w:sz w:val="24"/>
        </w:rPr>
        <w:t xml:space="preserve">C-096 de 2020, </w:t>
      </w:r>
      <w:r w:rsidRPr="00791ED8">
        <w:rPr>
          <w:rFonts w:ascii="Bookman Old Style" w:hAnsi="Bookman Old Style" w:cs="Arial"/>
          <w:sz w:val="24"/>
        </w:rPr>
        <w:t xml:space="preserve">A-281 de 2019, T-342 de 2019) para resolver la tensión entre los principios de estado unitario y autonomía </w:t>
      </w:r>
      <w:r w:rsidRPr="00791ED8">
        <w:rPr>
          <w:rFonts w:ascii="Bookman Old Style" w:hAnsi="Bookman Old Style" w:cs="Arial"/>
          <w:sz w:val="24"/>
        </w:rPr>
        <w:lastRenderedPageBreak/>
        <w:t>territorial, en la que ha dejado claro que las entidades territoriales no pueden vetar unilateralmente las actividades de exploración y explotación del subsuelo y de los recursos naturales no renovables y del subsuelo.</w:t>
      </w:r>
    </w:p>
    <w:p w:rsidR="00D20F78" w:rsidRPr="00791ED8" w:rsidRDefault="00D20F78" w:rsidP="00D20F78">
      <w:pPr>
        <w:spacing w:after="0"/>
        <w:ind w:right="51"/>
        <w:contextualSpacing/>
        <w:jc w:val="both"/>
        <w:rPr>
          <w:rFonts w:ascii="Bookman Old Style" w:hAnsi="Bookman Old Style" w:cs="Arial"/>
          <w:sz w:val="24"/>
        </w:rPr>
      </w:pPr>
    </w:p>
    <w:bookmarkEnd w:id="5"/>
    <w:p w:rsidR="00D20F78" w:rsidRPr="00791ED8" w:rsidRDefault="00D20F78" w:rsidP="00D20F78">
      <w:pPr>
        <w:spacing w:after="0"/>
        <w:jc w:val="both"/>
        <w:rPr>
          <w:rFonts w:ascii="Bookman Old Style" w:eastAsia="Work Sans" w:hAnsi="Bookman Old Style" w:cs="Work Sans"/>
          <w:sz w:val="24"/>
        </w:rPr>
      </w:pPr>
      <w:r w:rsidRPr="00791ED8">
        <w:rPr>
          <w:rFonts w:ascii="Bookman Old Style" w:eastAsia="Work Sans" w:hAnsi="Bookman Old Style" w:cs="Work Sans"/>
          <w:sz w:val="24"/>
        </w:rPr>
        <w:t>Dentro de esta línea, la Corte Constitucional profirió la sentencia SU-095 del 11 de octubre de 2018, mediante la cual unificó su jurisprudencia y se apartó en forma definitiva de la sentencia T-445-2016, señalando contundentemente que los entes territoriales no tienen competencia o facultad constitucional o legal para prohibir en forma autónoma las actividades mineras y de hidrocarburos en su territorio, ni para restringirlas de manera unilateral, en tanto implican el aprovechamiento de recursos naturales no renovables y del subsuelo, razón por la cual, existen competencias concurrentes con la Nación que deben armonizarse.</w:t>
      </w:r>
    </w:p>
    <w:p w:rsidR="00D20F78" w:rsidRPr="00791ED8" w:rsidRDefault="00D20F78" w:rsidP="00D20F78">
      <w:pPr>
        <w:spacing w:after="0"/>
        <w:jc w:val="both"/>
        <w:rPr>
          <w:rFonts w:ascii="Bookman Old Style" w:eastAsia="Work Sans" w:hAnsi="Bookman Old Style" w:cs="Work Sans"/>
          <w:sz w:val="24"/>
        </w:rPr>
      </w:pPr>
    </w:p>
    <w:p w:rsidR="00D20F78" w:rsidRPr="00791ED8" w:rsidRDefault="00D20F78" w:rsidP="00D20F78">
      <w:pPr>
        <w:spacing w:after="0"/>
        <w:jc w:val="both"/>
        <w:rPr>
          <w:rFonts w:ascii="Bookman Old Style" w:eastAsia="Work Sans" w:hAnsi="Bookman Old Style" w:cs="Work Sans"/>
          <w:sz w:val="24"/>
        </w:rPr>
      </w:pPr>
      <w:r w:rsidRPr="00791ED8">
        <w:rPr>
          <w:rFonts w:ascii="Bookman Old Style" w:eastAsia="Work Sans" w:hAnsi="Bookman Old Style" w:cs="Work Sans"/>
          <w:sz w:val="24"/>
        </w:rPr>
        <w:t xml:space="preserve">Así las cosas, la Sala Plena de la Corte Constitucional determinó en el precitado fallo que, </w:t>
      </w:r>
      <w:r w:rsidRPr="00791ED8">
        <w:rPr>
          <w:rFonts w:ascii="Bookman Old Style" w:eastAsia="Work Sans" w:hAnsi="Bookman Old Style" w:cs="Work Sans"/>
          <w:i/>
          <w:sz w:val="24"/>
        </w:rPr>
        <w:t>“(…) de conformidad con las competencias atribuidas por la Constitución Política a la nación y a las entidades territoriales, las decisiones relacionadas con la exploración y explotación de los recursos naturales no renovables del subsuelo, deben ser adoptadas de manera concurrente y coordinada por las autoridades nacionales, con la participación de las autoridades territoriales, mediante los mecanismos que establezca la ley”</w:t>
      </w:r>
      <w:r w:rsidRPr="005A4C34">
        <w:rPr>
          <w:rFonts w:ascii="Bookman Old Style" w:eastAsia="Work Sans" w:hAnsi="Bookman Old Style" w:cs="Work Sans"/>
          <w:b/>
          <w:i/>
          <w:sz w:val="24"/>
          <w:vertAlign w:val="superscript"/>
        </w:rPr>
        <w:footnoteReference w:id="1"/>
      </w:r>
      <w:r w:rsidRPr="00791ED8">
        <w:rPr>
          <w:rFonts w:ascii="Bookman Old Style" w:eastAsia="Work Sans" w:hAnsi="Bookman Old Style" w:cs="Work Sans"/>
          <w:i/>
          <w:sz w:val="24"/>
        </w:rPr>
        <w:t xml:space="preserve">. </w:t>
      </w:r>
    </w:p>
    <w:p w:rsidR="00D20F78" w:rsidRPr="00791ED8" w:rsidRDefault="00D20F78" w:rsidP="00D20F78">
      <w:pPr>
        <w:spacing w:after="0"/>
        <w:jc w:val="both"/>
        <w:rPr>
          <w:rFonts w:ascii="Bookman Old Style" w:eastAsia="Work Sans" w:hAnsi="Bookman Old Style" w:cs="Work Sans"/>
          <w:sz w:val="24"/>
        </w:rPr>
      </w:pPr>
    </w:p>
    <w:p w:rsidR="00D20F78" w:rsidRPr="00791ED8" w:rsidRDefault="00D20F78" w:rsidP="00D20F78">
      <w:pPr>
        <w:spacing w:after="0"/>
        <w:jc w:val="both"/>
        <w:rPr>
          <w:rFonts w:ascii="Bookman Old Style" w:eastAsia="Work Sans" w:hAnsi="Bookman Old Style" w:cs="Work Sans"/>
          <w:sz w:val="24"/>
        </w:rPr>
      </w:pPr>
      <w:r w:rsidRPr="00791ED8">
        <w:rPr>
          <w:rFonts w:ascii="Bookman Old Style" w:hAnsi="Bookman Old Style" w:cs="Arial"/>
          <w:sz w:val="24"/>
        </w:rPr>
        <w:t>A su vez, la Corte Constitucional señaló que</w:t>
      </w:r>
      <w:r w:rsidRPr="00791ED8">
        <w:rPr>
          <w:rFonts w:ascii="Bookman Old Style" w:hAnsi="Bookman Old Style" w:cs="Arial"/>
          <w:i/>
          <w:iCs/>
          <w:sz w:val="24"/>
        </w:rPr>
        <w:t xml:space="preserve"> “[n]i la nación (nivel nacional o central) ni las entidades territoriales tienen competencias absolutas en materia de explotación del subsuelo y de los RNNR; así, </w:t>
      </w:r>
      <w:r w:rsidRPr="00791ED8">
        <w:rPr>
          <w:rFonts w:ascii="Bookman Old Style" w:hAnsi="Bookman Old Style" w:cs="Arial"/>
          <w:b/>
          <w:bCs/>
          <w:i/>
          <w:iCs/>
          <w:sz w:val="24"/>
          <w:u w:val="single"/>
        </w:rPr>
        <w:t>las entidades territoriales no cuentan con competencia absoluta sobre los recursos del subsuelo, ni tampoco poder de veto respecto a la realización de actividades para la explotación del subsuelo y de RNNR,</w:t>
      </w:r>
      <w:r w:rsidRPr="00791ED8">
        <w:rPr>
          <w:rFonts w:ascii="Bookman Old Style" w:hAnsi="Bookman Old Style" w:cs="Arial"/>
          <w:i/>
          <w:iCs/>
          <w:sz w:val="24"/>
          <w:u w:val="single"/>
        </w:rPr>
        <w:t xml:space="preserve"> </w:t>
      </w:r>
      <w:r w:rsidRPr="00791ED8">
        <w:rPr>
          <w:rFonts w:ascii="Bookman Old Style" w:hAnsi="Bookman Old Style" w:cs="Arial"/>
          <w:b/>
          <w:bCs/>
          <w:i/>
          <w:iCs/>
          <w:sz w:val="24"/>
          <w:u w:val="single"/>
        </w:rPr>
        <w:t>de acuerdo con una lectura e interpretación sistemática de la Constitución</w:t>
      </w:r>
      <w:r w:rsidRPr="00791ED8">
        <w:rPr>
          <w:rFonts w:ascii="Bookman Old Style" w:hAnsi="Bookman Old Style" w:cs="Arial"/>
          <w:i/>
          <w:iCs/>
          <w:sz w:val="24"/>
        </w:rPr>
        <w:t>”</w:t>
      </w:r>
      <w:r w:rsidRPr="005A4C34">
        <w:rPr>
          <w:rStyle w:val="Refdenotaalpie"/>
          <w:rFonts w:ascii="Bookman Old Style" w:hAnsi="Bookman Old Style" w:cs="Arial"/>
          <w:b/>
          <w:sz w:val="24"/>
        </w:rPr>
        <w:footnoteReference w:id="2"/>
      </w:r>
      <w:r w:rsidRPr="00791ED8">
        <w:rPr>
          <w:rFonts w:ascii="Bookman Old Style" w:hAnsi="Bookman Old Style" w:cs="Arial"/>
          <w:sz w:val="24"/>
        </w:rPr>
        <w:t>(Subrayado y negrilla fuera de texto)</w:t>
      </w:r>
      <w:r>
        <w:rPr>
          <w:rFonts w:ascii="Bookman Old Style" w:hAnsi="Bookman Old Style" w:cs="Arial"/>
          <w:sz w:val="24"/>
        </w:rPr>
        <w:t>.</w:t>
      </w:r>
    </w:p>
    <w:p w:rsidR="00D20F78" w:rsidRPr="00791ED8" w:rsidRDefault="00D20F78" w:rsidP="00D20F78">
      <w:pPr>
        <w:spacing w:after="0"/>
        <w:jc w:val="both"/>
        <w:rPr>
          <w:rFonts w:ascii="Bookman Old Style" w:eastAsia="Work Sans" w:hAnsi="Bookman Old Style" w:cs="Work Sans"/>
          <w:sz w:val="24"/>
        </w:rPr>
      </w:pPr>
    </w:p>
    <w:p w:rsidR="00D20F78" w:rsidRPr="00791ED8" w:rsidRDefault="00D20F78" w:rsidP="00D20F78">
      <w:pPr>
        <w:spacing w:after="0"/>
        <w:jc w:val="both"/>
        <w:rPr>
          <w:rFonts w:ascii="Bookman Old Style" w:eastAsia="Work Sans" w:hAnsi="Bookman Old Style" w:cs="Work Sans"/>
          <w:sz w:val="24"/>
        </w:rPr>
      </w:pPr>
      <w:r w:rsidRPr="00791ED8">
        <w:rPr>
          <w:rFonts w:ascii="Bookman Old Style" w:eastAsia="Work Sans" w:hAnsi="Bookman Old Style" w:cs="Work Sans"/>
          <w:sz w:val="24"/>
        </w:rPr>
        <w:t>Estas consideraciones se concretan en la sentencia SU-095 de 2018 en una serie de criterios constitucionales</w:t>
      </w:r>
      <w:r w:rsidRPr="005A4C34">
        <w:rPr>
          <w:rStyle w:val="Refdenotaalpie"/>
          <w:rFonts w:ascii="Bookman Old Style" w:eastAsia="Work Sans" w:hAnsi="Bookman Old Style" w:cs="Work Sans"/>
          <w:b/>
          <w:sz w:val="24"/>
        </w:rPr>
        <w:footnoteReference w:id="3"/>
      </w:r>
      <w:r>
        <w:rPr>
          <w:rFonts w:ascii="Bookman Old Style" w:eastAsia="Work Sans" w:hAnsi="Bookman Old Style" w:cs="Work Sans"/>
          <w:sz w:val="24"/>
        </w:rPr>
        <w:t xml:space="preserve"> que debe ser aplicado por el </w:t>
      </w:r>
      <w:r>
        <w:rPr>
          <w:rFonts w:ascii="Bookman Old Style" w:eastAsia="Work Sans" w:hAnsi="Bookman Old Style" w:cs="Work Sans"/>
          <w:sz w:val="24"/>
        </w:rPr>
        <w:lastRenderedPageBreak/>
        <w:t>l</w:t>
      </w:r>
      <w:r w:rsidRPr="00791ED8">
        <w:rPr>
          <w:rFonts w:ascii="Bookman Old Style" w:eastAsia="Work Sans" w:hAnsi="Bookman Old Style" w:cs="Work Sans"/>
          <w:sz w:val="24"/>
        </w:rPr>
        <w:t>egislador, el gobierno nacional central y las autoridades locales en el desarrollo de acciones para la exploración y explotación de los recursos naturales no renovables y del subsuelo</w:t>
      </w:r>
      <w:r w:rsidRPr="005A4C34">
        <w:rPr>
          <w:rStyle w:val="Refdenotaalpie"/>
          <w:rFonts w:ascii="Bookman Old Style" w:eastAsia="Work Sans" w:hAnsi="Bookman Old Style" w:cs="Work Sans"/>
          <w:b/>
          <w:sz w:val="24"/>
        </w:rPr>
        <w:footnoteReference w:id="4"/>
      </w:r>
      <w:r w:rsidRPr="00791ED8">
        <w:rPr>
          <w:rFonts w:ascii="Bookman Old Style" w:eastAsia="Work Sans" w:hAnsi="Bookman Old Style" w:cs="Work Sans"/>
          <w:sz w:val="24"/>
        </w:rPr>
        <w:t xml:space="preserve">, principalmente en la </w:t>
      </w:r>
      <w:r w:rsidRPr="00791ED8">
        <w:rPr>
          <w:rFonts w:ascii="Bookman Old Style" w:eastAsia="Work Sans" w:hAnsi="Bookman Old Style" w:cs="Work Sans"/>
          <w:i/>
          <w:iCs/>
          <w:sz w:val="24"/>
        </w:rPr>
        <w:t>“inexistencia de un poder de veto de las entidades territoriales para la exploración y explotación del subsuelo y de recursos naturales no renovables”</w:t>
      </w:r>
      <w:r w:rsidRPr="005A4C34">
        <w:rPr>
          <w:rStyle w:val="Refdenotaalpie"/>
          <w:rFonts w:ascii="Bookman Old Style" w:eastAsia="Work Sans" w:hAnsi="Bookman Old Style" w:cs="Work Sans"/>
          <w:b/>
          <w:i/>
          <w:iCs/>
          <w:sz w:val="24"/>
        </w:rPr>
        <w:footnoteReference w:id="5"/>
      </w:r>
      <w:r w:rsidRPr="00791ED8">
        <w:rPr>
          <w:rFonts w:ascii="Bookman Old Style" w:eastAsia="Work Sans" w:hAnsi="Bookman Old Style" w:cs="Work Sans"/>
          <w:i/>
          <w:iCs/>
          <w:sz w:val="24"/>
        </w:rPr>
        <w:t>.</w:t>
      </w:r>
      <w:r w:rsidRPr="00791ED8">
        <w:rPr>
          <w:rFonts w:ascii="Bookman Old Style" w:eastAsia="Work Sans" w:hAnsi="Bookman Old Style" w:cs="Work Sans"/>
          <w:sz w:val="24"/>
        </w:rPr>
        <w:t xml:space="preserve"> </w:t>
      </w:r>
    </w:p>
    <w:p w:rsidR="00D20F78" w:rsidRPr="00791ED8" w:rsidRDefault="00D20F78" w:rsidP="00D20F78">
      <w:pPr>
        <w:spacing w:after="0"/>
        <w:jc w:val="both"/>
        <w:rPr>
          <w:rFonts w:ascii="Bookman Old Style" w:eastAsia="Work Sans" w:hAnsi="Bookman Old Style" w:cs="Work Sans"/>
          <w:b/>
          <w:sz w:val="24"/>
        </w:rPr>
      </w:pPr>
      <w:r>
        <w:rPr>
          <w:rFonts w:ascii="Bookman Old Style" w:eastAsia="Work Sans" w:hAnsi="Bookman Old Style" w:cs="Work Sans"/>
          <w:sz w:val="24"/>
        </w:rPr>
        <w:t>Se</w:t>
      </w:r>
      <w:r w:rsidRPr="00791ED8">
        <w:rPr>
          <w:rFonts w:ascii="Bookman Old Style" w:eastAsia="Work Sans" w:hAnsi="Bookman Old Style" w:cs="Work Sans"/>
          <w:sz w:val="24"/>
        </w:rPr>
        <w:t xml:space="preserve"> resalta que esta sentencia no se refiere de manera exclusiva al mecanismo de participación de consulta popular, </w:t>
      </w:r>
      <w:r w:rsidRPr="00791ED8">
        <w:rPr>
          <w:rFonts w:ascii="Bookman Old Style" w:eastAsia="Work Sans" w:hAnsi="Bookman Old Style" w:cs="Work Sans"/>
          <w:b/>
          <w:sz w:val="24"/>
        </w:rPr>
        <w:t xml:space="preserve">también hace alusión directa a la necesidad de que las autoridades del orden nacional y territorial, dentro de los diferentes mecanismos que establece la ley, de manera coordinada y concurrente, definan las actividades mineras y de hidrocarburos que se van a desarrollar en los territorios. </w:t>
      </w:r>
    </w:p>
    <w:p w:rsidR="00D20F78" w:rsidRPr="00791ED8" w:rsidRDefault="00D20F78" w:rsidP="00D20F78">
      <w:pPr>
        <w:spacing w:after="0"/>
        <w:jc w:val="both"/>
        <w:rPr>
          <w:rFonts w:ascii="Bookman Old Style" w:eastAsia="Work Sans" w:hAnsi="Bookman Old Style" w:cs="Work Sans"/>
          <w:sz w:val="24"/>
        </w:rPr>
      </w:pPr>
    </w:p>
    <w:p w:rsidR="00D20F78" w:rsidRPr="00791ED8" w:rsidRDefault="00D20F78" w:rsidP="00D20F78">
      <w:pPr>
        <w:spacing w:after="0"/>
        <w:jc w:val="both"/>
        <w:rPr>
          <w:rFonts w:ascii="Bookman Old Style" w:eastAsia="Work Sans" w:hAnsi="Bookman Old Style" w:cs="Work Sans"/>
          <w:sz w:val="24"/>
        </w:rPr>
      </w:pPr>
      <w:r w:rsidRPr="00791ED8">
        <w:rPr>
          <w:rFonts w:ascii="Bookman Old Style" w:eastAsia="Work Sans" w:hAnsi="Bookman Old Style" w:cs="Work Sans"/>
          <w:sz w:val="24"/>
        </w:rPr>
        <w:t xml:space="preserve">En tal sentido, la sentencia SU-095 de 2018 indicó que: </w:t>
      </w:r>
    </w:p>
    <w:p w:rsidR="00D20F78" w:rsidRPr="00791ED8" w:rsidRDefault="00D20F78" w:rsidP="00D20F78">
      <w:pPr>
        <w:spacing w:after="0"/>
        <w:jc w:val="both"/>
        <w:rPr>
          <w:rFonts w:ascii="Bookman Old Style" w:eastAsia="Work Sans" w:hAnsi="Bookman Old Style" w:cs="Work Sans"/>
          <w:sz w:val="24"/>
        </w:rPr>
      </w:pPr>
    </w:p>
    <w:p w:rsidR="00D20F78" w:rsidRPr="00F1374F" w:rsidRDefault="00D20F78" w:rsidP="00D20F78">
      <w:pPr>
        <w:spacing w:after="0" w:line="240" w:lineRule="auto"/>
        <w:ind w:left="567" w:right="474"/>
        <w:jc w:val="both"/>
        <w:rPr>
          <w:rFonts w:ascii="Bookman Old Style" w:eastAsia="Work Sans" w:hAnsi="Bookman Old Style" w:cs="Work Sans"/>
          <w:i/>
        </w:rPr>
      </w:pPr>
      <w:r w:rsidRPr="00F1374F">
        <w:rPr>
          <w:rFonts w:ascii="Bookman Old Style" w:eastAsia="Work Sans" w:hAnsi="Bookman Old Style" w:cs="Work Sans"/>
          <w:i/>
        </w:rPr>
        <w:t xml:space="preserve">“(…) De igual manera, consideró la Sala </w:t>
      </w:r>
      <w:r w:rsidR="009E6D68" w:rsidRPr="00F1374F">
        <w:rPr>
          <w:rFonts w:ascii="Bookman Old Style" w:eastAsia="Work Sans" w:hAnsi="Bookman Old Style" w:cs="Work Sans"/>
          <w:i/>
        </w:rPr>
        <w:t>que,</w:t>
      </w:r>
      <w:r w:rsidRPr="00F1374F">
        <w:rPr>
          <w:rFonts w:ascii="Bookman Old Style" w:eastAsia="Work Sans" w:hAnsi="Bookman Old Style" w:cs="Work Sans"/>
          <w:i/>
        </w:rPr>
        <w:t xml:space="preserve"> </w:t>
      </w:r>
      <w:r w:rsidRPr="00F1374F">
        <w:rPr>
          <w:rFonts w:ascii="Bookman Old Style" w:eastAsia="Work Sans" w:hAnsi="Bookman Old Style" w:cs="Work Sans"/>
          <w:b/>
          <w:bCs/>
          <w:i/>
          <w:u w:val="single"/>
        </w:rPr>
        <w:t xml:space="preserve">pese a que la Constitución reconoce en cabeza de las entidades territoriales la competencia para establecer el uso del suelo, esta función propia debe ejercerse de manera coordinada y concurrente con las competencias de la Nación. </w:t>
      </w:r>
      <w:r w:rsidRPr="00F1374F">
        <w:rPr>
          <w:rFonts w:ascii="Bookman Old Style" w:eastAsia="Work Sans" w:hAnsi="Bookman Old Style" w:cs="Work Sans"/>
          <w:i/>
        </w:rPr>
        <w:t>Así mismo la Constitución garantiza a todos los ciudadanos el derecho de participar en la toma de decisiones que los afecten, cuando en su territorio se adelanten actividades para la exploración y explotación de recursos naturales no renovables en aras de proteger sus intereses ambientales, sociales y económicos. (…)</w:t>
      </w:r>
    </w:p>
    <w:p w:rsidR="00D20F78" w:rsidRPr="00F1374F" w:rsidRDefault="00D20F78" w:rsidP="00D20F78">
      <w:pPr>
        <w:spacing w:after="0"/>
        <w:ind w:left="567" w:right="474"/>
        <w:jc w:val="both"/>
        <w:rPr>
          <w:rFonts w:ascii="Bookman Old Style" w:eastAsia="Work Sans" w:hAnsi="Bookman Old Style" w:cs="Work Sans"/>
          <w:i/>
        </w:rPr>
      </w:pPr>
    </w:p>
    <w:p w:rsidR="00D20F78" w:rsidRPr="00791ED8" w:rsidRDefault="00D20F78" w:rsidP="00D20F78">
      <w:pPr>
        <w:spacing w:after="0" w:line="240" w:lineRule="auto"/>
        <w:ind w:left="567" w:right="474"/>
        <w:jc w:val="both"/>
        <w:rPr>
          <w:rFonts w:ascii="Bookman Old Style" w:eastAsia="Work Sans" w:hAnsi="Bookman Old Style" w:cs="Work Sans"/>
          <w:sz w:val="24"/>
        </w:rPr>
      </w:pPr>
      <w:r w:rsidRPr="00F1374F">
        <w:rPr>
          <w:rFonts w:ascii="Bookman Old Style" w:eastAsia="Work Sans" w:hAnsi="Bookman Old Style" w:cs="Work Sans"/>
          <w:i/>
        </w:rPr>
        <w:t xml:space="preserve">(…) Por último, </w:t>
      </w:r>
      <w:r w:rsidRPr="00F1374F">
        <w:rPr>
          <w:rFonts w:ascii="Bookman Old Style" w:eastAsia="Work Sans" w:hAnsi="Bookman Old Style" w:cs="Work Sans"/>
          <w:b/>
          <w:bCs/>
          <w:i/>
          <w:u w:val="single"/>
        </w:rPr>
        <w:t>la Corte resolvió instar a los alcaldes de los municipios del país para que en el marco de sus competencias de ordenamiento territorial, tengan en cuenta los principios de coordinación y concurrencia con las autoridades nacionales</w:t>
      </w:r>
      <w:r w:rsidRPr="00F1374F">
        <w:rPr>
          <w:rFonts w:ascii="Bookman Old Style" w:eastAsia="Work Sans" w:hAnsi="Bookman Old Style" w:cs="Work Sans"/>
          <w:i/>
        </w:rPr>
        <w:t xml:space="preserve"> (…)”</w:t>
      </w:r>
      <w:r w:rsidRPr="00297F2B">
        <w:rPr>
          <w:rFonts w:ascii="Bookman Old Style" w:eastAsia="Work Sans" w:hAnsi="Bookman Old Style" w:cs="Work Sans"/>
          <w:b/>
          <w:i/>
          <w:vertAlign w:val="superscript"/>
        </w:rPr>
        <w:footnoteReference w:id="6"/>
      </w:r>
      <w:r w:rsidRPr="00791ED8">
        <w:rPr>
          <w:rFonts w:ascii="Bookman Old Style" w:eastAsia="Work Sans" w:hAnsi="Bookman Old Style" w:cs="Work Sans"/>
          <w:sz w:val="24"/>
        </w:rPr>
        <w:t xml:space="preserve"> (Subrayado y negrilla fuera del original).</w:t>
      </w:r>
    </w:p>
    <w:p w:rsidR="00D20F78" w:rsidRPr="00791ED8" w:rsidRDefault="00D20F78" w:rsidP="00D20F78">
      <w:pPr>
        <w:spacing w:after="0"/>
        <w:ind w:left="708"/>
        <w:jc w:val="both"/>
        <w:rPr>
          <w:rFonts w:ascii="Bookman Old Style" w:eastAsia="Work Sans" w:hAnsi="Bookman Old Style" w:cs="Work Sans"/>
          <w:sz w:val="24"/>
        </w:rPr>
      </w:pPr>
    </w:p>
    <w:p w:rsidR="00D20F78" w:rsidRPr="00791ED8" w:rsidRDefault="00D20F78" w:rsidP="00D20F78">
      <w:pPr>
        <w:spacing w:after="0"/>
        <w:jc w:val="both"/>
        <w:rPr>
          <w:rFonts w:ascii="Bookman Old Style" w:eastAsiaTheme="minorHAnsi" w:hAnsi="Bookman Old Style"/>
          <w:sz w:val="24"/>
        </w:rPr>
      </w:pPr>
      <w:r w:rsidRPr="00791ED8">
        <w:rPr>
          <w:rFonts w:ascii="Bookman Old Style" w:hAnsi="Bookman Old Style"/>
          <w:sz w:val="24"/>
        </w:rPr>
        <w:t xml:space="preserve">Conforme a lo anterior, al analizar en esta sentencia específicamente la competencia de los municipios sobre el uso del suelo, la Corte Constitucional indicó que aunque las entidades territoriales municipales cuentan con el Plan de Ordenamiento Territorial que se constituye en un instrumento de planificación económica y social, con fundamento en la </w:t>
      </w:r>
      <w:r w:rsidRPr="00791ED8">
        <w:rPr>
          <w:rFonts w:ascii="Bookman Old Style" w:hAnsi="Bookman Old Style"/>
          <w:sz w:val="24"/>
        </w:rPr>
        <w:lastRenderedPageBreak/>
        <w:t xml:space="preserve">dimensión territorial (artículo 9 de la ley 388 de 1997), estos instrumentos también deben atender los mandatos constitucionales (sobre la coordinación y concurrencia del artículo 288 superior) y legales sobre las diferentes materias, con el propósito de no interferir en la ejecución de funciones y atribuciones de otros organismos, </w:t>
      </w:r>
      <w:r w:rsidRPr="00791ED8">
        <w:rPr>
          <w:rFonts w:ascii="Bookman Old Style" w:hAnsi="Bookman Old Style"/>
          <w:b/>
          <w:bCs/>
          <w:sz w:val="24"/>
        </w:rPr>
        <w:t>lo que se traduce en la inexistencia de un poder de veto también en los acuerdos y planes de ordenamiento territorial</w:t>
      </w:r>
      <w:r w:rsidRPr="00791ED8">
        <w:rPr>
          <w:rFonts w:ascii="Bookman Old Style" w:hAnsi="Bookman Old Style"/>
          <w:sz w:val="24"/>
        </w:rPr>
        <w:t xml:space="preserve">. </w:t>
      </w:r>
    </w:p>
    <w:p w:rsidR="00D20F78" w:rsidRPr="00791ED8" w:rsidRDefault="00D20F78" w:rsidP="00D20F78">
      <w:pPr>
        <w:spacing w:after="0"/>
        <w:jc w:val="both"/>
        <w:rPr>
          <w:rFonts w:ascii="Bookman Old Style" w:hAnsi="Bookman Old Style"/>
          <w:sz w:val="24"/>
        </w:rPr>
      </w:pPr>
    </w:p>
    <w:p w:rsidR="00D20F78" w:rsidRPr="00791ED8" w:rsidRDefault="00D20F78" w:rsidP="00D20F78">
      <w:pPr>
        <w:spacing w:after="0"/>
        <w:jc w:val="both"/>
        <w:rPr>
          <w:rFonts w:ascii="Bookman Old Style" w:eastAsia="Work Sans" w:hAnsi="Bookman Old Style" w:cs="Work Sans"/>
          <w:sz w:val="24"/>
        </w:rPr>
      </w:pPr>
      <w:r w:rsidRPr="00791ED8">
        <w:rPr>
          <w:rFonts w:ascii="Bookman Old Style" w:hAnsi="Bookman Old Style"/>
          <w:sz w:val="24"/>
        </w:rPr>
        <w:t xml:space="preserve">Las anteriores consideraciones fueron reiteradas en la sentencia T-342 </w:t>
      </w:r>
      <w:r w:rsidRPr="00791ED8">
        <w:rPr>
          <w:rFonts w:ascii="Bookman Old Style" w:eastAsia="Work Sans" w:hAnsi="Bookman Old Style" w:cs="Work Sans"/>
          <w:sz w:val="24"/>
        </w:rPr>
        <w:t>del 30 de julio de 2019, mediante la cual la Corte Constitucional revocó la sentencia proferida por la Sección Cuarta del Consejo de Estado del 04 de octubre de 2018 en el caso Urrao y reafirmó los postulados constitucionales, según los cuales las autoridades locales y nacionales deben ejercer sus competencias de acuerdo con los principios de coordinación y concurrencia (artículo 288 CP), así:</w:t>
      </w:r>
    </w:p>
    <w:p w:rsidR="00D20F78" w:rsidRPr="00791ED8" w:rsidRDefault="00D20F78" w:rsidP="00D20F78">
      <w:pPr>
        <w:spacing w:after="0"/>
        <w:jc w:val="both"/>
        <w:rPr>
          <w:rFonts w:ascii="Bookman Old Style" w:eastAsia="Work Sans" w:hAnsi="Bookman Old Style" w:cs="Work Sans"/>
          <w:sz w:val="24"/>
        </w:rPr>
      </w:pPr>
    </w:p>
    <w:p w:rsidR="00D20F78" w:rsidRPr="00791ED8" w:rsidRDefault="00D20F78" w:rsidP="00D20F78">
      <w:pPr>
        <w:tabs>
          <w:tab w:val="left" w:pos="8364"/>
        </w:tabs>
        <w:spacing w:after="0" w:line="240" w:lineRule="auto"/>
        <w:ind w:left="567" w:right="474"/>
        <w:jc w:val="both"/>
        <w:rPr>
          <w:rFonts w:ascii="Bookman Old Style" w:eastAsia="Work Sans" w:hAnsi="Bookman Old Style" w:cs="Work Sans"/>
          <w:i/>
          <w:sz w:val="24"/>
        </w:rPr>
      </w:pPr>
      <w:r w:rsidRPr="00F1374F">
        <w:rPr>
          <w:rFonts w:ascii="Bookman Old Style" w:eastAsia="Work Sans" w:hAnsi="Bookman Old Style" w:cs="Work Sans"/>
          <w:i/>
        </w:rPr>
        <w:t xml:space="preserve">“(...) </w:t>
      </w:r>
      <w:r w:rsidRPr="00F1374F">
        <w:rPr>
          <w:rFonts w:ascii="Bookman Old Style" w:hAnsi="Bookman Old Style"/>
          <w:i/>
        </w:rPr>
        <w:t xml:space="preserve">Por lo anterior, </w:t>
      </w:r>
      <w:r w:rsidRPr="00F1374F">
        <w:rPr>
          <w:rFonts w:ascii="Bookman Old Style" w:hAnsi="Bookman Old Style"/>
          <w:b/>
          <w:i/>
          <w:u w:val="single"/>
        </w:rPr>
        <w:t>se deben armonizar las políticas de ordenamiento del suelo con el desarrollo de proyectos de minería, e incorporar de manera concertada el componente minero en los instrumentos de ordenamiento territorial, en cumplimiento de los principios constitucionales de coordinación y concurrencia</w:t>
      </w:r>
      <w:r w:rsidRPr="00F1374F">
        <w:rPr>
          <w:rFonts w:ascii="Bookman Old Style" w:hAnsi="Bookman Old Style"/>
          <w:i/>
        </w:rPr>
        <w:t xml:space="preserve">. En ese sentido, la concertación debe ser un </w:t>
      </w:r>
      <w:r w:rsidRPr="00F1374F">
        <w:rPr>
          <w:rFonts w:ascii="Bookman Old Style" w:hAnsi="Bookman Old Style"/>
          <w:bCs/>
          <w:i/>
        </w:rPr>
        <w:t xml:space="preserve">diálogo permanente entre la autoridad territorial y la autoridad minera y ambiental para el desarrollo de las actividades de minería, </w:t>
      </w:r>
      <w:r w:rsidRPr="00F1374F">
        <w:rPr>
          <w:rFonts w:ascii="Bookman Old Style" w:hAnsi="Bookman Old Style"/>
          <w:i/>
        </w:rPr>
        <w:t>con el fin de armonizar el ejercicio de las competencias entre el gobierno nacional central y las autoridades territoriales”.</w:t>
      </w:r>
      <w:r w:rsidRPr="00F1374F">
        <w:rPr>
          <w:rStyle w:val="TextocomentarioCar"/>
          <w:rFonts w:ascii="Bookman Old Style" w:hAnsi="Bookman Old Style"/>
          <w:i/>
        </w:rPr>
        <w:t xml:space="preserve"> </w:t>
      </w:r>
      <w:r w:rsidRPr="00297F2B">
        <w:rPr>
          <w:rStyle w:val="Refdenotaalpie"/>
          <w:rFonts w:ascii="Bookman Old Style" w:hAnsi="Bookman Old Style"/>
          <w:b/>
          <w:i/>
        </w:rPr>
        <w:footnoteReference w:id="7"/>
      </w:r>
      <w:r w:rsidRPr="00F1374F">
        <w:rPr>
          <w:rFonts w:ascii="Bookman Old Style" w:eastAsia="Work Sans" w:hAnsi="Bookman Old Style" w:cs="Work Sans"/>
          <w:i/>
        </w:rPr>
        <w:t xml:space="preserve"> </w:t>
      </w:r>
      <w:r w:rsidRPr="00791ED8">
        <w:rPr>
          <w:rFonts w:ascii="Bookman Old Style" w:eastAsia="Work Sans" w:hAnsi="Bookman Old Style" w:cs="Work Sans"/>
          <w:i/>
          <w:sz w:val="24"/>
        </w:rPr>
        <w:t>(Subrayado y negrilla fuera de texto).</w:t>
      </w:r>
    </w:p>
    <w:p w:rsidR="00D20F78" w:rsidRPr="00791ED8" w:rsidRDefault="00D20F78" w:rsidP="00D20F78">
      <w:pPr>
        <w:spacing w:after="0"/>
        <w:ind w:left="709" w:right="709"/>
        <w:jc w:val="both"/>
        <w:rPr>
          <w:rFonts w:ascii="Bookman Old Style" w:eastAsia="Work Sans" w:hAnsi="Bookman Old Style" w:cs="Work Sans"/>
          <w:i/>
          <w:sz w:val="24"/>
        </w:rPr>
      </w:pPr>
    </w:p>
    <w:p w:rsidR="00D20F78" w:rsidRPr="00791ED8" w:rsidRDefault="00D20F78" w:rsidP="00D20F78">
      <w:pPr>
        <w:spacing w:after="0"/>
        <w:jc w:val="both"/>
        <w:rPr>
          <w:rFonts w:ascii="Bookman Old Style" w:eastAsia="Work Sans" w:hAnsi="Bookman Old Style" w:cs="Work Sans"/>
          <w:iCs/>
          <w:sz w:val="24"/>
        </w:rPr>
      </w:pPr>
      <w:r w:rsidRPr="00791ED8">
        <w:rPr>
          <w:rFonts w:ascii="Bookman Old Style" w:eastAsia="Work Sans" w:hAnsi="Bookman Old Style" w:cs="Work Sans"/>
          <w:iCs/>
          <w:sz w:val="24"/>
        </w:rPr>
        <w:t>A su vez, dicha sentencia reitera que no es posible para las entidades territoriales vetar las actividades del sector minero y de hidrocarburos en su territorio:</w:t>
      </w:r>
    </w:p>
    <w:p w:rsidR="00D20F78" w:rsidRPr="00791ED8" w:rsidRDefault="00D20F78" w:rsidP="00D20F78">
      <w:pPr>
        <w:spacing w:after="0"/>
        <w:ind w:left="709" w:right="709"/>
        <w:jc w:val="both"/>
        <w:rPr>
          <w:rFonts w:ascii="Bookman Old Style" w:eastAsia="Work Sans" w:hAnsi="Bookman Old Style" w:cs="Work Sans"/>
          <w:i/>
          <w:sz w:val="24"/>
        </w:rPr>
      </w:pPr>
    </w:p>
    <w:p w:rsidR="00D20F78" w:rsidRPr="00791ED8" w:rsidRDefault="00D20F78" w:rsidP="00D20F78">
      <w:pPr>
        <w:spacing w:after="0" w:line="240" w:lineRule="auto"/>
        <w:ind w:left="567" w:right="474"/>
        <w:jc w:val="both"/>
        <w:rPr>
          <w:rFonts w:ascii="Bookman Old Style" w:eastAsia="Work Sans" w:hAnsi="Bookman Old Style" w:cs="Work Sans"/>
          <w:i/>
          <w:sz w:val="24"/>
        </w:rPr>
      </w:pPr>
      <w:r w:rsidRPr="00F1374F">
        <w:rPr>
          <w:rFonts w:ascii="Bookman Old Style" w:eastAsia="Work Sans" w:hAnsi="Bookman Old Style" w:cs="Work Sans"/>
          <w:i/>
        </w:rPr>
        <w:t xml:space="preserve">“(…) En otras palabras, “de acuerdo con los postulados constitucionales que prevén la explotación del subsuelo y los [recursos naturales no renovables], su propiedad en cabeza del Estado y las competencias de las entidades territoriales y de la nación –gobierno nacional central- sobre el suelo, el ordenamiento territorial, el subsuelo y los [recursos naturales no renovables], </w:t>
      </w:r>
      <w:r w:rsidRPr="00F1374F">
        <w:rPr>
          <w:rFonts w:ascii="Bookman Old Style" w:eastAsia="Work Sans" w:hAnsi="Bookman Old Style" w:cs="Work Sans"/>
          <w:b/>
          <w:i/>
          <w:u w:val="single"/>
        </w:rPr>
        <w:t>las entidades territoriales no pueden prohibir el desarrollo de actividades y operaciones para tales fines en su jurisdicción</w:t>
      </w:r>
      <w:r w:rsidRPr="00F1374F">
        <w:rPr>
          <w:rFonts w:ascii="Bookman Old Style" w:eastAsia="Work Sans" w:hAnsi="Bookman Old Style" w:cs="Work Sans"/>
          <w:i/>
        </w:rPr>
        <w:t>.”</w:t>
      </w:r>
      <w:r w:rsidRPr="00F1374F">
        <w:rPr>
          <w:rStyle w:val="Refdenotaalpie"/>
          <w:rFonts w:ascii="Bookman Old Style" w:eastAsia="Work Sans" w:hAnsi="Bookman Old Style" w:cs="Work Sans"/>
          <w:i/>
        </w:rPr>
        <w:footnoteReference w:id="8"/>
      </w:r>
      <w:r w:rsidRPr="00F1374F">
        <w:rPr>
          <w:rFonts w:ascii="Bookman Old Style" w:eastAsia="Work Sans" w:hAnsi="Bookman Old Style" w:cs="Work Sans"/>
          <w:i/>
        </w:rPr>
        <w:t xml:space="preserve"> </w:t>
      </w:r>
      <w:r w:rsidRPr="00791ED8">
        <w:rPr>
          <w:rFonts w:ascii="Bookman Old Style" w:eastAsia="Work Sans" w:hAnsi="Bookman Old Style" w:cs="Work Sans"/>
          <w:i/>
          <w:sz w:val="24"/>
        </w:rPr>
        <w:t>(Subrayado y negrilla fuera de texto).</w:t>
      </w:r>
    </w:p>
    <w:p w:rsidR="00D20F78" w:rsidRPr="00791ED8" w:rsidRDefault="00D20F78" w:rsidP="00D20F78">
      <w:pPr>
        <w:spacing w:after="0"/>
        <w:ind w:left="709" w:right="709"/>
        <w:jc w:val="both"/>
        <w:rPr>
          <w:rFonts w:ascii="Bookman Old Style" w:eastAsia="Work Sans" w:hAnsi="Bookman Old Style" w:cs="Work Sans"/>
          <w:i/>
          <w:sz w:val="24"/>
        </w:rPr>
      </w:pPr>
    </w:p>
    <w:p w:rsidR="00D20F78" w:rsidRPr="00791ED8" w:rsidRDefault="00D20F78" w:rsidP="00D20F78">
      <w:pPr>
        <w:spacing w:after="0"/>
        <w:jc w:val="both"/>
        <w:rPr>
          <w:rFonts w:ascii="Bookman Old Style" w:eastAsia="Work Sans" w:hAnsi="Bookman Old Style" w:cs="Work Sans"/>
          <w:color w:val="FFFFFF"/>
          <w:sz w:val="24"/>
        </w:rPr>
      </w:pPr>
      <w:r>
        <w:rPr>
          <w:rFonts w:ascii="Bookman Old Style" w:eastAsia="Work Sans" w:hAnsi="Bookman Old Style" w:cs="Work Sans"/>
          <w:sz w:val="24"/>
        </w:rPr>
        <w:lastRenderedPageBreak/>
        <w:t>T</w:t>
      </w:r>
      <w:r w:rsidRPr="00791ED8">
        <w:rPr>
          <w:rFonts w:ascii="Bookman Old Style" w:eastAsia="Work Sans" w:hAnsi="Bookman Old Style" w:cs="Work Sans"/>
          <w:sz w:val="24"/>
        </w:rPr>
        <w:t xml:space="preserve">al y como lo precisó la Corte Constitucional en la sentencia de unificación SU-095 de 2018 y en la sentencia T-342 de 2019, las entidades territoriales no pueden prohibir ni restringir el ejercicio de actividades sobre el subsuelo, aún en ejercicio de sus competencias sobre el suelo, con desconocimiento de las demás autoridades habilitadas y con competencias para tomar decisiones en el sector, por lo que un acuerdo municipal que prohíba las actividades de exploración y explotación de minería e hidrocarburos, sería contrario a lo dispuesto por las referidas sentencias, y en esa medida, también contrario a la Constitución Política, permitiendo incluso que se aplique la excepción de inconstitucionalidad consagrada en el artículo 4 superior. </w:t>
      </w:r>
      <w:r w:rsidRPr="00791ED8">
        <w:rPr>
          <w:rFonts w:ascii="Bookman Old Style" w:eastAsia="Work Sans" w:hAnsi="Bookman Old Style" w:cs="Work Sans"/>
          <w:color w:val="FFFFFF"/>
          <w:sz w:val="24"/>
        </w:rPr>
        <w:t>D</w:t>
      </w:r>
    </w:p>
    <w:p w:rsidR="00D20F78" w:rsidRPr="00791ED8" w:rsidRDefault="00D20F78" w:rsidP="00D20F78">
      <w:pPr>
        <w:spacing w:after="0"/>
        <w:jc w:val="both"/>
        <w:rPr>
          <w:rFonts w:ascii="Bookman Old Style" w:eastAsia="Work Sans" w:hAnsi="Bookman Old Style" w:cs="Work Sans"/>
          <w:color w:val="FFFFFF"/>
          <w:sz w:val="24"/>
        </w:rPr>
      </w:pPr>
    </w:p>
    <w:p w:rsidR="00D20F78" w:rsidRPr="008C00CA" w:rsidRDefault="00D20F78" w:rsidP="00D20F78">
      <w:pPr>
        <w:spacing w:after="0"/>
        <w:jc w:val="both"/>
        <w:rPr>
          <w:rFonts w:ascii="Bookman Old Style" w:eastAsiaTheme="minorHAnsi" w:hAnsi="Bookman Old Style" w:cs="Arial"/>
          <w:sz w:val="24"/>
        </w:rPr>
      </w:pPr>
      <w:r w:rsidRPr="008C00CA">
        <w:rPr>
          <w:rFonts w:ascii="Bookman Old Style" w:eastAsia="Work Sans" w:hAnsi="Bookman Old Style" w:cs="Work Sans"/>
          <w:sz w:val="24"/>
        </w:rPr>
        <w:t xml:space="preserve">Así las cosas, esta prohibición de veto abarca todos los mecanismos e instrumentos jurídicos y políticos que establezca la Ley, </w:t>
      </w:r>
      <w:r w:rsidRPr="008C00CA">
        <w:rPr>
          <w:rFonts w:ascii="Bookman Old Style" w:hAnsi="Bookman Old Style" w:cs="Arial"/>
          <w:sz w:val="24"/>
        </w:rPr>
        <w:t>incluidos tanto las consultas populares, como los acuerdos municipales, los planes de ordenamiento territorial, los instrumentos de planeación, entre otros.</w:t>
      </w:r>
    </w:p>
    <w:p w:rsidR="00D20F78" w:rsidRPr="008C00CA" w:rsidRDefault="00D20F78" w:rsidP="00D20F78">
      <w:pPr>
        <w:spacing w:after="0"/>
        <w:jc w:val="both"/>
        <w:rPr>
          <w:rFonts w:ascii="Bookman Old Style" w:hAnsi="Bookman Old Style" w:cs="Arial"/>
          <w:sz w:val="24"/>
        </w:rPr>
      </w:pPr>
    </w:p>
    <w:p w:rsidR="00D20F78" w:rsidRPr="00791ED8" w:rsidRDefault="00D20F78" w:rsidP="00D20F78">
      <w:pPr>
        <w:pStyle w:val="paragraph"/>
        <w:spacing w:before="0" w:beforeAutospacing="0" w:after="0" w:afterAutospacing="0" w:line="276" w:lineRule="auto"/>
        <w:jc w:val="both"/>
        <w:textAlignment w:val="baseline"/>
        <w:rPr>
          <w:rStyle w:val="normaltextrun"/>
          <w:rFonts w:ascii="Bookman Old Style" w:hAnsi="Bookman Old Style"/>
          <w:szCs w:val="22"/>
          <w:lang w:val="es-MX"/>
        </w:rPr>
      </w:pPr>
      <w:r w:rsidRPr="008C00CA">
        <w:rPr>
          <w:rFonts w:ascii="Bookman Old Style" w:hAnsi="Bookman Old Style" w:cs="Arial"/>
          <w:szCs w:val="22"/>
        </w:rPr>
        <w:t xml:space="preserve">Por otro lado, </w:t>
      </w:r>
      <w:r w:rsidRPr="008C00CA">
        <w:rPr>
          <w:rStyle w:val="normaltextrun"/>
          <w:rFonts w:ascii="Bookman Old Style" w:hAnsi="Bookman Old Style"/>
          <w:szCs w:val="22"/>
        </w:rPr>
        <w:t>es importante indica que la sentencia C-053 del 13 de febrero de 2019, la cual hizo tránsito a cosa juzgada constitucional de acuerdo con el artículo 243 superior, posteriormente confirmada por la sentencia C-096 de 2020, declaró inexequible el artículo 33 de la Ley 136 de 1994, señalaba en su tenor literal que:</w:t>
      </w:r>
    </w:p>
    <w:p w:rsidR="00D20F78" w:rsidRPr="00791ED8" w:rsidRDefault="00D20F78" w:rsidP="00D20F78">
      <w:pPr>
        <w:pStyle w:val="paragraph"/>
        <w:spacing w:before="0" w:beforeAutospacing="0" w:after="0" w:afterAutospacing="0" w:line="276" w:lineRule="auto"/>
        <w:ind w:left="709" w:right="709"/>
        <w:jc w:val="both"/>
        <w:textAlignment w:val="baseline"/>
        <w:rPr>
          <w:rStyle w:val="normaltextrun"/>
          <w:rFonts w:ascii="Bookman Old Style" w:hAnsi="Bookman Old Style"/>
          <w:szCs w:val="22"/>
          <w:lang w:val="es-MX"/>
        </w:rPr>
      </w:pPr>
    </w:p>
    <w:p w:rsidR="00D20F78" w:rsidRPr="00F1374F" w:rsidRDefault="00D20F78" w:rsidP="00D20F78">
      <w:pPr>
        <w:pStyle w:val="paragraph"/>
        <w:tabs>
          <w:tab w:val="left" w:pos="8364"/>
        </w:tabs>
        <w:spacing w:before="0" w:beforeAutospacing="0" w:after="0" w:afterAutospacing="0"/>
        <w:ind w:left="567" w:right="474"/>
        <w:jc w:val="both"/>
        <w:textAlignment w:val="baseline"/>
        <w:rPr>
          <w:rStyle w:val="normaltextrun"/>
          <w:rFonts w:ascii="Bookman Old Style" w:hAnsi="Bookman Old Style"/>
          <w:sz w:val="22"/>
          <w:szCs w:val="22"/>
          <w:lang w:val="es-MX"/>
        </w:rPr>
      </w:pPr>
      <w:r w:rsidRPr="00F1374F">
        <w:rPr>
          <w:rStyle w:val="normaltextrun"/>
          <w:rFonts w:ascii="Bookman Old Style" w:hAnsi="Bookman Old Style"/>
          <w:i/>
          <w:iCs/>
          <w:sz w:val="22"/>
          <w:szCs w:val="22"/>
        </w:rPr>
        <w:t>“</w:t>
      </w:r>
      <w:r w:rsidRPr="00F1374F">
        <w:rPr>
          <w:rStyle w:val="normaltextrun"/>
          <w:rFonts w:ascii="Bookman Old Style" w:hAnsi="Bookman Old Style"/>
          <w:b/>
          <w:i/>
          <w:iCs/>
          <w:sz w:val="22"/>
          <w:szCs w:val="22"/>
        </w:rPr>
        <w:t>ARTÍCULO 33.</w:t>
      </w:r>
      <w:r w:rsidRPr="00F1374F">
        <w:rPr>
          <w:rStyle w:val="normaltextrun"/>
          <w:rFonts w:ascii="Bookman Old Style" w:hAnsi="Bookman Old Style"/>
          <w:i/>
          <w:iCs/>
          <w:sz w:val="22"/>
          <w:szCs w:val="22"/>
        </w:rPr>
        <w:t xml:space="preserve"> Cuando el desarrollo de proyectos de naturaleza turística, minera o de otro tipo, amenace con crear un cambio significativo en el uso del suelo, que dé lugar a una transformación en las actividades tradicionales de un municipio, se deberá realizar una consulta popular de conformidad con la ley. La responsabilidad de estas consultas estará a cargo del respectivo municipio.</w:t>
      </w:r>
    </w:p>
    <w:p w:rsidR="00D20F78" w:rsidRPr="00F1374F" w:rsidRDefault="00D20F78" w:rsidP="00D20F78">
      <w:pPr>
        <w:pStyle w:val="paragraph"/>
        <w:tabs>
          <w:tab w:val="left" w:pos="8364"/>
        </w:tabs>
        <w:spacing w:before="0" w:beforeAutospacing="0" w:after="0" w:afterAutospacing="0"/>
        <w:ind w:left="567" w:right="474"/>
        <w:jc w:val="both"/>
        <w:textAlignment w:val="baseline"/>
        <w:rPr>
          <w:rStyle w:val="normaltextrun"/>
          <w:rFonts w:ascii="Bookman Old Style" w:hAnsi="Bookman Old Style"/>
          <w:sz w:val="22"/>
          <w:szCs w:val="22"/>
          <w:lang w:val="es-MX"/>
        </w:rPr>
      </w:pPr>
    </w:p>
    <w:p w:rsidR="00D20F78" w:rsidRPr="00F1374F" w:rsidRDefault="00D20F78" w:rsidP="00D20F78">
      <w:pPr>
        <w:pStyle w:val="paragraph"/>
        <w:tabs>
          <w:tab w:val="left" w:pos="8364"/>
        </w:tabs>
        <w:spacing w:before="0" w:beforeAutospacing="0" w:after="0" w:afterAutospacing="0"/>
        <w:ind w:left="567" w:right="474"/>
        <w:jc w:val="both"/>
        <w:textAlignment w:val="baseline"/>
        <w:rPr>
          <w:rStyle w:val="normaltextrun"/>
          <w:rFonts w:ascii="Bookman Old Style" w:hAnsi="Bookman Old Style"/>
          <w:sz w:val="22"/>
          <w:szCs w:val="22"/>
          <w:lang w:val="es-MX"/>
        </w:rPr>
      </w:pPr>
      <w:r w:rsidRPr="00F1374F">
        <w:rPr>
          <w:rStyle w:val="normaltextrun"/>
          <w:rFonts w:ascii="Bookman Old Style" w:hAnsi="Bookman Old Style"/>
          <w:b/>
          <w:i/>
          <w:iCs/>
          <w:sz w:val="22"/>
          <w:szCs w:val="22"/>
        </w:rPr>
        <w:t>PARÁGRAFO.</w:t>
      </w:r>
      <w:r w:rsidRPr="00F1374F">
        <w:rPr>
          <w:rStyle w:val="normaltextrun"/>
          <w:rFonts w:ascii="Bookman Old Style" w:hAnsi="Bookman Old Style"/>
          <w:i/>
          <w:iCs/>
          <w:sz w:val="22"/>
          <w:szCs w:val="22"/>
        </w:rPr>
        <w:t xml:space="preserve"> En todo caso, las decisiones sobre el uso del suelo deben ser aprobadas por el Concejo Municipal.”</w:t>
      </w:r>
    </w:p>
    <w:p w:rsidR="00D20F78" w:rsidRPr="00791ED8" w:rsidRDefault="00D20F78" w:rsidP="00D20F78">
      <w:pPr>
        <w:pStyle w:val="paragraph"/>
        <w:spacing w:before="0" w:beforeAutospacing="0" w:after="0" w:afterAutospacing="0" w:line="276" w:lineRule="auto"/>
        <w:ind w:left="480"/>
        <w:jc w:val="both"/>
        <w:textAlignment w:val="baseline"/>
        <w:rPr>
          <w:rStyle w:val="normaltextrun"/>
          <w:rFonts w:ascii="Bookman Old Style" w:hAnsi="Bookman Old Style"/>
          <w:szCs w:val="22"/>
          <w:lang w:val="es-MX"/>
        </w:rPr>
      </w:pPr>
    </w:p>
    <w:p w:rsidR="00D20F78" w:rsidRPr="00791ED8" w:rsidRDefault="00D20F78" w:rsidP="00D20F78">
      <w:pPr>
        <w:pStyle w:val="paragraph"/>
        <w:spacing w:before="0" w:beforeAutospacing="0" w:after="0" w:afterAutospacing="0" w:line="276" w:lineRule="auto"/>
        <w:jc w:val="both"/>
        <w:textAlignment w:val="baseline"/>
        <w:rPr>
          <w:rStyle w:val="normaltextrun"/>
          <w:rFonts w:ascii="Bookman Old Style" w:hAnsi="Bookman Old Style"/>
          <w:szCs w:val="22"/>
          <w:lang w:val="es-MX"/>
        </w:rPr>
      </w:pPr>
      <w:r w:rsidRPr="00791ED8">
        <w:rPr>
          <w:rStyle w:val="normaltextrun"/>
          <w:rFonts w:ascii="Bookman Old Style" w:hAnsi="Bookman Old Style"/>
          <w:szCs w:val="22"/>
        </w:rPr>
        <w:t xml:space="preserve">Frente a lo anterior, la Corte Constitucional en las sentencias C-053 de 2019 y C-096 de 2020 previamente referenciadas, observó que la Ley 136 de 1994 fue tramitada como ley ordinaria y su tema general se refería a la adopción de normas tendientes a modernizar la organización y el funcionamiento de los municipios. No obstante, al hacer un análisis del artículo 33 concluyó que la dicha norma se refería a asuntos que, por </w:t>
      </w:r>
      <w:r w:rsidRPr="00791ED8">
        <w:rPr>
          <w:rStyle w:val="normaltextrun"/>
          <w:rFonts w:ascii="Bookman Old Style" w:hAnsi="Bookman Old Style"/>
          <w:szCs w:val="22"/>
        </w:rPr>
        <w:lastRenderedPageBreak/>
        <w:t xml:space="preserve">expresa disposición del artículo 105 superior, requerían aprobación a través de una ley orgánica. </w:t>
      </w:r>
    </w:p>
    <w:p w:rsidR="00D20F78" w:rsidRPr="00791ED8" w:rsidRDefault="00D20F78" w:rsidP="00D20F78">
      <w:pPr>
        <w:pStyle w:val="paragraph"/>
        <w:spacing w:before="0" w:beforeAutospacing="0" w:after="0" w:afterAutospacing="0" w:line="276" w:lineRule="auto"/>
        <w:ind w:left="480"/>
        <w:jc w:val="both"/>
        <w:textAlignment w:val="baseline"/>
        <w:rPr>
          <w:rStyle w:val="normaltextrun"/>
          <w:rFonts w:ascii="Bookman Old Style" w:hAnsi="Bookman Old Style"/>
          <w:szCs w:val="22"/>
          <w:lang w:val="es-MX"/>
        </w:rPr>
      </w:pPr>
    </w:p>
    <w:p w:rsidR="00D20F78" w:rsidRPr="00791ED8" w:rsidRDefault="00D20F78" w:rsidP="00D20F78">
      <w:pPr>
        <w:pStyle w:val="paragraph"/>
        <w:spacing w:before="0" w:beforeAutospacing="0" w:after="0" w:afterAutospacing="0" w:line="276" w:lineRule="auto"/>
        <w:jc w:val="both"/>
        <w:textAlignment w:val="baseline"/>
        <w:rPr>
          <w:rStyle w:val="normaltextrun"/>
          <w:rFonts w:ascii="Bookman Old Style" w:hAnsi="Bookman Old Style"/>
          <w:szCs w:val="22"/>
          <w:lang w:val="es-MX"/>
        </w:rPr>
      </w:pPr>
      <w:r w:rsidRPr="00791ED8">
        <w:rPr>
          <w:rStyle w:val="normaltextrun"/>
          <w:rFonts w:ascii="Bookman Old Style" w:hAnsi="Bookman Old Style"/>
          <w:szCs w:val="22"/>
        </w:rPr>
        <w:t>Así mismo, luego de hacer un amplio recuento normativo, la Corte infirió la imposibilidad de realizar consultas populares sobre asuntos ajenos a las competencias de las entidades territoriales o sobre aquellos que tuvieran incidencia en los asuntos nacionales o departamentales. Frente al artículo 33 analizado, el Alto Tribunal consideró que la redacción abierta de la norma implicaba la interferencia en competencias en las que confluyen entidades territoriales y también nacionales.</w:t>
      </w:r>
    </w:p>
    <w:p w:rsidR="00D20F78" w:rsidRPr="00791ED8" w:rsidRDefault="00D20F78" w:rsidP="00D20F78">
      <w:pPr>
        <w:pStyle w:val="paragraph"/>
        <w:spacing w:before="0" w:beforeAutospacing="0" w:after="0" w:afterAutospacing="0" w:line="276" w:lineRule="auto"/>
        <w:jc w:val="both"/>
        <w:textAlignment w:val="baseline"/>
        <w:rPr>
          <w:rStyle w:val="normaltextrun"/>
          <w:rFonts w:ascii="Bookman Old Style" w:hAnsi="Bookman Old Style"/>
          <w:szCs w:val="22"/>
          <w:lang w:val="es-MX"/>
        </w:rPr>
      </w:pPr>
      <w:r w:rsidRPr="00791ED8">
        <w:rPr>
          <w:rStyle w:val="normaltextrun"/>
          <w:rFonts w:ascii="Bookman Old Style" w:hAnsi="Bookman Old Style"/>
          <w:szCs w:val="22"/>
          <w:lang w:val="es-MX"/>
        </w:rPr>
        <w:t xml:space="preserve">Lo anterior en línea con lo indicado por la Corte Constitucional en la sentencia SU-095 de 2018 previamente referenciada, en la cual se indicó que las consultas populares no son el mecanismo para definir la existencia o no de actividades minero </w:t>
      </w:r>
      <w:proofErr w:type="spellStart"/>
      <w:r w:rsidRPr="00791ED8">
        <w:rPr>
          <w:rStyle w:val="normaltextrun"/>
          <w:rFonts w:ascii="Bookman Old Style" w:hAnsi="Bookman Old Style"/>
          <w:szCs w:val="22"/>
          <w:lang w:val="es-MX"/>
        </w:rPr>
        <w:t>hidrocarburíferas</w:t>
      </w:r>
      <w:proofErr w:type="spellEnd"/>
      <w:r w:rsidRPr="00791ED8">
        <w:rPr>
          <w:rStyle w:val="normaltextrun"/>
          <w:rFonts w:ascii="Bookman Old Style" w:hAnsi="Bookman Old Style"/>
          <w:szCs w:val="22"/>
          <w:lang w:val="es-MX"/>
        </w:rPr>
        <w:t xml:space="preserve"> en los municipios, señalando expresamente que no existe poder de veto en cabeza de las entidades territoriales frente a estas actividades. </w:t>
      </w:r>
    </w:p>
    <w:p w:rsidR="00D20F78" w:rsidRPr="00791ED8" w:rsidRDefault="00D20F78" w:rsidP="00D20F78">
      <w:pPr>
        <w:pStyle w:val="paragraph"/>
        <w:spacing w:before="0" w:beforeAutospacing="0" w:after="0" w:afterAutospacing="0" w:line="276" w:lineRule="auto"/>
        <w:ind w:left="480"/>
        <w:jc w:val="both"/>
        <w:textAlignment w:val="baseline"/>
        <w:rPr>
          <w:rStyle w:val="normaltextrun"/>
          <w:rFonts w:ascii="Bookman Old Style" w:hAnsi="Bookman Old Style"/>
          <w:szCs w:val="22"/>
          <w:lang w:val="es-MX"/>
        </w:rPr>
      </w:pPr>
    </w:p>
    <w:p w:rsidR="00D20F78" w:rsidRPr="00791ED8" w:rsidRDefault="00D20F78" w:rsidP="00D20F78">
      <w:pPr>
        <w:pStyle w:val="paragraph"/>
        <w:spacing w:before="0" w:beforeAutospacing="0" w:after="0" w:afterAutospacing="0" w:line="276" w:lineRule="auto"/>
        <w:jc w:val="both"/>
        <w:textAlignment w:val="baseline"/>
        <w:rPr>
          <w:rStyle w:val="normaltextrun"/>
          <w:rFonts w:ascii="Bookman Old Style" w:hAnsi="Bookman Old Style" w:cs="Segoe UI"/>
          <w:szCs w:val="22"/>
        </w:rPr>
      </w:pPr>
      <w:r w:rsidRPr="00791ED8">
        <w:rPr>
          <w:rStyle w:val="normaltextrun"/>
          <w:rFonts w:ascii="Bookman Old Style" w:hAnsi="Bookman Old Style"/>
          <w:szCs w:val="22"/>
          <w:lang w:val="es-MX"/>
        </w:rPr>
        <w:t>Conforme a lo anterior, siguiendo el precedente jurisprudencial</w:t>
      </w:r>
      <w:r w:rsidRPr="00791ED8">
        <w:rPr>
          <w:rStyle w:val="Refdenotaalpie"/>
          <w:rFonts w:ascii="Bookman Old Style" w:eastAsiaTheme="minorEastAsia" w:hAnsi="Bookman Old Style"/>
          <w:szCs w:val="22"/>
          <w:lang w:val="es-MX"/>
        </w:rPr>
        <w:footnoteReference w:id="9"/>
      </w:r>
      <w:r w:rsidRPr="00791ED8">
        <w:rPr>
          <w:rStyle w:val="normaltextrun"/>
          <w:rFonts w:ascii="Bookman Old Style" w:hAnsi="Bookman Old Style"/>
          <w:szCs w:val="22"/>
          <w:lang w:val="es-MX"/>
        </w:rPr>
        <w:t xml:space="preserve">, </w:t>
      </w:r>
      <w:r w:rsidRPr="008C00CA">
        <w:rPr>
          <w:rStyle w:val="normaltextrun"/>
          <w:rFonts w:ascii="Bookman Old Style" w:hAnsi="Bookman Old Style"/>
          <w:b/>
          <w:szCs w:val="22"/>
          <w:lang w:val="es-MX"/>
        </w:rPr>
        <w:t>la Nación y las entidades territoriales deben ejercer sus competencias en el marco de los principios de coordinación, concurrencia y subsidiariedad,</w:t>
      </w:r>
      <w:r w:rsidRPr="00791ED8">
        <w:rPr>
          <w:rStyle w:val="normaltextrun"/>
          <w:rFonts w:ascii="Bookman Old Style" w:hAnsi="Bookman Old Style"/>
          <w:szCs w:val="22"/>
          <w:lang w:val="es-MX"/>
        </w:rPr>
        <w:t xml:space="preserve"> y los municipios no pueden prohibir unilateralmente las actividades mineras y de hidrocarburos en sus territorios, por lo que cualquier disposición que contraríe dichos presupuestos, sería inconstitucional.</w:t>
      </w:r>
    </w:p>
    <w:p w:rsidR="00D20F78" w:rsidRPr="00791ED8" w:rsidRDefault="00D20F78" w:rsidP="00D20F78">
      <w:pPr>
        <w:spacing w:after="0"/>
        <w:jc w:val="both"/>
        <w:rPr>
          <w:rFonts w:ascii="Bookman Old Style" w:hAnsi="Bookman Old Style" w:cs="Arial"/>
          <w:sz w:val="24"/>
        </w:rPr>
      </w:pPr>
    </w:p>
    <w:p w:rsidR="00D20F78" w:rsidRPr="004164E9" w:rsidRDefault="00D20F78" w:rsidP="00D20F78">
      <w:pPr>
        <w:ind w:left="426"/>
        <w:jc w:val="both"/>
        <w:rPr>
          <w:rFonts w:ascii="Bookman Old Style" w:hAnsi="Bookman Old Style" w:cs="Arial"/>
          <w:b/>
          <w:sz w:val="24"/>
          <w:szCs w:val="24"/>
        </w:rPr>
      </w:pPr>
      <w:r w:rsidRPr="004164E9">
        <w:rPr>
          <w:rFonts w:ascii="Bookman Old Style" w:hAnsi="Bookman Old Style" w:cs="Arial"/>
          <w:b/>
          <w:sz w:val="24"/>
          <w:szCs w:val="24"/>
        </w:rPr>
        <w:t xml:space="preserve">2.3. </w:t>
      </w:r>
      <w:r>
        <w:rPr>
          <w:rFonts w:ascii="Bookman Old Style" w:hAnsi="Bookman Old Style" w:cs="Arial"/>
          <w:b/>
          <w:sz w:val="24"/>
          <w:szCs w:val="24"/>
        </w:rPr>
        <w:t>FUNDAMENTOS LEGALES</w:t>
      </w:r>
    </w:p>
    <w:p w:rsidR="00D20F78" w:rsidRPr="004164E9"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t xml:space="preserve">El Artículo 27 de la ley 1454 de 2011 (ley orgánica de ordenamiento territorial) presenta los principios del ejercicio de competencias. </w:t>
      </w:r>
    </w:p>
    <w:p w:rsidR="00D20F78" w:rsidRPr="004164E9" w:rsidRDefault="00D20F78" w:rsidP="00D20F78">
      <w:pPr>
        <w:jc w:val="both"/>
        <w:rPr>
          <w:rFonts w:ascii="Bookman Old Style" w:hAnsi="Bookman Old Style" w:cs="Arial"/>
          <w:i/>
          <w:sz w:val="24"/>
          <w:szCs w:val="24"/>
        </w:rPr>
      </w:pPr>
      <w:r w:rsidRPr="004164E9">
        <w:rPr>
          <w:rFonts w:ascii="Bookman Old Style" w:hAnsi="Bookman Old Style" w:cs="Arial"/>
          <w:sz w:val="24"/>
          <w:szCs w:val="24"/>
        </w:rPr>
        <w:t xml:space="preserve">El inciso uno (1) del artículo 27 de la ley 1454 de 2011 establece el principio de Coordinación. </w:t>
      </w:r>
      <w:r w:rsidRPr="004164E9">
        <w:rPr>
          <w:rFonts w:ascii="Bookman Old Style" w:hAnsi="Bookman Old Style" w:cs="Arial"/>
          <w:i/>
          <w:sz w:val="24"/>
          <w:szCs w:val="24"/>
        </w:rPr>
        <w:t xml:space="preserve">La Nación y las entidades territoriales deberán ejercer sus competencias de manera articulada, coherente y armónica. En desarrollo de este principio, las entidades territoriales y demás esquemas asociativos se articularán con las autoridades nacionales y regionales con el propósito especial de garantizar los derechos fundamentales de los </w:t>
      </w:r>
      <w:r w:rsidRPr="004164E9">
        <w:rPr>
          <w:rFonts w:ascii="Bookman Old Style" w:hAnsi="Bookman Old Style" w:cs="Arial"/>
          <w:i/>
          <w:sz w:val="24"/>
          <w:szCs w:val="24"/>
        </w:rPr>
        <w:lastRenderedPageBreak/>
        <w:t xml:space="preserve">ciudadanos como individuos, los derechos colectivos y del medio ambiente establecidos en la Constitución Política. </w:t>
      </w:r>
    </w:p>
    <w:p w:rsidR="00D20F78" w:rsidRPr="004164E9" w:rsidRDefault="00D20F78" w:rsidP="00D20F78">
      <w:pPr>
        <w:jc w:val="both"/>
        <w:rPr>
          <w:rFonts w:ascii="Bookman Old Style" w:hAnsi="Bookman Old Style" w:cs="Arial"/>
          <w:i/>
          <w:sz w:val="24"/>
          <w:szCs w:val="24"/>
        </w:rPr>
      </w:pPr>
      <w:r w:rsidRPr="004164E9">
        <w:rPr>
          <w:rFonts w:ascii="Bookman Old Style" w:hAnsi="Bookman Old Style" w:cs="Arial"/>
          <w:sz w:val="24"/>
          <w:szCs w:val="24"/>
        </w:rPr>
        <w:t xml:space="preserve">El inciso dos (2) del artículo 27 de la ley 1454 de 2011 establece el principio de Concurrencia. </w:t>
      </w:r>
      <w:r w:rsidRPr="004164E9">
        <w:rPr>
          <w:rFonts w:ascii="Bookman Old Style" w:hAnsi="Bookman Old Style" w:cs="Arial"/>
          <w:i/>
          <w:sz w:val="24"/>
          <w:szCs w:val="24"/>
        </w:rPr>
        <w:t>La Nación y las entidades territoriales desarrollarán oportunamente acciones conjuntas en busca de un objeto común, cuando así esté establecido, con respeto de su autonomía.</w:t>
      </w:r>
    </w:p>
    <w:p w:rsidR="00D20F78" w:rsidRPr="004164E9" w:rsidRDefault="00D20F78" w:rsidP="00D20F78">
      <w:pPr>
        <w:jc w:val="both"/>
        <w:rPr>
          <w:rFonts w:ascii="Bookman Old Style" w:hAnsi="Bookman Old Style" w:cs="Arial"/>
          <w:i/>
          <w:sz w:val="24"/>
          <w:szCs w:val="24"/>
        </w:rPr>
      </w:pPr>
      <w:r w:rsidRPr="004164E9">
        <w:rPr>
          <w:rFonts w:ascii="Bookman Old Style" w:hAnsi="Bookman Old Style" w:cs="Arial"/>
          <w:sz w:val="24"/>
          <w:szCs w:val="24"/>
        </w:rPr>
        <w:t xml:space="preserve">El inciso tres (3) del artículo 27 de la ley 1454 de 2011 establece el principio de Subsidiariedad. </w:t>
      </w:r>
      <w:r w:rsidRPr="004164E9">
        <w:rPr>
          <w:rFonts w:ascii="Bookman Old Style" w:hAnsi="Bookman Old Style" w:cs="Arial"/>
          <w:i/>
          <w:sz w:val="24"/>
          <w:szCs w:val="24"/>
        </w:rPr>
        <w:t>La Nación, las entidades territoriales y los esquemas de integración territorial apoyarán en forma transitoria y parcial en el ejercicio de sus competencias, a las entidades de menor categoría fiscal, desarrollo económico y social, dentro del mismo ámbito de la jurisdicción territorial, cuando se demuestre su imposibilidad de ejercer debidamente determinadas competencias. El desarrollo de este principio estará sujeto a evaluación y seguimiento de las entidades del nivel nacional rectoras de la materia. El Gobierno Nacional desarrollará la materia en coordinación con los entes territoriales.</w:t>
      </w:r>
    </w:p>
    <w:p w:rsidR="00D20F78"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t xml:space="preserve">El Artículo 01 de la ley 685 de 2001 (Código de minas) dicta como objetivo de interés público del código de minas fomentar la exploración técnica y la explotación de los recursos mineros de propiedad estatal y privada; estimular estas actividades en orden a satisfacer los requerimientos de la demanda interna y externa de los mismos y a que su aprovechamiento se realice en forma armónica con los principios y normas de explotación racional de los recursos naturales no renovables y del ambiente, dentro de un concepto integral de desarrollo sostenible y del fortalecimiento económico y social del país. </w:t>
      </w:r>
    </w:p>
    <w:p w:rsidR="00D20F78" w:rsidRPr="004164E9" w:rsidRDefault="00D20F78" w:rsidP="00D20F78">
      <w:pPr>
        <w:jc w:val="both"/>
        <w:rPr>
          <w:rFonts w:ascii="Bookman Old Style" w:hAnsi="Bookman Old Style" w:cs="Arial"/>
          <w:sz w:val="24"/>
          <w:szCs w:val="24"/>
        </w:rPr>
      </w:pPr>
      <w:r w:rsidRPr="00A62961">
        <w:rPr>
          <w:rFonts w:ascii="Bookman Old Style" w:hAnsi="Bookman Old Style" w:cs="Arial"/>
          <w:sz w:val="24"/>
          <w:szCs w:val="24"/>
        </w:rPr>
        <w:t>El artículo 5 de la Ley 681 de 2001 establece que los minerales de cualquier clase y ubicación, yacentes en el suelo o el subsuelo, en cualquier estado físico natural, son de la exclusiva propiedad del Estado. Asimismo, el artículo 6 de la misma normatividad indica que la propiedad estatal de los recursos naturales no renovables es inalienable e imprescriptible.</w:t>
      </w:r>
    </w:p>
    <w:p w:rsidR="00D20F78" w:rsidRPr="004164E9"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t>El Artículo 13 del Código de Minas y Energías, en desarrollo del artículo 58 de la Constitución Política, declara de utilidad pública e interés social la industria minera en todas sus ramas y fases.</w:t>
      </w:r>
      <w:r w:rsidRPr="004164E9">
        <w:rPr>
          <w:rFonts w:ascii="Bookman Old Style" w:hAnsi="Bookman Old Style" w:cs="Times New Roman"/>
          <w:sz w:val="24"/>
          <w:szCs w:val="24"/>
        </w:rPr>
        <w:t xml:space="preserve"> </w:t>
      </w:r>
      <w:r w:rsidRPr="004164E9">
        <w:rPr>
          <w:rFonts w:ascii="Bookman Old Style" w:hAnsi="Bookman Old Style" w:cs="Arial"/>
          <w:sz w:val="24"/>
          <w:szCs w:val="24"/>
        </w:rPr>
        <w:t xml:space="preserve">Por tanto, podrán decretarse a su favor, a solicitud de parte interesada y por los procedimientos </w:t>
      </w:r>
      <w:r w:rsidRPr="004164E9">
        <w:rPr>
          <w:rFonts w:ascii="Bookman Old Style" w:hAnsi="Bookman Old Style" w:cs="Arial"/>
          <w:sz w:val="24"/>
          <w:szCs w:val="24"/>
        </w:rPr>
        <w:lastRenderedPageBreak/>
        <w:t xml:space="preserve">establecidos en el Código, las expropiaciones de la propiedad de los bienes inmuebles y demás derechos constituidos sobre los mismos, que sean necesarios para su ejercicio y eficiente desarrollo.    </w:t>
      </w:r>
    </w:p>
    <w:p w:rsidR="00D20F78" w:rsidRPr="004164E9"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t xml:space="preserve">El Artículo 37 del Código de Minas, establece que con excepción de las facultades de las autoridades nacionales y regionales que se señalan en los artículos 34 (zonas excluibles de minería) y 35 (zonas de minería restringida), ninguna autoridad regional, seccional o local podrá establecer zonas de territorio queden permanente o transitoriamente excluidas de la minería.  </w:t>
      </w:r>
    </w:p>
    <w:p w:rsidR="00D20F78" w:rsidRPr="004164E9"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t xml:space="preserve">El Artículo 278 del Código de Minas atribuye a la autoridad minera la competencia para adoptar los términos de referencia y guías aplicables a la elaboración, presentación y aprobación de los estudios mineros, guías técnicas para adelantar los trabajos y obras mineras en el marco de los proyectos mineros, así como los procedimientos de seguimiento y evaluación para el ejercicio de la fiscalización. </w:t>
      </w:r>
    </w:p>
    <w:p w:rsidR="00D20F78" w:rsidRPr="004164E9"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t xml:space="preserve">El Artículo 317 del Código de Minas señala que la Autoridad Minera o concedente, sin otra denominación adicional, se entenderá hecha al Ministerio de Minas y Energía o, en su defecto, a la autoridad nacional, que de conformidad con la organización de la administración pública y la distribución de funciones entre los entes que la integran, tenga a su cargo la administración de los recursos mineros. </w:t>
      </w:r>
    </w:p>
    <w:p w:rsidR="00D20F78"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t xml:space="preserve">El Artículo 318 del Código de Minas establece la obligación de la Autoridad Minera en la fiscalización y vigilancia de la forma en que se ejecuta el contrato de concesión, tanto por los aspectos técnicos, como operativos y ambientales. </w:t>
      </w:r>
    </w:p>
    <w:p w:rsidR="00D20F78" w:rsidRPr="00A62961" w:rsidRDefault="00D20F78" w:rsidP="00D20F78">
      <w:pPr>
        <w:spacing w:after="0"/>
        <w:jc w:val="both"/>
        <w:rPr>
          <w:rFonts w:ascii="Bookman Old Style" w:hAnsi="Bookman Old Style" w:cs="Arial"/>
          <w:i/>
          <w:sz w:val="24"/>
          <w:szCs w:val="24"/>
        </w:rPr>
      </w:pPr>
      <w:r w:rsidRPr="00A62961">
        <w:rPr>
          <w:rFonts w:ascii="Bookman Old Style" w:hAnsi="Bookman Old Style" w:cs="Arial"/>
          <w:sz w:val="24"/>
          <w:szCs w:val="24"/>
        </w:rPr>
        <w:t>La ley 134 de 1994</w:t>
      </w:r>
      <w:r w:rsidRPr="00A62961">
        <w:rPr>
          <w:rFonts w:ascii="Bookman Old Style" w:hAnsi="Bookman Old Style"/>
        </w:rPr>
        <w:footnoteReference w:id="10"/>
      </w:r>
      <w:r w:rsidRPr="00A62961">
        <w:rPr>
          <w:rFonts w:ascii="Bookman Old Style" w:hAnsi="Bookman Old Style" w:cs="Arial"/>
          <w:sz w:val="24"/>
          <w:szCs w:val="24"/>
        </w:rPr>
        <w:t xml:space="preserve">, de acuerdo con el artículo 1, tiene por objeto regular </w:t>
      </w:r>
      <w:r w:rsidRPr="00A62961">
        <w:rPr>
          <w:rFonts w:ascii="Bookman Old Style" w:hAnsi="Bookman Old Style" w:cs="Arial"/>
          <w:i/>
          <w:sz w:val="24"/>
          <w:szCs w:val="24"/>
        </w:rPr>
        <w:t>“(…) la iniciativa popular legislativa y normativa; el referendo; la consulta popular, del orden nacional, departamental, distrital, municipal y local; la revocatoria del mandato; el plebiscito y el cabildo abierto (…)”</w:t>
      </w:r>
      <w:r w:rsidRPr="00A62961">
        <w:rPr>
          <w:rFonts w:ascii="Bookman Old Style" w:hAnsi="Bookman Old Style" w:cs="Arial"/>
          <w:sz w:val="24"/>
          <w:szCs w:val="24"/>
        </w:rPr>
        <w:t xml:space="preserve"> e igualmente el de establecer </w:t>
      </w:r>
      <w:r w:rsidRPr="00A62961">
        <w:rPr>
          <w:rFonts w:ascii="Bookman Old Style" w:hAnsi="Bookman Old Style" w:cs="Arial"/>
          <w:i/>
          <w:sz w:val="24"/>
          <w:szCs w:val="24"/>
        </w:rPr>
        <w:t>“(…) las normas fundamentales por las que se regirá la participación democrática de las organizaciones civiles (…)”.</w:t>
      </w:r>
      <w:r w:rsidRPr="00A62961">
        <w:rPr>
          <w:rFonts w:ascii="Bookman Old Style" w:hAnsi="Bookman Old Style" w:cs="Arial"/>
          <w:sz w:val="24"/>
          <w:szCs w:val="24"/>
        </w:rPr>
        <w:t xml:space="preserve"> El citado artículo estipula además que </w:t>
      </w:r>
      <w:r w:rsidRPr="00A62961">
        <w:rPr>
          <w:rFonts w:ascii="Bookman Old Style" w:hAnsi="Bookman Old Style" w:cs="Arial"/>
          <w:i/>
          <w:sz w:val="24"/>
          <w:szCs w:val="24"/>
        </w:rPr>
        <w:t xml:space="preserve">“(…) [l]a regulación de estos mecanismos no impedirá el desarrollo de otras formas de participación ciudadana en la vida </w:t>
      </w:r>
      <w:r w:rsidRPr="00A62961">
        <w:rPr>
          <w:rFonts w:ascii="Bookman Old Style" w:hAnsi="Bookman Old Style" w:cs="Arial"/>
          <w:i/>
          <w:sz w:val="24"/>
          <w:szCs w:val="24"/>
        </w:rPr>
        <w:lastRenderedPageBreak/>
        <w:t>política, económica, social, cultural, universitaria, sindical o gremial del país ni el ejercicio de otros derechos políticos no mencionados en esta ley”.</w:t>
      </w:r>
    </w:p>
    <w:p w:rsidR="00D20F78" w:rsidRPr="00A62961" w:rsidRDefault="00D20F78" w:rsidP="00D20F78">
      <w:pPr>
        <w:pStyle w:val="Prrafodelista"/>
        <w:spacing w:after="0"/>
        <w:jc w:val="both"/>
        <w:rPr>
          <w:rFonts w:ascii="Bookman Old Style" w:hAnsi="Bookman Old Style" w:cs="Arial"/>
          <w:sz w:val="24"/>
          <w:szCs w:val="24"/>
        </w:rPr>
      </w:pPr>
    </w:p>
    <w:p w:rsidR="00D20F78" w:rsidRPr="00A62961" w:rsidRDefault="00D20F78" w:rsidP="00D20F78">
      <w:pPr>
        <w:spacing w:after="0"/>
        <w:jc w:val="both"/>
        <w:rPr>
          <w:rFonts w:ascii="Bookman Old Style" w:hAnsi="Bookman Old Style" w:cs="Arial"/>
          <w:sz w:val="24"/>
          <w:szCs w:val="24"/>
        </w:rPr>
      </w:pPr>
      <w:r w:rsidRPr="00A62961">
        <w:rPr>
          <w:rFonts w:ascii="Bookman Old Style" w:hAnsi="Bookman Old Style" w:cs="Arial"/>
          <w:sz w:val="24"/>
          <w:szCs w:val="24"/>
        </w:rPr>
        <w:t>Por otro lado, la Ley Estatutaria 1757 de 2015</w:t>
      </w:r>
      <w:r w:rsidRPr="00A62961">
        <w:rPr>
          <w:rFonts w:ascii="Bookman Old Style" w:hAnsi="Bookman Old Style"/>
        </w:rPr>
        <w:footnoteReference w:id="11"/>
      </w:r>
      <w:r w:rsidRPr="00A62961">
        <w:rPr>
          <w:rFonts w:ascii="Bookman Old Style" w:hAnsi="Bookman Old Style" w:cs="Arial"/>
          <w:sz w:val="24"/>
          <w:szCs w:val="24"/>
        </w:rPr>
        <w:t>, tiene por objeto promover, proteger y garantizar modalidades del derecho a participar en la vida política, administrativa, económica, social y cultural, y así mismo a controlar el poder político, regulando también los mecanismos de participación contemplados en el artículo 103 de la Constitución, de manera complementaria a lo estipulado en la Ley 134 de 1994, además de incorporar nuevos mecanismos como las alianzas para la prosperidad, reiterando que en todo caso, la regulación de estos mecanismos no impedirá el desarrollo de otras formas de participación democrática en la vida política, económica, social y cultural, ni el ejercicio de otros derechos políticos no mencionados en esta ley.</w:t>
      </w:r>
    </w:p>
    <w:p w:rsidR="00D20F78" w:rsidRPr="00A62961" w:rsidRDefault="00D20F78" w:rsidP="00D20F78">
      <w:pPr>
        <w:pStyle w:val="Prrafodelista"/>
        <w:spacing w:after="0"/>
        <w:jc w:val="both"/>
        <w:rPr>
          <w:rFonts w:ascii="Bookman Old Style" w:hAnsi="Bookman Old Style" w:cs="Arial"/>
          <w:sz w:val="24"/>
          <w:szCs w:val="24"/>
        </w:rPr>
      </w:pPr>
    </w:p>
    <w:p w:rsidR="00D20F78" w:rsidRDefault="00D20F78" w:rsidP="00D20F78">
      <w:pPr>
        <w:spacing w:after="0"/>
        <w:jc w:val="both"/>
        <w:rPr>
          <w:rFonts w:ascii="Bookman Old Style" w:hAnsi="Bookman Old Style" w:cs="Arial"/>
          <w:sz w:val="24"/>
          <w:szCs w:val="24"/>
        </w:rPr>
      </w:pPr>
      <w:r w:rsidRPr="00A62961">
        <w:rPr>
          <w:rFonts w:ascii="Bookman Old Style" w:hAnsi="Bookman Old Style" w:cs="Arial"/>
          <w:sz w:val="24"/>
          <w:szCs w:val="24"/>
        </w:rPr>
        <w:t>Específicamente en lo que se refiere al sector minero y de hidrocarburos, el ordenamiento jurídico ha contemplado espacios de participación ciudadana como la audiencia pública ambiental, definida en el artículo 72 de la Ley 99 de 1993; la intervención en los procedimientos administrativos (artículo 69 de la Ley 99 de 1993); el derecho de petición (artículo 74 de la Ley 99 de 1993); la consulta previa en casos de comunidades indígenas y étnicas (artículo 76 de la Ley 99 de 1993) y las alianzas para la prosperidad (artículo 105 de la Ley 1757 de 2015).</w:t>
      </w:r>
    </w:p>
    <w:p w:rsidR="00D20F78" w:rsidRDefault="00D20F78" w:rsidP="00D20F78">
      <w:pPr>
        <w:pStyle w:val="Sinespaciado"/>
      </w:pPr>
    </w:p>
    <w:p w:rsidR="00D20F78" w:rsidRPr="00A62961" w:rsidRDefault="00D20F78" w:rsidP="00D20F78">
      <w:pPr>
        <w:spacing w:after="160"/>
        <w:jc w:val="both"/>
        <w:rPr>
          <w:rFonts w:ascii="Bookman Old Style" w:hAnsi="Bookman Old Style" w:cs="Arial"/>
          <w:sz w:val="24"/>
          <w:szCs w:val="24"/>
        </w:rPr>
      </w:pPr>
      <w:r w:rsidRPr="00A62961">
        <w:rPr>
          <w:rFonts w:ascii="Bookman Old Style" w:hAnsi="Bookman Old Style" w:cs="Arial"/>
          <w:sz w:val="24"/>
          <w:szCs w:val="24"/>
        </w:rPr>
        <w:t xml:space="preserve">Las Leyes 136 de 1994 y 1551 de 2012, así como aquellas normas que las modifican y adicionan, contienen las disposiciones relativas al régimen municipal. </w:t>
      </w:r>
    </w:p>
    <w:p w:rsidR="00D20F78" w:rsidRPr="00A62961" w:rsidRDefault="00D20F78" w:rsidP="00D20F78">
      <w:pPr>
        <w:spacing w:after="160"/>
        <w:jc w:val="both"/>
        <w:rPr>
          <w:rFonts w:ascii="Bookman Old Style" w:hAnsi="Bookman Old Style" w:cs="Arial"/>
          <w:sz w:val="24"/>
          <w:szCs w:val="24"/>
        </w:rPr>
      </w:pPr>
      <w:r w:rsidRPr="00A62961">
        <w:rPr>
          <w:rFonts w:ascii="Bookman Old Style" w:hAnsi="Bookman Old Style" w:cs="Arial"/>
          <w:sz w:val="24"/>
          <w:szCs w:val="24"/>
        </w:rPr>
        <w:t>El artículo 2 de la Ley 134 de 1994 señala en el literal a) que, en materia de distribución de competencias entre la Nación y las entidades territoriales, y los regímenes de planeación y presupuestal, el régimen municipal está definido por las correspondientes leyes orgánicas, de conformidad por lo dispuesto en los artículos 288, 342 y 352 de la Constitución Política.</w:t>
      </w:r>
    </w:p>
    <w:p w:rsidR="00D20F78" w:rsidRPr="00A62961" w:rsidRDefault="00D20F78" w:rsidP="00D20F78">
      <w:pPr>
        <w:spacing w:after="160"/>
        <w:jc w:val="both"/>
        <w:rPr>
          <w:rFonts w:ascii="Bookman Old Style" w:hAnsi="Bookman Old Style" w:cs="Arial"/>
          <w:sz w:val="24"/>
          <w:szCs w:val="24"/>
        </w:rPr>
      </w:pPr>
      <w:r w:rsidRPr="00A62961">
        <w:rPr>
          <w:rFonts w:ascii="Bookman Old Style" w:hAnsi="Bookman Old Style" w:cs="Arial"/>
          <w:sz w:val="24"/>
          <w:szCs w:val="24"/>
        </w:rPr>
        <w:t xml:space="preserve">Así mismo, el artículo 3 señala las funciones de los municipios y el artículo 4 indica que, para el ejercicio de las competencias, los municipios se </w:t>
      </w:r>
      <w:r w:rsidRPr="00A62961">
        <w:rPr>
          <w:rFonts w:ascii="Bookman Old Style" w:hAnsi="Bookman Old Style" w:cs="Arial"/>
          <w:sz w:val="24"/>
          <w:szCs w:val="24"/>
        </w:rPr>
        <w:lastRenderedPageBreak/>
        <w:t xml:space="preserve">sujetarán entre otros, a los principios de coordinación, concurrencia, subsidiariedad y complementariedad. </w:t>
      </w:r>
    </w:p>
    <w:p w:rsidR="00D20F78" w:rsidRPr="00A62961" w:rsidRDefault="00D20F78" w:rsidP="00D20F78">
      <w:pPr>
        <w:spacing w:after="160"/>
        <w:jc w:val="both"/>
        <w:rPr>
          <w:rFonts w:ascii="Bookman Old Style" w:hAnsi="Bookman Old Style" w:cs="Arial"/>
          <w:sz w:val="24"/>
          <w:szCs w:val="24"/>
        </w:rPr>
      </w:pPr>
      <w:r w:rsidRPr="00A62961">
        <w:rPr>
          <w:rFonts w:ascii="Bookman Old Style" w:hAnsi="Bookman Old Style" w:cs="Arial"/>
          <w:sz w:val="24"/>
          <w:szCs w:val="24"/>
        </w:rPr>
        <w:t xml:space="preserve">Es importante resaltar que el numeral 3 del artículo 41 de la ley 136 de 1994, prohíbe a los concejos “intervenir en asuntos que no sean de su competencia, por medio de acuerdos o de resoluciones”. </w:t>
      </w:r>
    </w:p>
    <w:p w:rsidR="00D20F78" w:rsidRPr="00A62961" w:rsidRDefault="00D20F78" w:rsidP="00D20F78">
      <w:pPr>
        <w:spacing w:after="0"/>
        <w:jc w:val="both"/>
        <w:rPr>
          <w:rFonts w:ascii="Bookman Old Style" w:hAnsi="Bookman Old Style" w:cs="Arial"/>
          <w:sz w:val="24"/>
          <w:szCs w:val="24"/>
        </w:rPr>
      </w:pPr>
      <w:r w:rsidRPr="00A62961">
        <w:rPr>
          <w:rFonts w:ascii="Bookman Old Style" w:hAnsi="Bookman Old Style" w:cs="Arial"/>
          <w:sz w:val="24"/>
          <w:szCs w:val="24"/>
        </w:rPr>
        <w:t>A su vez, el artículo 32 de la Ley 136 de 1994 modificado por el artículo 18 de la ley 1551 de 2012, reconoce a los concejos otras atribuciones adicionales a las funciones que señalan en la Constitución y la ley, dentro de las cuales, no se observan competencias sobre el subsuelo y los recursos naturales no renovables.</w:t>
      </w:r>
    </w:p>
    <w:p w:rsidR="00D20F78" w:rsidRPr="00A62961" w:rsidRDefault="00D20F78" w:rsidP="00D20F78">
      <w:pPr>
        <w:spacing w:after="0"/>
        <w:jc w:val="both"/>
        <w:rPr>
          <w:rFonts w:ascii="Bookman Old Style" w:hAnsi="Bookman Old Style" w:cs="Arial"/>
          <w:sz w:val="24"/>
          <w:szCs w:val="24"/>
        </w:rPr>
      </w:pPr>
    </w:p>
    <w:p w:rsidR="00D20F78" w:rsidRPr="004164E9"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t xml:space="preserve">Los numerales 1, 2 y 3 del artículo 4° del Decreto ley 4134 de 2011, estipulan que la Agencia Nacional de Minería ejerce las funciones de autoridad minera o concedente en el territorio nacional, en ejercicio de las cuales deberá promover, celebrar, administrar y hacer seguimiento a los contratos de concesión y demás títulos mineros, para la exploración y explotación de minerales de propiedad del estado.  </w:t>
      </w:r>
    </w:p>
    <w:p w:rsidR="00D20F78" w:rsidRPr="004164E9" w:rsidRDefault="00D20F78" w:rsidP="00D20F78">
      <w:pPr>
        <w:jc w:val="both"/>
        <w:rPr>
          <w:rFonts w:ascii="Bookman Old Style" w:hAnsi="Bookman Old Style" w:cs="Arial"/>
          <w:i/>
          <w:sz w:val="24"/>
          <w:szCs w:val="24"/>
        </w:rPr>
      </w:pPr>
      <w:r w:rsidRPr="004164E9">
        <w:rPr>
          <w:rFonts w:ascii="Bookman Old Style" w:hAnsi="Bookman Old Style" w:cs="Arial"/>
          <w:sz w:val="24"/>
          <w:szCs w:val="24"/>
        </w:rPr>
        <w:t xml:space="preserve">El numeral 8.6 del Artículo 8 del Decreto Ley 1760 de 2003, indica que </w:t>
      </w:r>
      <w:r w:rsidRPr="004164E9">
        <w:rPr>
          <w:rFonts w:ascii="Bookman Old Style" w:hAnsi="Bookman Old Style" w:cs="Arial"/>
          <w:i/>
          <w:sz w:val="24"/>
          <w:szCs w:val="24"/>
        </w:rPr>
        <w:t xml:space="preserve">corresponde al consejo directivo de la Agencia Nacional de Hidrocarburos aprobar los modelos de nuevos contratos de exploración y explotación de hidrocarburos de propiedad de la nación, establecer las reglas y criterios de administración y seguimiento de los mismos y definir los parámetros para la realización de programas en beneficio de las comunidades ubicadas en las áreas de influencia de los correspondientes contratos.  </w:t>
      </w:r>
    </w:p>
    <w:p w:rsidR="00D20F78" w:rsidRPr="004164E9"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t xml:space="preserve">El Artículo 2 del Decreto 0714 de 2012 establece que la Agencia Nacional de Hidrocarburos tiene como objetivo administrar integralmente las reservas y recursos </w:t>
      </w:r>
      <w:proofErr w:type="spellStart"/>
      <w:r w:rsidRPr="004164E9">
        <w:rPr>
          <w:rFonts w:ascii="Bookman Old Style" w:hAnsi="Bookman Old Style" w:cs="Arial"/>
          <w:sz w:val="24"/>
          <w:szCs w:val="24"/>
        </w:rPr>
        <w:t>hidrocarburiferas</w:t>
      </w:r>
      <w:proofErr w:type="spellEnd"/>
      <w:r w:rsidRPr="004164E9">
        <w:rPr>
          <w:rFonts w:ascii="Bookman Old Style" w:hAnsi="Bookman Old Style" w:cs="Arial"/>
          <w:sz w:val="24"/>
          <w:szCs w:val="24"/>
        </w:rPr>
        <w:t xml:space="preserve"> de propiedad de la Nación; y que debe contribuir a la seguridad energética nacional.   </w:t>
      </w:r>
    </w:p>
    <w:p w:rsidR="00D20F78" w:rsidRPr="004164E9" w:rsidRDefault="00D20F78" w:rsidP="00D20F78">
      <w:pPr>
        <w:jc w:val="both"/>
        <w:rPr>
          <w:rFonts w:ascii="Bookman Old Style" w:hAnsi="Bookman Old Style" w:cs="Arial"/>
          <w:i/>
          <w:sz w:val="24"/>
          <w:szCs w:val="24"/>
        </w:rPr>
      </w:pPr>
      <w:r w:rsidRPr="004164E9">
        <w:rPr>
          <w:rFonts w:ascii="Bookman Old Style" w:hAnsi="Bookman Old Style" w:cs="Arial"/>
          <w:sz w:val="24"/>
          <w:szCs w:val="24"/>
        </w:rPr>
        <w:t xml:space="preserve">El numeral 3 del Artículo 3 del Decreto 0714 de 2012 dicta como función de la Agencia Nacional de Hidrocarburos </w:t>
      </w:r>
      <w:r w:rsidRPr="004164E9">
        <w:rPr>
          <w:rFonts w:ascii="Bookman Old Style" w:hAnsi="Bookman Old Style" w:cs="Arial"/>
          <w:i/>
          <w:sz w:val="24"/>
          <w:szCs w:val="24"/>
        </w:rPr>
        <w:t xml:space="preserve">Diseñar, promover, negociar, celebrar y administrar los contratos y convenios de exploración y explotación de hidrocarburos de propiedad de la Nación, con excepción de los contratos de asociación que celebró Ecopetrol hasta el 31 de </w:t>
      </w:r>
      <w:r w:rsidR="009E6D68" w:rsidRPr="004164E9">
        <w:rPr>
          <w:rFonts w:ascii="Bookman Old Style" w:hAnsi="Bookman Old Style" w:cs="Arial"/>
          <w:i/>
          <w:sz w:val="24"/>
          <w:szCs w:val="24"/>
        </w:rPr>
        <w:t>diciembre</w:t>
      </w:r>
      <w:r w:rsidRPr="004164E9">
        <w:rPr>
          <w:rFonts w:ascii="Bookman Old Style" w:hAnsi="Bookman Old Style" w:cs="Arial"/>
          <w:i/>
          <w:sz w:val="24"/>
          <w:szCs w:val="24"/>
        </w:rPr>
        <w:t xml:space="preserve"> de 2003.</w:t>
      </w:r>
    </w:p>
    <w:p w:rsidR="00D20F78" w:rsidRPr="004164E9"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t xml:space="preserve">En el año 2015, el Ministerio de Minas y Energía publicó el “Protocolo de comunicación para Proyectos de Mineros” como una herramienta para la </w:t>
      </w:r>
      <w:r w:rsidRPr="004164E9">
        <w:rPr>
          <w:rFonts w:ascii="Bookman Old Style" w:hAnsi="Bookman Old Style" w:cs="Arial"/>
          <w:sz w:val="24"/>
          <w:szCs w:val="24"/>
        </w:rPr>
        <w:lastRenderedPageBreak/>
        <w:t xml:space="preserve">buena comunicación entre las empresas, la comunidad y demás grupos de interés en los proyectos mineros.  </w:t>
      </w:r>
    </w:p>
    <w:p w:rsidR="00D20F78" w:rsidRPr="004164E9"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t xml:space="preserve">El 17 de septiembre de 2014 fue radicada la Guía Técnica Colombiana (GTC) de buenas prácticas sociales para la exploración y explotación de hidrocarburos, la cual surge como iniciativa del Gobierno Nacional, a través del Ministerio de Minas y Energías, la Agencia Nacional de Hidrocarburos (ANH) y el Fondo Financiero de proyectos de Desarrollo (FONADE), con el propósito de apoyar a las organizaciones del sector de hidrocarburos a fortalecer su desempeño social. </w:t>
      </w:r>
    </w:p>
    <w:p w:rsidR="00D20F78" w:rsidRPr="004164E9"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t xml:space="preserve">El Artículo 4° del Decreto 1056 de 1953 declara de utilidad pública la industria del petróleo en sus ramos de exploración, explotación, refinación, transporte y distribución. Por tanto, podrán decretarse por el Ministerio del ramo, a petición de parte legítimamente interesada, las expropiaciones </w:t>
      </w:r>
      <w:r w:rsidRPr="00B96FD0">
        <w:rPr>
          <w:rFonts w:ascii="Bookman Old Style" w:hAnsi="Bookman Old Style" w:cs="Arial"/>
          <w:sz w:val="24"/>
          <w:szCs w:val="24"/>
        </w:rPr>
        <w:t>necesarias</w:t>
      </w:r>
      <w:r w:rsidRPr="004164E9">
        <w:rPr>
          <w:rFonts w:ascii="Bookman Old Style" w:hAnsi="Bookman Old Style" w:cs="Arial"/>
          <w:sz w:val="24"/>
          <w:szCs w:val="24"/>
        </w:rPr>
        <w:t xml:space="preserve"> para el ejercicio y desarrollo de tal industria. </w:t>
      </w:r>
      <w:r>
        <w:rPr>
          <w:rFonts w:ascii="Bookman Old Style" w:hAnsi="Bookman Old Style" w:cs="Arial"/>
          <w:sz w:val="24"/>
          <w:szCs w:val="24"/>
        </w:rPr>
        <w:t xml:space="preserve">Adicionalmente, </w:t>
      </w:r>
      <w:r w:rsidRPr="00B96FD0">
        <w:rPr>
          <w:rFonts w:ascii="Bookman Old Style" w:hAnsi="Bookman Old Style" w:cs="Arial"/>
          <w:sz w:val="24"/>
          <w:szCs w:val="24"/>
        </w:rPr>
        <w:t>declara de utilidad pública la industria petrolera en las etapas de exploración, explotación, refinación, transporte y distribución</w:t>
      </w:r>
      <w:r>
        <w:rPr>
          <w:rFonts w:ascii="Bookman Old Style" w:hAnsi="Bookman Old Style" w:cs="Arial"/>
          <w:sz w:val="24"/>
          <w:szCs w:val="24"/>
        </w:rPr>
        <w:t>.</w:t>
      </w:r>
    </w:p>
    <w:p w:rsidR="00D20F78" w:rsidRPr="00B96FD0" w:rsidRDefault="00D20F78" w:rsidP="00D20F78">
      <w:pPr>
        <w:pStyle w:val="Sinespaciado"/>
        <w:jc w:val="both"/>
        <w:rPr>
          <w:rFonts w:ascii="Bookman Old Style" w:hAnsi="Bookman Old Style" w:cs="Arial"/>
          <w:sz w:val="24"/>
          <w:szCs w:val="24"/>
        </w:rPr>
      </w:pPr>
      <w:r w:rsidRPr="00B96FD0">
        <w:rPr>
          <w:rFonts w:ascii="Bookman Old Style" w:hAnsi="Bookman Old Style" w:cs="Arial"/>
          <w:sz w:val="24"/>
          <w:szCs w:val="24"/>
        </w:rPr>
        <w:t xml:space="preserve">El Artículo 2° del Decreto 1056 de 1953 dicta que el petróleo de propiedad de la nación solo podrá explotarse en virtud de los contratos vigentes celebrados con anterioridad a este código y de contratos que se inicien y se perfeccionen de conformidad con él. </w:t>
      </w:r>
      <w:r w:rsidRPr="00B96FD0">
        <w:rPr>
          <w:rFonts w:ascii="Bookman Old Style" w:hAnsi="Bookman Old Style" w:cs="Arial"/>
          <w:sz w:val="24"/>
          <w:szCs w:val="24"/>
        </w:rPr>
        <w:br/>
      </w:r>
    </w:p>
    <w:p w:rsidR="00D20F78" w:rsidRPr="00B96FD0" w:rsidRDefault="00D20F78" w:rsidP="00D20F78">
      <w:pPr>
        <w:jc w:val="both"/>
        <w:rPr>
          <w:rFonts w:ascii="Bookman Old Style" w:hAnsi="Bookman Old Style" w:cs="Arial"/>
          <w:sz w:val="24"/>
          <w:szCs w:val="24"/>
        </w:rPr>
      </w:pPr>
      <w:r w:rsidRPr="00B96FD0">
        <w:rPr>
          <w:rFonts w:ascii="Bookman Old Style" w:hAnsi="Bookman Old Style" w:cs="Arial"/>
          <w:sz w:val="24"/>
          <w:szCs w:val="24"/>
        </w:rPr>
        <w:t>El Decreto 1073 de 2015 Decreto Único Reglamentario del sector Minero Energético, compila la diferente normatividad sobre las instituciones de la administración pública del orden nacional a las que les han sido asignadas competencias y funciones relacionadas con formular, adoptar, dirigir y coordinar la política nacional en materia de exploración, explotación, transporte, refinación, procesamiento, beneficio, transformación y distribución de minerales, hidrocarburos y biocombustibles, como es el caso del Ministerio de Minas y Energía, y de la Unidad de Planeación Minero Energética (UPME), el Servicio Geológico Colombiano (SGC), la Agencia Nacional de Hidrocarburos (ANH) y la Agencia Nacional de Minería (ANM), que cuentan con competencias especializadas técnicamente y de ejecución. </w:t>
      </w:r>
    </w:p>
    <w:p w:rsidR="00D20F78" w:rsidRDefault="00D20F78" w:rsidP="00D20F78">
      <w:pPr>
        <w:shd w:val="clear" w:color="auto" w:fill="FFFFFF"/>
        <w:spacing w:after="0"/>
        <w:jc w:val="both"/>
        <w:textAlignment w:val="baseline"/>
        <w:rPr>
          <w:rFonts w:ascii="Bookman Old Style" w:hAnsi="Bookman Old Style" w:cs="Arial"/>
          <w:i/>
          <w:sz w:val="24"/>
          <w:szCs w:val="24"/>
        </w:rPr>
      </w:pPr>
      <w:r w:rsidRPr="00B96FD0">
        <w:rPr>
          <w:rFonts w:ascii="Bookman Old Style" w:hAnsi="Bookman Old Style" w:cs="Arial"/>
          <w:sz w:val="24"/>
          <w:szCs w:val="24"/>
        </w:rPr>
        <w:t xml:space="preserve">A partir de la anterior estructura se define la política pública del sector minero energético, teniendo en cuenta que los recursos del subsuelo y los recursos naturales no renovables se encuentran en yacimientos que </w:t>
      </w:r>
      <w:r w:rsidRPr="00B96FD0">
        <w:rPr>
          <w:rFonts w:ascii="Bookman Old Style" w:hAnsi="Bookman Old Style" w:cs="Arial"/>
          <w:sz w:val="24"/>
          <w:szCs w:val="24"/>
        </w:rPr>
        <w:lastRenderedPageBreak/>
        <w:t>superan los límites político administrativos definidos para las entidades territoriales, y así representan intereses nacionales de todo el país y aportes para la población en general</w:t>
      </w:r>
      <w:r w:rsidRPr="00B96FD0">
        <w:rPr>
          <w:rFonts w:ascii="Bookman Old Style" w:hAnsi="Bookman Old Style"/>
        </w:rPr>
        <w:footnoteReference w:id="12"/>
      </w:r>
      <w:r w:rsidRPr="00B96FD0">
        <w:rPr>
          <w:rFonts w:ascii="Bookman Old Style" w:hAnsi="Bookman Old Style" w:cs="Arial"/>
          <w:sz w:val="24"/>
          <w:szCs w:val="24"/>
        </w:rPr>
        <w:t xml:space="preserve">, como indicó la Corte Constitucional con relación al aprovechamiento del subsuelo que </w:t>
      </w:r>
      <w:r w:rsidRPr="00B96FD0">
        <w:rPr>
          <w:rFonts w:ascii="Bookman Old Style" w:hAnsi="Bookman Old Style" w:cs="Arial"/>
          <w:i/>
          <w:sz w:val="24"/>
          <w:szCs w:val="24"/>
        </w:rPr>
        <w:t>“comporta buena parte de la riqueza pública de la Nación y del Estado, que debe ser aprovechada en beneficio de la sociedad.”</w:t>
      </w:r>
    </w:p>
    <w:p w:rsidR="009E6D68" w:rsidRPr="00B96FD0" w:rsidRDefault="009E6D68" w:rsidP="00D20F78">
      <w:pPr>
        <w:shd w:val="clear" w:color="auto" w:fill="FFFFFF"/>
        <w:spacing w:after="0"/>
        <w:jc w:val="both"/>
        <w:textAlignment w:val="baseline"/>
        <w:rPr>
          <w:rFonts w:ascii="Bookman Old Style" w:hAnsi="Bookman Old Style" w:cs="Arial"/>
          <w:sz w:val="24"/>
          <w:szCs w:val="24"/>
        </w:rPr>
      </w:pPr>
    </w:p>
    <w:p w:rsidR="00D20F78" w:rsidRPr="00B96FD0" w:rsidRDefault="00D20F78" w:rsidP="00D20F78">
      <w:pPr>
        <w:spacing w:after="0"/>
        <w:jc w:val="both"/>
        <w:rPr>
          <w:rFonts w:ascii="Bookman Old Style" w:hAnsi="Bookman Old Style" w:cs="Arial"/>
          <w:sz w:val="24"/>
          <w:szCs w:val="24"/>
        </w:rPr>
      </w:pPr>
      <w:r w:rsidRPr="00B96FD0">
        <w:rPr>
          <w:rFonts w:ascii="Bookman Old Style" w:hAnsi="Bookman Old Style" w:cs="Arial"/>
          <w:sz w:val="24"/>
          <w:szCs w:val="24"/>
        </w:rPr>
        <w:t>Para los fines que interesan al presente proyecto, es importante resaltar que conforme a los artículos 1 y 2 del Decreto 0381 de 2012</w:t>
      </w:r>
      <w:r w:rsidRPr="00B96FD0">
        <w:rPr>
          <w:rFonts w:ascii="Bookman Old Style" w:hAnsi="Bookman Old Style"/>
        </w:rPr>
        <w:footnoteReference w:id="13"/>
      </w:r>
      <w:r w:rsidRPr="00B96FD0">
        <w:rPr>
          <w:rFonts w:ascii="Bookman Old Style" w:hAnsi="Bookman Old Style" w:cs="Arial"/>
          <w:sz w:val="24"/>
          <w:szCs w:val="24"/>
        </w:rPr>
        <w:t xml:space="preserve">, el Ministerio de Minas y Energía tiene como objetivo formular, adoptar, dirigir y coordinar las políticas, planes y programas del Sector de Minas y Energía y está encargada de la formulación, adopción e implementación de la política pública del sector administrativo de minas y energía, así como de aquella en materia de exploración, explotación, transporte, refinación, procesamiento, beneficio, transformación y distribución de minerales, hidrocarburos y biocombustibles. </w:t>
      </w:r>
    </w:p>
    <w:p w:rsidR="00D20F78" w:rsidRPr="00B96FD0" w:rsidRDefault="00D20F78" w:rsidP="00D20F78">
      <w:pPr>
        <w:spacing w:after="0"/>
        <w:jc w:val="both"/>
        <w:rPr>
          <w:rFonts w:ascii="Bookman Old Style" w:hAnsi="Bookman Old Style" w:cs="Arial"/>
          <w:sz w:val="24"/>
          <w:szCs w:val="24"/>
        </w:rPr>
      </w:pPr>
    </w:p>
    <w:p w:rsidR="00D20F78" w:rsidRPr="00B96FD0" w:rsidRDefault="00D20F78" w:rsidP="00D20F78">
      <w:pPr>
        <w:spacing w:after="0"/>
        <w:jc w:val="both"/>
        <w:rPr>
          <w:rFonts w:ascii="Bookman Old Style" w:hAnsi="Bookman Old Style" w:cs="Arial"/>
          <w:sz w:val="24"/>
          <w:szCs w:val="24"/>
        </w:rPr>
      </w:pPr>
      <w:r w:rsidRPr="00B96FD0">
        <w:rPr>
          <w:rFonts w:ascii="Bookman Old Style" w:hAnsi="Bookman Old Style" w:cs="Arial"/>
          <w:sz w:val="24"/>
          <w:szCs w:val="24"/>
        </w:rPr>
        <w:t xml:space="preserve">Así mismo, tiene a su cargo la formulación de la política relacionada con el aprovechamiento integral de los recursos naturales no renovables, formular políticas orientadas a que las actividades que desarrollen las empresas del sector minero energético garanticen el desarrollo sostenible de los recursos naturales no renovables y adoptar los planes de desarrollo del sector minero energético del país en concordancia con los planes nacionales de desarrollo y con la política del Gobierno Nacional, entre otras. </w:t>
      </w:r>
    </w:p>
    <w:p w:rsidR="00D20F78" w:rsidRPr="00B96FD0" w:rsidRDefault="00D20F78" w:rsidP="00D20F78">
      <w:pPr>
        <w:spacing w:after="0"/>
        <w:jc w:val="both"/>
        <w:rPr>
          <w:rFonts w:ascii="Bookman Old Style" w:hAnsi="Bookman Old Style" w:cs="Arial"/>
          <w:sz w:val="24"/>
          <w:szCs w:val="24"/>
        </w:rPr>
      </w:pPr>
    </w:p>
    <w:p w:rsidR="00D20F78" w:rsidRPr="00B96FD0" w:rsidRDefault="00D20F78" w:rsidP="00D20F78">
      <w:pPr>
        <w:spacing w:after="0"/>
        <w:jc w:val="both"/>
        <w:rPr>
          <w:rFonts w:ascii="Bookman Old Style" w:hAnsi="Bookman Old Style" w:cs="Arial"/>
          <w:sz w:val="24"/>
          <w:szCs w:val="24"/>
        </w:rPr>
      </w:pPr>
      <w:r w:rsidRPr="00B96FD0">
        <w:rPr>
          <w:rFonts w:ascii="Bookman Old Style" w:hAnsi="Bookman Old Style" w:cs="Arial"/>
          <w:sz w:val="24"/>
          <w:szCs w:val="24"/>
        </w:rPr>
        <w:t xml:space="preserve">Por su parte, de acuerdo con el artículo 3 de Decreto 1258 de 2013, la Unidad de Planeación Minero Energética (UPME), </w:t>
      </w:r>
      <w:r w:rsidRPr="00B96FD0">
        <w:rPr>
          <w:rFonts w:ascii="Bookman Old Style" w:hAnsi="Bookman Old Style" w:cs="Arial"/>
          <w:i/>
          <w:sz w:val="24"/>
          <w:szCs w:val="24"/>
        </w:rPr>
        <w:t>“(…) es la entidad encargada de planear en forma integral, indicativa, permanente y coordinada con los agentes del sector minero energético, el desarrollo y aprovechamiento de los recursos mineros y energéticos; producir y divulgar la información requerida para la formulación de política y toma de decisiones; y apoyar al Ministerio de Minas y Energía en el logro de sus objetivos y metas.”</w:t>
      </w:r>
    </w:p>
    <w:p w:rsidR="00D20F78" w:rsidRDefault="00D20F78" w:rsidP="00D20F78">
      <w:pPr>
        <w:spacing w:after="0"/>
        <w:jc w:val="both"/>
        <w:rPr>
          <w:rFonts w:ascii="Bookman Old Style" w:hAnsi="Bookman Old Style" w:cs="Arial"/>
          <w:sz w:val="24"/>
          <w:szCs w:val="24"/>
        </w:rPr>
      </w:pPr>
    </w:p>
    <w:p w:rsidR="00D20F78" w:rsidRPr="00B96FD0" w:rsidRDefault="00D20F78" w:rsidP="00D20F78">
      <w:pPr>
        <w:spacing w:after="0"/>
        <w:jc w:val="both"/>
        <w:rPr>
          <w:rFonts w:ascii="Bookman Old Style" w:hAnsi="Bookman Old Style" w:cs="Arial"/>
          <w:sz w:val="24"/>
          <w:szCs w:val="24"/>
        </w:rPr>
      </w:pPr>
      <w:r w:rsidRPr="00B96FD0">
        <w:rPr>
          <w:rFonts w:ascii="Bookman Old Style" w:hAnsi="Bookman Old Style" w:cs="Arial"/>
          <w:sz w:val="24"/>
          <w:szCs w:val="24"/>
        </w:rPr>
        <w:lastRenderedPageBreak/>
        <w:t>El Decreto 1333 de 1986 se contiene disposiciones del Código de Régimen Municipal que comprende los siguientes Títulos: el Municipio como entidad territorial; condiciones para su creación, deslinde y amojonamiento; planeación municipal; concejos; acuerdos; alcaldes; personeros; tesoreros; entidades descentralizadas; bienes y rentas municipales; presupuesto; contratos; personal; control fiscal; divisiones administrativas de los municipios; asociaciones de municipios; áreas metropolitanas; participación comunitaria y disposiciones varias.</w:t>
      </w:r>
    </w:p>
    <w:p w:rsidR="00D20F78" w:rsidRPr="00B96FD0" w:rsidRDefault="00D20F78" w:rsidP="00D20F78">
      <w:pPr>
        <w:pStyle w:val="Prrafodelista"/>
        <w:spacing w:after="0"/>
        <w:jc w:val="both"/>
        <w:rPr>
          <w:rFonts w:ascii="Bookman Old Style" w:hAnsi="Bookman Old Style" w:cs="Arial"/>
          <w:sz w:val="24"/>
          <w:szCs w:val="24"/>
        </w:rPr>
      </w:pPr>
    </w:p>
    <w:p w:rsidR="00D20F78" w:rsidRDefault="00D20F78" w:rsidP="00D20F78">
      <w:pPr>
        <w:spacing w:after="0"/>
        <w:jc w:val="both"/>
        <w:rPr>
          <w:rFonts w:ascii="Bookman Old Style" w:hAnsi="Bookman Old Style" w:cs="Arial"/>
          <w:sz w:val="24"/>
          <w:szCs w:val="24"/>
        </w:rPr>
      </w:pPr>
      <w:r w:rsidRPr="00B96FD0">
        <w:rPr>
          <w:rFonts w:ascii="Bookman Old Style" w:hAnsi="Bookman Old Style" w:cs="Arial"/>
          <w:sz w:val="24"/>
          <w:szCs w:val="24"/>
        </w:rPr>
        <w:t>En él se incorporan las normas constitucionales relativas a la organización y el funcionamiento de la administración municipal y se codifican las disposiciones legales vigentes sobre las mismas materias.</w:t>
      </w:r>
    </w:p>
    <w:p w:rsidR="009E6D68" w:rsidRPr="00B96FD0" w:rsidRDefault="009E6D68" w:rsidP="00D20F78">
      <w:pPr>
        <w:spacing w:after="0"/>
        <w:jc w:val="both"/>
        <w:rPr>
          <w:rFonts w:ascii="Bookman Old Style" w:hAnsi="Bookman Old Style" w:cs="Arial"/>
          <w:sz w:val="24"/>
          <w:szCs w:val="24"/>
        </w:rPr>
      </w:pPr>
    </w:p>
    <w:p w:rsidR="00D20F78" w:rsidRPr="004164E9" w:rsidRDefault="00D20F78" w:rsidP="00D20F78">
      <w:pPr>
        <w:pStyle w:val="Prrafodelista"/>
        <w:numPr>
          <w:ilvl w:val="0"/>
          <w:numId w:val="1"/>
        </w:numPr>
        <w:rPr>
          <w:rFonts w:ascii="Bookman Old Style" w:hAnsi="Bookman Old Style" w:cs="Arial"/>
          <w:b/>
          <w:sz w:val="24"/>
          <w:szCs w:val="24"/>
          <w:u w:val="single"/>
        </w:rPr>
      </w:pPr>
      <w:r w:rsidRPr="004164E9">
        <w:rPr>
          <w:rFonts w:ascii="Bookman Old Style" w:hAnsi="Bookman Old Style" w:cs="Arial"/>
          <w:b/>
          <w:sz w:val="24"/>
          <w:szCs w:val="24"/>
          <w:u w:val="single"/>
        </w:rPr>
        <w:t>SITUACIÓN ACTUAL</w:t>
      </w:r>
    </w:p>
    <w:p w:rsidR="00D20F78" w:rsidRPr="004164E9" w:rsidRDefault="00D20F78" w:rsidP="00D20F78">
      <w:pPr>
        <w:jc w:val="both"/>
        <w:rPr>
          <w:rFonts w:ascii="Bookman Old Style" w:hAnsi="Bookman Old Style" w:cs="Arial"/>
          <w:color w:val="000000" w:themeColor="text1"/>
          <w:sz w:val="24"/>
          <w:szCs w:val="24"/>
          <w:shd w:val="clear" w:color="auto" w:fill="FFFFFF"/>
        </w:rPr>
      </w:pPr>
      <w:r w:rsidRPr="004164E9">
        <w:rPr>
          <w:rFonts w:ascii="Bookman Old Style" w:hAnsi="Bookman Old Style" w:cs="Arial"/>
          <w:color w:val="000000" w:themeColor="text1"/>
          <w:sz w:val="24"/>
          <w:szCs w:val="24"/>
          <w:shd w:val="clear" w:color="auto" w:fill="FFFFFF"/>
        </w:rPr>
        <w:t xml:space="preserve">Colombia cuenta con una ubicación privilegiada desde el punto de vista </w:t>
      </w:r>
      <w:proofErr w:type="spellStart"/>
      <w:r w:rsidRPr="004164E9">
        <w:rPr>
          <w:rFonts w:ascii="Bookman Old Style" w:hAnsi="Bookman Old Style" w:cs="Arial"/>
          <w:color w:val="000000" w:themeColor="text1"/>
          <w:sz w:val="24"/>
          <w:szCs w:val="24"/>
          <w:shd w:val="clear" w:color="auto" w:fill="FFFFFF"/>
        </w:rPr>
        <w:t>metalogénico</w:t>
      </w:r>
      <w:proofErr w:type="spellEnd"/>
      <w:r w:rsidRPr="004164E9">
        <w:rPr>
          <w:rFonts w:ascii="Bookman Old Style" w:hAnsi="Bookman Old Style" w:cs="Arial"/>
          <w:color w:val="000000" w:themeColor="text1"/>
          <w:sz w:val="24"/>
          <w:szCs w:val="24"/>
          <w:shd w:val="clear" w:color="auto" w:fill="FFFFFF"/>
        </w:rPr>
        <w:t xml:space="preserve"> debido al marco geológico que la caracteriza, con presencia de dos grandes provincias geotectónicas: el Cinturón Andino y el Escudo Amazónico, ambas propicias para la exploración de recursos naturales y con probabilidad de generar proyectos de gran importancia económica que generen desarrollo en las regiones, principalmente en aquellas donde se desarrollen.</w:t>
      </w:r>
    </w:p>
    <w:p w:rsidR="00D20F78" w:rsidRPr="004164E9" w:rsidRDefault="00D20F78" w:rsidP="00D20F78">
      <w:pPr>
        <w:jc w:val="both"/>
        <w:rPr>
          <w:rFonts w:ascii="Bookman Old Style" w:hAnsi="Bookman Old Style" w:cs="Arial"/>
          <w:color w:val="000000" w:themeColor="text1"/>
          <w:sz w:val="24"/>
          <w:szCs w:val="24"/>
          <w:shd w:val="clear" w:color="auto" w:fill="FFFFFF"/>
        </w:rPr>
      </w:pPr>
      <w:r w:rsidRPr="004164E9">
        <w:rPr>
          <w:rFonts w:ascii="Bookman Old Style" w:hAnsi="Bookman Old Style" w:cs="Arial"/>
          <w:color w:val="000000" w:themeColor="text1"/>
          <w:sz w:val="24"/>
          <w:szCs w:val="24"/>
          <w:shd w:val="clear" w:color="auto" w:fill="FFFFFF"/>
        </w:rPr>
        <w:t xml:space="preserve">En el marco de la regulación Minero-Energética, el Decreto 1073 de 2015 establece la estructura del sector, dividiéndolo en sector central y sector descentralizado, definiendo como cabeza del sector central al Ministerio de Minas y Energías (MME), y el sector descentralizado como entidades adscritas, a la unidad de Planeamiento Minero Energética (UPME), el Servicio Geológico colombiano (SGC), la Agencia Nacional de Minería (ANM) y la Agencia Nacional de Hidrocarburos. A partir de dicha estructura se define la política pública del sector minero energético, teniendo en cuenta que los recursos del subsuelo y los recursos naturales no renovables se encuentran en yacimientos que superan los límites político-administrativos definidos para las entidades territoriales, y así representan intereses nacionales de todo el país y aportes para la población en general.  </w:t>
      </w:r>
    </w:p>
    <w:p w:rsidR="00D20F78" w:rsidRPr="004164E9" w:rsidRDefault="00D20F78" w:rsidP="00D20F78">
      <w:pPr>
        <w:jc w:val="both"/>
        <w:rPr>
          <w:rFonts w:ascii="Bookman Old Style" w:hAnsi="Bookman Old Style" w:cs="Arial"/>
          <w:color w:val="000000" w:themeColor="text1"/>
          <w:sz w:val="24"/>
          <w:szCs w:val="24"/>
          <w:shd w:val="clear" w:color="auto" w:fill="FFFFFF"/>
        </w:rPr>
      </w:pPr>
      <w:r w:rsidRPr="004164E9">
        <w:rPr>
          <w:rFonts w:ascii="Bookman Old Style" w:hAnsi="Bookman Old Style" w:cs="Arial"/>
          <w:color w:val="000000" w:themeColor="text1"/>
          <w:sz w:val="24"/>
          <w:szCs w:val="24"/>
          <w:shd w:val="clear" w:color="auto" w:fill="FFFFFF"/>
        </w:rPr>
        <w:t xml:space="preserve">En este contexto, la ANH y la ANM, como entidades adscritas al MME, cuentan actualmente con funciones de administración de los recursos del subsuelo y de otorgamiento de concesiones de los mismos. De tal forma, la </w:t>
      </w:r>
      <w:r w:rsidRPr="004164E9">
        <w:rPr>
          <w:rFonts w:ascii="Bookman Old Style" w:hAnsi="Bookman Old Style" w:cs="Arial"/>
          <w:color w:val="000000" w:themeColor="text1"/>
          <w:sz w:val="24"/>
          <w:szCs w:val="24"/>
          <w:shd w:val="clear" w:color="auto" w:fill="FFFFFF"/>
        </w:rPr>
        <w:lastRenderedPageBreak/>
        <w:t xml:space="preserve">ANH desde el año 2004, para la concesión de los mencionados recursos, desarrolla dos modalidades de contratación por medio del Contrato de Evaluación Técnica (TEA) y el Contrato de Exploración y producción (E&amp;P) que de acuerdo con el artículo 28 de la ley 1753 de 2015 son públicos, salvo en aquellos aspectos que se encuentren sometidos a reserva legal o amparados contractualmente por confidencialidad, de acuerdo con la Constitución y la ley. Por otra parte, la ANM para administrar integralmente los recursos minerales de propiedad del Estado, y en cumplimiento del artículo 45 del Código de Minas (Ley 685 de 2001), es la autoridad que otorga en concesión los recursos mineros mediante el Contrato Único de Concesión Minera. </w:t>
      </w:r>
    </w:p>
    <w:p w:rsidR="00D20F78" w:rsidRDefault="00D20F78" w:rsidP="00D20F78">
      <w:pPr>
        <w:jc w:val="both"/>
        <w:rPr>
          <w:rFonts w:ascii="Bookman Old Style" w:hAnsi="Bookman Old Style" w:cs="Arial"/>
          <w:color w:val="000000" w:themeColor="text1"/>
          <w:sz w:val="24"/>
          <w:szCs w:val="24"/>
          <w:shd w:val="clear" w:color="auto" w:fill="FFFFFF"/>
        </w:rPr>
      </w:pPr>
      <w:r w:rsidRPr="004164E9">
        <w:rPr>
          <w:rFonts w:ascii="Bookman Old Style" w:hAnsi="Bookman Old Style" w:cs="Arial"/>
          <w:color w:val="000000" w:themeColor="text1"/>
          <w:sz w:val="24"/>
          <w:szCs w:val="24"/>
          <w:shd w:val="clear" w:color="auto" w:fill="FFFFFF"/>
        </w:rPr>
        <w:t xml:space="preserve">Los contratos que suscriben la ANH y la ANM están sujetos a procedimientos previos mediante los cuales se determinan, delimitan y clasifican las áreas para el desarrollo de actividades de exploración y explotación del subsuelo y se evalúan y definen las personas naturales o jurídicas que suscribirán posteriormente los contratos de concesión. </w:t>
      </w:r>
    </w:p>
    <w:p w:rsidR="00D20F78" w:rsidRPr="004164E9" w:rsidRDefault="00D20F78" w:rsidP="00D20F78">
      <w:pPr>
        <w:ind w:left="426"/>
        <w:jc w:val="both"/>
        <w:rPr>
          <w:rFonts w:ascii="Bookman Old Style" w:hAnsi="Bookman Old Style" w:cs="Arial"/>
          <w:b/>
          <w:color w:val="000000" w:themeColor="text1"/>
          <w:sz w:val="24"/>
          <w:szCs w:val="24"/>
          <w:shd w:val="clear" w:color="auto" w:fill="FFFFFF"/>
        </w:rPr>
      </w:pPr>
      <w:r w:rsidRPr="004164E9">
        <w:rPr>
          <w:rFonts w:ascii="Bookman Old Style" w:hAnsi="Bookman Old Style" w:cs="Arial"/>
          <w:b/>
          <w:color w:val="000000" w:themeColor="text1"/>
          <w:sz w:val="24"/>
          <w:szCs w:val="24"/>
          <w:shd w:val="clear" w:color="auto" w:fill="FFFFFF"/>
        </w:rPr>
        <w:t xml:space="preserve">3.1. </w:t>
      </w:r>
      <w:r w:rsidRPr="004164E9">
        <w:rPr>
          <w:rFonts w:ascii="Bookman Old Style" w:hAnsi="Bookman Old Style" w:cs="Arial"/>
          <w:b/>
          <w:color w:val="000000" w:themeColor="text1"/>
          <w:sz w:val="24"/>
          <w:szCs w:val="24"/>
          <w:u w:val="single"/>
          <w:shd w:val="clear" w:color="auto" w:fill="FFFFFF"/>
        </w:rPr>
        <w:t>SECTOR HIDROCARBUROS</w:t>
      </w:r>
    </w:p>
    <w:p w:rsidR="00D20F78" w:rsidRPr="004164E9" w:rsidRDefault="00D20F78" w:rsidP="00D20F78">
      <w:pPr>
        <w:jc w:val="both"/>
        <w:rPr>
          <w:rFonts w:ascii="Bookman Old Style" w:hAnsi="Bookman Old Style" w:cs="Arial"/>
          <w:color w:val="000000" w:themeColor="text1"/>
          <w:sz w:val="24"/>
          <w:szCs w:val="24"/>
          <w:shd w:val="clear" w:color="auto" w:fill="FFFFFF"/>
        </w:rPr>
      </w:pPr>
      <w:r w:rsidRPr="004164E9">
        <w:rPr>
          <w:rFonts w:ascii="Bookman Old Style" w:hAnsi="Bookman Old Style" w:cs="Arial"/>
          <w:color w:val="000000" w:themeColor="text1"/>
          <w:sz w:val="24"/>
          <w:szCs w:val="24"/>
          <w:shd w:val="clear" w:color="auto" w:fill="FFFFFF"/>
        </w:rPr>
        <w:t xml:space="preserve">En el caso del sector hidrocarburos los procedimientos son de selección objetiva, bajo los principios de transparencia, economía y responsabilidad y son definidos por la ANH, de acuerdo a los artículos 76 de la Ley 80 de 1993 y 28 de la Ley 1753 de 2015. En desarrollo de tal normativa, el Acuerdo 02 de 2017 expedido por la ANH establece </w:t>
      </w:r>
      <w:r w:rsidRPr="004164E9">
        <w:rPr>
          <w:rFonts w:ascii="Bookman Old Style" w:hAnsi="Bookman Old Style" w:cs="Arial"/>
          <w:color w:val="000000" w:themeColor="text1"/>
          <w:sz w:val="24"/>
          <w:szCs w:val="24"/>
          <w:u w:val="single"/>
          <w:shd w:val="clear" w:color="auto" w:fill="FFFFFF"/>
        </w:rPr>
        <w:t>dos etapas de la gestión contractual:</w:t>
      </w:r>
      <w:r w:rsidRPr="004164E9">
        <w:rPr>
          <w:rFonts w:ascii="Bookman Old Style" w:hAnsi="Bookman Old Style" w:cs="Arial"/>
          <w:color w:val="000000" w:themeColor="text1"/>
          <w:sz w:val="24"/>
          <w:szCs w:val="24"/>
          <w:shd w:val="clear" w:color="auto" w:fill="FFFFFF"/>
        </w:rPr>
        <w:t xml:space="preserve"> </w:t>
      </w:r>
    </w:p>
    <w:p w:rsidR="00D20F78" w:rsidRPr="004164E9" w:rsidRDefault="00D20F78" w:rsidP="00D20F78">
      <w:pPr>
        <w:pStyle w:val="Prrafodelista"/>
        <w:numPr>
          <w:ilvl w:val="0"/>
          <w:numId w:val="2"/>
        </w:numPr>
        <w:jc w:val="both"/>
        <w:rPr>
          <w:rFonts w:ascii="Bookman Old Style" w:hAnsi="Bookman Old Style" w:cs="Arial"/>
          <w:color w:val="000000" w:themeColor="text1"/>
          <w:sz w:val="24"/>
          <w:szCs w:val="24"/>
          <w:shd w:val="clear" w:color="auto" w:fill="FFFFFF"/>
        </w:rPr>
      </w:pPr>
      <w:r w:rsidRPr="004164E9">
        <w:rPr>
          <w:rFonts w:ascii="Bookman Old Style" w:hAnsi="Bookman Old Style" w:cs="Arial"/>
          <w:color w:val="000000" w:themeColor="text1"/>
          <w:sz w:val="24"/>
          <w:szCs w:val="24"/>
          <w:shd w:val="clear" w:color="auto" w:fill="FFFFFF"/>
        </w:rPr>
        <w:t xml:space="preserve">Etapa precontractual; que comprende la etapa de planeación y de selección objetiva y </w:t>
      </w:r>
    </w:p>
    <w:p w:rsidR="00D20F78" w:rsidRPr="004164E9" w:rsidRDefault="00D20F78" w:rsidP="00D20F78">
      <w:pPr>
        <w:pStyle w:val="Prrafodelista"/>
        <w:jc w:val="both"/>
        <w:rPr>
          <w:rFonts w:ascii="Bookman Old Style" w:hAnsi="Bookman Old Style" w:cs="Arial"/>
          <w:color w:val="000000" w:themeColor="text1"/>
          <w:sz w:val="24"/>
          <w:szCs w:val="24"/>
          <w:shd w:val="clear" w:color="auto" w:fill="FFFFFF"/>
        </w:rPr>
      </w:pPr>
    </w:p>
    <w:p w:rsidR="00D20F78" w:rsidRPr="004164E9" w:rsidRDefault="00D20F78" w:rsidP="00D20F78">
      <w:pPr>
        <w:pStyle w:val="Prrafodelista"/>
        <w:numPr>
          <w:ilvl w:val="0"/>
          <w:numId w:val="2"/>
        </w:numPr>
        <w:jc w:val="both"/>
        <w:rPr>
          <w:rFonts w:ascii="Bookman Old Style" w:hAnsi="Bookman Old Style" w:cs="Arial"/>
          <w:color w:val="000000" w:themeColor="text1"/>
          <w:sz w:val="24"/>
          <w:szCs w:val="24"/>
          <w:shd w:val="clear" w:color="auto" w:fill="FFFFFF"/>
        </w:rPr>
      </w:pPr>
      <w:r w:rsidRPr="004164E9">
        <w:rPr>
          <w:rFonts w:ascii="Bookman Old Style" w:hAnsi="Bookman Old Style" w:cs="Arial"/>
          <w:color w:val="000000" w:themeColor="text1"/>
          <w:sz w:val="24"/>
          <w:szCs w:val="24"/>
          <w:shd w:val="clear" w:color="auto" w:fill="FFFFFF"/>
        </w:rPr>
        <w:t xml:space="preserve">Etapa contractual; que se desarrolla mediante las fases de celebración y ejecución. Por último, se lleva a cabo la liquidación contractual, la cual se tomaría como una fase post-contractual. </w:t>
      </w:r>
    </w:p>
    <w:p w:rsidR="00D20F78" w:rsidRPr="004164E9" w:rsidRDefault="00D20F78" w:rsidP="00D20F78">
      <w:pPr>
        <w:jc w:val="both"/>
        <w:rPr>
          <w:rFonts w:ascii="Bookman Old Style" w:hAnsi="Bookman Old Style" w:cs="Arial"/>
          <w:color w:val="000000" w:themeColor="text1"/>
          <w:sz w:val="24"/>
          <w:szCs w:val="24"/>
          <w:shd w:val="clear" w:color="auto" w:fill="FFFFFF"/>
        </w:rPr>
      </w:pPr>
      <w:r w:rsidRPr="004164E9">
        <w:rPr>
          <w:rFonts w:ascii="Bookman Old Style" w:hAnsi="Bookman Old Style" w:cs="Arial"/>
          <w:color w:val="000000" w:themeColor="text1"/>
          <w:sz w:val="24"/>
          <w:szCs w:val="24"/>
          <w:shd w:val="clear" w:color="auto" w:fill="FFFFFF"/>
        </w:rPr>
        <w:t xml:space="preserve">Adicionalmente, el Acuerdo estipula respecto a las asignaciones de áreas el procedimiento competitivo de selección objetiva de contratistas y excepcionalmente por un Sistema Reglado de Adjudicación Directa. </w:t>
      </w:r>
    </w:p>
    <w:p w:rsidR="00D20F78" w:rsidRPr="004164E9" w:rsidRDefault="00D20F78" w:rsidP="00D20F78">
      <w:pPr>
        <w:jc w:val="both"/>
        <w:rPr>
          <w:rFonts w:ascii="Bookman Old Style" w:hAnsi="Bookman Old Style" w:cs="Arial"/>
          <w:color w:val="000000" w:themeColor="text1"/>
          <w:sz w:val="24"/>
          <w:szCs w:val="24"/>
          <w:shd w:val="clear" w:color="auto" w:fill="FFFFFF"/>
        </w:rPr>
      </w:pPr>
      <w:r w:rsidRPr="004164E9">
        <w:rPr>
          <w:rFonts w:ascii="Bookman Old Style" w:hAnsi="Bookman Old Style" w:cs="Arial"/>
          <w:color w:val="000000" w:themeColor="text1"/>
          <w:sz w:val="24"/>
          <w:szCs w:val="24"/>
          <w:shd w:val="clear" w:color="auto" w:fill="FFFFFF"/>
        </w:rPr>
        <w:t xml:space="preserve">Estas etapas se encuentran regidas por el </w:t>
      </w:r>
      <w:r w:rsidRPr="004164E9">
        <w:rPr>
          <w:rFonts w:ascii="Bookman Old Style" w:hAnsi="Bookman Old Style" w:cs="Arial"/>
          <w:color w:val="000000" w:themeColor="text1"/>
          <w:sz w:val="24"/>
          <w:szCs w:val="24"/>
          <w:u w:val="single"/>
          <w:shd w:val="clear" w:color="auto" w:fill="FFFFFF"/>
        </w:rPr>
        <w:t>principio de publicidad</w:t>
      </w:r>
      <w:r w:rsidRPr="004164E9">
        <w:rPr>
          <w:rFonts w:ascii="Bookman Old Style" w:hAnsi="Bookman Old Style" w:cs="Arial"/>
          <w:color w:val="000000" w:themeColor="text1"/>
          <w:sz w:val="24"/>
          <w:szCs w:val="24"/>
          <w:shd w:val="clear" w:color="auto" w:fill="FFFFFF"/>
        </w:rPr>
        <w:t xml:space="preserve">, que establece que las actuaciones contractuales de la ANH serán públicas y los </w:t>
      </w:r>
      <w:r w:rsidRPr="004164E9">
        <w:rPr>
          <w:rFonts w:ascii="Bookman Old Style" w:hAnsi="Bookman Old Style" w:cs="Arial"/>
          <w:color w:val="000000" w:themeColor="text1"/>
          <w:sz w:val="24"/>
          <w:szCs w:val="24"/>
          <w:shd w:val="clear" w:color="auto" w:fill="FFFFFF"/>
        </w:rPr>
        <w:lastRenderedPageBreak/>
        <w:t xml:space="preserve">expedientes que las contengan estarán abiertos al público, salvo aquellos aspectos o materias amparados legalmente por reserva o contractualmente por confidencialidad. </w:t>
      </w:r>
    </w:p>
    <w:p w:rsidR="00D20F78" w:rsidRPr="004164E9" w:rsidRDefault="00D20F78" w:rsidP="00D20F78">
      <w:pPr>
        <w:jc w:val="both"/>
        <w:rPr>
          <w:rFonts w:ascii="Bookman Old Style" w:hAnsi="Bookman Old Style" w:cs="Arial"/>
          <w:color w:val="000000" w:themeColor="text1"/>
          <w:sz w:val="24"/>
          <w:szCs w:val="24"/>
          <w:shd w:val="clear" w:color="auto" w:fill="FFFFFF"/>
        </w:rPr>
      </w:pPr>
      <w:r w:rsidRPr="004164E9">
        <w:rPr>
          <w:rFonts w:ascii="Bookman Old Style" w:hAnsi="Bookman Old Style" w:cs="Arial"/>
          <w:color w:val="000000" w:themeColor="text1"/>
          <w:sz w:val="24"/>
          <w:szCs w:val="24"/>
          <w:shd w:val="clear" w:color="auto" w:fill="FFFFFF"/>
        </w:rPr>
        <w:t xml:space="preserve">En el artículo 5 del Acuerdo se establece que en la determinación, clasificación, delimitación y/o regulación de áreas susceptibles de asignación para exploración y explotación de hidrocarburos deben tomarse en consideración los procedimientos de consulta y de coordinación con los entes territoriales y con las comunidades o grupos étnicos, que se hubieran adelantado o que se adelanten en las oportunidades legales pertinentes, con arreglo al ordenamiento superior que regule la materia que se trate. Esta normatividad evidencia el cumplimento de algunos principios constitucionales de ordenamiento del territorio, consulta y coordinación con los entes territoriales y con las comunidades o grupos étnicos,  sin embargo no existe una regulación específica y clara que dé cuenta de la implementación vigorosa de los principios de democracia participativa (artículos 1, 40, 79, 130,105 y 95 constitucionales) y coordinación y concurrencia nación-territorio (artículo 288 constitucional), puesto que en los reglamentos internos de la ANH no existe una norma que materialice de manera armónica los principios de Estado unitario y de autonomía territorial.  </w:t>
      </w:r>
    </w:p>
    <w:p w:rsidR="00D20F78" w:rsidRPr="004164E9" w:rsidRDefault="00D20F78" w:rsidP="00D20F78">
      <w:pPr>
        <w:ind w:left="426"/>
        <w:jc w:val="both"/>
        <w:rPr>
          <w:rFonts w:ascii="Bookman Old Style" w:hAnsi="Bookman Old Style" w:cs="Arial"/>
          <w:b/>
          <w:color w:val="000000" w:themeColor="text1"/>
          <w:sz w:val="24"/>
          <w:szCs w:val="24"/>
          <w:shd w:val="clear" w:color="auto" w:fill="FFFFFF"/>
        </w:rPr>
      </w:pPr>
      <w:r w:rsidRPr="004164E9">
        <w:rPr>
          <w:rFonts w:ascii="Bookman Old Style" w:hAnsi="Bookman Old Style" w:cs="Arial"/>
          <w:b/>
          <w:color w:val="000000" w:themeColor="text1"/>
          <w:sz w:val="24"/>
          <w:szCs w:val="24"/>
          <w:shd w:val="clear" w:color="auto" w:fill="FFFFFF"/>
        </w:rPr>
        <w:t xml:space="preserve">3.2. </w:t>
      </w:r>
      <w:r w:rsidRPr="004164E9">
        <w:rPr>
          <w:rFonts w:ascii="Bookman Old Style" w:hAnsi="Bookman Old Style" w:cs="Arial"/>
          <w:b/>
          <w:color w:val="000000" w:themeColor="text1"/>
          <w:sz w:val="24"/>
          <w:szCs w:val="24"/>
          <w:u w:val="single"/>
          <w:shd w:val="clear" w:color="auto" w:fill="FFFFFF"/>
        </w:rPr>
        <w:t>SECTOR MINERO</w:t>
      </w:r>
    </w:p>
    <w:p w:rsidR="00D20F78" w:rsidRPr="004164E9" w:rsidRDefault="00D20F78" w:rsidP="00D20F78">
      <w:pPr>
        <w:jc w:val="both"/>
        <w:rPr>
          <w:rFonts w:ascii="Bookman Old Style" w:hAnsi="Bookman Old Style" w:cs="Arial"/>
          <w:color w:val="000000" w:themeColor="text1"/>
          <w:sz w:val="24"/>
          <w:szCs w:val="24"/>
          <w:shd w:val="clear" w:color="auto" w:fill="FFFFFF"/>
        </w:rPr>
      </w:pPr>
      <w:r w:rsidRPr="004164E9">
        <w:rPr>
          <w:rFonts w:ascii="Bookman Old Style" w:hAnsi="Bookman Old Style" w:cs="Arial"/>
          <w:color w:val="000000" w:themeColor="text1"/>
          <w:sz w:val="24"/>
          <w:szCs w:val="24"/>
          <w:shd w:val="clear" w:color="auto" w:fill="FFFFFF"/>
        </w:rPr>
        <w:t xml:space="preserve">En lo que respecta al sector de minería, los fundamentos y el proceso para el otorgamiento de un contrato único de concesión minera se encuentran reglados en el Código de Minas (Ley 685 de 2001) y existen diversas formas para acceder a este; una de las más relevantes es la de presentar una propuesta de contrato de concesión minera a la autoridad minera nacional, trámite que se encuentra definido especialmente en los artículos 14,16,270,271,300,301 entre otros, de la Ley 685 de 2001. </w:t>
      </w:r>
    </w:p>
    <w:p w:rsidR="00D20F78" w:rsidRPr="004164E9" w:rsidRDefault="00D20F78" w:rsidP="00D20F78">
      <w:pPr>
        <w:jc w:val="both"/>
        <w:rPr>
          <w:rFonts w:ascii="Bookman Old Style" w:hAnsi="Bookman Old Style" w:cs="Arial"/>
          <w:color w:val="000000" w:themeColor="text1"/>
          <w:sz w:val="24"/>
          <w:szCs w:val="24"/>
          <w:shd w:val="clear" w:color="auto" w:fill="FFFFFF"/>
        </w:rPr>
      </w:pPr>
      <w:r w:rsidRPr="004164E9">
        <w:rPr>
          <w:rFonts w:ascii="Bookman Old Style" w:hAnsi="Bookman Old Style" w:cs="Arial"/>
          <w:color w:val="000000" w:themeColor="text1"/>
          <w:sz w:val="24"/>
          <w:szCs w:val="24"/>
          <w:shd w:val="clear" w:color="auto" w:fill="FFFFFF"/>
        </w:rPr>
        <w:t xml:space="preserve">Este trámite de concesión minera puede definirse como una modalidad precontractual mediante la cual un interesado solicita la autoridad permiso para explorar y explotar minerales, mediante una propuesta de contrato de concesión que debe cumplir con los requisitos estipulados en el artículo 261 y 271 del Código de Minas (Ley 685 de 2001); esta modalidad se rige por el principio de “primero en el hecho, primero en el derecho”, lo que implica que frente a una solicitud de concesión minera, se rechazan las presentadas con posterioridad cuando ocurra una </w:t>
      </w:r>
      <w:r w:rsidRPr="004164E9">
        <w:rPr>
          <w:rFonts w:ascii="Bookman Old Style" w:hAnsi="Bookman Old Style" w:cs="Arial"/>
          <w:color w:val="000000" w:themeColor="text1"/>
          <w:sz w:val="24"/>
          <w:szCs w:val="24"/>
          <w:shd w:val="clear" w:color="auto" w:fill="FFFFFF"/>
        </w:rPr>
        <w:lastRenderedPageBreak/>
        <w:t xml:space="preserve">superposición de áreas e identidad de minerales, por lo que el proponente detenta un derecho de prelación o preferencia para poder obtener dicha concesión. </w:t>
      </w:r>
    </w:p>
    <w:p w:rsidR="00D20F78" w:rsidRPr="004164E9" w:rsidRDefault="00D20F78" w:rsidP="00D20F78">
      <w:pPr>
        <w:jc w:val="both"/>
        <w:rPr>
          <w:rFonts w:ascii="Bookman Old Style" w:hAnsi="Bookman Old Style" w:cs="Arial"/>
          <w:color w:val="000000" w:themeColor="text1"/>
          <w:sz w:val="24"/>
          <w:szCs w:val="24"/>
          <w:shd w:val="clear" w:color="auto" w:fill="FFFFFF"/>
        </w:rPr>
      </w:pPr>
      <w:r w:rsidRPr="004164E9">
        <w:rPr>
          <w:rFonts w:ascii="Bookman Old Style" w:hAnsi="Bookman Old Style" w:cs="Arial"/>
          <w:color w:val="000000" w:themeColor="text1"/>
          <w:sz w:val="24"/>
          <w:szCs w:val="24"/>
          <w:shd w:val="clear" w:color="auto" w:fill="FFFFFF"/>
        </w:rPr>
        <w:t xml:space="preserve">Una vez radicada la solicitud, la autoridad minera, en aplicación de diversas normas del ordenamiento jurídico colombiano, adelanta un proceso de evaluación de la propuesta de contrato de concesión. </w:t>
      </w:r>
    </w:p>
    <w:p w:rsidR="00D20F78" w:rsidRPr="004164E9" w:rsidRDefault="00D20F78" w:rsidP="00D20F78">
      <w:pPr>
        <w:jc w:val="both"/>
        <w:rPr>
          <w:rFonts w:ascii="Bookman Old Style" w:hAnsi="Bookman Old Style" w:cs="Arial"/>
          <w:color w:val="000000" w:themeColor="text1"/>
          <w:sz w:val="24"/>
          <w:szCs w:val="24"/>
          <w:shd w:val="clear" w:color="auto" w:fill="FFFFFF"/>
        </w:rPr>
      </w:pPr>
      <w:r w:rsidRPr="004164E9">
        <w:rPr>
          <w:rFonts w:ascii="Bookman Old Style" w:hAnsi="Bookman Old Style" w:cs="Arial"/>
          <w:color w:val="000000" w:themeColor="text1"/>
          <w:sz w:val="24"/>
          <w:szCs w:val="24"/>
          <w:shd w:val="clear" w:color="auto" w:fill="FFFFFF"/>
        </w:rPr>
        <w:t>En el tramite expuesto se evidencia que, al igual que en el sector de hidrocarburos, en el sector de la minería no existe una regulación que materialice de manera armónica los principios de participación ciudadana, coordinación y concurrencia nación-territorio.</w:t>
      </w:r>
      <w:r w:rsidRPr="004164E9">
        <w:rPr>
          <w:rStyle w:val="Refdenotaalpie"/>
          <w:rFonts w:ascii="Bookman Old Style" w:hAnsi="Bookman Old Style" w:cs="Arial"/>
          <w:b/>
          <w:color w:val="000000" w:themeColor="text1"/>
          <w:sz w:val="24"/>
          <w:szCs w:val="24"/>
          <w:shd w:val="clear" w:color="auto" w:fill="FFFFFF"/>
        </w:rPr>
        <w:footnoteReference w:id="14"/>
      </w:r>
    </w:p>
    <w:p w:rsidR="00D20F78" w:rsidRPr="004164E9" w:rsidRDefault="00D20F78" w:rsidP="00D20F78">
      <w:pPr>
        <w:pStyle w:val="Prrafodelista"/>
        <w:numPr>
          <w:ilvl w:val="0"/>
          <w:numId w:val="1"/>
        </w:numPr>
        <w:rPr>
          <w:rFonts w:ascii="Bookman Old Style" w:hAnsi="Bookman Old Style" w:cs="Arial"/>
          <w:b/>
          <w:sz w:val="24"/>
          <w:szCs w:val="24"/>
          <w:u w:val="single"/>
        </w:rPr>
      </w:pPr>
      <w:r w:rsidRPr="004164E9">
        <w:rPr>
          <w:rFonts w:ascii="Bookman Old Style" w:hAnsi="Bookman Old Style" w:cs="Arial"/>
          <w:b/>
          <w:sz w:val="24"/>
          <w:szCs w:val="24"/>
          <w:u w:val="single"/>
        </w:rPr>
        <w:t xml:space="preserve">CONSULTAS POPULARES ANTIMINERAS </w:t>
      </w:r>
    </w:p>
    <w:p w:rsidR="00D20F78" w:rsidRPr="004164E9" w:rsidRDefault="00D20F78" w:rsidP="00D20F78">
      <w:pPr>
        <w:jc w:val="both"/>
        <w:rPr>
          <w:rFonts w:ascii="Bookman Old Style" w:hAnsi="Bookman Old Style" w:cs="Arial"/>
          <w:sz w:val="24"/>
        </w:rPr>
      </w:pPr>
      <w:r w:rsidRPr="004164E9">
        <w:rPr>
          <w:rFonts w:ascii="Bookman Old Style" w:hAnsi="Bookman Old Style" w:cs="Arial"/>
          <w:sz w:val="24"/>
        </w:rPr>
        <w:t>Haciendo un recorrido en el tiempo, nos encontramos con la importancia que para la economía nacional y la inversión extranjera ha tenido la explotación de minerales e hidrocarburos. No obstante, existen varios puntos críticos en el tema del desarrollo de este tipo de actividades que llevaron a que las comunidades se opusieran a la continuidad de las mismas dentro de sus territorios.</w:t>
      </w:r>
    </w:p>
    <w:p w:rsidR="00D20F78" w:rsidRPr="004164E9" w:rsidRDefault="00D20F78" w:rsidP="00D20F78">
      <w:pPr>
        <w:jc w:val="both"/>
        <w:rPr>
          <w:rFonts w:ascii="Bookman Old Style" w:hAnsi="Bookman Old Style" w:cs="Arial"/>
          <w:sz w:val="24"/>
        </w:rPr>
      </w:pPr>
      <w:r w:rsidRPr="004164E9">
        <w:rPr>
          <w:rFonts w:ascii="Bookman Old Style" w:hAnsi="Bookman Old Style" w:cs="Arial"/>
          <w:sz w:val="24"/>
        </w:rPr>
        <w:t>Además del daño ambiental, las comunidades ubicadas en territorios de explotación de recursos naturales no renovables sustentaron sus inconformidades en varios estudios que demostraron, entre otras cosas, que no era directamente proporcional la cantidad de recursos extraídos con la disminución de la pobreza. Si bien esta importante actividad en el sector productivo nacional representaba un mayor ingreso por regalías a los territorios productores, dichos ingresos no se reflejaban en progreso y desarrollo, tanto es así que para la contraloría nacional (2014) la pobreza en municipios mineros superaba el 74%, 65% para el caso de explotadores de hidrocarburos, mientras que aquellos territorios que no desarrollaban estas actividades no alcanzaba el 43%. Ello es prueba del mal manejo de los recursos de regalías por parte de los dirigentes.</w:t>
      </w:r>
    </w:p>
    <w:p w:rsidR="00D20F78" w:rsidRPr="004164E9" w:rsidRDefault="00D20F78" w:rsidP="00D20F78">
      <w:pPr>
        <w:jc w:val="both"/>
        <w:rPr>
          <w:rFonts w:ascii="Bookman Old Style" w:hAnsi="Bookman Old Style" w:cs="Arial"/>
          <w:sz w:val="24"/>
        </w:rPr>
      </w:pPr>
      <w:r w:rsidRPr="004164E9">
        <w:rPr>
          <w:rFonts w:ascii="Bookman Old Style" w:hAnsi="Bookman Old Style" w:cs="Arial"/>
          <w:sz w:val="24"/>
        </w:rPr>
        <w:t xml:space="preserve">Buscando enfrentar las alarmantes cifras mencionadas y los actos de corrupción, además de procurar por la equidad, aplicando el principio de que los recursos naturales del subsuelo pertenecen al Estado y procurando la equidad al momento de distribuir las regalías entre </w:t>
      </w:r>
      <w:r w:rsidRPr="004164E9">
        <w:rPr>
          <w:rFonts w:ascii="Bookman Old Style" w:hAnsi="Bookman Old Style" w:cs="Arial"/>
          <w:sz w:val="24"/>
        </w:rPr>
        <w:lastRenderedPageBreak/>
        <w:t>territorios productores y no productores, durante el primer mandato de Juan Manuel Santos se modificó el artículo 361 superior, lo que llevó a que para los mandatorios locales (que no iban a recibir la misma cantidad de recursos) dejara de ser atractivo el permitir explotar en sus territorios esta clase de recursos. Por ello, sumado a los efectos ambientales y sociales de la explotación minera y de hidrocarburos rechazados por las comunidades, el gobernó nacional con sus políticas públicas productivas con base en el sector empezó a tener problemas con las autoridades locales para seguir siendo atractivos para la inversión y continuar con sus planes de expansión y aumento de producción, lo que se traduciría en más recursos de regalías. Lo anterior por cuanto empezó en Colombia el boom de las consultas populares (con iniciativa popular o de mandatarios y/o concejos municipales) como mecanismo para frenar las actividades de exploración y explotación de recursos naturales no renovables.</w:t>
      </w:r>
    </w:p>
    <w:p w:rsidR="00D20F78" w:rsidRPr="004164E9" w:rsidRDefault="00D20F78" w:rsidP="00D20F78">
      <w:pPr>
        <w:jc w:val="both"/>
        <w:rPr>
          <w:rFonts w:ascii="Bookman Old Style" w:hAnsi="Bookman Old Style" w:cs="Arial"/>
          <w:sz w:val="24"/>
        </w:rPr>
      </w:pPr>
      <w:r w:rsidRPr="004164E9">
        <w:rPr>
          <w:rFonts w:ascii="Bookman Old Style" w:hAnsi="Bookman Old Style" w:cs="Arial"/>
          <w:sz w:val="24"/>
        </w:rPr>
        <w:t xml:space="preserve">Cobra mucha lógica el hecho de que luego de la disminución de los ingresos por regalías a los municipios productores (año 2012) alcaldes, concejos municipales y comunidad en general comenzaron a presentar ante la Registraduría Nacional iniciativas para llevar a cabo consultas populares en las que se sometiera ante los habitantes la decisión de permitir o no actividades de exploración y explotación. Fue así como en el año 2013, en los municipios de Piedras (Tolima) y </w:t>
      </w:r>
      <w:proofErr w:type="spellStart"/>
      <w:r w:rsidRPr="004164E9">
        <w:rPr>
          <w:rFonts w:ascii="Bookman Old Style" w:hAnsi="Bookman Old Style" w:cs="Arial"/>
          <w:sz w:val="24"/>
        </w:rPr>
        <w:t>Tauramena</w:t>
      </w:r>
      <w:proofErr w:type="spellEnd"/>
      <w:r w:rsidRPr="004164E9">
        <w:rPr>
          <w:rFonts w:ascii="Bookman Old Style" w:hAnsi="Bookman Old Style" w:cs="Arial"/>
          <w:sz w:val="24"/>
        </w:rPr>
        <w:t xml:space="preserve"> (Casanare) se utilizó por primera vez el mencionado mecanismo de participación ciudadana obteniendo como resultado un marcado rechazo que fue más allá de la explotación de recursos naturales no renovables, pues dicha decisión amplió la prohibición a las actividades de exploración y hasta de transporte de los recursos. </w:t>
      </w:r>
    </w:p>
    <w:p w:rsidR="00D20F78" w:rsidRPr="004164E9" w:rsidRDefault="00D20F78" w:rsidP="00D20F78">
      <w:pPr>
        <w:jc w:val="both"/>
        <w:rPr>
          <w:rFonts w:ascii="Bookman Old Style" w:hAnsi="Bookman Old Style" w:cs="Arial"/>
          <w:sz w:val="24"/>
        </w:rPr>
      </w:pPr>
      <w:r w:rsidRPr="004164E9">
        <w:rPr>
          <w:rFonts w:ascii="Bookman Old Style" w:hAnsi="Bookman Old Style" w:cs="Arial"/>
          <w:sz w:val="24"/>
        </w:rPr>
        <w:t xml:space="preserve">Esas consultas populares fueron solo el comienzo de una avalancha de solicitudes de inscripción de comités promotores de iniciativas similares en diferentes territorios de la geografía nacional, situación que causó preocupación al gobierno central debido a la posible violación a la seguridad jurídica a las diferentes empresas e inversionistas nacionales y extranjeros a quienes se les habían otorgado títulos y venían realizando actividades (en diferentes etapas) de exploración y explotación. </w:t>
      </w:r>
    </w:p>
    <w:p w:rsidR="00D20F78" w:rsidRPr="004164E9" w:rsidRDefault="00D20F78" w:rsidP="00D20F78">
      <w:pPr>
        <w:jc w:val="both"/>
        <w:rPr>
          <w:rFonts w:ascii="Bookman Old Style" w:hAnsi="Bookman Old Style" w:cs="Arial"/>
          <w:sz w:val="24"/>
        </w:rPr>
      </w:pPr>
      <w:r w:rsidRPr="004164E9">
        <w:rPr>
          <w:rFonts w:ascii="Bookman Old Style" w:hAnsi="Bookman Old Style" w:cs="Arial"/>
          <w:sz w:val="24"/>
        </w:rPr>
        <w:t xml:space="preserve">Hasta el año 2018 se superó la barrera de 50 iniciativas presentadas en el mismo sentido. A noviembre de 2018 se habían realizado 9 consultas, 7 se </w:t>
      </w:r>
      <w:r w:rsidRPr="004164E9">
        <w:rPr>
          <w:rFonts w:ascii="Bookman Old Style" w:hAnsi="Bookman Old Style" w:cs="Arial"/>
          <w:sz w:val="24"/>
        </w:rPr>
        <w:lastRenderedPageBreak/>
        <w:t>encontraban suspendidas, 19 estaban sin fecha de consulta y 67 se encontraban en proceso).</w:t>
      </w:r>
      <w:r w:rsidRPr="004164E9">
        <w:rPr>
          <w:rStyle w:val="Refdenotaalpie"/>
          <w:rFonts w:ascii="Bookman Old Style" w:hAnsi="Bookman Old Style" w:cs="Arial"/>
          <w:sz w:val="24"/>
        </w:rPr>
        <w:footnoteReference w:id="15"/>
      </w:r>
    </w:p>
    <w:p w:rsidR="00D20F78" w:rsidRPr="004164E9" w:rsidRDefault="00D20F78" w:rsidP="00D20F78">
      <w:pPr>
        <w:jc w:val="center"/>
        <w:rPr>
          <w:rFonts w:ascii="Bookman Old Style" w:hAnsi="Bookman Old Style" w:cs="Arial"/>
          <w:b/>
          <w:sz w:val="24"/>
        </w:rPr>
      </w:pPr>
      <w:r w:rsidRPr="004164E9">
        <w:rPr>
          <w:rFonts w:ascii="Bookman Old Style" w:hAnsi="Bookman Old Style" w:cs="Arial"/>
          <w:b/>
          <w:sz w:val="24"/>
        </w:rPr>
        <w:t>Cantidad y estado de consultas populares del sector minero-energético, 2013-2018</w:t>
      </w:r>
    </w:p>
    <w:p w:rsidR="00D20F78" w:rsidRPr="004164E9" w:rsidRDefault="00D20F78" w:rsidP="00D20F78">
      <w:pPr>
        <w:jc w:val="center"/>
        <w:rPr>
          <w:rFonts w:ascii="Bookman Old Style" w:hAnsi="Bookman Old Style" w:cs="Arial"/>
          <w:sz w:val="24"/>
        </w:rPr>
      </w:pPr>
      <w:r w:rsidRPr="004164E9">
        <w:rPr>
          <w:rFonts w:ascii="Bookman Old Style" w:hAnsi="Bookman Old Style"/>
          <w:noProof/>
          <w:lang w:val="es-CO" w:eastAsia="es-CO"/>
        </w:rPr>
        <w:drawing>
          <wp:inline distT="0" distB="0" distL="0" distR="0" wp14:anchorId="72B3381B" wp14:editId="607C485C">
            <wp:extent cx="3790950" cy="1500329"/>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srcRect l="31183" t="53542" r="29416" b="27862"/>
                    <a:stretch/>
                  </pic:blipFill>
                  <pic:spPr bwMode="auto">
                    <a:xfrm>
                      <a:off x="0" y="0"/>
                      <a:ext cx="3847584" cy="1522743"/>
                    </a:xfrm>
                    <a:prstGeom prst="rect">
                      <a:avLst/>
                    </a:prstGeom>
                    <a:ln>
                      <a:noFill/>
                    </a:ln>
                    <a:extLst>
                      <a:ext uri="{53640926-AAD7-44D8-BBD7-CCE9431645EC}">
                        <a14:shadowObscured xmlns:a14="http://schemas.microsoft.com/office/drawing/2010/main"/>
                      </a:ext>
                    </a:extLst>
                  </pic:spPr>
                </pic:pic>
              </a:graphicData>
            </a:graphic>
          </wp:inline>
        </w:drawing>
      </w:r>
    </w:p>
    <w:p w:rsidR="00D20F78" w:rsidRPr="004164E9" w:rsidRDefault="00D20F78" w:rsidP="00D20F78">
      <w:pPr>
        <w:pStyle w:val="Sinespaciado"/>
        <w:jc w:val="center"/>
        <w:rPr>
          <w:rFonts w:ascii="Bookman Old Style" w:hAnsi="Bookman Old Style" w:cs="Arial"/>
          <w:sz w:val="24"/>
          <w:szCs w:val="24"/>
          <w:u w:val="single"/>
        </w:rPr>
      </w:pPr>
      <w:r w:rsidRPr="004164E9">
        <w:rPr>
          <w:rFonts w:ascii="Bookman Old Style" w:hAnsi="Bookman Old Style"/>
          <w:noProof/>
          <w:lang w:val="es-CO" w:eastAsia="es-CO"/>
        </w:rPr>
        <w:drawing>
          <wp:inline distT="0" distB="0" distL="0" distR="0" wp14:anchorId="1AF0E8A3" wp14:editId="27196851">
            <wp:extent cx="3514725" cy="1932671"/>
            <wp:effectExtent l="0" t="0" r="0" b="0"/>
            <wp:docPr id="2" name="Imagen 2" descr="Alterna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ernate Tex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1494" cy="1936393"/>
                    </a:xfrm>
                    <a:prstGeom prst="rect">
                      <a:avLst/>
                    </a:prstGeom>
                    <a:noFill/>
                    <a:ln>
                      <a:noFill/>
                    </a:ln>
                  </pic:spPr>
                </pic:pic>
              </a:graphicData>
            </a:graphic>
          </wp:inline>
        </w:drawing>
      </w:r>
    </w:p>
    <w:p w:rsidR="00D20F78" w:rsidRDefault="00D20F78" w:rsidP="00D20F78">
      <w:pPr>
        <w:tabs>
          <w:tab w:val="left" w:pos="2535"/>
          <w:tab w:val="center" w:pos="4419"/>
        </w:tabs>
        <w:jc w:val="center"/>
        <w:rPr>
          <w:rFonts w:ascii="Bookman Old Style" w:hAnsi="Bookman Old Style" w:cs="Arial"/>
          <w:sz w:val="20"/>
          <w:szCs w:val="20"/>
        </w:rPr>
      </w:pPr>
      <w:r w:rsidRPr="004164E9">
        <w:rPr>
          <w:rFonts w:ascii="Bookman Old Style" w:hAnsi="Bookman Old Style" w:cs="Arial"/>
          <w:b/>
          <w:sz w:val="20"/>
          <w:szCs w:val="20"/>
        </w:rPr>
        <w:t xml:space="preserve">Fuente. </w:t>
      </w:r>
      <w:r w:rsidRPr="004164E9">
        <w:rPr>
          <w:rFonts w:ascii="Bookman Old Style" w:hAnsi="Bookman Old Style" w:cs="Arial"/>
          <w:sz w:val="20"/>
          <w:szCs w:val="20"/>
        </w:rPr>
        <w:t>Ministerio de Minas y Energías.</w:t>
      </w:r>
    </w:p>
    <w:p w:rsidR="00D20F78" w:rsidRPr="004164E9" w:rsidRDefault="00D20F78" w:rsidP="00D20F78">
      <w:pPr>
        <w:pStyle w:val="Prrafodelista"/>
        <w:numPr>
          <w:ilvl w:val="0"/>
          <w:numId w:val="1"/>
        </w:numPr>
        <w:jc w:val="both"/>
        <w:rPr>
          <w:rFonts w:ascii="Bookman Old Style" w:hAnsi="Bookman Old Style" w:cs="Arial"/>
          <w:b/>
          <w:sz w:val="24"/>
          <w:szCs w:val="24"/>
          <w:u w:val="single"/>
        </w:rPr>
      </w:pPr>
      <w:r w:rsidRPr="004164E9">
        <w:rPr>
          <w:rFonts w:ascii="Bookman Old Style" w:hAnsi="Bookman Old Style" w:cs="Arial"/>
          <w:b/>
          <w:sz w:val="24"/>
          <w:szCs w:val="24"/>
          <w:u w:val="single"/>
        </w:rPr>
        <w:t xml:space="preserve">APORTES DEL SECTOR MINERO-ENERGÉTICO EN EL PIB NACIONAL </w:t>
      </w:r>
    </w:p>
    <w:p w:rsidR="00D20F78" w:rsidRPr="004164E9" w:rsidRDefault="00D20F78" w:rsidP="00D20F78">
      <w:pPr>
        <w:ind w:left="360"/>
        <w:jc w:val="center"/>
        <w:rPr>
          <w:rFonts w:ascii="Bookman Old Style" w:hAnsi="Bookman Old Style" w:cs="Arial"/>
          <w:b/>
          <w:sz w:val="24"/>
          <w:szCs w:val="24"/>
          <w:u w:val="single"/>
        </w:rPr>
      </w:pPr>
      <w:r w:rsidRPr="004164E9">
        <w:rPr>
          <w:rFonts w:ascii="Bookman Old Style" w:hAnsi="Bookman Old Style"/>
          <w:noProof/>
          <w:lang w:val="es-CO" w:eastAsia="es-CO"/>
        </w:rPr>
        <w:drawing>
          <wp:inline distT="0" distB="0" distL="0" distR="0" wp14:anchorId="14C3C09F" wp14:editId="34C15B65">
            <wp:extent cx="2876550" cy="148991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l="29192" t="45866" r="30075" b="22149"/>
                    <a:stretch/>
                  </pic:blipFill>
                  <pic:spPr bwMode="auto">
                    <a:xfrm>
                      <a:off x="0" y="0"/>
                      <a:ext cx="2905414" cy="1504868"/>
                    </a:xfrm>
                    <a:prstGeom prst="rect">
                      <a:avLst/>
                    </a:prstGeom>
                    <a:ln>
                      <a:noFill/>
                    </a:ln>
                    <a:extLst>
                      <a:ext uri="{53640926-AAD7-44D8-BBD7-CCE9431645EC}">
                        <a14:shadowObscured xmlns:a14="http://schemas.microsoft.com/office/drawing/2010/main"/>
                      </a:ext>
                    </a:extLst>
                  </pic:spPr>
                </pic:pic>
              </a:graphicData>
            </a:graphic>
          </wp:inline>
        </w:drawing>
      </w:r>
    </w:p>
    <w:p w:rsidR="00D20F78" w:rsidRPr="004164E9" w:rsidRDefault="00D20F78" w:rsidP="00D20F78">
      <w:pPr>
        <w:pStyle w:val="Sinespaciado"/>
        <w:spacing w:line="276" w:lineRule="auto"/>
        <w:jc w:val="both"/>
        <w:rPr>
          <w:rFonts w:ascii="Bookman Old Style" w:hAnsi="Bookman Old Style" w:cs="Arial"/>
          <w:sz w:val="24"/>
          <w:szCs w:val="24"/>
        </w:rPr>
      </w:pPr>
      <w:r w:rsidRPr="004164E9">
        <w:rPr>
          <w:rFonts w:ascii="Bookman Old Style" w:hAnsi="Bookman Old Style" w:cs="Arial"/>
          <w:sz w:val="24"/>
          <w:szCs w:val="24"/>
        </w:rPr>
        <w:t xml:space="preserve">La participación de Minas y Canteras fue 5,18% en el PIB total del primer trimestre de 2018, presentó una caída de 10,92%, 8,33%, 11,02%, </w:t>
      </w:r>
      <w:r w:rsidRPr="004164E9">
        <w:rPr>
          <w:rFonts w:ascii="Bookman Old Style" w:hAnsi="Bookman Old Style" w:cs="Arial"/>
          <w:sz w:val="24"/>
          <w:szCs w:val="24"/>
        </w:rPr>
        <w:lastRenderedPageBreak/>
        <w:t>11,78%, 3,57%, 5,63%, 6,53% y 10,13%, en comparación con el primero, segundo, tercero y cuarto trimestre de los años 2016 y 2017, al pasar de 11,60, 11,27, 11,61, 11,71, 10,72, 10,95, 11,05 11,50 a 10,33 billones de pesos, de acuerdo con la nueva metodología establecida por el DANE para la valoración del PIB.</w:t>
      </w:r>
      <w:r w:rsidRPr="004164E9">
        <w:rPr>
          <w:rStyle w:val="Refdenotaalpie"/>
          <w:rFonts w:ascii="Bookman Old Style" w:hAnsi="Bookman Old Style" w:cs="Arial"/>
          <w:b/>
          <w:sz w:val="24"/>
          <w:szCs w:val="24"/>
        </w:rPr>
        <w:footnoteReference w:id="16"/>
      </w:r>
    </w:p>
    <w:p w:rsidR="00D20F78" w:rsidRDefault="00D20F78" w:rsidP="00D20F78">
      <w:pPr>
        <w:pStyle w:val="Sinespaciado"/>
        <w:spacing w:line="276" w:lineRule="auto"/>
        <w:jc w:val="both"/>
        <w:rPr>
          <w:rFonts w:ascii="Bookman Old Style" w:hAnsi="Bookman Old Style" w:cs="Arial"/>
          <w:sz w:val="24"/>
          <w:szCs w:val="24"/>
        </w:rPr>
      </w:pPr>
    </w:p>
    <w:p w:rsidR="00D20F78" w:rsidRPr="004164E9" w:rsidRDefault="00D20F78" w:rsidP="00D20F78">
      <w:pPr>
        <w:pStyle w:val="Prrafodelista"/>
        <w:numPr>
          <w:ilvl w:val="0"/>
          <w:numId w:val="1"/>
        </w:numPr>
        <w:jc w:val="both"/>
        <w:rPr>
          <w:rFonts w:ascii="Bookman Old Style" w:hAnsi="Bookman Old Style" w:cs="Arial"/>
          <w:b/>
          <w:sz w:val="24"/>
          <w:szCs w:val="24"/>
          <w:u w:val="single"/>
        </w:rPr>
      </w:pPr>
      <w:r w:rsidRPr="004164E9">
        <w:rPr>
          <w:rFonts w:ascii="Bookman Old Style" w:hAnsi="Bookman Old Style" w:cs="Arial"/>
          <w:b/>
          <w:sz w:val="24"/>
          <w:szCs w:val="24"/>
          <w:u w:val="single"/>
        </w:rPr>
        <w:t xml:space="preserve">OBJETO DEL PROYECTO </w:t>
      </w:r>
    </w:p>
    <w:p w:rsidR="00D20F78" w:rsidRPr="004164E9" w:rsidRDefault="00D20F78" w:rsidP="00D20F78">
      <w:pPr>
        <w:pStyle w:val="Sinespaciado"/>
        <w:spacing w:line="276" w:lineRule="auto"/>
        <w:jc w:val="both"/>
        <w:rPr>
          <w:rFonts w:ascii="Bookman Old Style" w:hAnsi="Bookman Old Style" w:cs="Arial"/>
          <w:sz w:val="24"/>
          <w:szCs w:val="28"/>
        </w:rPr>
      </w:pPr>
      <w:r w:rsidRPr="004164E9">
        <w:rPr>
          <w:rFonts w:ascii="Bookman Old Style" w:hAnsi="Bookman Old Style" w:cs="Arial"/>
          <w:sz w:val="24"/>
          <w:szCs w:val="28"/>
        </w:rPr>
        <w:t>La geografía colombiana como gran parte de América latina ha sido privilegiada con recursos naturales renovables y no renovables, razón suficiente para convertirse en una importante alacena de los conquistadores, los cuales vieron en estas tierras una oportunidad para enriquecer sus reinados.</w:t>
      </w:r>
    </w:p>
    <w:p w:rsidR="00D20F78" w:rsidRPr="004164E9" w:rsidRDefault="00D20F78" w:rsidP="00D20F78">
      <w:pPr>
        <w:pStyle w:val="Sinespaciado"/>
        <w:spacing w:line="276" w:lineRule="auto"/>
        <w:jc w:val="both"/>
        <w:rPr>
          <w:rFonts w:ascii="Bookman Old Style" w:hAnsi="Bookman Old Style" w:cs="Arial"/>
          <w:sz w:val="24"/>
          <w:szCs w:val="28"/>
        </w:rPr>
      </w:pPr>
    </w:p>
    <w:p w:rsidR="00D20F78" w:rsidRPr="004164E9" w:rsidRDefault="00D20F78" w:rsidP="00D20F78">
      <w:pPr>
        <w:pStyle w:val="Sinespaciado"/>
        <w:spacing w:line="276" w:lineRule="auto"/>
        <w:jc w:val="both"/>
        <w:rPr>
          <w:rFonts w:ascii="Bookman Old Style" w:hAnsi="Bookman Old Style" w:cs="Arial"/>
          <w:sz w:val="24"/>
          <w:szCs w:val="28"/>
        </w:rPr>
      </w:pPr>
      <w:r w:rsidRPr="004164E9">
        <w:rPr>
          <w:rFonts w:ascii="Bookman Old Style" w:hAnsi="Bookman Old Style" w:cs="Arial"/>
          <w:sz w:val="24"/>
          <w:szCs w:val="28"/>
        </w:rPr>
        <w:t xml:space="preserve">Han sido innumerables las zonas en el territorio colombiano en los cuales se han encontrado minerales e hidrocarburos, recursos estos que desde la costumbre implantada por la corona española son propiedad del Estado. No </w:t>
      </w:r>
      <w:r w:rsidR="009E6D68" w:rsidRPr="004164E9">
        <w:rPr>
          <w:rFonts w:ascii="Bookman Old Style" w:hAnsi="Bookman Old Style" w:cs="Arial"/>
          <w:sz w:val="24"/>
          <w:szCs w:val="28"/>
        </w:rPr>
        <w:t>obstante</w:t>
      </w:r>
      <w:r w:rsidR="00EF42C6">
        <w:rPr>
          <w:rFonts w:ascii="Bookman Old Style" w:hAnsi="Bookman Old Style" w:cs="Arial"/>
          <w:sz w:val="24"/>
          <w:szCs w:val="28"/>
        </w:rPr>
        <w:t>,</w:t>
      </w:r>
      <w:r w:rsidRPr="004164E9">
        <w:rPr>
          <w:rFonts w:ascii="Bookman Old Style" w:hAnsi="Bookman Old Style" w:cs="Arial"/>
          <w:sz w:val="24"/>
          <w:szCs w:val="28"/>
        </w:rPr>
        <w:t xml:space="preserve"> por la misma costumbre conquistadora, el título minero ha sido la figura utilizada para que sea una persona natural o jurídica diferente al Estado el que obtenga beneficios por la explotación de los mismos, otorgando en todo caso una contraprestación al primero. </w:t>
      </w:r>
    </w:p>
    <w:p w:rsidR="00D20F78" w:rsidRPr="004164E9" w:rsidRDefault="00D20F78" w:rsidP="00D20F78">
      <w:pPr>
        <w:pStyle w:val="Sinespaciado"/>
        <w:spacing w:line="276" w:lineRule="auto"/>
        <w:jc w:val="both"/>
        <w:rPr>
          <w:rFonts w:ascii="Bookman Old Style" w:hAnsi="Bookman Old Style" w:cs="Arial"/>
          <w:sz w:val="24"/>
          <w:szCs w:val="28"/>
        </w:rPr>
      </w:pPr>
    </w:p>
    <w:p w:rsidR="00D20F78" w:rsidRPr="004164E9" w:rsidRDefault="00D20F78" w:rsidP="00D20F78">
      <w:pPr>
        <w:pStyle w:val="Sinespaciado"/>
        <w:spacing w:line="276" w:lineRule="auto"/>
        <w:jc w:val="both"/>
        <w:rPr>
          <w:rFonts w:ascii="Bookman Old Style" w:hAnsi="Bookman Old Style" w:cs="Arial"/>
          <w:sz w:val="24"/>
          <w:szCs w:val="28"/>
        </w:rPr>
      </w:pPr>
      <w:r w:rsidRPr="004164E9">
        <w:rPr>
          <w:rFonts w:ascii="Bookman Old Style" w:hAnsi="Bookman Old Style" w:cs="Arial"/>
          <w:sz w:val="24"/>
          <w:szCs w:val="28"/>
        </w:rPr>
        <w:t xml:space="preserve">La historia colombiana nos muestra </w:t>
      </w:r>
      <w:r w:rsidR="00EF42C6" w:rsidRPr="004164E9">
        <w:rPr>
          <w:rFonts w:ascii="Bookman Old Style" w:hAnsi="Bookman Old Style" w:cs="Arial"/>
          <w:sz w:val="24"/>
          <w:szCs w:val="28"/>
        </w:rPr>
        <w:t>que,</w:t>
      </w:r>
      <w:r w:rsidRPr="004164E9">
        <w:rPr>
          <w:rFonts w:ascii="Bookman Old Style" w:hAnsi="Bookman Old Style" w:cs="Arial"/>
          <w:sz w:val="24"/>
          <w:szCs w:val="28"/>
        </w:rPr>
        <w:t xml:space="preserve"> en el siglo XVI, si un colonizador encontraba un terreno rico en minerales, debía solicitar un permiso de explotación por un determinado tiempo a la corona con la condición de pagar a esta el denominado “Quinto real”, que no era más que entregar la quinta parte de los minerales extraídos (Muriel, 2012). En esa misma línea fue desarrollándose la </w:t>
      </w:r>
      <w:r w:rsidR="00EF42C6" w:rsidRPr="004164E9">
        <w:rPr>
          <w:rFonts w:ascii="Bookman Old Style" w:hAnsi="Bookman Old Style" w:cs="Arial"/>
          <w:sz w:val="24"/>
          <w:szCs w:val="28"/>
        </w:rPr>
        <w:t>legislación,</w:t>
      </w:r>
      <w:r w:rsidRPr="004164E9">
        <w:rPr>
          <w:rFonts w:ascii="Bookman Old Style" w:hAnsi="Bookman Old Style" w:cs="Arial"/>
          <w:sz w:val="24"/>
          <w:szCs w:val="28"/>
        </w:rPr>
        <w:t xml:space="preserve"> aunque con algunos conflictos de competencia, sobre todo en la etapa federal, en donde los Estados federados en muchas ocasiones no tenían en cuenta lo indicado por el gobierno central, situación que se solucionó con la vuelta al sistema republicano.</w:t>
      </w:r>
    </w:p>
    <w:p w:rsidR="00D20F78" w:rsidRPr="004164E9" w:rsidRDefault="00D20F78" w:rsidP="00D20F78">
      <w:pPr>
        <w:pStyle w:val="Sinespaciado"/>
        <w:spacing w:line="276" w:lineRule="auto"/>
        <w:jc w:val="both"/>
        <w:rPr>
          <w:rFonts w:ascii="Bookman Old Style" w:hAnsi="Bookman Old Style" w:cs="Arial"/>
          <w:sz w:val="24"/>
          <w:szCs w:val="28"/>
        </w:rPr>
      </w:pPr>
    </w:p>
    <w:p w:rsidR="00D20F78" w:rsidRDefault="00D20F78" w:rsidP="00D20F78">
      <w:pPr>
        <w:pStyle w:val="Sinespaciado"/>
        <w:spacing w:line="276" w:lineRule="auto"/>
        <w:jc w:val="both"/>
        <w:rPr>
          <w:rFonts w:ascii="Bookman Old Style" w:hAnsi="Bookman Old Style" w:cs="Arial"/>
          <w:sz w:val="24"/>
          <w:szCs w:val="28"/>
        </w:rPr>
      </w:pPr>
      <w:r w:rsidRPr="004164E9">
        <w:rPr>
          <w:rFonts w:ascii="Bookman Old Style" w:hAnsi="Bookman Old Style" w:cs="Arial"/>
          <w:sz w:val="24"/>
          <w:szCs w:val="28"/>
        </w:rPr>
        <w:t xml:space="preserve">Ese mismo conflicto de competencias renació con el boom de consultas populares (por iniciativas populares o por las autoridades locales) que se han venido presentando en los últimos años y que han ido en contravía al </w:t>
      </w:r>
      <w:r w:rsidRPr="004164E9">
        <w:rPr>
          <w:rFonts w:ascii="Bookman Old Style" w:hAnsi="Bookman Old Style" w:cs="Arial"/>
          <w:sz w:val="24"/>
          <w:szCs w:val="28"/>
        </w:rPr>
        <w:lastRenderedPageBreak/>
        <w:t>desarrollo minero energético y al deseo de incentivar la inversión extranjera en el sector mostrado desde el gobierno central.</w:t>
      </w:r>
    </w:p>
    <w:p w:rsidR="00EF42C6" w:rsidRPr="004164E9" w:rsidRDefault="00EF42C6" w:rsidP="00D20F78">
      <w:pPr>
        <w:pStyle w:val="Sinespaciado"/>
        <w:spacing w:line="276" w:lineRule="auto"/>
        <w:jc w:val="both"/>
        <w:rPr>
          <w:rFonts w:ascii="Bookman Old Style" w:hAnsi="Bookman Old Style" w:cs="Arial"/>
          <w:sz w:val="24"/>
          <w:szCs w:val="28"/>
        </w:rPr>
      </w:pPr>
    </w:p>
    <w:p w:rsidR="00D20F78" w:rsidRPr="004164E9" w:rsidRDefault="00D20F78" w:rsidP="00D20F78">
      <w:pPr>
        <w:pStyle w:val="Sinespaciado"/>
        <w:spacing w:line="276" w:lineRule="auto"/>
        <w:jc w:val="both"/>
        <w:rPr>
          <w:rFonts w:ascii="Bookman Old Style" w:hAnsi="Bookman Old Style" w:cs="Arial"/>
          <w:sz w:val="24"/>
          <w:szCs w:val="28"/>
        </w:rPr>
      </w:pPr>
      <w:r w:rsidRPr="004164E9">
        <w:rPr>
          <w:rFonts w:ascii="Bookman Old Style" w:hAnsi="Bookman Old Style" w:cs="Arial"/>
          <w:sz w:val="24"/>
          <w:szCs w:val="28"/>
        </w:rPr>
        <w:t>Si bien es cierto que la explotación de recursos naturales no renovables trae consigo consecuencias adversas al medio ambiente y que para otorgar una adjudicación por parte de la autoridad minera nacional el solicitante debe cumplir con una serie de requisitos, hay que tener presente que el sector minero energético representa un espacio importante para la economía nacional, además de aportar un porcentaje representativo en el producto interno bruto, sin olvidar el trascendental tema de regalías que de la actividad extractiva de esta clase de recursos proviene. Por ello, sin olvidar la importancia del cuidado del medio ambiente, resulta sumamente importante que el gobierno central, las autoridades de los territorios descentralizados y la comunidad en general creen mecanismos de concertación en donde se lleguen a acuerdos de mitigación de daños ambientales, implementación de programas sociales y una serie de compromisos claros, primando en todo momento el interés general sobre los particulares, otorgando la importancia debida a un importante sector de la economía y a la seguridad jurídica necesaria para posicionar al país como territorio atractivo para la inversión extranjera.</w:t>
      </w:r>
    </w:p>
    <w:p w:rsidR="00D20F78" w:rsidRPr="004164E9" w:rsidRDefault="00D20F78" w:rsidP="00D20F78">
      <w:pPr>
        <w:pStyle w:val="Sinespaciado"/>
        <w:spacing w:line="276" w:lineRule="auto"/>
        <w:jc w:val="both"/>
        <w:rPr>
          <w:rFonts w:ascii="Bookman Old Style" w:hAnsi="Bookman Old Style" w:cs="Arial"/>
          <w:sz w:val="24"/>
          <w:szCs w:val="28"/>
        </w:rPr>
      </w:pPr>
    </w:p>
    <w:p w:rsidR="00D20F78" w:rsidRPr="004164E9" w:rsidRDefault="00D20F78" w:rsidP="00D20F78">
      <w:pPr>
        <w:pStyle w:val="Sinespaciado"/>
        <w:spacing w:line="276" w:lineRule="auto"/>
        <w:jc w:val="both"/>
        <w:rPr>
          <w:rFonts w:ascii="Bookman Old Style" w:hAnsi="Bookman Old Style" w:cs="Arial"/>
          <w:sz w:val="24"/>
          <w:szCs w:val="28"/>
        </w:rPr>
      </w:pPr>
      <w:r w:rsidRPr="004164E9">
        <w:rPr>
          <w:rFonts w:ascii="Bookman Old Style" w:hAnsi="Bookman Old Style" w:cs="Arial"/>
          <w:sz w:val="24"/>
          <w:szCs w:val="28"/>
        </w:rPr>
        <w:t>De lo anterior fue consciente la Corte Constitucional en la Sentencia SU 095 del 2018, en la cual, además de considerar que la consulta popular no era el mecanismo para decidir acerca de los temas de políticas de uso de suelos, creyó necesario crear “…</w:t>
      </w:r>
      <w:r w:rsidRPr="004164E9">
        <w:rPr>
          <w:rFonts w:ascii="Bookman Old Style" w:hAnsi="Bookman Old Style" w:cs="Arial"/>
          <w:i/>
          <w:sz w:val="24"/>
          <w:szCs w:val="28"/>
        </w:rPr>
        <w:t xml:space="preserve">uno o varios mecanismos de participación ciudadana y uno o varios instrumentos de coordinación y concurrencia nación territorio…”, </w:t>
      </w:r>
      <w:r w:rsidRPr="004164E9">
        <w:rPr>
          <w:rFonts w:ascii="Bookman Old Style" w:hAnsi="Bookman Old Style" w:cs="Arial"/>
          <w:sz w:val="24"/>
          <w:szCs w:val="28"/>
        </w:rPr>
        <w:t xml:space="preserve"> otorgándole al Congreso de la República la responsabilidad de crear dichas herramientas en pro de respetar los derechos y competencia de los sujetos intervinientes, además de asegurar el desarrollo responsable de la actividad minero energética.</w:t>
      </w:r>
    </w:p>
    <w:p w:rsidR="00D20F78" w:rsidRPr="004164E9" w:rsidRDefault="00D20F78" w:rsidP="00D20F78">
      <w:pPr>
        <w:pStyle w:val="Sinespaciado"/>
        <w:spacing w:line="276" w:lineRule="auto"/>
        <w:jc w:val="both"/>
        <w:rPr>
          <w:rFonts w:ascii="Bookman Old Style" w:hAnsi="Bookman Old Style" w:cs="Arial"/>
          <w:sz w:val="24"/>
          <w:szCs w:val="28"/>
        </w:rPr>
      </w:pPr>
    </w:p>
    <w:p w:rsidR="00D20F78" w:rsidRPr="004164E9" w:rsidRDefault="00D20F78" w:rsidP="00D20F78">
      <w:pPr>
        <w:jc w:val="both"/>
        <w:rPr>
          <w:rFonts w:ascii="Bookman Old Style" w:hAnsi="Bookman Old Style" w:cs="Arial"/>
          <w:color w:val="000000" w:themeColor="text1"/>
          <w:sz w:val="24"/>
          <w:szCs w:val="24"/>
        </w:rPr>
      </w:pPr>
      <w:r w:rsidRPr="004164E9">
        <w:rPr>
          <w:rFonts w:ascii="Bookman Old Style" w:hAnsi="Bookman Old Style" w:cs="Arial"/>
          <w:color w:val="000000" w:themeColor="text1"/>
          <w:sz w:val="24"/>
          <w:szCs w:val="24"/>
        </w:rPr>
        <w:t xml:space="preserve">El presente proyecto de ninguna manera pretende convertirse en un obstáculo para la adjudicación de títulos de exploración y explotación de recursos naturales no renovables, al contrario tiene como finalidad que la autoridad minera nacional  desarrolle a través de  un adecuado mecanismo de coordinación, concurrencia y participación ciudadana una estrategia a corto y largo plazo que permita darle manejo a las crisis sociales ligadas a la ejecución de proyectos extractivos, garantizando que </w:t>
      </w:r>
      <w:r w:rsidRPr="004164E9">
        <w:rPr>
          <w:rFonts w:ascii="Bookman Old Style" w:hAnsi="Bookman Old Style" w:cs="Arial"/>
          <w:color w:val="000000" w:themeColor="text1"/>
          <w:sz w:val="24"/>
          <w:szCs w:val="24"/>
        </w:rPr>
        <w:lastRenderedPageBreak/>
        <w:t xml:space="preserve">el aprovechamiento de los recursos naturales sea una actividad incluyente, basada en una planificación que involucre insumos  de todos los actores involucrados, garantizando así el máximo beneficio posible a las poblaciones. </w:t>
      </w:r>
    </w:p>
    <w:p w:rsidR="00D20F78" w:rsidRPr="004164E9" w:rsidRDefault="00D20F78" w:rsidP="00D20F78">
      <w:pPr>
        <w:jc w:val="both"/>
        <w:rPr>
          <w:rFonts w:ascii="Bookman Old Style" w:hAnsi="Bookman Old Style" w:cs="Arial"/>
          <w:sz w:val="24"/>
          <w:szCs w:val="24"/>
        </w:rPr>
      </w:pPr>
      <w:r w:rsidRPr="004164E9">
        <w:rPr>
          <w:rFonts w:ascii="Bookman Old Style" w:hAnsi="Bookman Old Style" w:cs="Arial"/>
          <w:color w:val="000000" w:themeColor="text1"/>
          <w:sz w:val="24"/>
          <w:szCs w:val="24"/>
        </w:rPr>
        <w:t>Pongo en consideración de los Honorables congresistas la presente propuesta, la cual antes que representar un desestimulante a contratistas solicitantes de títulos de exploración y explotación de recursos naturales no renovables, pretende impulsar el desarrollo a lo largo de acciones encaminadas a hacer compatible un desarrollo económico, con la conservación del medio ambiente y el progreso de las sociedades.</w:t>
      </w:r>
      <w:r w:rsidRPr="004164E9">
        <w:rPr>
          <w:rFonts w:ascii="Bookman Old Style" w:hAnsi="Bookman Old Style" w:cs="Arial"/>
          <w:sz w:val="24"/>
          <w:szCs w:val="24"/>
        </w:rPr>
        <w:t xml:space="preserve"> </w:t>
      </w:r>
    </w:p>
    <w:p w:rsidR="00D20F78" w:rsidRPr="004164E9" w:rsidRDefault="00D20F78" w:rsidP="00D20F78">
      <w:pPr>
        <w:pStyle w:val="Prrafodelista"/>
        <w:numPr>
          <w:ilvl w:val="0"/>
          <w:numId w:val="1"/>
        </w:numPr>
        <w:jc w:val="both"/>
        <w:rPr>
          <w:rFonts w:ascii="Bookman Old Style" w:hAnsi="Bookman Old Style" w:cs="Arial"/>
          <w:b/>
          <w:sz w:val="24"/>
          <w:szCs w:val="24"/>
          <w:u w:val="single"/>
        </w:rPr>
      </w:pPr>
      <w:r w:rsidRPr="004164E9">
        <w:rPr>
          <w:rFonts w:ascii="Bookman Old Style" w:hAnsi="Bookman Old Style" w:cs="Arial"/>
          <w:b/>
          <w:sz w:val="24"/>
          <w:szCs w:val="24"/>
          <w:u w:val="single"/>
        </w:rPr>
        <w:t xml:space="preserve">NECESIDAD DEL PROYECTO </w:t>
      </w:r>
    </w:p>
    <w:p w:rsidR="00D20F78" w:rsidRPr="004164E9"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t xml:space="preserve">Uno de los principales conflictos sociales que enfrenta el país en la actualidad, radica en la poca aceptación de los proyectos de explotación de recursos naturales no renovables a lo largo de todo el territorio </w:t>
      </w:r>
      <w:r w:rsidR="00EF42C6" w:rsidRPr="004164E9">
        <w:rPr>
          <w:rFonts w:ascii="Bookman Old Style" w:hAnsi="Bookman Old Style" w:cs="Arial"/>
          <w:sz w:val="24"/>
          <w:szCs w:val="24"/>
        </w:rPr>
        <w:t>nacional, por</w:t>
      </w:r>
      <w:r w:rsidRPr="004164E9">
        <w:rPr>
          <w:rFonts w:ascii="Bookman Old Style" w:hAnsi="Bookman Old Style" w:cs="Arial"/>
          <w:sz w:val="24"/>
          <w:szCs w:val="24"/>
        </w:rPr>
        <w:t xml:space="preserve"> parte de las comunidades ubicadas en las áreas de influencia de dichos proyectos. En los últimos 5 años se ha visto reflejado mucho más el inconformismo de las poblaciones que reciben la afectación tanto ambiental como social de los proyectos extractivos y quienes manifiestan que los principios de explotación racional y desarrollo sostenible consagrados en la constitución política y en el código de Minas no se ven reflejados en sus territorios. </w:t>
      </w:r>
    </w:p>
    <w:p w:rsidR="00D20F78" w:rsidRPr="004164E9"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t>Desde finales de los años noventa, los conflictos relacionados con la minería han aumentado a nivel global, pero ha sido desde el 2013 cuando han tomado un mayor auge en Colombia y se han visto reflejadas en diversas consultas populares convocadas por mandatarios locales y a partir del 2015 también por ciudadanos y grupos sociales quienes manifiestan a través de este mecanismo de participación ciudadana su rechazo para con las exploraciones y explotaciones de recursos naturales no renovables, hecho que ha afectado directamente a la economía nacional y a la confianza inversionista; (En los últimos 10 años la industria de la minería ha aportado el 9% del producto interno colombiano siendo, uno de los mayores aportes realizados).</w:t>
      </w:r>
    </w:p>
    <w:p w:rsidR="00D20F78"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t xml:space="preserve">La gran mayoría de las consultas populares desarrolladas en el país superaron el umbral y dieron como resultado que más del 90% de los participantes votaron en contra de un proyecto minero en específico o del </w:t>
      </w:r>
      <w:r w:rsidRPr="004164E9">
        <w:rPr>
          <w:rFonts w:ascii="Bookman Old Style" w:hAnsi="Bookman Old Style" w:cs="Arial"/>
          <w:sz w:val="24"/>
          <w:szCs w:val="24"/>
        </w:rPr>
        <w:lastRenderedPageBreak/>
        <w:t>sector minero en general, hechos que han puesto en entre-dicho las competencias de la autoridad minera nacional, y que ha causado inestabilidad jurídica a los inversionistas extranjeros. En todos estos procesos de participación ciudadana es de resaltar que gran parte de las consultas fueron desarrolladas bajo solicitud y/o aprobación de mandatarios locales, lo que refleja una desarticulación en este tema de la rama ejecutiva del poder público (Nación-territorio).</w:t>
      </w:r>
    </w:p>
    <w:p w:rsidR="00D20F78" w:rsidRDefault="00D20F78" w:rsidP="00D20F78">
      <w:pPr>
        <w:ind w:left="708"/>
        <w:jc w:val="both"/>
        <w:rPr>
          <w:rFonts w:ascii="Bookman Old Style" w:hAnsi="Bookman Old Style" w:cs="Arial"/>
          <w:b/>
          <w:sz w:val="24"/>
          <w:szCs w:val="24"/>
        </w:rPr>
      </w:pPr>
      <w:r>
        <w:rPr>
          <w:rFonts w:ascii="Bookman Old Style" w:hAnsi="Bookman Old Style" w:cs="Arial"/>
          <w:b/>
          <w:sz w:val="24"/>
          <w:szCs w:val="24"/>
        </w:rPr>
        <w:t>7.1. ACUERDOS MUNICIPALES COMO INSTRUMENTO DE VETO PARA LAS ACTIVIDAD MINERAS E HIDROCARBURÍFERAS</w:t>
      </w:r>
    </w:p>
    <w:p w:rsidR="00D20F78" w:rsidRPr="00B96FD0" w:rsidRDefault="00D20F78" w:rsidP="00D20F78">
      <w:pPr>
        <w:pStyle w:val="paragraph"/>
        <w:spacing w:before="0" w:beforeAutospacing="0" w:after="0" w:afterAutospacing="0" w:line="276" w:lineRule="auto"/>
        <w:jc w:val="both"/>
        <w:textAlignment w:val="baseline"/>
        <w:rPr>
          <w:rFonts w:ascii="Bookman Old Style" w:eastAsiaTheme="minorEastAsia" w:hAnsi="Bookman Old Style"/>
          <w:lang w:val="es-ES" w:eastAsia="es-ES"/>
        </w:rPr>
      </w:pPr>
      <w:r w:rsidRPr="00B96FD0">
        <w:rPr>
          <w:rFonts w:ascii="Bookman Old Style" w:eastAsiaTheme="minorEastAsia" w:hAnsi="Bookman Old Style"/>
          <w:lang w:val="es-ES" w:eastAsia="es-ES"/>
        </w:rPr>
        <w:t xml:space="preserve">A partir de las primeras consultas populares convocadas para prohibir las actividades del sector, se produjeron también una serie de acuerdos municipales que replicaban la acción, principalmente impulsadas por la sentencia T-445 de 2016. </w:t>
      </w:r>
    </w:p>
    <w:p w:rsidR="00D20F78" w:rsidRPr="00B96FD0" w:rsidRDefault="00D20F78" w:rsidP="00D20F78">
      <w:pPr>
        <w:pStyle w:val="paragraph"/>
        <w:spacing w:before="0" w:beforeAutospacing="0" w:after="0" w:afterAutospacing="0" w:line="276" w:lineRule="auto"/>
        <w:jc w:val="both"/>
        <w:textAlignment w:val="baseline"/>
        <w:rPr>
          <w:rFonts w:ascii="Bookman Old Style" w:eastAsiaTheme="minorEastAsia" w:hAnsi="Bookman Old Style"/>
          <w:lang w:val="es-ES" w:eastAsia="es-ES"/>
        </w:rPr>
      </w:pPr>
    </w:p>
    <w:p w:rsidR="00D20F78" w:rsidRPr="00B96FD0" w:rsidRDefault="00D20F78" w:rsidP="00D20F78">
      <w:pPr>
        <w:pStyle w:val="paragraph"/>
        <w:spacing w:before="0" w:beforeAutospacing="0" w:after="0" w:afterAutospacing="0" w:line="276" w:lineRule="auto"/>
        <w:jc w:val="both"/>
        <w:textAlignment w:val="baseline"/>
        <w:rPr>
          <w:rFonts w:ascii="Bookman Old Style" w:eastAsiaTheme="minorEastAsia" w:hAnsi="Bookman Old Style" w:cs="Arial"/>
          <w:lang w:val="es-ES" w:eastAsia="es-ES"/>
        </w:rPr>
      </w:pPr>
      <w:r w:rsidRPr="00B96FD0">
        <w:rPr>
          <w:rFonts w:ascii="Bookman Old Style" w:eastAsiaTheme="minorEastAsia" w:hAnsi="Bookman Old Style"/>
          <w:lang w:val="es-ES" w:eastAsia="es-ES"/>
        </w:rPr>
        <w:t>Fue así como esta iniciativa, se constituyó como el detonante de una seguidilla de más de cinco años de consultas populares y acuerdos municipales, en diversos municipios del país, a través de los cuales, los habitantes de estos territorios buscaron decidir sobre las futuras actividades mineras y de hidrocarburos. </w:t>
      </w:r>
    </w:p>
    <w:p w:rsidR="00D20F78" w:rsidRPr="00B96FD0" w:rsidRDefault="00D20F78" w:rsidP="00D20F78">
      <w:pPr>
        <w:pStyle w:val="paragraph"/>
        <w:spacing w:before="0" w:beforeAutospacing="0" w:after="0" w:afterAutospacing="0" w:line="276" w:lineRule="auto"/>
        <w:jc w:val="both"/>
        <w:textAlignment w:val="baseline"/>
        <w:rPr>
          <w:rFonts w:ascii="Bookman Old Style" w:eastAsiaTheme="minorEastAsia" w:hAnsi="Bookman Old Style" w:cs="Arial"/>
          <w:lang w:val="es-ES" w:eastAsia="es-ES"/>
        </w:rPr>
      </w:pPr>
      <w:r w:rsidRPr="00B96FD0">
        <w:rPr>
          <w:rFonts w:ascii="Bookman Old Style" w:eastAsiaTheme="minorEastAsia" w:hAnsi="Bookman Old Style"/>
          <w:lang w:val="es-ES" w:eastAsia="es-ES"/>
        </w:rPr>
        <w:t> </w:t>
      </w:r>
    </w:p>
    <w:p w:rsidR="00D20F78" w:rsidRDefault="00D20F78" w:rsidP="00D20F78">
      <w:pPr>
        <w:pStyle w:val="paragraph"/>
        <w:spacing w:before="0" w:beforeAutospacing="0" w:after="0" w:afterAutospacing="0" w:line="276" w:lineRule="auto"/>
        <w:jc w:val="both"/>
        <w:textAlignment w:val="baseline"/>
        <w:rPr>
          <w:rFonts w:ascii="Bookman Old Style" w:eastAsiaTheme="minorEastAsia" w:hAnsi="Bookman Old Style"/>
          <w:lang w:val="es-ES" w:eastAsia="es-ES"/>
        </w:rPr>
      </w:pPr>
      <w:r w:rsidRPr="00B96FD0">
        <w:rPr>
          <w:rFonts w:ascii="Bookman Old Style" w:eastAsiaTheme="minorEastAsia" w:hAnsi="Bookman Old Style"/>
          <w:lang w:val="es-ES" w:eastAsia="es-ES"/>
        </w:rPr>
        <w:t>Lo anterior, desencadenó una alta conflictividad entre las competencias del Gobierno Nacional y las autoridades territoriales y departamentales, para prohibir o viabilizar zonas para la actividad minero energética, generando así más de 40 fallos relacionados con el alcance de dichas competencias, propiciando un ambiente de incertidumbre producto de las diferentes posiciones de los Tribunales Administrativos, el Consejo de Estado y la Corte Constitucional, pronunciándose que se prolongó por varios años. </w:t>
      </w:r>
    </w:p>
    <w:p w:rsidR="00D20F78" w:rsidRDefault="00D20F78" w:rsidP="00D20F78">
      <w:pPr>
        <w:pStyle w:val="paragraph"/>
        <w:spacing w:before="0" w:beforeAutospacing="0" w:after="0" w:afterAutospacing="0" w:line="276" w:lineRule="auto"/>
        <w:jc w:val="both"/>
        <w:textAlignment w:val="baseline"/>
        <w:rPr>
          <w:rFonts w:ascii="Bookman Old Style" w:eastAsiaTheme="minorEastAsia" w:hAnsi="Bookman Old Style"/>
          <w:lang w:val="es-ES" w:eastAsia="es-ES"/>
        </w:rPr>
      </w:pPr>
    </w:p>
    <w:p w:rsidR="00D20F78" w:rsidRDefault="00D20F78" w:rsidP="00D20F78">
      <w:pPr>
        <w:pStyle w:val="paragraph"/>
        <w:spacing w:before="0" w:beforeAutospacing="0" w:after="0" w:afterAutospacing="0" w:line="276" w:lineRule="auto"/>
        <w:jc w:val="both"/>
        <w:textAlignment w:val="baseline"/>
        <w:rPr>
          <w:rFonts w:ascii="Bookman Old Style" w:hAnsi="Bookman Old Style" w:cs="Arial"/>
        </w:rPr>
      </w:pPr>
      <w:r w:rsidRPr="004164E9">
        <w:rPr>
          <w:rFonts w:ascii="Bookman Old Style" w:hAnsi="Bookman Old Style" w:cs="Arial"/>
        </w:rPr>
        <w:t xml:space="preserve">Bajo todo lo anterior y en suma concordancia con el análisis realizado por la corte constitucional a través de la sentencia SU-095 de 2018, se considera necesario la elaboración de una iniciativa legislativa que establezca un mecanismo que refleje los principios de concurrencia y coordinación Nación-Territorio consagrados en la constitución política y en la ley orgánica de ordenamiento territorial (Ley 1454 de 2011), pero que además sea un mecanismo incluyente que escuche a las comunidades y que tenga en cuenta sus puntos de vista para la planificación de proyectos extractivos que garanticen un desarrollo sostenible en todas sus etapas. </w:t>
      </w:r>
    </w:p>
    <w:p w:rsidR="00D20F78" w:rsidRPr="005A4C34" w:rsidRDefault="00D20F78" w:rsidP="00D20F78">
      <w:pPr>
        <w:pStyle w:val="paragraph"/>
        <w:numPr>
          <w:ilvl w:val="0"/>
          <w:numId w:val="1"/>
        </w:numPr>
        <w:spacing w:before="0" w:beforeAutospacing="0" w:after="0" w:afterAutospacing="0" w:line="276" w:lineRule="auto"/>
        <w:jc w:val="both"/>
        <w:textAlignment w:val="baseline"/>
        <w:rPr>
          <w:rFonts w:ascii="Bookman Old Style" w:hAnsi="Bookman Old Style" w:cs="Arial"/>
        </w:rPr>
      </w:pPr>
      <w:r>
        <w:rPr>
          <w:rFonts w:ascii="Bookman Old Style" w:hAnsi="Bookman Old Style" w:cs="Arial"/>
          <w:b/>
        </w:rPr>
        <w:lastRenderedPageBreak/>
        <w:t>NATURALEZA DEL PROYECTO</w:t>
      </w:r>
    </w:p>
    <w:p w:rsidR="00D20F78" w:rsidRDefault="00D20F78" w:rsidP="00D20F78">
      <w:pPr>
        <w:pStyle w:val="paragraph"/>
        <w:spacing w:before="0" w:beforeAutospacing="0" w:after="0" w:afterAutospacing="0" w:line="276" w:lineRule="auto"/>
        <w:jc w:val="both"/>
        <w:textAlignment w:val="baseline"/>
        <w:rPr>
          <w:rFonts w:ascii="Bookman Old Style" w:hAnsi="Bookman Old Style" w:cs="Arial"/>
          <w:b/>
        </w:rPr>
      </w:pPr>
    </w:p>
    <w:p w:rsidR="00D20F78" w:rsidRDefault="00D20F78" w:rsidP="00D20F78">
      <w:pPr>
        <w:pStyle w:val="paragraph"/>
        <w:spacing w:before="0" w:beforeAutospacing="0" w:after="0" w:afterAutospacing="0" w:line="276" w:lineRule="auto"/>
        <w:jc w:val="both"/>
        <w:textAlignment w:val="baseline"/>
        <w:rPr>
          <w:rFonts w:ascii="Bookman Old Style" w:hAnsi="Bookman Old Style" w:cs="Arial"/>
        </w:rPr>
      </w:pPr>
      <w:r>
        <w:rPr>
          <w:rFonts w:ascii="Bookman Old Style" w:hAnsi="Bookman Old Style" w:cs="Arial"/>
        </w:rPr>
        <w:t>El presente proyecto de L</w:t>
      </w:r>
      <w:r w:rsidRPr="005A4C34">
        <w:rPr>
          <w:rFonts w:ascii="Bookman Old Style" w:hAnsi="Bookman Old Style" w:cs="Arial"/>
        </w:rPr>
        <w:t xml:space="preserve">ey </w:t>
      </w:r>
      <w:r>
        <w:rPr>
          <w:rFonts w:ascii="Bookman Old Style" w:hAnsi="Bookman Old Style" w:cs="Arial"/>
        </w:rPr>
        <w:t>es de naturaleza</w:t>
      </w:r>
      <w:r w:rsidRPr="005A4C34">
        <w:rPr>
          <w:rFonts w:ascii="Bookman Old Style" w:hAnsi="Bookman Old Style" w:cs="Arial"/>
        </w:rPr>
        <w:t xml:space="preserve"> mixta por cuanto tiene un componente orgánico en lo referente a la creación del mecanismo de coordinación y concurrencia, en tanto implica la distribución de competencias (artículo 288 constitucional), y </w:t>
      </w:r>
      <w:r>
        <w:rPr>
          <w:rFonts w:ascii="Bookman Old Style" w:hAnsi="Bookman Old Style" w:cs="Arial"/>
        </w:rPr>
        <w:t>un componente</w:t>
      </w:r>
      <w:r w:rsidRPr="005A4C34">
        <w:rPr>
          <w:rFonts w:ascii="Bookman Old Style" w:hAnsi="Bookman Old Style" w:cs="Arial"/>
        </w:rPr>
        <w:t xml:space="preserve"> estatutario en lo que se refiere a la creación del mecanismo de participación ciudadana, que pa</w:t>
      </w:r>
      <w:r>
        <w:rPr>
          <w:rFonts w:ascii="Bookman Old Style" w:hAnsi="Bookman Old Style" w:cs="Arial"/>
        </w:rPr>
        <w:t>ra el caso de este proyecto de L</w:t>
      </w:r>
      <w:r w:rsidRPr="005A4C34">
        <w:rPr>
          <w:rFonts w:ascii="Bookman Old Style" w:hAnsi="Bookman Old Style" w:cs="Arial"/>
        </w:rPr>
        <w:t>ey es el mismo mecanismo</w:t>
      </w:r>
      <w:r>
        <w:rPr>
          <w:rFonts w:ascii="Bookman Old Style" w:hAnsi="Bookman Old Style" w:cs="Arial"/>
        </w:rPr>
        <w:t>.</w:t>
      </w:r>
    </w:p>
    <w:p w:rsidR="00D20F78" w:rsidRDefault="00D20F78" w:rsidP="00D20F78">
      <w:pPr>
        <w:pStyle w:val="paragraph"/>
        <w:spacing w:before="0" w:beforeAutospacing="0" w:after="0" w:afterAutospacing="0" w:line="276" w:lineRule="auto"/>
        <w:jc w:val="both"/>
        <w:textAlignment w:val="baseline"/>
        <w:rPr>
          <w:rFonts w:ascii="Bookman Old Style" w:hAnsi="Bookman Old Style" w:cs="Arial"/>
        </w:rPr>
      </w:pPr>
    </w:p>
    <w:p w:rsidR="00D20F78" w:rsidRDefault="00D20F78" w:rsidP="00D20F78">
      <w:pPr>
        <w:pStyle w:val="paragraph"/>
        <w:spacing w:before="0" w:beforeAutospacing="0" w:after="0" w:afterAutospacing="0" w:line="276" w:lineRule="auto"/>
        <w:jc w:val="both"/>
        <w:textAlignment w:val="baseline"/>
        <w:rPr>
          <w:rFonts w:ascii="Bookman Old Style" w:hAnsi="Bookman Old Style" w:cs="Arial"/>
        </w:rPr>
      </w:pPr>
      <w:r w:rsidRPr="005A4C34">
        <w:rPr>
          <w:rFonts w:ascii="Bookman Old Style" w:hAnsi="Bookman Old Style" w:cs="Arial"/>
        </w:rPr>
        <w:t>En este senti</w:t>
      </w:r>
      <w:r>
        <w:rPr>
          <w:rFonts w:ascii="Bookman Old Style" w:hAnsi="Bookman Old Style" w:cs="Arial"/>
        </w:rPr>
        <w:t>do, se presenta un proyecto de L</w:t>
      </w:r>
      <w:r w:rsidRPr="005A4C34">
        <w:rPr>
          <w:rFonts w:ascii="Bookman Old Style" w:hAnsi="Bookman Old Style" w:cs="Arial"/>
        </w:rPr>
        <w:t>ey estatutaria, por abarcar de manera integral y esencial el contenido de una ma</w:t>
      </w:r>
      <w:r>
        <w:rPr>
          <w:rFonts w:ascii="Bookman Old Style" w:hAnsi="Bookman Old Style" w:cs="Arial"/>
        </w:rPr>
        <w:t>teria reservada a este tipo de L</w:t>
      </w:r>
      <w:r w:rsidRPr="005A4C34">
        <w:rPr>
          <w:rFonts w:ascii="Bookman Old Style" w:hAnsi="Bookman Old Style" w:cs="Arial"/>
        </w:rPr>
        <w:t>ey como es la creación de uno o varios mecanismos de participación ciudadana, y por ser el trámite estatutario más gravoso que el orgánico y el ordinario.</w:t>
      </w:r>
    </w:p>
    <w:p w:rsidR="00D20F78" w:rsidRDefault="00D20F78" w:rsidP="00D20F78">
      <w:pPr>
        <w:pStyle w:val="paragraph"/>
        <w:spacing w:before="0" w:beforeAutospacing="0" w:after="0" w:afterAutospacing="0" w:line="276" w:lineRule="auto"/>
        <w:jc w:val="both"/>
        <w:textAlignment w:val="baseline"/>
        <w:rPr>
          <w:rFonts w:ascii="Bookman Old Style" w:hAnsi="Bookman Old Style" w:cs="Arial"/>
        </w:rPr>
      </w:pPr>
    </w:p>
    <w:p w:rsidR="00D20F78" w:rsidRPr="004164E9" w:rsidRDefault="00D20F78" w:rsidP="00D20F78">
      <w:pPr>
        <w:jc w:val="both"/>
        <w:rPr>
          <w:rFonts w:ascii="Bookman Old Style" w:hAnsi="Bookman Old Style" w:cs="Arial"/>
          <w:sz w:val="24"/>
          <w:szCs w:val="24"/>
        </w:rPr>
      </w:pPr>
      <w:r w:rsidRPr="004164E9">
        <w:rPr>
          <w:rFonts w:ascii="Bookman Old Style" w:hAnsi="Bookman Old Style" w:cs="Arial"/>
          <w:sz w:val="24"/>
          <w:szCs w:val="24"/>
        </w:rPr>
        <w:t>Cordialmente;</w:t>
      </w:r>
    </w:p>
    <w:p w:rsidR="00B24E3E" w:rsidRPr="00390A7D" w:rsidRDefault="00B24E3E" w:rsidP="00B24E3E">
      <w:pPr>
        <w:spacing w:after="0" w:line="240" w:lineRule="auto"/>
        <w:rPr>
          <w:rFonts w:ascii="Bookman Old Style" w:eastAsia="Arial Narrow" w:hAnsi="Bookman Old Style" w:cs="Arial Narrow"/>
          <w:b/>
        </w:rPr>
      </w:pPr>
      <w:r>
        <w:rPr>
          <w:rFonts w:ascii="Bookman Old Style" w:eastAsia="Arial Narrow" w:hAnsi="Bookman Old Style" w:cs="Arial Narrow"/>
          <w:b/>
        </w:rPr>
        <w:t xml:space="preserve">           </w:t>
      </w:r>
      <w:r w:rsidRPr="003206B3">
        <w:rPr>
          <w:noProof/>
          <w:sz w:val="24"/>
          <w:szCs w:val="24"/>
          <w:lang w:val="es-CO" w:eastAsia="es-CO"/>
        </w:rPr>
        <w:drawing>
          <wp:inline distT="0" distB="0" distL="0" distR="0" wp14:anchorId="19E5EF4D" wp14:editId="251A0BF4">
            <wp:extent cx="801577" cy="8477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149" cy="862079"/>
                    </a:xfrm>
                    <a:prstGeom prst="rect">
                      <a:avLst/>
                    </a:prstGeom>
                    <a:noFill/>
                  </pic:spPr>
                </pic:pic>
              </a:graphicData>
            </a:graphic>
          </wp:inline>
        </w:drawing>
      </w:r>
      <w:r>
        <w:rPr>
          <w:rFonts w:ascii="Bookman Old Style" w:eastAsia="Arial Narrow" w:hAnsi="Bookman Old Style" w:cs="Arial Narrow"/>
          <w:b/>
        </w:rPr>
        <w:tab/>
      </w:r>
      <w:r>
        <w:rPr>
          <w:rFonts w:ascii="Bookman Old Style" w:eastAsia="Arial Narrow" w:hAnsi="Bookman Old Style" w:cs="Arial Narrow"/>
          <w:b/>
        </w:rPr>
        <w:tab/>
      </w:r>
      <w:r>
        <w:rPr>
          <w:rFonts w:ascii="Bookman Old Style" w:eastAsia="Arial Narrow" w:hAnsi="Bookman Old Style" w:cs="Arial Narrow"/>
          <w:b/>
        </w:rPr>
        <w:tab/>
      </w:r>
      <w:r>
        <w:rPr>
          <w:rFonts w:ascii="Bookman Old Style" w:eastAsia="Arial Narrow" w:hAnsi="Bookman Old Style" w:cs="Arial Narrow"/>
          <w:b/>
        </w:rPr>
        <w:tab/>
        <w:t xml:space="preserve">  </w:t>
      </w:r>
      <w:r w:rsidR="005B2B8B">
        <w:rPr>
          <w:rFonts w:ascii="Bookman Old Style" w:eastAsia="Arial Narrow" w:hAnsi="Bookman Old Style" w:cs="Arial Narrow"/>
          <w:b/>
        </w:rPr>
        <w:t xml:space="preserve">        </w:t>
      </w:r>
      <w:r>
        <w:rPr>
          <w:rFonts w:ascii="Bookman Old Style" w:eastAsia="Arial Narrow" w:hAnsi="Bookman Old Style" w:cs="Arial Narrow"/>
          <w:b/>
        </w:rPr>
        <w:t xml:space="preserve">   </w:t>
      </w:r>
      <w:r>
        <w:rPr>
          <w:noProof/>
          <w:lang w:val="es-CO" w:eastAsia="es-CO"/>
        </w:rPr>
        <w:drawing>
          <wp:inline distT="0" distB="0" distL="0" distR="0" wp14:anchorId="73496535" wp14:editId="61BC8CBA">
            <wp:extent cx="1771650" cy="381000"/>
            <wp:effectExtent l="0" t="0" r="0" b="0"/>
            <wp:docPr id="18" name="Imagen 18"/>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tretch>
                      <a:fillRect/>
                    </a:stretch>
                  </pic:blipFill>
                  <pic:spPr>
                    <a:xfrm>
                      <a:off x="0" y="0"/>
                      <a:ext cx="1771650" cy="381000"/>
                    </a:xfrm>
                    <a:prstGeom prst="rect">
                      <a:avLst/>
                    </a:prstGeom>
                  </pic:spPr>
                </pic:pic>
              </a:graphicData>
            </a:graphic>
          </wp:inline>
        </w:drawing>
      </w:r>
    </w:p>
    <w:p w:rsidR="00B24E3E" w:rsidRPr="00390A7D" w:rsidRDefault="00B24E3E" w:rsidP="00B24E3E">
      <w:pPr>
        <w:spacing w:after="0" w:line="240" w:lineRule="auto"/>
        <w:rPr>
          <w:rFonts w:ascii="Bookman Old Style" w:eastAsia="Arial Narrow" w:hAnsi="Bookman Old Style" w:cs="Arial Narrow"/>
          <w:b/>
          <w:sz w:val="24"/>
          <w:szCs w:val="24"/>
        </w:rPr>
      </w:pPr>
      <w:r w:rsidRPr="00390A7D">
        <w:rPr>
          <w:rFonts w:ascii="Bookman Old Style" w:eastAsia="Arial Narrow" w:hAnsi="Bookman Old Style" w:cs="Arial Narrow"/>
          <w:b/>
          <w:sz w:val="24"/>
          <w:szCs w:val="24"/>
        </w:rPr>
        <w:t>HECTOR VERGARA SIERRA</w:t>
      </w:r>
      <w:r>
        <w:rPr>
          <w:rFonts w:ascii="Bookman Old Style" w:eastAsia="Arial Narrow" w:hAnsi="Bookman Old Style" w:cs="Arial Narrow"/>
          <w:b/>
          <w:sz w:val="24"/>
          <w:szCs w:val="24"/>
        </w:rPr>
        <w:tab/>
      </w:r>
      <w:r>
        <w:rPr>
          <w:rFonts w:ascii="Bookman Old Style" w:eastAsia="Arial Narrow" w:hAnsi="Bookman Old Style" w:cs="Arial Narrow"/>
          <w:b/>
          <w:sz w:val="24"/>
          <w:szCs w:val="24"/>
        </w:rPr>
        <w:tab/>
      </w:r>
      <w:r>
        <w:rPr>
          <w:rFonts w:ascii="Bookman Old Style" w:eastAsia="Arial Narrow" w:hAnsi="Bookman Old Style" w:cs="Arial Narrow"/>
          <w:b/>
          <w:sz w:val="24"/>
          <w:szCs w:val="24"/>
        </w:rPr>
        <w:tab/>
        <w:t>CÉSAR LORDUY MALDONADO</w:t>
      </w:r>
    </w:p>
    <w:p w:rsidR="00B24E3E" w:rsidRPr="003C6CB7" w:rsidRDefault="00B24E3E" w:rsidP="00B24E3E">
      <w:pPr>
        <w:spacing w:after="0" w:line="240" w:lineRule="auto"/>
        <w:rPr>
          <w:rFonts w:ascii="Bookman Old Style" w:eastAsia="Arial Narrow" w:hAnsi="Bookman Old Style" w:cs="Arial Narrow"/>
          <w:sz w:val="24"/>
          <w:szCs w:val="24"/>
        </w:rPr>
      </w:pPr>
      <w:r w:rsidRPr="003C6CB7">
        <w:rPr>
          <w:rFonts w:ascii="Bookman Old Style" w:eastAsia="Arial Narrow" w:hAnsi="Bookman Old Style" w:cs="Arial Narrow"/>
          <w:sz w:val="24"/>
          <w:szCs w:val="24"/>
        </w:rPr>
        <w:t>H. Representante a la Cámara</w:t>
      </w:r>
      <w:r>
        <w:rPr>
          <w:rFonts w:ascii="Bookman Old Style" w:eastAsia="Arial Narrow" w:hAnsi="Bookman Old Style" w:cs="Arial Narrow"/>
          <w:sz w:val="24"/>
          <w:szCs w:val="24"/>
        </w:rPr>
        <w:tab/>
      </w:r>
      <w:r>
        <w:rPr>
          <w:rFonts w:ascii="Bookman Old Style" w:eastAsia="Arial Narrow" w:hAnsi="Bookman Old Style" w:cs="Arial Narrow"/>
          <w:sz w:val="24"/>
          <w:szCs w:val="24"/>
        </w:rPr>
        <w:tab/>
      </w:r>
      <w:r w:rsidRPr="003C6CB7">
        <w:rPr>
          <w:rFonts w:ascii="Bookman Old Style" w:eastAsia="Arial Narrow" w:hAnsi="Bookman Old Style" w:cs="Arial Narrow"/>
          <w:sz w:val="24"/>
          <w:szCs w:val="24"/>
        </w:rPr>
        <w:t>H. Representante a la Cámara</w:t>
      </w:r>
    </w:p>
    <w:p w:rsidR="00B24E3E" w:rsidRPr="003C6CB7" w:rsidRDefault="00B24E3E" w:rsidP="00B24E3E">
      <w:pPr>
        <w:spacing w:after="0" w:line="240" w:lineRule="auto"/>
        <w:rPr>
          <w:rFonts w:ascii="Bookman Old Style" w:eastAsia="Arial Narrow" w:hAnsi="Bookman Old Style" w:cs="Arial Narrow"/>
          <w:sz w:val="24"/>
          <w:szCs w:val="24"/>
        </w:rPr>
      </w:pPr>
      <w:r w:rsidRPr="003C6CB7">
        <w:rPr>
          <w:rFonts w:ascii="Bookman Old Style" w:eastAsia="Arial Narrow" w:hAnsi="Bookman Old Style" w:cs="Arial Narrow"/>
          <w:sz w:val="24"/>
          <w:szCs w:val="24"/>
        </w:rPr>
        <w:t>Departamento de Sucre</w:t>
      </w:r>
      <w:r>
        <w:rPr>
          <w:rFonts w:ascii="Bookman Old Style" w:eastAsia="Arial Narrow" w:hAnsi="Bookman Old Style" w:cs="Arial Narrow"/>
          <w:sz w:val="24"/>
          <w:szCs w:val="24"/>
        </w:rPr>
        <w:tab/>
      </w:r>
      <w:r>
        <w:rPr>
          <w:rFonts w:ascii="Bookman Old Style" w:eastAsia="Arial Narrow" w:hAnsi="Bookman Old Style" w:cs="Arial Narrow"/>
          <w:sz w:val="24"/>
          <w:szCs w:val="24"/>
        </w:rPr>
        <w:tab/>
      </w:r>
      <w:r>
        <w:rPr>
          <w:rFonts w:ascii="Bookman Old Style" w:eastAsia="Arial Narrow" w:hAnsi="Bookman Old Style" w:cs="Arial Narrow"/>
          <w:sz w:val="24"/>
          <w:szCs w:val="24"/>
        </w:rPr>
        <w:tab/>
      </w:r>
      <w:r>
        <w:rPr>
          <w:rFonts w:ascii="Bookman Old Style" w:eastAsia="Arial Narrow" w:hAnsi="Bookman Old Style" w:cs="Arial Narrow"/>
          <w:sz w:val="24"/>
          <w:szCs w:val="24"/>
        </w:rPr>
        <w:tab/>
      </w:r>
      <w:r w:rsidRPr="003C6CB7">
        <w:rPr>
          <w:rFonts w:ascii="Bookman Old Style" w:eastAsia="Arial Narrow" w:hAnsi="Bookman Old Style" w:cs="Arial Narrow"/>
          <w:sz w:val="24"/>
          <w:szCs w:val="24"/>
        </w:rPr>
        <w:t xml:space="preserve">Departamento de </w:t>
      </w:r>
      <w:r>
        <w:rPr>
          <w:rFonts w:ascii="Bookman Old Style" w:eastAsia="Arial Narrow" w:hAnsi="Bookman Old Style" w:cs="Arial Narrow"/>
          <w:sz w:val="24"/>
          <w:szCs w:val="24"/>
        </w:rPr>
        <w:t>Atlántico</w:t>
      </w:r>
    </w:p>
    <w:p w:rsidR="00B24E3E" w:rsidRDefault="00B24E3E" w:rsidP="00B24E3E">
      <w:pPr>
        <w:pStyle w:val="Sinespaciado"/>
        <w:rPr>
          <w:rFonts w:ascii="Bookman Old Style" w:eastAsia="Arial Narrow" w:hAnsi="Bookman Old Style"/>
          <w:b/>
          <w:sz w:val="24"/>
        </w:rPr>
      </w:pPr>
      <w:r>
        <w:rPr>
          <w:rFonts w:ascii="Bookman Old Style" w:hAnsi="Bookman Old Style" w:cs="Arial"/>
          <w:noProof/>
          <w:sz w:val="24"/>
          <w:szCs w:val="24"/>
          <w:lang w:val="es-CO" w:eastAsia="es-CO"/>
        </w:rPr>
        <w:drawing>
          <wp:inline distT="0" distB="0" distL="0" distR="0" wp14:anchorId="196F99C2" wp14:editId="696A6750">
            <wp:extent cx="1409700" cy="782748"/>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21-07-19 a la(s) 1.19.30 p. m..png"/>
                    <pic:cNvPicPr/>
                  </pic:nvPicPr>
                  <pic:blipFill rotWithShape="1">
                    <a:blip r:embed="rId18" cstate="print">
                      <a:extLst>
                        <a:ext uri="{28A0092B-C50C-407E-A947-70E740481C1C}">
                          <a14:useLocalDpi xmlns:a14="http://schemas.microsoft.com/office/drawing/2010/main" val="0"/>
                        </a:ext>
                      </a:extLst>
                    </a:blip>
                    <a:srcRect l="5509"/>
                    <a:stretch/>
                  </pic:blipFill>
                  <pic:spPr bwMode="auto">
                    <a:xfrm>
                      <a:off x="0" y="0"/>
                      <a:ext cx="1424829" cy="791148"/>
                    </a:xfrm>
                    <a:prstGeom prst="rect">
                      <a:avLst/>
                    </a:prstGeom>
                    <a:ln>
                      <a:noFill/>
                    </a:ln>
                    <a:extLst>
                      <a:ext uri="{53640926-AAD7-44D8-BBD7-CCE9431645EC}">
                        <a14:shadowObscured xmlns:a14="http://schemas.microsoft.com/office/drawing/2010/main"/>
                      </a:ext>
                    </a:extLst>
                  </pic:spPr>
                </pic:pic>
              </a:graphicData>
            </a:graphic>
          </wp:inline>
        </w:drawing>
      </w:r>
      <w:r>
        <w:rPr>
          <w:rFonts w:ascii="Bookman Old Style" w:eastAsia="Arial Narrow" w:hAnsi="Bookman Old Style"/>
          <w:b/>
          <w:sz w:val="24"/>
        </w:rPr>
        <w:tab/>
      </w:r>
      <w:r>
        <w:rPr>
          <w:rFonts w:ascii="Bookman Old Style" w:eastAsia="Arial Narrow" w:hAnsi="Bookman Old Style"/>
          <w:b/>
          <w:sz w:val="24"/>
        </w:rPr>
        <w:tab/>
      </w:r>
      <w:r>
        <w:rPr>
          <w:rFonts w:ascii="Bookman Old Style" w:eastAsia="Arial Narrow" w:hAnsi="Bookman Old Style"/>
          <w:b/>
          <w:sz w:val="24"/>
        </w:rPr>
        <w:tab/>
      </w:r>
      <w:r>
        <w:rPr>
          <w:rFonts w:ascii="Bookman Old Style" w:eastAsia="Arial Narrow" w:hAnsi="Bookman Old Style"/>
          <w:b/>
          <w:sz w:val="24"/>
        </w:rPr>
        <w:tab/>
      </w:r>
      <w:r>
        <w:rPr>
          <w:rFonts w:ascii="Bookman Old Style" w:eastAsia="Arial Narrow" w:hAnsi="Bookman Old Style"/>
          <w:b/>
          <w:sz w:val="24"/>
        </w:rPr>
        <w:tab/>
      </w:r>
      <w:r>
        <w:rPr>
          <w:rFonts w:ascii="Bookman Old Style" w:eastAsia="Arial Narrow" w:hAnsi="Bookman Old Style"/>
          <w:b/>
          <w:noProof/>
          <w:sz w:val="24"/>
          <w:lang w:val="es-CO" w:eastAsia="es-CO"/>
        </w:rPr>
        <w:drawing>
          <wp:inline distT="0" distB="0" distL="0" distR="0" wp14:anchorId="320A5EFA" wp14:editId="52EA5A69">
            <wp:extent cx="1219200" cy="600631"/>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4941" cy="603459"/>
                    </a:xfrm>
                    <a:prstGeom prst="rect">
                      <a:avLst/>
                    </a:prstGeom>
                    <a:noFill/>
                  </pic:spPr>
                </pic:pic>
              </a:graphicData>
            </a:graphic>
          </wp:inline>
        </w:drawing>
      </w:r>
    </w:p>
    <w:p w:rsidR="00B24E3E" w:rsidRPr="005B2B8B" w:rsidRDefault="00B24E3E" w:rsidP="00B24E3E">
      <w:pPr>
        <w:pStyle w:val="Sinespaciado"/>
        <w:rPr>
          <w:rFonts w:ascii="Bookman Old Style" w:eastAsia="Arial Narrow" w:hAnsi="Bookman Old Style"/>
          <w:b/>
          <w:sz w:val="24"/>
          <w:lang w:val="en-US"/>
        </w:rPr>
      </w:pPr>
      <w:r w:rsidRPr="005B2B8B">
        <w:rPr>
          <w:rFonts w:ascii="Bookman Old Style" w:eastAsia="Arial Narrow" w:hAnsi="Bookman Old Style"/>
          <w:b/>
          <w:sz w:val="24"/>
          <w:lang w:val="en-US"/>
        </w:rPr>
        <w:t>ANDRÉS CALLE AGUAS</w:t>
      </w:r>
      <w:r w:rsidRPr="005B2B8B">
        <w:rPr>
          <w:rFonts w:ascii="Bookman Old Style" w:eastAsia="Arial Narrow" w:hAnsi="Bookman Old Style"/>
          <w:b/>
          <w:sz w:val="24"/>
          <w:lang w:val="en-US"/>
        </w:rPr>
        <w:tab/>
      </w:r>
      <w:r w:rsidRPr="005B2B8B">
        <w:rPr>
          <w:rFonts w:ascii="Bookman Old Style" w:eastAsia="Arial Narrow" w:hAnsi="Bookman Old Style"/>
          <w:b/>
          <w:sz w:val="24"/>
          <w:lang w:val="en-US"/>
        </w:rPr>
        <w:tab/>
      </w:r>
      <w:r w:rsidRPr="005B2B8B">
        <w:rPr>
          <w:rFonts w:ascii="Bookman Old Style" w:eastAsia="Arial Narrow" w:hAnsi="Bookman Old Style"/>
          <w:b/>
          <w:sz w:val="24"/>
          <w:lang w:val="en-US"/>
        </w:rPr>
        <w:tab/>
        <w:t>WADITH MANZUR IMBETT</w:t>
      </w:r>
    </w:p>
    <w:p w:rsidR="00B24E3E" w:rsidRPr="00C2660B" w:rsidRDefault="00B24E3E" w:rsidP="00B24E3E">
      <w:pPr>
        <w:pStyle w:val="Sinespaciado"/>
        <w:rPr>
          <w:rFonts w:ascii="Bookman Old Style" w:hAnsi="Bookman Old Style" w:cs="Arial"/>
          <w:sz w:val="24"/>
        </w:rPr>
      </w:pPr>
      <w:r w:rsidRPr="00C2660B">
        <w:rPr>
          <w:rFonts w:ascii="Bookman Old Style" w:eastAsia="Arial Narrow" w:hAnsi="Bookman Old Style"/>
          <w:sz w:val="24"/>
        </w:rPr>
        <w:t xml:space="preserve">H. Representante a la </w:t>
      </w:r>
      <w:r>
        <w:rPr>
          <w:rFonts w:ascii="Bookman Old Style" w:eastAsia="Arial Narrow" w:hAnsi="Bookman Old Style"/>
          <w:sz w:val="24"/>
        </w:rPr>
        <w:t>Cámara</w:t>
      </w:r>
      <w:r>
        <w:rPr>
          <w:rFonts w:ascii="Bookman Old Style" w:eastAsia="Arial Narrow" w:hAnsi="Bookman Old Style"/>
          <w:sz w:val="24"/>
        </w:rPr>
        <w:tab/>
      </w:r>
      <w:r>
        <w:rPr>
          <w:rFonts w:ascii="Bookman Old Style" w:eastAsia="Arial Narrow" w:hAnsi="Bookman Old Style"/>
          <w:sz w:val="24"/>
        </w:rPr>
        <w:tab/>
      </w:r>
      <w:r w:rsidRPr="00C2660B">
        <w:rPr>
          <w:rFonts w:ascii="Bookman Old Style" w:eastAsia="Arial Narrow" w:hAnsi="Bookman Old Style"/>
          <w:sz w:val="24"/>
        </w:rPr>
        <w:t xml:space="preserve">H. Representante a la </w:t>
      </w:r>
      <w:r>
        <w:rPr>
          <w:rFonts w:ascii="Bookman Old Style" w:eastAsia="Arial Narrow" w:hAnsi="Bookman Old Style"/>
          <w:sz w:val="24"/>
        </w:rPr>
        <w:t>Cámara</w:t>
      </w:r>
    </w:p>
    <w:p w:rsidR="00B24E3E" w:rsidRDefault="00B24E3E" w:rsidP="00B24E3E">
      <w:pPr>
        <w:pStyle w:val="Sinespaciado"/>
        <w:rPr>
          <w:rFonts w:cs="Arial"/>
        </w:rPr>
      </w:pPr>
      <w:r w:rsidRPr="00C2660B">
        <w:rPr>
          <w:rFonts w:ascii="Bookman Old Style" w:eastAsia="Arial Narrow" w:hAnsi="Bookman Old Style"/>
          <w:sz w:val="24"/>
        </w:rPr>
        <w:t xml:space="preserve">Departamento de </w:t>
      </w:r>
      <w:r>
        <w:rPr>
          <w:rFonts w:ascii="Bookman Old Style" w:eastAsia="Arial Narrow" w:hAnsi="Bookman Old Style"/>
          <w:sz w:val="24"/>
        </w:rPr>
        <w:t>Córdoba</w:t>
      </w:r>
      <w:r>
        <w:rPr>
          <w:rFonts w:ascii="Bookman Old Style" w:eastAsia="Arial Narrow" w:hAnsi="Bookman Old Style"/>
          <w:sz w:val="24"/>
        </w:rPr>
        <w:tab/>
      </w:r>
      <w:r>
        <w:rPr>
          <w:rFonts w:ascii="Bookman Old Style" w:eastAsia="Arial Narrow" w:hAnsi="Bookman Old Style"/>
          <w:sz w:val="24"/>
        </w:rPr>
        <w:tab/>
      </w:r>
      <w:r>
        <w:rPr>
          <w:rFonts w:ascii="Bookman Old Style" w:eastAsia="Arial Narrow" w:hAnsi="Bookman Old Style"/>
          <w:sz w:val="24"/>
        </w:rPr>
        <w:tab/>
      </w:r>
      <w:r w:rsidRPr="00C2660B">
        <w:rPr>
          <w:rFonts w:ascii="Bookman Old Style" w:eastAsia="Arial Narrow" w:hAnsi="Bookman Old Style"/>
          <w:sz w:val="24"/>
        </w:rPr>
        <w:t xml:space="preserve">Departamento de </w:t>
      </w:r>
      <w:r>
        <w:rPr>
          <w:rFonts w:ascii="Bookman Old Style" w:eastAsia="Arial Narrow" w:hAnsi="Bookman Old Style"/>
          <w:sz w:val="24"/>
        </w:rPr>
        <w:t>Córdoba</w:t>
      </w:r>
      <w:r>
        <w:rPr>
          <w:rFonts w:eastAsia="Arial Narrow"/>
        </w:rPr>
        <w:tab/>
      </w:r>
    </w:p>
    <w:p w:rsidR="00B24E3E" w:rsidRDefault="00B24E3E" w:rsidP="00B24E3E">
      <w:pPr>
        <w:rPr>
          <w:rFonts w:ascii="Bookman Old Style" w:hAnsi="Bookman Old Style" w:cs="Arial"/>
          <w:b/>
          <w:sz w:val="24"/>
          <w:szCs w:val="24"/>
        </w:rPr>
      </w:pPr>
    </w:p>
    <w:p w:rsidR="00B24E3E" w:rsidRDefault="00B24E3E" w:rsidP="00B24E3E">
      <w:pPr>
        <w:pStyle w:val="Sinespaciado"/>
      </w:pPr>
      <w:r>
        <w:rPr>
          <w:noProof/>
          <w:lang w:val="es-CO" w:eastAsia="es-CO"/>
        </w:rPr>
        <w:drawing>
          <wp:anchor distT="0" distB="0" distL="114300" distR="114300" simplePos="0" relativeHeight="251663360" behindDoc="1" locked="0" layoutInCell="1" allowOverlap="1" wp14:anchorId="039B53D4" wp14:editId="78EB8BC8">
            <wp:simplePos x="0" y="0"/>
            <wp:positionH relativeFrom="margin">
              <wp:align>left</wp:align>
            </wp:positionH>
            <wp:positionV relativeFrom="paragraph">
              <wp:posOffset>8890</wp:posOffset>
            </wp:positionV>
            <wp:extent cx="2025650" cy="704215"/>
            <wp:effectExtent l="0" t="0" r="0" b="6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25650" cy="704215"/>
                    </a:xfrm>
                    <a:prstGeom prst="rect">
                      <a:avLst/>
                    </a:prstGeom>
                  </pic:spPr>
                </pic:pic>
              </a:graphicData>
            </a:graphic>
          </wp:anchor>
        </w:drawing>
      </w:r>
      <w:r>
        <w:tab/>
      </w:r>
      <w:r>
        <w:tab/>
      </w:r>
      <w:r>
        <w:tab/>
      </w:r>
      <w:r>
        <w:tab/>
        <w:t xml:space="preserve">                                                </w:t>
      </w:r>
      <w:r w:rsidRPr="001D6C5E">
        <w:rPr>
          <w:rFonts w:ascii="Arial" w:hAnsi="Arial"/>
          <w:noProof/>
          <w:lang w:val="es-CO" w:eastAsia="es-CO"/>
        </w:rPr>
        <w:drawing>
          <wp:inline distT="0" distB="0" distL="0" distR="0" wp14:anchorId="7F5E7874" wp14:editId="664003A2">
            <wp:extent cx="1676400" cy="65275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9786" cy="657970"/>
                    </a:xfrm>
                    <a:prstGeom prst="rect">
                      <a:avLst/>
                    </a:prstGeom>
                    <a:noFill/>
                    <a:ln>
                      <a:noFill/>
                    </a:ln>
                  </pic:spPr>
                </pic:pic>
              </a:graphicData>
            </a:graphic>
          </wp:inline>
        </w:drawing>
      </w:r>
    </w:p>
    <w:p w:rsidR="00B24E3E" w:rsidRPr="00A17576" w:rsidRDefault="00B24E3E" w:rsidP="00B24E3E">
      <w:pPr>
        <w:pStyle w:val="Sinespaciado"/>
        <w:rPr>
          <w:rFonts w:ascii="Bookman Old Style" w:hAnsi="Bookman Old Style"/>
          <w:b/>
          <w:sz w:val="24"/>
        </w:rPr>
      </w:pPr>
      <w:r w:rsidRPr="00A17576">
        <w:rPr>
          <w:rFonts w:ascii="Bookman Old Style" w:hAnsi="Bookman Old Style"/>
          <w:b/>
          <w:sz w:val="24"/>
        </w:rPr>
        <w:t>JOSÉ LUIS PINEDO CAMPO</w:t>
      </w:r>
      <w:r>
        <w:rPr>
          <w:rFonts w:ascii="Bookman Old Style" w:hAnsi="Bookman Old Style"/>
          <w:b/>
          <w:sz w:val="24"/>
        </w:rPr>
        <w:tab/>
      </w:r>
      <w:r>
        <w:rPr>
          <w:rFonts w:ascii="Bookman Old Style" w:hAnsi="Bookman Old Style"/>
          <w:b/>
          <w:sz w:val="24"/>
        </w:rPr>
        <w:tab/>
      </w:r>
      <w:r>
        <w:rPr>
          <w:rFonts w:ascii="Bookman Old Style" w:hAnsi="Bookman Old Style"/>
          <w:b/>
          <w:sz w:val="24"/>
        </w:rPr>
        <w:tab/>
        <w:t>MODESTO AGUILERA VIDES</w:t>
      </w:r>
    </w:p>
    <w:p w:rsidR="00B24E3E" w:rsidRPr="00A17576" w:rsidRDefault="00B24E3E" w:rsidP="00B24E3E">
      <w:pPr>
        <w:pStyle w:val="Sinespaciado"/>
        <w:rPr>
          <w:rFonts w:ascii="Bookman Old Style" w:hAnsi="Bookman Old Style"/>
          <w:sz w:val="24"/>
        </w:rPr>
      </w:pPr>
      <w:r w:rsidRPr="00A17576">
        <w:rPr>
          <w:rFonts w:ascii="Bookman Old Style" w:eastAsia="Arial Narrow" w:hAnsi="Bookman Old Style"/>
          <w:sz w:val="24"/>
        </w:rPr>
        <w:t>H. Representante a la Cámara</w:t>
      </w:r>
      <w:r>
        <w:rPr>
          <w:rFonts w:ascii="Bookman Old Style" w:eastAsia="Arial Narrow" w:hAnsi="Bookman Old Style"/>
          <w:sz w:val="24"/>
        </w:rPr>
        <w:tab/>
      </w:r>
      <w:r>
        <w:rPr>
          <w:rFonts w:ascii="Bookman Old Style" w:eastAsia="Arial Narrow" w:hAnsi="Bookman Old Style"/>
          <w:sz w:val="24"/>
        </w:rPr>
        <w:tab/>
      </w:r>
      <w:r w:rsidRPr="00A17576">
        <w:rPr>
          <w:rFonts w:ascii="Bookman Old Style" w:eastAsia="Arial Narrow" w:hAnsi="Bookman Old Style"/>
          <w:sz w:val="24"/>
        </w:rPr>
        <w:t>H. Representante a la Cámara</w:t>
      </w:r>
    </w:p>
    <w:p w:rsidR="00B61C62" w:rsidRDefault="00B24E3E" w:rsidP="00A11BD3">
      <w:pPr>
        <w:pStyle w:val="Sinespaciado"/>
      </w:pPr>
      <w:r w:rsidRPr="00A17576">
        <w:rPr>
          <w:rFonts w:ascii="Bookman Old Style" w:eastAsia="Arial Narrow" w:hAnsi="Bookman Old Style"/>
          <w:sz w:val="24"/>
        </w:rPr>
        <w:t xml:space="preserve">Departamento de </w:t>
      </w:r>
      <w:r>
        <w:rPr>
          <w:rFonts w:ascii="Bookman Old Style" w:eastAsia="Arial Narrow" w:hAnsi="Bookman Old Style"/>
          <w:sz w:val="24"/>
        </w:rPr>
        <w:t>Magdalena</w:t>
      </w:r>
      <w:r>
        <w:rPr>
          <w:rFonts w:ascii="Bookman Old Style" w:eastAsia="Arial Narrow" w:hAnsi="Bookman Old Style"/>
          <w:sz w:val="24"/>
        </w:rPr>
        <w:tab/>
      </w:r>
      <w:r>
        <w:rPr>
          <w:rFonts w:ascii="Bookman Old Style" w:eastAsia="Arial Narrow" w:hAnsi="Bookman Old Style"/>
          <w:sz w:val="24"/>
        </w:rPr>
        <w:tab/>
      </w:r>
      <w:r>
        <w:rPr>
          <w:rFonts w:ascii="Bookman Old Style" w:eastAsia="Arial Narrow" w:hAnsi="Bookman Old Style"/>
          <w:sz w:val="24"/>
        </w:rPr>
        <w:tab/>
      </w:r>
      <w:r w:rsidRPr="00A17576">
        <w:rPr>
          <w:rFonts w:ascii="Bookman Old Style" w:eastAsia="Arial Narrow" w:hAnsi="Bookman Old Style"/>
          <w:sz w:val="24"/>
        </w:rPr>
        <w:t xml:space="preserve">Departamento de </w:t>
      </w:r>
      <w:r>
        <w:rPr>
          <w:rFonts w:ascii="Bookman Old Style" w:eastAsia="Arial Narrow" w:hAnsi="Bookman Old Style"/>
          <w:sz w:val="24"/>
        </w:rPr>
        <w:t>Atlántico</w:t>
      </w:r>
      <w:r w:rsidR="00D20F78">
        <w:rPr>
          <w:rFonts w:ascii="Bookman Old Style" w:hAnsi="Bookman Old Style" w:cs="Arial"/>
          <w:sz w:val="24"/>
          <w:szCs w:val="24"/>
        </w:rPr>
        <w:tab/>
      </w:r>
      <w:r w:rsidR="00D20F78" w:rsidRPr="004164E9">
        <w:rPr>
          <w:rFonts w:ascii="Bookman Old Style" w:hAnsi="Bookman Old Style" w:cs="Arial"/>
          <w:sz w:val="24"/>
          <w:szCs w:val="24"/>
        </w:rPr>
        <w:t xml:space="preserve"> </w:t>
      </w:r>
      <w:bookmarkStart w:id="6" w:name="_GoBack"/>
      <w:bookmarkEnd w:id="6"/>
    </w:p>
    <w:sectPr w:rsidR="00B61C62" w:rsidSect="00A11BD3">
      <w:headerReference w:type="default" r:id="rId19"/>
      <w:footerReference w:type="default" r:id="rId20"/>
      <w:pgSz w:w="12240" w:h="15840"/>
      <w:pgMar w:top="1417" w:right="1701" w:bottom="1417" w:left="1701"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F78" w:rsidRDefault="00D20F78" w:rsidP="00D20F78">
      <w:pPr>
        <w:spacing w:after="0" w:line="240" w:lineRule="auto"/>
      </w:pPr>
      <w:r>
        <w:separator/>
      </w:r>
    </w:p>
  </w:endnote>
  <w:endnote w:type="continuationSeparator" w:id="0">
    <w:p w:rsidR="00D20F78" w:rsidRDefault="00D20F78" w:rsidP="00D2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ork Sans">
    <w:altName w:val="Calibri"/>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0048"/>
      <w:docPartObj>
        <w:docPartGallery w:val="Page Numbers (Bottom of Page)"/>
        <w:docPartUnique/>
      </w:docPartObj>
    </w:sdtPr>
    <w:sdtEndPr/>
    <w:sdtContent>
      <w:p w:rsidR="00791ED8" w:rsidRDefault="00EF42C6">
        <w:pPr>
          <w:pStyle w:val="Piedepgina"/>
          <w:jc w:val="center"/>
        </w:pPr>
        <w:r>
          <w:fldChar w:fldCharType="begin"/>
        </w:r>
        <w:r>
          <w:instrText xml:space="preserve"> PAGE   \* MERGEFORMAT </w:instrText>
        </w:r>
        <w:r>
          <w:fldChar w:fldCharType="separate"/>
        </w:r>
        <w:r w:rsidR="00A11BD3">
          <w:rPr>
            <w:noProof/>
          </w:rPr>
          <w:t>46</w:t>
        </w:r>
        <w:r>
          <w:rPr>
            <w:noProof/>
          </w:rPr>
          <w:fldChar w:fldCharType="end"/>
        </w:r>
      </w:p>
    </w:sdtContent>
  </w:sdt>
  <w:p w:rsidR="00791ED8" w:rsidRDefault="00A11BD3" w:rsidP="00DC66F0">
    <w:pPr>
      <w:pStyle w:val="Piedepgina"/>
      <w:ind w:left="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F78" w:rsidRDefault="00D20F78" w:rsidP="00D20F78">
      <w:pPr>
        <w:spacing w:after="0" w:line="240" w:lineRule="auto"/>
      </w:pPr>
      <w:r>
        <w:separator/>
      </w:r>
    </w:p>
  </w:footnote>
  <w:footnote w:type="continuationSeparator" w:id="0">
    <w:p w:rsidR="00D20F78" w:rsidRDefault="00D20F78" w:rsidP="00D20F78">
      <w:pPr>
        <w:spacing w:after="0" w:line="240" w:lineRule="auto"/>
      </w:pPr>
      <w:r>
        <w:continuationSeparator/>
      </w:r>
    </w:p>
  </w:footnote>
  <w:footnote w:id="1">
    <w:p w:rsidR="00D20F78" w:rsidRDefault="00D20F78" w:rsidP="00D20F78">
      <w:pPr>
        <w:spacing w:after="0" w:line="240" w:lineRule="auto"/>
        <w:jc w:val="both"/>
        <w:rPr>
          <w:rFonts w:ascii="Work Sans" w:eastAsia="Work Sans" w:hAnsi="Work Sans" w:cs="Work Sans"/>
          <w:iCs/>
          <w:sz w:val="16"/>
          <w:szCs w:val="16"/>
        </w:rPr>
      </w:pPr>
      <w:r>
        <w:rPr>
          <w:rFonts w:ascii="Work Sans" w:hAnsi="Work Sans"/>
          <w:sz w:val="16"/>
          <w:szCs w:val="16"/>
          <w:vertAlign w:val="superscript"/>
        </w:rPr>
        <w:footnoteRef/>
      </w:r>
      <w:r>
        <w:rPr>
          <w:rFonts w:ascii="Work Sans" w:eastAsia="Work Sans" w:hAnsi="Work Sans" w:cs="Work Sans"/>
          <w:sz w:val="16"/>
          <w:szCs w:val="16"/>
        </w:rPr>
        <w:t xml:space="preserve"> </w:t>
      </w:r>
      <w:r>
        <w:rPr>
          <w:rFonts w:ascii="Work Sans" w:eastAsia="Work Sans" w:hAnsi="Work Sans" w:cs="Work Sans"/>
          <w:iCs/>
          <w:sz w:val="16"/>
          <w:szCs w:val="16"/>
        </w:rPr>
        <w:t>Sentencia SU-095 de 2018.</w:t>
      </w:r>
    </w:p>
    <w:p w:rsidR="00D20F78" w:rsidRDefault="00D20F78" w:rsidP="00D20F78">
      <w:pPr>
        <w:spacing w:after="0" w:line="240" w:lineRule="auto"/>
        <w:jc w:val="both"/>
        <w:rPr>
          <w:rFonts w:ascii="Work Sans" w:eastAsia="Work Sans" w:hAnsi="Work Sans" w:cs="Work Sans"/>
          <w:sz w:val="16"/>
          <w:szCs w:val="16"/>
        </w:rPr>
      </w:pPr>
    </w:p>
  </w:footnote>
  <w:footnote w:id="2">
    <w:p w:rsidR="00D20F78" w:rsidRDefault="00D20F78" w:rsidP="00D20F78">
      <w:pPr>
        <w:pStyle w:val="Textonotapie"/>
        <w:jc w:val="both"/>
        <w:rPr>
          <w:rFonts w:ascii="Work Sans" w:eastAsia="Times New Roman" w:hAnsi="Work Sans" w:cs="Times New Roman"/>
          <w:sz w:val="16"/>
          <w:szCs w:val="16"/>
        </w:rPr>
      </w:pPr>
      <w:r>
        <w:rPr>
          <w:rStyle w:val="Refdenotaalpie"/>
          <w:rFonts w:ascii="Work Sans" w:hAnsi="Work Sans"/>
          <w:sz w:val="16"/>
          <w:szCs w:val="16"/>
        </w:rPr>
        <w:footnoteRef/>
      </w:r>
      <w:r>
        <w:rPr>
          <w:rFonts w:ascii="Work Sans" w:hAnsi="Work Sans"/>
          <w:sz w:val="16"/>
          <w:szCs w:val="16"/>
        </w:rPr>
        <w:t xml:space="preserve"> </w:t>
      </w:r>
      <w:proofErr w:type="spellStart"/>
      <w:r>
        <w:rPr>
          <w:rFonts w:ascii="Work Sans" w:hAnsi="Work Sans"/>
          <w:i/>
          <w:iCs/>
          <w:sz w:val="16"/>
          <w:szCs w:val="16"/>
        </w:rPr>
        <w:t>Ibidem</w:t>
      </w:r>
      <w:proofErr w:type="spellEnd"/>
      <w:r>
        <w:rPr>
          <w:rFonts w:ascii="Work Sans" w:hAnsi="Work Sans"/>
          <w:sz w:val="16"/>
          <w:szCs w:val="16"/>
        </w:rPr>
        <w:t>.</w:t>
      </w:r>
    </w:p>
  </w:footnote>
  <w:footnote w:id="3">
    <w:p w:rsidR="00D20F78" w:rsidRDefault="00D20F78" w:rsidP="00D20F78">
      <w:pPr>
        <w:pStyle w:val="Textonotapie"/>
        <w:jc w:val="both"/>
        <w:rPr>
          <w:rFonts w:ascii="Work Sans" w:hAnsi="Work Sans"/>
          <w:sz w:val="16"/>
          <w:szCs w:val="16"/>
        </w:rPr>
      </w:pPr>
      <w:r>
        <w:rPr>
          <w:rStyle w:val="Refdenotaalpie"/>
          <w:rFonts w:ascii="Work Sans" w:hAnsi="Work Sans"/>
          <w:sz w:val="16"/>
          <w:szCs w:val="16"/>
        </w:rPr>
        <w:footnoteRef/>
      </w:r>
      <w:r>
        <w:rPr>
          <w:rFonts w:ascii="Work Sans" w:hAnsi="Work Sans"/>
          <w:sz w:val="16"/>
          <w:szCs w:val="16"/>
        </w:rPr>
        <w:t xml:space="preserve"> 1. Participación ciudadana y pluralidad; 2. Coordinación y concurrencia entre la nación y el territorio; 3. Inexistencia de poder de veto de las entidades territoriales para la exploración y explotación del subsuelo y de los recursos naturales no renovables; 4. </w:t>
      </w:r>
      <w:proofErr w:type="spellStart"/>
      <w:r>
        <w:rPr>
          <w:rFonts w:ascii="Work Sans" w:hAnsi="Work Sans"/>
          <w:sz w:val="16"/>
          <w:szCs w:val="16"/>
        </w:rPr>
        <w:t>Diferencialidad</w:t>
      </w:r>
      <w:proofErr w:type="spellEnd"/>
      <w:r>
        <w:rPr>
          <w:rFonts w:ascii="Work Sans" w:hAnsi="Work Sans"/>
          <w:sz w:val="16"/>
          <w:szCs w:val="16"/>
        </w:rPr>
        <w:t xml:space="preserve"> y gradualidad; 5. Enfoque territorial; 6. Legitimidad y representatividad; 7. Información previa, permanente, transparente, clara y suficiente; 8. Desarrollo sostenible; diálogo, comunicación y confianza; 9. Respeto, protección y garantía de los derechos humanos; 10. Coordinación y fortalecimiento de la capacidad institucional nacional y territorial; 11. Buena fe; y 12. Sostenibilidad fiscal.</w:t>
      </w:r>
    </w:p>
  </w:footnote>
  <w:footnote w:id="4">
    <w:p w:rsidR="00D20F78" w:rsidRDefault="00D20F78" w:rsidP="00D20F78">
      <w:pPr>
        <w:pStyle w:val="Textonotapie"/>
        <w:jc w:val="both"/>
        <w:rPr>
          <w:rFonts w:ascii="Work Sans" w:hAnsi="Work Sans"/>
          <w:sz w:val="16"/>
          <w:szCs w:val="16"/>
        </w:rPr>
      </w:pPr>
      <w:r>
        <w:rPr>
          <w:rFonts w:ascii="Work Sans" w:hAnsi="Work Sans"/>
          <w:sz w:val="16"/>
          <w:szCs w:val="16"/>
          <w:vertAlign w:val="superscript"/>
        </w:rPr>
        <w:footnoteRef/>
      </w:r>
      <w:r>
        <w:rPr>
          <w:rFonts w:ascii="Work Sans" w:hAnsi="Work Sans"/>
          <w:sz w:val="16"/>
          <w:szCs w:val="16"/>
          <w:vertAlign w:val="superscript"/>
        </w:rPr>
        <w:t xml:space="preserve"> </w:t>
      </w:r>
      <w:r>
        <w:rPr>
          <w:rFonts w:ascii="Work Sans" w:hAnsi="Work Sans"/>
          <w:sz w:val="16"/>
          <w:szCs w:val="16"/>
        </w:rPr>
        <w:t>Sentencia</w:t>
      </w:r>
      <w:r>
        <w:rPr>
          <w:rFonts w:ascii="Work Sans" w:eastAsia="Work Sans" w:hAnsi="Work Sans" w:cs="Work Sans"/>
          <w:sz w:val="16"/>
          <w:szCs w:val="16"/>
        </w:rPr>
        <w:t xml:space="preserve"> SU-095 de 2018. Octubre 11 de 2018, Sala Plena. Corte Constitucional Colombia.</w:t>
      </w:r>
    </w:p>
  </w:footnote>
  <w:footnote w:id="5">
    <w:p w:rsidR="00D20F78" w:rsidRDefault="00D20F78" w:rsidP="00D20F78">
      <w:pPr>
        <w:pStyle w:val="Textonotapie"/>
        <w:jc w:val="both"/>
        <w:rPr>
          <w:rFonts w:ascii="Work Sans" w:hAnsi="Work Sans"/>
          <w:sz w:val="16"/>
          <w:szCs w:val="16"/>
        </w:rPr>
      </w:pPr>
      <w:r>
        <w:rPr>
          <w:rStyle w:val="Refdenotaalpie"/>
          <w:rFonts w:ascii="Work Sans" w:hAnsi="Work Sans"/>
          <w:sz w:val="16"/>
          <w:szCs w:val="16"/>
        </w:rPr>
        <w:footnoteRef/>
      </w:r>
      <w:r>
        <w:rPr>
          <w:rFonts w:ascii="Work Sans" w:hAnsi="Work Sans"/>
          <w:sz w:val="16"/>
          <w:szCs w:val="16"/>
        </w:rPr>
        <w:t xml:space="preserve"> Sentencia SU-095 de 2018.</w:t>
      </w:r>
      <w:r>
        <w:rPr>
          <w:rFonts w:ascii="Work Sans" w:hAnsi="Work Sans"/>
          <w:i/>
          <w:iCs/>
          <w:sz w:val="16"/>
          <w:szCs w:val="16"/>
        </w:rPr>
        <w:t xml:space="preserve"> </w:t>
      </w:r>
      <w:r>
        <w:rPr>
          <w:rFonts w:ascii="Work Sans" w:eastAsia="Work Sans" w:hAnsi="Work Sans" w:cs="Work Sans"/>
          <w:i/>
          <w:iCs/>
          <w:sz w:val="16"/>
          <w:szCs w:val="16"/>
        </w:rPr>
        <w:t>“(...)</w:t>
      </w:r>
      <w:r>
        <w:rPr>
          <w:rFonts w:ascii="Work Sans" w:eastAsia="Work Sans" w:hAnsi="Work Sans" w:cs="Work Sans"/>
          <w:sz w:val="16"/>
          <w:szCs w:val="16"/>
        </w:rPr>
        <w:t xml:space="preserve"> </w:t>
      </w:r>
      <w:r>
        <w:rPr>
          <w:rFonts w:ascii="Work Sans" w:eastAsia="Work Sans" w:hAnsi="Work Sans" w:cs="Work Sans"/>
          <w:b/>
          <w:bCs/>
          <w:i/>
          <w:iCs/>
          <w:sz w:val="16"/>
          <w:szCs w:val="16"/>
        </w:rPr>
        <w:t xml:space="preserve">3. </w:t>
      </w:r>
      <w:r>
        <w:rPr>
          <w:rFonts w:ascii="Work Sans" w:eastAsia="Work Sans" w:hAnsi="Work Sans" w:cs="Work Sans"/>
          <w:b/>
          <w:i/>
          <w:sz w:val="16"/>
          <w:szCs w:val="16"/>
        </w:rPr>
        <w:t>inexistencia de un poder de veto de las entidades territoriales para la exploración y explotación del subsuelo y de recursos naturales no renovables.</w:t>
      </w:r>
      <w:r>
        <w:rPr>
          <w:rFonts w:ascii="Work Sans" w:eastAsia="Work Sans" w:hAnsi="Work Sans" w:cs="Work Sans"/>
          <w:i/>
          <w:sz w:val="16"/>
          <w:szCs w:val="16"/>
        </w:rPr>
        <w:t xml:space="preserve"> De acuerdo con los postulados constitucionales que prevén la explotación del subsuelo y los RNNR, su propiedad en cabeza del Estado y las competencias de las entidades territoriales y de la nación –gobierno nacional central- sobre el suelo, el ordenamiento territorial, el subsuelo y los RNNR, </w:t>
      </w:r>
      <w:r>
        <w:rPr>
          <w:rFonts w:ascii="Work Sans" w:eastAsia="Work Sans" w:hAnsi="Work Sans" w:cs="Work Sans"/>
          <w:b/>
          <w:i/>
          <w:sz w:val="16"/>
          <w:szCs w:val="16"/>
          <w:u w:val="single"/>
        </w:rPr>
        <w:t>las entidades territoriales no pueden prohibir el desarrollo de actividades y operaciones para tales fines en su jurisdicción</w:t>
      </w:r>
      <w:r>
        <w:rPr>
          <w:rFonts w:ascii="Work Sans" w:eastAsia="Work Sans" w:hAnsi="Work Sans" w:cs="Work Sans"/>
          <w:b/>
          <w:i/>
          <w:sz w:val="16"/>
          <w:szCs w:val="16"/>
          <w:u w:val="single"/>
          <w:vertAlign w:val="superscript"/>
        </w:rPr>
        <w:footnoteRef/>
      </w:r>
      <w:r>
        <w:rPr>
          <w:rFonts w:ascii="Work Sans" w:eastAsia="Work Sans" w:hAnsi="Work Sans" w:cs="Work Sans"/>
          <w:i/>
          <w:sz w:val="16"/>
          <w:szCs w:val="16"/>
        </w:rPr>
        <w:t xml:space="preserve">”. </w:t>
      </w:r>
      <w:r>
        <w:rPr>
          <w:rFonts w:ascii="Work Sans" w:eastAsia="Work Sans" w:hAnsi="Work Sans" w:cs="Work Sans"/>
          <w:sz w:val="16"/>
          <w:szCs w:val="16"/>
        </w:rPr>
        <w:t>(Subrayado y negrilla fuera del original).</w:t>
      </w:r>
    </w:p>
  </w:footnote>
  <w:footnote w:id="6">
    <w:p w:rsidR="00D20F78" w:rsidRDefault="00D20F78" w:rsidP="00D20F78">
      <w:pPr>
        <w:spacing w:after="0" w:line="240" w:lineRule="auto"/>
        <w:jc w:val="both"/>
        <w:rPr>
          <w:rFonts w:ascii="Work Sans" w:eastAsia="Work Sans" w:hAnsi="Work Sans" w:cs="Work Sans"/>
          <w:sz w:val="16"/>
          <w:szCs w:val="16"/>
        </w:rPr>
      </w:pPr>
      <w:r>
        <w:rPr>
          <w:rFonts w:ascii="Work Sans" w:hAnsi="Work Sans"/>
          <w:sz w:val="16"/>
          <w:szCs w:val="16"/>
          <w:vertAlign w:val="superscript"/>
        </w:rPr>
        <w:footnoteRef/>
      </w:r>
      <w:r>
        <w:rPr>
          <w:rFonts w:ascii="Work Sans" w:eastAsia="Work Sans" w:hAnsi="Work Sans" w:cs="Work Sans"/>
          <w:sz w:val="16"/>
          <w:szCs w:val="16"/>
        </w:rPr>
        <w:t xml:space="preserve"> </w:t>
      </w:r>
      <w:proofErr w:type="spellStart"/>
      <w:r>
        <w:rPr>
          <w:rFonts w:ascii="Work Sans" w:eastAsia="Work Sans" w:hAnsi="Work Sans" w:cs="Work Sans"/>
          <w:i/>
          <w:sz w:val="16"/>
          <w:szCs w:val="16"/>
        </w:rPr>
        <w:t>Ibidem</w:t>
      </w:r>
      <w:proofErr w:type="spellEnd"/>
      <w:r>
        <w:rPr>
          <w:rFonts w:ascii="Work Sans" w:eastAsia="Work Sans" w:hAnsi="Work Sans" w:cs="Work Sans"/>
          <w:i/>
          <w:sz w:val="16"/>
          <w:szCs w:val="16"/>
        </w:rPr>
        <w:t>.</w:t>
      </w:r>
    </w:p>
  </w:footnote>
  <w:footnote w:id="7">
    <w:p w:rsidR="00D20F78" w:rsidRDefault="00D20F78" w:rsidP="00D20F78">
      <w:pPr>
        <w:pStyle w:val="Textonotapie"/>
        <w:jc w:val="both"/>
        <w:rPr>
          <w:rFonts w:ascii="Work Sans" w:eastAsia="Times New Roman" w:hAnsi="Work Sans" w:cs="Times New Roman"/>
          <w:sz w:val="16"/>
          <w:szCs w:val="16"/>
        </w:rPr>
      </w:pPr>
      <w:r>
        <w:rPr>
          <w:rStyle w:val="Refdenotaalpie"/>
          <w:rFonts w:ascii="Work Sans" w:hAnsi="Work Sans"/>
          <w:sz w:val="16"/>
          <w:szCs w:val="16"/>
        </w:rPr>
        <w:footnoteRef/>
      </w:r>
      <w:r>
        <w:rPr>
          <w:rFonts w:ascii="Work Sans" w:hAnsi="Work Sans"/>
          <w:sz w:val="16"/>
          <w:szCs w:val="16"/>
        </w:rPr>
        <w:t xml:space="preserve"> Sentencia T-342 de 2019.</w:t>
      </w:r>
    </w:p>
  </w:footnote>
  <w:footnote w:id="8">
    <w:p w:rsidR="00D20F78" w:rsidRDefault="00D20F78" w:rsidP="00D20F78">
      <w:pPr>
        <w:pStyle w:val="Textonotapie"/>
        <w:jc w:val="both"/>
        <w:rPr>
          <w:rFonts w:ascii="Work Sans" w:hAnsi="Work Sans"/>
          <w:sz w:val="16"/>
          <w:szCs w:val="16"/>
        </w:rPr>
      </w:pPr>
      <w:r>
        <w:rPr>
          <w:rStyle w:val="Refdenotaalpie"/>
          <w:rFonts w:ascii="Work Sans" w:hAnsi="Work Sans"/>
          <w:sz w:val="16"/>
          <w:szCs w:val="16"/>
        </w:rPr>
        <w:footnoteRef/>
      </w:r>
      <w:r>
        <w:rPr>
          <w:rFonts w:ascii="Work Sans" w:hAnsi="Work Sans"/>
          <w:sz w:val="16"/>
          <w:szCs w:val="16"/>
        </w:rPr>
        <w:t xml:space="preserve"> </w:t>
      </w:r>
      <w:proofErr w:type="spellStart"/>
      <w:r>
        <w:rPr>
          <w:rFonts w:ascii="Work Sans" w:hAnsi="Work Sans"/>
          <w:i/>
          <w:iCs/>
          <w:sz w:val="16"/>
          <w:szCs w:val="16"/>
        </w:rPr>
        <w:t>Ibidem</w:t>
      </w:r>
      <w:proofErr w:type="spellEnd"/>
      <w:r>
        <w:rPr>
          <w:rFonts w:ascii="Work Sans" w:hAnsi="Work Sans"/>
          <w:sz w:val="16"/>
          <w:szCs w:val="16"/>
        </w:rPr>
        <w:t xml:space="preserve">. </w:t>
      </w:r>
    </w:p>
  </w:footnote>
  <w:footnote w:id="9">
    <w:p w:rsidR="00D20F78" w:rsidRDefault="00D20F78" w:rsidP="00D20F78">
      <w:pPr>
        <w:pStyle w:val="Textonotapie"/>
        <w:jc w:val="both"/>
        <w:rPr>
          <w:rFonts w:ascii="Work Sans" w:hAnsi="Work Sans"/>
          <w:sz w:val="16"/>
          <w:szCs w:val="16"/>
        </w:rPr>
      </w:pPr>
      <w:r>
        <w:rPr>
          <w:rStyle w:val="Refdenotaalpie"/>
          <w:rFonts w:ascii="Work Sans" w:hAnsi="Work Sans"/>
          <w:sz w:val="16"/>
          <w:szCs w:val="16"/>
        </w:rPr>
        <w:footnoteRef/>
      </w:r>
      <w:r>
        <w:rPr>
          <w:rFonts w:ascii="Work Sans" w:hAnsi="Work Sans"/>
          <w:sz w:val="16"/>
          <w:szCs w:val="16"/>
        </w:rPr>
        <w:t xml:space="preserve"> Sentencias C-123 de 2014; C-035 de 2016; C-273 de 2016; C-389 de 2016; SU-095 de 2018; C-053 de 2019; A-281 de 2019; T-342 de 2019.</w:t>
      </w:r>
    </w:p>
  </w:footnote>
  <w:footnote w:id="10">
    <w:p w:rsidR="00D20F78" w:rsidRPr="00D032B5" w:rsidRDefault="00D20F78" w:rsidP="00D20F78">
      <w:pPr>
        <w:pStyle w:val="Textonotapie"/>
      </w:pPr>
      <w:r>
        <w:rPr>
          <w:rStyle w:val="Refdenotaalpie"/>
        </w:rPr>
        <w:footnoteRef/>
      </w:r>
      <w:r>
        <w:t xml:space="preserve"> P</w:t>
      </w:r>
      <w:r w:rsidRPr="00D032B5">
        <w:t>or la cual se dictan normas sobre mecanismos de participación ciudadana</w:t>
      </w:r>
      <w:r>
        <w:t>.</w:t>
      </w:r>
    </w:p>
  </w:footnote>
  <w:footnote w:id="11">
    <w:p w:rsidR="00D20F78" w:rsidRPr="004411C9" w:rsidRDefault="00D20F78" w:rsidP="00D20F78">
      <w:pPr>
        <w:pStyle w:val="Textonotapie"/>
      </w:pPr>
      <w:r>
        <w:rPr>
          <w:rStyle w:val="Refdenotaalpie"/>
        </w:rPr>
        <w:footnoteRef/>
      </w:r>
      <w:r>
        <w:t xml:space="preserve"> P</w:t>
      </w:r>
      <w:r w:rsidRPr="004411C9">
        <w:t>or la cual se dictan disposiciones en materia de promoción y protección del derecho a la participación democrática</w:t>
      </w:r>
    </w:p>
  </w:footnote>
  <w:footnote w:id="12">
    <w:p w:rsidR="00D20F78" w:rsidRPr="007D1B2E" w:rsidRDefault="00D20F78" w:rsidP="00D20F78">
      <w:pPr>
        <w:pStyle w:val="Textonotapie"/>
        <w:jc w:val="both"/>
        <w:rPr>
          <w:rFonts w:ascii="Work Sans" w:hAnsi="Work Sans"/>
          <w:sz w:val="16"/>
          <w:szCs w:val="16"/>
        </w:rPr>
      </w:pPr>
      <w:r w:rsidRPr="007D1B2E">
        <w:rPr>
          <w:rStyle w:val="Refdenotaalpie"/>
          <w:rFonts w:ascii="Work Sans" w:hAnsi="Work Sans"/>
        </w:rPr>
        <w:footnoteRef/>
      </w:r>
      <w:r w:rsidRPr="007D1B2E">
        <w:rPr>
          <w:rFonts w:ascii="Work Sans" w:hAnsi="Work Sans"/>
          <w:sz w:val="16"/>
          <w:szCs w:val="16"/>
        </w:rPr>
        <w:t xml:space="preserve"> Cfr. Sentencia SU-095 de 2018.</w:t>
      </w:r>
    </w:p>
  </w:footnote>
  <w:footnote w:id="13">
    <w:p w:rsidR="00D20F78" w:rsidRPr="007D1B2E" w:rsidRDefault="00D20F78" w:rsidP="00D20F78">
      <w:pPr>
        <w:pStyle w:val="Textonotapie"/>
        <w:jc w:val="both"/>
        <w:rPr>
          <w:rFonts w:ascii="Work Sans" w:hAnsi="Work Sans"/>
          <w:sz w:val="16"/>
          <w:szCs w:val="16"/>
        </w:rPr>
      </w:pPr>
      <w:r w:rsidRPr="007D1B2E">
        <w:rPr>
          <w:rStyle w:val="Refdenotaalpie"/>
          <w:rFonts w:ascii="Work Sans" w:hAnsi="Work Sans"/>
        </w:rPr>
        <w:footnoteRef/>
      </w:r>
      <w:r w:rsidRPr="007D1B2E">
        <w:rPr>
          <w:rFonts w:ascii="Work Sans" w:hAnsi="Work Sans"/>
          <w:sz w:val="16"/>
          <w:szCs w:val="16"/>
        </w:rPr>
        <w:t xml:space="preserve"> Decreto 0381 de 2012, “por el cual se modifica la estructura del Ministerio de Minas y Energía.</w:t>
      </w:r>
    </w:p>
  </w:footnote>
  <w:footnote w:id="14">
    <w:p w:rsidR="00D20F78" w:rsidRDefault="00D20F78" w:rsidP="00D20F78">
      <w:pPr>
        <w:pStyle w:val="Textonotapie"/>
      </w:pPr>
      <w:r>
        <w:rPr>
          <w:rStyle w:val="Refdenotaalpie"/>
        </w:rPr>
        <w:footnoteRef/>
      </w:r>
      <w:r>
        <w:t xml:space="preserve"> Sentencia SU-095 de 2018 Corte Constitucional </w:t>
      </w:r>
    </w:p>
  </w:footnote>
  <w:footnote w:id="15">
    <w:p w:rsidR="00D20F78" w:rsidRDefault="00D20F78" w:rsidP="00D20F78">
      <w:pPr>
        <w:pStyle w:val="Textonotapie"/>
      </w:pPr>
      <w:r>
        <w:rPr>
          <w:rStyle w:val="Refdenotaalpie"/>
        </w:rPr>
        <w:footnoteRef/>
      </w:r>
      <w:r>
        <w:t xml:space="preserve">Documento Anexo Plan Nacional de Desarrollo-2018-2022 </w:t>
      </w:r>
    </w:p>
  </w:footnote>
  <w:footnote w:id="16">
    <w:p w:rsidR="00D20F78" w:rsidRDefault="00D20F78" w:rsidP="00D20F78">
      <w:pPr>
        <w:pStyle w:val="Textonotapie"/>
      </w:pPr>
      <w:r>
        <w:rPr>
          <w:rStyle w:val="Refdenotaalpie"/>
        </w:rPr>
        <w:footnoteRef/>
      </w:r>
      <w:r>
        <w:t xml:space="preserve"> Análisis Minero, Dirección de Minería Empresarial /MINMINAS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D8" w:rsidRDefault="00EF42C6" w:rsidP="00C063B2">
    <w:pPr>
      <w:pStyle w:val="Sinespaciado"/>
      <w:jc w:val="center"/>
    </w:pPr>
    <w:r w:rsidRPr="00DC66F0">
      <w:rPr>
        <w:noProof/>
        <w:lang w:val="es-CO" w:eastAsia="es-CO"/>
      </w:rPr>
      <w:drawing>
        <wp:inline distT="0" distB="0" distL="0" distR="0" wp14:anchorId="079EFD6E" wp14:editId="796D1091">
          <wp:extent cx="2173857" cy="483079"/>
          <wp:effectExtent l="0" t="0" r="0" b="0"/>
          <wp:docPr id="1" name="Imagen 1" descr="https://www.somosiberoamerica.org/wp-content/uploads/2017/03/Logo-ca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mosiberoamerica.org/wp-content/uploads/2017/03/Logo-cama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102" cy="484911"/>
                  </a:xfrm>
                  <a:prstGeom prst="rect">
                    <a:avLst/>
                  </a:prstGeom>
                  <a:noFill/>
                  <a:ln>
                    <a:noFill/>
                  </a:ln>
                </pic:spPr>
              </pic:pic>
            </a:graphicData>
          </a:graphic>
        </wp:inline>
      </w:drawing>
    </w:r>
  </w:p>
  <w:p w:rsidR="00791ED8" w:rsidRDefault="00EF42C6" w:rsidP="00DC66F0">
    <w:pPr>
      <w:pStyle w:val="Encabezado"/>
      <w:jc w:val="center"/>
      <w:rPr>
        <w:sz w:val="18"/>
        <w:szCs w:val="18"/>
      </w:rPr>
    </w:pPr>
    <w:r w:rsidRPr="009D79C5">
      <w:rPr>
        <w:sz w:val="18"/>
        <w:szCs w:val="18"/>
      </w:rPr>
      <w:t>H. Representante HECTOR VE</w:t>
    </w:r>
    <w:r>
      <w:rPr>
        <w:sz w:val="18"/>
        <w:szCs w:val="18"/>
      </w:rPr>
      <w:t>R</w:t>
    </w:r>
    <w:r w:rsidRPr="009D79C5">
      <w:rPr>
        <w:sz w:val="18"/>
        <w:szCs w:val="18"/>
      </w:rPr>
      <w:t>GARA SIERRA</w:t>
    </w:r>
  </w:p>
  <w:p w:rsidR="00791ED8" w:rsidRPr="00DC66F0" w:rsidRDefault="00A11BD3" w:rsidP="00DC66F0">
    <w:pPr>
      <w:pStyle w:val="Encabezad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A2965"/>
    <w:multiLevelType w:val="hybridMultilevel"/>
    <w:tmpl w:val="5484D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98340BF"/>
    <w:multiLevelType w:val="multilevel"/>
    <w:tmpl w:val="AC42FC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636850CE"/>
    <w:multiLevelType w:val="hybridMultilevel"/>
    <w:tmpl w:val="D0BC5EBE"/>
    <w:lvl w:ilvl="0" w:tplc="363AA7BA">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58D72B4"/>
    <w:multiLevelType w:val="hybridMultilevel"/>
    <w:tmpl w:val="5F8608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92430F0"/>
    <w:multiLevelType w:val="hybridMultilevel"/>
    <w:tmpl w:val="5F026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C343702"/>
    <w:multiLevelType w:val="hybridMultilevel"/>
    <w:tmpl w:val="28D6F124"/>
    <w:lvl w:ilvl="0" w:tplc="AC76D9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78"/>
    <w:rsid w:val="00000EC1"/>
    <w:rsid w:val="002A5C32"/>
    <w:rsid w:val="003C6CB7"/>
    <w:rsid w:val="005654A2"/>
    <w:rsid w:val="0057264E"/>
    <w:rsid w:val="005B2B8B"/>
    <w:rsid w:val="00965204"/>
    <w:rsid w:val="009A7DB6"/>
    <w:rsid w:val="009E6D68"/>
    <w:rsid w:val="00A11BD3"/>
    <w:rsid w:val="00A17576"/>
    <w:rsid w:val="00B24E3E"/>
    <w:rsid w:val="00B61C62"/>
    <w:rsid w:val="00C2660B"/>
    <w:rsid w:val="00D20F78"/>
    <w:rsid w:val="00ED533A"/>
    <w:rsid w:val="00ED54DD"/>
    <w:rsid w:val="00EF42C6"/>
    <w:rsid w:val="00EF66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F78"/>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refere,Ca"/>
    <w:basedOn w:val="Normal"/>
    <w:link w:val="TextonotapieCar"/>
    <w:uiPriority w:val="99"/>
    <w:unhideWhenUsed/>
    <w:qFormat/>
    <w:rsid w:val="00D20F7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refere Car,Ca Car"/>
    <w:basedOn w:val="Fuentedeprrafopredeter"/>
    <w:link w:val="Textonotapie"/>
    <w:uiPriority w:val="99"/>
    <w:qFormat/>
    <w:rsid w:val="00D20F78"/>
    <w:rPr>
      <w:rFonts w:eastAsiaTheme="minorEastAsia"/>
      <w:sz w:val="20"/>
      <w:szCs w:val="20"/>
      <w:lang w:val="es-ES" w:eastAsia="es-ES"/>
    </w:rPr>
  </w:style>
  <w:style w:type="character" w:styleId="Refdenotaalpie">
    <w:name w:val="footnote reference"/>
    <w:aliases w:val="Texto de nota al pie,FC,Ref. de nota al pie 2,Appel note de bas de page,Footnotes refss,Footnote number,referencia nota al pie,BVI fnr,f,4_G,16 Point,Superscript 6 Point,Texto nota al pie,Pie de Página,Texto de nota al pi,Pie de Pàgi"/>
    <w:basedOn w:val="Fuentedeprrafopredeter"/>
    <w:uiPriority w:val="99"/>
    <w:unhideWhenUsed/>
    <w:qFormat/>
    <w:rsid w:val="00D20F78"/>
    <w:rPr>
      <w:vertAlign w:val="superscript"/>
    </w:rPr>
  </w:style>
  <w:style w:type="paragraph" w:styleId="Sinespaciado">
    <w:name w:val="No Spacing"/>
    <w:uiPriority w:val="1"/>
    <w:qFormat/>
    <w:rsid w:val="00D20F78"/>
    <w:pPr>
      <w:spacing w:after="0" w:line="240" w:lineRule="auto"/>
    </w:pPr>
    <w:rPr>
      <w:rFonts w:eastAsiaTheme="minorEastAsia"/>
      <w:lang w:val="es-ES" w:eastAsia="es-ES"/>
    </w:rPr>
  </w:style>
  <w:style w:type="paragraph" w:styleId="Prrafodelista">
    <w:name w:val="List Paragraph"/>
    <w:aliases w:val="Párrafo,Numbered Paragraph,Bullets,titulo 3,BOLADEF,BOLA,Párrafo de lista21,Guión,Titulo 8,HOJA,Chulito,Párrafo de lista3,MIBEX B,TITULO1REQ,Párrafo de lista31,ViÃ±eta 2,Párrafo de lista5,TITULO 1,List Paragraph"/>
    <w:basedOn w:val="Normal"/>
    <w:link w:val="PrrafodelistaCar"/>
    <w:uiPriority w:val="34"/>
    <w:qFormat/>
    <w:rsid w:val="00D20F78"/>
    <w:pPr>
      <w:ind w:left="720"/>
      <w:contextualSpacing/>
    </w:pPr>
  </w:style>
  <w:style w:type="paragraph" w:styleId="Encabezado">
    <w:name w:val="header"/>
    <w:basedOn w:val="Normal"/>
    <w:link w:val="EncabezadoCar"/>
    <w:uiPriority w:val="99"/>
    <w:unhideWhenUsed/>
    <w:rsid w:val="00D20F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F78"/>
    <w:rPr>
      <w:rFonts w:eastAsiaTheme="minorEastAsia"/>
      <w:lang w:val="es-ES" w:eastAsia="es-ES"/>
    </w:rPr>
  </w:style>
  <w:style w:type="paragraph" w:styleId="Piedepgina">
    <w:name w:val="footer"/>
    <w:basedOn w:val="Normal"/>
    <w:link w:val="PiedepginaCar"/>
    <w:uiPriority w:val="99"/>
    <w:unhideWhenUsed/>
    <w:rsid w:val="00D20F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F78"/>
    <w:rPr>
      <w:rFonts w:eastAsiaTheme="minorEastAsia"/>
      <w:lang w:val="es-ES" w:eastAsia="es-ES"/>
    </w:rPr>
  </w:style>
  <w:style w:type="paragraph" w:styleId="Textocomentario">
    <w:name w:val="annotation text"/>
    <w:basedOn w:val="Normal"/>
    <w:link w:val="TextocomentarioCar"/>
    <w:uiPriority w:val="99"/>
    <w:semiHidden/>
    <w:unhideWhenUsed/>
    <w:rsid w:val="00D20F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F78"/>
    <w:rPr>
      <w:rFonts w:eastAsiaTheme="minorEastAsia"/>
      <w:sz w:val="20"/>
      <w:szCs w:val="20"/>
      <w:lang w:val="es-ES" w:eastAsia="es-ES"/>
    </w:rPr>
  </w:style>
  <w:style w:type="character" w:customStyle="1" w:styleId="PrrafodelistaCar">
    <w:name w:val="Párrafo de lista Car"/>
    <w:aliases w:val="Párrafo Car,Numbered Paragraph Car,Bullets Car,titulo 3 Car,BOLADEF Car,BOLA Car,Párrafo de lista21 Car,Guión Car,Titulo 8 Car,HOJA Car,Chulito Car,Párrafo de lista3 Car,MIBEX B Car,TITULO1REQ Car,Párrafo de lista31 Car,TITULO 1 Car"/>
    <w:basedOn w:val="Fuentedeprrafopredeter"/>
    <w:link w:val="Prrafodelista"/>
    <w:uiPriority w:val="34"/>
    <w:qFormat/>
    <w:locked/>
    <w:rsid w:val="00D20F78"/>
    <w:rPr>
      <w:rFonts w:eastAsiaTheme="minorEastAsia"/>
      <w:lang w:val="es-ES" w:eastAsia="es-ES"/>
    </w:rPr>
  </w:style>
  <w:style w:type="paragraph" w:customStyle="1" w:styleId="paragraph">
    <w:name w:val="paragraph"/>
    <w:basedOn w:val="Normal"/>
    <w:rsid w:val="00D20F78"/>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D20F78"/>
  </w:style>
  <w:style w:type="paragraph" w:styleId="Textodeglobo">
    <w:name w:val="Balloon Text"/>
    <w:basedOn w:val="Normal"/>
    <w:link w:val="TextodegloboCar"/>
    <w:uiPriority w:val="99"/>
    <w:semiHidden/>
    <w:unhideWhenUsed/>
    <w:rsid w:val="005B2B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2B8B"/>
    <w:rPr>
      <w:rFonts w:ascii="Tahoma" w:eastAsiaTheme="minorEastAsi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F78"/>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refere,Ca"/>
    <w:basedOn w:val="Normal"/>
    <w:link w:val="TextonotapieCar"/>
    <w:uiPriority w:val="99"/>
    <w:unhideWhenUsed/>
    <w:qFormat/>
    <w:rsid w:val="00D20F7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refere Car,Ca Car"/>
    <w:basedOn w:val="Fuentedeprrafopredeter"/>
    <w:link w:val="Textonotapie"/>
    <w:uiPriority w:val="99"/>
    <w:qFormat/>
    <w:rsid w:val="00D20F78"/>
    <w:rPr>
      <w:rFonts w:eastAsiaTheme="minorEastAsia"/>
      <w:sz w:val="20"/>
      <w:szCs w:val="20"/>
      <w:lang w:val="es-ES" w:eastAsia="es-ES"/>
    </w:rPr>
  </w:style>
  <w:style w:type="character" w:styleId="Refdenotaalpie">
    <w:name w:val="footnote reference"/>
    <w:aliases w:val="Texto de nota al pie,FC,Ref. de nota al pie 2,Appel note de bas de page,Footnotes refss,Footnote number,referencia nota al pie,BVI fnr,f,4_G,16 Point,Superscript 6 Point,Texto nota al pie,Pie de Página,Texto de nota al pi,Pie de Pàgi"/>
    <w:basedOn w:val="Fuentedeprrafopredeter"/>
    <w:uiPriority w:val="99"/>
    <w:unhideWhenUsed/>
    <w:qFormat/>
    <w:rsid w:val="00D20F78"/>
    <w:rPr>
      <w:vertAlign w:val="superscript"/>
    </w:rPr>
  </w:style>
  <w:style w:type="paragraph" w:styleId="Sinespaciado">
    <w:name w:val="No Spacing"/>
    <w:uiPriority w:val="1"/>
    <w:qFormat/>
    <w:rsid w:val="00D20F78"/>
    <w:pPr>
      <w:spacing w:after="0" w:line="240" w:lineRule="auto"/>
    </w:pPr>
    <w:rPr>
      <w:rFonts w:eastAsiaTheme="minorEastAsia"/>
      <w:lang w:val="es-ES" w:eastAsia="es-ES"/>
    </w:rPr>
  </w:style>
  <w:style w:type="paragraph" w:styleId="Prrafodelista">
    <w:name w:val="List Paragraph"/>
    <w:aliases w:val="Párrafo,Numbered Paragraph,Bullets,titulo 3,BOLADEF,BOLA,Párrafo de lista21,Guión,Titulo 8,HOJA,Chulito,Párrafo de lista3,MIBEX B,TITULO1REQ,Párrafo de lista31,ViÃ±eta 2,Párrafo de lista5,TITULO 1,List Paragraph"/>
    <w:basedOn w:val="Normal"/>
    <w:link w:val="PrrafodelistaCar"/>
    <w:uiPriority w:val="34"/>
    <w:qFormat/>
    <w:rsid w:val="00D20F78"/>
    <w:pPr>
      <w:ind w:left="720"/>
      <w:contextualSpacing/>
    </w:pPr>
  </w:style>
  <w:style w:type="paragraph" w:styleId="Encabezado">
    <w:name w:val="header"/>
    <w:basedOn w:val="Normal"/>
    <w:link w:val="EncabezadoCar"/>
    <w:uiPriority w:val="99"/>
    <w:unhideWhenUsed/>
    <w:rsid w:val="00D20F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F78"/>
    <w:rPr>
      <w:rFonts w:eastAsiaTheme="minorEastAsia"/>
      <w:lang w:val="es-ES" w:eastAsia="es-ES"/>
    </w:rPr>
  </w:style>
  <w:style w:type="paragraph" w:styleId="Piedepgina">
    <w:name w:val="footer"/>
    <w:basedOn w:val="Normal"/>
    <w:link w:val="PiedepginaCar"/>
    <w:uiPriority w:val="99"/>
    <w:unhideWhenUsed/>
    <w:rsid w:val="00D20F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F78"/>
    <w:rPr>
      <w:rFonts w:eastAsiaTheme="minorEastAsia"/>
      <w:lang w:val="es-ES" w:eastAsia="es-ES"/>
    </w:rPr>
  </w:style>
  <w:style w:type="paragraph" w:styleId="Textocomentario">
    <w:name w:val="annotation text"/>
    <w:basedOn w:val="Normal"/>
    <w:link w:val="TextocomentarioCar"/>
    <w:uiPriority w:val="99"/>
    <w:semiHidden/>
    <w:unhideWhenUsed/>
    <w:rsid w:val="00D20F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F78"/>
    <w:rPr>
      <w:rFonts w:eastAsiaTheme="minorEastAsia"/>
      <w:sz w:val="20"/>
      <w:szCs w:val="20"/>
      <w:lang w:val="es-ES" w:eastAsia="es-ES"/>
    </w:rPr>
  </w:style>
  <w:style w:type="character" w:customStyle="1" w:styleId="PrrafodelistaCar">
    <w:name w:val="Párrafo de lista Car"/>
    <w:aliases w:val="Párrafo Car,Numbered Paragraph Car,Bullets Car,titulo 3 Car,BOLADEF Car,BOLA Car,Párrafo de lista21 Car,Guión Car,Titulo 8 Car,HOJA Car,Chulito Car,Párrafo de lista3 Car,MIBEX B Car,TITULO1REQ Car,Párrafo de lista31 Car,TITULO 1 Car"/>
    <w:basedOn w:val="Fuentedeprrafopredeter"/>
    <w:link w:val="Prrafodelista"/>
    <w:uiPriority w:val="34"/>
    <w:qFormat/>
    <w:locked/>
    <w:rsid w:val="00D20F78"/>
    <w:rPr>
      <w:rFonts w:eastAsiaTheme="minorEastAsia"/>
      <w:lang w:val="es-ES" w:eastAsia="es-ES"/>
    </w:rPr>
  </w:style>
  <w:style w:type="paragraph" w:customStyle="1" w:styleId="paragraph">
    <w:name w:val="paragraph"/>
    <w:basedOn w:val="Normal"/>
    <w:rsid w:val="00D20F78"/>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D20F78"/>
  </w:style>
  <w:style w:type="paragraph" w:styleId="Textodeglobo">
    <w:name w:val="Balloon Text"/>
    <w:basedOn w:val="Normal"/>
    <w:link w:val="TextodegloboCar"/>
    <w:uiPriority w:val="99"/>
    <w:semiHidden/>
    <w:unhideWhenUsed/>
    <w:rsid w:val="005B2B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2B8B"/>
    <w:rPr>
      <w:rFonts w:ascii="Tahoma" w:eastAsiaTheme="minorEastAsi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cretariasenado.gov.co/senado/basedoc/constitucion_politica_1991_pr005.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46</Pages>
  <Words>14448</Words>
  <Characters>79468</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Atencia</dc:creator>
  <cp:keywords/>
  <dc:description/>
  <cp:lastModifiedBy>laury</cp:lastModifiedBy>
  <cp:revision>15</cp:revision>
  <dcterms:created xsi:type="dcterms:W3CDTF">2021-07-14T15:56:00Z</dcterms:created>
  <dcterms:modified xsi:type="dcterms:W3CDTF">2021-07-28T22:57:00Z</dcterms:modified>
</cp:coreProperties>
</file>