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8A3A" w14:textId="6E5E1CDF" w:rsidR="00A16232" w:rsidRPr="00B56F80" w:rsidRDefault="00A16232" w:rsidP="00897250">
      <w:pPr>
        <w:spacing w:after="0"/>
        <w:jc w:val="right"/>
        <w:rPr>
          <w:rFonts w:ascii="Arial Narrow" w:hAnsi="Arial Narrow" w:cs="Arial"/>
          <w:bCs/>
          <w:sz w:val="28"/>
          <w:szCs w:val="28"/>
        </w:rPr>
      </w:pPr>
      <w:r w:rsidRPr="00B56F80">
        <w:rPr>
          <w:rFonts w:ascii="Arial Narrow" w:hAnsi="Arial Narrow" w:cs="Arial"/>
          <w:bCs/>
          <w:sz w:val="28"/>
          <w:szCs w:val="28"/>
        </w:rPr>
        <w:t>Bogotá</w:t>
      </w:r>
      <w:r w:rsidR="00F77750" w:rsidRPr="00B56F80">
        <w:rPr>
          <w:rFonts w:ascii="Arial Narrow" w:hAnsi="Arial Narrow" w:cs="Arial"/>
          <w:bCs/>
          <w:sz w:val="28"/>
          <w:szCs w:val="28"/>
        </w:rPr>
        <w:t xml:space="preserve">, </w:t>
      </w:r>
      <w:r w:rsidR="00B56F80" w:rsidRPr="00B56F80">
        <w:rPr>
          <w:rFonts w:ascii="Arial Narrow" w:hAnsi="Arial Narrow" w:cs="Arial"/>
          <w:bCs/>
          <w:sz w:val="28"/>
          <w:szCs w:val="28"/>
        </w:rPr>
        <w:t>j</w:t>
      </w:r>
      <w:r w:rsidR="000A2700" w:rsidRPr="00B56F80">
        <w:rPr>
          <w:rFonts w:ascii="Arial Narrow" w:hAnsi="Arial Narrow" w:cs="Arial"/>
          <w:bCs/>
          <w:sz w:val="28"/>
          <w:szCs w:val="28"/>
        </w:rPr>
        <w:t>ulio 20 de 2021</w:t>
      </w:r>
    </w:p>
    <w:p w14:paraId="051E9F80" w14:textId="401A0F50" w:rsidR="00A16232" w:rsidRPr="00B56F80" w:rsidRDefault="00A16232" w:rsidP="00897250">
      <w:pPr>
        <w:spacing w:after="0"/>
        <w:rPr>
          <w:rFonts w:ascii="Arial Narrow" w:hAnsi="Arial Narrow" w:cs="Arial"/>
          <w:bCs/>
          <w:sz w:val="28"/>
          <w:szCs w:val="28"/>
        </w:rPr>
      </w:pPr>
    </w:p>
    <w:p w14:paraId="02D9AF78" w14:textId="45C63B5E" w:rsidR="00A16232" w:rsidRPr="00B56F80" w:rsidRDefault="00A16232" w:rsidP="00897250">
      <w:pPr>
        <w:spacing w:after="0"/>
        <w:rPr>
          <w:rFonts w:ascii="Arial Narrow" w:hAnsi="Arial Narrow" w:cs="Arial"/>
          <w:bCs/>
          <w:sz w:val="28"/>
          <w:szCs w:val="28"/>
        </w:rPr>
      </w:pPr>
      <w:r w:rsidRPr="00B56F80">
        <w:rPr>
          <w:rFonts w:ascii="Arial Narrow" w:hAnsi="Arial Narrow" w:cs="Arial"/>
          <w:bCs/>
          <w:sz w:val="28"/>
          <w:szCs w:val="28"/>
        </w:rPr>
        <w:t>Señor</w:t>
      </w:r>
      <w:r w:rsidR="007F3521" w:rsidRPr="00B56F80">
        <w:rPr>
          <w:rFonts w:ascii="Arial Narrow" w:hAnsi="Arial Narrow" w:cs="Arial"/>
          <w:bCs/>
          <w:sz w:val="28"/>
          <w:szCs w:val="28"/>
        </w:rPr>
        <w:t>a</w:t>
      </w:r>
    </w:p>
    <w:p w14:paraId="742D4A62" w14:textId="0216AB0E" w:rsidR="00A16232" w:rsidRPr="00B56F80" w:rsidRDefault="000A2700" w:rsidP="00897250">
      <w:pPr>
        <w:spacing w:after="0"/>
        <w:rPr>
          <w:rFonts w:ascii="Arial Narrow" w:hAnsi="Arial Narrow" w:cs="Arial"/>
          <w:b/>
          <w:sz w:val="28"/>
          <w:szCs w:val="28"/>
        </w:rPr>
      </w:pPr>
      <w:r w:rsidRPr="00B56F80">
        <w:rPr>
          <w:rFonts w:ascii="Arial Narrow" w:hAnsi="Arial Narrow" w:cs="Arial"/>
          <w:b/>
          <w:sz w:val="28"/>
          <w:szCs w:val="28"/>
        </w:rPr>
        <w:t xml:space="preserve">JENNIFER KRISTIN ARIAS FALLA </w:t>
      </w:r>
    </w:p>
    <w:p w14:paraId="088B8FDD" w14:textId="725729EA" w:rsidR="00A16232" w:rsidRPr="00B56F80" w:rsidRDefault="00A16232" w:rsidP="00897250">
      <w:pPr>
        <w:spacing w:after="0"/>
        <w:rPr>
          <w:rFonts w:ascii="Arial Narrow" w:hAnsi="Arial Narrow" w:cs="Arial"/>
          <w:bCs/>
          <w:sz w:val="28"/>
          <w:szCs w:val="28"/>
        </w:rPr>
      </w:pPr>
      <w:r w:rsidRPr="00B56F80">
        <w:rPr>
          <w:rFonts w:ascii="Arial Narrow" w:hAnsi="Arial Narrow" w:cs="Arial"/>
          <w:bCs/>
          <w:sz w:val="28"/>
          <w:szCs w:val="28"/>
        </w:rPr>
        <w:t xml:space="preserve">Presidente </w:t>
      </w:r>
    </w:p>
    <w:p w14:paraId="6D1AB7DF" w14:textId="20389C2A" w:rsidR="00A16232" w:rsidRPr="00B56F80" w:rsidRDefault="00A16232" w:rsidP="00897250">
      <w:pPr>
        <w:spacing w:after="0"/>
        <w:rPr>
          <w:rFonts w:ascii="Arial Narrow" w:hAnsi="Arial Narrow" w:cs="Arial"/>
          <w:bCs/>
          <w:sz w:val="28"/>
          <w:szCs w:val="28"/>
        </w:rPr>
      </w:pPr>
      <w:r w:rsidRPr="00B56F80">
        <w:rPr>
          <w:rFonts w:ascii="Arial Narrow" w:hAnsi="Arial Narrow" w:cs="Arial"/>
          <w:bCs/>
          <w:sz w:val="28"/>
          <w:szCs w:val="28"/>
        </w:rPr>
        <w:t>Cámara de Representantes</w:t>
      </w:r>
    </w:p>
    <w:p w14:paraId="350CD4C2" w14:textId="5A79D29E" w:rsidR="00A16232" w:rsidRPr="00B56F80" w:rsidRDefault="00A16232" w:rsidP="00897250">
      <w:pPr>
        <w:spacing w:after="0"/>
        <w:rPr>
          <w:rFonts w:ascii="Arial Narrow" w:hAnsi="Arial Narrow" w:cs="Arial"/>
          <w:bCs/>
          <w:sz w:val="28"/>
          <w:szCs w:val="28"/>
        </w:rPr>
      </w:pPr>
      <w:r w:rsidRPr="00B56F80">
        <w:rPr>
          <w:rFonts w:ascii="Arial Narrow" w:hAnsi="Arial Narrow" w:cs="Arial"/>
          <w:bCs/>
          <w:sz w:val="28"/>
          <w:szCs w:val="28"/>
        </w:rPr>
        <w:t>Ciudad</w:t>
      </w:r>
    </w:p>
    <w:p w14:paraId="484ADBEF" w14:textId="52D045C7" w:rsidR="00A16232" w:rsidRPr="00B56F80" w:rsidRDefault="00A16232" w:rsidP="00897250">
      <w:pPr>
        <w:spacing w:after="0"/>
        <w:rPr>
          <w:rFonts w:ascii="Arial Narrow" w:hAnsi="Arial Narrow" w:cs="Arial"/>
          <w:bCs/>
          <w:sz w:val="28"/>
          <w:szCs w:val="28"/>
        </w:rPr>
      </w:pPr>
    </w:p>
    <w:p w14:paraId="7AE44845" w14:textId="1E279590" w:rsidR="00A16232" w:rsidRPr="00B56F80" w:rsidRDefault="00A16232" w:rsidP="00897250">
      <w:pPr>
        <w:spacing w:after="0"/>
        <w:rPr>
          <w:rFonts w:ascii="Arial Narrow" w:hAnsi="Arial Narrow" w:cs="Arial"/>
          <w:bCs/>
          <w:sz w:val="28"/>
          <w:szCs w:val="28"/>
        </w:rPr>
      </w:pPr>
    </w:p>
    <w:p w14:paraId="7327F823" w14:textId="669AF7D0" w:rsidR="00897250" w:rsidRPr="00B56F80" w:rsidRDefault="00897250" w:rsidP="00897250">
      <w:pPr>
        <w:spacing w:after="0"/>
        <w:jc w:val="both"/>
        <w:rPr>
          <w:rFonts w:ascii="Arial Narrow" w:hAnsi="Arial Narrow"/>
          <w:b/>
          <w:bCs/>
          <w:sz w:val="28"/>
          <w:szCs w:val="28"/>
        </w:rPr>
      </w:pPr>
      <w:r w:rsidRPr="00B56F80">
        <w:rPr>
          <w:rFonts w:ascii="Arial Narrow" w:hAnsi="Arial Narrow"/>
          <w:b/>
          <w:sz w:val="28"/>
          <w:szCs w:val="28"/>
        </w:rPr>
        <w:t xml:space="preserve">Asunto: </w:t>
      </w:r>
      <w:r w:rsidRPr="00B56F80">
        <w:rPr>
          <w:rFonts w:ascii="Arial Narrow" w:hAnsi="Arial Narrow"/>
          <w:bCs/>
          <w:sz w:val="28"/>
          <w:szCs w:val="28"/>
        </w:rPr>
        <w:t>Radicación del Proyecto de Ley “</w:t>
      </w:r>
      <w:r w:rsidRPr="00B56F80">
        <w:rPr>
          <w:rFonts w:ascii="Arial Narrow" w:eastAsia="Times New Roman" w:hAnsi="Arial Narrow" w:cs="Arial"/>
          <w:bCs/>
          <w:i/>
          <w:iCs/>
          <w:color w:val="000000"/>
          <w:sz w:val="28"/>
          <w:szCs w:val="28"/>
          <w:lang w:eastAsia="es-CO"/>
        </w:rPr>
        <w:t>Por medio de la cual se garantiza el derecho fundamental a la doble conformidad y se dictan otras disposiciones</w:t>
      </w:r>
      <w:r w:rsidRPr="00B56F80">
        <w:rPr>
          <w:rFonts w:ascii="Arial Narrow" w:hAnsi="Arial Narrow"/>
          <w:bCs/>
          <w:sz w:val="28"/>
          <w:szCs w:val="28"/>
        </w:rPr>
        <w:t>”.</w:t>
      </w:r>
    </w:p>
    <w:p w14:paraId="2910FE1B" w14:textId="77777777" w:rsidR="00A16232" w:rsidRPr="00B56F80" w:rsidRDefault="00A16232" w:rsidP="00897250">
      <w:pPr>
        <w:spacing w:after="0"/>
        <w:rPr>
          <w:rFonts w:ascii="Arial Narrow" w:hAnsi="Arial Narrow" w:cs="Arial"/>
          <w:bCs/>
          <w:sz w:val="28"/>
          <w:szCs w:val="28"/>
        </w:rPr>
      </w:pPr>
    </w:p>
    <w:p w14:paraId="0BF12356" w14:textId="5FAC3B17" w:rsidR="00A16232" w:rsidRPr="00B56F80" w:rsidRDefault="00A16232" w:rsidP="00897250">
      <w:pPr>
        <w:spacing w:after="0"/>
        <w:rPr>
          <w:rFonts w:ascii="Arial Narrow" w:hAnsi="Arial Narrow" w:cs="Arial"/>
          <w:bCs/>
          <w:sz w:val="28"/>
          <w:szCs w:val="28"/>
        </w:rPr>
      </w:pPr>
    </w:p>
    <w:p w14:paraId="3CE53F55" w14:textId="42EAFDB9" w:rsidR="00A16232" w:rsidRPr="00B56F80" w:rsidRDefault="000A2700" w:rsidP="00897250">
      <w:pPr>
        <w:spacing w:after="0"/>
        <w:rPr>
          <w:rFonts w:ascii="Arial Narrow" w:hAnsi="Arial Narrow" w:cs="Arial"/>
          <w:bCs/>
          <w:sz w:val="28"/>
          <w:szCs w:val="28"/>
        </w:rPr>
      </w:pPr>
      <w:r w:rsidRPr="00B56F80">
        <w:rPr>
          <w:rFonts w:ascii="Arial Narrow" w:hAnsi="Arial Narrow" w:cs="Arial"/>
          <w:bCs/>
          <w:sz w:val="28"/>
          <w:szCs w:val="28"/>
        </w:rPr>
        <w:t>Respetada</w:t>
      </w:r>
      <w:r w:rsidR="00A16232" w:rsidRPr="00B56F80">
        <w:rPr>
          <w:rFonts w:ascii="Arial Narrow" w:hAnsi="Arial Narrow" w:cs="Arial"/>
          <w:bCs/>
          <w:sz w:val="28"/>
          <w:szCs w:val="28"/>
        </w:rPr>
        <w:t xml:space="preserve"> Presidente,</w:t>
      </w:r>
    </w:p>
    <w:p w14:paraId="41BB7659" w14:textId="7B9E2266" w:rsidR="00A16232" w:rsidRPr="00B56F80" w:rsidRDefault="00A16232" w:rsidP="00897250">
      <w:pPr>
        <w:spacing w:after="0"/>
        <w:rPr>
          <w:rFonts w:ascii="Arial Narrow" w:hAnsi="Arial Narrow" w:cs="Arial"/>
          <w:bCs/>
          <w:sz w:val="28"/>
          <w:szCs w:val="28"/>
        </w:rPr>
      </w:pPr>
    </w:p>
    <w:p w14:paraId="46296B33" w14:textId="3F4864F6" w:rsidR="00897250" w:rsidRPr="00B56F80" w:rsidRDefault="00897250" w:rsidP="00897250">
      <w:pPr>
        <w:spacing w:after="0"/>
        <w:jc w:val="both"/>
        <w:rPr>
          <w:rFonts w:ascii="Arial Narrow" w:hAnsi="Arial Narrow"/>
          <w:bCs/>
          <w:sz w:val="28"/>
          <w:szCs w:val="28"/>
        </w:rPr>
      </w:pPr>
      <w:r w:rsidRPr="00B56F80">
        <w:rPr>
          <w:rFonts w:ascii="Arial Narrow" w:hAnsi="Arial Narrow"/>
          <w:bCs/>
          <w:sz w:val="28"/>
          <w:szCs w:val="28"/>
        </w:rPr>
        <w:t xml:space="preserve">De conformidad con lo establecido en la Ley 5 de 1992, me permito presentar para consideración de la Honorable Cámara de Representantes el siguiente Proyecto de Ley de </w:t>
      </w:r>
      <w:r w:rsidR="000A2700" w:rsidRPr="00B56F80">
        <w:rPr>
          <w:rFonts w:ascii="Arial Narrow" w:hAnsi="Arial Narrow"/>
          <w:bCs/>
          <w:sz w:val="28"/>
          <w:szCs w:val="28"/>
        </w:rPr>
        <w:t>mi</w:t>
      </w:r>
      <w:r w:rsidRPr="00B56F80">
        <w:rPr>
          <w:rFonts w:ascii="Arial Narrow" w:hAnsi="Arial Narrow"/>
          <w:bCs/>
          <w:sz w:val="28"/>
          <w:szCs w:val="28"/>
        </w:rPr>
        <w:t xml:space="preserve"> autoría:</w:t>
      </w:r>
    </w:p>
    <w:p w14:paraId="60CB5943" w14:textId="199FD49A" w:rsidR="00A16232" w:rsidRPr="00B56F80" w:rsidRDefault="00A16232" w:rsidP="00897250">
      <w:pPr>
        <w:spacing w:after="0"/>
        <w:jc w:val="both"/>
        <w:rPr>
          <w:rFonts w:ascii="Arial Narrow" w:hAnsi="Arial Narrow" w:cs="Arial"/>
          <w:bCs/>
          <w:sz w:val="28"/>
          <w:szCs w:val="28"/>
        </w:rPr>
      </w:pPr>
    </w:p>
    <w:p w14:paraId="0DF635DF" w14:textId="2CB062D7" w:rsidR="00AE6A36" w:rsidRPr="00B56F80" w:rsidRDefault="00AE6A36" w:rsidP="00897250">
      <w:pPr>
        <w:spacing w:after="0" w:line="240" w:lineRule="auto"/>
        <w:jc w:val="both"/>
        <w:rPr>
          <w:rFonts w:ascii="Arial Narrow" w:hAnsi="Arial Narrow" w:cs="Arial"/>
          <w:sz w:val="28"/>
          <w:szCs w:val="28"/>
        </w:rPr>
      </w:pPr>
      <w:r w:rsidRPr="00B56F80">
        <w:rPr>
          <w:rFonts w:ascii="Arial Narrow" w:eastAsia="Times New Roman" w:hAnsi="Arial Narrow" w:cs="Arial"/>
          <w:b/>
          <w:i/>
          <w:iCs/>
          <w:color w:val="000000"/>
          <w:sz w:val="28"/>
          <w:szCs w:val="28"/>
          <w:lang w:eastAsia="es-CO"/>
        </w:rPr>
        <w:t>“</w:t>
      </w:r>
      <w:r w:rsidR="00CB2004" w:rsidRPr="00B56F80">
        <w:rPr>
          <w:rFonts w:ascii="Arial Narrow" w:eastAsia="Times New Roman" w:hAnsi="Arial Narrow" w:cs="Arial"/>
          <w:b/>
          <w:i/>
          <w:iCs/>
          <w:color w:val="000000"/>
          <w:sz w:val="28"/>
          <w:szCs w:val="28"/>
          <w:lang w:eastAsia="es-CO"/>
        </w:rPr>
        <w:t>Por medio de la</w:t>
      </w:r>
      <w:r w:rsidRPr="00B56F80">
        <w:rPr>
          <w:rFonts w:ascii="Arial Narrow" w:eastAsia="Times New Roman" w:hAnsi="Arial Narrow" w:cs="Arial"/>
          <w:b/>
          <w:i/>
          <w:iCs/>
          <w:color w:val="000000"/>
          <w:sz w:val="28"/>
          <w:szCs w:val="28"/>
          <w:lang w:eastAsia="es-CO"/>
        </w:rPr>
        <w:t xml:space="preserve"> cual se garantiza el derecho fundamental a la doble conformidad y se dictan otras disposiciones”</w:t>
      </w:r>
    </w:p>
    <w:p w14:paraId="6115DA4F" w14:textId="04364014" w:rsidR="00A16232" w:rsidRPr="00B56F80" w:rsidRDefault="00A16232" w:rsidP="00897250">
      <w:pPr>
        <w:spacing w:after="0"/>
        <w:jc w:val="both"/>
        <w:rPr>
          <w:rFonts w:ascii="Arial Narrow" w:eastAsia="Times New Roman" w:hAnsi="Arial Narrow" w:cs="Arial"/>
          <w:b/>
          <w:bCs/>
          <w:i/>
          <w:color w:val="000000"/>
          <w:sz w:val="28"/>
          <w:szCs w:val="28"/>
          <w:lang w:eastAsia="es-CO"/>
        </w:rPr>
      </w:pPr>
    </w:p>
    <w:p w14:paraId="1E6501B6" w14:textId="614A9418" w:rsidR="00A16232" w:rsidRPr="00B56F80" w:rsidRDefault="00A16232" w:rsidP="00897250">
      <w:pPr>
        <w:spacing w:after="0"/>
        <w:rPr>
          <w:rFonts w:ascii="Arial Narrow" w:hAnsi="Arial Narrow" w:cs="Arial"/>
          <w:bCs/>
          <w:sz w:val="28"/>
          <w:szCs w:val="28"/>
        </w:rPr>
      </w:pPr>
      <w:r w:rsidRPr="00B56F80">
        <w:rPr>
          <w:rFonts w:ascii="Arial Narrow" w:hAnsi="Arial Narrow" w:cs="Arial"/>
          <w:bCs/>
          <w:sz w:val="28"/>
          <w:szCs w:val="28"/>
        </w:rPr>
        <w:t xml:space="preserve">Cordialmente, </w:t>
      </w:r>
    </w:p>
    <w:p w14:paraId="23FF6402" w14:textId="79290465" w:rsidR="00A16232" w:rsidRPr="00B56F80" w:rsidRDefault="00A16232" w:rsidP="00897250">
      <w:pPr>
        <w:spacing w:after="0"/>
        <w:rPr>
          <w:rFonts w:ascii="Arial Narrow" w:hAnsi="Arial Narrow" w:cs="Arial"/>
          <w:bCs/>
          <w:sz w:val="28"/>
          <w:szCs w:val="28"/>
        </w:rPr>
      </w:pPr>
    </w:p>
    <w:p w14:paraId="17AC5FBE" w14:textId="7C91461E" w:rsidR="00A16232" w:rsidRPr="00B56F80" w:rsidRDefault="00A16232" w:rsidP="00897250">
      <w:pPr>
        <w:spacing w:after="0"/>
        <w:rPr>
          <w:rFonts w:ascii="Arial Narrow" w:hAnsi="Arial Narrow" w:cs="Arial"/>
          <w:bCs/>
          <w:sz w:val="28"/>
          <w:szCs w:val="28"/>
        </w:rPr>
      </w:pPr>
    </w:p>
    <w:p w14:paraId="4AE1CCA5" w14:textId="35BE33DD" w:rsidR="00A16232" w:rsidRPr="00B56F80" w:rsidRDefault="00A16232" w:rsidP="00897250">
      <w:pPr>
        <w:spacing w:after="0"/>
        <w:rPr>
          <w:rFonts w:ascii="Arial Narrow" w:hAnsi="Arial Narrow" w:cs="Arial"/>
          <w:bCs/>
          <w:sz w:val="28"/>
          <w:szCs w:val="28"/>
        </w:rPr>
      </w:pPr>
    </w:p>
    <w:p w14:paraId="5374C0DD" w14:textId="77777777" w:rsidR="00A16232" w:rsidRPr="00B56F80" w:rsidRDefault="00A16232" w:rsidP="00B56F80">
      <w:pPr>
        <w:spacing w:after="0" w:line="240" w:lineRule="auto"/>
        <w:jc w:val="center"/>
        <w:rPr>
          <w:rFonts w:ascii="Arial Narrow" w:hAnsi="Arial Narrow" w:cs="Arial"/>
          <w:b/>
          <w:sz w:val="28"/>
          <w:szCs w:val="28"/>
        </w:rPr>
      </w:pPr>
      <w:r w:rsidRPr="00B56F80">
        <w:rPr>
          <w:rFonts w:ascii="Arial Narrow" w:hAnsi="Arial Narrow" w:cs="Arial"/>
          <w:b/>
          <w:sz w:val="28"/>
          <w:szCs w:val="28"/>
        </w:rPr>
        <w:t>JUAN DAVID VÉLEZ</w:t>
      </w:r>
    </w:p>
    <w:p w14:paraId="4117BFD8" w14:textId="77777777" w:rsidR="00A16232" w:rsidRPr="00B56F80" w:rsidRDefault="00A16232" w:rsidP="00B56F80">
      <w:pPr>
        <w:spacing w:after="0" w:line="240" w:lineRule="auto"/>
        <w:jc w:val="center"/>
        <w:rPr>
          <w:rFonts w:ascii="Arial Narrow" w:hAnsi="Arial Narrow" w:cs="Arial"/>
          <w:bCs/>
          <w:sz w:val="28"/>
          <w:szCs w:val="28"/>
        </w:rPr>
      </w:pPr>
      <w:r w:rsidRPr="00B56F80">
        <w:rPr>
          <w:rFonts w:ascii="Arial Narrow" w:hAnsi="Arial Narrow" w:cs="Arial"/>
          <w:bCs/>
          <w:sz w:val="28"/>
          <w:szCs w:val="28"/>
        </w:rPr>
        <w:t>Autor del Proyecto</w:t>
      </w:r>
    </w:p>
    <w:p w14:paraId="472787FA" w14:textId="77777777" w:rsidR="00A16232" w:rsidRPr="00B56F80" w:rsidRDefault="00A16232" w:rsidP="00B56F80">
      <w:pPr>
        <w:spacing w:after="0" w:line="240" w:lineRule="auto"/>
        <w:jc w:val="center"/>
        <w:rPr>
          <w:rFonts w:ascii="Arial Narrow" w:hAnsi="Arial Narrow" w:cs="Arial"/>
          <w:bCs/>
          <w:sz w:val="28"/>
          <w:szCs w:val="28"/>
        </w:rPr>
      </w:pPr>
      <w:r w:rsidRPr="00B56F80">
        <w:rPr>
          <w:rFonts w:ascii="Arial Narrow" w:hAnsi="Arial Narrow" w:cs="Arial"/>
          <w:bCs/>
          <w:sz w:val="28"/>
          <w:szCs w:val="28"/>
        </w:rPr>
        <w:t>Representante a la Cámara</w:t>
      </w:r>
    </w:p>
    <w:p w14:paraId="529858BC" w14:textId="1CD50A54" w:rsidR="00A16232" w:rsidRPr="00B56F80" w:rsidRDefault="00B56F80" w:rsidP="00B56F80">
      <w:pPr>
        <w:spacing w:after="0" w:line="240" w:lineRule="auto"/>
        <w:jc w:val="center"/>
        <w:rPr>
          <w:rFonts w:ascii="Arial Narrow" w:eastAsia="Times New Roman" w:hAnsi="Arial Narrow" w:cs="Arial"/>
          <w:b/>
          <w:bCs/>
          <w:i/>
          <w:color w:val="000000"/>
          <w:sz w:val="28"/>
          <w:szCs w:val="28"/>
          <w:lang w:eastAsia="es-CO"/>
        </w:rPr>
      </w:pPr>
      <w:r>
        <w:rPr>
          <w:rFonts w:ascii="Arial Narrow" w:hAnsi="Arial Narrow" w:cs="Arial"/>
          <w:bCs/>
          <w:sz w:val="28"/>
          <w:szCs w:val="28"/>
        </w:rPr>
        <w:t>Partido Centro Democrático</w:t>
      </w:r>
    </w:p>
    <w:p w14:paraId="0BCD788F" w14:textId="77777777" w:rsidR="008C2E29" w:rsidRPr="00B56F80" w:rsidRDefault="008C2E29">
      <w:pPr>
        <w:spacing w:after="0" w:line="240" w:lineRule="auto"/>
        <w:rPr>
          <w:rFonts w:ascii="Arial Narrow" w:eastAsia="Times New Roman" w:hAnsi="Arial Narrow" w:cs="Arial"/>
          <w:b/>
          <w:bCs/>
          <w:iCs/>
          <w:color w:val="000000"/>
          <w:sz w:val="24"/>
          <w:szCs w:val="24"/>
          <w:lang w:eastAsia="es-CO"/>
        </w:rPr>
      </w:pPr>
      <w:r w:rsidRPr="00B56F80">
        <w:rPr>
          <w:rFonts w:ascii="Arial Narrow" w:eastAsia="Times New Roman" w:hAnsi="Arial Narrow" w:cs="Arial"/>
          <w:b/>
          <w:bCs/>
          <w:iCs/>
          <w:color w:val="000000"/>
          <w:sz w:val="24"/>
          <w:szCs w:val="24"/>
          <w:lang w:eastAsia="es-CO"/>
        </w:rPr>
        <w:br w:type="page"/>
      </w:r>
    </w:p>
    <w:p w14:paraId="6496B3CE" w14:textId="4714228B" w:rsidR="008C2E29" w:rsidRPr="00B56F80" w:rsidRDefault="008C2E29" w:rsidP="008C2E29">
      <w:pPr>
        <w:spacing w:after="0" w:line="240" w:lineRule="auto"/>
        <w:jc w:val="center"/>
        <w:rPr>
          <w:rFonts w:ascii="Arial Narrow" w:hAnsi="Arial Narrow" w:cs="Arial"/>
          <w:b/>
          <w:sz w:val="24"/>
          <w:szCs w:val="24"/>
        </w:rPr>
      </w:pPr>
      <w:r w:rsidRPr="00B56F80">
        <w:rPr>
          <w:rFonts w:ascii="Arial Narrow" w:hAnsi="Arial Narrow" w:cs="Arial"/>
          <w:b/>
          <w:sz w:val="24"/>
          <w:szCs w:val="24"/>
        </w:rPr>
        <w:lastRenderedPageBreak/>
        <w:t>TEXTO PROPUESTO PA</w:t>
      </w:r>
      <w:r w:rsidR="000A2700" w:rsidRPr="00B56F80">
        <w:rPr>
          <w:rFonts w:ascii="Arial Narrow" w:hAnsi="Arial Narrow" w:cs="Arial"/>
          <w:b/>
          <w:sz w:val="24"/>
          <w:szCs w:val="24"/>
        </w:rPr>
        <w:t>RA PROYECTO DE LEY _____ DE 2021</w:t>
      </w:r>
    </w:p>
    <w:p w14:paraId="047CC5F9" w14:textId="77777777" w:rsidR="008C2E29" w:rsidRPr="00B56F80" w:rsidRDefault="008C2E29" w:rsidP="008C2E29">
      <w:pPr>
        <w:spacing w:after="0" w:line="240" w:lineRule="auto"/>
        <w:jc w:val="center"/>
        <w:rPr>
          <w:rFonts w:ascii="Arial Narrow" w:hAnsi="Arial Narrow" w:cs="Arial"/>
          <w:b/>
          <w:sz w:val="24"/>
          <w:szCs w:val="24"/>
        </w:rPr>
      </w:pPr>
    </w:p>
    <w:p w14:paraId="41C396A8" w14:textId="77777777" w:rsidR="008C2E29" w:rsidRPr="00B56F80" w:rsidRDefault="008C2E29" w:rsidP="008C2E29">
      <w:pPr>
        <w:spacing w:after="0" w:line="240" w:lineRule="auto"/>
        <w:jc w:val="center"/>
        <w:rPr>
          <w:rFonts w:ascii="Arial Narrow" w:hAnsi="Arial Narrow" w:cs="Arial"/>
          <w:sz w:val="24"/>
          <w:szCs w:val="24"/>
        </w:rPr>
      </w:pPr>
      <w:r w:rsidRPr="00B56F80">
        <w:rPr>
          <w:rFonts w:ascii="Arial Narrow" w:eastAsia="Times New Roman" w:hAnsi="Arial Narrow" w:cs="Arial"/>
          <w:b/>
          <w:i/>
          <w:iCs/>
          <w:color w:val="000000"/>
          <w:sz w:val="24"/>
          <w:szCs w:val="24"/>
          <w:lang w:eastAsia="es-CO"/>
        </w:rPr>
        <w:t>“POR MEDIO DE LA CUAL SE GARANTIZA EL DERECHO FUNDAMENTAL A LA DOBLE CONFORMIDAD Y SE DICTAN OTRAS DISPOSICIONES”</w:t>
      </w:r>
    </w:p>
    <w:p w14:paraId="07778386" w14:textId="77777777" w:rsidR="008C2E29" w:rsidRPr="00B56F80" w:rsidRDefault="008C2E29" w:rsidP="008C2E29">
      <w:pPr>
        <w:spacing w:after="0" w:line="240" w:lineRule="auto"/>
        <w:jc w:val="center"/>
        <w:rPr>
          <w:rFonts w:ascii="Arial Narrow" w:hAnsi="Arial Narrow" w:cs="Arial"/>
          <w:sz w:val="24"/>
          <w:szCs w:val="24"/>
        </w:rPr>
      </w:pPr>
    </w:p>
    <w:p w14:paraId="0EFD7304" w14:textId="77777777" w:rsidR="008C2E29" w:rsidRPr="00B56F80" w:rsidRDefault="008C2E29" w:rsidP="008C2E29">
      <w:pPr>
        <w:spacing w:after="0" w:line="240" w:lineRule="auto"/>
        <w:jc w:val="center"/>
        <w:rPr>
          <w:rFonts w:ascii="Arial Narrow" w:hAnsi="Arial Narrow" w:cs="Arial"/>
          <w:b/>
          <w:sz w:val="24"/>
          <w:szCs w:val="24"/>
        </w:rPr>
      </w:pPr>
      <w:r w:rsidRPr="00B56F80">
        <w:rPr>
          <w:rFonts w:ascii="Arial Narrow" w:hAnsi="Arial Narrow" w:cs="Arial"/>
          <w:b/>
          <w:sz w:val="24"/>
          <w:szCs w:val="24"/>
        </w:rPr>
        <w:t>“El Congreso de Colombia</w:t>
      </w:r>
    </w:p>
    <w:p w14:paraId="2C3210EF" w14:textId="77777777" w:rsidR="008C2E29" w:rsidRPr="00B56F80" w:rsidRDefault="008C2E29" w:rsidP="008C2E29">
      <w:pPr>
        <w:spacing w:after="0" w:line="240" w:lineRule="auto"/>
        <w:jc w:val="center"/>
        <w:rPr>
          <w:rFonts w:ascii="Arial Narrow" w:hAnsi="Arial Narrow" w:cs="Arial"/>
          <w:b/>
          <w:sz w:val="24"/>
          <w:szCs w:val="24"/>
        </w:rPr>
      </w:pPr>
    </w:p>
    <w:p w14:paraId="17C0684F" w14:textId="77777777" w:rsidR="008C2E29" w:rsidRPr="00B56F80" w:rsidRDefault="008C2E29" w:rsidP="008C2E29">
      <w:pPr>
        <w:spacing w:after="0" w:line="240" w:lineRule="auto"/>
        <w:jc w:val="center"/>
        <w:rPr>
          <w:rFonts w:ascii="Arial Narrow" w:hAnsi="Arial Narrow" w:cs="Arial"/>
          <w:b/>
          <w:sz w:val="24"/>
          <w:szCs w:val="24"/>
        </w:rPr>
      </w:pPr>
      <w:r w:rsidRPr="00B56F80">
        <w:rPr>
          <w:rFonts w:ascii="Arial Narrow" w:hAnsi="Arial Narrow" w:cs="Arial"/>
          <w:b/>
          <w:sz w:val="24"/>
          <w:szCs w:val="24"/>
        </w:rPr>
        <w:t>DECRETA”</w:t>
      </w:r>
    </w:p>
    <w:p w14:paraId="4B6E5D1D" w14:textId="77777777" w:rsidR="008C2E29" w:rsidRPr="00B56F80" w:rsidRDefault="008C2E29" w:rsidP="008C2E29">
      <w:pPr>
        <w:spacing w:after="0" w:line="240" w:lineRule="auto"/>
        <w:jc w:val="center"/>
        <w:rPr>
          <w:rFonts w:ascii="Arial Narrow" w:hAnsi="Arial Narrow" w:cs="Arial"/>
          <w:b/>
          <w:sz w:val="24"/>
          <w:szCs w:val="24"/>
        </w:rPr>
      </w:pPr>
    </w:p>
    <w:p w14:paraId="63F70723" w14:textId="77777777" w:rsidR="008C2E29" w:rsidRPr="00B56F80" w:rsidRDefault="008C2E29" w:rsidP="008C2E29">
      <w:pPr>
        <w:spacing w:after="0" w:line="240" w:lineRule="auto"/>
        <w:jc w:val="center"/>
        <w:rPr>
          <w:rFonts w:ascii="Arial Narrow" w:hAnsi="Arial Narrow" w:cs="Arial"/>
          <w:b/>
          <w:sz w:val="24"/>
          <w:szCs w:val="24"/>
        </w:rPr>
      </w:pPr>
    </w:p>
    <w:p w14:paraId="16D9AF3F" w14:textId="77777777" w:rsidR="008C2E29" w:rsidRPr="00B56F80" w:rsidRDefault="008C2E29" w:rsidP="008C2E29">
      <w:pPr>
        <w:pStyle w:val="TableParagraph"/>
        <w:spacing w:before="0" w:line="247" w:lineRule="auto"/>
        <w:ind w:right="49"/>
        <w:rPr>
          <w:rFonts w:ascii="Arial Narrow" w:hAnsi="Arial Narrow" w:cs="Arial"/>
          <w:color w:val="231F20"/>
          <w:sz w:val="24"/>
          <w:szCs w:val="24"/>
          <w:lang w:val="es-CO"/>
        </w:rPr>
      </w:pPr>
      <w:r w:rsidRPr="00B56F80">
        <w:rPr>
          <w:rFonts w:ascii="Arial Narrow" w:hAnsi="Arial Narrow" w:cs="Arial"/>
          <w:b/>
          <w:sz w:val="24"/>
          <w:szCs w:val="24"/>
          <w:lang w:val="es-CO"/>
        </w:rPr>
        <w:t xml:space="preserve">Artículo 1°. </w:t>
      </w:r>
      <w:r w:rsidRPr="00B56F80">
        <w:rPr>
          <w:rFonts w:ascii="Arial Narrow" w:hAnsi="Arial Narrow" w:cs="Arial"/>
          <w:b/>
          <w:i/>
          <w:sz w:val="24"/>
          <w:szCs w:val="24"/>
          <w:lang w:val="es-CO"/>
        </w:rPr>
        <w:t>Objeto</w:t>
      </w:r>
      <w:r w:rsidRPr="00B56F80">
        <w:rPr>
          <w:rFonts w:ascii="Arial Narrow" w:hAnsi="Arial Narrow" w:cs="Arial"/>
          <w:b/>
          <w:sz w:val="24"/>
          <w:szCs w:val="24"/>
          <w:lang w:val="es-CO"/>
        </w:rPr>
        <w:t xml:space="preserve">. </w:t>
      </w:r>
      <w:r w:rsidRPr="00B56F80">
        <w:rPr>
          <w:rFonts w:ascii="Arial Narrow" w:hAnsi="Arial Narrow" w:cs="Arial"/>
          <w:color w:val="231F20"/>
          <w:sz w:val="24"/>
          <w:szCs w:val="24"/>
          <w:lang w:val="es-CO"/>
        </w:rPr>
        <w:t xml:space="preserve">La presente </w:t>
      </w:r>
      <w:r w:rsidRPr="00B56F80">
        <w:rPr>
          <w:rFonts w:ascii="Arial Narrow" w:hAnsi="Arial Narrow" w:cs="Arial"/>
          <w:color w:val="231F20"/>
          <w:spacing w:val="-4"/>
          <w:sz w:val="24"/>
          <w:szCs w:val="24"/>
          <w:lang w:val="es-CO"/>
        </w:rPr>
        <w:t xml:space="preserve">ley </w:t>
      </w:r>
      <w:r w:rsidRPr="00B56F80">
        <w:rPr>
          <w:rFonts w:ascii="Arial Narrow" w:hAnsi="Arial Narrow" w:cs="Arial"/>
          <w:color w:val="231F20"/>
          <w:sz w:val="24"/>
          <w:szCs w:val="24"/>
          <w:lang w:val="es-CO"/>
        </w:rPr>
        <w:t xml:space="preserve">tiene por objeto garantizar los derechos fundamentales a la doble instancia, doble </w:t>
      </w:r>
      <w:r w:rsidRPr="00B56F80">
        <w:rPr>
          <w:rFonts w:ascii="Arial Narrow" w:hAnsi="Arial Narrow" w:cs="Arial"/>
          <w:color w:val="231F20"/>
          <w:spacing w:val="-3"/>
          <w:sz w:val="24"/>
          <w:szCs w:val="24"/>
          <w:lang w:val="es-CO"/>
        </w:rPr>
        <w:t>confor</w:t>
      </w:r>
      <w:r w:rsidRPr="00B56F80">
        <w:rPr>
          <w:rFonts w:ascii="Arial Narrow" w:hAnsi="Arial Narrow" w:cs="Arial"/>
          <w:color w:val="231F20"/>
          <w:sz w:val="24"/>
          <w:szCs w:val="24"/>
          <w:lang w:val="es-CO"/>
        </w:rPr>
        <w:t xml:space="preserve">midad y a la favorabilidad en el ámbito penal en </w:t>
      </w:r>
      <w:r w:rsidRPr="00B56F80">
        <w:rPr>
          <w:rFonts w:ascii="Arial Narrow" w:hAnsi="Arial Narrow" w:cs="Arial"/>
          <w:color w:val="231F20"/>
          <w:spacing w:val="-2"/>
          <w:sz w:val="24"/>
          <w:szCs w:val="24"/>
          <w:lang w:val="es-CO"/>
        </w:rPr>
        <w:t xml:space="preserve">concordancia </w:t>
      </w:r>
      <w:r w:rsidRPr="00B56F80">
        <w:rPr>
          <w:rFonts w:ascii="Arial Narrow" w:hAnsi="Arial Narrow" w:cs="Arial"/>
          <w:color w:val="231F20"/>
          <w:sz w:val="24"/>
          <w:szCs w:val="24"/>
          <w:lang w:val="es-CO"/>
        </w:rPr>
        <w:t>con</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lo</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dispuesto</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en</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los</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artículos</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29</w:t>
      </w:r>
      <w:r w:rsidRPr="00B56F80">
        <w:rPr>
          <w:rFonts w:ascii="Arial Narrow" w:hAnsi="Arial Narrow" w:cs="Arial"/>
          <w:color w:val="231F20"/>
          <w:spacing w:val="-5"/>
          <w:sz w:val="24"/>
          <w:szCs w:val="24"/>
          <w:lang w:val="es-CO"/>
        </w:rPr>
        <w:t>,</w:t>
      </w:r>
      <w:r w:rsidRPr="00B56F80">
        <w:rPr>
          <w:rFonts w:ascii="Arial Narrow" w:hAnsi="Arial Narrow" w:cs="Arial"/>
          <w:color w:val="231F20"/>
          <w:sz w:val="24"/>
          <w:szCs w:val="24"/>
          <w:lang w:val="es-CO"/>
        </w:rPr>
        <w:t>31,93 y 94</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de</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la</w:t>
      </w:r>
      <w:r w:rsidRPr="00B56F80">
        <w:rPr>
          <w:rFonts w:ascii="Arial Narrow" w:hAnsi="Arial Narrow" w:cs="Arial"/>
          <w:color w:val="231F20"/>
          <w:spacing w:val="-5"/>
          <w:sz w:val="24"/>
          <w:szCs w:val="24"/>
          <w:lang w:val="es-CO"/>
        </w:rPr>
        <w:t xml:space="preserve"> </w:t>
      </w:r>
      <w:r w:rsidRPr="00B56F80">
        <w:rPr>
          <w:rFonts w:ascii="Arial Narrow" w:hAnsi="Arial Narrow" w:cs="Arial"/>
          <w:color w:val="231F20"/>
          <w:sz w:val="24"/>
          <w:szCs w:val="24"/>
          <w:lang w:val="es-CO"/>
        </w:rPr>
        <w:t>Constitución</w:t>
      </w:r>
      <w:r w:rsidRPr="00B56F80">
        <w:rPr>
          <w:rFonts w:ascii="Arial Narrow" w:hAnsi="Arial Narrow" w:cs="Arial"/>
          <w:color w:val="231F20"/>
          <w:spacing w:val="-4"/>
          <w:sz w:val="24"/>
          <w:szCs w:val="24"/>
          <w:lang w:val="es-CO"/>
        </w:rPr>
        <w:t xml:space="preserve"> </w:t>
      </w:r>
      <w:r w:rsidRPr="00B56F80">
        <w:rPr>
          <w:rFonts w:ascii="Arial Narrow" w:hAnsi="Arial Narrow" w:cs="Arial"/>
          <w:color w:val="231F20"/>
          <w:spacing w:val="-5"/>
          <w:sz w:val="24"/>
          <w:szCs w:val="24"/>
          <w:lang w:val="es-CO"/>
        </w:rPr>
        <w:t>Po</w:t>
      </w:r>
      <w:r w:rsidRPr="00B56F80">
        <w:rPr>
          <w:rFonts w:ascii="Arial Narrow" w:hAnsi="Arial Narrow" w:cs="Arial"/>
          <w:color w:val="231F20"/>
          <w:sz w:val="24"/>
          <w:szCs w:val="24"/>
          <w:lang w:val="es-CO"/>
        </w:rPr>
        <w:t>lítica y con los tratados internacionales de Derechos Humanos vigentes en Colombia, de todas las personas que hayan sido o sean sujetos de una sentencia penal condenatoria de única instancia, incluidos los aforados juzgados por la Corte Suprema de Justicia.</w:t>
      </w:r>
    </w:p>
    <w:p w14:paraId="3824BC15" w14:textId="77777777" w:rsidR="008C2E29" w:rsidRPr="00B56F80" w:rsidRDefault="008C2E29" w:rsidP="008C2E29">
      <w:pPr>
        <w:pStyle w:val="TableParagraph"/>
        <w:spacing w:before="0" w:line="247" w:lineRule="auto"/>
        <w:ind w:left="0" w:right="49"/>
        <w:rPr>
          <w:rFonts w:ascii="Arial Narrow" w:hAnsi="Arial Narrow" w:cs="Arial"/>
          <w:sz w:val="24"/>
          <w:szCs w:val="24"/>
          <w:lang w:val="es-CO"/>
        </w:rPr>
      </w:pPr>
    </w:p>
    <w:p w14:paraId="7450544E" w14:textId="77777777" w:rsidR="008C2E29" w:rsidRPr="00B56F80" w:rsidRDefault="008C2E29" w:rsidP="008C2E29">
      <w:pPr>
        <w:spacing w:after="0" w:line="240" w:lineRule="auto"/>
        <w:ind w:left="708"/>
        <w:jc w:val="both"/>
        <w:rPr>
          <w:rFonts w:ascii="Arial Narrow" w:hAnsi="Arial Narrow" w:cs="Arial"/>
          <w:sz w:val="24"/>
          <w:szCs w:val="24"/>
        </w:rPr>
      </w:pPr>
      <w:r w:rsidRPr="00B56F80">
        <w:rPr>
          <w:rFonts w:ascii="Arial Narrow" w:hAnsi="Arial Narrow" w:cs="Arial"/>
          <w:b/>
          <w:color w:val="231F20"/>
          <w:sz w:val="24"/>
          <w:szCs w:val="24"/>
        </w:rPr>
        <w:t xml:space="preserve">Parágrafo 1°. </w:t>
      </w:r>
      <w:r w:rsidRPr="00B56F80">
        <w:rPr>
          <w:rFonts w:ascii="Arial Narrow" w:hAnsi="Arial Narrow" w:cs="Arial"/>
          <w:color w:val="231F20"/>
          <w:sz w:val="24"/>
          <w:szCs w:val="24"/>
        </w:rPr>
        <w:t xml:space="preserve">El recurso de doble instancia y doble </w:t>
      </w:r>
      <w:r w:rsidRPr="00B56F80">
        <w:rPr>
          <w:rFonts w:ascii="Arial Narrow" w:hAnsi="Arial Narrow" w:cs="Arial"/>
          <w:color w:val="231F20"/>
          <w:spacing w:val="-3"/>
          <w:sz w:val="24"/>
          <w:szCs w:val="24"/>
        </w:rPr>
        <w:t>conformi</w:t>
      </w:r>
      <w:r w:rsidRPr="00B56F80">
        <w:rPr>
          <w:rFonts w:ascii="Arial Narrow" w:hAnsi="Arial Narrow" w:cs="Arial"/>
          <w:color w:val="231F20"/>
          <w:sz w:val="24"/>
          <w:szCs w:val="24"/>
        </w:rPr>
        <w:t xml:space="preserve">dad se interpretará como una garantía, conforme a los tratados internacionales sobre Derechos Humanos, suscritos, ratificados y vigentes en Colombia y en todo caso atendiendo al </w:t>
      </w:r>
      <w:r w:rsidRPr="00B56F80">
        <w:rPr>
          <w:rFonts w:ascii="Arial Narrow" w:hAnsi="Arial Narrow" w:cs="Arial"/>
          <w:color w:val="231F20"/>
          <w:spacing w:val="-4"/>
          <w:sz w:val="24"/>
          <w:szCs w:val="24"/>
        </w:rPr>
        <w:t>prin</w:t>
      </w:r>
      <w:r w:rsidRPr="00B56F80">
        <w:rPr>
          <w:rFonts w:ascii="Arial Narrow" w:hAnsi="Arial Narrow" w:cs="Arial"/>
          <w:color w:val="231F20"/>
          <w:sz w:val="24"/>
          <w:szCs w:val="24"/>
        </w:rPr>
        <w:t>cipio de favorabilidad del condenado.</w:t>
      </w:r>
    </w:p>
    <w:p w14:paraId="48BF3D01" w14:textId="77777777" w:rsidR="008C2E29" w:rsidRPr="00B56F80" w:rsidRDefault="008C2E29" w:rsidP="008C2E29">
      <w:pPr>
        <w:spacing w:after="0" w:line="240" w:lineRule="auto"/>
        <w:jc w:val="both"/>
        <w:rPr>
          <w:rFonts w:ascii="Arial Narrow" w:hAnsi="Arial Narrow" w:cs="Arial"/>
          <w:sz w:val="24"/>
          <w:szCs w:val="24"/>
        </w:rPr>
      </w:pPr>
    </w:p>
    <w:p w14:paraId="6B943530" w14:textId="77777777" w:rsidR="008C2E29" w:rsidRPr="00B56F80" w:rsidRDefault="008C2E29" w:rsidP="008C2E29">
      <w:pPr>
        <w:pStyle w:val="TableParagraph"/>
        <w:spacing w:before="0" w:line="247" w:lineRule="auto"/>
        <w:ind w:right="49"/>
        <w:rPr>
          <w:rFonts w:ascii="Arial Narrow" w:hAnsi="Arial Narrow" w:cs="Arial"/>
          <w:sz w:val="24"/>
          <w:szCs w:val="24"/>
          <w:lang w:val="es-CO"/>
        </w:rPr>
      </w:pPr>
      <w:r w:rsidRPr="00B56F80">
        <w:rPr>
          <w:rFonts w:ascii="Arial Narrow" w:hAnsi="Arial Narrow" w:cs="Arial"/>
          <w:b/>
          <w:sz w:val="24"/>
          <w:szCs w:val="24"/>
          <w:lang w:val="es-CO"/>
        </w:rPr>
        <w:t xml:space="preserve">Artículo 2°. </w:t>
      </w:r>
      <w:r w:rsidRPr="00B56F80">
        <w:rPr>
          <w:rFonts w:ascii="Arial Narrow" w:hAnsi="Arial Narrow" w:cs="Arial"/>
          <w:sz w:val="24"/>
          <w:szCs w:val="24"/>
          <w:lang w:val="es-CO"/>
        </w:rPr>
        <w:t>Adiciónese un parágrafo al artículo 15 de la Ley 270 de 1996, el cual quedará así:</w:t>
      </w:r>
    </w:p>
    <w:p w14:paraId="2FC96CDF" w14:textId="77777777" w:rsidR="008C2E29" w:rsidRPr="00B56F80" w:rsidRDefault="008C2E29" w:rsidP="008C2E29">
      <w:pPr>
        <w:pStyle w:val="TableParagraph"/>
        <w:spacing w:before="0" w:line="247" w:lineRule="auto"/>
        <w:ind w:right="49"/>
        <w:rPr>
          <w:rFonts w:ascii="Arial Narrow" w:hAnsi="Arial Narrow" w:cs="Arial"/>
          <w:sz w:val="24"/>
          <w:szCs w:val="24"/>
          <w:lang w:val="es-CO"/>
        </w:rPr>
      </w:pPr>
    </w:p>
    <w:p w14:paraId="5D62795B" w14:textId="77777777" w:rsidR="008C2E29" w:rsidRPr="00B56F80" w:rsidRDefault="008C2E29" w:rsidP="008C2E29">
      <w:pPr>
        <w:pStyle w:val="TableParagraph"/>
        <w:spacing w:before="0" w:line="247" w:lineRule="auto"/>
        <w:ind w:left="708" w:right="49"/>
        <w:rPr>
          <w:rFonts w:ascii="Arial Narrow" w:hAnsi="Arial Narrow" w:cs="Arial"/>
          <w:i/>
          <w:color w:val="FF0000"/>
          <w:sz w:val="24"/>
          <w:szCs w:val="24"/>
          <w:lang w:val="es-CO"/>
        </w:rPr>
      </w:pPr>
      <w:r w:rsidRPr="00B56F80">
        <w:rPr>
          <w:rFonts w:ascii="Arial Narrow" w:hAnsi="Arial Narrow" w:cs="Arial"/>
          <w:b/>
          <w:i/>
          <w:sz w:val="24"/>
          <w:szCs w:val="24"/>
          <w:lang w:val="es-CO"/>
        </w:rPr>
        <w:t xml:space="preserve">Parágrafo 3°. </w:t>
      </w:r>
      <w:r w:rsidRPr="00B56F80">
        <w:rPr>
          <w:rFonts w:ascii="Arial Narrow" w:hAnsi="Arial Narrow" w:cs="Arial"/>
          <w:i/>
          <w:sz w:val="24"/>
          <w:szCs w:val="24"/>
          <w:lang w:val="es-CO"/>
        </w:rPr>
        <w:t>La S</w:t>
      </w:r>
      <w:r w:rsidRPr="00B56F80">
        <w:rPr>
          <w:rFonts w:ascii="Arial Narrow" w:hAnsi="Arial Narrow" w:cs="Arial"/>
          <w:i/>
          <w:color w:val="000000" w:themeColor="text1"/>
          <w:sz w:val="24"/>
          <w:szCs w:val="24"/>
          <w:lang w:val="es-CO"/>
        </w:rPr>
        <w:t xml:space="preserve">ala Penal de la Corte Suprema de Justicia tendrá una Sala </w:t>
      </w:r>
      <w:r w:rsidRPr="00B56F80">
        <w:rPr>
          <w:rFonts w:ascii="Arial Narrow" w:hAnsi="Arial Narrow" w:cs="Arial"/>
          <w:color w:val="000000" w:themeColor="text1"/>
          <w:sz w:val="24"/>
          <w:szCs w:val="24"/>
          <w:lang w:val="es-CO"/>
        </w:rPr>
        <w:t>de Descongestión</w:t>
      </w:r>
      <w:r w:rsidRPr="00B56F80">
        <w:rPr>
          <w:rFonts w:ascii="Arial Narrow" w:hAnsi="Arial Narrow" w:cs="Arial"/>
          <w:i/>
          <w:color w:val="000000" w:themeColor="text1"/>
          <w:sz w:val="24"/>
          <w:szCs w:val="24"/>
          <w:lang w:val="es-CO"/>
        </w:rPr>
        <w:t xml:space="preserve"> que resolverá la impugnación de sentencias condenatorias garantizando el derecho fundamental de doble instancia y doble conformidad; funcionará </w:t>
      </w:r>
      <w:r w:rsidRPr="00B56F80">
        <w:rPr>
          <w:rFonts w:ascii="Arial Narrow" w:hAnsi="Arial Narrow" w:cs="Arial"/>
          <w:i/>
          <w:sz w:val="24"/>
          <w:szCs w:val="24"/>
          <w:lang w:val="es-CO"/>
        </w:rPr>
        <w:t xml:space="preserve">de forma transitoria por un periodo de (2) dos años prorrogables por (2) dos años más, que en todo caso no podrán superar los </w:t>
      </w:r>
      <w:r w:rsidRPr="00B56F80">
        <w:rPr>
          <w:rFonts w:ascii="Arial Narrow" w:hAnsi="Arial Narrow" w:cs="Arial"/>
          <w:i/>
          <w:spacing w:val="-5"/>
          <w:sz w:val="24"/>
          <w:szCs w:val="24"/>
          <w:lang w:val="es-CO"/>
        </w:rPr>
        <w:t xml:space="preserve">(4) </w:t>
      </w:r>
      <w:r w:rsidRPr="00B56F80">
        <w:rPr>
          <w:rFonts w:ascii="Arial Narrow" w:hAnsi="Arial Narrow" w:cs="Arial"/>
          <w:i/>
          <w:sz w:val="24"/>
          <w:szCs w:val="24"/>
          <w:lang w:val="es-CO"/>
        </w:rPr>
        <w:t>cuatro</w:t>
      </w:r>
      <w:r w:rsidRPr="00B56F80">
        <w:rPr>
          <w:rFonts w:ascii="Arial Narrow" w:hAnsi="Arial Narrow" w:cs="Arial"/>
          <w:i/>
          <w:spacing w:val="-10"/>
          <w:sz w:val="24"/>
          <w:szCs w:val="24"/>
          <w:lang w:val="es-CO"/>
        </w:rPr>
        <w:t xml:space="preserve"> </w:t>
      </w:r>
      <w:r w:rsidRPr="00B56F80">
        <w:rPr>
          <w:rFonts w:ascii="Arial Narrow" w:hAnsi="Arial Narrow" w:cs="Arial"/>
          <w:i/>
          <w:sz w:val="24"/>
          <w:szCs w:val="24"/>
          <w:lang w:val="es-CO"/>
        </w:rPr>
        <w:t>años</w:t>
      </w:r>
      <w:r w:rsidRPr="00B56F80">
        <w:rPr>
          <w:rFonts w:ascii="Arial Narrow" w:hAnsi="Arial Narrow" w:cs="Arial"/>
          <w:i/>
          <w:spacing w:val="-10"/>
          <w:sz w:val="24"/>
          <w:szCs w:val="24"/>
          <w:lang w:val="es-CO"/>
        </w:rPr>
        <w:t xml:space="preserve"> </w:t>
      </w:r>
      <w:r w:rsidRPr="00B56F80">
        <w:rPr>
          <w:rFonts w:ascii="Arial Narrow" w:hAnsi="Arial Narrow" w:cs="Arial"/>
          <w:i/>
          <w:sz w:val="24"/>
          <w:szCs w:val="24"/>
          <w:lang w:val="es-CO"/>
        </w:rPr>
        <w:t>contados</w:t>
      </w:r>
      <w:r w:rsidRPr="00B56F80">
        <w:rPr>
          <w:rFonts w:ascii="Arial Narrow" w:hAnsi="Arial Narrow" w:cs="Arial"/>
          <w:i/>
          <w:spacing w:val="-11"/>
          <w:sz w:val="24"/>
          <w:szCs w:val="24"/>
          <w:lang w:val="es-CO"/>
        </w:rPr>
        <w:t xml:space="preserve"> </w:t>
      </w:r>
      <w:r w:rsidRPr="00B56F80">
        <w:rPr>
          <w:rFonts w:ascii="Arial Narrow" w:hAnsi="Arial Narrow" w:cs="Arial"/>
          <w:i/>
          <w:sz w:val="24"/>
          <w:szCs w:val="24"/>
          <w:lang w:val="es-CO"/>
        </w:rPr>
        <w:t>a</w:t>
      </w:r>
      <w:r w:rsidRPr="00B56F80">
        <w:rPr>
          <w:rFonts w:ascii="Arial Narrow" w:hAnsi="Arial Narrow" w:cs="Arial"/>
          <w:i/>
          <w:spacing w:val="-9"/>
          <w:sz w:val="24"/>
          <w:szCs w:val="24"/>
          <w:lang w:val="es-CO"/>
        </w:rPr>
        <w:t xml:space="preserve"> </w:t>
      </w:r>
      <w:r w:rsidRPr="00B56F80">
        <w:rPr>
          <w:rFonts w:ascii="Arial Narrow" w:hAnsi="Arial Narrow" w:cs="Arial"/>
          <w:i/>
          <w:sz w:val="24"/>
          <w:szCs w:val="24"/>
          <w:lang w:val="es-CO"/>
        </w:rPr>
        <w:t>partir</w:t>
      </w:r>
      <w:r w:rsidRPr="00B56F80">
        <w:rPr>
          <w:rFonts w:ascii="Arial Narrow" w:hAnsi="Arial Narrow" w:cs="Arial"/>
          <w:i/>
          <w:spacing w:val="-11"/>
          <w:sz w:val="24"/>
          <w:szCs w:val="24"/>
          <w:lang w:val="es-CO"/>
        </w:rPr>
        <w:t xml:space="preserve"> </w:t>
      </w:r>
      <w:r w:rsidRPr="00B56F80">
        <w:rPr>
          <w:rFonts w:ascii="Arial Narrow" w:hAnsi="Arial Narrow" w:cs="Arial"/>
          <w:i/>
          <w:sz w:val="24"/>
          <w:szCs w:val="24"/>
          <w:lang w:val="es-CO"/>
        </w:rPr>
        <w:t>de</w:t>
      </w:r>
      <w:r w:rsidRPr="00B56F80">
        <w:rPr>
          <w:rFonts w:ascii="Arial Narrow" w:hAnsi="Arial Narrow" w:cs="Arial"/>
          <w:i/>
          <w:spacing w:val="-11"/>
          <w:sz w:val="24"/>
          <w:szCs w:val="24"/>
          <w:lang w:val="es-CO"/>
        </w:rPr>
        <w:t xml:space="preserve"> </w:t>
      </w:r>
      <w:r w:rsidRPr="00B56F80">
        <w:rPr>
          <w:rFonts w:ascii="Arial Narrow" w:hAnsi="Arial Narrow" w:cs="Arial"/>
          <w:i/>
          <w:sz w:val="24"/>
          <w:szCs w:val="24"/>
          <w:lang w:val="es-CO"/>
        </w:rPr>
        <w:t>la</w:t>
      </w:r>
      <w:r w:rsidRPr="00B56F80">
        <w:rPr>
          <w:rFonts w:ascii="Arial Narrow" w:hAnsi="Arial Narrow" w:cs="Arial"/>
          <w:i/>
          <w:spacing w:val="-11"/>
          <w:sz w:val="24"/>
          <w:szCs w:val="24"/>
          <w:lang w:val="es-CO"/>
        </w:rPr>
        <w:t xml:space="preserve"> </w:t>
      </w:r>
      <w:r w:rsidRPr="00B56F80">
        <w:rPr>
          <w:rFonts w:ascii="Arial Narrow" w:hAnsi="Arial Narrow" w:cs="Arial"/>
          <w:i/>
          <w:sz w:val="24"/>
          <w:szCs w:val="24"/>
          <w:lang w:val="es-CO"/>
        </w:rPr>
        <w:t>fecha</w:t>
      </w:r>
      <w:r w:rsidRPr="00B56F80">
        <w:rPr>
          <w:rFonts w:ascii="Arial Narrow" w:hAnsi="Arial Narrow" w:cs="Arial"/>
          <w:i/>
          <w:spacing w:val="-10"/>
          <w:sz w:val="24"/>
          <w:szCs w:val="24"/>
          <w:lang w:val="es-CO"/>
        </w:rPr>
        <w:t xml:space="preserve"> </w:t>
      </w:r>
      <w:r w:rsidRPr="00B56F80">
        <w:rPr>
          <w:rFonts w:ascii="Arial Narrow" w:hAnsi="Arial Narrow" w:cs="Arial"/>
          <w:i/>
          <w:sz w:val="24"/>
          <w:szCs w:val="24"/>
          <w:lang w:val="es-CO"/>
        </w:rPr>
        <w:t>de</w:t>
      </w:r>
      <w:r w:rsidRPr="00B56F80">
        <w:rPr>
          <w:rFonts w:ascii="Arial Narrow" w:hAnsi="Arial Narrow" w:cs="Arial"/>
          <w:i/>
          <w:spacing w:val="-11"/>
          <w:sz w:val="24"/>
          <w:szCs w:val="24"/>
          <w:lang w:val="es-CO"/>
        </w:rPr>
        <w:t xml:space="preserve"> </w:t>
      </w:r>
      <w:r w:rsidRPr="00B56F80">
        <w:rPr>
          <w:rFonts w:ascii="Arial Narrow" w:hAnsi="Arial Narrow" w:cs="Arial"/>
          <w:i/>
          <w:sz w:val="24"/>
          <w:szCs w:val="24"/>
          <w:lang w:val="es-CO"/>
        </w:rPr>
        <w:t>posesión</w:t>
      </w:r>
      <w:r w:rsidRPr="00B56F80">
        <w:rPr>
          <w:rFonts w:ascii="Arial Narrow" w:hAnsi="Arial Narrow" w:cs="Arial"/>
          <w:i/>
          <w:spacing w:val="-11"/>
          <w:sz w:val="24"/>
          <w:szCs w:val="24"/>
          <w:lang w:val="es-CO"/>
        </w:rPr>
        <w:t xml:space="preserve"> </w:t>
      </w:r>
      <w:r w:rsidRPr="00B56F80">
        <w:rPr>
          <w:rFonts w:ascii="Arial Narrow" w:hAnsi="Arial Narrow" w:cs="Arial"/>
          <w:i/>
          <w:sz w:val="24"/>
          <w:szCs w:val="24"/>
          <w:lang w:val="es-CO"/>
        </w:rPr>
        <w:t>del</w:t>
      </w:r>
      <w:r w:rsidRPr="00B56F80">
        <w:rPr>
          <w:rFonts w:ascii="Arial Narrow" w:hAnsi="Arial Narrow" w:cs="Arial"/>
          <w:i/>
          <w:spacing w:val="-10"/>
          <w:sz w:val="24"/>
          <w:szCs w:val="24"/>
          <w:lang w:val="es-CO"/>
        </w:rPr>
        <w:t xml:space="preserve"> </w:t>
      </w:r>
      <w:r w:rsidRPr="00B56F80">
        <w:rPr>
          <w:rFonts w:ascii="Arial Narrow" w:hAnsi="Arial Narrow" w:cs="Arial"/>
          <w:i/>
          <w:sz w:val="24"/>
          <w:szCs w:val="24"/>
          <w:lang w:val="es-CO"/>
        </w:rPr>
        <w:t>pleno de los magistrados que conformen esta</w:t>
      </w:r>
      <w:r w:rsidRPr="00B56F80">
        <w:rPr>
          <w:rFonts w:ascii="Arial Narrow" w:hAnsi="Arial Narrow" w:cs="Arial"/>
          <w:i/>
          <w:spacing w:val="-1"/>
          <w:sz w:val="24"/>
          <w:szCs w:val="24"/>
          <w:lang w:val="es-CO"/>
        </w:rPr>
        <w:t xml:space="preserve"> </w:t>
      </w:r>
      <w:r w:rsidRPr="00B56F80">
        <w:rPr>
          <w:rFonts w:ascii="Arial Narrow" w:hAnsi="Arial Narrow" w:cs="Arial"/>
          <w:i/>
          <w:sz w:val="24"/>
          <w:szCs w:val="24"/>
          <w:lang w:val="es-CO"/>
        </w:rPr>
        <w:t>sala.</w:t>
      </w:r>
    </w:p>
    <w:p w14:paraId="25D689CD" w14:textId="77777777" w:rsidR="008C2E29" w:rsidRPr="00B56F80" w:rsidRDefault="008C2E29" w:rsidP="008C2E29">
      <w:pPr>
        <w:spacing w:after="0" w:line="240" w:lineRule="auto"/>
        <w:jc w:val="both"/>
        <w:rPr>
          <w:rFonts w:ascii="Arial Narrow" w:hAnsi="Arial Narrow" w:cs="Arial"/>
          <w:b/>
          <w:sz w:val="24"/>
          <w:szCs w:val="24"/>
        </w:rPr>
      </w:pPr>
    </w:p>
    <w:p w14:paraId="32714CF9" w14:textId="77777777" w:rsidR="008C2E29" w:rsidRPr="00B56F80" w:rsidRDefault="008C2E29" w:rsidP="008C2E29">
      <w:pPr>
        <w:pStyle w:val="TableParagraph"/>
        <w:spacing w:before="0" w:line="247" w:lineRule="auto"/>
        <w:ind w:right="49"/>
        <w:rPr>
          <w:rFonts w:ascii="Arial Narrow" w:hAnsi="Arial Narrow" w:cs="Arial"/>
          <w:sz w:val="24"/>
          <w:szCs w:val="24"/>
          <w:lang w:val="es-CO"/>
        </w:rPr>
      </w:pPr>
      <w:r w:rsidRPr="00B56F80">
        <w:rPr>
          <w:rFonts w:ascii="Arial Narrow" w:hAnsi="Arial Narrow" w:cs="Arial"/>
          <w:b/>
          <w:sz w:val="24"/>
          <w:szCs w:val="24"/>
          <w:lang w:val="es-CO"/>
        </w:rPr>
        <w:t xml:space="preserve">Artículo 3°. </w:t>
      </w:r>
      <w:r w:rsidRPr="00B56F80">
        <w:rPr>
          <w:rFonts w:ascii="Arial Narrow" w:hAnsi="Arial Narrow" w:cs="Arial"/>
          <w:sz w:val="24"/>
          <w:szCs w:val="24"/>
          <w:lang w:val="es-CO"/>
        </w:rPr>
        <w:t>Adiciónese un parágrafo al artículo 16 de la Ley 270 de 1996, el cual quedará así:</w:t>
      </w:r>
    </w:p>
    <w:p w14:paraId="3FA2BB95" w14:textId="77777777" w:rsidR="008C2E29" w:rsidRPr="00B56F80" w:rsidRDefault="008C2E29" w:rsidP="008C2E29">
      <w:pPr>
        <w:pStyle w:val="TableParagraph"/>
        <w:spacing w:before="0" w:line="247" w:lineRule="auto"/>
        <w:ind w:right="49"/>
        <w:rPr>
          <w:rFonts w:ascii="Arial Narrow" w:hAnsi="Arial Narrow" w:cs="Arial"/>
          <w:sz w:val="24"/>
          <w:szCs w:val="24"/>
          <w:lang w:val="es-CO"/>
        </w:rPr>
      </w:pPr>
    </w:p>
    <w:p w14:paraId="610315C6" w14:textId="77777777" w:rsidR="008C2E29" w:rsidRPr="00B56F80" w:rsidRDefault="008C2E29" w:rsidP="008C2E29">
      <w:pPr>
        <w:pStyle w:val="TableParagraph"/>
        <w:spacing w:before="0" w:line="247" w:lineRule="auto"/>
        <w:ind w:left="708" w:right="49"/>
        <w:rPr>
          <w:rFonts w:ascii="Arial Narrow" w:hAnsi="Arial Narrow" w:cs="Arial"/>
          <w:i/>
          <w:sz w:val="24"/>
          <w:szCs w:val="24"/>
          <w:lang w:val="es-CO"/>
        </w:rPr>
      </w:pPr>
      <w:r w:rsidRPr="00B56F80">
        <w:rPr>
          <w:rFonts w:ascii="Arial Narrow" w:hAnsi="Arial Narrow" w:cs="Arial"/>
          <w:b/>
          <w:i/>
          <w:sz w:val="24"/>
          <w:szCs w:val="24"/>
          <w:lang w:val="es-CO"/>
        </w:rPr>
        <w:t xml:space="preserve">Parágrafo 2°. </w:t>
      </w:r>
      <w:r w:rsidRPr="00B56F80">
        <w:rPr>
          <w:rFonts w:ascii="Arial Narrow" w:hAnsi="Arial Narrow" w:cs="Arial"/>
          <w:i/>
          <w:sz w:val="24"/>
          <w:szCs w:val="24"/>
          <w:lang w:val="es-CO"/>
        </w:rPr>
        <w:t>La Sala Penal de la Corte Suprema de Justicia tendrá una Sala de Descongestión integrada por tres (3) magistrados.</w:t>
      </w:r>
    </w:p>
    <w:p w14:paraId="4E67342E" w14:textId="77777777" w:rsidR="008C2E29" w:rsidRPr="00B56F80" w:rsidRDefault="008C2E29" w:rsidP="008C2E29">
      <w:pPr>
        <w:pStyle w:val="TableParagraph"/>
        <w:spacing w:before="0" w:line="247" w:lineRule="auto"/>
        <w:ind w:left="708" w:right="49"/>
        <w:rPr>
          <w:rFonts w:ascii="Arial Narrow" w:hAnsi="Arial Narrow" w:cs="Arial"/>
          <w:i/>
          <w:sz w:val="24"/>
          <w:szCs w:val="24"/>
          <w:lang w:val="es-CO"/>
        </w:rPr>
      </w:pPr>
    </w:p>
    <w:p w14:paraId="6849AE16" w14:textId="77777777" w:rsidR="008C2E29" w:rsidRPr="00B56F80" w:rsidRDefault="008C2E29" w:rsidP="008C2E29">
      <w:pPr>
        <w:pStyle w:val="TableParagraph"/>
        <w:spacing w:before="0" w:line="247" w:lineRule="auto"/>
        <w:ind w:left="708" w:right="49"/>
        <w:rPr>
          <w:rFonts w:ascii="Arial Narrow" w:hAnsi="Arial Narrow" w:cs="Arial"/>
          <w:i/>
          <w:sz w:val="24"/>
          <w:szCs w:val="24"/>
          <w:lang w:val="es-CO"/>
        </w:rPr>
      </w:pPr>
      <w:r w:rsidRPr="00B56F80">
        <w:rPr>
          <w:rFonts w:ascii="Arial Narrow" w:hAnsi="Arial Narrow" w:cs="Arial"/>
          <w:i/>
          <w:sz w:val="24"/>
          <w:szCs w:val="24"/>
          <w:lang w:val="es-CO"/>
        </w:rPr>
        <w:t xml:space="preserve">Los requisitos para su elección serán los mismos que prevé la Constitución y la ley para elegir los magistrados de la </w:t>
      </w:r>
      <w:r w:rsidRPr="00B56F80">
        <w:rPr>
          <w:rFonts w:ascii="Arial Narrow" w:hAnsi="Arial Narrow" w:cs="Arial"/>
          <w:i/>
          <w:spacing w:val="-3"/>
          <w:sz w:val="24"/>
          <w:szCs w:val="24"/>
          <w:lang w:val="es-CO"/>
        </w:rPr>
        <w:t xml:space="preserve">Corte </w:t>
      </w:r>
      <w:r w:rsidRPr="00B56F80">
        <w:rPr>
          <w:rFonts w:ascii="Arial Narrow" w:hAnsi="Arial Narrow" w:cs="Arial"/>
          <w:i/>
          <w:color w:val="000000" w:themeColor="text1"/>
          <w:sz w:val="24"/>
          <w:szCs w:val="24"/>
          <w:lang w:val="es-CO"/>
        </w:rPr>
        <w:t>Suprema de Justicia, advirtiendo que los magistrados que decidan el mecanismo de impugnación de la sentencia condenatoria no deben haber intervenido de manera previa en el proceso, ejercerán de manera transitoria, no</w:t>
      </w:r>
      <w:r w:rsidRPr="00B56F80">
        <w:rPr>
          <w:rFonts w:ascii="Arial Narrow" w:hAnsi="Arial Narrow" w:cs="Arial"/>
          <w:i/>
          <w:color w:val="000000" w:themeColor="text1"/>
          <w:spacing w:val="-33"/>
          <w:sz w:val="24"/>
          <w:szCs w:val="24"/>
          <w:lang w:val="es-CO"/>
        </w:rPr>
        <w:t xml:space="preserve"> </w:t>
      </w:r>
      <w:r w:rsidRPr="00B56F80">
        <w:rPr>
          <w:rFonts w:ascii="Arial Narrow" w:hAnsi="Arial Narrow" w:cs="Arial"/>
          <w:i/>
          <w:color w:val="000000" w:themeColor="text1"/>
          <w:sz w:val="24"/>
          <w:szCs w:val="24"/>
          <w:lang w:val="es-CO"/>
        </w:rPr>
        <w:t xml:space="preserve">integrarán la Sala Plena, ni tramitarán tutelas, ni recursos de </w:t>
      </w:r>
      <w:r w:rsidRPr="00B56F80">
        <w:rPr>
          <w:rFonts w:ascii="Arial Narrow" w:hAnsi="Arial Narrow" w:cs="Arial"/>
          <w:i/>
          <w:color w:val="000000" w:themeColor="text1"/>
          <w:spacing w:val="-3"/>
          <w:sz w:val="24"/>
          <w:szCs w:val="24"/>
          <w:lang w:val="es-CO"/>
        </w:rPr>
        <w:t>re</w:t>
      </w:r>
      <w:r w:rsidRPr="00B56F80">
        <w:rPr>
          <w:rFonts w:ascii="Arial Narrow" w:hAnsi="Arial Narrow" w:cs="Arial"/>
          <w:i/>
          <w:color w:val="000000" w:themeColor="text1"/>
          <w:sz w:val="24"/>
          <w:szCs w:val="24"/>
          <w:lang w:val="es-CO"/>
        </w:rPr>
        <w:t xml:space="preserve">visión, ni conocerán </w:t>
      </w:r>
      <w:r w:rsidRPr="00B56F80">
        <w:rPr>
          <w:rFonts w:ascii="Arial Narrow" w:hAnsi="Arial Narrow" w:cs="Arial"/>
          <w:i/>
          <w:sz w:val="24"/>
          <w:szCs w:val="24"/>
          <w:lang w:val="es-CO"/>
        </w:rPr>
        <w:t xml:space="preserve">de conflictos de competencia, ni tendrán funciones administrativas, tendrán como único fin tramitar </w:t>
      </w:r>
      <w:r w:rsidRPr="00B56F80">
        <w:rPr>
          <w:rFonts w:ascii="Arial Narrow" w:hAnsi="Arial Narrow" w:cs="Arial"/>
          <w:i/>
          <w:spacing w:val="-14"/>
          <w:sz w:val="24"/>
          <w:szCs w:val="24"/>
          <w:lang w:val="es-CO"/>
        </w:rPr>
        <w:t xml:space="preserve">y </w:t>
      </w:r>
      <w:r w:rsidRPr="00B56F80">
        <w:rPr>
          <w:rFonts w:ascii="Arial Narrow" w:hAnsi="Arial Narrow" w:cs="Arial"/>
          <w:i/>
          <w:sz w:val="24"/>
          <w:szCs w:val="24"/>
          <w:lang w:val="es-CO"/>
        </w:rPr>
        <w:t xml:space="preserve">decidir los recursos de apelación de conformidad con los </w:t>
      </w:r>
      <w:r w:rsidRPr="00B56F80">
        <w:rPr>
          <w:rFonts w:ascii="Arial Narrow" w:hAnsi="Arial Narrow" w:cs="Arial"/>
          <w:i/>
          <w:spacing w:val="-4"/>
          <w:sz w:val="24"/>
          <w:szCs w:val="24"/>
          <w:lang w:val="es-CO"/>
        </w:rPr>
        <w:t>tra</w:t>
      </w:r>
      <w:r w:rsidRPr="00B56F80">
        <w:rPr>
          <w:rFonts w:ascii="Arial Narrow" w:hAnsi="Arial Narrow" w:cs="Arial"/>
          <w:i/>
          <w:sz w:val="24"/>
          <w:szCs w:val="24"/>
          <w:lang w:val="es-CO"/>
        </w:rPr>
        <w:t xml:space="preserve">tados internacionales </w:t>
      </w:r>
      <w:r w:rsidRPr="00B56F80">
        <w:rPr>
          <w:rFonts w:ascii="Arial Narrow" w:hAnsi="Arial Narrow" w:cs="Arial"/>
          <w:i/>
          <w:spacing w:val="-3"/>
          <w:sz w:val="24"/>
          <w:szCs w:val="24"/>
          <w:lang w:val="es-CO"/>
        </w:rPr>
        <w:t xml:space="preserve">sobre </w:t>
      </w:r>
      <w:r w:rsidRPr="00B56F80">
        <w:rPr>
          <w:rFonts w:ascii="Arial Narrow" w:hAnsi="Arial Narrow" w:cs="Arial"/>
          <w:i/>
          <w:sz w:val="24"/>
          <w:szCs w:val="24"/>
          <w:lang w:val="es-CO"/>
        </w:rPr>
        <w:t>derechos humanos ratificados</w:t>
      </w:r>
      <w:r w:rsidRPr="00B56F80">
        <w:rPr>
          <w:rFonts w:ascii="Arial Narrow" w:hAnsi="Arial Narrow" w:cs="Arial"/>
          <w:i/>
          <w:spacing w:val="-21"/>
          <w:sz w:val="24"/>
          <w:szCs w:val="24"/>
          <w:lang w:val="es-CO"/>
        </w:rPr>
        <w:t xml:space="preserve"> </w:t>
      </w:r>
      <w:r w:rsidRPr="00B56F80">
        <w:rPr>
          <w:rFonts w:ascii="Arial Narrow" w:hAnsi="Arial Narrow" w:cs="Arial"/>
          <w:i/>
          <w:sz w:val="24"/>
          <w:szCs w:val="24"/>
          <w:lang w:val="es-CO"/>
        </w:rPr>
        <w:t>por Colombia acerca de la doble conformidad y la doble</w:t>
      </w:r>
      <w:r w:rsidRPr="00B56F80">
        <w:rPr>
          <w:rFonts w:ascii="Arial Narrow" w:hAnsi="Arial Narrow" w:cs="Arial"/>
          <w:i/>
          <w:spacing w:val="-35"/>
          <w:sz w:val="24"/>
          <w:szCs w:val="24"/>
          <w:lang w:val="es-CO"/>
        </w:rPr>
        <w:t xml:space="preserve"> </w:t>
      </w:r>
      <w:r w:rsidRPr="00B56F80">
        <w:rPr>
          <w:rFonts w:ascii="Arial Narrow" w:hAnsi="Arial Narrow" w:cs="Arial"/>
          <w:i/>
          <w:sz w:val="24"/>
          <w:szCs w:val="24"/>
          <w:lang w:val="es-CO"/>
        </w:rPr>
        <w:t>instancia de</w:t>
      </w:r>
      <w:r w:rsidRPr="00B56F80">
        <w:rPr>
          <w:rFonts w:ascii="Arial Narrow" w:hAnsi="Arial Narrow" w:cs="Arial"/>
          <w:i/>
          <w:spacing w:val="21"/>
          <w:sz w:val="24"/>
          <w:szCs w:val="24"/>
          <w:lang w:val="es-CO"/>
        </w:rPr>
        <w:t xml:space="preserve"> </w:t>
      </w:r>
      <w:r w:rsidRPr="00B56F80">
        <w:rPr>
          <w:rFonts w:ascii="Arial Narrow" w:hAnsi="Arial Narrow" w:cs="Arial"/>
          <w:i/>
          <w:sz w:val="24"/>
          <w:szCs w:val="24"/>
          <w:lang w:val="es-CO"/>
        </w:rPr>
        <w:t>las</w:t>
      </w:r>
      <w:r w:rsidRPr="00B56F80">
        <w:rPr>
          <w:rFonts w:ascii="Arial Narrow" w:hAnsi="Arial Narrow" w:cs="Arial"/>
          <w:i/>
          <w:spacing w:val="21"/>
          <w:sz w:val="24"/>
          <w:szCs w:val="24"/>
          <w:lang w:val="es-CO"/>
        </w:rPr>
        <w:t xml:space="preserve"> </w:t>
      </w:r>
      <w:r w:rsidRPr="00B56F80">
        <w:rPr>
          <w:rFonts w:ascii="Arial Narrow" w:hAnsi="Arial Narrow" w:cs="Arial"/>
          <w:i/>
          <w:sz w:val="24"/>
          <w:szCs w:val="24"/>
          <w:lang w:val="es-CO"/>
        </w:rPr>
        <w:t>sentencias</w:t>
      </w:r>
      <w:r w:rsidRPr="00B56F80">
        <w:rPr>
          <w:rFonts w:ascii="Arial Narrow" w:hAnsi="Arial Narrow" w:cs="Arial"/>
          <w:i/>
          <w:spacing w:val="22"/>
          <w:sz w:val="24"/>
          <w:szCs w:val="24"/>
          <w:lang w:val="es-CO"/>
        </w:rPr>
        <w:t xml:space="preserve"> </w:t>
      </w:r>
      <w:r w:rsidRPr="00B56F80">
        <w:rPr>
          <w:rFonts w:ascii="Arial Narrow" w:hAnsi="Arial Narrow" w:cs="Arial"/>
          <w:i/>
          <w:sz w:val="24"/>
          <w:szCs w:val="24"/>
          <w:lang w:val="es-CO"/>
        </w:rPr>
        <w:t>proferidas</w:t>
      </w:r>
      <w:r w:rsidRPr="00B56F80">
        <w:rPr>
          <w:rFonts w:ascii="Arial Narrow" w:hAnsi="Arial Narrow" w:cs="Arial"/>
          <w:i/>
          <w:spacing w:val="21"/>
          <w:sz w:val="24"/>
          <w:szCs w:val="24"/>
          <w:lang w:val="es-CO"/>
        </w:rPr>
        <w:t xml:space="preserve"> </w:t>
      </w:r>
      <w:r w:rsidRPr="00B56F80">
        <w:rPr>
          <w:rFonts w:ascii="Arial Narrow" w:hAnsi="Arial Narrow" w:cs="Arial"/>
          <w:i/>
          <w:sz w:val="24"/>
          <w:szCs w:val="24"/>
          <w:lang w:val="es-CO"/>
        </w:rPr>
        <w:t>en</w:t>
      </w:r>
      <w:r w:rsidRPr="00B56F80">
        <w:rPr>
          <w:rFonts w:ascii="Arial Narrow" w:hAnsi="Arial Narrow" w:cs="Arial"/>
          <w:i/>
          <w:spacing w:val="22"/>
          <w:sz w:val="24"/>
          <w:szCs w:val="24"/>
          <w:lang w:val="es-CO"/>
        </w:rPr>
        <w:t xml:space="preserve"> </w:t>
      </w:r>
      <w:r w:rsidRPr="00B56F80">
        <w:rPr>
          <w:rFonts w:ascii="Arial Narrow" w:hAnsi="Arial Narrow" w:cs="Arial"/>
          <w:i/>
          <w:sz w:val="24"/>
          <w:szCs w:val="24"/>
          <w:lang w:val="es-CO"/>
        </w:rPr>
        <w:t>única</w:t>
      </w:r>
      <w:r w:rsidRPr="00B56F80">
        <w:rPr>
          <w:rFonts w:ascii="Arial Narrow" w:hAnsi="Arial Narrow" w:cs="Arial"/>
          <w:i/>
          <w:spacing w:val="21"/>
          <w:sz w:val="24"/>
          <w:szCs w:val="24"/>
          <w:lang w:val="es-CO"/>
        </w:rPr>
        <w:t xml:space="preserve"> </w:t>
      </w:r>
      <w:r w:rsidRPr="00B56F80">
        <w:rPr>
          <w:rFonts w:ascii="Arial Narrow" w:hAnsi="Arial Narrow" w:cs="Arial"/>
          <w:i/>
          <w:sz w:val="24"/>
          <w:szCs w:val="24"/>
          <w:lang w:val="es-CO"/>
        </w:rPr>
        <w:t>instancia</w:t>
      </w:r>
      <w:r w:rsidRPr="00B56F80">
        <w:rPr>
          <w:rFonts w:ascii="Arial Narrow" w:hAnsi="Arial Narrow" w:cs="Arial"/>
          <w:i/>
          <w:spacing w:val="22"/>
          <w:sz w:val="24"/>
          <w:szCs w:val="24"/>
          <w:lang w:val="es-CO"/>
        </w:rPr>
        <w:t xml:space="preserve"> </w:t>
      </w:r>
      <w:r w:rsidRPr="00B56F80">
        <w:rPr>
          <w:rFonts w:ascii="Arial Narrow" w:hAnsi="Arial Narrow" w:cs="Arial"/>
          <w:i/>
          <w:sz w:val="24"/>
          <w:szCs w:val="24"/>
          <w:lang w:val="es-CO"/>
        </w:rPr>
        <w:t>por</w:t>
      </w:r>
      <w:r w:rsidRPr="00B56F80">
        <w:rPr>
          <w:rFonts w:ascii="Arial Narrow" w:hAnsi="Arial Narrow" w:cs="Arial"/>
          <w:i/>
          <w:spacing w:val="21"/>
          <w:sz w:val="24"/>
          <w:szCs w:val="24"/>
          <w:lang w:val="es-CO"/>
        </w:rPr>
        <w:t xml:space="preserve"> </w:t>
      </w:r>
      <w:r w:rsidRPr="00B56F80">
        <w:rPr>
          <w:rFonts w:ascii="Arial Narrow" w:hAnsi="Arial Narrow" w:cs="Arial"/>
          <w:i/>
          <w:sz w:val="24"/>
          <w:szCs w:val="24"/>
          <w:lang w:val="es-CO"/>
        </w:rPr>
        <w:t>la</w:t>
      </w:r>
      <w:r w:rsidRPr="00B56F80">
        <w:rPr>
          <w:rFonts w:ascii="Arial Narrow" w:hAnsi="Arial Narrow" w:cs="Arial"/>
          <w:i/>
          <w:spacing w:val="22"/>
          <w:sz w:val="24"/>
          <w:szCs w:val="24"/>
          <w:lang w:val="es-CO"/>
        </w:rPr>
        <w:t xml:space="preserve"> </w:t>
      </w:r>
      <w:r w:rsidRPr="00B56F80">
        <w:rPr>
          <w:rFonts w:ascii="Arial Narrow" w:hAnsi="Arial Narrow" w:cs="Arial"/>
          <w:i/>
          <w:spacing w:val="-3"/>
          <w:sz w:val="24"/>
          <w:szCs w:val="24"/>
          <w:lang w:val="es-CO"/>
        </w:rPr>
        <w:t xml:space="preserve">Corte </w:t>
      </w:r>
      <w:r w:rsidRPr="00B56F80">
        <w:rPr>
          <w:rFonts w:ascii="Arial Narrow" w:hAnsi="Arial Narrow" w:cs="Arial"/>
          <w:i/>
          <w:sz w:val="24"/>
          <w:szCs w:val="24"/>
          <w:lang w:val="es-CO"/>
        </w:rPr>
        <w:t>Suprema de Justicia.</w:t>
      </w:r>
    </w:p>
    <w:p w14:paraId="6DA878FA" w14:textId="77777777" w:rsidR="008C2E29" w:rsidRPr="00B56F80" w:rsidRDefault="008C2E29" w:rsidP="008C2E29">
      <w:pPr>
        <w:pStyle w:val="TableParagraph"/>
        <w:spacing w:before="0" w:line="247" w:lineRule="auto"/>
        <w:ind w:right="47"/>
        <w:rPr>
          <w:rFonts w:ascii="Arial Narrow" w:hAnsi="Arial Narrow" w:cs="Arial"/>
          <w:i/>
          <w:sz w:val="24"/>
          <w:szCs w:val="24"/>
          <w:lang w:val="es-CO"/>
        </w:rPr>
      </w:pPr>
    </w:p>
    <w:p w14:paraId="7335F9BD" w14:textId="77777777" w:rsidR="008C2E29" w:rsidRPr="00B56F80" w:rsidRDefault="008C2E29" w:rsidP="008C2E29">
      <w:pPr>
        <w:pStyle w:val="TableParagraph"/>
        <w:spacing w:before="0" w:line="247" w:lineRule="auto"/>
        <w:ind w:right="48"/>
        <w:rPr>
          <w:rFonts w:ascii="Arial Narrow" w:hAnsi="Arial Narrow" w:cs="Arial"/>
          <w:sz w:val="24"/>
          <w:szCs w:val="24"/>
          <w:lang w:val="es-CO"/>
        </w:rPr>
      </w:pPr>
      <w:r w:rsidRPr="00B56F80">
        <w:rPr>
          <w:rFonts w:ascii="Arial Narrow" w:hAnsi="Arial Narrow" w:cs="Arial"/>
          <w:b/>
          <w:sz w:val="24"/>
          <w:szCs w:val="24"/>
          <w:lang w:val="es-CO"/>
        </w:rPr>
        <w:t xml:space="preserve">Artículo 4°. </w:t>
      </w:r>
      <w:r w:rsidRPr="00B56F80">
        <w:rPr>
          <w:rFonts w:ascii="Arial Narrow" w:hAnsi="Arial Narrow" w:cs="Arial"/>
          <w:sz w:val="24"/>
          <w:szCs w:val="24"/>
          <w:lang w:val="es-CO"/>
        </w:rPr>
        <w:t>Las personas que estén legitimadas y consideren la</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necesidad</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de</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impugnar</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las</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sentencias</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a</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que</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se</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refiere</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el</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 xml:space="preserve">artículo anterior, tendrán plazo de seis (6) meses contados a </w:t>
      </w:r>
      <w:r w:rsidRPr="00B56F80">
        <w:rPr>
          <w:rFonts w:ascii="Arial Narrow" w:hAnsi="Arial Narrow" w:cs="Arial"/>
          <w:spacing w:val="-3"/>
          <w:sz w:val="24"/>
          <w:szCs w:val="24"/>
          <w:lang w:val="es-CO"/>
        </w:rPr>
        <w:t xml:space="preserve">partir </w:t>
      </w:r>
      <w:r w:rsidRPr="00B56F80">
        <w:rPr>
          <w:rFonts w:ascii="Arial Narrow" w:hAnsi="Arial Narrow" w:cs="Arial"/>
          <w:sz w:val="24"/>
          <w:szCs w:val="24"/>
          <w:lang w:val="es-CO"/>
        </w:rPr>
        <w:t xml:space="preserve">de la fecha de posesión de los magistrados que conforman </w:t>
      </w:r>
      <w:r w:rsidRPr="00B56F80">
        <w:rPr>
          <w:rFonts w:ascii="Arial Narrow" w:hAnsi="Arial Narrow" w:cs="Arial"/>
          <w:spacing w:val="-6"/>
          <w:sz w:val="24"/>
          <w:szCs w:val="24"/>
          <w:lang w:val="es-CO"/>
        </w:rPr>
        <w:t xml:space="preserve">la </w:t>
      </w:r>
      <w:r w:rsidRPr="00B56F80">
        <w:rPr>
          <w:rFonts w:ascii="Arial Narrow" w:hAnsi="Arial Narrow" w:cs="Arial"/>
          <w:sz w:val="24"/>
          <w:szCs w:val="24"/>
          <w:lang w:val="es-CO"/>
        </w:rPr>
        <w:t>Sala de Descongestión para allegar el escrito que solicite el recurso. Una vez vencido este término se entenderá que quien no haya impugnado la sentencia condenatoria en su contra, renuncia</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a</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este</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derecho,</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la</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sentencia</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hará</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tránsito</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a</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cosa</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juzgada y la condena quedará en</w:t>
      </w:r>
      <w:r w:rsidRPr="00B56F80">
        <w:rPr>
          <w:rFonts w:ascii="Arial Narrow" w:hAnsi="Arial Narrow" w:cs="Arial"/>
          <w:spacing w:val="-2"/>
          <w:sz w:val="24"/>
          <w:szCs w:val="24"/>
          <w:lang w:val="es-CO"/>
        </w:rPr>
        <w:t xml:space="preserve"> </w:t>
      </w:r>
      <w:r w:rsidRPr="00B56F80">
        <w:rPr>
          <w:rFonts w:ascii="Arial Narrow" w:hAnsi="Arial Narrow" w:cs="Arial"/>
          <w:sz w:val="24"/>
          <w:szCs w:val="24"/>
          <w:lang w:val="es-CO"/>
        </w:rPr>
        <w:t>firme.</w:t>
      </w:r>
    </w:p>
    <w:p w14:paraId="78BACFA7" w14:textId="77777777" w:rsidR="008C2E29" w:rsidRPr="00B56F80" w:rsidRDefault="008C2E29" w:rsidP="008C2E29">
      <w:pPr>
        <w:pStyle w:val="TableParagraph"/>
        <w:spacing w:before="0" w:line="247" w:lineRule="auto"/>
        <w:ind w:right="48"/>
        <w:rPr>
          <w:rFonts w:ascii="Arial Narrow" w:hAnsi="Arial Narrow" w:cs="Arial"/>
          <w:sz w:val="24"/>
          <w:szCs w:val="24"/>
          <w:lang w:val="es-CO"/>
        </w:rPr>
      </w:pPr>
    </w:p>
    <w:p w14:paraId="31BD2D95" w14:textId="77777777" w:rsidR="008C2E29" w:rsidRPr="00B56F80" w:rsidRDefault="008C2E29" w:rsidP="008C2E29">
      <w:pPr>
        <w:pStyle w:val="TableParagraph"/>
        <w:spacing w:before="0" w:line="247" w:lineRule="auto"/>
        <w:ind w:left="708" w:right="47"/>
        <w:rPr>
          <w:rFonts w:ascii="Arial Narrow" w:hAnsi="Arial Narrow" w:cs="Arial"/>
          <w:i/>
          <w:sz w:val="24"/>
          <w:szCs w:val="24"/>
          <w:lang w:val="es-CO"/>
        </w:rPr>
      </w:pPr>
      <w:r w:rsidRPr="00B56F80">
        <w:rPr>
          <w:rFonts w:ascii="Arial Narrow" w:hAnsi="Arial Narrow" w:cs="Arial"/>
          <w:b/>
          <w:sz w:val="24"/>
          <w:szCs w:val="24"/>
          <w:lang w:val="es-CO"/>
        </w:rPr>
        <w:t xml:space="preserve">Parágrafo primero. </w:t>
      </w:r>
      <w:r w:rsidRPr="00B56F80">
        <w:rPr>
          <w:rFonts w:ascii="Arial Narrow" w:hAnsi="Arial Narrow" w:cs="Arial"/>
          <w:spacing w:val="-4"/>
          <w:sz w:val="24"/>
          <w:szCs w:val="24"/>
          <w:lang w:val="es-CO"/>
        </w:rPr>
        <w:t xml:space="preserve">Toda </w:t>
      </w:r>
      <w:r w:rsidRPr="00B56F80">
        <w:rPr>
          <w:rFonts w:ascii="Arial Narrow" w:hAnsi="Arial Narrow" w:cs="Arial"/>
          <w:sz w:val="24"/>
          <w:szCs w:val="24"/>
          <w:lang w:val="es-CO"/>
        </w:rPr>
        <w:t xml:space="preserve">persona que haya sido sujeto </w:t>
      </w:r>
      <w:r w:rsidRPr="00B56F80">
        <w:rPr>
          <w:rFonts w:ascii="Arial Narrow" w:hAnsi="Arial Narrow" w:cs="Arial"/>
          <w:spacing w:val="-6"/>
          <w:sz w:val="24"/>
          <w:szCs w:val="24"/>
          <w:lang w:val="es-CO"/>
        </w:rPr>
        <w:t xml:space="preserve">de </w:t>
      </w:r>
      <w:r w:rsidRPr="00B56F80">
        <w:rPr>
          <w:rFonts w:ascii="Arial Narrow" w:hAnsi="Arial Narrow" w:cs="Arial"/>
          <w:sz w:val="24"/>
          <w:szCs w:val="24"/>
          <w:lang w:val="es-CO"/>
        </w:rPr>
        <w:t xml:space="preserve">una sentencia penal condenatoria en única instancia proferida a partir del 23 de marzo de 1976, fecha de entrada en vigencia en Colombia del Pacto de Derechos Civiles y Políticos de </w:t>
      </w:r>
      <w:r w:rsidRPr="00B56F80">
        <w:rPr>
          <w:rFonts w:ascii="Arial Narrow" w:hAnsi="Arial Narrow" w:cs="Arial"/>
          <w:spacing w:val="-6"/>
          <w:sz w:val="24"/>
          <w:szCs w:val="24"/>
          <w:lang w:val="es-CO"/>
        </w:rPr>
        <w:t xml:space="preserve">la </w:t>
      </w:r>
      <w:r w:rsidRPr="00B56F80">
        <w:rPr>
          <w:rFonts w:ascii="Arial Narrow" w:hAnsi="Arial Narrow" w:cs="Arial"/>
          <w:sz w:val="24"/>
          <w:szCs w:val="24"/>
          <w:lang w:val="es-CO"/>
        </w:rPr>
        <w:t>Organización</w:t>
      </w:r>
      <w:r w:rsidRPr="00B56F80">
        <w:rPr>
          <w:rFonts w:ascii="Arial Narrow" w:hAnsi="Arial Narrow" w:cs="Arial"/>
          <w:spacing w:val="-6"/>
          <w:sz w:val="24"/>
          <w:szCs w:val="24"/>
          <w:lang w:val="es-CO"/>
        </w:rPr>
        <w:t xml:space="preserve"> </w:t>
      </w:r>
      <w:r w:rsidRPr="00B56F80">
        <w:rPr>
          <w:rFonts w:ascii="Arial Narrow" w:hAnsi="Arial Narrow" w:cs="Arial"/>
          <w:sz w:val="24"/>
          <w:szCs w:val="24"/>
          <w:lang w:val="es-CO"/>
        </w:rPr>
        <w:t>de</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Naciones</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Unidas</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(ONU)</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y</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hasta</w:t>
      </w:r>
      <w:r w:rsidRPr="00B56F80">
        <w:rPr>
          <w:rFonts w:ascii="Arial Narrow" w:hAnsi="Arial Narrow" w:cs="Arial"/>
          <w:spacing w:val="-5"/>
          <w:sz w:val="24"/>
          <w:szCs w:val="24"/>
          <w:lang w:val="es-CO"/>
        </w:rPr>
        <w:t xml:space="preserve"> </w:t>
      </w:r>
      <w:r w:rsidRPr="00B56F80">
        <w:rPr>
          <w:rFonts w:ascii="Arial Narrow" w:hAnsi="Arial Narrow" w:cs="Arial"/>
          <w:sz w:val="24"/>
          <w:szCs w:val="24"/>
          <w:lang w:val="es-CO"/>
        </w:rPr>
        <w:t>la</w:t>
      </w:r>
      <w:r w:rsidRPr="00B56F80">
        <w:rPr>
          <w:rFonts w:ascii="Arial Narrow" w:hAnsi="Arial Narrow" w:cs="Arial"/>
          <w:spacing w:val="-4"/>
          <w:sz w:val="24"/>
          <w:szCs w:val="24"/>
          <w:lang w:val="es-CO"/>
        </w:rPr>
        <w:t xml:space="preserve"> </w:t>
      </w:r>
      <w:r w:rsidRPr="00B56F80">
        <w:rPr>
          <w:rFonts w:ascii="Arial Narrow" w:hAnsi="Arial Narrow" w:cs="Arial"/>
          <w:sz w:val="24"/>
          <w:szCs w:val="24"/>
          <w:lang w:val="es-CO"/>
        </w:rPr>
        <w:t>entrada</w:t>
      </w:r>
      <w:r w:rsidRPr="00B56F80">
        <w:rPr>
          <w:rFonts w:ascii="Arial Narrow" w:hAnsi="Arial Narrow" w:cs="Arial"/>
          <w:spacing w:val="-4"/>
          <w:sz w:val="24"/>
          <w:szCs w:val="24"/>
          <w:lang w:val="es-CO"/>
        </w:rPr>
        <w:t xml:space="preserve"> </w:t>
      </w:r>
      <w:r w:rsidRPr="00B56F80">
        <w:rPr>
          <w:rFonts w:ascii="Arial Narrow" w:hAnsi="Arial Narrow" w:cs="Arial"/>
          <w:spacing w:val="-8"/>
          <w:sz w:val="24"/>
          <w:szCs w:val="24"/>
          <w:lang w:val="es-CO"/>
        </w:rPr>
        <w:t xml:space="preserve">en </w:t>
      </w:r>
      <w:r w:rsidRPr="00B56F80">
        <w:rPr>
          <w:rFonts w:ascii="Arial Narrow" w:hAnsi="Arial Narrow" w:cs="Arial"/>
          <w:sz w:val="24"/>
          <w:szCs w:val="24"/>
          <w:lang w:val="es-CO"/>
        </w:rPr>
        <w:t xml:space="preserve">vigencia de la presente </w:t>
      </w:r>
      <w:r w:rsidRPr="00B56F80">
        <w:rPr>
          <w:rFonts w:ascii="Arial Narrow" w:hAnsi="Arial Narrow" w:cs="Arial"/>
          <w:spacing w:val="-4"/>
          <w:sz w:val="24"/>
          <w:szCs w:val="24"/>
          <w:lang w:val="es-CO"/>
        </w:rPr>
        <w:t xml:space="preserve">ley, </w:t>
      </w:r>
      <w:r w:rsidRPr="00B56F80">
        <w:rPr>
          <w:rFonts w:ascii="Arial Narrow" w:hAnsi="Arial Narrow" w:cs="Arial"/>
          <w:sz w:val="24"/>
          <w:szCs w:val="24"/>
          <w:lang w:val="es-CO"/>
        </w:rPr>
        <w:t xml:space="preserve">tendrá derecho a impugnarla </w:t>
      </w:r>
      <w:r w:rsidRPr="00B56F80">
        <w:rPr>
          <w:rFonts w:ascii="Arial Narrow" w:hAnsi="Arial Narrow" w:cs="Arial"/>
          <w:spacing w:val="-4"/>
          <w:sz w:val="24"/>
          <w:szCs w:val="24"/>
          <w:lang w:val="es-CO"/>
        </w:rPr>
        <w:t xml:space="preserve">bajo </w:t>
      </w:r>
      <w:r w:rsidRPr="00B56F80">
        <w:rPr>
          <w:rFonts w:ascii="Arial Narrow" w:hAnsi="Arial Narrow" w:cs="Arial"/>
          <w:sz w:val="24"/>
          <w:szCs w:val="24"/>
          <w:lang w:val="es-CO"/>
        </w:rPr>
        <w:t xml:space="preserve">las mismas reglas de apelación de las sentencias de </w:t>
      </w:r>
      <w:r w:rsidRPr="00B56F80">
        <w:rPr>
          <w:rFonts w:ascii="Arial Narrow" w:hAnsi="Arial Narrow" w:cs="Arial"/>
          <w:spacing w:val="-3"/>
          <w:sz w:val="24"/>
          <w:szCs w:val="24"/>
          <w:lang w:val="es-CO"/>
        </w:rPr>
        <w:t xml:space="preserve">primera </w:t>
      </w:r>
      <w:r w:rsidRPr="00B56F80">
        <w:rPr>
          <w:rFonts w:ascii="Arial Narrow" w:hAnsi="Arial Narrow" w:cs="Arial"/>
          <w:sz w:val="24"/>
          <w:szCs w:val="24"/>
          <w:lang w:val="es-CO"/>
        </w:rPr>
        <w:t>instancia señaladas en la Ley 906 de 2004 o en las disposiciones que la modifiquen o</w:t>
      </w:r>
      <w:r w:rsidRPr="00B56F80">
        <w:rPr>
          <w:rFonts w:ascii="Arial Narrow" w:hAnsi="Arial Narrow" w:cs="Arial"/>
          <w:spacing w:val="-3"/>
          <w:sz w:val="24"/>
          <w:szCs w:val="24"/>
          <w:lang w:val="es-CO"/>
        </w:rPr>
        <w:t xml:space="preserve"> </w:t>
      </w:r>
      <w:r w:rsidRPr="00B56F80">
        <w:rPr>
          <w:rFonts w:ascii="Arial Narrow" w:hAnsi="Arial Narrow" w:cs="Arial"/>
          <w:sz w:val="24"/>
          <w:szCs w:val="24"/>
          <w:lang w:val="es-CO"/>
        </w:rPr>
        <w:t>sustituyan.</w:t>
      </w:r>
    </w:p>
    <w:p w14:paraId="418A86F8" w14:textId="77777777" w:rsidR="008C2E29" w:rsidRPr="00B56F80" w:rsidRDefault="008C2E29" w:rsidP="008C2E29">
      <w:pPr>
        <w:spacing w:after="0" w:line="240" w:lineRule="auto"/>
        <w:rPr>
          <w:rFonts w:ascii="Arial Narrow" w:hAnsi="Arial Narrow" w:cs="Arial"/>
          <w:sz w:val="24"/>
          <w:szCs w:val="24"/>
        </w:rPr>
      </w:pPr>
    </w:p>
    <w:p w14:paraId="7A68A9C3" w14:textId="798891F4" w:rsidR="008C2E29" w:rsidRPr="00B56F80" w:rsidRDefault="008C2E29" w:rsidP="008C2E29">
      <w:pPr>
        <w:spacing w:after="0" w:line="247" w:lineRule="auto"/>
        <w:jc w:val="both"/>
        <w:rPr>
          <w:rFonts w:ascii="Arial Narrow" w:hAnsi="Arial Narrow" w:cs="Arial"/>
          <w:sz w:val="24"/>
          <w:szCs w:val="24"/>
        </w:rPr>
      </w:pPr>
      <w:r w:rsidRPr="00B56F80">
        <w:rPr>
          <w:rFonts w:ascii="Arial Narrow" w:hAnsi="Arial Narrow" w:cs="Arial"/>
          <w:b/>
          <w:sz w:val="24"/>
          <w:szCs w:val="24"/>
        </w:rPr>
        <w:t xml:space="preserve">Artículo 5°. </w:t>
      </w:r>
      <w:r w:rsidRPr="00B56F80">
        <w:rPr>
          <w:rFonts w:ascii="Arial Narrow" w:hAnsi="Arial Narrow" w:cs="Arial"/>
          <w:sz w:val="24"/>
          <w:szCs w:val="24"/>
        </w:rPr>
        <w:t>La impugnación de las sentencias condenatorias proferidas en única instancia, con posterioridad a la entrada en vigencia de esta ley, se someterá al procedimiento establecido en el Acto Legislativo número 01 de 2018.</w:t>
      </w:r>
    </w:p>
    <w:p w14:paraId="1C459D98" w14:textId="77777777" w:rsidR="008C2E29" w:rsidRPr="00B56F80" w:rsidRDefault="008C2E29" w:rsidP="008C2E29">
      <w:pPr>
        <w:spacing w:after="0" w:line="240" w:lineRule="auto"/>
        <w:jc w:val="both"/>
        <w:rPr>
          <w:rFonts w:ascii="Arial Narrow" w:hAnsi="Arial Narrow" w:cs="Arial"/>
          <w:b/>
          <w:sz w:val="24"/>
          <w:szCs w:val="24"/>
        </w:rPr>
      </w:pPr>
    </w:p>
    <w:p w14:paraId="35BB9E85" w14:textId="77777777" w:rsidR="008C2E29" w:rsidRPr="00B56F80" w:rsidRDefault="008C2E29" w:rsidP="008C2E29">
      <w:pPr>
        <w:spacing w:after="0" w:line="240" w:lineRule="auto"/>
        <w:ind w:left="708"/>
        <w:jc w:val="both"/>
        <w:rPr>
          <w:rFonts w:ascii="Arial Narrow" w:hAnsi="Arial Narrow" w:cs="Arial"/>
          <w:sz w:val="24"/>
          <w:szCs w:val="24"/>
        </w:rPr>
      </w:pPr>
      <w:r w:rsidRPr="00B56F80">
        <w:rPr>
          <w:rFonts w:ascii="Arial Narrow" w:hAnsi="Arial Narrow" w:cs="Arial"/>
          <w:b/>
          <w:sz w:val="24"/>
          <w:szCs w:val="24"/>
        </w:rPr>
        <w:t>Parágrafo primero:</w:t>
      </w:r>
      <w:r w:rsidRPr="00B56F80">
        <w:rPr>
          <w:rFonts w:ascii="Arial Narrow" w:hAnsi="Arial Narrow" w:cs="Arial"/>
          <w:color w:val="000000" w:themeColor="text1"/>
          <w:sz w:val="24"/>
          <w:szCs w:val="24"/>
        </w:rPr>
        <w:t xml:space="preserve"> La Corte Suprema de Justicia para conocer de la garantía fundamental de doble conformidad judicial, designará conjueces de la lista de esta corporación, según las reglas de reparto establecidas y atendiendo a los principios de juez natural, independencia, imparcialidad y </w:t>
      </w:r>
      <w:r w:rsidRPr="00B56F80">
        <w:rPr>
          <w:rFonts w:ascii="Arial Narrow" w:hAnsi="Arial Narrow" w:cs="Arial"/>
          <w:i/>
          <w:color w:val="000000" w:themeColor="text1"/>
          <w:sz w:val="24"/>
          <w:szCs w:val="24"/>
        </w:rPr>
        <w:t>advirtiendo que los magistrados que decidan el mecanismo de impugnación de la sentencia condenatoria no deben haber intervenido de manera previa en el proceso.</w:t>
      </w:r>
    </w:p>
    <w:p w14:paraId="79BD2709" w14:textId="77777777" w:rsidR="008C2E29" w:rsidRPr="00B56F80" w:rsidRDefault="008C2E29" w:rsidP="008C2E29">
      <w:pPr>
        <w:spacing w:after="0" w:line="240" w:lineRule="auto"/>
        <w:rPr>
          <w:rFonts w:ascii="Arial Narrow" w:hAnsi="Arial Narrow" w:cs="Arial"/>
          <w:sz w:val="24"/>
          <w:szCs w:val="24"/>
        </w:rPr>
      </w:pPr>
    </w:p>
    <w:p w14:paraId="688F727D" w14:textId="77777777" w:rsidR="008C2E29" w:rsidRPr="00B56F80" w:rsidRDefault="008C2E29" w:rsidP="008C2E29">
      <w:pPr>
        <w:spacing w:after="0" w:line="240" w:lineRule="auto"/>
        <w:rPr>
          <w:rFonts w:ascii="Arial Narrow" w:hAnsi="Arial Narrow" w:cs="Arial"/>
          <w:sz w:val="24"/>
          <w:szCs w:val="24"/>
        </w:rPr>
      </w:pPr>
      <w:r w:rsidRPr="00B56F80">
        <w:rPr>
          <w:rFonts w:ascii="Arial Narrow" w:hAnsi="Arial Narrow" w:cs="Arial"/>
          <w:b/>
          <w:sz w:val="24"/>
          <w:szCs w:val="24"/>
        </w:rPr>
        <w:t xml:space="preserve">Artículo 6°. </w:t>
      </w:r>
      <w:r w:rsidRPr="00B56F80">
        <w:rPr>
          <w:rFonts w:ascii="Arial Narrow" w:hAnsi="Arial Narrow" w:cs="Arial"/>
          <w:sz w:val="24"/>
          <w:szCs w:val="24"/>
        </w:rPr>
        <w:t>Autorícese al Gobierno Nacional y al Consejo</w:t>
      </w:r>
      <w:r w:rsidRPr="00B56F80">
        <w:rPr>
          <w:rFonts w:ascii="Arial Narrow" w:hAnsi="Arial Narrow" w:cs="Arial"/>
          <w:spacing w:val="-28"/>
          <w:sz w:val="24"/>
          <w:szCs w:val="24"/>
        </w:rPr>
        <w:t xml:space="preserve"> </w:t>
      </w:r>
      <w:r w:rsidRPr="00B56F80">
        <w:rPr>
          <w:rFonts w:ascii="Arial Narrow" w:hAnsi="Arial Narrow" w:cs="Arial"/>
          <w:spacing w:val="-5"/>
          <w:sz w:val="24"/>
          <w:szCs w:val="24"/>
        </w:rPr>
        <w:t>Su</w:t>
      </w:r>
      <w:r w:rsidRPr="00B56F80">
        <w:rPr>
          <w:rFonts w:ascii="Arial Narrow" w:hAnsi="Arial Narrow" w:cs="Arial"/>
          <w:sz w:val="24"/>
          <w:szCs w:val="24"/>
        </w:rPr>
        <w:t xml:space="preserve">perior de la Judicatura a realizar las apropiaciones presupuestales necesarias para la ejecución plena de lo dispuesto en la presente </w:t>
      </w:r>
      <w:r w:rsidRPr="00B56F80">
        <w:rPr>
          <w:rFonts w:ascii="Arial Narrow" w:hAnsi="Arial Narrow" w:cs="Arial"/>
          <w:spacing w:val="-4"/>
          <w:sz w:val="24"/>
          <w:szCs w:val="24"/>
        </w:rPr>
        <w:t>ley.</w:t>
      </w:r>
    </w:p>
    <w:p w14:paraId="622806BE" w14:textId="77777777" w:rsidR="008C2E29" w:rsidRPr="00B56F80" w:rsidRDefault="008C2E29" w:rsidP="008C2E29">
      <w:pPr>
        <w:spacing w:after="0" w:line="240" w:lineRule="auto"/>
        <w:jc w:val="both"/>
        <w:rPr>
          <w:rFonts w:ascii="Arial Narrow" w:hAnsi="Arial Narrow" w:cs="Arial"/>
          <w:sz w:val="24"/>
          <w:szCs w:val="24"/>
        </w:rPr>
      </w:pPr>
    </w:p>
    <w:p w14:paraId="34977EFE" w14:textId="77777777" w:rsidR="008C2E29" w:rsidRPr="00B56F80" w:rsidRDefault="008C2E29" w:rsidP="008C2E29">
      <w:pPr>
        <w:spacing w:after="0" w:line="240" w:lineRule="auto"/>
        <w:rPr>
          <w:rFonts w:ascii="Arial Narrow" w:hAnsi="Arial Narrow" w:cs="Arial"/>
          <w:sz w:val="24"/>
          <w:szCs w:val="24"/>
        </w:rPr>
      </w:pPr>
      <w:r w:rsidRPr="00B56F80">
        <w:rPr>
          <w:rFonts w:ascii="Arial Narrow" w:hAnsi="Arial Narrow" w:cs="Arial"/>
          <w:b/>
          <w:sz w:val="24"/>
          <w:szCs w:val="24"/>
        </w:rPr>
        <w:t xml:space="preserve">Artículo 7°. </w:t>
      </w:r>
      <w:r w:rsidRPr="00B56F80">
        <w:rPr>
          <w:rFonts w:ascii="Arial Narrow" w:hAnsi="Arial Narrow" w:cs="Arial"/>
          <w:b/>
          <w:i/>
          <w:sz w:val="24"/>
          <w:szCs w:val="24"/>
        </w:rPr>
        <w:t>Vigencia</w:t>
      </w:r>
      <w:r w:rsidRPr="00B56F80">
        <w:rPr>
          <w:rFonts w:ascii="Arial Narrow" w:hAnsi="Arial Narrow" w:cs="Arial"/>
          <w:b/>
          <w:sz w:val="24"/>
          <w:szCs w:val="24"/>
        </w:rPr>
        <w:t xml:space="preserve">. </w:t>
      </w:r>
      <w:r w:rsidRPr="00B56F80">
        <w:rPr>
          <w:rFonts w:ascii="Arial Narrow" w:hAnsi="Arial Narrow" w:cs="Arial"/>
          <w:sz w:val="24"/>
          <w:szCs w:val="24"/>
        </w:rPr>
        <w:t xml:space="preserve">La presente ley rige a partir de la </w:t>
      </w:r>
      <w:r w:rsidRPr="00B56F80">
        <w:rPr>
          <w:rFonts w:ascii="Arial Narrow" w:hAnsi="Arial Narrow" w:cs="Arial"/>
          <w:spacing w:val="-3"/>
          <w:sz w:val="24"/>
          <w:szCs w:val="24"/>
        </w:rPr>
        <w:t xml:space="preserve">fecha </w:t>
      </w:r>
      <w:r w:rsidRPr="00B56F80">
        <w:rPr>
          <w:rFonts w:ascii="Arial Narrow" w:hAnsi="Arial Narrow" w:cs="Arial"/>
          <w:sz w:val="24"/>
          <w:szCs w:val="24"/>
        </w:rPr>
        <w:t>de</w:t>
      </w:r>
      <w:r w:rsidRPr="00B56F80">
        <w:rPr>
          <w:rFonts w:ascii="Arial Narrow" w:hAnsi="Arial Narrow" w:cs="Arial"/>
          <w:spacing w:val="-10"/>
          <w:sz w:val="24"/>
          <w:szCs w:val="24"/>
        </w:rPr>
        <w:t xml:space="preserve"> </w:t>
      </w:r>
      <w:r w:rsidRPr="00B56F80">
        <w:rPr>
          <w:rFonts w:ascii="Arial Narrow" w:hAnsi="Arial Narrow" w:cs="Arial"/>
          <w:sz w:val="24"/>
          <w:szCs w:val="24"/>
        </w:rPr>
        <w:t>su</w:t>
      </w:r>
      <w:r w:rsidRPr="00B56F80">
        <w:rPr>
          <w:rFonts w:ascii="Arial Narrow" w:hAnsi="Arial Narrow" w:cs="Arial"/>
          <w:spacing w:val="-9"/>
          <w:sz w:val="24"/>
          <w:szCs w:val="24"/>
        </w:rPr>
        <w:t xml:space="preserve"> </w:t>
      </w:r>
      <w:r w:rsidRPr="00B56F80">
        <w:rPr>
          <w:rFonts w:ascii="Arial Narrow" w:hAnsi="Arial Narrow" w:cs="Arial"/>
          <w:sz w:val="24"/>
          <w:szCs w:val="24"/>
        </w:rPr>
        <w:t>publicación</w:t>
      </w:r>
      <w:r w:rsidRPr="00B56F80">
        <w:rPr>
          <w:rFonts w:ascii="Arial Narrow" w:hAnsi="Arial Narrow" w:cs="Arial"/>
          <w:spacing w:val="-9"/>
          <w:sz w:val="24"/>
          <w:szCs w:val="24"/>
        </w:rPr>
        <w:t xml:space="preserve"> </w:t>
      </w:r>
      <w:r w:rsidRPr="00B56F80">
        <w:rPr>
          <w:rFonts w:ascii="Arial Narrow" w:hAnsi="Arial Narrow" w:cs="Arial"/>
          <w:sz w:val="24"/>
          <w:szCs w:val="24"/>
        </w:rPr>
        <w:t>en</w:t>
      </w:r>
      <w:r w:rsidRPr="00B56F80">
        <w:rPr>
          <w:rFonts w:ascii="Arial Narrow" w:hAnsi="Arial Narrow" w:cs="Arial"/>
          <w:spacing w:val="-9"/>
          <w:sz w:val="24"/>
          <w:szCs w:val="24"/>
        </w:rPr>
        <w:t xml:space="preserve"> </w:t>
      </w:r>
      <w:r w:rsidRPr="00B56F80">
        <w:rPr>
          <w:rFonts w:ascii="Arial Narrow" w:hAnsi="Arial Narrow" w:cs="Arial"/>
          <w:sz w:val="24"/>
          <w:szCs w:val="24"/>
        </w:rPr>
        <w:t>el</w:t>
      </w:r>
      <w:r w:rsidRPr="00B56F80">
        <w:rPr>
          <w:rFonts w:ascii="Arial Narrow" w:hAnsi="Arial Narrow" w:cs="Arial"/>
          <w:spacing w:val="-9"/>
          <w:sz w:val="24"/>
          <w:szCs w:val="24"/>
        </w:rPr>
        <w:t xml:space="preserve"> </w:t>
      </w:r>
      <w:r w:rsidRPr="00B56F80">
        <w:rPr>
          <w:rFonts w:ascii="Arial Narrow" w:hAnsi="Arial Narrow" w:cs="Arial"/>
          <w:b/>
          <w:i/>
          <w:sz w:val="24"/>
          <w:szCs w:val="24"/>
        </w:rPr>
        <w:t>Diario</w:t>
      </w:r>
      <w:r w:rsidRPr="00B56F80">
        <w:rPr>
          <w:rFonts w:ascii="Arial Narrow" w:hAnsi="Arial Narrow" w:cs="Arial"/>
          <w:b/>
          <w:i/>
          <w:spacing w:val="-9"/>
          <w:sz w:val="24"/>
          <w:szCs w:val="24"/>
        </w:rPr>
        <w:t xml:space="preserve"> </w:t>
      </w:r>
      <w:r w:rsidRPr="00B56F80">
        <w:rPr>
          <w:rFonts w:ascii="Arial Narrow" w:hAnsi="Arial Narrow" w:cs="Arial"/>
          <w:b/>
          <w:i/>
          <w:sz w:val="24"/>
          <w:szCs w:val="24"/>
        </w:rPr>
        <w:t>Oficial</w:t>
      </w:r>
      <w:r w:rsidRPr="00B56F80">
        <w:rPr>
          <w:rFonts w:ascii="Arial Narrow" w:hAnsi="Arial Narrow" w:cs="Arial"/>
          <w:b/>
          <w:i/>
          <w:spacing w:val="-9"/>
          <w:sz w:val="24"/>
          <w:szCs w:val="24"/>
        </w:rPr>
        <w:t xml:space="preserve"> </w:t>
      </w:r>
      <w:r w:rsidRPr="00B56F80">
        <w:rPr>
          <w:rFonts w:ascii="Arial Narrow" w:hAnsi="Arial Narrow" w:cs="Arial"/>
          <w:sz w:val="24"/>
          <w:szCs w:val="24"/>
        </w:rPr>
        <w:t>y</w:t>
      </w:r>
      <w:r w:rsidRPr="00B56F80">
        <w:rPr>
          <w:rFonts w:ascii="Arial Narrow" w:hAnsi="Arial Narrow" w:cs="Arial"/>
          <w:spacing w:val="-9"/>
          <w:sz w:val="24"/>
          <w:szCs w:val="24"/>
        </w:rPr>
        <w:t xml:space="preserve"> </w:t>
      </w:r>
      <w:r w:rsidRPr="00B56F80">
        <w:rPr>
          <w:rFonts w:ascii="Arial Narrow" w:hAnsi="Arial Narrow" w:cs="Arial"/>
          <w:sz w:val="24"/>
          <w:szCs w:val="24"/>
        </w:rPr>
        <w:t>deroga</w:t>
      </w:r>
      <w:r w:rsidRPr="00B56F80">
        <w:rPr>
          <w:rFonts w:ascii="Arial Narrow" w:hAnsi="Arial Narrow" w:cs="Arial"/>
          <w:spacing w:val="-9"/>
          <w:sz w:val="24"/>
          <w:szCs w:val="24"/>
        </w:rPr>
        <w:t xml:space="preserve"> </w:t>
      </w:r>
      <w:r w:rsidRPr="00B56F80">
        <w:rPr>
          <w:rFonts w:ascii="Arial Narrow" w:hAnsi="Arial Narrow" w:cs="Arial"/>
          <w:sz w:val="24"/>
          <w:szCs w:val="24"/>
        </w:rPr>
        <w:t>todas</w:t>
      </w:r>
      <w:r w:rsidRPr="00B56F80">
        <w:rPr>
          <w:rFonts w:ascii="Arial Narrow" w:hAnsi="Arial Narrow" w:cs="Arial"/>
          <w:spacing w:val="-9"/>
          <w:sz w:val="24"/>
          <w:szCs w:val="24"/>
        </w:rPr>
        <w:t xml:space="preserve"> </w:t>
      </w:r>
      <w:r w:rsidRPr="00B56F80">
        <w:rPr>
          <w:rFonts w:ascii="Arial Narrow" w:hAnsi="Arial Narrow" w:cs="Arial"/>
          <w:sz w:val="24"/>
          <w:szCs w:val="24"/>
        </w:rPr>
        <w:t>las</w:t>
      </w:r>
      <w:r w:rsidRPr="00B56F80">
        <w:rPr>
          <w:rFonts w:ascii="Arial Narrow" w:hAnsi="Arial Narrow" w:cs="Arial"/>
          <w:spacing w:val="-9"/>
          <w:sz w:val="24"/>
          <w:szCs w:val="24"/>
        </w:rPr>
        <w:t xml:space="preserve"> </w:t>
      </w:r>
      <w:r w:rsidRPr="00B56F80">
        <w:rPr>
          <w:rFonts w:ascii="Arial Narrow" w:hAnsi="Arial Narrow" w:cs="Arial"/>
          <w:sz w:val="24"/>
          <w:szCs w:val="24"/>
        </w:rPr>
        <w:t>disposiciones que le sean contrarias.</w:t>
      </w:r>
    </w:p>
    <w:p w14:paraId="32EF9331" w14:textId="77777777" w:rsidR="008C2E29" w:rsidRPr="00B56F80" w:rsidRDefault="008C2E29" w:rsidP="008C2E29">
      <w:pPr>
        <w:spacing w:after="0" w:line="240" w:lineRule="auto"/>
        <w:rPr>
          <w:rFonts w:ascii="Arial Narrow" w:hAnsi="Arial Narrow" w:cs="Arial"/>
          <w:sz w:val="24"/>
          <w:szCs w:val="24"/>
        </w:rPr>
      </w:pPr>
    </w:p>
    <w:p w14:paraId="1AFFBFB1" w14:textId="05205775" w:rsidR="00D02EBC" w:rsidRPr="00B56F80" w:rsidRDefault="00D02EBC" w:rsidP="00D02EBC">
      <w:pPr>
        <w:spacing w:after="0"/>
        <w:rPr>
          <w:rFonts w:ascii="Arial Narrow" w:hAnsi="Arial Narrow" w:cs="Arial"/>
          <w:bCs/>
          <w:sz w:val="28"/>
          <w:szCs w:val="28"/>
        </w:rPr>
      </w:pPr>
    </w:p>
    <w:p w14:paraId="6069AB03" w14:textId="77777777" w:rsidR="00D02EBC" w:rsidRPr="00B56F80" w:rsidRDefault="00D02EBC" w:rsidP="00D02EBC">
      <w:pPr>
        <w:spacing w:after="0"/>
        <w:rPr>
          <w:rFonts w:ascii="Arial Narrow" w:hAnsi="Arial Narrow" w:cs="Arial"/>
          <w:bCs/>
          <w:sz w:val="28"/>
          <w:szCs w:val="28"/>
        </w:rPr>
      </w:pPr>
    </w:p>
    <w:p w14:paraId="50D27764" w14:textId="77777777" w:rsidR="00D02EBC" w:rsidRPr="00B56F80" w:rsidRDefault="00D02EBC" w:rsidP="00D02EBC">
      <w:pPr>
        <w:spacing w:after="0"/>
        <w:rPr>
          <w:rFonts w:ascii="Arial Narrow" w:hAnsi="Arial Narrow" w:cs="Arial"/>
          <w:bCs/>
          <w:sz w:val="28"/>
          <w:szCs w:val="28"/>
        </w:rPr>
      </w:pPr>
    </w:p>
    <w:p w14:paraId="353B2759" w14:textId="77777777" w:rsidR="00D02EBC" w:rsidRPr="00B56F80" w:rsidRDefault="00D02EBC" w:rsidP="00D02EBC">
      <w:pPr>
        <w:spacing w:after="0"/>
        <w:rPr>
          <w:rFonts w:ascii="Arial Narrow" w:hAnsi="Arial Narrow" w:cs="Arial"/>
          <w:bCs/>
          <w:sz w:val="28"/>
          <w:szCs w:val="28"/>
        </w:rPr>
      </w:pPr>
    </w:p>
    <w:p w14:paraId="39614A03" w14:textId="77777777" w:rsidR="00D02EBC" w:rsidRPr="00B56F80" w:rsidRDefault="00D02EBC" w:rsidP="00D02EBC">
      <w:pPr>
        <w:spacing w:after="0" w:line="240" w:lineRule="auto"/>
        <w:jc w:val="center"/>
        <w:rPr>
          <w:rFonts w:ascii="Arial Narrow" w:hAnsi="Arial Narrow" w:cs="Arial"/>
          <w:b/>
          <w:sz w:val="28"/>
          <w:szCs w:val="28"/>
        </w:rPr>
      </w:pPr>
      <w:r w:rsidRPr="00B56F80">
        <w:rPr>
          <w:rFonts w:ascii="Arial Narrow" w:hAnsi="Arial Narrow" w:cs="Arial"/>
          <w:b/>
          <w:sz w:val="28"/>
          <w:szCs w:val="28"/>
        </w:rPr>
        <w:t>JUAN DAVID VÉLEZ</w:t>
      </w:r>
    </w:p>
    <w:p w14:paraId="64613645" w14:textId="77777777" w:rsidR="00D02EBC" w:rsidRPr="00B56F80" w:rsidRDefault="00D02EBC" w:rsidP="00D02EBC">
      <w:pPr>
        <w:spacing w:after="0" w:line="240" w:lineRule="auto"/>
        <w:jc w:val="center"/>
        <w:rPr>
          <w:rFonts w:ascii="Arial Narrow" w:hAnsi="Arial Narrow" w:cs="Arial"/>
          <w:bCs/>
          <w:sz w:val="28"/>
          <w:szCs w:val="28"/>
        </w:rPr>
      </w:pPr>
      <w:r w:rsidRPr="00B56F80">
        <w:rPr>
          <w:rFonts w:ascii="Arial Narrow" w:hAnsi="Arial Narrow" w:cs="Arial"/>
          <w:bCs/>
          <w:sz w:val="28"/>
          <w:szCs w:val="28"/>
        </w:rPr>
        <w:t>Autor del Proyecto</w:t>
      </w:r>
    </w:p>
    <w:p w14:paraId="006BE577" w14:textId="77777777" w:rsidR="00D02EBC" w:rsidRPr="00B56F80" w:rsidRDefault="00D02EBC" w:rsidP="00D02EBC">
      <w:pPr>
        <w:spacing w:after="0" w:line="240" w:lineRule="auto"/>
        <w:jc w:val="center"/>
        <w:rPr>
          <w:rFonts w:ascii="Arial Narrow" w:hAnsi="Arial Narrow" w:cs="Arial"/>
          <w:bCs/>
          <w:sz w:val="28"/>
          <w:szCs w:val="28"/>
        </w:rPr>
      </w:pPr>
      <w:r w:rsidRPr="00B56F80">
        <w:rPr>
          <w:rFonts w:ascii="Arial Narrow" w:hAnsi="Arial Narrow" w:cs="Arial"/>
          <w:bCs/>
          <w:sz w:val="28"/>
          <w:szCs w:val="28"/>
        </w:rPr>
        <w:t>Representante a la Cámara</w:t>
      </w:r>
    </w:p>
    <w:p w14:paraId="464EA507" w14:textId="77777777" w:rsidR="00D02EBC" w:rsidRPr="00B56F80" w:rsidRDefault="00D02EBC" w:rsidP="00D02EBC">
      <w:pPr>
        <w:spacing w:after="0" w:line="240" w:lineRule="auto"/>
        <w:jc w:val="center"/>
        <w:rPr>
          <w:rFonts w:ascii="Arial Narrow" w:eastAsia="Times New Roman" w:hAnsi="Arial Narrow" w:cs="Arial"/>
          <w:b/>
          <w:bCs/>
          <w:i/>
          <w:color w:val="000000"/>
          <w:sz w:val="28"/>
          <w:szCs w:val="28"/>
          <w:lang w:eastAsia="es-CO"/>
        </w:rPr>
      </w:pPr>
      <w:r>
        <w:rPr>
          <w:rFonts w:ascii="Arial Narrow" w:hAnsi="Arial Narrow" w:cs="Arial"/>
          <w:bCs/>
          <w:sz w:val="28"/>
          <w:szCs w:val="28"/>
        </w:rPr>
        <w:t>Partido Centro Democrático</w:t>
      </w:r>
    </w:p>
    <w:p w14:paraId="5DA7DB98" w14:textId="77777777" w:rsidR="00D02EBC" w:rsidRDefault="00D02EBC">
      <w:pPr>
        <w:spacing w:after="0" w:line="240" w:lineRule="auto"/>
        <w:rPr>
          <w:rFonts w:ascii="Arial Narrow" w:hAnsi="Arial Narrow" w:cs="Arial"/>
          <w:b/>
          <w:sz w:val="24"/>
          <w:szCs w:val="24"/>
        </w:rPr>
      </w:pPr>
      <w:r>
        <w:rPr>
          <w:rFonts w:ascii="Arial Narrow" w:hAnsi="Arial Narrow" w:cs="Arial"/>
          <w:b/>
          <w:sz w:val="24"/>
          <w:szCs w:val="24"/>
        </w:rPr>
        <w:br w:type="page"/>
      </w:r>
    </w:p>
    <w:p w14:paraId="6498110F" w14:textId="6174ECA8" w:rsidR="00266205" w:rsidRPr="00B56F80" w:rsidRDefault="00266205" w:rsidP="00897250">
      <w:pPr>
        <w:spacing w:after="0" w:line="240" w:lineRule="auto"/>
        <w:jc w:val="center"/>
        <w:rPr>
          <w:rFonts w:ascii="Arial Narrow" w:hAnsi="Arial Narrow" w:cs="Arial"/>
          <w:b/>
          <w:sz w:val="24"/>
          <w:szCs w:val="24"/>
        </w:rPr>
      </w:pPr>
      <w:r w:rsidRPr="00B56F80">
        <w:rPr>
          <w:rFonts w:ascii="Arial Narrow" w:hAnsi="Arial Narrow" w:cs="Arial"/>
          <w:b/>
          <w:sz w:val="24"/>
          <w:szCs w:val="24"/>
        </w:rPr>
        <w:t>TEXTO PROPUESTO PA</w:t>
      </w:r>
      <w:r w:rsidR="000A2700" w:rsidRPr="00B56F80">
        <w:rPr>
          <w:rFonts w:ascii="Arial Narrow" w:hAnsi="Arial Narrow" w:cs="Arial"/>
          <w:b/>
          <w:sz w:val="24"/>
          <w:szCs w:val="24"/>
        </w:rPr>
        <w:t>RA PROYECTO DE LEY _____ DE 2021</w:t>
      </w:r>
    </w:p>
    <w:p w14:paraId="7E5DA7E3" w14:textId="77777777" w:rsidR="008E7EFC" w:rsidRPr="00B56F80" w:rsidRDefault="008E7EFC" w:rsidP="00897250">
      <w:pPr>
        <w:spacing w:after="0" w:line="240" w:lineRule="auto"/>
        <w:jc w:val="center"/>
        <w:rPr>
          <w:rFonts w:ascii="Arial Narrow" w:hAnsi="Arial Narrow" w:cs="Arial"/>
          <w:b/>
          <w:sz w:val="24"/>
          <w:szCs w:val="24"/>
        </w:rPr>
      </w:pPr>
    </w:p>
    <w:p w14:paraId="06A54935" w14:textId="4C98DCCA" w:rsidR="00AE6A36" w:rsidRPr="00B56F80" w:rsidRDefault="00AE6A36" w:rsidP="00897250">
      <w:pPr>
        <w:spacing w:after="0" w:line="240" w:lineRule="auto"/>
        <w:jc w:val="center"/>
        <w:rPr>
          <w:rFonts w:ascii="Arial Narrow" w:hAnsi="Arial Narrow" w:cs="Arial"/>
          <w:sz w:val="24"/>
          <w:szCs w:val="24"/>
        </w:rPr>
      </w:pPr>
      <w:r w:rsidRPr="00B56F80">
        <w:rPr>
          <w:rFonts w:ascii="Arial Narrow" w:eastAsia="Times New Roman" w:hAnsi="Arial Narrow" w:cs="Arial"/>
          <w:b/>
          <w:i/>
          <w:iCs/>
          <w:color w:val="000000"/>
          <w:sz w:val="24"/>
          <w:szCs w:val="24"/>
          <w:lang w:eastAsia="es-CO"/>
        </w:rPr>
        <w:t>“</w:t>
      </w:r>
      <w:r w:rsidR="00CB2004" w:rsidRPr="00B56F80">
        <w:rPr>
          <w:rFonts w:ascii="Arial Narrow" w:eastAsia="Times New Roman" w:hAnsi="Arial Narrow" w:cs="Arial"/>
          <w:b/>
          <w:i/>
          <w:iCs/>
          <w:color w:val="000000"/>
          <w:sz w:val="24"/>
          <w:szCs w:val="24"/>
          <w:lang w:eastAsia="es-CO"/>
        </w:rPr>
        <w:t>Por medio de la</w:t>
      </w:r>
      <w:r w:rsidRPr="00B56F80">
        <w:rPr>
          <w:rFonts w:ascii="Arial Narrow" w:eastAsia="Times New Roman" w:hAnsi="Arial Narrow" w:cs="Arial"/>
          <w:b/>
          <w:i/>
          <w:iCs/>
          <w:color w:val="000000"/>
          <w:sz w:val="24"/>
          <w:szCs w:val="24"/>
          <w:lang w:eastAsia="es-CO"/>
        </w:rPr>
        <w:t xml:space="preserve"> cual se garantiza el derecho fundamental a la doble conformidad y se dictan otras disposiciones”</w:t>
      </w:r>
    </w:p>
    <w:p w14:paraId="2052A77B" w14:textId="77777777" w:rsidR="00266205" w:rsidRPr="00B56F80" w:rsidRDefault="00266205" w:rsidP="00897250">
      <w:pPr>
        <w:spacing w:after="0" w:line="240" w:lineRule="auto"/>
        <w:jc w:val="center"/>
        <w:rPr>
          <w:rFonts w:ascii="Arial Narrow" w:hAnsi="Arial Narrow" w:cs="Arial"/>
          <w:sz w:val="24"/>
          <w:szCs w:val="24"/>
        </w:rPr>
      </w:pPr>
    </w:p>
    <w:p w14:paraId="1DEFEF2E" w14:textId="48CF1358" w:rsidR="00266205" w:rsidRPr="00B56F80" w:rsidRDefault="00266205" w:rsidP="00897250">
      <w:pPr>
        <w:spacing w:after="0"/>
        <w:jc w:val="center"/>
        <w:rPr>
          <w:rFonts w:ascii="Arial Narrow" w:hAnsi="Arial Narrow" w:cs="Arial"/>
          <w:b/>
          <w:sz w:val="24"/>
          <w:szCs w:val="24"/>
        </w:rPr>
      </w:pPr>
      <w:r w:rsidRPr="00B56F80">
        <w:rPr>
          <w:rFonts w:ascii="Arial Narrow" w:hAnsi="Arial Narrow" w:cs="Arial"/>
          <w:b/>
          <w:sz w:val="24"/>
          <w:szCs w:val="24"/>
        </w:rPr>
        <w:t>EXPOSICION DE MOTIVOS.</w:t>
      </w:r>
    </w:p>
    <w:p w14:paraId="4B25ED23" w14:textId="77777777" w:rsidR="006F464D" w:rsidRPr="00B56F80" w:rsidRDefault="006F464D" w:rsidP="00897250">
      <w:pPr>
        <w:spacing w:after="0"/>
        <w:jc w:val="center"/>
        <w:rPr>
          <w:rFonts w:ascii="Arial Narrow" w:hAnsi="Arial Narrow" w:cs="Arial"/>
          <w:b/>
          <w:sz w:val="24"/>
          <w:szCs w:val="24"/>
        </w:rPr>
      </w:pPr>
    </w:p>
    <w:p w14:paraId="3828956B" w14:textId="77777777" w:rsidR="00A052B5" w:rsidRPr="00B56F80" w:rsidRDefault="0023654F" w:rsidP="00897250">
      <w:pPr>
        <w:pStyle w:val="ListParagraph"/>
        <w:numPr>
          <w:ilvl w:val="0"/>
          <w:numId w:val="3"/>
        </w:numPr>
        <w:spacing w:after="0"/>
        <w:jc w:val="both"/>
        <w:rPr>
          <w:rFonts w:ascii="Arial Narrow" w:hAnsi="Arial Narrow" w:cs="Arial"/>
          <w:sz w:val="24"/>
          <w:szCs w:val="24"/>
        </w:rPr>
      </w:pPr>
      <w:r w:rsidRPr="00B56F80">
        <w:rPr>
          <w:rFonts w:ascii="Arial Narrow" w:hAnsi="Arial Narrow" w:cs="Arial"/>
          <w:b/>
          <w:sz w:val="24"/>
          <w:szCs w:val="24"/>
        </w:rPr>
        <w:t xml:space="preserve">OBJETO </w:t>
      </w:r>
    </w:p>
    <w:p w14:paraId="70EF654E" w14:textId="41778DBB" w:rsidR="00897250" w:rsidRPr="00B56F80" w:rsidRDefault="0057362E" w:rsidP="00D02EBC">
      <w:pPr>
        <w:spacing w:after="0"/>
        <w:ind w:left="360"/>
        <w:jc w:val="both"/>
        <w:rPr>
          <w:rFonts w:ascii="Arial Narrow" w:hAnsi="Arial Narrow" w:cs="Arial"/>
          <w:sz w:val="24"/>
          <w:szCs w:val="24"/>
        </w:rPr>
      </w:pPr>
      <w:r w:rsidRPr="00B56F80">
        <w:rPr>
          <w:rFonts w:ascii="Arial Narrow" w:hAnsi="Arial Narrow" w:cs="Arial"/>
          <w:sz w:val="24"/>
          <w:szCs w:val="24"/>
        </w:rPr>
        <w:t xml:space="preserve">El proyecto de ley busca garantizar los derechos fundamentales a la doble instancia, doble conformidad y a la favorabilidad en el </w:t>
      </w:r>
      <w:r w:rsidR="00B56F80" w:rsidRPr="00B56F80">
        <w:rPr>
          <w:rFonts w:ascii="Arial Narrow" w:hAnsi="Arial Narrow" w:cs="Arial"/>
          <w:sz w:val="24"/>
          <w:szCs w:val="24"/>
        </w:rPr>
        <w:t>ámbito</w:t>
      </w:r>
      <w:r w:rsidRPr="00B56F80">
        <w:rPr>
          <w:rFonts w:ascii="Arial Narrow" w:hAnsi="Arial Narrow" w:cs="Arial"/>
          <w:sz w:val="24"/>
          <w:szCs w:val="24"/>
        </w:rPr>
        <w:t xml:space="preserve"> penal, para todas las personas que hayan sido o sean</w:t>
      </w:r>
      <w:r w:rsidR="00796B8F" w:rsidRPr="00B56F80">
        <w:rPr>
          <w:rFonts w:ascii="Arial Narrow" w:hAnsi="Arial Narrow" w:cs="Arial"/>
          <w:sz w:val="24"/>
          <w:szCs w:val="24"/>
        </w:rPr>
        <w:t xml:space="preserve"> sujetos de una sentencia penal condenatoria de </w:t>
      </w:r>
      <w:r w:rsidR="00B56F80" w:rsidRPr="00B56F80">
        <w:rPr>
          <w:rFonts w:ascii="Arial Narrow" w:hAnsi="Arial Narrow" w:cs="Arial"/>
          <w:sz w:val="24"/>
          <w:szCs w:val="24"/>
        </w:rPr>
        <w:t>única</w:t>
      </w:r>
      <w:r w:rsidR="00796B8F" w:rsidRPr="00B56F80">
        <w:rPr>
          <w:rFonts w:ascii="Arial Narrow" w:hAnsi="Arial Narrow" w:cs="Arial"/>
          <w:sz w:val="24"/>
          <w:szCs w:val="24"/>
        </w:rPr>
        <w:t xml:space="preserve"> instancia, incluidos los </w:t>
      </w:r>
      <w:r w:rsidR="00CF44F5" w:rsidRPr="00B56F80">
        <w:rPr>
          <w:rFonts w:ascii="Arial Narrow" w:hAnsi="Arial Narrow" w:cs="Arial"/>
          <w:sz w:val="24"/>
          <w:szCs w:val="24"/>
        </w:rPr>
        <w:t>a</w:t>
      </w:r>
      <w:r w:rsidR="00796B8F" w:rsidRPr="00B56F80">
        <w:rPr>
          <w:rFonts w:ascii="Arial Narrow" w:hAnsi="Arial Narrow" w:cs="Arial"/>
          <w:sz w:val="24"/>
          <w:szCs w:val="24"/>
        </w:rPr>
        <w:t xml:space="preserve">forados juzgados por la Corte Suprema de Justicia. </w:t>
      </w:r>
      <w:r w:rsidR="00B56F80" w:rsidRPr="00B56F80">
        <w:rPr>
          <w:rFonts w:ascii="Arial Narrow" w:hAnsi="Arial Narrow" w:cs="Arial"/>
          <w:sz w:val="24"/>
          <w:szCs w:val="24"/>
        </w:rPr>
        <w:t>Así</w:t>
      </w:r>
      <w:r w:rsidR="00796B8F" w:rsidRPr="00B56F80">
        <w:rPr>
          <w:rFonts w:ascii="Arial Narrow" w:hAnsi="Arial Narrow" w:cs="Arial"/>
          <w:sz w:val="24"/>
          <w:szCs w:val="24"/>
        </w:rPr>
        <w:t xml:space="preserve"> mismo se busca que el recurso de doble instancia y doble conformidad se interprete como una </w:t>
      </w:r>
      <w:r w:rsidR="00B56F80" w:rsidRPr="00B56F80">
        <w:rPr>
          <w:rFonts w:ascii="Arial Narrow" w:hAnsi="Arial Narrow" w:cs="Arial"/>
          <w:sz w:val="24"/>
          <w:szCs w:val="24"/>
        </w:rPr>
        <w:t>garantía</w:t>
      </w:r>
      <w:r w:rsidR="00796B8F" w:rsidRPr="00B56F80">
        <w:rPr>
          <w:rFonts w:ascii="Arial Narrow" w:hAnsi="Arial Narrow" w:cs="Arial"/>
          <w:sz w:val="24"/>
          <w:szCs w:val="24"/>
        </w:rPr>
        <w:t xml:space="preserve"> atendiendo al principio de favorabilidad del condenado.</w:t>
      </w:r>
    </w:p>
    <w:p w14:paraId="22D6003F" w14:textId="77777777" w:rsidR="00897250" w:rsidRPr="00B56F80" w:rsidRDefault="00897250" w:rsidP="00897250">
      <w:pPr>
        <w:spacing w:after="0"/>
        <w:ind w:left="360"/>
        <w:jc w:val="both"/>
        <w:rPr>
          <w:rFonts w:ascii="Arial Narrow" w:hAnsi="Arial Narrow" w:cs="Arial"/>
          <w:sz w:val="24"/>
          <w:szCs w:val="24"/>
        </w:rPr>
      </w:pPr>
    </w:p>
    <w:p w14:paraId="5827D967" w14:textId="4AA82644" w:rsidR="0023654F" w:rsidRPr="00B56F80" w:rsidRDefault="0023654F" w:rsidP="00D02EBC">
      <w:pPr>
        <w:pStyle w:val="ListParagraph"/>
        <w:numPr>
          <w:ilvl w:val="0"/>
          <w:numId w:val="3"/>
        </w:numPr>
        <w:spacing w:after="0"/>
        <w:ind w:left="426"/>
        <w:rPr>
          <w:rFonts w:ascii="Arial Narrow" w:hAnsi="Arial Narrow" w:cs="Arial"/>
          <w:b/>
          <w:sz w:val="24"/>
          <w:szCs w:val="24"/>
        </w:rPr>
      </w:pPr>
      <w:r w:rsidRPr="00B56F80">
        <w:rPr>
          <w:rFonts w:ascii="Arial Narrow" w:hAnsi="Arial Narrow" w:cs="Arial"/>
          <w:b/>
          <w:sz w:val="24"/>
          <w:szCs w:val="24"/>
        </w:rPr>
        <w:t>MARCO JURIDICO</w:t>
      </w:r>
    </w:p>
    <w:p w14:paraId="6A510342" w14:textId="5218BA27" w:rsidR="00FB2E26" w:rsidRPr="00B56F80" w:rsidRDefault="00FB2E26" w:rsidP="00D02EBC">
      <w:pPr>
        <w:pStyle w:val="ListParagraph"/>
        <w:numPr>
          <w:ilvl w:val="1"/>
          <w:numId w:val="3"/>
        </w:numPr>
        <w:spacing w:after="0"/>
        <w:ind w:left="426"/>
        <w:jc w:val="both"/>
        <w:rPr>
          <w:rFonts w:ascii="Arial Narrow" w:hAnsi="Arial Narrow" w:cs="Arial"/>
          <w:b/>
          <w:sz w:val="24"/>
          <w:szCs w:val="24"/>
        </w:rPr>
      </w:pPr>
      <w:r w:rsidRPr="00B56F80">
        <w:rPr>
          <w:rFonts w:ascii="Arial Narrow" w:hAnsi="Arial Narrow" w:cs="Arial"/>
          <w:b/>
          <w:sz w:val="24"/>
          <w:szCs w:val="24"/>
        </w:rPr>
        <w:t xml:space="preserve">Constitución Política de Colombia </w:t>
      </w:r>
    </w:p>
    <w:p w14:paraId="40F6DBA2" w14:textId="294E348E"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b/>
          <w:sz w:val="24"/>
          <w:szCs w:val="24"/>
        </w:rPr>
        <w:t xml:space="preserve">Artículo 29. </w:t>
      </w:r>
      <w:r w:rsidRPr="00B56F80">
        <w:rPr>
          <w:rFonts w:ascii="Arial Narrow" w:hAnsi="Arial Narrow" w:cs="Arial"/>
          <w:sz w:val="24"/>
          <w:szCs w:val="24"/>
        </w:rPr>
        <w:t xml:space="preserve">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w:t>
      </w:r>
      <w:r w:rsidRPr="00B56F80">
        <w:rPr>
          <w:rFonts w:ascii="Arial Narrow" w:hAnsi="Arial Narrow" w:cs="Arial"/>
          <w:b/>
          <w:sz w:val="24"/>
          <w:szCs w:val="24"/>
        </w:rPr>
        <w:t xml:space="preserve">Quien sea sindicado tiene derecho a la defensa y a la asistencia de un abogado escogido por </w:t>
      </w:r>
      <w:r w:rsidR="00B56F80" w:rsidRPr="00B56F80">
        <w:rPr>
          <w:rFonts w:ascii="Arial Narrow" w:hAnsi="Arial Narrow" w:cs="Arial"/>
          <w:b/>
          <w:sz w:val="24"/>
          <w:szCs w:val="24"/>
        </w:rPr>
        <w:t>él</w:t>
      </w:r>
      <w:r w:rsidRPr="00B56F80">
        <w:rPr>
          <w:rFonts w:ascii="Arial Narrow" w:hAnsi="Arial Narrow" w:cs="Arial"/>
          <w:b/>
          <w:sz w:val="24"/>
          <w:szCs w:val="24"/>
        </w:rPr>
        <w:t>, o de oficio, durante la investigación y el juzgamiento</w:t>
      </w:r>
      <w:r w:rsidRPr="00B56F80">
        <w:rPr>
          <w:rFonts w:ascii="Arial Narrow" w:hAnsi="Arial Narrow" w:cs="Arial"/>
          <w:sz w:val="24"/>
          <w:szCs w:val="24"/>
        </w:rPr>
        <w:t xml:space="preserve">; a un debido proceso público sin dilaciones injustificadas; a presentar pruebas y a controvertir las que se alleguen en su contra; </w:t>
      </w:r>
      <w:r w:rsidRPr="00B56F80">
        <w:rPr>
          <w:rFonts w:ascii="Arial Narrow" w:hAnsi="Arial Narrow" w:cs="Arial"/>
          <w:b/>
          <w:sz w:val="24"/>
          <w:szCs w:val="24"/>
        </w:rPr>
        <w:t>a impugnar la sentencia condenatoria</w:t>
      </w:r>
      <w:r w:rsidRPr="00B56F80">
        <w:rPr>
          <w:rFonts w:ascii="Arial Narrow" w:hAnsi="Arial Narrow" w:cs="Arial"/>
          <w:sz w:val="24"/>
          <w:szCs w:val="24"/>
        </w:rPr>
        <w:t>, y a no ser juzgado dos veces por el mismo hecho. Es nula, de pleno derecho, la prueba obtenida con violación del debido proceso.</w:t>
      </w:r>
    </w:p>
    <w:p w14:paraId="5954BBD4" w14:textId="77777777"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b/>
          <w:sz w:val="24"/>
          <w:szCs w:val="24"/>
        </w:rPr>
        <w:t>Artículo 31.</w:t>
      </w:r>
      <w:r w:rsidRPr="00B56F80">
        <w:rPr>
          <w:rFonts w:ascii="Arial Narrow" w:hAnsi="Arial Narrow" w:cs="Arial"/>
          <w:sz w:val="24"/>
          <w:szCs w:val="24"/>
        </w:rPr>
        <w:t xml:space="preserve"> </w:t>
      </w:r>
      <w:r w:rsidRPr="00B56F80">
        <w:rPr>
          <w:rFonts w:ascii="Arial Narrow" w:hAnsi="Arial Narrow" w:cs="Arial"/>
          <w:b/>
          <w:sz w:val="24"/>
          <w:szCs w:val="24"/>
        </w:rPr>
        <w:t>Toda sentencia judicial podrá ser apelada o consultada, salvo las excepciones que consagre la ley.</w:t>
      </w:r>
      <w:r w:rsidRPr="00B56F80">
        <w:rPr>
          <w:rFonts w:ascii="Arial Narrow" w:hAnsi="Arial Narrow" w:cs="Arial"/>
          <w:sz w:val="24"/>
          <w:szCs w:val="24"/>
        </w:rPr>
        <w:t xml:space="preserve"> El superior no podrá agravar la pena impuesta cuando el condenado sea apelante único.</w:t>
      </w:r>
    </w:p>
    <w:p w14:paraId="59212CBF" w14:textId="7E1E96E3"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b/>
          <w:sz w:val="24"/>
          <w:szCs w:val="24"/>
        </w:rPr>
        <w:t>Artículo 93.</w:t>
      </w:r>
      <w:r w:rsidRPr="00B56F80">
        <w:rPr>
          <w:rFonts w:ascii="Arial Narrow" w:hAnsi="Arial Narrow" w:cs="Arial"/>
          <w:sz w:val="24"/>
          <w:szCs w:val="24"/>
        </w:rPr>
        <w:t xml:space="preserve"> Los tratados y convenios internacionales ratificados por el Congreso, que reconocen los derechos humanos y que prohíben su limitación en los estados de excepción, </w:t>
      </w:r>
      <w:r w:rsidRPr="00B56F80">
        <w:rPr>
          <w:rFonts w:ascii="Arial Narrow" w:hAnsi="Arial Narrow" w:cs="Arial"/>
          <w:b/>
          <w:sz w:val="24"/>
          <w:szCs w:val="24"/>
        </w:rPr>
        <w:t>prevalecen en el orden interno.</w:t>
      </w:r>
      <w:r w:rsidRPr="00B56F80">
        <w:rPr>
          <w:rFonts w:ascii="Arial Narrow" w:hAnsi="Arial Narrow" w:cs="Arial"/>
          <w:sz w:val="24"/>
          <w:szCs w:val="24"/>
        </w:rPr>
        <w:t xml:space="preserve"> Los derechos y deberes consagrados en esta </w:t>
      </w:r>
      <w:r w:rsidR="00982933" w:rsidRPr="00B56F80">
        <w:rPr>
          <w:rFonts w:ascii="Arial Narrow" w:hAnsi="Arial Narrow" w:cs="Arial"/>
          <w:sz w:val="24"/>
          <w:szCs w:val="24"/>
        </w:rPr>
        <w:t>Carta</w:t>
      </w:r>
      <w:r w:rsidRPr="00B56F80">
        <w:rPr>
          <w:rFonts w:ascii="Arial Narrow" w:hAnsi="Arial Narrow" w:cs="Arial"/>
          <w:sz w:val="24"/>
          <w:szCs w:val="24"/>
        </w:rPr>
        <w:t xml:space="preserve"> se interpretarán de conformidad con los tratados internacionales sobre derechos humanos ratificados por Colombia.</w:t>
      </w:r>
    </w:p>
    <w:p w14:paraId="0A945068" w14:textId="77777777" w:rsidR="00897250" w:rsidRPr="00B56F80" w:rsidRDefault="00897250" w:rsidP="00D02EBC">
      <w:pPr>
        <w:spacing w:after="0"/>
        <w:ind w:left="426"/>
        <w:jc w:val="both"/>
        <w:rPr>
          <w:rFonts w:ascii="Arial Narrow" w:hAnsi="Arial Narrow" w:cs="Arial"/>
          <w:sz w:val="24"/>
          <w:szCs w:val="24"/>
        </w:rPr>
      </w:pPr>
    </w:p>
    <w:p w14:paraId="51A62E22" w14:textId="15636FBB" w:rsidR="00FB2E26" w:rsidRPr="00B56F80" w:rsidRDefault="00FB2E26" w:rsidP="00D02EBC">
      <w:pPr>
        <w:pStyle w:val="ListParagraph"/>
        <w:numPr>
          <w:ilvl w:val="1"/>
          <w:numId w:val="9"/>
        </w:numPr>
        <w:spacing w:after="0"/>
        <w:ind w:left="426"/>
        <w:jc w:val="both"/>
        <w:rPr>
          <w:rFonts w:ascii="Arial Narrow" w:hAnsi="Arial Narrow" w:cs="Arial"/>
          <w:sz w:val="24"/>
          <w:szCs w:val="24"/>
        </w:rPr>
      </w:pPr>
      <w:r w:rsidRPr="00B56F80">
        <w:rPr>
          <w:rFonts w:ascii="Arial Narrow" w:hAnsi="Arial Narrow" w:cs="Arial"/>
          <w:b/>
          <w:sz w:val="24"/>
          <w:szCs w:val="24"/>
        </w:rPr>
        <w:t>Modificaciones Constitución Política de Colombia</w:t>
      </w:r>
    </w:p>
    <w:p w14:paraId="6F44B2E7" w14:textId="77777777" w:rsidR="00FB2E26" w:rsidRPr="00B56F80" w:rsidRDefault="00FB2E26" w:rsidP="00D02EBC">
      <w:pPr>
        <w:spacing w:after="0"/>
        <w:ind w:left="426"/>
        <w:jc w:val="both"/>
        <w:rPr>
          <w:rFonts w:ascii="Arial Narrow" w:hAnsi="Arial Narrow" w:cs="Arial"/>
          <w:b/>
          <w:i/>
          <w:sz w:val="24"/>
          <w:szCs w:val="24"/>
        </w:rPr>
      </w:pPr>
      <w:r w:rsidRPr="00B56F80">
        <w:rPr>
          <w:rFonts w:ascii="Arial Narrow" w:hAnsi="Arial Narrow" w:cs="Arial"/>
          <w:b/>
          <w:sz w:val="24"/>
          <w:szCs w:val="24"/>
        </w:rPr>
        <w:t xml:space="preserve">Acto Legislativo 01 de 2018 – </w:t>
      </w:r>
      <w:r w:rsidRPr="00B56F80">
        <w:rPr>
          <w:rFonts w:ascii="Arial Narrow" w:hAnsi="Arial Narrow" w:cs="Arial"/>
          <w:b/>
          <w:i/>
          <w:sz w:val="24"/>
          <w:szCs w:val="24"/>
        </w:rPr>
        <w:t>“Por medio del cual se modifican los artículos 186, 234 y 235 de la Constitución Política y se implementa el derecho a la doble instancia y a impugnar la primera sentencia condenatoria”</w:t>
      </w:r>
    </w:p>
    <w:p w14:paraId="39903EFB" w14:textId="77777777"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b/>
          <w:sz w:val="24"/>
          <w:szCs w:val="24"/>
        </w:rPr>
        <w:t xml:space="preserve">Artículo 186. </w:t>
      </w:r>
      <w:r w:rsidRPr="00B56F80">
        <w:rPr>
          <w:rFonts w:ascii="Arial Narrow" w:hAnsi="Arial Narrow" w:cs="Arial"/>
          <w:sz w:val="24"/>
          <w:szCs w:val="24"/>
        </w:rPr>
        <w:t>De los delitos que cometan los Congresistas, conocerá en forma privativa la Corte Suprema de Justicia, única autoridad que podrá ordenar su detención. En caso de flagrante delito deberá ser aprehendido y puestos inmediatamente a disposición de la misma corporación.</w:t>
      </w:r>
    </w:p>
    <w:p w14:paraId="14D3DC2F" w14:textId="77777777" w:rsidR="00FB2E26" w:rsidRPr="00B56F80" w:rsidRDefault="00FB2E26" w:rsidP="00D02EBC">
      <w:pPr>
        <w:spacing w:after="0"/>
        <w:ind w:left="426"/>
        <w:jc w:val="both"/>
        <w:rPr>
          <w:rFonts w:ascii="Arial Narrow" w:hAnsi="Arial Narrow" w:cs="Arial"/>
          <w:b/>
          <w:sz w:val="24"/>
          <w:szCs w:val="24"/>
        </w:rPr>
      </w:pPr>
    </w:p>
    <w:p w14:paraId="6DCCEEC9"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b/>
          <w:sz w:val="24"/>
          <w:szCs w:val="24"/>
        </w:rPr>
        <w:t xml:space="preserve">Adición: </w:t>
      </w:r>
      <w:r w:rsidRPr="00B56F80">
        <w:rPr>
          <w:rFonts w:ascii="Arial Narrow" w:hAnsi="Arial Narrow" w:cs="Arial"/>
          <w:sz w:val="24"/>
          <w:szCs w:val="24"/>
        </w:rPr>
        <w:t>Corresponderá a la Sala Especial de Instrucción de la Sala Penal de la Corte Suprema de Justicia investigar y acusar ante la Sala Especial de Primera Instancia de la misma Sala Penal a los miembros del congreso por los delitos cometidos.</w:t>
      </w:r>
    </w:p>
    <w:p w14:paraId="69F1796C" w14:textId="77777777" w:rsidR="00FB2E26" w:rsidRPr="00B56F80" w:rsidRDefault="00FB2E26" w:rsidP="00D02EBC">
      <w:pPr>
        <w:tabs>
          <w:tab w:val="left" w:pos="8070"/>
        </w:tabs>
        <w:spacing w:after="0"/>
        <w:ind w:left="426"/>
        <w:jc w:val="both"/>
        <w:rPr>
          <w:rFonts w:ascii="Arial Narrow" w:hAnsi="Arial Narrow" w:cs="Arial"/>
          <w:sz w:val="24"/>
          <w:szCs w:val="24"/>
        </w:rPr>
      </w:pPr>
    </w:p>
    <w:p w14:paraId="6FCC0D5B" w14:textId="0AAC0B59" w:rsidR="00FB2E26" w:rsidRPr="00B56F80" w:rsidRDefault="00FB2E26" w:rsidP="00D02EBC">
      <w:pPr>
        <w:tabs>
          <w:tab w:val="left" w:pos="8070"/>
        </w:tabs>
        <w:spacing w:after="0"/>
        <w:ind w:left="426"/>
        <w:jc w:val="both"/>
        <w:rPr>
          <w:rFonts w:ascii="Arial Narrow" w:hAnsi="Arial Narrow" w:cs="Arial"/>
          <w:b/>
          <w:sz w:val="24"/>
          <w:szCs w:val="24"/>
        </w:rPr>
      </w:pPr>
      <w:r w:rsidRPr="00B56F80">
        <w:rPr>
          <w:rFonts w:ascii="Arial Narrow" w:hAnsi="Arial Narrow" w:cs="Arial"/>
          <w:sz w:val="24"/>
          <w:szCs w:val="24"/>
        </w:rPr>
        <w:t xml:space="preserve">Corresponderá a la Sala Especial de Instrucción de la Sala Penal de la Corte Suprema de Justicia investigar y acusar ante la Sala Especial de Primera Instancia de la misma Sala Penal a los </w:t>
      </w:r>
      <w:r w:rsidR="00B56F80">
        <w:rPr>
          <w:rFonts w:ascii="Arial Narrow" w:hAnsi="Arial Narrow" w:cs="Arial"/>
          <w:sz w:val="24"/>
          <w:szCs w:val="24"/>
        </w:rPr>
        <w:t>miembros</w:t>
      </w:r>
      <w:r w:rsidRPr="00B56F80">
        <w:rPr>
          <w:rFonts w:ascii="Arial Narrow" w:hAnsi="Arial Narrow" w:cs="Arial"/>
          <w:sz w:val="24"/>
          <w:szCs w:val="24"/>
        </w:rPr>
        <w:t xml:space="preserve"> del Congreso por los delitos cometidos. Contra las sentencias que profiera la Sala Especial de Primera Instancia de la Sala Penal de la Corte Suprema de Justicia procederá el recurso de apelación. Su conocimiento corresponderá a la Sala de Casación Penal de la Corte Suprema de Justicia. </w:t>
      </w:r>
      <w:r w:rsidRPr="00B56F80">
        <w:rPr>
          <w:rFonts w:ascii="Arial Narrow" w:hAnsi="Arial Narrow" w:cs="Arial"/>
          <w:b/>
          <w:sz w:val="24"/>
          <w:szCs w:val="24"/>
        </w:rPr>
        <w:t>La primera condena podrá ser impugnada.</w:t>
      </w:r>
    </w:p>
    <w:p w14:paraId="02295632" w14:textId="77777777" w:rsidR="00FB2E26" w:rsidRPr="00B56F80" w:rsidRDefault="00FB2E26" w:rsidP="00D02EBC">
      <w:pPr>
        <w:tabs>
          <w:tab w:val="left" w:pos="8070"/>
        </w:tabs>
        <w:spacing w:after="0"/>
        <w:ind w:left="426"/>
        <w:jc w:val="both"/>
        <w:rPr>
          <w:rFonts w:ascii="Arial Narrow" w:hAnsi="Arial Narrow" w:cs="Arial"/>
          <w:b/>
          <w:sz w:val="24"/>
          <w:szCs w:val="24"/>
        </w:rPr>
      </w:pPr>
    </w:p>
    <w:p w14:paraId="06DC72A4" w14:textId="785B8579"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b/>
          <w:sz w:val="24"/>
          <w:szCs w:val="24"/>
        </w:rPr>
        <w:t xml:space="preserve">Artículo 234. </w:t>
      </w:r>
      <w:r w:rsidRPr="00B56F80">
        <w:rPr>
          <w:rFonts w:ascii="Arial Narrow" w:hAnsi="Arial Narrow" w:cs="Arial"/>
          <w:sz w:val="24"/>
          <w:szCs w:val="24"/>
        </w:rPr>
        <w:t xml:space="preserve">La Corte Suprema de Justicia es el máximo tribunal de la jurisdicción ordinaria y se compondrá del número impar de magistrados que determine la ley. </w:t>
      </w:r>
      <w:r w:rsidRPr="00B56F80">
        <w:rPr>
          <w:rFonts w:ascii="Arial Narrow" w:hAnsi="Arial Narrow" w:cs="Arial"/>
          <w:b/>
          <w:sz w:val="24"/>
          <w:szCs w:val="24"/>
        </w:rPr>
        <w:t>Esta dividirá</w:t>
      </w:r>
      <w:r w:rsidRPr="00B56F80">
        <w:rPr>
          <w:rFonts w:ascii="Arial Narrow" w:hAnsi="Arial Narrow" w:cs="Arial"/>
          <w:sz w:val="24"/>
          <w:szCs w:val="24"/>
        </w:rPr>
        <w:t xml:space="preserve"> la Corte en Salas y Salas Especiales, señalara a cada una de ellas los asuntos que deba conocer separadamente y </w:t>
      </w:r>
      <w:r w:rsidR="00982933" w:rsidRPr="00B56F80">
        <w:rPr>
          <w:rFonts w:ascii="Arial Narrow" w:hAnsi="Arial Narrow" w:cs="Arial"/>
          <w:sz w:val="24"/>
          <w:szCs w:val="24"/>
        </w:rPr>
        <w:t>determinará</w:t>
      </w:r>
      <w:r w:rsidRPr="00B56F80">
        <w:rPr>
          <w:rFonts w:ascii="Arial Narrow" w:hAnsi="Arial Narrow" w:cs="Arial"/>
          <w:sz w:val="24"/>
          <w:szCs w:val="24"/>
        </w:rPr>
        <w:t xml:space="preserve"> aquellos en que deba intervenir la Corte en pleno.</w:t>
      </w:r>
    </w:p>
    <w:p w14:paraId="5226B314"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sz w:val="24"/>
          <w:szCs w:val="24"/>
        </w:rPr>
        <w:t>En el caso de los aforados constitucionales, la Sala de Casación Penal y las Salas Especiales garantizaran la separación de la instrucción y el juzgamiento, la doble instancia de la sentencia y el derecho a la impugnación de la primera condena.</w:t>
      </w:r>
    </w:p>
    <w:p w14:paraId="31B0EB43"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sz w:val="24"/>
          <w:szCs w:val="24"/>
        </w:rPr>
        <w:t>La Sala Especial de Instrucción estará integrada por seis (6) Magistrados y la Sala Especial de Primera Instancia por tres (3) Magistrados.</w:t>
      </w:r>
    </w:p>
    <w:p w14:paraId="6B3E2E32"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sz w:val="24"/>
          <w:szCs w:val="24"/>
        </w:rPr>
        <w:t>Los miembros de estas Salas Especiales deberán cumplir los requisitos para ser Magistrados de la Corte Suprema de Justicia. Se les aplicara el mismo régimen para su elección y periodo.</w:t>
      </w:r>
    </w:p>
    <w:p w14:paraId="4B7F3198"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sz w:val="24"/>
          <w:szCs w:val="24"/>
        </w:rPr>
        <w:t>Los Magistrados de las Salas Especiales solo tendrán competencia para conocer de manera exclusiva de los asuntos de instrucción y juzgamiento en primera instancia en las condiciones que lo establezca la ley.</w:t>
      </w:r>
    </w:p>
    <w:p w14:paraId="699E70C1"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sz w:val="24"/>
          <w:szCs w:val="24"/>
        </w:rPr>
        <w:t>El reglamento de la Corte Suprema de Justicia no podrá asignar a las Salas Especiales el conocimiento y la decisión de los asuntos que correspondan a la Sala de Casación Penal.</w:t>
      </w:r>
    </w:p>
    <w:p w14:paraId="7E588276"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sz w:val="24"/>
          <w:szCs w:val="24"/>
        </w:rPr>
        <w:t>Los Magistrados de las Salas Especiales no podrán conocer de asuntos administrativos, ni electorales de la Corte Suprema de Justicia ni harán parte de la Sala Plena.</w:t>
      </w:r>
    </w:p>
    <w:p w14:paraId="1EB2ABFA" w14:textId="77777777" w:rsidR="00FB2E26" w:rsidRPr="00B56F80" w:rsidRDefault="00FB2E26" w:rsidP="00D02EBC">
      <w:pPr>
        <w:tabs>
          <w:tab w:val="left" w:pos="8070"/>
        </w:tabs>
        <w:spacing w:after="0"/>
        <w:ind w:left="426"/>
        <w:jc w:val="both"/>
        <w:rPr>
          <w:rFonts w:ascii="Arial Narrow" w:hAnsi="Arial Narrow" w:cs="Arial"/>
          <w:sz w:val="24"/>
          <w:szCs w:val="24"/>
        </w:rPr>
      </w:pPr>
    </w:p>
    <w:p w14:paraId="2491EDB8" w14:textId="77777777" w:rsidR="00FB2E26" w:rsidRPr="00B56F80" w:rsidRDefault="00FB2E26" w:rsidP="00D02EBC">
      <w:pPr>
        <w:tabs>
          <w:tab w:val="left" w:pos="8070"/>
        </w:tabs>
        <w:spacing w:after="0"/>
        <w:ind w:left="426"/>
        <w:jc w:val="both"/>
        <w:rPr>
          <w:rFonts w:ascii="Arial Narrow" w:hAnsi="Arial Narrow" w:cs="Arial"/>
          <w:b/>
          <w:sz w:val="24"/>
          <w:szCs w:val="24"/>
        </w:rPr>
      </w:pPr>
      <w:r w:rsidRPr="00B56F80">
        <w:rPr>
          <w:rFonts w:ascii="Arial Narrow" w:hAnsi="Arial Narrow" w:cs="Arial"/>
          <w:b/>
          <w:sz w:val="24"/>
          <w:szCs w:val="24"/>
        </w:rPr>
        <w:t>Parágrafo: los aforados constitucionales del artículo 174 de la Constitución Política tienen derecho de impugnación y doble instancia conforme lo señale la ley.</w:t>
      </w:r>
    </w:p>
    <w:p w14:paraId="0D596145" w14:textId="77777777" w:rsidR="00FB2E26" w:rsidRPr="00B56F80" w:rsidRDefault="00FB2E26" w:rsidP="00D02EBC">
      <w:pPr>
        <w:tabs>
          <w:tab w:val="left" w:pos="8070"/>
        </w:tabs>
        <w:spacing w:after="0"/>
        <w:ind w:left="426"/>
        <w:jc w:val="both"/>
        <w:rPr>
          <w:rFonts w:ascii="Arial Narrow" w:hAnsi="Arial Narrow" w:cs="Arial"/>
          <w:b/>
          <w:sz w:val="24"/>
          <w:szCs w:val="24"/>
        </w:rPr>
      </w:pPr>
    </w:p>
    <w:p w14:paraId="38F55B19" w14:textId="5D44A2A1"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b/>
          <w:sz w:val="24"/>
          <w:szCs w:val="24"/>
        </w:rPr>
        <w:t>Artículo (CP) 174.</w:t>
      </w:r>
      <w:r w:rsidRPr="00B56F80">
        <w:rPr>
          <w:rFonts w:ascii="Arial Narrow" w:hAnsi="Arial Narrow" w:cs="Arial"/>
          <w:sz w:val="24"/>
          <w:szCs w:val="24"/>
        </w:rPr>
        <w:t xml:space="preserve"> 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w:t>
      </w:r>
      <w:r w:rsidR="00982933" w:rsidRPr="00B56F80">
        <w:rPr>
          <w:rFonts w:ascii="Arial Narrow" w:hAnsi="Arial Narrow" w:cs="Arial"/>
          <w:sz w:val="24"/>
          <w:szCs w:val="24"/>
        </w:rPr>
        <w:t>estos</w:t>
      </w:r>
      <w:r w:rsidRPr="00B56F80">
        <w:rPr>
          <w:rFonts w:ascii="Arial Narrow" w:hAnsi="Arial Narrow" w:cs="Arial"/>
          <w:sz w:val="24"/>
          <w:szCs w:val="24"/>
        </w:rPr>
        <w:t>.</w:t>
      </w:r>
    </w:p>
    <w:p w14:paraId="37B4AF6A" w14:textId="77777777" w:rsidR="00FB2E26" w:rsidRPr="00B56F80" w:rsidRDefault="00FB2E26" w:rsidP="00D02EBC">
      <w:pPr>
        <w:tabs>
          <w:tab w:val="left" w:pos="8070"/>
        </w:tabs>
        <w:spacing w:after="0"/>
        <w:ind w:left="426"/>
        <w:jc w:val="both"/>
        <w:rPr>
          <w:rFonts w:ascii="Arial Narrow" w:hAnsi="Arial Narrow" w:cs="Arial"/>
          <w:sz w:val="24"/>
          <w:szCs w:val="24"/>
        </w:rPr>
      </w:pPr>
    </w:p>
    <w:p w14:paraId="29BA4D7A" w14:textId="77777777" w:rsidR="00FB2E26" w:rsidRPr="00B56F80" w:rsidRDefault="00FB2E26" w:rsidP="00D02EBC">
      <w:pPr>
        <w:tabs>
          <w:tab w:val="left" w:pos="8070"/>
        </w:tabs>
        <w:spacing w:after="0"/>
        <w:ind w:left="426"/>
        <w:jc w:val="both"/>
        <w:rPr>
          <w:rFonts w:ascii="Arial Narrow" w:hAnsi="Arial Narrow" w:cs="Arial"/>
          <w:sz w:val="24"/>
          <w:szCs w:val="24"/>
        </w:rPr>
      </w:pPr>
      <w:r w:rsidRPr="00B56F80">
        <w:rPr>
          <w:rFonts w:ascii="Arial Narrow" w:hAnsi="Arial Narrow" w:cs="Arial"/>
          <w:b/>
          <w:sz w:val="24"/>
          <w:szCs w:val="24"/>
        </w:rPr>
        <w:t xml:space="preserve">Artículo 235: </w:t>
      </w:r>
      <w:r w:rsidRPr="00B56F80">
        <w:rPr>
          <w:rFonts w:ascii="Arial Narrow" w:hAnsi="Arial Narrow" w:cs="Arial"/>
          <w:sz w:val="24"/>
          <w:szCs w:val="24"/>
        </w:rPr>
        <w:t>Son atribuciones de la Corte Suprema de Justicia:</w:t>
      </w:r>
    </w:p>
    <w:p w14:paraId="6B3AFE3C" w14:textId="77777777"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sz w:val="24"/>
          <w:szCs w:val="24"/>
        </w:rPr>
      </w:pPr>
      <w:r w:rsidRPr="00B56F80">
        <w:rPr>
          <w:rFonts w:ascii="Arial Narrow" w:hAnsi="Arial Narrow" w:cs="Arial"/>
          <w:sz w:val="24"/>
          <w:szCs w:val="24"/>
        </w:rPr>
        <w:t>Actuar como tribunal de casación.</w:t>
      </w:r>
    </w:p>
    <w:p w14:paraId="5138377C" w14:textId="77777777"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b/>
          <w:sz w:val="24"/>
          <w:szCs w:val="24"/>
        </w:rPr>
      </w:pPr>
      <w:r w:rsidRPr="00B56F80">
        <w:rPr>
          <w:rFonts w:ascii="Arial Narrow" w:hAnsi="Arial Narrow" w:cs="Arial"/>
          <w:b/>
          <w:sz w:val="24"/>
          <w:szCs w:val="24"/>
        </w:rPr>
        <w:t>Conocer del derecho de impugnación y del recurso de apelación en materia penal, conforme lo determine la ley.</w:t>
      </w:r>
    </w:p>
    <w:p w14:paraId="74B57B44" w14:textId="3883534D"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sz w:val="24"/>
          <w:szCs w:val="24"/>
        </w:rPr>
      </w:pPr>
      <w:r w:rsidRPr="00B56F80">
        <w:rPr>
          <w:rFonts w:ascii="Arial Narrow" w:hAnsi="Arial Narrow" w:cs="Arial"/>
          <w:sz w:val="24"/>
          <w:szCs w:val="24"/>
        </w:rPr>
        <w:t>Juzgar al Presidente de la Republica, o a quien haga sus veces y a los altos funcionarios de que trata el artículo 174, previo el procedimiento establecido</w:t>
      </w:r>
      <w:r w:rsidR="00982933" w:rsidRPr="00B56F80">
        <w:rPr>
          <w:rFonts w:ascii="Arial Narrow" w:hAnsi="Arial Narrow" w:cs="Arial"/>
          <w:sz w:val="24"/>
          <w:szCs w:val="24"/>
        </w:rPr>
        <w:t xml:space="preserve"> </w:t>
      </w:r>
      <w:r w:rsidRPr="00B56F80">
        <w:rPr>
          <w:rFonts w:ascii="Arial Narrow" w:hAnsi="Arial Narrow" w:cs="Arial"/>
          <w:sz w:val="24"/>
          <w:szCs w:val="24"/>
        </w:rPr>
        <w:t xml:space="preserve">(en los numerales 2 y 3 del) artículo 175 de la Constitución Política, por cualquier conducta punible que se les impute. </w:t>
      </w:r>
      <w:r w:rsidRPr="00B56F80">
        <w:rPr>
          <w:rFonts w:ascii="Arial Narrow" w:hAnsi="Arial Narrow" w:cs="Arial"/>
          <w:b/>
          <w:sz w:val="24"/>
          <w:szCs w:val="24"/>
        </w:rPr>
        <w:t>Para estos juicios la Sala Penal de la Corte Suprema de Justicia estará conformada además por Salas Especiales que garanticen el derecho de impugnación y doble instancia.</w:t>
      </w:r>
    </w:p>
    <w:p w14:paraId="7146DD21" w14:textId="77777777"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sz w:val="24"/>
          <w:szCs w:val="24"/>
        </w:rPr>
      </w:pPr>
      <w:r w:rsidRPr="00B56F80">
        <w:rPr>
          <w:rFonts w:ascii="Arial Narrow" w:hAnsi="Arial Narrow" w:cs="Arial"/>
          <w:sz w:val="24"/>
          <w:szCs w:val="24"/>
        </w:rPr>
        <w:t>Investigar u juzgar a los miembros del Congreso.</w:t>
      </w:r>
    </w:p>
    <w:p w14:paraId="469E3DE3" w14:textId="7C913DDB"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sz w:val="24"/>
          <w:szCs w:val="24"/>
        </w:rPr>
      </w:pPr>
      <w:r w:rsidRPr="00B56F80">
        <w:rPr>
          <w:rFonts w:ascii="Arial Narrow" w:hAnsi="Arial Narrow" w:cs="Arial"/>
          <w:sz w:val="24"/>
          <w:szCs w:val="24"/>
        </w:rPr>
        <w:t xml:space="preserve">Juzgar, a través de la Sala Especial de Primera Instancia, de la Sala Penal de la Corte Suprema de Justicia, previa acusación del Fiscal General de la Nación, del Vicefiscal General de la Nación, o de sus delegados de la unidad de fiscalías ante la Corte Suprema de </w:t>
      </w:r>
      <w:r w:rsidR="00B56F80" w:rsidRPr="00B56F80">
        <w:rPr>
          <w:rFonts w:ascii="Arial Narrow" w:hAnsi="Arial Narrow" w:cs="Arial"/>
          <w:sz w:val="24"/>
          <w:szCs w:val="24"/>
        </w:rPr>
        <w:t>Justicia</w:t>
      </w:r>
      <w:r w:rsidRPr="00B56F80">
        <w:rPr>
          <w:rFonts w:ascii="Arial Narrow" w:hAnsi="Arial Narrow" w:cs="Arial"/>
          <w:sz w:val="24"/>
          <w:szCs w:val="24"/>
        </w:rPr>
        <w:t xml:space="preserve">, al Vicepresidente de la Republica, a los Ministros del Despacho, al Procurador General, al Defensor del Pueblo, a los Agentes del Ministerio Publico ante la Corte, ante el Consejo de Estado y ante los Tribunales, Directores de los Departamentos Administrativos, al Contralor General de la Republica, a los Embajadores y jefe de misión diplomática o consular, a los Gobernadores, a los Magistrados de Tribunales y a los Generales y Almirantes de la Fuerza </w:t>
      </w:r>
      <w:r w:rsidR="00B56F80" w:rsidRPr="00B56F80">
        <w:rPr>
          <w:rFonts w:ascii="Arial Narrow" w:hAnsi="Arial Narrow" w:cs="Arial"/>
          <w:sz w:val="24"/>
          <w:szCs w:val="24"/>
        </w:rPr>
        <w:t>Pública</w:t>
      </w:r>
      <w:r w:rsidRPr="00B56F80">
        <w:rPr>
          <w:rFonts w:ascii="Arial Narrow" w:hAnsi="Arial Narrow" w:cs="Arial"/>
          <w:sz w:val="24"/>
          <w:szCs w:val="24"/>
        </w:rPr>
        <w:t>, por los hechos punibles que se les imputen.</w:t>
      </w:r>
    </w:p>
    <w:p w14:paraId="3FB913E4" w14:textId="77777777"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b/>
          <w:sz w:val="24"/>
          <w:szCs w:val="24"/>
        </w:rPr>
      </w:pPr>
      <w:r w:rsidRPr="00B56F80">
        <w:rPr>
          <w:rFonts w:ascii="Arial Narrow" w:hAnsi="Arial Narrow" w:cs="Arial"/>
          <w:b/>
          <w:sz w:val="24"/>
          <w:szCs w:val="24"/>
        </w:rPr>
        <w:t>Resolver, a través de la Sala de Casación Penal de la Corte Suprema de Justicia, los recursos de apelación que se interpongan contra las decisiones proferidas por la Sala Especial de Primera Instancia de la Sala Penal de la Corte Suprema de Justicia.</w:t>
      </w:r>
    </w:p>
    <w:p w14:paraId="79DDF22F" w14:textId="505D39D0" w:rsidR="00FB2E26" w:rsidRPr="00B56F80" w:rsidRDefault="00FB2E26" w:rsidP="00D02EBC">
      <w:pPr>
        <w:pStyle w:val="ListParagraph"/>
        <w:numPr>
          <w:ilvl w:val="0"/>
          <w:numId w:val="7"/>
        </w:numPr>
        <w:tabs>
          <w:tab w:val="left" w:pos="8070"/>
        </w:tabs>
        <w:spacing w:after="0"/>
        <w:ind w:left="851" w:hanging="425"/>
        <w:jc w:val="both"/>
        <w:rPr>
          <w:rFonts w:ascii="Arial Narrow" w:hAnsi="Arial Narrow" w:cs="Arial"/>
          <w:b/>
          <w:sz w:val="24"/>
          <w:szCs w:val="24"/>
        </w:rPr>
      </w:pPr>
      <w:r w:rsidRPr="00B56F80">
        <w:rPr>
          <w:rFonts w:ascii="Arial Narrow" w:hAnsi="Arial Narrow" w:cs="Arial"/>
          <w:b/>
          <w:sz w:val="24"/>
          <w:szCs w:val="24"/>
        </w:rPr>
        <w:t xml:space="preserve">Resolver, a través de una Sala integrada por tres Magistrados de la Sala de Casación Penal de la Corte Suprema de Justicia y que no hayan participado en la decisión, conforme lo determine la ley, la solicitud de doble conformidad judicial de la primera condena de la sentencia proferida por los restantes Magistrados de dicha Sala, en los asuntos a que se refieren los numerales 1,3,4,5,6 del presente </w:t>
      </w:r>
      <w:r w:rsidR="00B56F80" w:rsidRPr="00B56F80">
        <w:rPr>
          <w:rFonts w:ascii="Arial Narrow" w:hAnsi="Arial Narrow" w:cs="Arial"/>
          <w:b/>
          <w:sz w:val="24"/>
          <w:szCs w:val="24"/>
        </w:rPr>
        <w:t>artículo</w:t>
      </w:r>
      <w:r w:rsidRPr="00B56F80">
        <w:rPr>
          <w:rFonts w:ascii="Arial Narrow" w:hAnsi="Arial Narrow" w:cs="Arial"/>
          <w:b/>
          <w:sz w:val="24"/>
          <w:szCs w:val="24"/>
        </w:rPr>
        <w:t>, o de los fallos que en esas condiciones profieran los Tribunales Superiores o Militares.</w:t>
      </w:r>
    </w:p>
    <w:p w14:paraId="52A0FD5E" w14:textId="77777777" w:rsidR="00FB2E26" w:rsidRPr="00B56F80" w:rsidRDefault="00FB2E26" w:rsidP="00897250">
      <w:pPr>
        <w:tabs>
          <w:tab w:val="left" w:pos="8070"/>
        </w:tabs>
        <w:spacing w:after="0"/>
        <w:ind w:left="360"/>
        <w:jc w:val="both"/>
        <w:rPr>
          <w:rFonts w:ascii="Arial Narrow" w:hAnsi="Arial Narrow" w:cs="Arial"/>
          <w:sz w:val="24"/>
          <w:szCs w:val="24"/>
        </w:rPr>
      </w:pPr>
    </w:p>
    <w:p w14:paraId="0524E894" w14:textId="2D6A84F3" w:rsidR="00FB2E26" w:rsidRPr="00B56F80" w:rsidRDefault="00FB2E26" w:rsidP="00D02EBC">
      <w:pPr>
        <w:pStyle w:val="ListParagraph"/>
        <w:numPr>
          <w:ilvl w:val="1"/>
          <w:numId w:val="9"/>
        </w:numPr>
        <w:tabs>
          <w:tab w:val="left" w:pos="8070"/>
        </w:tabs>
        <w:spacing w:after="0"/>
        <w:ind w:left="426" w:hanging="710"/>
        <w:jc w:val="both"/>
        <w:rPr>
          <w:rFonts w:ascii="Arial Narrow" w:hAnsi="Arial Narrow" w:cs="Arial"/>
          <w:b/>
          <w:sz w:val="24"/>
          <w:szCs w:val="24"/>
        </w:rPr>
      </w:pPr>
      <w:r w:rsidRPr="00B56F80">
        <w:rPr>
          <w:rFonts w:ascii="Arial Narrow" w:hAnsi="Arial Narrow" w:cs="Arial"/>
          <w:b/>
          <w:sz w:val="24"/>
          <w:szCs w:val="24"/>
        </w:rPr>
        <w:t>Jurisprudencia Nacional</w:t>
      </w:r>
    </w:p>
    <w:p w14:paraId="50349268" w14:textId="77777777" w:rsidR="00E86F15" w:rsidRPr="00B56F80" w:rsidRDefault="00E86F15" w:rsidP="00D02EBC">
      <w:pPr>
        <w:pStyle w:val="ListParagraph"/>
        <w:tabs>
          <w:tab w:val="left" w:pos="8070"/>
        </w:tabs>
        <w:spacing w:after="0"/>
        <w:ind w:left="426" w:hanging="710"/>
        <w:jc w:val="both"/>
        <w:rPr>
          <w:rFonts w:ascii="Arial Narrow" w:hAnsi="Arial Narrow" w:cs="Arial"/>
          <w:b/>
          <w:sz w:val="24"/>
          <w:szCs w:val="24"/>
        </w:rPr>
      </w:pPr>
    </w:p>
    <w:p w14:paraId="02EEBDC8" w14:textId="2EE014ED" w:rsidR="00FB2E26" w:rsidRPr="00B56F80" w:rsidRDefault="00FB2E26" w:rsidP="00D02EBC">
      <w:pPr>
        <w:pStyle w:val="ListParagraph"/>
        <w:numPr>
          <w:ilvl w:val="0"/>
          <w:numId w:val="11"/>
        </w:numPr>
        <w:tabs>
          <w:tab w:val="left" w:pos="8070"/>
        </w:tabs>
        <w:spacing w:after="0"/>
        <w:jc w:val="both"/>
        <w:rPr>
          <w:rFonts w:ascii="Arial Narrow" w:hAnsi="Arial Narrow" w:cs="Arial"/>
          <w:b/>
          <w:sz w:val="24"/>
          <w:szCs w:val="24"/>
        </w:rPr>
      </w:pPr>
      <w:r w:rsidRPr="00B56F80">
        <w:rPr>
          <w:rFonts w:ascii="Arial Narrow" w:hAnsi="Arial Narrow" w:cs="Arial"/>
          <w:b/>
          <w:sz w:val="24"/>
          <w:szCs w:val="24"/>
        </w:rPr>
        <w:t>Sentencia C-792 de 2014- Código de Procedimiento penal – doble instancia.</w:t>
      </w:r>
    </w:p>
    <w:p w14:paraId="1BF34ACB" w14:textId="77777777" w:rsidR="00FB2E26" w:rsidRPr="00B56F80" w:rsidRDefault="00FB2E26" w:rsidP="00D02EBC">
      <w:pPr>
        <w:pStyle w:val="ListParagraph"/>
        <w:spacing w:after="0"/>
        <w:ind w:left="426"/>
        <w:jc w:val="both"/>
        <w:rPr>
          <w:rFonts w:ascii="Arial Narrow" w:hAnsi="Arial Narrow" w:cs="Arial"/>
          <w:b/>
          <w:sz w:val="24"/>
          <w:szCs w:val="24"/>
        </w:rPr>
      </w:pPr>
    </w:p>
    <w:p w14:paraId="5F891CDF" w14:textId="200418B9" w:rsidR="00FB2E26" w:rsidRPr="00B56F80" w:rsidRDefault="00982933" w:rsidP="00D02EBC">
      <w:pPr>
        <w:shd w:val="clear" w:color="auto" w:fill="FFFFFF"/>
        <w:spacing w:after="0" w:line="240" w:lineRule="auto"/>
        <w:ind w:left="426"/>
        <w:jc w:val="both"/>
        <w:textAlignment w:val="baseline"/>
        <w:rPr>
          <w:rFonts w:ascii="Arial Narrow" w:eastAsia="Times New Roman" w:hAnsi="Arial Narrow" w:cs="Arial"/>
          <w:sz w:val="24"/>
          <w:szCs w:val="24"/>
          <w:lang w:eastAsia="es-CO"/>
        </w:rPr>
      </w:pPr>
      <w:r w:rsidRPr="00B56F80">
        <w:rPr>
          <w:rFonts w:ascii="Arial Narrow" w:eastAsia="Times New Roman" w:hAnsi="Arial Narrow" w:cs="Arial"/>
          <w:b/>
          <w:bCs/>
          <w:sz w:val="24"/>
          <w:szCs w:val="24"/>
          <w:bdr w:val="none" w:sz="0" w:space="0" w:color="auto" w:frame="1"/>
          <w:lang w:eastAsia="es-CO"/>
        </w:rPr>
        <w:t>PRIMERO. -</w:t>
      </w:r>
      <w:r w:rsidR="00FB2E26" w:rsidRPr="00B56F80">
        <w:rPr>
          <w:rFonts w:ascii="Arial Narrow" w:eastAsia="Times New Roman" w:hAnsi="Arial Narrow" w:cs="Arial"/>
          <w:b/>
          <w:bCs/>
          <w:sz w:val="24"/>
          <w:szCs w:val="24"/>
          <w:bdr w:val="none" w:sz="0" w:space="0" w:color="auto" w:frame="1"/>
          <w:lang w:eastAsia="es-CO"/>
        </w:rPr>
        <w:t> </w:t>
      </w:r>
      <w:r w:rsidR="00FB2E26" w:rsidRPr="00B56F80">
        <w:rPr>
          <w:rFonts w:ascii="Arial Narrow" w:eastAsia="Times New Roman" w:hAnsi="Arial Narrow" w:cs="Arial"/>
          <w:sz w:val="24"/>
          <w:szCs w:val="24"/>
          <w:bdr w:val="none" w:sz="0" w:space="0" w:color="auto" w:frame="1"/>
          <w:lang w:eastAsia="es-CO"/>
        </w:rPr>
        <w:t>Declarar la </w:t>
      </w:r>
      <w:r w:rsidR="00FB2E26" w:rsidRPr="00B56F80">
        <w:rPr>
          <w:rFonts w:ascii="Arial Narrow" w:eastAsia="Times New Roman" w:hAnsi="Arial Narrow" w:cs="Arial"/>
          <w:b/>
          <w:bCs/>
          <w:sz w:val="24"/>
          <w:szCs w:val="24"/>
          <w:bdr w:val="none" w:sz="0" w:space="0" w:color="auto" w:frame="1"/>
          <w:lang w:eastAsia="es-CO"/>
        </w:rPr>
        <w:t>INCONSTITUCIONALIDAD CON EFECTOS DIFERIDOS, </w:t>
      </w:r>
      <w:r w:rsidR="00FB2E26" w:rsidRPr="00B56F80">
        <w:rPr>
          <w:rFonts w:ascii="Arial Narrow" w:eastAsia="Times New Roman" w:hAnsi="Arial Narrow" w:cs="Arial"/>
          <w:sz w:val="24"/>
          <w:szCs w:val="24"/>
          <w:bdr w:val="none" w:sz="0" w:space="0" w:color="auto" w:frame="1"/>
          <w:lang w:eastAsia="es-CO"/>
        </w:rPr>
        <w:t xml:space="preserve">y en los términos señaladas en el numeral segundo </w:t>
      </w:r>
      <w:r w:rsidRPr="00B56F80">
        <w:rPr>
          <w:rFonts w:ascii="Arial Narrow" w:eastAsia="Times New Roman" w:hAnsi="Arial Narrow" w:cs="Arial"/>
          <w:sz w:val="24"/>
          <w:szCs w:val="24"/>
          <w:bdr w:val="none" w:sz="0" w:space="0" w:color="auto" w:frame="1"/>
          <w:lang w:eastAsia="es-CO"/>
        </w:rPr>
        <w:t>del parte resolutivo</w:t>
      </w:r>
      <w:r w:rsidR="00FB2E26" w:rsidRPr="00B56F80">
        <w:rPr>
          <w:rFonts w:ascii="Arial Narrow" w:eastAsia="Times New Roman" w:hAnsi="Arial Narrow" w:cs="Arial"/>
          <w:sz w:val="24"/>
          <w:szCs w:val="24"/>
          <w:bdr w:val="none" w:sz="0" w:space="0" w:color="auto" w:frame="1"/>
          <w:lang w:eastAsia="es-CO"/>
        </w:rPr>
        <w:t xml:space="preserve"> de esta providencia, de las expresiones demandadas contenidas en los artículos 20, 32, 161, 176, 179, 179B, 194 y 481 de la Ley 906 de 2004, en cuanto omiten la posibilidad de impugnar todas las sentencias condenatorias, y </w:t>
      </w:r>
      <w:r w:rsidR="00FB2E26" w:rsidRPr="00B56F80">
        <w:rPr>
          <w:rFonts w:ascii="Arial Narrow" w:eastAsia="Times New Roman" w:hAnsi="Arial Narrow" w:cs="Arial"/>
          <w:b/>
          <w:bCs/>
          <w:sz w:val="24"/>
          <w:szCs w:val="24"/>
          <w:bdr w:val="none" w:sz="0" w:space="0" w:color="auto" w:frame="1"/>
          <w:lang w:eastAsia="es-CO"/>
        </w:rPr>
        <w:t>EXEQUIBLE</w:t>
      </w:r>
      <w:r w:rsidR="00FB2E26" w:rsidRPr="00B56F80">
        <w:rPr>
          <w:rFonts w:ascii="Arial Narrow" w:eastAsia="Times New Roman" w:hAnsi="Arial Narrow" w:cs="Arial"/>
          <w:sz w:val="24"/>
          <w:szCs w:val="24"/>
          <w:bdr w:val="none" w:sz="0" w:space="0" w:color="auto" w:frame="1"/>
          <w:lang w:eastAsia="es-CO"/>
        </w:rPr>
        <w:t> el contenido positivo de estas disposiciones.</w:t>
      </w:r>
    </w:p>
    <w:p w14:paraId="2A2580AA" w14:textId="77777777" w:rsidR="00FB2E26" w:rsidRPr="00B56F80" w:rsidRDefault="00FB2E26" w:rsidP="00D02EBC">
      <w:pPr>
        <w:shd w:val="clear" w:color="auto" w:fill="FFFFFF"/>
        <w:spacing w:after="0" w:line="240" w:lineRule="auto"/>
        <w:ind w:left="426"/>
        <w:jc w:val="both"/>
        <w:textAlignment w:val="baseline"/>
        <w:rPr>
          <w:rFonts w:ascii="Arial Narrow" w:eastAsia="Times New Roman" w:hAnsi="Arial Narrow" w:cs="Arial"/>
          <w:sz w:val="24"/>
          <w:szCs w:val="24"/>
          <w:lang w:eastAsia="es-CO"/>
        </w:rPr>
      </w:pPr>
    </w:p>
    <w:p w14:paraId="7BC5B193" w14:textId="5DB73D65" w:rsidR="00FB2E26" w:rsidRPr="00B56F80" w:rsidRDefault="00982933" w:rsidP="00D02EBC">
      <w:pPr>
        <w:shd w:val="clear" w:color="auto" w:fill="FFFFFF"/>
        <w:spacing w:after="0" w:line="240" w:lineRule="auto"/>
        <w:ind w:left="426"/>
        <w:jc w:val="both"/>
        <w:textAlignment w:val="baseline"/>
        <w:rPr>
          <w:rFonts w:ascii="Arial Narrow" w:eastAsia="Times New Roman" w:hAnsi="Arial Narrow" w:cs="Arial"/>
          <w:sz w:val="24"/>
          <w:szCs w:val="24"/>
          <w:lang w:eastAsia="es-CO"/>
        </w:rPr>
      </w:pPr>
      <w:r w:rsidRPr="00B56F80">
        <w:rPr>
          <w:rFonts w:ascii="Arial Narrow" w:eastAsia="Times New Roman" w:hAnsi="Arial Narrow" w:cs="Arial"/>
          <w:b/>
          <w:bCs/>
          <w:sz w:val="24"/>
          <w:szCs w:val="24"/>
          <w:bdr w:val="none" w:sz="0" w:space="0" w:color="auto" w:frame="1"/>
          <w:lang w:eastAsia="es-CO"/>
        </w:rPr>
        <w:t>SEGUNDO. -</w:t>
      </w:r>
      <w:r w:rsidR="00FB2E26" w:rsidRPr="00B56F80">
        <w:rPr>
          <w:rFonts w:ascii="Arial Narrow" w:eastAsia="Times New Roman" w:hAnsi="Arial Narrow" w:cs="Arial"/>
          <w:b/>
          <w:bCs/>
          <w:sz w:val="24"/>
          <w:szCs w:val="24"/>
          <w:bdr w:val="none" w:sz="0" w:space="0" w:color="auto" w:frame="1"/>
          <w:lang w:eastAsia="es-CO"/>
        </w:rPr>
        <w:t xml:space="preserve"> EXHORTAR </w:t>
      </w:r>
      <w:r w:rsidR="00FB2E26" w:rsidRPr="00B56F80">
        <w:rPr>
          <w:rFonts w:ascii="Arial Narrow" w:eastAsia="Times New Roman" w:hAnsi="Arial Narrow" w:cs="Arial"/>
          <w:sz w:val="24"/>
          <w:szCs w:val="24"/>
          <w:bdr w:val="none" w:sz="0" w:space="0" w:color="auto" w:frame="1"/>
          <w:lang w:eastAsia="es-CO"/>
        </w:rPr>
        <w:t>al Congreso de la República para que, en el término de un año contado a partir de la notificación por edicto de esta sentencia,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w:t>
      </w:r>
    </w:p>
    <w:p w14:paraId="6A3A60F7" w14:textId="77777777" w:rsidR="00FB2E26" w:rsidRPr="00B56F80" w:rsidRDefault="00FB2E26" w:rsidP="00D02EBC">
      <w:pPr>
        <w:pStyle w:val="ListParagraph"/>
        <w:spacing w:after="0"/>
        <w:ind w:left="426"/>
        <w:rPr>
          <w:rFonts w:ascii="Arial Narrow" w:eastAsia="Times New Roman" w:hAnsi="Arial Narrow" w:cs="Arial"/>
          <w:b/>
          <w:sz w:val="24"/>
          <w:szCs w:val="24"/>
          <w:lang w:eastAsia="es-CO"/>
        </w:rPr>
      </w:pPr>
    </w:p>
    <w:p w14:paraId="5CA6DAA4" w14:textId="77777777" w:rsidR="00FB2E26" w:rsidRPr="00B56F80" w:rsidRDefault="00FB2E26" w:rsidP="00D02EBC">
      <w:pPr>
        <w:pStyle w:val="ListParagraph"/>
        <w:numPr>
          <w:ilvl w:val="0"/>
          <w:numId w:val="10"/>
        </w:numPr>
        <w:shd w:val="clear" w:color="auto" w:fill="FFFFFF"/>
        <w:spacing w:after="0" w:line="240" w:lineRule="auto"/>
        <w:ind w:left="426" w:firstLine="0"/>
        <w:jc w:val="both"/>
        <w:textAlignment w:val="baseline"/>
        <w:rPr>
          <w:rFonts w:ascii="Arial Narrow" w:eastAsia="Times New Roman" w:hAnsi="Arial Narrow" w:cs="Arial"/>
          <w:sz w:val="24"/>
          <w:szCs w:val="24"/>
          <w:lang w:eastAsia="es-CO"/>
        </w:rPr>
      </w:pPr>
      <w:r w:rsidRPr="00B56F80">
        <w:rPr>
          <w:rFonts w:ascii="Arial Narrow" w:eastAsia="Times New Roman" w:hAnsi="Arial Narrow" w:cs="Arial"/>
          <w:b/>
          <w:sz w:val="24"/>
          <w:szCs w:val="24"/>
          <w:lang w:eastAsia="es-CO"/>
        </w:rPr>
        <w:t>Sentencia SU – 215 de 2016</w:t>
      </w:r>
    </w:p>
    <w:p w14:paraId="1B5AAC16" w14:textId="77777777" w:rsidR="00FB2E26" w:rsidRPr="00B56F80" w:rsidRDefault="00FB2E26" w:rsidP="00D02EBC">
      <w:pPr>
        <w:shd w:val="clear" w:color="auto" w:fill="FFFFFF"/>
        <w:spacing w:after="0" w:line="240" w:lineRule="auto"/>
        <w:ind w:left="426"/>
        <w:jc w:val="both"/>
        <w:textAlignment w:val="baseline"/>
        <w:rPr>
          <w:rFonts w:ascii="Arial Narrow" w:eastAsia="Times New Roman" w:hAnsi="Arial Narrow" w:cs="Arial"/>
          <w:sz w:val="24"/>
          <w:szCs w:val="24"/>
          <w:lang w:eastAsia="es-CO"/>
        </w:rPr>
      </w:pPr>
      <w:r w:rsidRPr="00B56F80">
        <w:rPr>
          <w:rFonts w:ascii="Arial Narrow" w:hAnsi="Arial Narrow" w:cs="Arial"/>
          <w:b/>
          <w:bCs/>
          <w:sz w:val="24"/>
          <w:szCs w:val="24"/>
          <w:bdr w:val="none" w:sz="0" w:space="0" w:color="auto" w:frame="1"/>
        </w:rPr>
        <w:t>Tercero.- </w:t>
      </w:r>
      <w:r w:rsidRPr="00B56F80">
        <w:rPr>
          <w:rFonts w:ascii="Arial Narrow" w:hAnsi="Arial Narrow" w:cs="Arial"/>
          <w:sz w:val="24"/>
          <w:szCs w:val="24"/>
          <w:bdr w:val="none" w:sz="0" w:space="0" w:color="auto" w:frame="1"/>
        </w:rPr>
        <w:t>Como quiera que el 24 de abril de 2016 se venció el exhorto al Congreso de la República, emitido en la sentencia C-792 de 2014, para legislar sobre la materia, la Corte Suprema de Justicia dentro de sus competencias, o en su defecto el juez constitucional, atenderá a las circunstancias de cada caso para definir la forma de garantizar el derecho constitucional a impugnar la sentencia condenatoria impuesta por primera vez por su Sala de </w:t>
      </w:r>
      <w:r w:rsidRPr="00B56F80">
        <w:rPr>
          <w:rFonts w:ascii="Arial Narrow" w:hAnsi="Arial Narrow" w:cs="Arial"/>
          <w:i/>
          <w:iCs/>
          <w:sz w:val="24"/>
          <w:szCs w:val="24"/>
          <w:bdr w:val="none" w:sz="0" w:space="0" w:color="auto" w:frame="1"/>
        </w:rPr>
        <w:t>Casación</w:t>
      </w:r>
      <w:r w:rsidRPr="00B56F80">
        <w:rPr>
          <w:rFonts w:ascii="Arial Narrow" w:hAnsi="Arial Narrow" w:cs="Arial"/>
          <w:sz w:val="24"/>
          <w:szCs w:val="24"/>
          <w:bdr w:val="none" w:sz="0" w:space="0" w:color="auto" w:frame="1"/>
        </w:rPr>
        <w:t> Penal, respecto de las providencias que para esa fecha aún no se encuentren ejecutoriadas.</w:t>
      </w:r>
    </w:p>
    <w:p w14:paraId="00888E21" w14:textId="77777777" w:rsidR="00FB2E26" w:rsidRPr="00B56F80" w:rsidRDefault="00FB2E26" w:rsidP="00D02EBC">
      <w:pPr>
        <w:shd w:val="clear" w:color="auto" w:fill="FFFFFF"/>
        <w:spacing w:after="0" w:line="240" w:lineRule="auto"/>
        <w:ind w:left="426"/>
        <w:jc w:val="both"/>
        <w:textAlignment w:val="baseline"/>
        <w:rPr>
          <w:rFonts w:ascii="Arial Narrow" w:eastAsia="Times New Roman" w:hAnsi="Arial Narrow" w:cs="Arial"/>
          <w:b/>
          <w:sz w:val="24"/>
          <w:szCs w:val="24"/>
          <w:lang w:eastAsia="es-CO"/>
        </w:rPr>
      </w:pPr>
    </w:p>
    <w:p w14:paraId="11C13C11" w14:textId="77777777" w:rsidR="00FB2E26" w:rsidRPr="00B56F80" w:rsidRDefault="00FB2E26" w:rsidP="00D02EBC">
      <w:pPr>
        <w:pStyle w:val="ListParagraph"/>
        <w:numPr>
          <w:ilvl w:val="0"/>
          <w:numId w:val="10"/>
        </w:numPr>
        <w:shd w:val="clear" w:color="auto" w:fill="FFFFFF"/>
        <w:spacing w:after="0" w:line="240" w:lineRule="auto"/>
        <w:ind w:left="426" w:firstLine="0"/>
        <w:jc w:val="both"/>
        <w:textAlignment w:val="baseline"/>
        <w:rPr>
          <w:rFonts w:ascii="Arial Narrow" w:eastAsia="Times New Roman" w:hAnsi="Arial Narrow" w:cs="Arial"/>
          <w:b/>
          <w:sz w:val="24"/>
          <w:szCs w:val="24"/>
          <w:lang w:eastAsia="es-CO"/>
        </w:rPr>
      </w:pPr>
      <w:r w:rsidRPr="00B56F80">
        <w:rPr>
          <w:rFonts w:ascii="Arial Narrow" w:eastAsia="Times New Roman" w:hAnsi="Arial Narrow" w:cs="Arial"/>
          <w:b/>
          <w:sz w:val="24"/>
          <w:szCs w:val="24"/>
          <w:lang w:eastAsia="es-CO"/>
        </w:rPr>
        <w:t>Sentencia SU – 217 de 2019</w:t>
      </w:r>
    </w:p>
    <w:p w14:paraId="126F72F0" w14:textId="77777777" w:rsidR="00FB2E26" w:rsidRPr="00B56F80" w:rsidRDefault="00FB2E2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Segundo. Revocar</w:t>
      </w:r>
      <w:r w:rsidRPr="00B56F80">
        <w:rPr>
          <w:rFonts w:ascii="Arial Narrow" w:hAnsi="Arial Narrow" w:cs="Arial"/>
          <w:sz w:val="24"/>
          <w:szCs w:val="24"/>
        </w:rPr>
        <w:t xml:space="preserve"> la sentencia proferida el 3 de octubre de 2017 por la Sala de Casación Civil de la Corte Suprema de Justicia, dentro de la acción de tutela interpuesta por el señor Robinson Rodríguez Oviedo (expediente T- 6.011.878), que negó la protección de los derechos fundamentales invocados y, en su lugar, </w:t>
      </w:r>
      <w:r w:rsidRPr="00B56F80">
        <w:rPr>
          <w:rFonts w:ascii="Arial Narrow" w:hAnsi="Arial Narrow" w:cs="Arial"/>
          <w:b/>
          <w:sz w:val="24"/>
          <w:szCs w:val="24"/>
        </w:rPr>
        <w:t>AMPARAR su derecho fundamental a impugnar la sentencia condenatoria, el cual forma parte del derecho al debido proceso.</w:t>
      </w:r>
    </w:p>
    <w:p w14:paraId="58991ABB" w14:textId="77777777" w:rsidR="00FB2E26" w:rsidRPr="00B56F80" w:rsidRDefault="00FB2E26" w:rsidP="00D02EBC">
      <w:pPr>
        <w:tabs>
          <w:tab w:val="left" w:pos="8789"/>
        </w:tabs>
        <w:spacing w:after="0"/>
        <w:ind w:left="426"/>
        <w:jc w:val="both"/>
        <w:rPr>
          <w:rFonts w:ascii="Arial Narrow" w:hAnsi="Arial Narrow" w:cs="Arial"/>
          <w:b/>
          <w:sz w:val="24"/>
          <w:szCs w:val="24"/>
        </w:rPr>
      </w:pPr>
    </w:p>
    <w:p w14:paraId="04A364F5" w14:textId="77777777" w:rsidR="00FB2E26" w:rsidRPr="00B56F80" w:rsidRDefault="00FB2E2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Tercero.</w:t>
      </w:r>
      <w:r w:rsidRPr="00B56F80">
        <w:rPr>
          <w:rFonts w:ascii="Arial Narrow" w:hAnsi="Arial Narrow" w:cs="Arial"/>
          <w:sz w:val="24"/>
          <w:szCs w:val="24"/>
        </w:rPr>
        <w:t xml:space="preserve"> Como consecuencia de lo anterior, </w:t>
      </w:r>
      <w:r w:rsidRPr="00B56F80">
        <w:rPr>
          <w:rFonts w:ascii="Arial Narrow" w:hAnsi="Arial Narrow" w:cs="Arial"/>
          <w:b/>
          <w:sz w:val="24"/>
          <w:szCs w:val="24"/>
        </w:rPr>
        <w:t>DEJAR SIN EFECTO</w:t>
      </w:r>
      <w:r w:rsidRPr="00B56F80">
        <w:rPr>
          <w:rFonts w:ascii="Arial Narrow" w:hAnsi="Arial Narrow" w:cs="Arial"/>
          <w:sz w:val="24"/>
          <w:szCs w:val="24"/>
        </w:rPr>
        <w:t xml:space="preserve"> el Auto proferido el 17 de agosto de 2016 por el Tribunal Superior del Distrito Judicial de Neiva dentro del proceso penal con radicado No.41298310900120130002401, en cuanto rechazó el recurso interpuesto por el accionante Robinson Rodríguez Oviedo. En su lugar, </w:t>
      </w:r>
      <w:r w:rsidRPr="00B56F80">
        <w:rPr>
          <w:rFonts w:ascii="Arial Narrow" w:hAnsi="Arial Narrow" w:cs="Arial"/>
          <w:b/>
          <w:sz w:val="24"/>
          <w:szCs w:val="24"/>
        </w:rPr>
        <w:t>ORDENAR</w:t>
      </w:r>
      <w:r w:rsidRPr="00B56F80">
        <w:rPr>
          <w:rFonts w:ascii="Arial Narrow" w:hAnsi="Arial Narrow" w:cs="Arial"/>
          <w:sz w:val="24"/>
          <w:szCs w:val="24"/>
        </w:rPr>
        <w:t xml:space="preserve"> al Tribunal Superior del Distrito Judicial de Neiva y a la Corte Suprema de Justicia, Sala de Casación Penal, </w:t>
      </w:r>
      <w:r w:rsidRPr="00B56F80">
        <w:rPr>
          <w:rFonts w:ascii="Arial Narrow" w:hAnsi="Arial Narrow" w:cs="Arial"/>
          <w:b/>
          <w:sz w:val="24"/>
          <w:szCs w:val="24"/>
        </w:rPr>
        <w:t xml:space="preserve">dar trámite a la impugnación que oportunamente interpuso, conforme a los considerandos de esta decisión. </w:t>
      </w:r>
    </w:p>
    <w:p w14:paraId="0B64C97F" w14:textId="77777777" w:rsidR="00FB2E26" w:rsidRPr="00B56F80" w:rsidRDefault="00FB2E26" w:rsidP="00D02EBC">
      <w:pPr>
        <w:tabs>
          <w:tab w:val="left" w:pos="8789"/>
        </w:tabs>
        <w:spacing w:after="0"/>
        <w:ind w:left="426"/>
        <w:jc w:val="both"/>
        <w:rPr>
          <w:rFonts w:ascii="Arial Narrow" w:hAnsi="Arial Narrow" w:cs="Arial"/>
          <w:sz w:val="24"/>
          <w:szCs w:val="24"/>
        </w:rPr>
      </w:pPr>
    </w:p>
    <w:p w14:paraId="3492D358" w14:textId="77777777" w:rsidR="00FB2E26" w:rsidRPr="00B56F80" w:rsidRDefault="00FB2E2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 xml:space="preserve">Quinto. Exhortar, </w:t>
      </w:r>
      <w:r w:rsidRPr="00B56F80">
        <w:rPr>
          <w:rFonts w:ascii="Arial Narrow" w:hAnsi="Arial Narrow" w:cs="Arial"/>
          <w:sz w:val="24"/>
          <w:szCs w:val="24"/>
        </w:rPr>
        <w:t xml:space="preserve">una vez más, al Congreso de la República, a que regule el procedimiento para el ejercicio del derecho a la impugnación de la primera sentencia condenatoria en materia penal, de conformidad con lo dispuesto en los artículos 29 y 235, numerales 2 y 7, de la Constitución. </w:t>
      </w:r>
    </w:p>
    <w:p w14:paraId="7FC2B85F" w14:textId="77777777" w:rsidR="00FB2E26" w:rsidRPr="00B56F80" w:rsidRDefault="00FB2E26" w:rsidP="00D02EBC">
      <w:pPr>
        <w:tabs>
          <w:tab w:val="left" w:pos="8789"/>
        </w:tabs>
        <w:spacing w:after="0"/>
        <w:ind w:left="426"/>
        <w:jc w:val="both"/>
        <w:rPr>
          <w:rFonts w:ascii="Arial Narrow" w:hAnsi="Arial Narrow" w:cs="Arial"/>
          <w:b/>
          <w:sz w:val="24"/>
          <w:szCs w:val="24"/>
        </w:rPr>
      </w:pPr>
    </w:p>
    <w:p w14:paraId="6C2819CF" w14:textId="77777777"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Artículo 235. Son atribuciones de la Corte Suprema de Justicia - 2. Juzgar al Presidente de la República o a quien haga sus veces y a los altos funcionarios de que trata el artículo 174, por cualquier hecho punible que se les impute, conforme al artículo 175 numerales 2 y 3. 7. Las demás atribuciones que señale la ley.</w:t>
      </w:r>
    </w:p>
    <w:p w14:paraId="5972F96F" w14:textId="77777777" w:rsidR="00FB2E26" w:rsidRPr="00B56F80" w:rsidRDefault="00FB2E26" w:rsidP="00D02EBC">
      <w:pPr>
        <w:tabs>
          <w:tab w:val="left" w:pos="8789"/>
        </w:tabs>
        <w:spacing w:after="0"/>
        <w:ind w:left="426"/>
        <w:jc w:val="both"/>
        <w:rPr>
          <w:rFonts w:ascii="Arial Narrow" w:hAnsi="Arial Narrow" w:cs="Arial"/>
          <w:sz w:val="24"/>
          <w:szCs w:val="24"/>
        </w:rPr>
      </w:pPr>
    </w:p>
    <w:p w14:paraId="2AD7EC12" w14:textId="77777777"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Artículo 175. En los juicios que se sigan ante el Senado, se observarán estas reglas: 2. Si la acusación se refiere a delitos cometidos en ejercicio de funciones, o a indignidad por mala conducta, el Senado no podrá imponer otra pena que la de destitución del empleo, o la privación temporal o perdida absoluta de los derechos políticos; pero al reo se le seguirá juicio criminal ante la Corte Suprema de Justicia, si los hechos lo constituyen responsable de infracción que merezca otra pena. 3. Si la acusación se refiere a delitos comunes, el Senado se limitará a declarar si hay o no lugar a seguimiento de causa y, en caso afirmativo, pondrá al acusado a disposición de la Corte Suprema.</w:t>
      </w:r>
    </w:p>
    <w:p w14:paraId="388832B9" w14:textId="77777777" w:rsidR="00FB2E26" w:rsidRPr="00B56F80" w:rsidRDefault="00FB2E26" w:rsidP="00D02EBC">
      <w:pPr>
        <w:tabs>
          <w:tab w:val="left" w:pos="8789"/>
        </w:tabs>
        <w:spacing w:after="0"/>
        <w:ind w:left="426"/>
        <w:jc w:val="both"/>
        <w:rPr>
          <w:rFonts w:ascii="Arial Narrow" w:hAnsi="Arial Narrow" w:cs="Arial"/>
          <w:sz w:val="24"/>
          <w:szCs w:val="24"/>
        </w:rPr>
      </w:pPr>
    </w:p>
    <w:p w14:paraId="5C0EC849" w14:textId="77777777"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b/>
          <w:sz w:val="24"/>
          <w:szCs w:val="24"/>
        </w:rPr>
        <w:t xml:space="preserve">Sexto. </w:t>
      </w:r>
      <w:r w:rsidRPr="00B56F80">
        <w:rPr>
          <w:rFonts w:ascii="Arial Narrow" w:hAnsi="Arial Narrow" w:cs="Arial"/>
          <w:sz w:val="24"/>
          <w:szCs w:val="24"/>
        </w:rPr>
        <w:t>Exhortar al Consejo Superior de la Judicatura y al Gobierno Nacional a que, con participación de la Corte Suprema de Justicia, y en el marco del principio de colaboración armónica, dispongan de lo necesario para adelantar el diagnóstico a que hace referencia esta providencia, así como de los recursos presupuestales y administrativos necesarios para la puesta en marcha del procedimiento que garantice la impugnación de la primera sentencia condenatoria.</w:t>
      </w:r>
    </w:p>
    <w:p w14:paraId="1D6D91F8" w14:textId="77777777" w:rsidR="004F2D14" w:rsidRPr="00B56F80" w:rsidRDefault="004F2D14" w:rsidP="00D02EBC">
      <w:pPr>
        <w:tabs>
          <w:tab w:val="left" w:pos="8789"/>
        </w:tabs>
        <w:spacing w:after="0"/>
        <w:ind w:left="426"/>
        <w:jc w:val="both"/>
        <w:rPr>
          <w:rFonts w:ascii="Arial Narrow" w:hAnsi="Arial Narrow" w:cs="Arial"/>
          <w:b/>
          <w:sz w:val="24"/>
          <w:szCs w:val="24"/>
        </w:rPr>
      </w:pPr>
    </w:p>
    <w:p w14:paraId="0F858EEB" w14:textId="1B4C7B24" w:rsidR="004F2D14" w:rsidRPr="00B56F80" w:rsidRDefault="004F2D14" w:rsidP="00D02EBC">
      <w:pPr>
        <w:pStyle w:val="ListParagraph"/>
        <w:numPr>
          <w:ilvl w:val="0"/>
          <w:numId w:val="10"/>
        </w:numPr>
        <w:tabs>
          <w:tab w:val="left" w:pos="8789"/>
        </w:tabs>
        <w:spacing w:after="0"/>
        <w:ind w:left="851"/>
        <w:jc w:val="both"/>
        <w:rPr>
          <w:rFonts w:ascii="Arial Narrow" w:hAnsi="Arial Narrow" w:cs="Arial"/>
          <w:sz w:val="24"/>
          <w:szCs w:val="24"/>
        </w:rPr>
      </w:pPr>
      <w:r w:rsidRPr="00B56F80">
        <w:rPr>
          <w:rFonts w:ascii="Arial Narrow" w:hAnsi="Arial Narrow" w:cs="Arial"/>
          <w:b/>
          <w:sz w:val="24"/>
          <w:szCs w:val="24"/>
        </w:rPr>
        <w:t>Sentencia SU – 218 de 2019</w:t>
      </w:r>
    </w:p>
    <w:p w14:paraId="3BFAA7BA" w14:textId="4DB5D552" w:rsidR="006F464D" w:rsidRPr="00B56F80" w:rsidRDefault="00982933"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Segundo. -</w:t>
      </w:r>
      <w:r w:rsidR="005C2930" w:rsidRPr="00B56F80">
        <w:rPr>
          <w:rFonts w:ascii="Arial Narrow" w:hAnsi="Arial Narrow" w:cs="Arial"/>
          <w:sz w:val="24"/>
          <w:szCs w:val="24"/>
        </w:rPr>
        <w:t> </w:t>
      </w:r>
      <w:r w:rsidR="005C2930" w:rsidRPr="00B56F80">
        <w:rPr>
          <w:rFonts w:ascii="Arial Narrow" w:hAnsi="Arial Narrow" w:cs="Arial"/>
          <w:b/>
          <w:bCs/>
          <w:sz w:val="24"/>
          <w:szCs w:val="24"/>
        </w:rPr>
        <w:t>REVOCAR </w:t>
      </w:r>
      <w:r w:rsidR="005C2930" w:rsidRPr="00B56F80">
        <w:rPr>
          <w:rFonts w:ascii="Arial Narrow" w:hAnsi="Arial Narrow" w:cs="Arial"/>
          <w:sz w:val="24"/>
          <w:szCs w:val="24"/>
        </w:rPr>
        <w:t>la sentencia proferida por la Corte Suprema de Justicia –Sala de Casación Laboral–, el treinta y uno (31) de octubre de dos mil dieciocho (2018), que confirmó el fallo dictado por la Corte Suprema de Justicia –Sala de Casación Civil–, el veintiocho (28) de septiembre de dos mil dieciocho (2018). En su lugar, </w:t>
      </w:r>
      <w:r w:rsidR="005C2930" w:rsidRPr="00B56F80">
        <w:rPr>
          <w:rFonts w:ascii="Arial Narrow" w:hAnsi="Arial Narrow" w:cs="Arial"/>
          <w:b/>
          <w:bCs/>
          <w:sz w:val="24"/>
          <w:szCs w:val="24"/>
        </w:rPr>
        <w:t>DECLARAR </w:t>
      </w:r>
      <w:r w:rsidR="005C2930" w:rsidRPr="00B56F80">
        <w:rPr>
          <w:rFonts w:ascii="Arial Narrow" w:hAnsi="Arial Narrow" w:cs="Arial"/>
          <w:sz w:val="24"/>
          <w:szCs w:val="24"/>
        </w:rPr>
        <w:t>la carencia actual de objeto por hecho superado, por las razones expuestas en la parte motiva de esta sentencia.</w:t>
      </w:r>
    </w:p>
    <w:p w14:paraId="43A0D45E" w14:textId="77777777" w:rsidR="006F464D" w:rsidRPr="00B56F80" w:rsidRDefault="006F464D" w:rsidP="00D02EBC">
      <w:pPr>
        <w:tabs>
          <w:tab w:val="left" w:pos="8789"/>
        </w:tabs>
        <w:spacing w:after="0"/>
        <w:ind w:left="426"/>
        <w:jc w:val="both"/>
        <w:rPr>
          <w:rFonts w:ascii="Arial Narrow" w:hAnsi="Arial Narrow" w:cs="Arial"/>
          <w:sz w:val="24"/>
          <w:szCs w:val="24"/>
        </w:rPr>
      </w:pPr>
    </w:p>
    <w:p w14:paraId="78A1BBAB" w14:textId="12D02959" w:rsidR="005C2930" w:rsidRPr="00B56F80" w:rsidRDefault="00982933"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Tercero</w:t>
      </w:r>
      <w:r w:rsidRPr="00B56F80">
        <w:rPr>
          <w:rFonts w:ascii="Arial Narrow" w:hAnsi="Arial Narrow" w:cs="Arial"/>
          <w:sz w:val="24"/>
          <w:szCs w:val="24"/>
        </w:rPr>
        <w:t>. -</w:t>
      </w:r>
      <w:r w:rsidR="005C2930" w:rsidRPr="00B56F80">
        <w:rPr>
          <w:rFonts w:ascii="Arial Narrow" w:hAnsi="Arial Narrow" w:cs="Arial"/>
          <w:sz w:val="24"/>
          <w:szCs w:val="24"/>
        </w:rPr>
        <w:t> </w:t>
      </w:r>
      <w:r w:rsidR="005C2930" w:rsidRPr="00B56F80">
        <w:rPr>
          <w:rFonts w:ascii="Arial Narrow" w:hAnsi="Arial Narrow" w:cs="Arial"/>
          <w:b/>
          <w:bCs/>
          <w:sz w:val="24"/>
          <w:szCs w:val="24"/>
        </w:rPr>
        <w:t>EXHORTAR</w:t>
      </w:r>
      <w:r w:rsidR="005C2930" w:rsidRPr="00B56F80">
        <w:rPr>
          <w:rFonts w:ascii="Arial Narrow" w:hAnsi="Arial Narrow" w:cs="Arial"/>
          <w:sz w:val="24"/>
          <w:szCs w:val="24"/>
        </w:rPr>
        <w:t>, una vez más, al Congreso de la República, a que regule el procedimiento para el ejercicio del derecho a la impugnación de la primera sentencia condenatoria en materia penal, de conformidad con lo dispuesto en los artículos 29 y 235, numerales 2 y 7, de la Constitución.</w:t>
      </w:r>
    </w:p>
    <w:p w14:paraId="1E440D8E" w14:textId="77777777" w:rsidR="005C2930" w:rsidRPr="00B56F80" w:rsidRDefault="005C2930" w:rsidP="00D02EBC">
      <w:pPr>
        <w:tabs>
          <w:tab w:val="left" w:pos="8789"/>
        </w:tabs>
        <w:spacing w:after="0"/>
        <w:ind w:left="993" w:hanging="567"/>
        <w:jc w:val="both"/>
        <w:rPr>
          <w:rFonts w:ascii="Arial Narrow" w:hAnsi="Arial Narrow" w:cs="Arial"/>
          <w:sz w:val="24"/>
          <w:szCs w:val="24"/>
        </w:rPr>
      </w:pPr>
    </w:p>
    <w:p w14:paraId="65D2A4D9" w14:textId="2956978C" w:rsidR="005C2930" w:rsidRPr="00B56F80" w:rsidRDefault="005C2930" w:rsidP="00D02EBC">
      <w:pPr>
        <w:pStyle w:val="ListParagraph"/>
        <w:numPr>
          <w:ilvl w:val="0"/>
          <w:numId w:val="4"/>
        </w:numPr>
        <w:tabs>
          <w:tab w:val="left" w:pos="8789"/>
        </w:tabs>
        <w:spacing w:after="0"/>
        <w:ind w:left="851" w:hanging="425"/>
        <w:jc w:val="both"/>
        <w:rPr>
          <w:rFonts w:ascii="Arial Narrow" w:hAnsi="Arial Narrow" w:cs="Arial"/>
          <w:b/>
          <w:sz w:val="24"/>
          <w:szCs w:val="24"/>
        </w:rPr>
      </w:pPr>
      <w:r w:rsidRPr="00B56F80">
        <w:rPr>
          <w:rFonts w:ascii="Arial Narrow" w:hAnsi="Arial Narrow" w:cs="Arial"/>
          <w:b/>
          <w:sz w:val="24"/>
          <w:szCs w:val="24"/>
        </w:rPr>
        <w:t>Sentencia SU – 373 de 2019</w:t>
      </w:r>
    </w:p>
    <w:p w14:paraId="75EE8CCE" w14:textId="62FA6013" w:rsidR="00813D7E" w:rsidRPr="00B56F80" w:rsidRDefault="00982933"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SEXTO. -</w:t>
      </w:r>
      <w:r w:rsidR="00813D7E" w:rsidRPr="00B56F80">
        <w:rPr>
          <w:rFonts w:ascii="Arial Narrow" w:hAnsi="Arial Narrow" w:cs="Arial"/>
          <w:sz w:val="24"/>
          <w:szCs w:val="24"/>
        </w:rPr>
        <w:t> </w:t>
      </w:r>
      <w:r w:rsidR="00813D7E" w:rsidRPr="00B56F80">
        <w:rPr>
          <w:rFonts w:ascii="Arial Narrow" w:hAnsi="Arial Narrow" w:cs="Arial"/>
          <w:b/>
          <w:bCs/>
          <w:sz w:val="24"/>
          <w:szCs w:val="24"/>
        </w:rPr>
        <w:t>ORDENAR </w:t>
      </w:r>
      <w:r w:rsidR="00813D7E" w:rsidRPr="00B56F80">
        <w:rPr>
          <w:rFonts w:ascii="Arial Narrow" w:hAnsi="Arial Narrow" w:cs="Arial"/>
          <w:sz w:val="24"/>
          <w:szCs w:val="24"/>
        </w:rPr>
        <w:t>a</w:t>
      </w:r>
      <w:r w:rsidR="00813D7E" w:rsidRPr="00B56F80">
        <w:rPr>
          <w:rFonts w:ascii="Arial Narrow" w:hAnsi="Arial Narrow" w:cs="Arial"/>
          <w:b/>
          <w:bCs/>
          <w:sz w:val="24"/>
          <w:szCs w:val="24"/>
        </w:rPr>
        <w:t> </w:t>
      </w:r>
      <w:r w:rsidR="00813D7E" w:rsidRPr="00B56F80">
        <w:rPr>
          <w:rFonts w:ascii="Arial Narrow" w:hAnsi="Arial Narrow" w:cs="Arial"/>
          <w:sz w:val="24"/>
          <w:szCs w:val="24"/>
        </w:rPr>
        <w:t>la Sala de Casación Penal de la Corte Suprema de Justicia que dé aplicación a lo preceptuado en el numeral 7 del artículo 235 de la Constitución, a cuyo tenor le corresponde resolver la solicitud de doble conformidad judicial de la primera condena. Con esta finalidad, y de ser necesario, deberá proceder a la designación de conjueces.</w:t>
      </w:r>
    </w:p>
    <w:p w14:paraId="5B9CABAD" w14:textId="77777777" w:rsidR="00813D7E" w:rsidRPr="00B56F80" w:rsidRDefault="00813D7E"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w:t>
      </w:r>
    </w:p>
    <w:p w14:paraId="2472FAF8" w14:textId="351FA24D" w:rsidR="00813D7E" w:rsidRPr="00B56F80" w:rsidRDefault="00813D7E"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SÉPTIMO. - EXHORTAR</w:t>
      </w:r>
      <w:r w:rsidRPr="00B56F80">
        <w:rPr>
          <w:rFonts w:ascii="Arial Narrow" w:hAnsi="Arial Narrow" w:cs="Arial"/>
          <w:sz w:val="24"/>
          <w:szCs w:val="24"/>
        </w:rPr>
        <w:t>, una vez más, al Congreso de la República, a que regule el procedimiento para el ejercicio del derecho a la impugnación de la primera sentencia condenatoria en materia penal, de conformidad con lo dispuesto en los artículos 29 y 235, numerales 2, 6 y 7, de la Constitución.</w:t>
      </w:r>
    </w:p>
    <w:p w14:paraId="70D17E66" w14:textId="77777777" w:rsidR="00813D7E" w:rsidRPr="00B56F80" w:rsidRDefault="00813D7E" w:rsidP="00D02EBC">
      <w:pPr>
        <w:tabs>
          <w:tab w:val="left" w:pos="8789"/>
        </w:tabs>
        <w:spacing w:after="0"/>
        <w:ind w:left="426"/>
        <w:jc w:val="both"/>
        <w:rPr>
          <w:rFonts w:ascii="Arial Narrow" w:hAnsi="Arial Narrow" w:cs="Arial"/>
          <w:sz w:val="24"/>
          <w:szCs w:val="24"/>
        </w:rPr>
      </w:pPr>
    </w:p>
    <w:p w14:paraId="6B22F6AC" w14:textId="3AD118FB" w:rsidR="004B79C6" w:rsidRPr="00B56F80" w:rsidRDefault="00FB2E26" w:rsidP="00D02EBC">
      <w:pPr>
        <w:pStyle w:val="ListParagraph"/>
        <w:numPr>
          <w:ilvl w:val="0"/>
          <w:numId w:val="4"/>
        </w:numPr>
        <w:tabs>
          <w:tab w:val="left" w:pos="8789"/>
        </w:tabs>
        <w:spacing w:after="0"/>
        <w:ind w:left="851" w:hanging="425"/>
        <w:jc w:val="both"/>
        <w:rPr>
          <w:rFonts w:ascii="Arial Narrow" w:hAnsi="Arial Narrow" w:cs="Arial"/>
          <w:b/>
          <w:sz w:val="24"/>
          <w:szCs w:val="24"/>
        </w:rPr>
      </w:pPr>
      <w:r w:rsidRPr="00B56F80">
        <w:rPr>
          <w:rFonts w:ascii="Arial Narrow" w:hAnsi="Arial Narrow" w:cs="Arial"/>
          <w:b/>
          <w:sz w:val="24"/>
          <w:szCs w:val="24"/>
        </w:rPr>
        <w:t>Sentencia SU</w:t>
      </w:r>
      <w:r w:rsidR="004B79C6" w:rsidRPr="00B56F80">
        <w:rPr>
          <w:rFonts w:ascii="Arial Narrow" w:hAnsi="Arial Narrow" w:cs="Arial"/>
          <w:b/>
          <w:sz w:val="24"/>
          <w:szCs w:val="24"/>
        </w:rPr>
        <w:t xml:space="preserve"> - 146 de 2020</w:t>
      </w:r>
    </w:p>
    <w:p w14:paraId="798CCF2F" w14:textId="51A0C519"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SEGUNDO. - REVOCAR</w:t>
      </w:r>
      <w:r w:rsidRPr="00B56F80">
        <w:rPr>
          <w:rFonts w:ascii="Arial Narrow" w:hAnsi="Arial Narrow" w:cs="Arial"/>
          <w:sz w:val="24"/>
          <w:szCs w:val="24"/>
        </w:rPr>
        <w:t> las sentencias proferidas por la Corte Suprema de Justicia, en primera instancia, por la Sala de Casación Civil el 23 de abril de 2019 y, en sede de impugnación, por la Sala de Casación Laboral el 30 de julio de 2019, y, en su lugar </w:t>
      </w:r>
      <w:r w:rsidRPr="00B56F80">
        <w:rPr>
          <w:rFonts w:ascii="Arial Narrow" w:hAnsi="Arial Narrow" w:cs="Arial"/>
          <w:b/>
          <w:bCs/>
          <w:sz w:val="24"/>
          <w:szCs w:val="24"/>
        </w:rPr>
        <w:t>CONCEDER</w:t>
      </w:r>
      <w:r w:rsidRPr="00B56F80">
        <w:rPr>
          <w:rFonts w:ascii="Arial Narrow" w:hAnsi="Arial Narrow" w:cs="Arial"/>
          <w:sz w:val="24"/>
          <w:szCs w:val="24"/>
        </w:rPr>
        <w:t> el amparo del derecho fundamental al debido proceso del ciudadano Andrés Felipe Arias Leiva. </w:t>
      </w:r>
    </w:p>
    <w:p w14:paraId="29F52481" w14:textId="77777777"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w:t>
      </w:r>
    </w:p>
    <w:p w14:paraId="3C862807" w14:textId="786F86F3"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TERCERO. - DEJAR SIN EFECTOS</w:t>
      </w:r>
      <w:r w:rsidRPr="00B56F80">
        <w:rPr>
          <w:rFonts w:ascii="Arial Narrow" w:hAnsi="Arial Narrow" w:cs="Arial"/>
          <w:sz w:val="24"/>
          <w:szCs w:val="24"/>
        </w:rPr>
        <w:t> el Auto del 13 de febrero de 2019, proferido por la Sala de Casación Penal de la Corte Suprema de Justicia, que declaró improcedente el derecho a impugnar la sentencia penal condenatoria proferida el 16 de julio de 2014 en contra del ciudadano Andrés Felipe Arias Leiva.</w:t>
      </w:r>
    </w:p>
    <w:p w14:paraId="01BA731B" w14:textId="77777777"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w:t>
      </w:r>
    </w:p>
    <w:p w14:paraId="68DE8F20" w14:textId="7B045A0A"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CUARTO. - ORDENAR </w:t>
      </w:r>
      <w:r w:rsidRPr="00B56F80">
        <w:rPr>
          <w:rFonts w:ascii="Arial Narrow" w:hAnsi="Arial Narrow" w:cs="Arial"/>
          <w:sz w:val="24"/>
          <w:szCs w:val="24"/>
        </w:rPr>
        <w:t>a</w:t>
      </w:r>
      <w:r w:rsidRPr="00B56F80">
        <w:rPr>
          <w:rFonts w:ascii="Arial Narrow" w:hAnsi="Arial Narrow" w:cs="Arial"/>
          <w:b/>
          <w:bCs/>
          <w:sz w:val="24"/>
          <w:szCs w:val="24"/>
        </w:rPr>
        <w:t> </w:t>
      </w:r>
      <w:r w:rsidRPr="00B56F80">
        <w:rPr>
          <w:rFonts w:ascii="Arial Narrow" w:hAnsi="Arial Narrow" w:cs="Arial"/>
          <w:sz w:val="24"/>
          <w:szCs w:val="24"/>
        </w:rPr>
        <w:t>la Sala de Casación Penal de la Corte Suprema de Justicia, en un término de 10 días, dar aplicación a lo preceptuado en los numerales 2 y 7 del artículo 235 de la Constitución, a cuyo tenor le corresponde </w:t>
      </w:r>
      <w:r w:rsidRPr="00B56F80">
        <w:rPr>
          <w:rFonts w:ascii="Arial Narrow" w:hAnsi="Arial Narrow" w:cs="Arial"/>
          <w:b/>
          <w:bCs/>
          <w:i/>
          <w:iCs/>
          <w:sz w:val="24"/>
          <w:szCs w:val="24"/>
        </w:rPr>
        <w:t>iniciar</w:t>
      </w:r>
      <w:r w:rsidRPr="00B56F80">
        <w:rPr>
          <w:rFonts w:ascii="Arial Narrow" w:hAnsi="Arial Narrow" w:cs="Arial"/>
          <w:sz w:val="24"/>
          <w:szCs w:val="24"/>
        </w:rPr>
        <w:t> el trámite para resolver la solicitud de impugnación de la condena en única instancia proferida en contra del ciudadano Andrés Felipe Arias Leiva. </w:t>
      </w:r>
    </w:p>
    <w:p w14:paraId="3D25A0EF" w14:textId="77777777"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w:t>
      </w:r>
    </w:p>
    <w:p w14:paraId="679BC74A" w14:textId="77777777"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Este reconocimiento no altera el carácter de cosa juzgada que pesa sobre la sentencia condenatoria y, en consecuencia, no permite considerar la prescripción de la acción penal, ni ningún otro efecto derivado del transcurso del tiempo, y tampoco impacta la actual situación de privación de la libertad del tutelante. </w:t>
      </w:r>
    </w:p>
    <w:p w14:paraId="5E39533F" w14:textId="77777777"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w:t>
      </w:r>
    </w:p>
    <w:p w14:paraId="583B9145" w14:textId="10769E38" w:rsidR="004B79C6" w:rsidRPr="00B56F80" w:rsidRDefault="004B79C6" w:rsidP="00D02EBC">
      <w:pPr>
        <w:tabs>
          <w:tab w:val="left" w:pos="8789"/>
        </w:tabs>
        <w:spacing w:after="0"/>
        <w:ind w:left="426"/>
        <w:jc w:val="both"/>
        <w:rPr>
          <w:rFonts w:ascii="Arial Narrow" w:hAnsi="Arial Narrow" w:cs="Arial"/>
          <w:sz w:val="24"/>
          <w:szCs w:val="24"/>
        </w:rPr>
      </w:pPr>
      <w:r w:rsidRPr="00B56F80">
        <w:rPr>
          <w:rFonts w:ascii="Arial Narrow" w:hAnsi="Arial Narrow" w:cs="Arial"/>
          <w:b/>
          <w:bCs/>
          <w:sz w:val="24"/>
          <w:szCs w:val="24"/>
        </w:rPr>
        <w:t>QUINTO. - DECLARAR </w:t>
      </w:r>
      <w:r w:rsidRPr="00B56F80">
        <w:rPr>
          <w:rFonts w:ascii="Arial Narrow" w:hAnsi="Arial Narrow" w:cs="Arial"/>
          <w:sz w:val="24"/>
          <w:szCs w:val="24"/>
        </w:rPr>
        <w:t>que existe carencia actual de objeto para resolver sobre la petición original de la acción de tutela, relacionada con la suspensión de la solicitud de extradición, dado que este trámite se llevó a término.</w:t>
      </w:r>
    </w:p>
    <w:p w14:paraId="0040E7CD" w14:textId="77777777" w:rsidR="004B79C6" w:rsidRPr="00B56F80" w:rsidRDefault="004B79C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bCs/>
          <w:sz w:val="24"/>
          <w:szCs w:val="24"/>
        </w:rPr>
        <w:t> </w:t>
      </w:r>
    </w:p>
    <w:p w14:paraId="55094DE2" w14:textId="7D0AFB06" w:rsidR="004B79C6" w:rsidRPr="00B56F80" w:rsidRDefault="004B79C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bCs/>
          <w:sz w:val="24"/>
          <w:szCs w:val="24"/>
        </w:rPr>
        <w:t>SEXTO. - REITERAR </w:t>
      </w:r>
      <w:r w:rsidRPr="00B56F80">
        <w:rPr>
          <w:rFonts w:ascii="Arial Narrow" w:hAnsi="Arial Narrow" w:cs="Arial"/>
          <w:sz w:val="24"/>
          <w:szCs w:val="24"/>
        </w:rPr>
        <w:t>el exhorto que esta Corporación ha efectuado en varias oportunidades al Congreso de la República para regular de manera integral, precisa y definitiva el mecanismo que garantice el ejercicio del derecho a impugnar la sentencia condenatoria en materia penal, conforme a lo dispuesto en los artículos 29 y 235, numerales 2, 6 y 7 de la Constitución.   </w:t>
      </w:r>
    </w:p>
    <w:p w14:paraId="60FDA999" w14:textId="77777777" w:rsidR="004B79C6" w:rsidRPr="00B56F80" w:rsidRDefault="004B79C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 </w:t>
      </w:r>
    </w:p>
    <w:p w14:paraId="7E603A48" w14:textId="77777777" w:rsidR="004B79C6" w:rsidRPr="00B56F80" w:rsidRDefault="004B79C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bCs/>
          <w:sz w:val="24"/>
          <w:szCs w:val="24"/>
        </w:rPr>
        <w:t>SÉPTIMO.- EXHORTAR </w:t>
      </w:r>
      <w:r w:rsidRPr="00B56F80">
        <w:rPr>
          <w:rFonts w:ascii="Arial Narrow" w:hAnsi="Arial Narrow" w:cs="Arial"/>
          <w:sz w:val="24"/>
          <w:szCs w:val="24"/>
        </w:rPr>
        <w:t>al Consejo Superior de la Judicatura y al Gobierno nacional a que, con participación de la Corte Suprema de Justicia y en el marco del principio de colaboración armónica, dispongan lo necesario para adelantar el diagnóstico y proveer los recursos necesarios para garantizar la buena marcha de la administración de justicia, en particular, que</w:t>
      </w:r>
      <w:r w:rsidRPr="00B56F80">
        <w:rPr>
          <w:rFonts w:ascii="Arial Narrow" w:hAnsi="Arial Narrow" w:cs="Arial"/>
          <w:b/>
          <w:sz w:val="24"/>
          <w:szCs w:val="24"/>
        </w:rPr>
        <w:t xml:space="preserve"> impacta la concesión del derecho a la impugnación de sentencias condenatorias, en concordancia con lo resuelto en las sentencias SU-217 y SU-373 de 2019.</w:t>
      </w:r>
    </w:p>
    <w:p w14:paraId="61855F7E" w14:textId="77777777" w:rsidR="00CA41F2" w:rsidRPr="00B56F80" w:rsidRDefault="00CA41F2" w:rsidP="00D02EBC">
      <w:pPr>
        <w:tabs>
          <w:tab w:val="left" w:pos="8789"/>
        </w:tabs>
        <w:spacing w:after="0"/>
        <w:ind w:left="426"/>
        <w:jc w:val="both"/>
        <w:rPr>
          <w:rFonts w:ascii="Arial Narrow" w:hAnsi="Arial Narrow" w:cs="Arial"/>
          <w:b/>
          <w:sz w:val="24"/>
          <w:szCs w:val="24"/>
        </w:rPr>
      </w:pPr>
    </w:p>
    <w:p w14:paraId="3381DAB5" w14:textId="32F6981F" w:rsidR="00CA41F2" w:rsidRPr="00B56F80" w:rsidRDefault="00CA41F2"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 xml:space="preserve">COMISIÓN INTERAMERICANA DE DERECHOS HUMANOS </w:t>
      </w:r>
      <w:r w:rsidR="00D02EBC">
        <w:rPr>
          <w:rFonts w:ascii="Arial Narrow" w:hAnsi="Arial Narrow" w:cs="Arial"/>
          <w:b/>
          <w:sz w:val="24"/>
          <w:szCs w:val="24"/>
        </w:rPr>
        <w:t xml:space="preserve">- </w:t>
      </w:r>
      <w:r w:rsidRPr="00B56F80">
        <w:rPr>
          <w:rFonts w:ascii="Arial Narrow" w:hAnsi="Arial Narrow" w:cs="Arial"/>
          <w:b/>
          <w:sz w:val="24"/>
          <w:szCs w:val="24"/>
        </w:rPr>
        <w:t>PETICIÓN 4449-02</w:t>
      </w:r>
    </w:p>
    <w:p w14:paraId="45370FE6" w14:textId="77777777" w:rsidR="00CA41F2" w:rsidRPr="00B56F80" w:rsidRDefault="00CA41F2" w:rsidP="00D02EBC">
      <w:pPr>
        <w:tabs>
          <w:tab w:val="left" w:pos="8789"/>
        </w:tabs>
        <w:spacing w:after="0"/>
        <w:ind w:left="426"/>
        <w:jc w:val="both"/>
        <w:rPr>
          <w:rFonts w:ascii="Arial Narrow" w:hAnsi="Arial Narrow" w:cs="Arial"/>
          <w:sz w:val="24"/>
          <w:szCs w:val="24"/>
        </w:rPr>
      </w:pPr>
    </w:p>
    <w:p w14:paraId="6C69B9E7" w14:textId="5831A73A" w:rsidR="00CA41F2" w:rsidRPr="00B56F80" w:rsidRDefault="00CA41F2"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xml:space="preserve">El 05 de noviembre de 2002 la Comisión Interamericana de Derechos Humanos recibió una petición presentada por Saulo Arboleda Gómez, contra la República de Colombia la cual alega la violación de sus garantías judiciales en el marco del proceso penal llevado a cabo en su contra. </w:t>
      </w:r>
    </w:p>
    <w:p w14:paraId="0B19C15C" w14:textId="77777777" w:rsidR="00CA41F2" w:rsidRPr="00B56F80" w:rsidRDefault="00CA41F2" w:rsidP="00D02EBC">
      <w:pPr>
        <w:tabs>
          <w:tab w:val="left" w:pos="8789"/>
        </w:tabs>
        <w:spacing w:after="0"/>
        <w:ind w:left="426"/>
        <w:jc w:val="both"/>
        <w:rPr>
          <w:rFonts w:ascii="Arial Narrow" w:hAnsi="Arial Narrow" w:cs="Arial"/>
          <w:sz w:val="24"/>
          <w:szCs w:val="24"/>
        </w:rPr>
      </w:pPr>
    </w:p>
    <w:p w14:paraId="1B4525BB" w14:textId="51FD32F0" w:rsidR="00CA41F2" w:rsidRPr="00B56F80" w:rsidRDefault="00CA41F2"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xml:space="preserve">El peticionario sostiene que fue investigado y condenado penalmente, producto de la difusión de unas grabaciones ilícitas en el año 1997, relacionadas con un proceso de adjudicación de una radio emisora que él dirigía en su condición de Ministro de Comunicaciones y señalo que dichos audios obtenidos de manera ilegal violando si derecho a la intimidad, fueron usados como prueba en su contra en un proceso que no respeto las garantías mínimas judiciales. </w:t>
      </w:r>
    </w:p>
    <w:p w14:paraId="5CCABFC3" w14:textId="77777777" w:rsidR="00CA41F2" w:rsidRPr="00B56F80" w:rsidRDefault="00CA41F2" w:rsidP="00D02EBC">
      <w:pPr>
        <w:tabs>
          <w:tab w:val="left" w:pos="8789"/>
        </w:tabs>
        <w:spacing w:after="0"/>
        <w:ind w:left="426"/>
        <w:jc w:val="both"/>
        <w:rPr>
          <w:rFonts w:ascii="Arial Narrow" w:hAnsi="Arial Narrow" w:cs="Arial"/>
          <w:b/>
          <w:sz w:val="24"/>
          <w:szCs w:val="24"/>
        </w:rPr>
      </w:pPr>
    </w:p>
    <w:p w14:paraId="32AE34BE" w14:textId="0750F43E" w:rsidR="00E86F15" w:rsidRPr="00B56F80" w:rsidRDefault="00215010"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xml:space="preserve">Posteriormente, la Comisión Interamericana de Derechos Humanos le solicito al Estado garantizar la revisión de la condena impuesta por el delito de interés ilícito en la elaboración de contratos. Sin embargo, la Sala Penal de la Corte Suprema de Justicia en abril del año 2021 negó la posibilidad de revisar la condena de 54 meses impartida al funcionario, ya que </w:t>
      </w:r>
      <w:r w:rsidRPr="00B56F80">
        <w:rPr>
          <w:rFonts w:ascii="Arial Narrow" w:hAnsi="Arial Narrow" w:cs="Arial"/>
          <w:i/>
          <w:sz w:val="24"/>
          <w:szCs w:val="24"/>
        </w:rPr>
        <w:t>“cuando se dictó la sentencia en el año 2000 no tenía la posibilidad de doble instancia para aforados”</w:t>
      </w:r>
      <w:r w:rsidR="008D60A3" w:rsidRPr="00B56F80">
        <w:rPr>
          <w:rFonts w:ascii="Arial Narrow" w:hAnsi="Arial Narrow" w:cs="Arial"/>
          <w:i/>
          <w:sz w:val="24"/>
          <w:szCs w:val="24"/>
        </w:rPr>
        <w:t xml:space="preserve"> </w:t>
      </w:r>
      <w:r w:rsidR="008D60A3" w:rsidRPr="00B56F80">
        <w:rPr>
          <w:rFonts w:ascii="Arial Narrow" w:hAnsi="Arial Narrow" w:cs="Arial"/>
          <w:sz w:val="24"/>
          <w:szCs w:val="24"/>
        </w:rPr>
        <w:t>así mismo manifestó que “</w:t>
      </w:r>
      <w:r w:rsidR="008D60A3" w:rsidRPr="00B56F80">
        <w:rPr>
          <w:rFonts w:ascii="Arial Narrow" w:hAnsi="Arial Narrow" w:cs="Arial"/>
          <w:i/>
          <w:sz w:val="24"/>
          <w:szCs w:val="24"/>
        </w:rPr>
        <w:t xml:space="preserve">no desconocía el pronunciamiento de la CIDH pero que en el caso de Arias zanjo la discusión sobre el parámetro temporal en el que se permite el derecho a impugnar las primeras condenas” </w:t>
      </w:r>
      <w:r w:rsidR="008D60A3" w:rsidRPr="00B56F80">
        <w:rPr>
          <w:rFonts w:ascii="Arial Narrow" w:hAnsi="Arial Narrow" w:cs="Arial"/>
          <w:sz w:val="24"/>
          <w:szCs w:val="24"/>
        </w:rPr>
        <w:t xml:space="preserve">Auto AP747-2021, Radicación 15273, Acto 48 MP Luis Antonio Hernández Barbosa. </w:t>
      </w:r>
    </w:p>
    <w:p w14:paraId="03F23C06" w14:textId="77777777" w:rsidR="00215010" w:rsidRPr="00B56F80" w:rsidRDefault="00215010" w:rsidP="00D02EBC">
      <w:pPr>
        <w:tabs>
          <w:tab w:val="left" w:pos="8789"/>
        </w:tabs>
        <w:spacing w:after="0"/>
        <w:ind w:left="426"/>
        <w:jc w:val="both"/>
        <w:rPr>
          <w:rFonts w:ascii="Arial Narrow" w:hAnsi="Arial Narrow" w:cs="Arial"/>
          <w:i/>
          <w:sz w:val="24"/>
          <w:szCs w:val="24"/>
        </w:rPr>
      </w:pPr>
    </w:p>
    <w:p w14:paraId="2F7A6015" w14:textId="78B3F557" w:rsidR="00215010" w:rsidRPr="00B56F80" w:rsidRDefault="00215010"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xml:space="preserve">Frente a esta decisión de la Sala Penal de la Corte Suprema de Justicia, La Comisión Interamericana de Derechos Humanos concedió un plazo de tres meses al Estado para implementar un mecanismo de revisión a la condena del exministro de Comunicaciones Saulo Arboleda, quien </w:t>
      </w:r>
      <w:r w:rsidR="00B56F80" w:rsidRPr="00B56F80">
        <w:rPr>
          <w:rFonts w:ascii="Arial Narrow" w:hAnsi="Arial Narrow" w:cs="Arial"/>
          <w:sz w:val="24"/>
          <w:szCs w:val="24"/>
        </w:rPr>
        <w:t>fungió</w:t>
      </w:r>
      <w:r w:rsidRPr="00B56F80">
        <w:rPr>
          <w:rFonts w:ascii="Arial Narrow" w:hAnsi="Arial Narrow" w:cs="Arial"/>
          <w:sz w:val="24"/>
          <w:szCs w:val="24"/>
        </w:rPr>
        <w:t xml:space="preserve"> en el cargo en el Gobierno del expresidente Ernesto Samper. </w:t>
      </w:r>
    </w:p>
    <w:p w14:paraId="3BFE95A4" w14:textId="77777777" w:rsidR="00215010" w:rsidRPr="00B56F80" w:rsidRDefault="00215010" w:rsidP="00D02EBC">
      <w:pPr>
        <w:tabs>
          <w:tab w:val="left" w:pos="8789"/>
        </w:tabs>
        <w:spacing w:after="0"/>
        <w:ind w:left="426"/>
        <w:jc w:val="both"/>
        <w:rPr>
          <w:rFonts w:ascii="Arial Narrow" w:hAnsi="Arial Narrow" w:cs="Arial"/>
          <w:b/>
          <w:sz w:val="24"/>
          <w:szCs w:val="24"/>
        </w:rPr>
      </w:pPr>
    </w:p>
    <w:p w14:paraId="602AAAD8" w14:textId="0D18C89D" w:rsidR="00FB2E26" w:rsidRPr="00B56F80" w:rsidRDefault="00FB2E26" w:rsidP="00D02EBC">
      <w:pPr>
        <w:pStyle w:val="ListParagraph"/>
        <w:numPr>
          <w:ilvl w:val="1"/>
          <w:numId w:val="9"/>
        </w:numPr>
        <w:tabs>
          <w:tab w:val="left" w:pos="8789"/>
        </w:tabs>
        <w:spacing w:after="0"/>
        <w:ind w:left="426" w:hanging="426"/>
        <w:jc w:val="both"/>
        <w:rPr>
          <w:rFonts w:ascii="Arial Narrow" w:hAnsi="Arial Narrow" w:cs="Arial"/>
          <w:b/>
          <w:sz w:val="24"/>
          <w:szCs w:val="24"/>
        </w:rPr>
      </w:pPr>
      <w:r w:rsidRPr="00B56F80">
        <w:rPr>
          <w:rFonts w:ascii="Arial Narrow" w:hAnsi="Arial Narrow" w:cs="Arial"/>
          <w:b/>
          <w:sz w:val="24"/>
          <w:szCs w:val="24"/>
        </w:rPr>
        <w:t>Bloque de Constitucionalidad.</w:t>
      </w:r>
    </w:p>
    <w:p w14:paraId="5FE8FD27" w14:textId="77777777" w:rsidR="00FB2E26" w:rsidRPr="00B56F80" w:rsidRDefault="00FB2E26" w:rsidP="00D02EBC">
      <w:pPr>
        <w:tabs>
          <w:tab w:val="left" w:pos="8789"/>
        </w:tabs>
        <w:spacing w:after="0"/>
        <w:ind w:left="426"/>
        <w:jc w:val="both"/>
        <w:rPr>
          <w:rFonts w:ascii="Arial Narrow" w:hAnsi="Arial Narrow" w:cs="Arial"/>
          <w:b/>
          <w:sz w:val="24"/>
          <w:szCs w:val="24"/>
        </w:rPr>
      </w:pPr>
    </w:p>
    <w:p w14:paraId="0844B576" w14:textId="77777777" w:rsidR="00FB2E26" w:rsidRPr="00B56F80" w:rsidRDefault="00FB2E26" w:rsidP="00D02EBC">
      <w:pPr>
        <w:pStyle w:val="ListParagraph"/>
        <w:numPr>
          <w:ilvl w:val="0"/>
          <w:numId w:val="5"/>
        </w:numPr>
        <w:tabs>
          <w:tab w:val="left" w:pos="8789"/>
        </w:tabs>
        <w:spacing w:after="0"/>
        <w:ind w:left="709" w:hanging="283"/>
        <w:jc w:val="both"/>
        <w:rPr>
          <w:rFonts w:ascii="Arial Narrow" w:hAnsi="Arial Narrow" w:cs="Arial"/>
          <w:b/>
          <w:sz w:val="24"/>
          <w:szCs w:val="24"/>
        </w:rPr>
      </w:pPr>
      <w:r w:rsidRPr="00B56F80">
        <w:rPr>
          <w:rFonts w:ascii="Arial Narrow" w:hAnsi="Arial Narrow" w:cs="Arial"/>
          <w:b/>
          <w:sz w:val="24"/>
          <w:szCs w:val="24"/>
        </w:rPr>
        <w:t>Pacto Internacional de Derechos Civiles y Políticos.</w:t>
      </w:r>
    </w:p>
    <w:p w14:paraId="4EF21FBF" w14:textId="77777777" w:rsidR="00FB2E26" w:rsidRPr="00B56F80" w:rsidRDefault="00FB2E2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Artículo 2.3</w:t>
      </w:r>
    </w:p>
    <w:p w14:paraId="39B8BED9" w14:textId="76CC3184"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 xml:space="preserve">3. Cada uno de los </w:t>
      </w:r>
      <w:r w:rsidR="00982933" w:rsidRPr="00B56F80">
        <w:rPr>
          <w:rFonts w:ascii="Arial Narrow" w:hAnsi="Arial Narrow" w:cs="Arial"/>
          <w:sz w:val="24"/>
          <w:szCs w:val="24"/>
        </w:rPr>
        <w:t>Estados Parte</w:t>
      </w:r>
      <w:r w:rsidRPr="00B56F80">
        <w:rPr>
          <w:rFonts w:ascii="Arial Narrow" w:hAnsi="Arial Narrow" w:cs="Arial"/>
          <w:sz w:val="24"/>
          <w:szCs w:val="24"/>
        </w:rPr>
        <w:t xml:space="preserve"> en el presente Pacto se compromete a garantizar que:</w:t>
      </w:r>
    </w:p>
    <w:p w14:paraId="7F7E6A36" w14:textId="77777777"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a) Toda persona cuyos derechos o libertades reconocidos en el presente Pacto hayan sido violados podrá interponer un recurso efectivo, aun cuando tal violación hubiera sido cometida por personas que actuaban en ejercicio de sus funciones oficiales;</w:t>
      </w:r>
    </w:p>
    <w:p w14:paraId="2FBDA296" w14:textId="77777777"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b) La autoridad competente, judicial, administrativa o legislativa, o cualquiera otra autoridad competente prevista por el sistema legal del Estado, decidirá sobre los derechos de toda persona que interponga tal recurso, y desarrollará las posibilidades de recurso judicial;</w:t>
      </w:r>
    </w:p>
    <w:p w14:paraId="19132FD5" w14:textId="77777777" w:rsidR="00FB2E26" w:rsidRPr="00B56F80" w:rsidRDefault="00FB2E26" w:rsidP="00D02EBC">
      <w:pPr>
        <w:tabs>
          <w:tab w:val="left" w:pos="8789"/>
        </w:tabs>
        <w:spacing w:after="0"/>
        <w:ind w:left="426"/>
        <w:jc w:val="both"/>
        <w:rPr>
          <w:rFonts w:ascii="Arial Narrow" w:hAnsi="Arial Narrow" w:cs="Arial"/>
          <w:sz w:val="24"/>
          <w:szCs w:val="24"/>
        </w:rPr>
      </w:pPr>
      <w:r w:rsidRPr="00B56F80">
        <w:rPr>
          <w:rFonts w:ascii="Arial Narrow" w:hAnsi="Arial Narrow" w:cs="Arial"/>
          <w:sz w:val="24"/>
          <w:szCs w:val="24"/>
        </w:rPr>
        <w:t>c) Las autoridades competentes cumplirán toda decisión en que se haya estimado procedente el recurso.</w:t>
      </w:r>
    </w:p>
    <w:p w14:paraId="101EC1F8" w14:textId="77777777" w:rsidR="00FB2E26" w:rsidRPr="00B56F80" w:rsidRDefault="00FB2E26" w:rsidP="00D02EBC">
      <w:pPr>
        <w:tabs>
          <w:tab w:val="left" w:pos="8789"/>
        </w:tabs>
        <w:spacing w:after="0"/>
        <w:ind w:left="426"/>
        <w:jc w:val="both"/>
        <w:rPr>
          <w:rFonts w:ascii="Arial Narrow" w:hAnsi="Arial Narrow" w:cs="Arial"/>
          <w:sz w:val="24"/>
          <w:szCs w:val="24"/>
        </w:rPr>
      </w:pPr>
    </w:p>
    <w:p w14:paraId="0703F46E" w14:textId="77777777" w:rsidR="00FB2E26" w:rsidRPr="00B56F80" w:rsidRDefault="00FB2E26" w:rsidP="00D02EBC">
      <w:pPr>
        <w:tabs>
          <w:tab w:val="left" w:pos="8789"/>
        </w:tabs>
        <w:spacing w:after="0"/>
        <w:ind w:left="426"/>
        <w:jc w:val="both"/>
        <w:rPr>
          <w:rFonts w:ascii="Arial Narrow" w:hAnsi="Arial Narrow" w:cs="Arial"/>
          <w:b/>
          <w:sz w:val="24"/>
          <w:szCs w:val="24"/>
        </w:rPr>
      </w:pPr>
      <w:r w:rsidRPr="00B56F80">
        <w:rPr>
          <w:rFonts w:ascii="Arial Narrow" w:hAnsi="Arial Narrow" w:cs="Arial"/>
          <w:b/>
          <w:sz w:val="24"/>
          <w:szCs w:val="24"/>
        </w:rPr>
        <w:t>Articulo 14.5</w:t>
      </w:r>
    </w:p>
    <w:p w14:paraId="42522879" w14:textId="7342DFA8" w:rsidR="00FB2E26" w:rsidRPr="00B56F80" w:rsidRDefault="00FB2E26" w:rsidP="00D02EBC">
      <w:pPr>
        <w:tabs>
          <w:tab w:val="left" w:pos="8789"/>
        </w:tabs>
        <w:spacing w:after="0"/>
        <w:ind w:left="426"/>
        <w:jc w:val="both"/>
        <w:rPr>
          <w:rFonts w:ascii="Arial Narrow" w:hAnsi="Arial Narrow" w:cs="Arial"/>
          <w:color w:val="000000"/>
          <w:sz w:val="24"/>
          <w:szCs w:val="24"/>
          <w:shd w:val="clear" w:color="auto" w:fill="FFFFFF"/>
        </w:rPr>
      </w:pPr>
      <w:r w:rsidRPr="00B56F80">
        <w:rPr>
          <w:rFonts w:ascii="Arial Narrow" w:hAnsi="Arial Narrow" w:cs="Arial"/>
          <w:color w:val="000000"/>
          <w:sz w:val="24"/>
          <w:szCs w:val="24"/>
          <w:shd w:val="clear" w:color="auto" w:fill="FFFFFF"/>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14:paraId="64E77FD3" w14:textId="77777777" w:rsidR="00FB2E26" w:rsidRPr="00B56F80" w:rsidRDefault="00FB2E26" w:rsidP="00D02EBC">
      <w:pPr>
        <w:tabs>
          <w:tab w:val="left" w:pos="8789"/>
        </w:tabs>
        <w:spacing w:after="0"/>
        <w:ind w:left="426"/>
        <w:jc w:val="both"/>
        <w:rPr>
          <w:rFonts w:ascii="Arial Narrow" w:hAnsi="Arial Narrow" w:cs="Arial"/>
          <w:b/>
          <w:sz w:val="24"/>
          <w:szCs w:val="24"/>
        </w:rPr>
      </w:pPr>
    </w:p>
    <w:p w14:paraId="201FA1A3" w14:textId="21CCC507" w:rsidR="00FB2E26" w:rsidRPr="00B56F80" w:rsidRDefault="00FB2E26" w:rsidP="00D02EBC">
      <w:pPr>
        <w:spacing w:after="0"/>
        <w:ind w:left="426"/>
        <w:jc w:val="both"/>
        <w:rPr>
          <w:rFonts w:ascii="Arial Narrow" w:hAnsi="Arial Narrow" w:cs="Arial"/>
          <w:b/>
          <w:sz w:val="24"/>
          <w:szCs w:val="24"/>
        </w:rPr>
      </w:pPr>
      <w:r w:rsidRPr="00B56F80">
        <w:rPr>
          <w:rFonts w:ascii="Arial Narrow" w:hAnsi="Arial Narrow" w:cs="Arial"/>
          <w:b/>
          <w:sz w:val="24"/>
          <w:szCs w:val="24"/>
        </w:rPr>
        <w:t>5. Toda persona declarada culpable de un delito tendrá derecho a que el fallo condenatorio y la pena que se le haya impuesto sean sometidos a un tribunal superior, conforme a lo prescrito por la ley.</w:t>
      </w:r>
    </w:p>
    <w:p w14:paraId="47AF6613" w14:textId="77777777" w:rsidR="006F464D" w:rsidRPr="00B56F80" w:rsidRDefault="006F464D" w:rsidP="00D02EBC">
      <w:pPr>
        <w:spacing w:after="0"/>
        <w:ind w:left="426"/>
        <w:jc w:val="both"/>
        <w:rPr>
          <w:rFonts w:ascii="Arial Narrow" w:hAnsi="Arial Narrow" w:cs="Arial"/>
          <w:b/>
          <w:sz w:val="24"/>
          <w:szCs w:val="24"/>
        </w:rPr>
      </w:pPr>
    </w:p>
    <w:p w14:paraId="7888B7D6" w14:textId="77777777" w:rsidR="00FB2E26" w:rsidRPr="00B56F80" w:rsidRDefault="00FB2E26" w:rsidP="00D02EBC">
      <w:pPr>
        <w:pStyle w:val="ListParagraph"/>
        <w:numPr>
          <w:ilvl w:val="0"/>
          <w:numId w:val="5"/>
        </w:numPr>
        <w:spacing w:after="0"/>
        <w:ind w:left="426" w:firstLine="0"/>
        <w:jc w:val="both"/>
        <w:rPr>
          <w:rFonts w:ascii="Arial Narrow" w:hAnsi="Arial Narrow" w:cs="Arial"/>
          <w:b/>
          <w:sz w:val="24"/>
          <w:szCs w:val="24"/>
        </w:rPr>
      </w:pPr>
      <w:r w:rsidRPr="00B56F80">
        <w:rPr>
          <w:rFonts w:ascii="Arial Narrow" w:hAnsi="Arial Narrow" w:cs="Arial"/>
          <w:b/>
          <w:sz w:val="24"/>
          <w:szCs w:val="24"/>
        </w:rPr>
        <w:t>Convención de Viena – Parte III Observancia, aplicación e interpretación de los tratados.</w:t>
      </w:r>
    </w:p>
    <w:p w14:paraId="300193D7" w14:textId="3EC16653" w:rsidR="00FB2E26" w:rsidRPr="00B56F80" w:rsidRDefault="00FB2E26" w:rsidP="00D02EBC">
      <w:pPr>
        <w:spacing w:after="0"/>
        <w:ind w:left="426"/>
        <w:jc w:val="both"/>
        <w:rPr>
          <w:rFonts w:ascii="Arial Narrow" w:hAnsi="Arial Narrow" w:cs="Arial"/>
          <w:b/>
          <w:sz w:val="24"/>
          <w:szCs w:val="24"/>
        </w:rPr>
      </w:pPr>
      <w:r w:rsidRPr="00B56F80">
        <w:rPr>
          <w:rFonts w:ascii="Arial Narrow" w:hAnsi="Arial Narrow" w:cs="Arial"/>
          <w:b/>
          <w:sz w:val="24"/>
          <w:szCs w:val="24"/>
        </w:rPr>
        <w:t xml:space="preserve">Ley 32 de 1985 “Por medio de la cual se aprueba la </w:t>
      </w:r>
      <w:r w:rsidR="00B56F80" w:rsidRPr="00B56F80">
        <w:rPr>
          <w:rFonts w:ascii="Arial Narrow" w:hAnsi="Arial Narrow" w:cs="Arial"/>
          <w:b/>
          <w:sz w:val="24"/>
          <w:szCs w:val="24"/>
        </w:rPr>
        <w:t>Convención</w:t>
      </w:r>
      <w:r w:rsidRPr="00B56F80">
        <w:rPr>
          <w:rFonts w:ascii="Arial Narrow" w:hAnsi="Arial Narrow" w:cs="Arial"/>
          <w:b/>
          <w:sz w:val="24"/>
          <w:szCs w:val="24"/>
        </w:rPr>
        <w:t xml:space="preserve"> de Viena sobre el derecho de los tratados, suscrita en Viena el 23 de </w:t>
      </w:r>
      <w:r w:rsidR="00982933" w:rsidRPr="00B56F80">
        <w:rPr>
          <w:rFonts w:ascii="Arial Narrow" w:hAnsi="Arial Narrow" w:cs="Arial"/>
          <w:b/>
          <w:sz w:val="24"/>
          <w:szCs w:val="24"/>
        </w:rPr>
        <w:t>mayo</w:t>
      </w:r>
      <w:r w:rsidRPr="00B56F80">
        <w:rPr>
          <w:rFonts w:ascii="Arial Narrow" w:hAnsi="Arial Narrow" w:cs="Arial"/>
          <w:b/>
          <w:sz w:val="24"/>
          <w:szCs w:val="24"/>
        </w:rPr>
        <w:t xml:space="preserve"> de 1969</w:t>
      </w:r>
    </w:p>
    <w:p w14:paraId="479165C3" w14:textId="77777777" w:rsidR="00FB2E26" w:rsidRPr="00B56F80" w:rsidRDefault="00FB2E26" w:rsidP="00D02EBC">
      <w:pPr>
        <w:spacing w:after="0"/>
        <w:ind w:left="426"/>
        <w:jc w:val="both"/>
        <w:rPr>
          <w:rFonts w:ascii="Arial Narrow" w:hAnsi="Arial Narrow" w:cs="Arial"/>
          <w:b/>
          <w:sz w:val="24"/>
          <w:szCs w:val="24"/>
        </w:rPr>
      </w:pPr>
      <w:r w:rsidRPr="00B56F80">
        <w:rPr>
          <w:rFonts w:ascii="Arial Narrow" w:hAnsi="Arial Narrow" w:cs="Arial"/>
          <w:b/>
          <w:sz w:val="24"/>
          <w:szCs w:val="24"/>
        </w:rPr>
        <w:t>Observancia de los tratados.</w:t>
      </w:r>
    </w:p>
    <w:p w14:paraId="2FF9CEB2" w14:textId="77777777"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sz w:val="24"/>
          <w:szCs w:val="24"/>
        </w:rPr>
        <w:t xml:space="preserve">26. </w:t>
      </w:r>
      <w:r w:rsidRPr="00B56F80">
        <w:rPr>
          <w:rFonts w:ascii="Arial Narrow" w:hAnsi="Arial Narrow" w:cs="Arial"/>
          <w:b/>
          <w:sz w:val="24"/>
          <w:szCs w:val="24"/>
        </w:rPr>
        <w:t>“Pacta sunt servanda”.</w:t>
      </w:r>
      <w:r w:rsidRPr="00B56F80">
        <w:rPr>
          <w:rFonts w:ascii="Arial Narrow" w:hAnsi="Arial Narrow" w:cs="Arial"/>
          <w:sz w:val="24"/>
          <w:szCs w:val="24"/>
        </w:rPr>
        <w:t xml:space="preserve"> Todo tratado en vigor obliga a las partes y debe ser cumplido por ellas de buena fe.</w:t>
      </w:r>
    </w:p>
    <w:p w14:paraId="1D7B48E0" w14:textId="77777777"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sz w:val="24"/>
          <w:szCs w:val="24"/>
        </w:rPr>
        <w:t>27. El derecho interno y la observancia de los tratados. Una parte no podrá invocar las disposiciones de su derecho interno como justificación del incumplimiento de un tratado. Esta norma se entenderá sin perjuicio de los dispuesto en el artículo 46.</w:t>
      </w:r>
    </w:p>
    <w:p w14:paraId="24511614" w14:textId="77777777" w:rsidR="006F464D" w:rsidRPr="00B56F80" w:rsidRDefault="006F464D" w:rsidP="00D02EBC">
      <w:pPr>
        <w:spacing w:after="0"/>
        <w:ind w:left="426"/>
        <w:jc w:val="both"/>
        <w:rPr>
          <w:rFonts w:ascii="Arial Narrow" w:hAnsi="Arial Narrow" w:cs="Arial"/>
          <w:b/>
          <w:sz w:val="24"/>
          <w:szCs w:val="24"/>
        </w:rPr>
      </w:pPr>
    </w:p>
    <w:p w14:paraId="1DA7746C" w14:textId="2EEBBA26" w:rsidR="00FB2E26" w:rsidRPr="00B56F80" w:rsidRDefault="00FB2E26" w:rsidP="00D02EBC">
      <w:pPr>
        <w:spacing w:after="0"/>
        <w:ind w:left="426"/>
        <w:jc w:val="both"/>
        <w:rPr>
          <w:rFonts w:ascii="Arial Narrow" w:hAnsi="Arial Narrow" w:cs="Arial"/>
          <w:b/>
          <w:sz w:val="24"/>
          <w:szCs w:val="24"/>
        </w:rPr>
      </w:pPr>
      <w:r w:rsidRPr="00B56F80">
        <w:rPr>
          <w:rFonts w:ascii="Arial Narrow" w:hAnsi="Arial Narrow" w:cs="Arial"/>
          <w:b/>
          <w:sz w:val="24"/>
          <w:szCs w:val="24"/>
        </w:rPr>
        <w:t>Nulidad de los tratados</w:t>
      </w:r>
    </w:p>
    <w:p w14:paraId="3C2A0BCE" w14:textId="55C8C1AD" w:rsidR="00FB2E26" w:rsidRPr="00B56F80" w:rsidRDefault="00FB2E26" w:rsidP="00D02EBC">
      <w:pPr>
        <w:spacing w:after="0"/>
        <w:ind w:left="426"/>
        <w:jc w:val="both"/>
        <w:rPr>
          <w:rFonts w:ascii="Arial Narrow" w:hAnsi="Arial Narrow" w:cs="Arial"/>
          <w:sz w:val="24"/>
          <w:szCs w:val="24"/>
        </w:rPr>
      </w:pPr>
      <w:r w:rsidRPr="00B56F80">
        <w:rPr>
          <w:rFonts w:ascii="Arial Narrow" w:hAnsi="Arial Narrow" w:cs="Arial"/>
          <w:sz w:val="24"/>
          <w:szCs w:val="24"/>
        </w:rPr>
        <w:t>46. Disposiciones de derecho interno concernientes a la competencia para celebrar tratados. 1. El hecho de que el consentimiento de un Estado en obligarse por un tratado haya sido manifiesto en violación de una disposición de su derecho interno concerniente a la competencia para celebrar tratados no podrá ser alegado por dicho Estado como vicio de su consentimiento, a menos que esa violación sea manifiesta y afecte a una norma de importancia fundamental de su derecho interno. 2. Una violación es manifiesta si resulta objetivamente evidente para cualquier Estado que proceda en la materia conforme a la práctica usual y de buena fe.</w:t>
      </w:r>
    </w:p>
    <w:p w14:paraId="11BADD79" w14:textId="77777777" w:rsidR="006F464D" w:rsidRPr="00B56F80" w:rsidRDefault="006F464D" w:rsidP="00D02EBC">
      <w:pPr>
        <w:spacing w:after="0"/>
        <w:ind w:left="426"/>
        <w:jc w:val="both"/>
        <w:rPr>
          <w:rFonts w:ascii="Arial Narrow" w:hAnsi="Arial Narrow" w:cs="Arial"/>
          <w:sz w:val="24"/>
          <w:szCs w:val="24"/>
        </w:rPr>
      </w:pPr>
    </w:p>
    <w:p w14:paraId="3413BCFF" w14:textId="77777777" w:rsidR="00FB2E26" w:rsidRPr="00B56F80" w:rsidRDefault="00FB2E26" w:rsidP="00D02EBC">
      <w:pPr>
        <w:pStyle w:val="ListParagraph"/>
        <w:numPr>
          <w:ilvl w:val="0"/>
          <w:numId w:val="5"/>
        </w:numPr>
        <w:spacing w:after="0"/>
        <w:ind w:left="426" w:firstLine="0"/>
        <w:jc w:val="both"/>
        <w:rPr>
          <w:rFonts w:ascii="Arial Narrow" w:hAnsi="Arial Narrow" w:cs="Arial"/>
          <w:b/>
          <w:sz w:val="24"/>
          <w:szCs w:val="24"/>
        </w:rPr>
      </w:pPr>
      <w:r w:rsidRPr="00B56F80">
        <w:rPr>
          <w:rFonts w:ascii="Arial Narrow" w:hAnsi="Arial Narrow" w:cs="Arial"/>
          <w:b/>
          <w:sz w:val="24"/>
          <w:szCs w:val="24"/>
        </w:rPr>
        <w:t>Convención Americana sobre Derechos Humanos – San José de Costa Rica (1969).</w:t>
      </w:r>
    </w:p>
    <w:p w14:paraId="74465056" w14:textId="77777777" w:rsidR="00FB2E26" w:rsidRPr="00B56F80" w:rsidRDefault="00FB2E26" w:rsidP="00D02EBC">
      <w:pPr>
        <w:spacing w:after="0"/>
        <w:ind w:left="426"/>
        <w:jc w:val="both"/>
        <w:rPr>
          <w:rFonts w:ascii="Arial Narrow" w:hAnsi="Arial Narrow" w:cs="Arial"/>
          <w:b/>
          <w:sz w:val="24"/>
          <w:szCs w:val="24"/>
        </w:rPr>
      </w:pPr>
      <w:r w:rsidRPr="00B56F80">
        <w:rPr>
          <w:rFonts w:ascii="Arial Narrow" w:hAnsi="Arial Narrow" w:cs="Arial"/>
          <w:b/>
          <w:sz w:val="24"/>
          <w:szCs w:val="24"/>
        </w:rPr>
        <w:t>Garantías Judiciales</w:t>
      </w:r>
    </w:p>
    <w:p w14:paraId="40A446E4" w14:textId="037E7F56" w:rsidR="00FB2E26" w:rsidRPr="00B56F80" w:rsidRDefault="00FB2E26" w:rsidP="00D02EBC">
      <w:pPr>
        <w:spacing w:after="0"/>
        <w:ind w:left="426"/>
        <w:jc w:val="both"/>
        <w:rPr>
          <w:rFonts w:ascii="Arial Narrow" w:hAnsi="Arial Narrow" w:cs="Arial"/>
          <w:b/>
          <w:sz w:val="24"/>
          <w:szCs w:val="24"/>
        </w:rPr>
      </w:pPr>
      <w:r w:rsidRPr="00B56F80">
        <w:rPr>
          <w:rFonts w:ascii="Arial Narrow" w:hAnsi="Arial Narrow" w:cs="Arial"/>
          <w:b/>
          <w:sz w:val="24"/>
          <w:szCs w:val="24"/>
        </w:rPr>
        <w:t>8.2</w:t>
      </w:r>
      <w:r w:rsidRPr="00B56F80">
        <w:rPr>
          <w:rFonts w:ascii="Arial Narrow" w:hAnsi="Arial Narrow" w:cs="Arial"/>
          <w:sz w:val="24"/>
          <w:szCs w:val="24"/>
        </w:rPr>
        <w:t xml:space="preserve">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 </w:t>
      </w:r>
      <w:r w:rsidRPr="00B56F80">
        <w:rPr>
          <w:rFonts w:ascii="Arial Narrow" w:hAnsi="Arial Narrow" w:cs="Arial"/>
          <w:b/>
          <w:sz w:val="24"/>
          <w:szCs w:val="24"/>
        </w:rPr>
        <w:t>h) derecho de recurrir del fallo ante juez o tribunal superior.</w:t>
      </w:r>
    </w:p>
    <w:p w14:paraId="3B0359E0" w14:textId="77777777" w:rsidR="006F464D" w:rsidRPr="00B56F80" w:rsidRDefault="006F464D" w:rsidP="00D02EBC">
      <w:pPr>
        <w:spacing w:after="0"/>
        <w:ind w:left="426"/>
        <w:jc w:val="both"/>
        <w:rPr>
          <w:rFonts w:ascii="Arial Narrow" w:hAnsi="Arial Narrow" w:cs="Arial"/>
          <w:b/>
          <w:sz w:val="24"/>
          <w:szCs w:val="24"/>
        </w:rPr>
      </w:pPr>
    </w:p>
    <w:p w14:paraId="79407510" w14:textId="595B1736" w:rsidR="00FB2E26" w:rsidRPr="00B56F80" w:rsidRDefault="00FB2E26" w:rsidP="00D02EBC">
      <w:pPr>
        <w:pStyle w:val="ListParagraph"/>
        <w:numPr>
          <w:ilvl w:val="0"/>
          <w:numId w:val="9"/>
        </w:numPr>
        <w:spacing w:after="0" w:line="240" w:lineRule="auto"/>
        <w:ind w:left="426" w:hanging="284"/>
        <w:rPr>
          <w:rFonts w:ascii="Arial Narrow" w:hAnsi="Arial Narrow" w:cs="Arial"/>
          <w:b/>
          <w:sz w:val="24"/>
          <w:szCs w:val="24"/>
        </w:rPr>
      </w:pPr>
      <w:r w:rsidRPr="00B56F80">
        <w:rPr>
          <w:rFonts w:ascii="Arial Narrow" w:hAnsi="Arial Narrow" w:cs="Arial"/>
          <w:b/>
          <w:sz w:val="24"/>
          <w:szCs w:val="24"/>
        </w:rPr>
        <w:t xml:space="preserve">CONSIDERACIONES GENERALES </w:t>
      </w:r>
    </w:p>
    <w:p w14:paraId="38D7D7A8" w14:textId="77777777" w:rsidR="00FB2E26" w:rsidRPr="00B56F80" w:rsidRDefault="00FB2E26" w:rsidP="00D02EBC">
      <w:pPr>
        <w:spacing w:after="0" w:line="240" w:lineRule="auto"/>
        <w:ind w:left="426"/>
        <w:rPr>
          <w:rFonts w:ascii="Arial Narrow" w:hAnsi="Arial Narrow" w:cs="Arial"/>
          <w:b/>
          <w:sz w:val="24"/>
          <w:szCs w:val="24"/>
        </w:rPr>
      </w:pPr>
    </w:p>
    <w:p w14:paraId="54FF04BD" w14:textId="01CE3705" w:rsidR="00AE6A36" w:rsidRPr="00B56F80" w:rsidRDefault="00AE6A36"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El derecho de impugnación y la garantía de doble instancia constituyen imperativos esenciales dentro de nuestro sistema jurídico y Estado Social de Derecho. Es por esto </w:t>
      </w:r>
      <w:r w:rsidR="00982933" w:rsidRPr="00B56F80">
        <w:rPr>
          <w:rFonts w:ascii="Arial Narrow" w:hAnsi="Arial Narrow" w:cstheme="minorHAnsi"/>
          <w:color w:val="000000" w:themeColor="text1"/>
          <w:sz w:val="24"/>
          <w:szCs w:val="24"/>
        </w:rPr>
        <w:t>por lo que</w:t>
      </w:r>
      <w:r w:rsidRPr="00B56F80">
        <w:rPr>
          <w:rFonts w:ascii="Arial Narrow" w:hAnsi="Arial Narrow" w:cstheme="minorHAnsi"/>
          <w:color w:val="000000" w:themeColor="text1"/>
          <w:sz w:val="24"/>
          <w:szCs w:val="24"/>
        </w:rPr>
        <w:t xml:space="preserve">, </w:t>
      </w:r>
      <w:r w:rsidR="00813D7E" w:rsidRPr="00B56F80">
        <w:rPr>
          <w:rFonts w:ascii="Arial Narrow" w:hAnsi="Arial Narrow" w:cstheme="minorHAnsi"/>
          <w:color w:val="000000" w:themeColor="text1"/>
          <w:sz w:val="24"/>
          <w:szCs w:val="24"/>
        </w:rPr>
        <w:t xml:space="preserve">esta </w:t>
      </w:r>
      <w:r w:rsidRPr="00B56F80">
        <w:rPr>
          <w:rFonts w:ascii="Arial Narrow" w:hAnsi="Arial Narrow" w:cstheme="minorHAnsi"/>
          <w:color w:val="000000" w:themeColor="text1"/>
          <w:sz w:val="24"/>
          <w:szCs w:val="24"/>
        </w:rPr>
        <w:t xml:space="preserve">iniciativa legislativa está orientada a que se reconozca el derecho a la impugnación de sentencias condenatorias, sin ninguna excepción y de manera retroactiva. </w:t>
      </w:r>
    </w:p>
    <w:p w14:paraId="124CBC20"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5665B82D" w14:textId="24D9E182" w:rsidR="00AE6A36" w:rsidRPr="00B56F80" w:rsidRDefault="00AE6A36"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A nivel constitucional, el artículo 29 de la Carta Política consagró el debido proceso como un derecho a impugnar la primera sentencia condenatoria en materia penal, el cual no puede ser desconocido; así mismo, el artículo 31 estableció que toda sentencia judicial podrá ser apelada o consultada, salvo las excepciones que consagre la ley. </w:t>
      </w:r>
    </w:p>
    <w:p w14:paraId="55ACEF73"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0BBBA198" w14:textId="59F6DE41" w:rsidR="00301367" w:rsidRPr="00B56F80" w:rsidRDefault="00AE6A36" w:rsidP="00D02EBC">
      <w:pPr>
        <w:spacing w:after="0"/>
        <w:ind w:left="426"/>
        <w:jc w:val="both"/>
        <w:rPr>
          <w:rFonts w:ascii="Arial Narrow" w:hAnsi="Arial Narrow"/>
          <w:sz w:val="24"/>
          <w:szCs w:val="24"/>
        </w:rPr>
      </w:pPr>
      <w:r w:rsidRPr="00B56F80">
        <w:rPr>
          <w:rFonts w:ascii="Arial Narrow" w:hAnsi="Arial Narrow"/>
          <w:sz w:val="24"/>
          <w:szCs w:val="24"/>
        </w:rPr>
        <w:t xml:space="preserve">En cuanto a las obligaciones internacionales, </w:t>
      </w:r>
      <w:r w:rsidR="00301367" w:rsidRPr="00B56F80">
        <w:rPr>
          <w:rFonts w:ascii="Arial Narrow" w:hAnsi="Arial Narrow"/>
          <w:sz w:val="24"/>
          <w:szCs w:val="24"/>
        </w:rPr>
        <w:t xml:space="preserve">La Corte Constitucional ha analizado y delimitado el alcance de la figura del Bloque de constitucionalidad, teniendo como fundamento principal el </w:t>
      </w:r>
      <w:r w:rsidR="00B56F80" w:rsidRPr="00B56F80">
        <w:rPr>
          <w:rFonts w:ascii="Arial Narrow" w:hAnsi="Arial Narrow"/>
          <w:sz w:val="24"/>
          <w:szCs w:val="24"/>
        </w:rPr>
        <w:t>artículo</w:t>
      </w:r>
      <w:r w:rsidR="00301367" w:rsidRPr="00B56F80">
        <w:rPr>
          <w:rFonts w:ascii="Arial Narrow" w:hAnsi="Arial Narrow"/>
          <w:sz w:val="24"/>
          <w:szCs w:val="24"/>
        </w:rPr>
        <w:t xml:space="preserve"> 93 del Ordenamiento Superior. Por virtud de su aplicación, la </w:t>
      </w:r>
      <w:r w:rsidR="00B56F80" w:rsidRPr="00B56F80">
        <w:rPr>
          <w:rFonts w:ascii="Arial Narrow" w:hAnsi="Arial Narrow"/>
          <w:sz w:val="24"/>
          <w:szCs w:val="24"/>
        </w:rPr>
        <w:t>Constitución</w:t>
      </w:r>
      <w:r w:rsidR="00301367" w:rsidRPr="00B56F80">
        <w:rPr>
          <w:rFonts w:ascii="Arial Narrow" w:hAnsi="Arial Narrow"/>
          <w:sz w:val="24"/>
          <w:szCs w:val="24"/>
        </w:rPr>
        <w:t xml:space="preserve"> no se limita a aquellos contenidos que se adscriben en su propio texto, sino que incorpora otros mandatos, que robustecen la carta de principios y derechos. La procedencia de esta </w:t>
      </w:r>
      <w:r w:rsidR="00B56F80" w:rsidRPr="00B56F80">
        <w:rPr>
          <w:rFonts w:ascii="Arial Narrow" w:hAnsi="Arial Narrow"/>
          <w:sz w:val="24"/>
          <w:szCs w:val="24"/>
        </w:rPr>
        <w:t>expansión</w:t>
      </w:r>
      <w:r w:rsidR="00301367" w:rsidRPr="00B56F80">
        <w:rPr>
          <w:rFonts w:ascii="Arial Narrow" w:hAnsi="Arial Narrow"/>
          <w:sz w:val="24"/>
          <w:szCs w:val="24"/>
        </w:rPr>
        <w:t xml:space="preserve">, sin embargo, exige cautela, dado que tiene implicaciones sustanciales en el sistema de fuentes del ordenamiento y, por supuesto, en la </w:t>
      </w:r>
      <w:r w:rsidR="00B56F80" w:rsidRPr="00B56F80">
        <w:rPr>
          <w:rFonts w:ascii="Arial Narrow" w:hAnsi="Arial Narrow"/>
          <w:sz w:val="24"/>
          <w:szCs w:val="24"/>
        </w:rPr>
        <w:t>definición</w:t>
      </w:r>
      <w:r w:rsidR="00301367" w:rsidRPr="00B56F80">
        <w:rPr>
          <w:rFonts w:ascii="Arial Narrow" w:hAnsi="Arial Narrow"/>
          <w:sz w:val="24"/>
          <w:szCs w:val="24"/>
        </w:rPr>
        <w:t xml:space="preserve"> de las obligaciones de respeto, </w:t>
      </w:r>
      <w:r w:rsidR="00B56F80" w:rsidRPr="00B56F80">
        <w:rPr>
          <w:rFonts w:ascii="Arial Narrow" w:hAnsi="Arial Narrow"/>
          <w:sz w:val="24"/>
          <w:szCs w:val="24"/>
        </w:rPr>
        <w:t>protección</w:t>
      </w:r>
      <w:r w:rsidR="00301367" w:rsidRPr="00B56F80">
        <w:rPr>
          <w:rFonts w:ascii="Arial Narrow" w:hAnsi="Arial Narrow"/>
          <w:sz w:val="24"/>
          <w:szCs w:val="24"/>
        </w:rPr>
        <w:t xml:space="preserve"> y </w:t>
      </w:r>
      <w:r w:rsidR="00B56F80" w:rsidRPr="00B56F80">
        <w:rPr>
          <w:rFonts w:ascii="Arial Narrow" w:hAnsi="Arial Narrow"/>
          <w:sz w:val="24"/>
          <w:szCs w:val="24"/>
        </w:rPr>
        <w:t>garantía</w:t>
      </w:r>
      <w:r w:rsidR="00301367" w:rsidRPr="00B56F80">
        <w:rPr>
          <w:rFonts w:ascii="Arial Narrow" w:hAnsi="Arial Narrow"/>
          <w:sz w:val="24"/>
          <w:szCs w:val="24"/>
        </w:rPr>
        <w:t xml:space="preserve"> de los derechos a cargo, inicialmente del Estado.</w:t>
      </w:r>
    </w:p>
    <w:p w14:paraId="2DAA2FBD" w14:textId="77777777" w:rsidR="006F464D" w:rsidRPr="00B56F80" w:rsidRDefault="006F464D" w:rsidP="00D02EBC">
      <w:pPr>
        <w:spacing w:after="0"/>
        <w:ind w:left="426"/>
        <w:jc w:val="both"/>
        <w:rPr>
          <w:rFonts w:ascii="Arial Narrow" w:hAnsi="Arial Narrow"/>
          <w:sz w:val="24"/>
          <w:szCs w:val="24"/>
        </w:rPr>
      </w:pPr>
    </w:p>
    <w:p w14:paraId="1757774F" w14:textId="4E6BD952" w:rsidR="00AE6A36" w:rsidRPr="00B56F80" w:rsidRDefault="00E212C9" w:rsidP="00D02EBC">
      <w:pPr>
        <w:spacing w:after="0"/>
        <w:ind w:left="426"/>
        <w:jc w:val="both"/>
        <w:rPr>
          <w:rFonts w:ascii="Arial Narrow" w:hAnsi="Arial Narrow"/>
          <w:i/>
          <w:sz w:val="24"/>
          <w:szCs w:val="24"/>
        </w:rPr>
      </w:pPr>
      <w:r w:rsidRPr="00B56F80">
        <w:rPr>
          <w:rFonts w:ascii="Arial Narrow" w:hAnsi="Arial Narrow"/>
          <w:sz w:val="24"/>
          <w:szCs w:val="24"/>
        </w:rPr>
        <w:t>L</w:t>
      </w:r>
      <w:r w:rsidR="00AE6A36" w:rsidRPr="00B56F80">
        <w:rPr>
          <w:rFonts w:ascii="Arial Narrow" w:hAnsi="Arial Narrow"/>
          <w:sz w:val="24"/>
          <w:szCs w:val="24"/>
        </w:rPr>
        <w:t>a Convención Interamericana de Derechos Humanos, establece en su artículo 8, numeral 2, literal H, que toda persona inculpada de un delito tendrá “</w:t>
      </w:r>
      <w:r w:rsidR="00AE6A36" w:rsidRPr="00B56F80">
        <w:rPr>
          <w:rFonts w:ascii="Arial Narrow" w:hAnsi="Arial Narrow"/>
          <w:i/>
          <w:sz w:val="24"/>
          <w:szCs w:val="24"/>
        </w:rPr>
        <w:t xml:space="preserve">derecho de recurrir el fallo ante juez o tribunal superior”, </w:t>
      </w:r>
      <w:r w:rsidR="00AE6A36" w:rsidRPr="00B56F80">
        <w:rPr>
          <w:rFonts w:ascii="Arial Narrow" w:hAnsi="Arial Narrow"/>
          <w:sz w:val="24"/>
          <w:szCs w:val="24"/>
        </w:rPr>
        <w:t xml:space="preserve">ratificándose el deber supralegal de conceder a los condenados la posibilidad de que una primera decisión desfavorable siempre sea revisada por un órgano distinto. Obligación que también se encuentra contenida en el artículo 14, numeral 5 del Pacto Internacional de Derechos Civiles y Políticos de 1996 que prescribe que </w:t>
      </w:r>
      <w:r w:rsidR="00AE6A36" w:rsidRPr="00B56F80">
        <w:rPr>
          <w:rFonts w:ascii="Arial Narrow" w:hAnsi="Arial Narrow"/>
          <w:i/>
          <w:sz w:val="24"/>
          <w:szCs w:val="24"/>
        </w:rPr>
        <w:t>“Toda persona declarada culpable de un delito tendrá derecho a que el fallo condenatorio y la pena se le haya impuesto sean sometidos a un tribunal superior”.</w:t>
      </w:r>
    </w:p>
    <w:p w14:paraId="1A7D030C" w14:textId="77777777" w:rsidR="00982933" w:rsidRPr="00B56F80" w:rsidRDefault="00982933" w:rsidP="00D02EBC">
      <w:pPr>
        <w:spacing w:after="0"/>
        <w:ind w:left="426"/>
        <w:jc w:val="both"/>
        <w:rPr>
          <w:rFonts w:ascii="Arial Narrow" w:hAnsi="Arial Narrow"/>
          <w:i/>
          <w:sz w:val="24"/>
          <w:szCs w:val="24"/>
        </w:rPr>
      </w:pPr>
    </w:p>
    <w:p w14:paraId="1188C6D4" w14:textId="74F62040" w:rsidR="00AE6A36" w:rsidRPr="00B56F80" w:rsidRDefault="00AE6A36"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Tanto la Convención como el Pacto son instrumentos internacionales suscritos y ratificados por Colombia, por lo que se debe entender que sus disposiciones se entienden incorporadas a la Constitución y siempre habrá que adoptar una decisión que garantice el cumplimiento del derecho aun cuando ello implique aplicar directamente la Carta Política. </w:t>
      </w:r>
    </w:p>
    <w:p w14:paraId="2140391A"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10D28F85" w14:textId="3FD88B03" w:rsidR="009960CF" w:rsidRPr="00B56F80" w:rsidRDefault="009960CF"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En vista de lo anterior, tenemos que el Bloque de Constitucionalidad constituye una herramienta importante en la </w:t>
      </w:r>
      <w:r w:rsidR="00B56F80" w:rsidRPr="00B56F80">
        <w:rPr>
          <w:rFonts w:ascii="Arial Narrow" w:hAnsi="Arial Narrow" w:cstheme="minorHAnsi"/>
          <w:color w:val="000000" w:themeColor="text1"/>
          <w:sz w:val="24"/>
          <w:szCs w:val="24"/>
        </w:rPr>
        <w:t>estimación</w:t>
      </w:r>
      <w:r w:rsidRPr="00B56F80">
        <w:rPr>
          <w:rFonts w:ascii="Arial Narrow" w:hAnsi="Arial Narrow" w:cstheme="minorHAnsi"/>
          <w:color w:val="000000" w:themeColor="text1"/>
          <w:sz w:val="24"/>
          <w:szCs w:val="24"/>
        </w:rPr>
        <w:t xml:space="preserve"> de la </w:t>
      </w:r>
      <w:r w:rsidR="00B56F80" w:rsidRPr="00B56F80">
        <w:rPr>
          <w:rFonts w:ascii="Arial Narrow" w:hAnsi="Arial Narrow" w:cstheme="minorHAnsi"/>
          <w:color w:val="000000" w:themeColor="text1"/>
          <w:sz w:val="24"/>
          <w:szCs w:val="24"/>
        </w:rPr>
        <w:t>Constitución</w:t>
      </w:r>
      <w:r w:rsidRPr="00B56F80">
        <w:rPr>
          <w:rFonts w:ascii="Arial Narrow" w:hAnsi="Arial Narrow" w:cstheme="minorHAnsi"/>
          <w:color w:val="000000" w:themeColor="text1"/>
          <w:sz w:val="24"/>
          <w:szCs w:val="24"/>
        </w:rPr>
        <w:t xml:space="preserve"> </w:t>
      </w:r>
      <w:r w:rsidR="00B56F80" w:rsidRPr="00B56F80">
        <w:rPr>
          <w:rFonts w:ascii="Arial Narrow" w:hAnsi="Arial Narrow" w:cstheme="minorHAnsi"/>
          <w:color w:val="000000" w:themeColor="text1"/>
          <w:sz w:val="24"/>
          <w:szCs w:val="24"/>
        </w:rPr>
        <w:t>Política</w:t>
      </w:r>
      <w:r w:rsidRPr="00B56F80">
        <w:rPr>
          <w:rFonts w:ascii="Arial Narrow" w:hAnsi="Arial Narrow" w:cstheme="minorHAnsi"/>
          <w:color w:val="000000" w:themeColor="text1"/>
          <w:sz w:val="24"/>
          <w:szCs w:val="24"/>
        </w:rPr>
        <w:t xml:space="preserve"> como un instrumento de derecho viviente, la </w:t>
      </w:r>
      <w:r w:rsidR="00982933" w:rsidRPr="00B56F80">
        <w:rPr>
          <w:rFonts w:ascii="Arial Narrow" w:hAnsi="Arial Narrow" w:cstheme="minorHAnsi"/>
          <w:color w:val="000000" w:themeColor="text1"/>
          <w:sz w:val="24"/>
          <w:szCs w:val="24"/>
        </w:rPr>
        <w:t>cual,</w:t>
      </w:r>
      <w:r w:rsidRPr="00B56F80">
        <w:rPr>
          <w:rFonts w:ascii="Arial Narrow" w:hAnsi="Arial Narrow" w:cstheme="minorHAnsi"/>
          <w:color w:val="000000" w:themeColor="text1"/>
          <w:sz w:val="24"/>
          <w:szCs w:val="24"/>
        </w:rPr>
        <w:t xml:space="preserve"> adoptada en un Estado Constitucional de derecho, </w:t>
      </w:r>
      <w:r w:rsidR="00B56F80" w:rsidRPr="00B56F80">
        <w:rPr>
          <w:rFonts w:ascii="Arial Narrow" w:hAnsi="Arial Narrow" w:cstheme="minorHAnsi"/>
          <w:color w:val="000000" w:themeColor="text1"/>
          <w:sz w:val="24"/>
          <w:szCs w:val="24"/>
        </w:rPr>
        <w:t>está</w:t>
      </w:r>
      <w:r w:rsidRPr="00B56F80">
        <w:rPr>
          <w:rFonts w:ascii="Arial Narrow" w:hAnsi="Arial Narrow" w:cstheme="minorHAnsi"/>
          <w:color w:val="000000" w:themeColor="text1"/>
          <w:sz w:val="24"/>
          <w:szCs w:val="24"/>
        </w:rPr>
        <w:t xml:space="preserve"> comprometida con el respeto, </w:t>
      </w:r>
      <w:r w:rsidR="00B56F80" w:rsidRPr="00B56F80">
        <w:rPr>
          <w:rFonts w:ascii="Arial Narrow" w:hAnsi="Arial Narrow" w:cstheme="minorHAnsi"/>
          <w:color w:val="000000" w:themeColor="text1"/>
          <w:sz w:val="24"/>
          <w:szCs w:val="24"/>
        </w:rPr>
        <w:t>protección</w:t>
      </w:r>
      <w:r w:rsidRPr="00B56F80">
        <w:rPr>
          <w:rFonts w:ascii="Arial Narrow" w:hAnsi="Arial Narrow" w:cstheme="minorHAnsi"/>
          <w:color w:val="000000" w:themeColor="text1"/>
          <w:sz w:val="24"/>
          <w:szCs w:val="24"/>
        </w:rPr>
        <w:t xml:space="preserve"> y </w:t>
      </w:r>
      <w:r w:rsidR="00B56F80" w:rsidRPr="00B56F80">
        <w:rPr>
          <w:rFonts w:ascii="Arial Narrow" w:hAnsi="Arial Narrow" w:cstheme="minorHAnsi"/>
          <w:color w:val="000000" w:themeColor="text1"/>
          <w:sz w:val="24"/>
          <w:szCs w:val="24"/>
        </w:rPr>
        <w:t>garantía</w:t>
      </w:r>
      <w:r w:rsidRPr="00B56F80">
        <w:rPr>
          <w:rFonts w:ascii="Arial Narrow" w:hAnsi="Arial Narrow" w:cstheme="minorHAnsi"/>
          <w:color w:val="000000" w:themeColor="text1"/>
          <w:sz w:val="24"/>
          <w:szCs w:val="24"/>
        </w:rPr>
        <w:t xml:space="preserve"> de los bienes fundamentales de todos los seres humanos, por el hecho de serlo.</w:t>
      </w:r>
    </w:p>
    <w:p w14:paraId="77CCB46A"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56FAE784" w14:textId="798F226D" w:rsidR="00E212C9" w:rsidRPr="00B56F80" w:rsidRDefault="009960CF"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La riqueza que aporta el bloque de constitucionalidad a la </w:t>
      </w:r>
      <w:r w:rsidR="00B56F80" w:rsidRPr="00B56F80">
        <w:rPr>
          <w:rFonts w:ascii="Arial Narrow" w:hAnsi="Arial Narrow" w:cstheme="minorHAnsi"/>
          <w:color w:val="000000" w:themeColor="text1"/>
          <w:sz w:val="24"/>
          <w:szCs w:val="24"/>
        </w:rPr>
        <w:t>práctica</w:t>
      </w:r>
      <w:r w:rsidRPr="00B56F80">
        <w:rPr>
          <w:rFonts w:ascii="Arial Narrow" w:hAnsi="Arial Narrow" w:cstheme="minorHAnsi"/>
          <w:color w:val="000000" w:themeColor="text1"/>
          <w:sz w:val="24"/>
          <w:szCs w:val="24"/>
        </w:rPr>
        <w:t xml:space="preserve"> </w:t>
      </w:r>
      <w:r w:rsidR="00B56F80" w:rsidRPr="00B56F80">
        <w:rPr>
          <w:rFonts w:ascii="Arial Narrow" w:hAnsi="Arial Narrow" w:cstheme="minorHAnsi"/>
          <w:color w:val="000000" w:themeColor="text1"/>
          <w:sz w:val="24"/>
          <w:szCs w:val="24"/>
        </w:rPr>
        <w:t>jurídica</w:t>
      </w:r>
      <w:r w:rsidRPr="00B56F80">
        <w:rPr>
          <w:rFonts w:ascii="Arial Narrow" w:hAnsi="Arial Narrow" w:cstheme="minorHAnsi"/>
          <w:color w:val="000000" w:themeColor="text1"/>
          <w:sz w:val="24"/>
          <w:szCs w:val="24"/>
        </w:rPr>
        <w:t xml:space="preserve">, exige el compromiso serio por el ejercicio ponderado y razonado de cada una de las incorporaciones que, permitidas por la </w:t>
      </w:r>
      <w:r w:rsidR="00B56F80" w:rsidRPr="00B56F80">
        <w:rPr>
          <w:rFonts w:ascii="Arial Narrow" w:hAnsi="Arial Narrow" w:cstheme="minorHAnsi"/>
          <w:color w:val="000000" w:themeColor="text1"/>
          <w:sz w:val="24"/>
          <w:szCs w:val="24"/>
        </w:rPr>
        <w:t>Constitución</w:t>
      </w:r>
      <w:r w:rsidRPr="00B56F80">
        <w:rPr>
          <w:rFonts w:ascii="Arial Narrow" w:hAnsi="Arial Narrow" w:cstheme="minorHAnsi"/>
          <w:color w:val="000000" w:themeColor="text1"/>
          <w:sz w:val="24"/>
          <w:szCs w:val="24"/>
        </w:rPr>
        <w:t xml:space="preserve">, se realizan con fundamento en los instrumentos internacionales que se integran al ordenamiento interno con su misma </w:t>
      </w:r>
      <w:r w:rsidR="00B56F80" w:rsidRPr="00B56F80">
        <w:rPr>
          <w:rFonts w:ascii="Arial Narrow" w:hAnsi="Arial Narrow" w:cstheme="minorHAnsi"/>
          <w:color w:val="000000" w:themeColor="text1"/>
          <w:sz w:val="24"/>
          <w:szCs w:val="24"/>
        </w:rPr>
        <w:t>jerarquía</w:t>
      </w:r>
      <w:r w:rsidRPr="00B56F80">
        <w:rPr>
          <w:rFonts w:ascii="Arial Narrow" w:hAnsi="Arial Narrow" w:cstheme="minorHAnsi"/>
          <w:color w:val="000000" w:themeColor="text1"/>
          <w:sz w:val="24"/>
          <w:szCs w:val="24"/>
        </w:rPr>
        <w:t xml:space="preserve">. Este ejercicio, </w:t>
      </w:r>
      <w:r w:rsidR="00B56F80" w:rsidRPr="00B56F80">
        <w:rPr>
          <w:rFonts w:ascii="Arial Narrow" w:hAnsi="Arial Narrow" w:cstheme="minorHAnsi"/>
          <w:color w:val="000000" w:themeColor="text1"/>
          <w:sz w:val="24"/>
          <w:szCs w:val="24"/>
        </w:rPr>
        <w:t>además</w:t>
      </w:r>
      <w:r w:rsidRPr="00B56F80">
        <w:rPr>
          <w:rFonts w:ascii="Arial Narrow" w:hAnsi="Arial Narrow" w:cstheme="minorHAnsi"/>
          <w:color w:val="000000" w:themeColor="text1"/>
          <w:sz w:val="24"/>
          <w:szCs w:val="24"/>
        </w:rPr>
        <w:t xml:space="preserve">, debe tener en cuenta los principios </w:t>
      </w:r>
      <w:r w:rsidR="00B56F80" w:rsidRPr="00B56F80">
        <w:rPr>
          <w:rFonts w:ascii="Arial Narrow" w:hAnsi="Arial Narrow" w:cstheme="minorHAnsi"/>
          <w:color w:val="000000" w:themeColor="text1"/>
          <w:sz w:val="24"/>
          <w:szCs w:val="24"/>
        </w:rPr>
        <w:t>básicos</w:t>
      </w:r>
      <w:r w:rsidRPr="00B56F80">
        <w:rPr>
          <w:rFonts w:ascii="Arial Narrow" w:hAnsi="Arial Narrow" w:cstheme="minorHAnsi"/>
          <w:color w:val="000000" w:themeColor="text1"/>
          <w:sz w:val="24"/>
          <w:szCs w:val="24"/>
        </w:rPr>
        <w:t xml:space="preserve"> de cumplimiento de las obligaciones </w:t>
      </w:r>
      <w:r w:rsidR="00B56F80" w:rsidRPr="00B56F80">
        <w:rPr>
          <w:rFonts w:ascii="Arial Narrow" w:hAnsi="Arial Narrow" w:cstheme="minorHAnsi"/>
          <w:color w:val="000000" w:themeColor="text1"/>
          <w:sz w:val="24"/>
          <w:szCs w:val="24"/>
        </w:rPr>
        <w:t>contraídas</w:t>
      </w:r>
      <w:r w:rsidRPr="00B56F80">
        <w:rPr>
          <w:rFonts w:ascii="Arial Narrow" w:hAnsi="Arial Narrow" w:cstheme="minorHAnsi"/>
          <w:color w:val="000000" w:themeColor="text1"/>
          <w:sz w:val="24"/>
          <w:szCs w:val="24"/>
        </w:rPr>
        <w:t xml:space="preserve"> p</w:t>
      </w:r>
      <w:r w:rsidR="00DE1B45" w:rsidRPr="00B56F80">
        <w:rPr>
          <w:rFonts w:ascii="Arial Narrow" w:hAnsi="Arial Narrow" w:cstheme="minorHAnsi"/>
          <w:color w:val="000000" w:themeColor="text1"/>
          <w:sz w:val="24"/>
          <w:szCs w:val="24"/>
        </w:rPr>
        <w:t>or lo estados al mo</w:t>
      </w:r>
      <w:r w:rsidRPr="00B56F80">
        <w:rPr>
          <w:rFonts w:ascii="Arial Narrow" w:hAnsi="Arial Narrow" w:cstheme="minorHAnsi"/>
          <w:color w:val="000000" w:themeColor="text1"/>
          <w:sz w:val="24"/>
          <w:szCs w:val="24"/>
        </w:rPr>
        <w:t>m</w:t>
      </w:r>
      <w:r w:rsidR="00DE1B45" w:rsidRPr="00B56F80">
        <w:rPr>
          <w:rFonts w:ascii="Arial Narrow" w:hAnsi="Arial Narrow" w:cstheme="minorHAnsi"/>
          <w:color w:val="000000" w:themeColor="text1"/>
          <w:sz w:val="24"/>
          <w:szCs w:val="24"/>
        </w:rPr>
        <w:t>e</w:t>
      </w:r>
      <w:r w:rsidRPr="00B56F80">
        <w:rPr>
          <w:rFonts w:ascii="Arial Narrow" w:hAnsi="Arial Narrow" w:cstheme="minorHAnsi"/>
          <w:color w:val="000000" w:themeColor="text1"/>
          <w:sz w:val="24"/>
          <w:szCs w:val="24"/>
        </w:rPr>
        <w:t xml:space="preserve">nto de la </w:t>
      </w:r>
      <w:r w:rsidR="00B56F80" w:rsidRPr="00B56F80">
        <w:rPr>
          <w:rFonts w:ascii="Arial Narrow" w:hAnsi="Arial Narrow" w:cstheme="minorHAnsi"/>
          <w:color w:val="000000" w:themeColor="text1"/>
          <w:sz w:val="24"/>
          <w:szCs w:val="24"/>
        </w:rPr>
        <w:t>suscripción</w:t>
      </w:r>
      <w:r w:rsidRPr="00B56F80">
        <w:rPr>
          <w:rFonts w:ascii="Arial Narrow" w:hAnsi="Arial Narrow" w:cstheme="minorHAnsi"/>
          <w:color w:val="000000" w:themeColor="text1"/>
          <w:sz w:val="24"/>
          <w:szCs w:val="24"/>
        </w:rPr>
        <w:t xml:space="preserve"> de tratados, pactos, convenciones, entre otros.</w:t>
      </w:r>
    </w:p>
    <w:p w14:paraId="39B012CC"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7DE09990" w14:textId="32CDF295" w:rsidR="00213C16" w:rsidRPr="00B56F80" w:rsidRDefault="00AE6A36"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Sin embargo, a pesar de lo anterior, nuestro país contaba con una omisión legislativa respecto al derecho a impugnar la primera sentencia condenatoria y la garantía de la doble instancia, por lo que en la realidad dichos derechos no se materializaban; razón por la cual, la Corte Constitucional mediante una sentencia hito, la C – 792  de 2014 decidió a exhortar “</w:t>
      </w:r>
      <w:r w:rsidRPr="00B56F80">
        <w:rPr>
          <w:rFonts w:ascii="Arial Narrow" w:hAnsi="Arial Narrow" w:cstheme="minorHAnsi"/>
          <w:i/>
          <w:color w:val="000000" w:themeColor="text1"/>
          <w:sz w:val="24"/>
          <w:szCs w:val="24"/>
        </w:rPr>
        <w:t>(…) al Congreso de la República para que, en el término de un año (…), regule integralmente el derecho a impugnar todas las sentencias condenatorias. De no hacerlo, a partir del vencimiento de este término, se entenderá que procede la impugnación de todas las sentencias condenatorias ante el superior jerárquico o funcional de quien impuso la condena.</w:t>
      </w:r>
      <w:r w:rsidR="00E212C9" w:rsidRPr="00B56F80">
        <w:rPr>
          <w:rFonts w:ascii="Arial Narrow" w:hAnsi="Arial Narrow" w:cstheme="minorHAnsi"/>
          <w:color w:val="000000" w:themeColor="text1"/>
          <w:sz w:val="24"/>
          <w:szCs w:val="24"/>
        </w:rPr>
        <w:t xml:space="preserve">” </w:t>
      </w:r>
    </w:p>
    <w:p w14:paraId="21DFF9C6"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7A14599B" w14:textId="4AA82053" w:rsidR="002672C7" w:rsidRPr="00B56F80" w:rsidRDefault="00982933" w:rsidP="00D02EBC">
      <w:pPr>
        <w:spacing w:after="0"/>
        <w:ind w:left="426"/>
        <w:jc w:val="both"/>
        <w:rPr>
          <w:rFonts w:ascii="Arial Narrow" w:hAnsi="Arial Narrow" w:cstheme="minorHAnsi"/>
          <w:i/>
          <w:color w:val="000000" w:themeColor="text1"/>
          <w:sz w:val="24"/>
          <w:szCs w:val="24"/>
        </w:rPr>
      </w:pPr>
      <w:r w:rsidRPr="00B56F80">
        <w:rPr>
          <w:rFonts w:ascii="Arial Narrow" w:hAnsi="Arial Narrow" w:cstheme="minorHAnsi"/>
          <w:i/>
          <w:color w:val="000000" w:themeColor="text1"/>
          <w:sz w:val="24"/>
          <w:szCs w:val="24"/>
        </w:rPr>
        <w:t>“En</w:t>
      </w:r>
      <w:r w:rsidR="00213C16" w:rsidRPr="00B56F80">
        <w:rPr>
          <w:rFonts w:ascii="Arial Narrow" w:hAnsi="Arial Narrow" w:cstheme="minorHAnsi"/>
          <w:i/>
          <w:color w:val="000000" w:themeColor="text1"/>
          <w:sz w:val="24"/>
          <w:szCs w:val="24"/>
        </w:rPr>
        <w:t xml:space="preserve"> concreto, afirmo que la impugnación de sentencias condenatorias cuenta de manera </w:t>
      </w:r>
      <w:r w:rsidR="00B56F80" w:rsidRPr="00B56F80">
        <w:rPr>
          <w:rFonts w:ascii="Arial Narrow" w:hAnsi="Arial Narrow" w:cstheme="minorHAnsi"/>
          <w:i/>
          <w:color w:val="000000" w:themeColor="text1"/>
          <w:sz w:val="24"/>
          <w:szCs w:val="24"/>
        </w:rPr>
        <w:t>autónoma</w:t>
      </w:r>
      <w:r w:rsidR="00213C16" w:rsidRPr="00B56F80">
        <w:rPr>
          <w:rFonts w:ascii="Arial Narrow" w:hAnsi="Arial Narrow" w:cstheme="minorHAnsi"/>
          <w:i/>
          <w:color w:val="000000" w:themeColor="text1"/>
          <w:sz w:val="24"/>
          <w:szCs w:val="24"/>
        </w:rPr>
        <w:t xml:space="preserve"> con (i) fundamento</w:t>
      </w:r>
      <w:r w:rsidR="00A74742" w:rsidRPr="00B56F80">
        <w:rPr>
          <w:rFonts w:ascii="Arial Narrow" w:hAnsi="Arial Narrow" w:cstheme="minorHAnsi"/>
          <w:i/>
          <w:color w:val="000000" w:themeColor="text1"/>
          <w:sz w:val="24"/>
          <w:szCs w:val="24"/>
        </w:rPr>
        <w:t xml:space="preserve"> </w:t>
      </w:r>
      <w:r w:rsidR="002672C7" w:rsidRPr="00B56F80">
        <w:rPr>
          <w:rFonts w:ascii="Arial Narrow" w:hAnsi="Arial Narrow" w:cstheme="minorHAnsi"/>
          <w:i/>
          <w:color w:val="000000" w:themeColor="text1"/>
          <w:sz w:val="24"/>
          <w:szCs w:val="24"/>
        </w:rPr>
        <w:t>normativo (Arts. 29 de la C.P., 8.2.h. de la Convención Americana sobre Derechos Humanos y 14.5. del Pacto Internacional de Derechos Civiles y Políticos); (ii) estatus jurídico (derecho subjetivo que integra el derecho de defensa); (iii) ámbito de acción (el proceso penal); (iv) contenido (controvertir el fallo incriminatorio ante una instancia distinta a la que dictó la providencia); (v) objeto (sentencia con un contenido específico: que declara por primera vez la responsabilidad penal); (vi) finalidad (como protección de defensa a personas condenadas y garantía de corrección judicial, porque se exige la </w:t>
      </w:r>
      <w:r w:rsidR="002672C7" w:rsidRPr="00B56F80">
        <w:rPr>
          <w:rFonts w:ascii="Arial Narrow" w:hAnsi="Arial Narrow" w:cstheme="minorHAnsi"/>
          <w:b/>
          <w:bCs/>
          <w:i/>
          <w:iCs/>
          <w:color w:val="000000" w:themeColor="text1"/>
          <w:sz w:val="24"/>
          <w:szCs w:val="24"/>
        </w:rPr>
        <w:t>doble conformidad</w:t>
      </w:r>
      <w:r w:rsidR="002672C7" w:rsidRPr="00B56F80">
        <w:rPr>
          <w:rFonts w:ascii="Arial Narrow" w:hAnsi="Arial Narrow" w:cstheme="minorHAnsi"/>
          <w:i/>
          <w:color w:val="000000" w:themeColor="text1"/>
          <w:sz w:val="24"/>
          <w:szCs w:val="24"/>
        </w:rPr>
        <w:t>); y, finalmente, (vii) se distingue de la posibilidad de apelar sentencias judiciales, respecto de la cual el Legislador sí puede establecer excepciones, pues en este caso este principio no ac</w:t>
      </w:r>
      <w:r w:rsidR="003067C8" w:rsidRPr="00B56F80">
        <w:rPr>
          <w:rFonts w:ascii="Arial Narrow" w:hAnsi="Arial Narrow" w:cstheme="minorHAnsi"/>
          <w:i/>
          <w:color w:val="000000" w:themeColor="text1"/>
          <w:sz w:val="24"/>
          <w:szCs w:val="24"/>
        </w:rPr>
        <w:t>túa como imperativo o regla.”</w:t>
      </w:r>
    </w:p>
    <w:p w14:paraId="01A8C4A9" w14:textId="77777777" w:rsidR="006F464D" w:rsidRPr="00B56F80" w:rsidRDefault="006F464D" w:rsidP="00D02EBC">
      <w:pPr>
        <w:spacing w:after="0"/>
        <w:ind w:left="426"/>
        <w:jc w:val="both"/>
        <w:rPr>
          <w:rFonts w:ascii="Arial Narrow" w:hAnsi="Arial Narrow" w:cstheme="minorHAnsi"/>
          <w:i/>
          <w:color w:val="000000" w:themeColor="text1"/>
          <w:sz w:val="24"/>
          <w:szCs w:val="24"/>
        </w:rPr>
      </w:pPr>
    </w:p>
    <w:p w14:paraId="4437856C" w14:textId="428D31BB" w:rsidR="002672C7" w:rsidRPr="00B56F80" w:rsidRDefault="003067C8" w:rsidP="00D02EBC">
      <w:pPr>
        <w:spacing w:after="0"/>
        <w:ind w:left="426"/>
        <w:jc w:val="both"/>
        <w:rPr>
          <w:rFonts w:ascii="Arial Narrow" w:hAnsi="Arial Narrow" w:cstheme="minorHAnsi"/>
          <w:i/>
          <w:color w:val="000000" w:themeColor="text1"/>
          <w:sz w:val="24"/>
          <w:szCs w:val="24"/>
        </w:rPr>
      </w:pPr>
      <w:r w:rsidRPr="00B56F80">
        <w:rPr>
          <w:rFonts w:ascii="Arial Narrow" w:hAnsi="Arial Narrow" w:cstheme="minorHAnsi"/>
          <w:i/>
          <w:color w:val="000000" w:themeColor="text1"/>
          <w:sz w:val="24"/>
          <w:szCs w:val="24"/>
        </w:rPr>
        <w:t>“</w:t>
      </w:r>
      <w:r w:rsidR="002672C7" w:rsidRPr="00B56F80">
        <w:rPr>
          <w:rFonts w:ascii="Arial Narrow" w:hAnsi="Arial Narrow" w:cstheme="minorHAnsi"/>
          <w:i/>
          <w:color w:val="000000" w:themeColor="text1"/>
          <w:sz w:val="24"/>
          <w:szCs w:val="24"/>
        </w:rPr>
        <w:t>Segundo, que la línea constante de la jurisprudencia de la Corte Constitucional sí había tenido en cuenta que en materia penal era exigible la posibilidad de impugnar, pero, no obstante, esta obligación se había encontrado satisfecha al considerar la idoneidad de recursos tales como la casación, la revisión o, incluso, la acción de tutela contra providencia judicial. Sin embargo, recurriendo de manera importante a los estándares fijados por la Corte Interamericana sobre Derechos Humanos, la Sala Plena consideró que dichos recursos eran </w:t>
      </w:r>
      <w:r w:rsidR="002672C7" w:rsidRPr="00B56F80">
        <w:rPr>
          <w:rFonts w:ascii="Arial Narrow" w:hAnsi="Arial Narrow" w:cstheme="minorHAnsi"/>
          <w:i/>
          <w:iCs/>
          <w:color w:val="000000" w:themeColor="text1"/>
          <w:sz w:val="24"/>
          <w:szCs w:val="24"/>
        </w:rPr>
        <w:t>vías procesales debilitadas, </w:t>
      </w:r>
      <w:r w:rsidR="002672C7" w:rsidRPr="00B56F80">
        <w:rPr>
          <w:rFonts w:ascii="Arial Narrow" w:hAnsi="Arial Narrow" w:cstheme="minorHAnsi"/>
          <w:i/>
          <w:color w:val="000000" w:themeColor="text1"/>
          <w:sz w:val="24"/>
          <w:szCs w:val="24"/>
        </w:rPr>
        <w:t>que no satisfacían las siguientes pautas: (i) que el operador judicial que resuelva la impugnación cuente con lineamientos de valoración integral: completa, amplia y exhaustiva del fallo condenatorio; (ii) que el examen recaiga sobre la controversia en sí misma considerada y no primariamente sobre el análisis que de dicha situación realizó el juez que condenó (esto último es secundario); y (iii) que el recurso no esté sujeto a causales cerradas de procedencia.</w:t>
      </w:r>
      <w:r w:rsidRPr="00B56F80">
        <w:rPr>
          <w:rFonts w:ascii="Arial Narrow" w:hAnsi="Arial Narrow" w:cstheme="minorHAnsi"/>
          <w:i/>
          <w:color w:val="000000" w:themeColor="text1"/>
          <w:sz w:val="24"/>
          <w:szCs w:val="24"/>
        </w:rPr>
        <w:t>”</w:t>
      </w:r>
    </w:p>
    <w:p w14:paraId="3DB99E77" w14:textId="77777777" w:rsidR="006F464D" w:rsidRPr="00B56F80" w:rsidRDefault="006F464D" w:rsidP="00D02EBC">
      <w:pPr>
        <w:spacing w:after="0"/>
        <w:ind w:left="426"/>
        <w:jc w:val="both"/>
        <w:rPr>
          <w:rFonts w:ascii="Arial Narrow" w:hAnsi="Arial Narrow" w:cstheme="minorHAnsi"/>
          <w:i/>
          <w:color w:val="000000" w:themeColor="text1"/>
          <w:sz w:val="24"/>
          <w:szCs w:val="24"/>
        </w:rPr>
      </w:pPr>
    </w:p>
    <w:p w14:paraId="67BBAA44" w14:textId="1B68B03D" w:rsidR="00213C16" w:rsidRPr="00B56F80" w:rsidRDefault="003067C8" w:rsidP="00D02EBC">
      <w:pPr>
        <w:spacing w:after="0"/>
        <w:ind w:left="426"/>
        <w:jc w:val="both"/>
        <w:rPr>
          <w:rFonts w:ascii="Arial Narrow" w:hAnsi="Arial Narrow" w:cstheme="minorHAnsi"/>
          <w:i/>
          <w:iCs/>
          <w:color w:val="000000" w:themeColor="text1"/>
          <w:sz w:val="24"/>
          <w:szCs w:val="24"/>
        </w:rPr>
      </w:pPr>
      <w:r w:rsidRPr="00B56F80">
        <w:rPr>
          <w:rFonts w:ascii="Arial Narrow" w:hAnsi="Arial Narrow" w:cstheme="minorHAnsi"/>
          <w:i/>
          <w:color w:val="000000" w:themeColor="text1"/>
          <w:sz w:val="24"/>
          <w:szCs w:val="24"/>
        </w:rPr>
        <w:t>Se concluyó, entonces, que “</w:t>
      </w:r>
      <w:r w:rsidRPr="00B56F80">
        <w:rPr>
          <w:rFonts w:ascii="Arial Narrow" w:hAnsi="Arial Narrow" w:cstheme="minorHAnsi"/>
          <w:i/>
          <w:iCs/>
          <w:color w:val="000000" w:themeColor="text1"/>
          <w:sz w:val="24"/>
          <w:szCs w:val="24"/>
        </w:rPr>
        <w:t>se configura una omisión legislativa en el régimen procesal penal previsto en la Ley 906 de 2004, por la inexistencia de un recurso idóneo que materialice el derecho a la impugnación en todos aquellos casos en que, en el marco de un proceso penal, el juez de primera instancia absuelve el condenado, y el juez de segunda instancia revoca el fallo anterior e impone por primera vez una condena.”</w:t>
      </w:r>
      <w:r w:rsidRPr="00B56F80">
        <w:rPr>
          <w:rFonts w:ascii="Arial Narrow" w:hAnsi="Arial Narrow" w:cstheme="minorHAnsi"/>
          <w:i/>
          <w:color w:val="000000" w:themeColor="text1"/>
          <w:sz w:val="24"/>
          <w:szCs w:val="24"/>
        </w:rPr>
        <w:t> Ante este panorama, consideró que el elemento que se extraña constituye un elemento estructural del diseño del proceso penal, que “</w:t>
      </w:r>
      <w:r w:rsidRPr="00B56F80">
        <w:rPr>
          <w:rFonts w:ascii="Arial Narrow" w:hAnsi="Arial Narrow" w:cstheme="minorHAnsi"/>
          <w:i/>
          <w:iCs/>
          <w:color w:val="000000" w:themeColor="text1"/>
          <w:sz w:val="24"/>
          <w:szCs w:val="24"/>
        </w:rPr>
        <w:t xml:space="preserve">se proyecta en toda la normativa procesal penal, </w:t>
      </w:r>
      <w:r w:rsidR="00982933" w:rsidRPr="00B56F80">
        <w:rPr>
          <w:rFonts w:ascii="Arial Narrow" w:hAnsi="Arial Narrow" w:cstheme="minorHAnsi"/>
          <w:i/>
          <w:iCs/>
          <w:color w:val="000000" w:themeColor="text1"/>
          <w:sz w:val="24"/>
          <w:szCs w:val="24"/>
        </w:rPr>
        <w:t>y,</w:t>
      </w:r>
      <w:r w:rsidRPr="00B56F80">
        <w:rPr>
          <w:rFonts w:ascii="Arial Narrow" w:hAnsi="Arial Narrow" w:cstheme="minorHAnsi"/>
          <w:i/>
          <w:iCs/>
          <w:color w:val="000000" w:themeColor="text1"/>
          <w:sz w:val="24"/>
          <w:szCs w:val="24"/>
        </w:rPr>
        <w:t xml:space="preserve"> además, implica el rediseño de una amplia gama de instituciones. Es así como este elemento tiene una repercusión directa en el esquema del proceso penal, en las competencias de los órganos jurisdiccionales y en el alcance de otros recursos.”</w:t>
      </w:r>
    </w:p>
    <w:p w14:paraId="62142D6E" w14:textId="77777777" w:rsidR="006F464D" w:rsidRPr="00B56F80" w:rsidRDefault="006F464D" w:rsidP="00D02EBC">
      <w:pPr>
        <w:spacing w:after="0"/>
        <w:ind w:left="426"/>
        <w:jc w:val="both"/>
        <w:rPr>
          <w:rFonts w:ascii="Arial Narrow" w:hAnsi="Arial Narrow" w:cstheme="minorHAnsi"/>
          <w:i/>
          <w:color w:val="000000" w:themeColor="text1"/>
          <w:sz w:val="24"/>
          <w:szCs w:val="24"/>
        </w:rPr>
      </w:pPr>
    </w:p>
    <w:p w14:paraId="0B69AFCE" w14:textId="237C62CD" w:rsidR="00AE6A36" w:rsidRPr="00B56F80" w:rsidRDefault="00AE6A36"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Por lo tanto, el legislador atendiendo el precepto de la Corte Constitucional y dentro del marco de sus competencias modificó los artículos 186, 234 y 235 de la Constitución Política e implementó el derecho a la doble instancia y a impugnar la primera sentencia condenatoria mediante el Acto Legislativo No. 01 de enero de 2018. </w:t>
      </w:r>
    </w:p>
    <w:p w14:paraId="75E7099E" w14:textId="77777777" w:rsidR="006F464D" w:rsidRPr="00B56F80" w:rsidRDefault="006F464D" w:rsidP="00D02EBC">
      <w:pPr>
        <w:spacing w:after="0"/>
        <w:ind w:left="426"/>
        <w:jc w:val="both"/>
        <w:rPr>
          <w:rFonts w:ascii="Arial Narrow" w:hAnsi="Arial Narrow" w:cstheme="minorHAnsi"/>
          <w:color w:val="000000" w:themeColor="text1"/>
          <w:sz w:val="24"/>
          <w:szCs w:val="24"/>
        </w:rPr>
      </w:pPr>
    </w:p>
    <w:p w14:paraId="5B536514" w14:textId="1A56A7F0" w:rsidR="008A5C9C" w:rsidRPr="00B56F80" w:rsidRDefault="007F3C42"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Sin </w:t>
      </w:r>
      <w:r w:rsidR="008A5C9C" w:rsidRPr="00B56F80">
        <w:rPr>
          <w:rFonts w:ascii="Arial Narrow" w:hAnsi="Arial Narrow" w:cstheme="minorHAnsi"/>
          <w:color w:val="000000" w:themeColor="text1"/>
          <w:sz w:val="24"/>
          <w:szCs w:val="24"/>
        </w:rPr>
        <w:t>embargo,</w:t>
      </w:r>
      <w:r w:rsidRPr="00B56F80">
        <w:rPr>
          <w:rFonts w:ascii="Arial Narrow" w:hAnsi="Arial Narrow" w:cstheme="minorHAnsi"/>
          <w:color w:val="000000" w:themeColor="text1"/>
          <w:sz w:val="24"/>
          <w:szCs w:val="24"/>
        </w:rPr>
        <w:t xml:space="preserve"> las sentencias de tutela proferidas por la Sala Plena de la Corte Con</w:t>
      </w:r>
      <w:r w:rsidR="008A5C9C" w:rsidRPr="00B56F80">
        <w:rPr>
          <w:rFonts w:ascii="Arial Narrow" w:hAnsi="Arial Narrow" w:cstheme="minorHAnsi"/>
          <w:color w:val="000000" w:themeColor="text1"/>
          <w:sz w:val="24"/>
          <w:szCs w:val="24"/>
        </w:rPr>
        <w:t>stitucional con posterioridad al Acto Legislativo 01 de 2018, fueron objeto de profundo análisis para el caso en concreto.</w:t>
      </w:r>
    </w:p>
    <w:p w14:paraId="7458EB0E" w14:textId="7C0CEBEE" w:rsidR="008A5C9C" w:rsidRPr="00B56F80" w:rsidRDefault="008A5C9C" w:rsidP="00D02EBC">
      <w:pPr>
        <w:pStyle w:val="ListParagraph"/>
        <w:numPr>
          <w:ilvl w:val="0"/>
          <w:numId w:val="2"/>
        </w:numPr>
        <w:tabs>
          <w:tab w:val="left" w:pos="851"/>
        </w:tabs>
        <w:spacing w:after="0"/>
        <w:ind w:left="851" w:hanging="425"/>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Sentencia SU-217 de 2018 la Corporación analizó un caso en el que la condena penal se dio en segunda instancia por un Tribunal Superior del Distrito, providencia del 28 de junio de 2016, en el marco de un proceso adelantado en vigencia de la Ley 600 de 2000. En esta decisión, contrario al alcance dado en la Sentencia SU-215 de 2016, se consideró que la orden impartida en la providencia C-792 de 2014 sí debía extenderse a todos los procesos en los que se aplica la garantía de la impugnación. Se refirió a decisiones de la Corte Interamericana de Derechos Humanos e incluso a la fuerza vinculante de los conceptos proferidos por el Comité de Derechos Humanos en casos como el que ahora ventila esta Sala. Por lo anterior, en la decisión se accedió al amparo solicitado y se exhortó nuevamente al Congreso a desarrollar el Acto Legislativo y proferir la ley que materialice adecuadamente el derecho a la doble conformidad.</w:t>
      </w:r>
    </w:p>
    <w:p w14:paraId="0A427C0D" w14:textId="77777777" w:rsidR="0014280C" w:rsidRPr="00B56F80" w:rsidRDefault="0014280C" w:rsidP="00D02EBC">
      <w:pPr>
        <w:pStyle w:val="ListParagraph"/>
        <w:tabs>
          <w:tab w:val="left" w:pos="851"/>
        </w:tabs>
        <w:spacing w:after="0"/>
        <w:ind w:left="851" w:hanging="425"/>
        <w:jc w:val="both"/>
        <w:rPr>
          <w:rFonts w:ascii="Arial Narrow" w:hAnsi="Arial Narrow" w:cstheme="minorHAnsi"/>
          <w:color w:val="000000" w:themeColor="text1"/>
          <w:sz w:val="24"/>
          <w:szCs w:val="24"/>
        </w:rPr>
      </w:pPr>
    </w:p>
    <w:p w14:paraId="4AFBF11B" w14:textId="20D66005" w:rsidR="000E6565" w:rsidRPr="00B56F80" w:rsidRDefault="008A5C9C" w:rsidP="00D02EBC">
      <w:pPr>
        <w:pStyle w:val="ListParagraph"/>
        <w:numPr>
          <w:ilvl w:val="0"/>
          <w:numId w:val="2"/>
        </w:numPr>
        <w:tabs>
          <w:tab w:val="left" w:pos="851"/>
        </w:tabs>
        <w:spacing w:after="0"/>
        <w:ind w:left="851" w:hanging="425"/>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Sentencia SU - 218 de 2019 se resolvió un caso en el que la condena penal por primera vez se dio en sede de casación, mediante fallo del 14 de marzo de 2018. La Sala Plena de la Corte Constitucional revocó las decisiones de instancia, que declararon improcedente el amparo por no satisfacer el requisito de subsidiariedad, para, en su lugar, declarar la carencia actual de objeto. Lo anterior, en razón a que en el curso del trámite de revisión se verificó que la autoridad demandada adoptó las medidas necesarias y conducentes para conceder el mecanismo especial de impugnación. No obstante, se realizó nuevamente un requerimiento para que el Congreso de la República tramite la ley que contenga todos los elementos que garanticen la impugnación.</w:t>
      </w:r>
    </w:p>
    <w:p w14:paraId="1E129555" w14:textId="77777777" w:rsidR="00982933" w:rsidRPr="00B56F80" w:rsidRDefault="00982933" w:rsidP="00D02EBC">
      <w:pPr>
        <w:pStyle w:val="ListParagraph"/>
        <w:tabs>
          <w:tab w:val="left" w:pos="851"/>
        </w:tabs>
        <w:ind w:left="851" w:hanging="425"/>
        <w:rPr>
          <w:rFonts w:ascii="Arial Narrow" w:hAnsi="Arial Narrow" w:cstheme="minorHAnsi"/>
          <w:color w:val="000000" w:themeColor="text1"/>
          <w:sz w:val="24"/>
          <w:szCs w:val="24"/>
        </w:rPr>
      </w:pPr>
    </w:p>
    <w:p w14:paraId="5AEEDA40" w14:textId="5181EE78" w:rsidR="008A5C9C" w:rsidRPr="00B56F80" w:rsidRDefault="008A5C9C" w:rsidP="00D02EBC">
      <w:pPr>
        <w:pStyle w:val="ListParagraph"/>
        <w:numPr>
          <w:ilvl w:val="0"/>
          <w:numId w:val="2"/>
        </w:numPr>
        <w:tabs>
          <w:tab w:val="left" w:pos="851"/>
        </w:tabs>
        <w:spacing w:after="0"/>
        <w:ind w:left="851" w:hanging="425"/>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Sentencia SU-373 de 2019 la Corporación resolvió la reclamación de un </w:t>
      </w:r>
      <w:r w:rsidR="00982933" w:rsidRPr="00B56F80">
        <w:rPr>
          <w:rFonts w:ascii="Arial Narrow" w:hAnsi="Arial Narrow" w:cstheme="minorHAnsi"/>
          <w:color w:val="000000" w:themeColor="text1"/>
          <w:sz w:val="24"/>
          <w:szCs w:val="24"/>
        </w:rPr>
        <w:t>excongresista</w:t>
      </w:r>
      <w:r w:rsidRPr="00B56F80">
        <w:rPr>
          <w:rFonts w:ascii="Arial Narrow" w:hAnsi="Arial Narrow" w:cstheme="minorHAnsi"/>
          <w:color w:val="000000" w:themeColor="text1"/>
          <w:sz w:val="24"/>
          <w:szCs w:val="24"/>
        </w:rPr>
        <w:t xml:space="preserve"> condenado en única instancia, el 31 de mayo de 2018, por la Sala de Casación Penal de la Corte Suprema de Justicia, a quien se le negó la posibilidad de impugnar tal decisión. La autoridad judicial demandada adujo que (i) pese a encontrarse en vigencia el Acto Legislativo 01 de 2018, los magistrados de las nuevas salas no estaban posesionados y, por lo tanto, era imposible acceder a lo pedido; mientras que, de otro lado, (ii) existía una obligación ineludible de resolver el asunto, por el deber de administrar justicia y garantizar, entre otros, el derecho al debido proceso del inculpado, además de que la Ley 600 de 2000 no preveía circunstancias que permitieran la suspensión del juicio por los motivos que se presentaban. El Ministerio Publico sostuvo que el Acto Legislativo 01 de </w:t>
      </w:r>
      <w:r w:rsidR="00464F54" w:rsidRPr="00B56F80">
        <w:rPr>
          <w:rFonts w:ascii="Arial Narrow" w:hAnsi="Arial Narrow" w:cstheme="minorHAnsi"/>
          <w:color w:val="000000" w:themeColor="text1"/>
          <w:sz w:val="24"/>
          <w:szCs w:val="24"/>
        </w:rPr>
        <w:t>2018:</w:t>
      </w:r>
      <w:r w:rsidRPr="00B56F80">
        <w:rPr>
          <w:rFonts w:ascii="Arial Narrow" w:hAnsi="Arial Narrow" w:cstheme="minorHAnsi"/>
          <w:color w:val="000000" w:themeColor="text1"/>
          <w:sz w:val="24"/>
          <w:szCs w:val="24"/>
        </w:rPr>
        <w:t xml:space="preserve"> (i) no estaba produciendo todos sus efectos, pues para ello se requería la implementación de una serie de medidas y, (i) no era aplicable al caso, pues, en atención al </w:t>
      </w:r>
      <w:r w:rsidR="00464F54" w:rsidRPr="00B56F80">
        <w:rPr>
          <w:rFonts w:ascii="Arial Narrow" w:hAnsi="Arial Narrow" w:cstheme="minorHAnsi"/>
          <w:color w:val="000000" w:themeColor="text1"/>
          <w:sz w:val="24"/>
          <w:szCs w:val="24"/>
        </w:rPr>
        <w:t>artículo</w:t>
      </w:r>
      <w:r w:rsidRPr="00B56F80">
        <w:rPr>
          <w:rFonts w:ascii="Arial Narrow" w:hAnsi="Arial Narrow" w:cstheme="minorHAnsi"/>
          <w:color w:val="000000" w:themeColor="text1"/>
          <w:sz w:val="24"/>
          <w:szCs w:val="24"/>
        </w:rPr>
        <w:t xml:space="preserve"> 40 de la Ley 153 de 1883, las investigaciones y juicios que comenzaron antes de la reforma debían continuar rigiéndose por los mandatos aplicables al momento de su iniciación. Para su análisis la </w:t>
      </w:r>
      <w:r w:rsidR="00464F54" w:rsidRPr="00B56F80">
        <w:rPr>
          <w:rFonts w:ascii="Arial Narrow" w:hAnsi="Arial Narrow" w:cstheme="minorHAnsi"/>
          <w:color w:val="000000" w:themeColor="text1"/>
          <w:sz w:val="24"/>
          <w:szCs w:val="24"/>
        </w:rPr>
        <w:t>Sala Plena tuv</w:t>
      </w:r>
      <w:r w:rsidR="0014280C" w:rsidRPr="00B56F80">
        <w:rPr>
          <w:rFonts w:ascii="Arial Narrow" w:hAnsi="Arial Narrow" w:cstheme="minorHAnsi"/>
          <w:color w:val="000000" w:themeColor="text1"/>
          <w:sz w:val="24"/>
          <w:szCs w:val="24"/>
        </w:rPr>
        <w:t>o en cuenta varios presupuestos:</w:t>
      </w:r>
    </w:p>
    <w:p w14:paraId="61F9A3A5" w14:textId="77777777" w:rsidR="00982933" w:rsidRPr="00B56F80" w:rsidRDefault="00982933" w:rsidP="00D02EBC">
      <w:pPr>
        <w:tabs>
          <w:tab w:val="left" w:pos="851"/>
        </w:tabs>
        <w:spacing w:after="0"/>
        <w:ind w:left="851" w:hanging="425"/>
        <w:jc w:val="both"/>
        <w:rPr>
          <w:rFonts w:ascii="Arial Narrow" w:hAnsi="Arial Narrow" w:cstheme="minorHAnsi"/>
          <w:color w:val="000000" w:themeColor="text1"/>
          <w:sz w:val="24"/>
          <w:szCs w:val="24"/>
        </w:rPr>
      </w:pPr>
    </w:p>
    <w:p w14:paraId="4FEBE243" w14:textId="4107D01A" w:rsidR="00464F54" w:rsidRPr="00B56F80" w:rsidRDefault="00464F54" w:rsidP="00D02EBC">
      <w:pPr>
        <w:tabs>
          <w:tab w:val="left" w:pos="1134"/>
        </w:tabs>
        <w:spacing w:after="0"/>
        <w:ind w:left="1134"/>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Primero, el reconocimiento a partir de la Sentencia C-792 de 2014, tras la influencia de lo sostenido por los órganos de los sistemas universal Y Regional de derechos humanos. De un derecho subjetivo constitucional y convencional a la impugnación de la primera sentencia condenatoria, incluida la expedida en el marco de procesos de única instancia, a través de un recurso que no necesariamente </w:t>
      </w:r>
      <w:r w:rsidR="00001F86" w:rsidRPr="00B56F80">
        <w:rPr>
          <w:rFonts w:ascii="Arial Narrow" w:hAnsi="Arial Narrow" w:cstheme="minorHAnsi"/>
          <w:color w:val="000000" w:themeColor="text1"/>
          <w:sz w:val="24"/>
          <w:szCs w:val="24"/>
        </w:rPr>
        <w:t>está</w:t>
      </w:r>
      <w:r w:rsidRPr="00B56F80">
        <w:rPr>
          <w:rFonts w:ascii="Arial Narrow" w:hAnsi="Arial Narrow" w:cstheme="minorHAnsi"/>
          <w:color w:val="000000" w:themeColor="text1"/>
          <w:sz w:val="24"/>
          <w:szCs w:val="24"/>
        </w:rPr>
        <w:t xml:space="preserve"> a cargo de un superior funcional pero que, en todo caso, debe permitir analizar los aspectos facticos, probatorios y normativos del asunto. </w:t>
      </w:r>
      <w:r w:rsidR="00001F86" w:rsidRPr="00B56F80">
        <w:rPr>
          <w:rFonts w:ascii="Arial Narrow" w:hAnsi="Arial Narrow" w:cstheme="minorHAnsi"/>
          <w:color w:val="000000" w:themeColor="text1"/>
          <w:sz w:val="24"/>
          <w:szCs w:val="24"/>
        </w:rPr>
        <w:t>D</w:t>
      </w:r>
      <w:r w:rsidR="00713B88" w:rsidRPr="00B56F80">
        <w:rPr>
          <w:rFonts w:ascii="Arial Narrow" w:hAnsi="Arial Narrow" w:cstheme="minorHAnsi"/>
          <w:color w:val="000000" w:themeColor="text1"/>
          <w:sz w:val="24"/>
          <w:szCs w:val="24"/>
        </w:rPr>
        <w:t>esta</w:t>
      </w:r>
      <w:r w:rsidR="00001F86" w:rsidRPr="00B56F80">
        <w:rPr>
          <w:rFonts w:ascii="Arial Narrow" w:hAnsi="Arial Narrow" w:cstheme="minorHAnsi"/>
          <w:color w:val="000000" w:themeColor="text1"/>
          <w:sz w:val="24"/>
          <w:szCs w:val="24"/>
        </w:rPr>
        <w:t>có que para los aforados constitucionales esta garantía exigía la adaptación del sistema normativo mediante una reforma constitucional, la cual se materializó a través del Acto Legislativo 01 de 2018, avanzando así en la dimensión objetiva del derecho.</w:t>
      </w:r>
    </w:p>
    <w:p w14:paraId="63C74325" w14:textId="77777777" w:rsidR="00982933" w:rsidRPr="00B56F80" w:rsidRDefault="00982933" w:rsidP="00D02EBC">
      <w:pPr>
        <w:tabs>
          <w:tab w:val="left" w:pos="1134"/>
        </w:tabs>
        <w:spacing w:after="0"/>
        <w:ind w:left="1134"/>
        <w:jc w:val="both"/>
        <w:rPr>
          <w:rFonts w:ascii="Arial Narrow" w:hAnsi="Arial Narrow" w:cstheme="minorHAnsi"/>
          <w:color w:val="000000" w:themeColor="text1"/>
          <w:sz w:val="24"/>
          <w:szCs w:val="24"/>
        </w:rPr>
      </w:pPr>
    </w:p>
    <w:p w14:paraId="27B2EABA" w14:textId="6E67CA24" w:rsidR="00001F86" w:rsidRPr="00B56F80" w:rsidRDefault="00001F86" w:rsidP="00D02EBC">
      <w:pPr>
        <w:tabs>
          <w:tab w:val="left" w:pos="1134"/>
        </w:tabs>
        <w:spacing w:after="0"/>
        <w:ind w:left="1134"/>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Segundo, la fuerza normativa de la Constitución y, por lo tanto, del Acto Legislativo 01 de 2018, la cual se expresa en la eficiencia directa de algunos de sus mandatos, como el de impugnar la primera sentencia condenatoria, agregando que “En todo caso, es preciso tener en cuenta que el alcance de tales derechos dependerá de los supuestos facticos y jurídicos del caso, así como de la razonabilidad de la decisión y del imperativo de que sean garantizados en la mayor medida posible.”</w:t>
      </w:r>
    </w:p>
    <w:p w14:paraId="1EC2AFE8" w14:textId="77777777" w:rsidR="00982933" w:rsidRPr="00B56F80" w:rsidRDefault="00982933" w:rsidP="00D02EBC">
      <w:pPr>
        <w:tabs>
          <w:tab w:val="left" w:pos="1134"/>
        </w:tabs>
        <w:spacing w:after="0"/>
        <w:ind w:left="1134"/>
        <w:jc w:val="both"/>
        <w:rPr>
          <w:rFonts w:ascii="Arial Narrow" w:hAnsi="Arial Narrow" w:cstheme="minorHAnsi"/>
          <w:color w:val="000000" w:themeColor="text1"/>
          <w:sz w:val="24"/>
          <w:szCs w:val="24"/>
        </w:rPr>
      </w:pPr>
    </w:p>
    <w:p w14:paraId="37704BB5" w14:textId="2DE30F41" w:rsidR="00001F86" w:rsidRPr="00B56F80" w:rsidRDefault="00001F86" w:rsidP="00D02EBC">
      <w:pPr>
        <w:tabs>
          <w:tab w:val="left" w:pos="1134"/>
        </w:tabs>
        <w:spacing w:after="0"/>
        <w:ind w:left="1134"/>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Tercero, el principio de legalidad en materia penal exige la preexistencia de normas que establezcan principalmente los delitos y las penas. </w:t>
      </w:r>
      <w:r w:rsidR="00034F7F" w:rsidRPr="00B56F80">
        <w:rPr>
          <w:rFonts w:ascii="Arial Narrow" w:hAnsi="Arial Narrow" w:cstheme="minorHAnsi"/>
          <w:color w:val="000000" w:themeColor="text1"/>
          <w:sz w:val="24"/>
          <w:szCs w:val="24"/>
        </w:rPr>
        <w:t>En punto de aplicación normativa, además, debe tenerse en cuenta que las reglas de procedimiento tienen aplicación inmediata, sin que sea dable afirmar que se desconoce el principio referido; no obstante, advierte que el proceso penal no es un rito tras otro, sino un instrumento para materializar normas sustanciales y derechos subjetivos; y, que el principio de favorabilidad, como elemento esencial del derecho al debido proceso “ es una excepción de naturaleza constitucional al efecto general inmediato de las disposiciones procesales y al principio de irretroactividad de la ley penal, que no puede ser desconocido por el juez, en la aplicación de preceptos sustanciales o procesales, bajo ninguna circunstancia.”</w:t>
      </w:r>
    </w:p>
    <w:p w14:paraId="7ACCFE63" w14:textId="77777777" w:rsidR="00982933" w:rsidRPr="00B56F80" w:rsidRDefault="00982933" w:rsidP="00897250">
      <w:pPr>
        <w:spacing w:after="0"/>
        <w:jc w:val="both"/>
        <w:rPr>
          <w:rFonts w:ascii="Arial Narrow" w:hAnsi="Arial Narrow" w:cstheme="minorHAnsi"/>
          <w:color w:val="000000" w:themeColor="text1"/>
          <w:sz w:val="24"/>
          <w:szCs w:val="24"/>
        </w:rPr>
      </w:pPr>
    </w:p>
    <w:p w14:paraId="1630E3F7" w14:textId="25480AA3" w:rsidR="00464F54" w:rsidRPr="00B56F80" w:rsidRDefault="00034F7F" w:rsidP="00D02EBC">
      <w:pPr>
        <w:spacing w:after="0"/>
        <w:ind w:left="426"/>
        <w:jc w:val="both"/>
        <w:rPr>
          <w:rFonts w:ascii="Arial Narrow" w:hAnsi="Arial Narrow" w:cstheme="minorHAnsi"/>
          <w:color w:val="000000" w:themeColor="text1"/>
          <w:sz w:val="24"/>
          <w:szCs w:val="24"/>
        </w:rPr>
      </w:pPr>
      <w:r w:rsidRPr="00B56F80">
        <w:rPr>
          <w:rFonts w:ascii="Arial Narrow" w:hAnsi="Arial Narrow" w:cstheme="minorHAnsi"/>
          <w:color w:val="000000" w:themeColor="text1"/>
          <w:sz w:val="24"/>
          <w:szCs w:val="24"/>
        </w:rPr>
        <w:t xml:space="preserve">Y es a partir de lo anterior que la Sala Plena consideró que la Sala de Casación Penal de la Corte Suprema de Justicia incurrió en violación directa de la Constitución al negar el trámite de impugnación al actor, porque (i) en vigencia del Acto Legislativo 01 de 2018 y por virtud de su fuerza normativa, debía garantizarse el derecho subjetivo a impugnar la sentencia condenatoria en única instancia, </w:t>
      </w:r>
      <w:r w:rsidR="00D260E9" w:rsidRPr="00B56F80">
        <w:rPr>
          <w:rFonts w:ascii="Arial Narrow" w:hAnsi="Arial Narrow" w:cstheme="minorHAnsi"/>
          <w:color w:val="000000" w:themeColor="text1"/>
          <w:sz w:val="24"/>
          <w:szCs w:val="24"/>
        </w:rPr>
        <w:t>máxime</w:t>
      </w:r>
      <w:r w:rsidRPr="00B56F80">
        <w:rPr>
          <w:rFonts w:ascii="Arial Narrow" w:hAnsi="Arial Narrow" w:cstheme="minorHAnsi"/>
          <w:color w:val="000000" w:themeColor="text1"/>
          <w:sz w:val="24"/>
          <w:szCs w:val="24"/>
        </w:rPr>
        <w:t xml:space="preserve"> cuando esta reforma afirmó que entraba </w:t>
      </w:r>
      <w:r w:rsidR="00D260E9" w:rsidRPr="00B56F80">
        <w:rPr>
          <w:rFonts w:ascii="Arial Narrow" w:hAnsi="Arial Narrow" w:cstheme="minorHAnsi"/>
          <w:color w:val="000000" w:themeColor="text1"/>
          <w:sz w:val="24"/>
          <w:szCs w:val="24"/>
        </w:rPr>
        <w:t>en vigencia a partir de su promulgación; y porque, además, (ii) este Acto Legislativo establece formas de actuación para reclamar un derecho sustancial, aunque tenga una connotación procesal, por lo cual era inmediatamente exigible y afectaba el trámite en curso del accionante.</w:t>
      </w:r>
    </w:p>
    <w:p w14:paraId="57CCCDA1" w14:textId="77777777" w:rsidR="00982933" w:rsidRPr="00B56F80" w:rsidRDefault="00982933" w:rsidP="00D02EBC">
      <w:pPr>
        <w:spacing w:after="0"/>
        <w:ind w:left="426"/>
        <w:jc w:val="both"/>
        <w:rPr>
          <w:rFonts w:ascii="Arial Narrow" w:hAnsi="Arial Narrow" w:cstheme="minorHAnsi"/>
          <w:color w:val="000000" w:themeColor="text1"/>
          <w:sz w:val="24"/>
          <w:szCs w:val="24"/>
        </w:rPr>
      </w:pPr>
    </w:p>
    <w:p w14:paraId="708A21F0" w14:textId="66F97F17" w:rsidR="00AE6A36" w:rsidRPr="00B56F80" w:rsidRDefault="00AE6A36" w:rsidP="00D02EBC">
      <w:pPr>
        <w:spacing w:after="0"/>
        <w:ind w:left="426"/>
        <w:jc w:val="both"/>
        <w:rPr>
          <w:rFonts w:ascii="Arial Narrow" w:hAnsi="Arial Narrow" w:cstheme="minorHAnsi"/>
          <w:color w:val="000000" w:themeColor="text1"/>
          <w:sz w:val="24"/>
          <w:szCs w:val="24"/>
          <w:shd w:val="clear" w:color="auto" w:fill="FFFFFF"/>
        </w:rPr>
      </w:pPr>
      <w:r w:rsidRPr="00B56F80">
        <w:rPr>
          <w:rFonts w:ascii="Arial Narrow" w:hAnsi="Arial Narrow" w:cstheme="minorHAnsi"/>
          <w:color w:val="000000" w:themeColor="text1"/>
          <w:sz w:val="24"/>
          <w:szCs w:val="24"/>
        </w:rPr>
        <w:t>Esta modificación tiene intrínseco el</w:t>
      </w:r>
      <w:r w:rsidRPr="00B56F80">
        <w:rPr>
          <w:rFonts w:ascii="Arial Narrow" w:hAnsi="Arial Narrow" w:cstheme="minorHAnsi"/>
          <w:color w:val="000000" w:themeColor="text1"/>
          <w:sz w:val="24"/>
          <w:szCs w:val="24"/>
          <w:shd w:val="clear" w:color="auto" w:fill="FFFFFF"/>
        </w:rPr>
        <w:t xml:space="preserve"> principio universal de retroactividad penal por favorabilidad y en este sentido, la Carta Política, en su artículo 29 consagra que: “</w:t>
      </w:r>
      <w:r w:rsidRPr="00B56F80">
        <w:rPr>
          <w:rFonts w:ascii="Arial Narrow" w:hAnsi="Arial Narrow" w:cstheme="minorHAnsi"/>
          <w:i/>
          <w:color w:val="000000" w:themeColor="text1"/>
          <w:sz w:val="24"/>
          <w:szCs w:val="24"/>
          <w:shd w:val="clear" w:color="auto" w:fill="FFFFFF"/>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w:t>
      </w:r>
      <w:r w:rsidRPr="00B56F80">
        <w:rPr>
          <w:rFonts w:ascii="Arial Narrow" w:hAnsi="Arial Narrow" w:cstheme="minorHAnsi"/>
          <w:color w:val="000000" w:themeColor="text1"/>
          <w:sz w:val="24"/>
          <w:szCs w:val="24"/>
          <w:shd w:val="clear" w:color="auto" w:fill="FFFFFF"/>
        </w:rPr>
        <w:t xml:space="preserve"> </w:t>
      </w:r>
    </w:p>
    <w:p w14:paraId="0C8D7AE3" w14:textId="77777777" w:rsidR="00982933" w:rsidRPr="00B56F80" w:rsidRDefault="00982933" w:rsidP="00D02EBC">
      <w:pPr>
        <w:spacing w:after="0"/>
        <w:ind w:left="426"/>
        <w:jc w:val="both"/>
        <w:rPr>
          <w:rFonts w:ascii="Arial Narrow" w:hAnsi="Arial Narrow" w:cstheme="minorHAnsi"/>
          <w:color w:val="000000" w:themeColor="text1"/>
          <w:sz w:val="24"/>
          <w:szCs w:val="24"/>
          <w:shd w:val="clear" w:color="auto" w:fill="FFFFFF"/>
        </w:rPr>
      </w:pPr>
    </w:p>
    <w:p w14:paraId="7E44E58D" w14:textId="07E4E4C6" w:rsidR="00AE6A36" w:rsidRPr="00B56F80" w:rsidRDefault="00AE6A36" w:rsidP="00D02EBC">
      <w:pPr>
        <w:spacing w:after="0"/>
        <w:ind w:left="426"/>
        <w:jc w:val="both"/>
        <w:rPr>
          <w:rFonts w:ascii="Arial Narrow" w:hAnsi="Arial Narrow" w:cstheme="minorHAnsi"/>
          <w:color w:val="000000" w:themeColor="text1"/>
          <w:sz w:val="24"/>
          <w:szCs w:val="24"/>
          <w:shd w:val="clear" w:color="auto" w:fill="FFFFFF"/>
        </w:rPr>
      </w:pPr>
      <w:r w:rsidRPr="00B56F80">
        <w:rPr>
          <w:rFonts w:ascii="Arial Narrow" w:hAnsi="Arial Narrow" w:cstheme="minorHAnsi"/>
          <w:color w:val="000000" w:themeColor="text1"/>
          <w:sz w:val="24"/>
          <w:szCs w:val="24"/>
          <w:shd w:val="clear" w:color="auto" w:fill="FFFFFF"/>
        </w:rPr>
        <w:t xml:space="preserve">Es decir que, existe la obligación de aplicar y respetar el principio de favorabilidad, siendo uno de aquellos derechos que integran la personalidad inviolable de todo ciudadano, que no puede ser desconocido por ninguna norma, cualquiera sea la naturaleza de ésta, por lo que una interpretación contraria al </w:t>
      </w:r>
      <w:r w:rsidR="00982933" w:rsidRPr="00B56F80">
        <w:rPr>
          <w:rFonts w:ascii="Arial Narrow" w:hAnsi="Arial Narrow" w:cstheme="minorHAnsi"/>
          <w:color w:val="000000" w:themeColor="text1"/>
          <w:sz w:val="24"/>
          <w:szCs w:val="24"/>
          <w:shd w:val="clear" w:color="auto" w:fill="FFFFFF"/>
        </w:rPr>
        <w:t>mismo</w:t>
      </w:r>
      <w:r w:rsidRPr="00B56F80">
        <w:rPr>
          <w:rFonts w:ascii="Arial Narrow" w:hAnsi="Arial Narrow" w:cstheme="minorHAnsi"/>
          <w:color w:val="000000" w:themeColor="text1"/>
          <w:sz w:val="24"/>
          <w:szCs w:val="24"/>
          <w:shd w:val="clear" w:color="auto" w:fill="FFFFFF"/>
        </w:rPr>
        <w:t xml:space="preserve"> resultaría inconstitucional. </w:t>
      </w:r>
    </w:p>
    <w:p w14:paraId="3F2F4C13" w14:textId="77777777" w:rsidR="00982933" w:rsidRPr="00B56F80" w:rsidRDefault="00982933" w:rsidP="00D02EBC">
      <w:pPr>
        <w:spacing w:after="0"/>
        <w:ind w:left="426"/>
        <w:jc w:val="both"/>
        <w:rPr>
          <w:rFonts w:ascii="Arial Narrow" w:hAnsi="Arial Narrow" w:cstheme="minorHAnsi"/>
          <w:color w:val="000000" w:themeColor="text1"/>
          <w:sz w:val="24"/>
          <w:szCs w:val="24"/>
          <w:shd w:val="clear" w:color="auto" w:fill="FFFFFF"/>
        </w:rPr>
      </w:pPr>
    </w:p>
    <w:p w14:paraId="34274BAF" w14:textId="3985B79F" w:rsidR="00AE6A36" w:rsidRPr="00B56F80" w:rsidRDefault="00AE6A36" w:rsidP="00D02EBC">
      <w:pPr>
        <w:spacing w:after="0"/>
        <w:ind w:left="426"/>
        <w:jc w:val="both"/>
        <w:rPr>
          <w:rFonts w:ascii="Arial Narrow" w:hAnsi="Arial Narrow" w:cstheme="minorHAnsi"/>
          <w:color w:val="000000" w:themeColor="text1"/>
          <w:sz w:val="24"/>
          <w:szCs w:val="24"/>
          <w:shd w:val="clear" w:color="auto" w:fill="FFFFFF"/>
        </w:rPr>
      </w:pPr>
      <w:r w:rsidRPr="00B56F80">
        <w:rPr>
          <w:rFonts w:ascii="Arial Narrow" w:hAnsi="Arial Narrow" w:cstheme="minorHAnsi"/>
          <w:color w:val="000000" w:themeColor="text1"/>
          <w:sz w:val="24"/>
          <w:szCs w:val="24"/>
          <w:shd w:val="clear" w:color="auto" w:fill="FFFFFF"/>
        </w:rPr>
        <w:t>Dicho principio ha sido uno de los postulados generales de los sistemas penales en el mundo, constituyendo un elemento fundamental del debido proceso y como tal, el mismo no puede ser desconocido en ningún escenario legal donde su aplicación sea necesaria para garantizar el debido proceso y asegurar la vigencia de un orden justo.</w:t>
      </w:r>
      <w:r w:rsidRPr="00B56F80">
        <w:rPr>
          <w:rStyle w:val="FootnoteReference"/>
          <w:rFonts w:ascii="Arial Narrow" w:hAnsi="Arial Narrow" w:cstheme="minorHAnsi"/>
          <w:color w:val="000000" w:themeColor="text1"/>
          <w:sz w:val="24"/>
          <w:szCs w:val="24"/>
          <w:shd w:val="clear" w:color="auto" w:fill="FFFFFF"/>
        </w:rPr>
        <w:footnoteReference w:id="1"/>
      </w:r>
      <w:r w:rsidRPr="00B56F80">
        <w:rPr>
          <w:rFonts w:ascii="Arial Narrow" w:hAnsi="Arial Narrow" w:cstheme="minorHAnsi"/>
          <w:color w:val="000000" w:themeColor="text1"/>
          <w:sz w:val="24"/>
          <w:szCs w:val="24"/>
          <w:shd w:val="clear" w:color="auto" w:fill="FFFFFF"/>
        </w:rPr>
        <w:t xml:space="preserve"> </w:t>
      </w:r>
    </w:p>
    <w:p w14:paraId="59E21365" w14:textId="77777777" w:rsidR="00982933" w:rsidRPr="00B56F80" w:rsidRDefault="00982933" w:rsidP="00D02EBC">
      <w:pPr>
        <w:spacing w:after="0"/>
        <w:ind w:left="426"/>
        <w:jc w:val="both"/>
        <w:rPr>
          <w:rFonts w:ascii="Arial Narrow" w:hAnsi="Arial Narrow" w:cstheme="minorHAnsi"/>
          <w:color w:val="000000" w:themeColor="text1"/>
          <w:sz w:val="24"/>
          <w:szCs w:val="24"/>
          <w:shd w:val="clear" w:color="auto" w:fill="FFFFFF"/>
        </w:rPr>
      </w:pPr>
    </w:p>
    <w:p w14:paraId="628F3CFB" w14:textId="510EF237" w:rsidR="00AE6A36" w:rsidRPr="00B56F80" w:rsidRDefault="00AE6A36" w:rsidP="00D02EBC">
      <w:pPr>
        <w:spacing w:after="0"/>
        <w:ind w:left="426"/>
        <w:jc w:val="both"/>
        <w:rPr>
          <w:rFonts w:ascii="Arial Narrow" w:hAnsi="Arial Narrow" w:cstheme="minorHAnsi"/>
          <w:color w:val="000000" w:themeColor="text1"/>
          <w:sz w:val="24"/>
          <w:szCs w:val="24"/>
          <w:shd w:val="clear" w:color="auto" w:fill="FFFFFF"/>
        </w:rPr>
      </w:pPr>
      <w:r w:rsidRPr="00B56F80">
        <w:rPr>
          <w:rFonts w:ascii="Arial Narrow" w:hAnsi="Arial Narrow" w:cstheme="minorHAnsi"/>
          <w:color w:val="000000" w:themeColor="text1"/>
          <w:sz w:val="24"/>
          <w:szCs w:val="24"/>
          <w:shd w:val="clear" w:color="auto" w:fill="FFFFFF"/>
        </w:rPr>
        <w:t>El mencionado principio no puede desconocerse en ninguna circunstancia y ello no solo por ser un mandato constitucional, sino por ser a su vez un mandato de carácter internacional; esto es, por ser un principio también reconocido en tratados internacionales adoptados por Colombia, los cuales integran el bloque de constitucionalidad, son de obligatorio cumplimiento y deben ser empleadas como criterios orientadores y de interpretación, como lo mencionamos anteriormente.</w:t>
      </w:r>
    </w:p>
    <w:p w14:paraId="456F10BB" w14:textId="77777777" w:rsidR="00982933" w:rsidRPr="00B56F80" w:rsidRDefault="00982933" w:rsidP="00D02EBC">
      <w:pPr>
        <w:spacing w:after="0"/>
        <w:ind w:left="426"/>
        <w:jc w:val="both"/>
        <w:rPr>
          <w:rFonts w:ascii="Arial Narrow" w:hAnsi="Arial Narrow" w:cstheme="minorHAnsi"/>
          <w:color w:val="000000" w:themeColor="text1"/>
          <w:sz w:val="24"/>
          <w:szCs w:val="24"/>
          <w:shd w:val="clear" w:color="auto" w:fill="FFFFFF"/>
        </w:rPr>
      </w:pPr>
    </w:p>
    <w:p w14:paraId="2C23632B" w14:textId="50E1AD39" w:rsidR="00AE6A36" w:rsidRPr="00B56F80" w:rsidRDefault="00AE6A36" w:rsidP="00D02EBC">
      <w:pPr>
        <w:spacing w:after="0"/>
        <w:ind w:left="426"/>
        <w:jc w:val="both"/>
        <w:rPr>
          <w:rFonts w:ascii="Arial Narrow" w:hAnsi="Arial Narrow" w:cstheme="minorHAnsi"/>
          <w:color w:val="000000" w:themeColor="text1"/>
          <w:sz w:val="24"/>
          <w:szCs w:val="24"/>
          <w:shd w:val="clear" w:color="auto" w:fill="FFFFFF"/>
        </w:rPr>
      </w:pPr>
      <w:r w:rsidRPr="00B56F80">
        <w:rPr>
          <w:rFonts w:ascii="Arial Narrow" w:hAnsi="Arial Narrow" w:cstheme="minorHAnsi"/>
          <w:color w:val="000000" w:themeColor="text1"/>
          <w:sz w:val="24"/>
          <w:szCs w:val="24"/>
          <w:shd w:val="clear" w:color="auto" w:fill="FFFFFF"/>
        </w:rPr>
        <w:t xml:space="preserve">Igualmente, el principio de favorabilidad, como garantía del proceso y de las actuaciones judiciales y administrativas, tiene desarrollo legal en los artículos 44 de la Ley 153 de 1887, en el artículo 6° del Código Penal (Ley 599 del 2000) y artículo 6° del Código de Procedimiento Penal (Ley 906 del 2004), apareciendo en estos últimos como norma rectora, postulado que no establece salvedad ni excepción alguna. </w:t>
      </w:r>
    </w:p>
    <w:p w14:paraId="7CBF54FF" w14:textId="77777777" w:rsidR="00982933" w:rsidRPr="00B56F80" w:rsidRDefault="00982933" w:rsidP="00D02EBC">
      <w:pPr>
        <w:spacing w:after="0"/>
        <w:ind w:left="426"/>
        <w:jc w:val="both"/>
        <w:rPr>
          <w:rFonts w:ascii="Arial Narrow" w:hAnsi="Arial Narrow" w:cstheme="minorHAnsi"/>
          <w:color w:val="000000" w:themeColor="text1"/>
          <w:sz w:val="24"/>
          <w:szCs w:val="24"/>
          <w:shd w:val="clear" w:color="auto" w:fill="FFFFFF"/>
        </w:rPr>
      </w:pPr>
    </w:p>
    <w:p w14:paraId="64A0375E" w14:textId="0FA2EE94" w:rsidR="00AE6A36" w:rsidRPr="00B56F80" w:rsidRDefault="00AE6A36" w:rsidP="00D02EBC">
      <w:pPr>
        <w:spacing w:after="0"/>
        <w:ind w:left="426"/>
        <w:jc w:val="both"/>
        <w:rPr>
          <w:rFonts w:ascii="Arial Narrow" w:hAnsi="Arial Narrow" w:cstheme="minorHAnsi"/>
          <w:color w:val="000000" w:themeColor="text1"/>
          <w:sz w:val="24"/>
          <w:szCs w:val="24"/>
          <w:shd w:val="clear" w:color="auto" w:fill="FFFFFF"/>
        </w:rPr>
      </w:pPr>
      <w:r w:rsidRPr="00B56F80">
        <w:rPr>
          <w:rFonts w:ascii="Arial Narrow" w:hAnsi="Arial Narrow" w:cstheme="minorHAnsi"/>
          <w:color w:val="000000" w:themeColor="text1"/>
          <w:sz w:val="24"/>
          <w:szCs w:val="24"/>
          <w:shd w:val="clear" w:color="auto" w:fill="FFFFFF"/>
        </w:rPr>
        <w:t xml:space="preserve">De acuerdo con lo anterior, nuestra Carta y las leyes penales consagran de manera expresa el principio de favorabilidad, resaltando el carácter imperativo de dicho postulado; razón por la cual, en presencia de tránsito de leyes o coexistencia de </w:t>
      </w:r>
      <w:r w:rsidR="00982933" w:rsidRPr="00B56F80">
        <w:rPr>
          <w:rFonts w:ascii="Arial Narrow" w:hAnsi="Arial Narrow" w:cstheme="minorHAnsi"/>
          <w:color w:val="000000" w:themeColor="text1"/>
          <w:sz w:val="24"/>
          <w:szCs w:val="24"/>
          <w:shd w:val="clear" w:color="auto" w:fill="FFFFFF"/>
        </w:rPr>
        <w:t>estas</w:t>
      </w:r>
      <w:r w:rsidRPr="00B56F80">
        <w:rPr>
          <w:rFonts w:ascii="Arial Narrow" w:hAnsi="Arial Narrow" w:cstheme="minorHAnsi"/>
          <w:color w:val="000000" w:themeColor="text1"/>
          <w:sz w:val="24"/>
          <w:szCs w:val="24"/>
          <w:shd w:val="clear" w:color="auto" w:fill="FFFFFF"/>
        </w:rPr>
        <w:t xml:space="preserve"> que regulan el mismo supuesto fáctico de diferente forma, se debe optar por la que favorezca al procesado, es decir la ley penal favorable es retroactiva y no hay retroactividad de la ley desfavorable al sindicado. </w:t>
      </w:r>
    </w:p>
    <w:p w14:paraId="73F7B3A5" w14:textId="77777777" w:rsidR="00982933" w:rsidRPr="00B56F80" w:rsidRDefault="00982933" w:rsidP="00D02EBC">
      <w:pPr>
        <w:spacing w:after="0"/>
        <w:ind w:left="426"/>
        <w:jc w:val="both"/>
        <w:rPr>
          <w:rFonts w:ascii="Arial Narrow" w:hAnsi="Arial Narrow" w:cstheme="minorHAnsi"/>
          <w:color w:val="000000" w:themeColor="text1"/>
          <w:sz w:val="24"/>
          <w:szCs w:val="24"/>
          <w:shd w:val="clear" w:color="auto" w:fill="FFFFFF"/>
        </w:rPr>
      </w:pPr>
    </w:p>
    <w:p w14:paraId="71790DAD" w14:textId="1311E7B5" w:rsidR="00AE6A36" w:rsidRPr="00B56F80" w:rsidRDefault="000D4008" w:rsidP="00D02EBC">
      <w:pPr>
        <w:spacing w:after="0"/>
        <w:ind w:left="426"/>
        <w:jc w:val="both"/>
        <w:rPr>
          <w:rFonts w:ascii="Arial Narrow" w:hAnsi="Arial Narrow"/>
          <w:sz w:val="24"/>
          <w:szCs w:val="24"/>
        </w:rPr>
      </w:pPr>
      <w:r w:rsidRPr="00B56F80">
        <w:rPr>
          <w:rFonts w:ascii="Arial Narrow" w:hAnsi="Arial Narrow"/>
          <w:sz w:val="24"/>
          <w:szCs w:val="24"/>
        </w:rPr>
        <w:t xml:space="preserve"> </w:t>
      </w:r>
      <w:r w:rsidR="00AE6A36" w:rsidRPr="00B56F80">
        <w:rPr>
          <w:rFonts w:ascii="Arial Narrow" w:hAnsi="Arial Narrow"/>
          <w:sz w:val="24"/>
          <w:szCs w:val="24"/>
        </w:rPr>
        <w:t xml:space="preserve">Ahora bien, teniendo en cuenta lo anterior y en cumplimiento de la orden emitida por el máximo órgano de interpretación de la Carta Política, la Corte Constitucional, en observancia de la línea jurisprudencial iniciada en la sentencia C - </w:t>
      </w:r>
      <w:r w:rsidR="0025784A" w:rsidRPr="00B56F80">
        <w:rPr>
          <w:rFonts w:ascii="Arial Narrow" w:hAnsi="Arial Narrow"/>
          <w:sz w:val="24"/>
          <w:szCs w:val="24"/>
        </w:rPr>
        <w:t xml:space="preserve">792 del 2014 y ratificada en la reciente Sentencia de </w:t>
      </w:r>
      <w:r w:rsidR="00B56F80" w:rsidRPr="00B56F80">
        <w:rPr>
          <w:rFonts w:ascii="Arial Narrow" w:hAnsi="Arial Narrow"/>
          <w:sz w:val="24"/>
          <w:szCs w:val="24"/>
        </w:rPr>
        <w:t>Unificación</w:t>
      </w:r>
      <w:r w:rsidR="0025784A" w:rsidRPr="00B56F80">
        <w:rPr>
          <w:rFonts w:ascii="Arial Narrow" w:hAnsi="Arial Narrow"/>
          <w:sz w:val="24"/>
          <w:szCs w:val="24"/>
        </w:rPr>
        <w:t xml:space="preserve"> SU – 146 de 2020</w:t>
      </w:r>
      <w:r w:rsidR="00AE6A36" w:rsidRPr="00B56F80">
        <w:rPr>
          <w:rFonts w:ascii="Arial Narrow" w:hAnsi="Arial Narrow"/>
          <w:sz w:val="24"/>
          <w:szCs w:val="24"/>
        </w:rPr>
        <w:t xml:space="preserve">, manifestó la necesidad de definir la forma que garantice el derecho de impugnación de la sentencia condenatoria de primera instancia. </w:t>
      </w:r>
    </w:p>
    <w:p w14:paraId="0AA69E89" w14:textId="77777777" w:rsidR="00982933" w:rsidRPr="00B56F80" w:rsidRDefault="00982933" w:rsidP="00D02EBC">
      <w:pPr>
        <w:spacing w:after="0"/>
        <w:ind w:left="426"/>
        <w:jc w:val="both"/>
        <w:rPr>
          <w:rFonts w:ascii="Arial Narrow" w:hAnsi="Arial Narrow"/>
          <w:sz w:val="24"/>
          <w:szCs w:val="24"/>
        </w:rPr>
      </w:pPr>
    </w:p>
    <w:p w14:paraId="71D224C2" w14:textId="351C9D47" w:rsidR="00A809E9" w:rsidRPr="00B56F80" w:rsidRDefault="00AE6A36" w:rsidP="00D02EBC">
      <w:pPr>
        <w:spacing w:after="0"/>
        <w:ind w:left="426"/>
        <w:jc w:val="both"/>
        <w:rPr>
          <w:rFonts w:ascii="Arial Narrow" w:hAnsi="Arial Narrow"/>
          <w:i/>
          <w:sz w:val="24"/>
          <w:szCs w:val="24"/>
        </w:rPr>
      </w:pPr>
      <w:r w:rsidRPr="00B56F80">
        <w:rPr>
          <w:rFonts w:ascii="Arial Narrow" w:hAnsi="Arial Narrow"/>
          <w:sz w:val="24"/>
          <w:szCs w:val="24"/>
        </w:rPr>
        <w:t xml:space="preserve">En este sentido, el fallo de la Corte Constitucional SU - 217 del 2019, </w:t>
      </w:r>
      <w:r w:rsidR="002B4E18" w:rsidRPr="00B56F80">
        <w:rPr>
          <w:rFonts w:ascii="Arial Narrow" w:hAnsi="Arial Narrow"/>
          <w:sz w:val="24"/>
          <w:szCs w:val="24"/>
        </w:rPr>
        <w:t>s</w:t>
      </w:r>
      <w:r w:rsidR="006266F1" w:rsidRPr="00B56F80">
        <w:rPr>
          <w:rFonts w:ascii="Arial Narrow" w:hAnsi="Arial Narrow"/>
          <w:sz w:val="24"/>
          <w:szCs w:val="24"/>
        </w:rPr>
        <w:t xml:space="preserve">eñalo que no </w:t>
      </w:r>
      <w:r w:rsidRPr="00B56F80">
        <w:rPr>
          <w:rFonts w:ascii="Arial Narrow" w:hAnsi="Arial Narrow"/>
          <w:sz w:val="24"/>
          <w:szCs w:val="24"/>
        </w:rPr>
        <w:t xml:space="preserve">correspondía a esa colegiatura definir los límites y alcances de la regulación del derecho a impugnar la primera sentencia condenatoria, y que era labor del Congreso hacerlo en desarrollo de la libertad de configuración que emana de la misma constitución. Dijo así la Corte: </w:t>
      </w:r>
      <w:r w:rsidRPr="00B56F80">
        <w:rPr>
          <w:rFonts w:ascii="Arial Narrow" w:hAnsi="Arial Narrow"/>
          <w:i/>
          <w:sz w:val="24"/>
          <w:szCs w:val="24"/>
        </w:rPr>
        <w:t xml:space="preserve">“La Corte no se refirió a los destinatarios de dicha regulación, ni a aspectos relacionados con la prescripción de la acción penal, ni la cosa juzgada de las sentencias que no hayan sido objeto de impugnación, en tanto se trata de elementos de la regulación que corresponde adoptar al Congreso de la República dentro del marco de la Constitución”. </w:t>
      </w:r>
    </w:p>
    <w:p w14:paraId="25CA71EB" w14:textId="77777777" w:rsidR="00982933" w:rsidRPr="00B56F80" w:rsidRDefault="00982933" w:rsidP="00D02EBC">
      <w:pPr>
        <w:spacing w:after="0"/>
        <w:ind w:left="426"/>
        <w:jc w:val="both"/>
        <w:rPr>
          <w:rFonts w:ascii="Arial Narrow" w:hAnsi="Arial Narrow"/>
          <w:i/>
          <w:sz w:val="24"/>
          <w:szCs w:val="24"/>
        </w:rPr>
      </w:pPr>
    </w:p>
    <w:p w14:paraId="5C2717DC" w14:textId="77777777" w:rsidR="00D02EBC" w:rsidRDefault="00B56F80" w:rsidP="00D02EBC">
      <w:pPr>
        <w:spacing w:after="0"/>
        <w:ind w:left="426"/>
        <w:jc w:val="both"/>
        <w:rPr>
          <w:rFonts w:ascii="Arial Narrow" w:hAnsi="Arial Narrow"/>
          <w:i/>
          <w:sz w:val="24"/>
          <w:szCs w:val="24"/>
        </w:rPr>
      </w:pPr>
      <w:r w:rsidRPr="00B56F80">
        <w:rPr>
          <w:rFonts w:ascii="Arial Narrow" w:hAnsi="Arial Narrow"/>
          <w:sz w:val="24"/>
          <w:szCs w:val="24"/>
        </w:rPr>
        <w:t>Así</w:t>
      </w:r>
      <w:r w:rsidR="00A809E9" w:rsidRPr="00B56F80">
        <w:rPr>
          <w:rFonts w:ascii="Arial Narrow" w:hAnsi="Arial Narrow"/>
          <w:sz w:val="24"/>
          <w:szCs w:val="24"/>
        </w:rPr>
        <w:t xml:space="preserve"> mismo reitera que “</w:t>
      </w:r>
      <w:r w:rsidR="00A809E9" w:rsidRPr="00B56F80">
        <w:rPr>
          <w:rFonts w:ascii="Arial Narrow" w:hAnsi="Arial Narrow"/>
          <w:i/>
          <w:sz w:val="24"/>
          <w:szCs w:val="24"/>
        </w:rPr>
        <w:t xml:space="preserve">El derecho de </w:t>
      </w:r>
      <w:r w:rsidRPr="00B56F80">
        <w:rPr>
          <w:rFonts w:ascii="Arial Narrow" w:hAnsi="Arial Narrow"/>
          <w:i/>
          <w:sz w:val="24"/>
          <w:szCs w:val="24"/>
        </w:rPr>
        <w:t>impugnación</w:t>
      </w:r>
      <w:r w:rsidR="00A809E9" w:rsidRPr="00B56F80">
        <w:rPr>
          <w:rFonts w:ascii="Arial Narrow" w:hAnsi="Arial Narrow"/>
          <w:i/>
          <w:sz w:val="24"/>
          <w:szCs w:val="24"/>
        </w:rPr>
        <w:t xml:space="preserve"> de la sentencia condenatoria se encuentra reconocida constitucionalmente desde la </w:t>
      </w:r>
      <w:r w:rsidRPr="00B56F80">
        <w:rPr>
          <w:rFonts w:ascii="Arial Narrow" w:hAnsi="Arial Narrow"/>
          <w:i/>
          <w:sz w:val="24"/>
          <w:szCs w:val="24"/>
        </w:rPr>
        <w:t>expedición</w:t>
      </w:r>
      <w:r w:rsidR="00A809E9" w:rsidRPr="00B56F80">
        <w:rPr>
          <w:rFonts w:ascii="Arial Narrow" w:hAnsi="Arial Narrow"/>
          <w:i/>
          <w:sz w:val="24"/>
          <w:szCs w:val="24"/>
        </w:rPr>
        <w:t xml:space="preserve"> misma de la Carta </w:t>
      </w:r>
      <w:r w:rsidRPr="00B56F80">
        <w:rPr>
          <w:rFonts w:ascii="Arial Narrow" w:hAnsi="Arial Narrow"/>
          <w:i/>
          <w:sz w:val="24"/>
          <w:szCs w:val="24"/>
        </w:rPr>
        <w:t>Política</w:t>
      </w:r>
      <w:r w:rsidR="00A809E9" w:rsidRPr="00B56F80">
        <w:rPr>
          <w:rFonts w:ascii="Arial Narrow" w:hAnsi="Arial Narrow"/>
          <w:i/>
          <w:sz w:val="24"/>
          <w:szCs w:val="24"/>
        </w:rPr>
        <w:t xml:space="preserve">, en 1991. El </w:t>
      </w:r>
      <w:r w:rsidRPr="00B56F80">
        <w:rPr>
          <w:rFonts w:ascii="Arial Narrow" w:hAnsi="Arial Narrow"/>
          <w:i/>
          <w:sz w:val="24"/>
          <w:szCs w:val="24"/>
        </w:rPr>
        <w:t>artículo</w:t>
      </w:r>
      <w:r w:rsidR="00A809E9" w:rsidRPr="00B56F80">
        <w:rPr>
          <w:rFonts w:ascii="Arial Narrow" w:hAnsi="Arial Narrow"/>
          <w:i/>
          <w:sz w:val="24"/>
          <w:szCs w:val="24"/>
        </w:rPr>
        <w:t xml:space="preserve"> 2 de la </w:t>
      </w:r>
      <w:r w:rsidRPr="00B56F80">
        <w:rPr>
          <w:rFonts w:ascii="Arial Narrow" w:hAnsi="Arial Narrow"/>
          <w:i/>
          <w:sz w:val="24"/>
          <w:szCs w:val="24"/>
        </w:rPr>
        <w:t>Constitución</w:t>
      </w:r>
      <w:r w:rsidR="00A809E9" w:rsidRPr="00B56F80">
        <w:rPr>
          <w:rFonts w:ascii="Arial Narrow" w:hAnsi="Arial Narrow"/>
          <w:i/>
          <w:sz w:val="24"/>
          <w:szCs w:val="24"/>
        </w:rPr>
        <w:t xml:space="preserve"> </w:t>
      </w:r>
      <w:r w:rsidRPr="00B56F80">
        <w:rPr>
          <w:rFonts w:ascii="Arial Narrow" w:hAnsi="Arial Narrow"/>
          <w:i/>
          <w:sz w:val="24"/>
          <w:szCs w:val="24"/>
        </w:rPr>
        <w:t>Política</w:t>
      </w:r>
      <w:r w:rsidR="00A809E9" w:rsidRPr="00B56F80">
        <w:rPr>
          <w:rFonts w:ascii="Arial Narrow" w:hAnsi="Arial Narrow"/>
          <w:i/>
          <w:sz w:val="24"/>
          <w:szCs w:val="24"/>
        </w:rPr>
        <w:t xml:space="preserve"> </w:t>
      </w:r>
      <w:r w:rsidRPr="00B56F80">
        <w:rPr>
          <w:rFonts w:ascii="Arial Narrow" w:hAnsi="Arial Narrow"/>
          <w:i/>
          <w:sz w:val="24"/>
          <w:szCs w:val="24"/>
        </w:rPr>
        <w:t>reconoció</w:t>
      </w:r>
      <w:r w:rsidR="00A809E9" w:rsidRPr="00B56F80">
        <w:rPr>
          <w:rFonts w:ascii="Arial Narrow" w:hAnsi="Arial Narrow"/>
          <w:i/>
          <w:sz w:val="24"/>
          <w:szCs w:val="24"/>
        </w:rPr>
        <w:t xml:space="preserve"> el derecho fundamental al debido proceso, y entre las </w:t>
      </w:r>
      <w:r w:rsidRPr="00B56F80">
        <w:rPr>
          <w:rFonts w:ascii="Arial Narrow" w:hAnsi="Arial Narrow"/>
          <w:i/>
          <w:sz w:val="24"/>
          <w:szCs w:val="24"/>
        </w:rPr>
        <w:t>garantías</w:t>
      </w:r>
      <w:r w:rsidR="00A809E9" w:rsidRPr="00B56F80">
        <w:rPr>
          <w:rFonts w:ascii="Arial Narrow" w:hAnsi="Arial Narrow"/>
          <w:i/>
          <w:sz w:val="24"/>
          <w:szCs w:val="24"/>
        </w:rPr>
        <w:t xml:space="preserve"> que lo conforman, preciso que quien sea sindicado tiene derecho a im</w:t>
      </w:r>
      <w:r w:rsidR="000D4008" w:rsidRPr="00B56F80">
        <w:rPr>
          <w:rFonts w:ascii="Arial Narrow" w:hAnsi="Arial Narrow"/>
          <w:i/>
          <w:sz w:val="24"/>
          <w:szCs w:val="24"/>
        </w:rPr>
        <w:t>pugnar la sentencia condenatoria”</w:t>
      </w:r>
      <w:r w:rsidR="00D02EBC">
        <w:rPr>
          <w:rFonts w:ascii="Arial Narrow" w:hAnsi="Arial Narrow"/>
          <w:i/>
          <w:sz w:val="24"/>
          <w:szCs w:val="24"/>
        </w:rPr>
        <w:t>.</w:t>
      </w:r>
    </w:p>
    <w:p w14:paraId="2AD3E03C" w14:textId="77777777" w:rsidR="00D02EBC" w:rsidRDefault="00D02EBC" w:rsidP="00D02EBC">
      <w:pPr>
        <w:spacing w:after="0"/>
        <w:ind w:left="426"/>
        <w:jc w:val="both"/>
        <w:rPr>
          <w:rFonts w:ascii="Arial Narrow" w:hAnsi="Arial Narrow"/>
          <w:i/>
          <w:sz w:val="24"/>
          <w:szCs w:val="24"/>
        </w:rPr>
      </w:pPr>
    </w:p>
    <w:p w14:paraId="58CAEC04" w14:textId="62CB42F0" w:rsidR="000D4008" w:rsidRPr="00D02EBC" w:rsidRDefault="000D4008" w:rsidP="00D02EBC">
      <w:pPr>
        <w:spacing w:after="0"/>
        <w:ind w:left="426"/>
        <w:jc w:val="both"/>
        <w:rPr>
          <w:rFonts w:ascii="Arial Narrow" w:hAnsi="Arial Narrow"/>
          <w:i/>
          <w:sz w:val="24"/>
          <w:szCs w:val="24"/>
        </w:rPr>
      </w:pPr>
      <w:r w:rsidRPr="00B56F80">
        <w:rPr>
          <w:rFonts w:ascii="Arial Narrow" w:hAnsi="Arial Narrow"/>
          <w:sz w:val="24"/>
          <w:szCs w:val="24"/>
        </w:rPr>
        <w:t>Y establece de manera clara que:</w:t>
      </w:r>
    </w:p>
    <w:p w14:paraId="2360395E" w14:textId="77777777" w:rsidR="00982933" w:rsidRPr="00B56F80" w:rsidRDefault="00982933" w:rsidP="00982933">
      <w:pPr>
        <w:spacing w:after="0"/>
        <w:ind w:left="708"/>
        <w:jc w:val="both"/>
        <w:rPr>
          <w:rFonts w:ascii="Arial Narrow" w:hAnsi="Arial Narrow"/>
          <w:sz w:val="24"/>
          <w:szCs w:val="24"/>
        </w:rPr>
      </w:pPr>
    </w:p>
    <w:p w14:paraId="23521303" w14:textId="68979F98" w:rsidR="000D4008" w:rsidRPr="00B56F80" w:rsidRDefault="00982933" w:rsidP="00B2167E">
      <w:pPr>
        <w:spacing w:after="0"/>
        <w:ind w:left="709"/>
        <w:jc w:val="both"/>
        <w:rPr>
          <w:rFonts w:ascii="Arial Narrow" w:hAnsi="Arial Narrow"/>
          <w:i/>
          <w:sz w:val="24"/>
          <w:szCs w:val="24"/>
        </w:rPr>
      </w:pPr>
      <w:r w:rsidRPr="00B56F80">
        <w:rPr>
          <w:rFonts w:ascii="Arial Narrow" w:hAnsi="Arial Narrow"/>
          <w:i/>
          <w:sz w:val="24"/>
          <w:szCs w:val="24"/>
        </w:rPr>
        <w:t>“El</w:t>
      </w:r>
      <w:r w:rsidR="000D4008" w:rsidRPr="00B56F80">
        <w:rPr>
          <w:rFonts w:ascii="Arial Narrow" w:hAnsi="Arial Narrow"/>
          <w:i/>
          <w:sz w:val="24"/>
          <w:szCs w:val="24"/>
        </w:rPr>
        <w:t xml:space="preserve"> legislador tiene el deber constitucional de diseñar e implementar un recurso que materialice el derecho a controvertir los primeros fallos condenatorios que se dictan en un juicio penal, el cual debe otorgar amplias </w:t>
      </w:r>
      <w:r w:rsidR="00B56F80" w:rsidRPr="00B56F80">
        <w:rPr>
          <w:rFonts w:ascii="Arial Narrow" w:hAnsi="Arial Narrow"/>
          <w:i/>
          <w:sz w:val="24"/>
          <w:szCs w:val="24"/>
        </w:rPr>
        <w:t>potestades</w:t>
      </w:r>
      <w:r w:rsidR="000D4008" w:rsidRPr="00B56F80">
        <w:rPr>
          <w:rFonts w:ascii="Arial Narrow" w:hAnsi="Arial Narrow"/>
          <w:i/>
          <w:sz w:val="24"/>
          <w:szCs w:val="24"/>
        </w:rPr>
        <w:t xml:space="preserve"> al juez de </w:t>
      </w:r>
      <w:r w:rsidR="00B56F80" w:rsidRPr="00B56F80">
        <w:rPr>
          <w:rFonts w:ascii="Arial Narrow" w:hAnsi="Arial Narrow"/>
          <w:i/>
          <w:sz w:val="24"/>
          <w:szCs w:val="24"/>
        </w:rPr>
        <w:t>revisión</w:t>
      </w:r>
      <w:r w:rsidR="000D4008" w:rsidRPr="00B56F80">
        <w:rPr>
          <w:rFonts w:ascii="Arial Narrow" w:hAnsi="Arial Narrow"/>
          <w:i/>
          <w:sz w:val="24"/>
          <w:szCs w:val="24"/>
        </w:rPr>
        <w:t xml:space="preserve"> para analizar y evaluar las cuestiones </w:t>
      </w:r>
      <w:r w:rsidR="00B56F80" w:rsidRPr="00B56F80">
        <w:rPr>
          <w:rFonts w:ascii="Arial Narrow" w:hAnsi="Arial Narrow"/>
          <w:i/>
          <w:sz w:val="24"/>
          <w:szCs w:val="24"/>
        </w:rPr>
        <w:t>fácticas</w:t>
      </w:r>
      <w:r w:rsidR="000D4008" w:rsidRPr="00B56F80">
        <w:rPr>
          <w:rFonts w:ascii="Arial Narrow" w:hAnsi="Arial Narrow"/>
          <w:i/>
          <w:sz w:val="24"/>
          <w:szCs w:val="24"/>
        </w:rPr>
        <w:t xml:space="preserve">, probatorias y normativas que inciden en el contenido de la </w:t>
      </w:r>
      <w:r w:rsidR="00B56F80" w:rsidRPr="00B56F80">
        <w:rPr>
          <w:rFonts w:ascii="Arial Narrow" w:hAnsi="Arial Narrow"/>
          <w:i/>
          <w:sz w:val="24"/>
          <w:szCs w:val="24"/>
        </w:rPr>
        <w:t>decisión</w:t>
      </w:r>
      <w:r w:rsidR="000D4008" w:rsidRPr="00B56F80">
        <w:rPr>
          <w:rFonts w:ascii="Arial Narrow" w:hAnsi="Arial Narrow"/>
          <w:i/>
          <w:sz w:val="24"/>
          <w:szCs w:val="24"/>
        </w:rPr>
        <w:t xml:space="preserve"> judicial objeto del recurso.”</w:t>
      </w:r>
    </w:p>
    <w:p w14:paraId="45E46B76" w14:textId="77777777" w:rsidR="00982933" w:rsidRPr="00B56F80" w:rsidRDefault="00982933" w:rsidP="00982933">
      <w:pPr>
        <w:spacing w:after="0"/>
        <w:ind w:left="708"/>
        <w:jc w:val="both"/>
        <w:rPr>
          <w:rFonts w:ascii="Arial Narrow" w:hAnsi="Arial Narrow"/>
          <w:i/>
          <w:sz w:val="24"/>
          <w:szCs w:val="24"/>
        </w:rPr>
      </w:pPr>
    </w:p>
    <w:p w14:paraId="1D836267" w14:textId="66FB5D24" w:rsidR="00EA4EB2" w:rsidRPr="00B56F80" w:rsidRDefault="00AE6A36" w:rsidP="00B2167E">
      <w:pPr>
        <w:spacing w:after="0"/>
        <w:ind w:left="426"/>
        <w:jc w:val="both"/>
        <w:rPr>
          <w:rFonts w:ascii="Arial Narrow" w:hAnsi="Arial Narrow"/>
          <w:sz w:val="24"/>
          <w:szCs w:val="24"/>
        </w:rPr>
      </w:pPr>
      <w:r w:rsidRPr="00B56F80">
        <w:rPr>
          <w:rFonts w:ascii="Arial Narrow" w:hAnsi="Arial Narrow"/>
          <w:sz w:val="24"/>
          <w:szCs w:val="24"/>
        </w:rPr>
        <w:t>Por lo tanto, no se puede dar un trato diferenciado a los condenados penales, ya que en materia criminal prevalece el principio general de la favorabilidad, así provenga de una ley posterior; razón por la cual, es indispensable que las garantías que aquí se conciben se retrotraigan hasta el 04 de julio de 1991, momento en el que empezó a regir la actual Constitución y se generó el vacío reprochado por la Corte Constitucional.</w:t>
      </w:r>
    </w:p>
    <w:p w14:paraId="54310EA9" w14:textId="77777777" w:rsidR="00982933" w:rsidRPr="00B56F80" w:rsidRDefault="00982933" w:rsidP="00B2167E">
      <w:pPr>
        <w:spacing w:after="0"/>
        <w:ind w:left="426"/>
        <w:jc w:val="both"/>
        <w:rPr>
          <w:rFonts w:ascii="Arial Narrow" w:hAnsi="Arial Narrow"/>
          <w:sz w:val="24"/>
          <w:szCs w:val="24"/>
        </w:rPr>
      </w:pPr>
    </w:p>
    <w:p w14:paraId="06AE684C" w14:textId="790C4867" w:rsidR="00AE6A36" w:rsidRPr="00B56F80" w:rsidRDefault="00EA4EB2" w:rsidP="00B2167E">
      <w:pPr>
        <w:spacing w:after="0"/>
        <w:ind w:left="426"/>
        <w:jc w:val="both"/>
        <w:rPr>
          <w:rFonts w:ascii="Arial Narrow" w:hAnsi="Arial Narrow"/>
          <w:sz w:val="24"/>
          <w:szCs w:val="24"/>
        </w:rPr>
      </w:pPr>
      <w:r w:rsidRPr="00B56F80">
        <w:rPr>
          <w:rFonts w:ascii="Arial Narrow" w:hAnsi="Arial Narrow"/>
          <w:sz w:val="24"/>
          <w:szCs w:val="24"/>
        </w:rPr>
        <w:t>E</w:t>
      </w:r>
      <w:r w:rsidR="00AE6A36" w:rsidRPr="00B56F80">
        <w:rPr>
          <w:rFonts w:ascii="Arial Narrow" w:hAnsi="Arial Narrow"/>
          <w:sz w:val="24"/>
          <w:szCs w:val="24"/>
        </w:rPr>
        <w:t>s importante traer a colación que el Comité de Derechos Humanos de la Organización de las Naciones Unidas, en decisión del 13 de noviembre de 2018, dictaminó que Colombia estaba violando las garantías consagradas en el artículo 14.5 del Pacto Internacional de Derechos Civiles y Políticos, a los “aforados”, por no señalar dentro de su ordenamiento jurídico un recurso disponible para que los condenados en única instancia pudieran solicitar que el fallo adverso fuera revisado por otra sede judicial.</w:t>
      </w:r>
    </w:p>
    <w:p w14:paraId="67427D8B" w14:textId="77777777" w:rsidR="00982933" w:rsidRPr="00B56F80" w:rsidRDefault="00982933" w:rsidP="00B2167E">
      <w:pPr>
        <w:spacing w:after="0"/>
        <w:ind w:left="426"/>
        <w:jc w:val="both"/>
        <w:rPr>
          <w:rFonts w:ascii="Arial Narrow" w:hAnsi="Arial Narrow"/>
          <w:sz w:val="24"/>
          <w:szCs w:val="24"/>
        </w:rPr>
      </w:pPr>
    </w:p>
    <w:p w14:paraId="6BE3DFFB" w14:textId="7CD72D83" w:rsidR="00AE6A36" w:rsidRPr="00B56F80" w:rsidRDefault="00AE6A36" w:rsidP="00B2167E">
      <w:pPr>
        <w:spacing w:after="0"/>
        <w:ind w:left="426"/>
        <w:jc w:val="both"/>
        <w:rPr>
          <w:rFonts w:ascii="Arial Narrow" w:hAnsi="Arial Narrow"/>
          <w:sz w:val="24"/>
          <w:szCs w:val="24"/>
        </w:rPr>
      </w:pPr>
      <w:r w:rsidRPr="00B56F80">
        <w:rPr>
          <w:rFonts w:ascii="Arial Narrow" w:hAnsi="Arial Narrow"/>
          <w:sz w:val="24"/>
          <w:szCs w:val="24"/>
        </w:rPr>
        <w:t>Agregando que: “s</w:t>
      </w:r>
      <w:r w:rsidRPr="00B56F80">
        <w:rPr>
          <w:rFonts w:ascii="Arial Narrow" w:hAnsi="Arial Narrow"/>
          <w:i/>
          <w:sz w:val="24"/>
          <w:szCs w:val="24"/>
        </w:rPr>
        <w:t>i bien la legislación de un Estado parte puede disponer en ciertas ocasiones que una persona en razón de su cargo sea juzgada por un tribunal de mayor jerarquía que el que naturalmente correspondería, esta circunstancia no puede por sí sola menoscabar el derecho del acusado a la revisión de su sentencia y condena por un tribunal”</w:t>
      </w:r>
      <w:r w:rsidRPr="00B56F80">
        <w:rPr>
          <w:rFonts w:ascii="Arial Narrow" w:hAnsi="Arial Narrow"/>
          <w:sz w:val="24"/>
          <w:szCs w:val="24"/>
        </w:rPr>
        <w:t>, de suerte, que mantener la inobjetabilidad de la primera condena penal proferida en sede de apelación, casación o en procesos de única instancia haría mantener la infracción de las obligaciones internacionales por parte del Estado.</w:t>
      </w:r>
    </w:p>
    <w:p w14:paraId="65F9E9A2" w14:textId="77777777" w:rsidR="00982933" w:rsidRPr="00B56F80" w:rsidRDefault="00982933" w:rsidP="00B2167E">
      <w:pPr>
        <w:spacing w:after="0"/>
        <w:ind w:left="426"/>
        <w:jc w:val="both"/>
        <w:rPr>
          <w:rFonts w:ascii="Arial Narrow" w:hAnsi="Arial Narrow"/>
          <w:sz w:val="24"/>
          <w:szCs w:val="24"/>
        </w:rPr>
      </w:pPr>
    </w:p>
    <w:p w14:paraId="0F52AB4E" w14:textId="3F84CD2F" w:rsidR="001C24E8" w:rsidRPr="00B56F80" w:rsidRDefault="00EA4EB2" w:rsidP="00B2167E">
      <w:pPr>
        <w:spacing w:after="0"/>
        <w:ind w:left="426"/>
        <w:jc w:val="both"/>
        <w:rPr>
          <w:rFonts w:ascii="Arial Narrow" w:hAnsi="Arial Narrow"/>
          <w:sz w:val="24"/>
          <w:szCs w:val="24"/>
        </w:rPr>
      </w:pPr>
      <w:r w:rsidRPr="00B56F80">
        <w:rPr>
          <w:rFonts w:ascii="Arial Narrow" w:hAnsi="Arial Narrow"/>
          <w:sz w:val="24"/>
          <w:szCs w:val="24"/>
        </w:rPr>
        <w:t>Finalmen</w:t>
      </w:r>
      <w:r w:rsidR="00645E00" w:rsidRPr="00B56F80">
        <w:rPr>
          <w:rFonts w:ascii="Arial Narrow" w:hAnsi="Arial Narrow"/>
          <w:sz w:val="24"/>
          <w:szCs w:val="24"/>
        </w:rPr>
        <w:t>te es importante traer a colació</w:t>
      </w:r>
      <w:r w:rsidRPr="00B56F80">
        <w:rPr>
          <w:rFonts w:ascii="Arial Narrow" w:hAnsi="Arial Narrow"/>
          <w:sz w:val="24"/>
          <w:szCs w:val="24"/>
        </w:rPr>
        <w:t>n la Sentencia SU- 146 del 21 de mayo de 2020</w:t>
      </w:r>
      <w:r w:rsidR="001C24E8" w:rsidRPr="00B56F80">
        <w:rPr>
          <w:rFonts w:ascii="Arial Narrow" w:hAnsi="Arial Narrow"/>
          <w:sz w:val="24"/>
          <w:szCs w:val="24"/>
        </w:rPr>
        <w:t xml:space="preserve">, sentencia en la que </w:t>
      </w:r>
      <w:r w:rsidR="009B44C9" w:rsidRPr="00B56F80">
        <w:rPr>
          <w:rFonts w:ascii="Arial Narrow" w:hAnsi="Arial Narrow"/>
          <w:sz w:val="24"/>
          <w:szCs w:val="24"/>
        </w:rPr>
        <w:t>se hacen las siguientes precisiones:</w:t>
      </w:r>
    </w:p>
    <w:p w14:paraId="64C05C0A" w14:textId="77777777" w:rsidR="00982933" w:rsidRPr="00B56F80" w:rsidRDefault="00982933" w:rsidP="00897250">
      <w:pPr>
        <w:spacing w:after="0"/>
        <w:jc w:val="both"/>
        <w:rPr>
          <w:rFonts w:ascii="Arial Narrow" w:hAnsi="Arial Narrow"/>
          <w:sz w:val="24"/>
          <w:szCs w:val="24"/>
        </w:rPr>
      </w:pPr>
    </w:p>
    <w:p w14:paraId="37036C72" w14:textId="52EFA133" w:rsidR="00674447" w:rsidRPr="00B56F80" w:rsidRDefault="00334136" w:rsidP="00B2167E">
      <w:pPr>
        <w:spacing w:after="0" w:line="240" w:lineRule="auto"/>
        <w:ind w:left="709"/>
        <w:jc w:val="both"/>
        <w:rPr>
          <w:rFonts w:ascii="Arial Narrow" w:hAnsi="Arial Narrow"/>
          <w:i/>
          <w:sz w:val="24"/>
          <w:szCs w:val="24"/>
        </w:rPr>
      </w:pPr>
      <w:r w:rsidRPr="00B56F80">
        <w:rPr>
          <w:rFonts w:ascii="Arial Narrow" w:hAnsi="Arial Narrow"/>
          <w:i/>
          <w:sz w:val="24"/>
          <w:szCs w:val="24"/>
        </w:rPr>
        <w:t>“</w:t>
      </w:r>
      <w:r w:rsidR="00674447" w:rsidRPr="00B56F80">
        <w:rPr>
          <w:rFonts w:ascii="Arial Narrow" w:hAnsi="Arial Narrow"/>
          <w:i/>
          <w:sz w:val="24"/>
          <w:szCs w:val="24"/>
        </w:rPr>
        <w:t xml:space="preserve">Lo primero es que a pesar de que es evidente que existe una </w:t>
      </w:r>
      <w:r w:rsidR="00B56F80" w:rsidRPr="00B56F80">
        <w:rPr>
          <w:rFonts w:ascii="Arial Narrow" w:hAnsi="Arial Narrow"/>
          <w:i/>
          <w:sz w:val="24"/>
          <w:szCs w:val="24"/>
        </w:rPr>
        <w:t>tensión</w:t>
      </w:r>
      <w:r w:rsidR="00674447" w:rsidRPr="00B56F80">
        <w:rPr>
          <w:rFonts w:ascii="Arial Narrow" w:hAnsi="Arial Narrow"/>
          <w:i/>
          <w:sz w:val="24"/>
          <w:szCs w:val="24"/>
        </w:rPr>
        <w:t xml:space="preserve"> entre la aplicación del derecho invocado a partir de los mandatos que derivan del bloque de constitucionalidad en sentido estricto, y, por otro lado el principio de seguridad </w:t>
      </w:r>
      <w:r w:rsidR="00B56F80" w:rsidRPr="00B56F80">
        <w:rPr>
          <w:rFonts w:ascii="Arial Narrow" w:hAnsi="Arial Narrow"/>
          <w:i/>
          <w:sz w:val="24"/>
          <w:szCs w:val="24"/>
        </w:rPr>
        <w:t>jurídica</w:t>
      </w:r>
      <w:r w:rsidR="00674447" w:rsidRPr="00B56F80">
        <w:rPr>
          <w:rFonts w:ascii="Arial Narrow" w:hAnsi="Arial Narrow"/>
          <w:i/>
          <w:sz w:val="24"/>
          <w:szCs w:val="24"/>
        </w:rPr>
        <w:t xml:space="preserve"> y cosa juzgada que recae sobre la sentencia penal que se </w:t>
      </w:r>
      <w:r w:rsidR="00B56F80" w:rsidRPr="00B56F80">
        <w:rPr>
          <w:rFonts w:ascii="Arial Narrow" w:hAnsi="Arial Narrow"/>
          <w:i/>
          <w:sz w:val="24"/>
          <w:szCs w:val="24"/>
        </w:rPr>
        <w:t>profirió</w:t>
      </w:r>
      <w:r w:rsidR="00674447" w:rsidRPr="00B56F80">
        <w:rPr>
          <w:rFonts w:ascii="Arial Narrow" w:hAnsi="Arial Narrow"/>
          <w:i/>
          <w:sz w:val="24"/>
          <w:szCs w:val="24"/>
        </w:rPr>
        <w:t xml:space="preserve">, el 16 de julio de 2014 por la Sala de </w:t>
      </w:r>
      <w:r w:rsidR="00B56F80" w:rsidRPr="00B56F80">
        <w:rPr>
          <w:rFonts w:ascii="Arial Narrow" w:hAnsi="Arial Narrow"/>
          <w:i/>
          <w:sz w:val="24"/>
          <w:szCs w:val="24"/>
        </w:rPr>
        <w:t>Casación</w:t>
      </w:r>
      <w:r w:rsidR="00674447" w:rsidRPr="00B56F80">
        <w:rPr>
          <w:rFonts w:ascii="Arial Narrow" w:hAnsi="Arial Narrow"/>
          <w:i/>
          <w:sz w:val="24"/>
          <w:szCs w:val="24"/>
        </w:rPr>
        <w:t xml:space="preserve"> Penal, con </w:t>
      </w:r>
      <w:r w:rsidR="00B56F80" w:rsidRPr="00B56F80">
        <w:rPr>
          <w:rFonts w:ascii="Arial Narrow" w:hAnsi="Arial Narrow"/>
          <w:i/>
          <w:sz w:val="24"/>
          <w:szCs w:val="24"/>
        </w:rPr>
        <w:t>sujeción</w:t>
      </w:r>
      <w:r w:rsidR="00674447" w:rsidRPr="00B56F80">
        <w:rPr>
          <w:rFonts w:ascii="Arial Narrow" w:hAnsi="Arial Narrow"/>
          <w:i/>
          <w:sz w:val="24"/>
          <w:szCs w:val="24"/>
        </w:rPr>
        <w:t xml:space="preserve"> estricta a los </w:t>
      </w:r>
      <w:r w:rsidR="00B56F80" w:rsidRPr="00B56F80">
        <w:rPr>
          <w:rFonts w:ascii="Arial Narrow" w:hAnsi="Arial Narrow"/>
          <w:i/>
          <w:sz w:val="24"/>
          <w:szCs w:val="24"/>
        </w:rPr>
        <w:t>cánones</w:t>
      </w:r>
      <w:r w:rsidR="00674447" w:rsidRPr="00B56F80">
        <w:rPr>
          <w:rFonts w:ascii="Arial Narrow" w:hAnsi="Arial Narrow"/>
          <w:i/>
          <w:sz w:val="24"/>
          <w:szCs w:val="24"/>
        </w:rPr>
        <w:t xml:space="preserve"> que el ordenamiento interno de entonces </w:t>
      </w:r>
      <w:r w:rsidR="00B56F80" w:rsidRPr="00B56F80">
        <w:rPr>
          <w:rFonts w:ascii="Arial Narrow" w:hAnsi="Arial Narrow"/>
          <w:i/>
          <w:sz w:val="24"/>
          <w:szCs w:val="24"/>
        </w:rPr>
        <w:t>exigía</w:t>
      </w:r>
      <w:r w:rsidR="00674447" w:rsidRPr="00B56F80">
        <w:rPr>
          <w:rFonts w:ascii="Arial Narrow" w:hAnsi="Arial Narrow"/>
          <w:i/>
          <w:sz w:val="24"/>
          <w:szCs w:val="24"/>
        </w:rPr>
        <w:t xml:space="preserve">; teniendo en cuenta, por otra parte, que para ese momento ninguna autoridad con competencia </w:t>
      </w:r>
      <w:r w:rsidR="00B56F80" w:rsidRPr="00B56F80">
        <w:rPr>
          <w:rFonts w:ascii="Arial Narrow" w:hAnsi="Arial Narrow"/>
          <w:i/>
          <w:sz w:val="24"/>
          <w:szCs w:val="24"/>
        </w:rPr>
        <w:t>había</w:t>
      </w:r>
      <w:r w:rsidR="00674447" w:rsidRPr="00B56F80">
        <w:rPr>
          <w:rFonts w:ascii="Arial Narrow" w:hAnsi="Arial Narrow"/>
          <w:i/>
          <w:sz w:val="24"/>
          <w:szCs w:val="24"/>
        </w:rPr>
        <w:t xml:space="preserve"> actualizado la lectura interna de la </w:t>
      </w:r>
      <w:r w:rsidR="00B56F80" w:rsidRPr="00B56F80">
        <w:rPr>
          <w:rFonts w:ascii="Arial Narrow" w:hAnsi="Arial Narrow"/>
          <w:i/>
          <w:sz w:val="24"/>
          <w:szCs w:val="24"/>
        </w:rPr>
        <w:t>Constitución</w:t>
      </w:r>
      <w:r w:rsidR="00674447" w:rsidRPr="00B56F80">
        <w:rPr>
          <w:rFonts w:ascii="Arial Narrow" w:hAnsi="Arial Narrow"/>
          <w:i/>
          <w:sz w:val="24"/>
          <w:szCs w:val="24"/>
        </w:rPr>
        <w:t xml:space="preserve"> </w:t>
      </w:r>
      <w:r w:rsidR="00B56F80" w:rsidRPr="00B56F80">
        <w:rPr>
          <w:rFonts w:ascii="Arial Narrow" w:hAnsi="Arial Narrow"/>
          <w:i/>
          <w:sz w:val="24"/>
          <w:szCs w:val="24"/>
        </w:rPr>
        <w:t>Política</w:t>
      </w:r>
      <w:r w:rsidR="00674447" w:rsidRPr="00B56F80">
        <w:rPr>
          <w:rFonts w:ascii="Arial Narrow" w:hAnsi="Arial Narrow"/>
          <w:i/>
          <w:sz w:val="24"/>
          <w:szCs w:val="24"/>
        </w:rPr>
        <w:t xml:space="preserve"> al </w:t>
      </w:r>
      <w:r w:rsidR="00B56F80" w:rsidRPr="00B56F80">
        <w:rPr>
          <w:rFonts w:ascii="Arial Narrow" w:hAnsi="Arial Narrow"/>
          <w:i/>
          <w:sz w:val="24"/>
          <w:szCs w:val="24"/>
        </w:rPr>
        <w:t>estándar</w:t>
      </w:r>
      <w:r w:rsidR="00674447" w:rsidRPr="00B56F80">
        <w:rPr>
          <w:rFonts w:ascii="Arial Narrow" w:hAnsi="Arial Narrow"/>
          <w:i/>
          <w:sz w:val="24"/>
          <w:szCs w:val="24"/>
        </w:rPr>
        <w:t xml:space="preserve"> consolidado del sistema regional de Derechos Humanos.</w:t>
      </w:r>
      <w:r w:rsidRPr="00B56F80">
        <w:rPr>
          <w:rFonts w:ascii="Arial Narrow" w:hAnsi="Arial Narrow"/>
          <w:i/>
          <w:sz w:val="24"/>
          <w:szCs w:val="24"/>
        </w:rPr>
        <w:t>”</w:t>
      </w:r>
    </w:p>
    <w:p w14:paraId="60590FC3" w14:textId="77777777" w:rsidR="00674447" w:rsidRPr="00B56F80" w:rsidRDefault="00674447" w:rsidP="00B2167E">
      <w:pPr>
        <w:spacing w:after="0" w:line="240" w:lineRule="auto"/>
        <w:ind w:left="709"/>
        <w:jc w:val="both"/>
        <w:rPr>
          <w:rFonts w:ascii="Arial Narrow" w:hAnsi="Arial Narrow"/>
          <w:sz w:val="24"/>
          <w:szCs w:val="24"/>
        </w:rPr>
      </w:pPr>
    </w:p>
    <w:p w14:paraId="715D0F39" w14:textId="67D5DBE3" w:rsidR="00266205" w:rsidRPr="00B56F80" w:rsidRDefault="00D22134" w:rsidP="00B2167E">
      <w:pPr>
        <w:spacing w:after="0" w:line="240" w:lineRule="auto"/>
        <w:ind w:left="709"/>
        <w:jc w:val="both"/>
        <w:rPr>
          <w:rFonts w:ascii="Arial Narrow" w:hAnsi="Arial Narrow"/>
          <w:sz w:val="24"/>
          <w:szCs w:val="24"/>
        </w:rPr>
      </w:pPr>
      <w:r w:rsidRPr="00B56F80">
        <w:rPr>
          <w:rFonts w:ascii="Arial Narrow" w:hAnsi="Arial Narrow"/>
          <w:sz w:val="24"/>
          <w:szCs w:val="24"/>
        </w:rPr>
        <w:t>“</w:t>
      </w:r>
      <w:r w:rsidR="00674447" w:rsidRPr="00B56F80">
        <w:rPr>
          <w:rFonts w:ascii="Arial Narrow" w:hAnsi="Arial Narrow"/>
          <w:i/>
          <w:sz w:val="24"/>
          <w:szCs w:val="24"/>
        </w:rPr>
        <w:t xml:space="preserve">Esa </w:t>
      </w:r>
      <w:r w:rsidR="00B56F80" w:rsidRPr="00B56F80">
        <w:rPr>
          <w:rFonts w:ascii="Arial Narrow" w:hAnsi="Arial Narrow"/>
          <w:i/>
          <w:sz w:val="24"/>
          <w:szCs w:val="24"/>
        </w:rPr>
        <w:t>tensión</w:t>
      </w:r>
      <w:r w:rsidR="00674447" w:rsidRPr="00B56F80">
        <w:rPr>
          <w:rFonts w:ascii="Arial Narrow" w:hAnsi="Arial Narrow"/>
          <w:i/>
          <w:sz w:val="24"/>
          <w:szCs w:val="24"/>
        </w:rPr>
        <w:t xml:space="preserve"> debe re</w:t>
      </w:r>
      <w:r w:rsidR="00E906CE" w:rsidRPr="00B56F80">
        <w:rPr>
          <w:rFonts w:ascii="Arial Narrow" w:hAnsi="Arial Narrow"/>
          <w:i/>
          <w:sz w:val="24"/>
          <w:szCs w:val="24"/>
        </w:rPr>
        <w:t xml:space="preserve">solverse sin sacrificar de manera absoluta los intereses en </w:t>
      </w:r>
      <w:r w:rsidR="00B56F80" w:rsidRPr="00B56F80">
        <w:rPr>
          <w:rFonts w:ascii="Arial Narrow" w:hAnsi="Arial Narrow"/>
          <w:i/>
          <w:sz w:val="24"/>
          <w:szCs w:val="24"/>
        </w:rPr>
        <w:t>contraposición</w:t>
      </w:r>
      <w:r w:rsidR="00E906CE" w:rsidRPr="00B56F80">
        <w:rPr>
          <w:rFonts w:ascii="Arial Narrow" w:hAnsi="Arial Narrow"/>
          <w:i/>
          <w:sz w:val="24"/>
          <w:szCs w:val="24"/>
        </w:rPr>
        <w:t xml:space="preserve">, aunque la </w:t>
      </w:r>
      <w:r w:rsidR="00B56F80" w:rsidRPr="00B56F80">
        <w:rPr>
          <w:rFonts w:ascii="Arial Narrow" w:hAnsi="Arial Narrow"/>
          <w:i/>
          <w:sz w:val="24"/>
          <w:szCs w:val="24"/>
        </w:rPr>
        <w:t>garantía</w:t>
      </w:r>
      <w:r w:rsidR="00E906CE" w:rsidRPr="00B56F80">
        <w:rPr>
          <w:rFonts w:ascii="Arial Narrow" w:hAnsi="Arial Narrow"/>
          <w:i/>
          <w:sz w:val="24"/>
          <w:szCs w:val="24"/>
        </w:rPr>
        <w:t xml:space="preserve"> de los derechos de las victimas juegue un rol fundamental. </w:t>
      </w:r>
      <w:r w:rsidR="00B56F80" w:rsidRPr="00B56F80">
        <w:rPr>
          <w:rFonts w:ascii="Arial Narrow" w:hAnsi="Arial Narrow"/>
          <w:i/>
          <w:sz w:val="24"/>
          <w:szCs w:val="24"/>
        </w:rPr>
        <w:t>Además</w:t>
      </w:r>
      <w:r w:rsidR="00E906CE" w:rsidRPr="00B56F80">
        <w:rPr>
          <w:rFonts w:ascii="Arial Narrow" w:hAnsi="Arial Narrow"/>
          <w:i/>
          <w:sz w:val="24"/>
          <w:szCs w:val="24"/>
        </w:rPr>
        <w:t xml:space="preserve">, el reconocimiento de la </w:t>
      </w:r>
      <w:r w:rsidR="00B56F80" w:rsidRPr="00B56F80">
        <w:rPr>
          <w:rFonts w:ascii="Arial Narrow" w:hAnsi="Arial Narrow"/>
          <w:i/>
          <w:sz w:val="24"/>
          <w:szCs w:val="24"/>
        </w:rPr>
        <w:t>impugnación</w:t>
      </w:r>
      <w:r w:rsidR="00E906CE" w:rsidRPr="00B56F80">
        <w:rPr>
          <w:rFonts w:ascii="Arial Narrow" w:hAnsi="Arial Narrow"/>
          <w:i/>
          <w:sz w:val="24"/>
          <w:szCs w:val="24"/>
        </w:rPr>
        <w:t xml:space="preserve"> se concreta en la </w:t>
      </w:r>
      <w:r w:rsidR="00B56F80" w:rsidRPr="00B56F80">
        <w:rPr>
          <w:rFonts w:ascii="Arial Narrow" w:hAnsi="Arial Narrow"/>
          <w:i/>
          <w:sz w:val="24"/>
          <w:szCs w:val="24"/>
        </w:rPr>
        <w:t>interposición</w:t>
      </w:r>
      <w:r w:rsidR="00E906CE" w:rsidRPr="00B56F80">
        <w:rPr>
          <w:rFonts w:ascii="Arial Narrow" w:hAnsi="Arial Narrow"/>
          <w:i/>
          <w:sz w:val="24"/>
          <w:szCs w:val="24"/>
        </w:rPr>
        <w:t xml:space="preserve"> del recurso de </w:t>
      </w:r>
      <w:r w:rsidR="00B56F80" w:rsidRPr="00B56F80">
        <w:rPr>
          <w:rFonts w:ascii="Arial Narrow" w:hAnsi="Arial Narrow"/>
          <w:i/>
          <w:sz w:val="24"/>
          <w:szCs w:val="24"/>
        </w:rPr>
        <w:t>impugnación</w:t>
      </w:r>
      <w:r w:rsidR="00E906CE" w:rsidRPr="00B56F80">
        <w:rPr>
          <w:rFonts w:ascii="Arial Narrow" w:hAnsi="Arial Narrow"/>
          <w:i/>
          <w:sz w:val="24"/>
          <w:szCs w:val="24"/>
        </w:rPr>
        <w:t xml:space="preserve"> por parte del condenado, cuyo resultado puede ser (i) la </w:t>
      </w:r>
      <w:r w:rsidR="00B56F80" w:rsidRPr="00B56F80">
        <w:rPr>
          <w:rFonts w:ascii="Arial Narrow" w:hAnsi="Arial Narrow"/>
          <w:i/>
          <w:sz w:val="24"/>
          <w:szCs w:val="24"/>
        </w:rPr>
        <w:t>confirmación</w:t>
      </w:r>
      <w:r w:rsidR="00E906CE" w:rsidRPr="00B56F80">
        <w:rPr>
          <w:rFonts w:ascii="Arial Narrow" w:hAnsi="Arial Narrow"/>
          <w:i/>
          <w:sz w:val="24"/>
          <w:szCs w:val="24"/>
        </w:rPr>
        <w:t xml:space="preserve"> de la sentencia en su integridad, en cuyo caso no solo se fortalece institucionalmente la </w:t>
      </w:r>
      <w:r w:rsidR="00B56F80" w:rsidRPr="00B56F80">
        <w:rPr>
          <w:rFonts w:ascii="Arial Narrow" w:hAnsi="Arial Narrow"/>
          <w:i/>
          <w:sz w:val="24"/>
          <w:szCs w:val="24"/>
        </w:rPr>
        <w:t>decisión</w:t>
      </w:r>
      <w:r w:rsidR="00E906CE" w:rsidRPr="00B56F80">
        <w:rPr>
          <w:rFonts w:ascii="Arial Narrow" w:hAnsi="Arial Narrow"/>
          <w:i/>
          <w:sz w:val="24"/>
          <w:szCs w:val="24"/>
        </w:rPr>
        <w:t xml:space="preserve"> judicial, sino que se aporta mayor tranquilidad a la verdad que esta contiene para la </w:t>
      </w:r>
      <w:r w:rsidR="00B56F80" w:rsidRPr="00B56F80">
        <w:rPr>
          <w:rFonts w:ascii="Arial Narrow" w:hAnsi="Arial Narrow"/>
          <w:i/>
          <w:sz w:val="24"/>
          <w:szCs w:val="24"/>
        </w:rPr>
        <w:t>víctimas</w:t>
      </w:r>
      <w:r w:rsidR="00E906CE" w:rsidRPr="00B56F80">
        <w:rPr>
          <w:rFonts w:ascii="Arial Narrow" w:hAnsi="Arial Narrow"/>
          <w:i/>
          <w:sz w:val="24"/>
          <w:szCs w:val="24"/>
        </w:rPr>
        <w:t xml:space="preserve">, o (ii) la revocatoria o </w:t>
      </w:r>
      <w:r w:rsidR="00B56F80" w:rsidRPr="00B56F80">
        <w:rPr>
          <w:rFonts w:ascii="Arial Narrow" w:hAnsi="Arial Narrow"/>
          <w:i/>
          <w:sz w:val="24"/>
          <w:szCs w:val="24"/>
        </w:rPr>
        <w:t>modificación</w:t>
      </w:r>
      <w:r w:rsidR="00E906CE" w:rsidRPr="00B56F80">
        <w:rPr>
          <w:rFonts w:ascii="Arial Narrow" w:hAnsi="Arial Narrow"/>
          <w:i/>
          <w:sz w:val="24"/>
          <w:szCs w:val="24"/>
        </w:rPr>
        <w:t xml:space="preserve"> de la condena, en su totalidad o respecto de </w:t>
      </w:r>
      <w:r w:rsidR="00B56F80" w:rsidRPr="00B56F80">
        <w:rPr>
          <w:rFonts w:ascii="Arial Narrow" w:hAnsi="Arial Narrow"/>
          <w:i/>
          <w:sz w:val="24"/>
          <w:szCs w:val="24"/>
        </w:rPr>
        <w:t>algún</w:t>
      </w:r>
      <w:r w:rsidR="00E906CE" w:rsidRPr="00B56F80">
        <w:rPr>
          <w:rFonts w:ascii="Arial Narrow" w:hAnsi="Arial Narrow"/>
          <w:i/>
          <w:sz w:val="24"/>
          <w:szCs w:val="24"/>
        </w:rPr>
        <w:t xml:space="preserve"> elemento, con lo cual la institucionalidad y las victimas, en sus posiciones, </w:t>
      </w:r>
      <w:r w:rsidR="00B56F80" w:rsidRPr="00B56F80">
        <w:rPr>
          <w:rFonts w:ascii="Arial Narrow" w:hAnsi="Arial Narrow"/>
          <w:i/>
          <w:sz w:val="24"/>
          <w:szCs w:val="24"/>
        </w:rPr>
        <w:t>también</w:t>
      </w:r>
      <w:r w:rsidR="00E906CE" w:rsidRPr="00B56F80">
        <w:rPr>
          <w:rFonts w:ascii="Arial Narrow" w:hAnsi="Arial Narrow"/>
          <w:i/>
          <w:sz w:val="24"/>
          <w:szCs w:val="24"/>
        </w:rPr>
        <w:t xml:space="preserve"> resultan afianzadas.</w:t>
      </w:r>
      <w:r w:rsidRPr="00B56F80">
        <w:rPr>
          <w:rFonts w:ascii="Arial Narrow" w:hAnsi="Arial Narrow"/>
          <w:i/>
          <w:sz w:val="24"/>
          <w:szCs w:val="24"/>
        </w:rPr>
        <w:t>”</w:t>
      </w:r>
    </w:p>
    <w:p w14:paraId="14355435" w14:textId="77777777" w:rsidR="00E906CE" w:rsidRPr="00B56F80" w:rsidRDefault="00E906CE" w:rsidP="00897250">
      <w:pPr>
        <w:spacing w:after="0" w:line="240" w:lineRule="auto"/>
        <w:jc w:val="both"/>
        <w:rPr>
          <w:rFonts w:ascii="Arial Narrow" w:hAnsi="Arial Narrow"/>
          <w:sz w:val="24"/>
          <w:szCs w:val="24"/>
        </w:rPr>
      </w:pPr>
    </w:p>
    <w:p w14:paraId="6AFA5E92" w14:textId="41369497" w:rsidR="00E906CE" w:rsidRPr="00B56F80" w:rsidRDefault="00E906CE"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Es oportuno reiterar en este punto que el reconocimiento que la Corte Constitucional realizará del derecho a la </w:t>
      </w:r>
      <w:r w:rsidR="00B56F80" w:rsidRPr="00B56F80">
        <w:rPr>
          <w:rFonts w:ascii="Arial Narrow" w:hAnsi="Arial Narrow"/>
          <w:sz w:val="24"/>
          <w:szCs w:val="24"/>
        </w:rPr>
        <w:t>impugnación</w:t>
      </w:r>
      <w:r w:rsidRPr="00B56F80">
        <w:rPr>
          <w:rFonts w:ascii="Arial Narrow" w:hAnsi="Arial Narrow"/>
          <w:sz w:val="24"/>
          <w:szCs w:val="24"/>
        </w:rPr>
        <w:t xml:space="preserve"> de la sentencia condenatoria en </w:t>
      </w:r>
      <w:r w:rsidR="00B56F80" w:rsidRPr="00B56F80">
        <w:rPr>
          <w:rFonts w:ascii="Arial Narrow" w:hAnsi="Arial Narrow"/>
          <w:sz w:val="24"/>
          <w:szCs w:val="24"/>
        </w:rPr>
        <w:t>única</w:t>
      </w:r>
      <w:r w:rsidRPr="00B56F80">
        <w:rPr>
          <w:rFonts w:ascii="Arial Narrow" w:hAnsi="Arial Narrow"/>
          <w:sz w:val="24"/>
          <w:szCs w:val="24"/>
        </w:rPr>
        <w:t xml:space="preserve"> instancia, no implica poner en duda la </w:t>
      </w:r>
      <w:r w:rsidR="00B56F80" w:rsidRPr="00B56F80">
        <w:rPr>
          <w:rFonts w:ascii="Arial Narrow" w:hAnsi="Arial Narrow"/>
          <w:sz w:val="24"/>
          <w:szCs w:val="24"/>
        </w:rPr>
        <w:t>corrección</w:t>
      </w:r>
      <w:r w:rsidRPr="00B56F80">
        <w:rPr>
          <w:rFonts w:ascii="Arial Narrow" w:hAnsi="Arial Narrow"/>
          <w:sz w:val="24"/>
          <w:szCs w:val="24"/>
        </w:rPr>
        <w:t xml:space="preserve"> de la </w:t>
      </w:r>
      <w:r w:rsidR="00B56F80" w:rsidRPr="00B56F80">
        <w:rPr>
          <w:rFonts w:ascii="Arial Narrow" w:hAnsi="Arial Narrow"/>
          <w:sz w:val="24"/>
          <w:szCs w:val="24"/>
        </w:rPr>
        <w:t>decisión</w:t>
      </w:r>
      <w:r w:rsidRPr="00B56F80">
        <w:rPr>
          <w:rFonts w:ascii="Arial Narrow" w:hAnsi="Arial Narrow"/>
          <w:sz w:val="24"/>
          <w:szCs w:val="24"/>
        </w:rPr>
        <w:t xml:space="preserve"> adoptada por la Sala de </w:t>
      </w:r>
      <w:r w:rsidR="00B56F80" w:rsidRPr="00B56F80">
        <w:rPr>
          <w:rFonts w:ascii="Arial Narrow" w:hAnsi="Arial Narrow"/>
          <w:sz w:val="24"/>
          <w:szCs w:val="24"/>
        </w:rPr>
        <w:t>Casación</w:t>
      </w:r>
      <w:r w:rsidRPr="00B56F80">
        <w:rPr>
          <w:rFonts w:ascii="Arial Narrow" w:hAnsi="Arial Narrow"/>
          <w:sz w:val="24"/>
          <w:szCs w:val="24"/>
        </w:rPr>
        <w:t xml:space="preserve"> Penal en la Sentencia de 16 de julio de 2014 – nada </w:t>
      </w:r>
      <w:r w:rsidR="00B56F80" w:rsidRPr="00B56F80">
        <w:rPr>
          <w:rFonts w:ascii="Arial Narrow" w:hAnsi="Arial Narrow"/>
          <w:sz w:val="24"/>
          <w:szCs w:val="24"/>
        </w:rPr>
        <w:t>más</w:t>
      </w:r>
      <w:r w:rsidRPr="00B56F80">
        <w:rPr>
          <w:rFonts w:ascii="Arial Narrow" w:hAnsi="Arial Narrow"/>
          <w:sz w:val="24"/>
          <w:szCs w:val="24"/>
        </w:rPr>
        <w:t xml:space="preserve"> lejano de una </w:t>
      </w:r>
      <w:r w:rsidR="00B56F80" w:rsidRPr="00B56F80">
        <w:rPr>
          <w:rFonts w:ascii="Arial Narrow" w:hAnsi="Arial Narrow"/>
          <w:sz w:val="24"/>
          <w:szCs w:val="24"/>
        </w:rPr>
        <w:t>apreciación</w:t>
      </w:r>
      <w:r w:rsidRPr="00B56F80">
        <w:rPr>
          <w:rFonts w:ascii="Arial Narrow" w:hAnsi="Arial Narrow"/>
          <w:sz w:val="24"/>
          <w:szCs w:val="24"/>
        </w:rPr>
        <w:t xml:space="preserve"> en tal sentido, significa, simplemente, el reconocimiento de un beneficio constitucional del que son titulares aquellos que son condenados por una </w:t>
      </w:r>
      <w:r w:rsidR="00B56F80" w:rsidRPr="00B56F80">
        <w:rPr>
          <w:rFonts w:ascii="Arial Narrow" w:hAnsi="Arial Narrow"/>
          <w:sz w:val="24"/>
          <w:szCs w:val="24"/>
        </w:rPr>
        <w:t>única</w:t>
      </w:r>
      <w:r w:rsidRPr="00B56F80">
        <w:rPr>
          <w:rFonts w:ascii="Arial Narrow" w:hAnsi="Arial Narrow"/>
          <w:sz w:val="24"/>
          <w:szCs w:val="24"/>
        </w:rPr>
        <w:t xml:space="preserve"> </w:t>
      </w:r>
      <w:r w:rsidR="00B56F80" w:rsidRPr="00B56F80">
        <w:rPr>
          <w:rFonts w:ascii="Arial Narrow" w:hAnsi="Arial Narrow"/>
          <w:sz w:val="24"/>
          <w:szCs w:val="24"/>
        </w:rPr>
        <w:t>decisión</w:t>
      </w:r>
      <w:r w:rsidRPr="00B56F80">
        <w:rPr>
          <w:rFonts w:ascii="Arial Narrow" w:hAnsi="Arial Narrow"/>
          <w:sz w:val="24"/>
          <w:szCs w:val="24"/>
        </w:rPr>
        <w:t xml:space="preserve">, y que se concreta en el </w:t>
      </w:r>
      <w:r w:rsidR="00B56F80" w:rsidRPr="00B56F80">
        <w:rPr>
          <w:rFonts w:ascii="Arial Narrow" w:hAnsi="Arial Narrow"/>
          <w:sz w:val="24"/>
          <w:szCs w:val="24"/>
        </w:rPr>
        <w:t>análisis</w:t>
      </w:r>
      <w:r w:rsidRPr="00B56F80">
        <w:rPr>
          <w:rFonts w:ascii="Arial Narrow" w:hAnsi="Arial Narrow"/>
          <w:sz w:val="24"/>
          <w:szCs w:val="24"/>
        </w:rPr>
        <w:t xml:space="preserve"> integral de su caso por otro juez, bajo el ordenamiento aplicable.</w:t>
      </w:r>
    </w:p>
    <w:p w14:paraId="7A3E9B51" w14:textId="77777777" w:rsidR="00E906CE" w:rsidRPr="00B56F80" w:rsidRDefault="00E906CE" w:rsidP="00B2167E">
      <w:pPr>
        <w:spacing w:after="0" w:line="240" w:lineRule="auto"/>
        <w:ind w:left="426"/>
        <w:jc w:val="both"/>
        <w:rPr>
          <w:rFonts w:ascii="Arial Narrow" w:hAnsi="Arial Narrow"/>
          <w:sz w:val="24"/>
          <w:szCs w:val="24"/>
        </w:rPr>
      </w:pPr>
    </w:p>
    <w:p w14:paraId="04DBF596" w14:textId="4EC4B0CE" w:rsidR="00E906CE" w:rsidRPr="00B56F80" w:rsidRDefault="00B56F80" w:rsidP="00B2167E">
      <w:pPr>
        <w:spacing w:after="0" w:line="240" w:lineRule="auto"/>
        <w:ind w:left="426"/>
        <w:jc w:val="both"/>
        <w:rPr>
          <w:rFonts w:ascii="Arial Narrow" w:hAnsi="Arial Narrow"/>
          <w:sz w:val="24"/>
          <w:szCs w:val="24"/>
        </w:rPr>
      </w:pPr>
      <w:r w:rsidRPr="00B56F80">
        <w:rPr>
          <w:rFonts w:ascii="Arial Narrow" w:hAnsi="Arial Narrow"/>
          <w:sz w:val="24"/>
          <w:szCs w:val="24"/>
        </w:rPr>
        <w:t>Así</w:t>
      </w:r>
      <w:r w:rsidR="00E906CE" w:rsidRPr="00B56F80">
        <w:rPr>
          <w:rFonts w:ascii="Arial Narrow" w:hAnsi="Arial Narrow"/>
          <w:sz w:val="24"/>
          <w:szCs w:val="24"/>
        </w:rPr>
        <w:t xml:space="preserve"> mismo debe la Sala Plena destacar que tras el reconocimiento del derecho del accionante a impugnar la sentencia condenatoria no existe margen alguno de impunidad. </w:t>
      </w:r>
      <w:r w:rsidR="00394709" w:rsidRPr="00B56F80">
        <w:rPr>
          <w:rFonts w:ascii="Arial Narrow" w:hAnsi="Arial Narrow"/>
          <w:sz w:val="24"/>
          <w:szCs w:val="24"/>
        </w:rPr>
        <w:t xml:space="preserve">Admitir un argumento en tal sentido es insostenible, porque implica prejuzgar a los funcionarios judiciales que se ocuparan de la </w:t>
      </w:r>
      <w:r w:rsidRPr="00B56F80">
        <w:rPr>
          <w:rFonts w:ascii="Arial Narrow" w:hAnsi="Arial Narrow"/>
          <w:sz w:val="24"/>
          <w:szCs w:val="24"/>
        </w:rPr>
        <w:t>resolución</w:t>
      </w:r>
      <w:r w:rsidR="00394709" w:rsidRPr="00B56F80">
        <w:rPr>
          <w:rFonts w:ascii="Arial Narrow" w:hAnsi="Arial Narrow"/>
          <w:sz w:val="24"/>
          <w:szCs w:val="24"/>
        </w:rPr>
        <w:t xml:space="preserve"> de la </w:t>
      </w:r>
      <w:r w:rsidRPr="00B56F80">
        <w:rPr>
          <w:rFonts w:ascii="Arial Narrow" w:hAnsi="Arial Narrow"/>
          <w:sz w:val="24"/>
          <w:szCs w:val="24"/>
        </w:rPr>
        <w:t>impugnación</w:t>
      </w:r>
      <w:r w:rsidR="00394709" w:rsidRPr="00B56F80">
        <w:rPr>
          <w:rFonts w:ascii="Arial Narrow" w:hAnsi="Arial Narrow"/>
          <w:sz w:val="24"/>
          <w:szCs w:val="24"/>
        </w:rPr>
        <w:t xml:space="preserve"> </w:t>
      </w:r>
      <w:r w:rsidRPr="00B56F80">
        <w:rPr>
          <w:rFonts w:ascii="Arial Narrow" w:hAnsi="Arial Narrow"/>
          <w:sz w:val="24"/>
          <w:szCs w:val="24"/>
        </w:rPr>
        <w:t>imputándoles</w:t>
      </w:r>
      <w:r w:rsidR="00394709" w:rsidRPr="00B56F80">
        <w:rPr>
          <w:rFonts w:ascii="Arial Narrow" w:hAnsi="Arial Narrow"/>
          <w:sz w:val="24"/>
          <w:szCs w:val="24"/>
        </w:rPr>
        <w:t xml:space="preserve"> que el ejercicio de su </w:t>
      </w:r>
      <w:r w:rsidRPr="00B56F80">
        <w:rPr>
          <w:rFonts w:ascii="Arial Narrow" w:hAnsi="Arial Narrow"/>
          <w:sz w:val="24"/>
          <w:szCs w:val="24"/>
        </w:rPr>
        <w:t>función</w:t>
      </w:r>
      <w:r w:rsidR="00394709" w:rsidRPr="00B56F80">
        <w:rPr>
          <w:rFonts w:ascii="Arial Narrow" w:hAnsi="Arial Narrow"/>
          <w:sz w:val="24"/>
          <w:szCs w:val="24"/>
        </w:rPr>
        <w:t xml:space="preserve"> se </w:t>
      </w:r>
      <w:r w:rsidRPr="00B56F80">
        <w:rPr>
          <w:rFonts w:ascii="Arial Narrow" w:hAnsi="Arial Narrow"/>
          <w:sz w:val="24"/>
          <w:szCs w:val="24"/>
        </w:rPr>
        <w:t>dará</w:t>
      </w:r>
      <w:r w:rsidR="00394709" w:rsidRPr="00B56F80">
        <w:rPr>
          <w:rFonts w:ascii="Arial Narrow" w:hAnsi="Arial Narrow"/>
          <w:sz w:val="24"/>
          <w:szCs w:val="24"/>
        </w:rPr>
        <w:t xml:space="preserve"> fuera del marco constitucional y legal; </w:t>
      </w:r>
      <w:r w:rsidRPr="00B56F80">
        <w:rPr>
          <w:rFonts w:ascii="Arial Narrow" w:hAnsi="Arial Narrow"/>
          <w:sz w:val="24"/>
          <w:szCs w:val="24"/>
        </w:rPr>
        <w:t>aseveración</w:t>
      </w:r>
      <w:r w:rsidR="00394709" w:rsidRPr="00B56F80">
        <w:rPr>
          <w:rFonts w:ascii="Arial Narrow" w:hAnsi="Arial Narrow"/>
          <w:sz w:val="24"/>
          <w:szCs w:val="24"/>
        </w:rPr>
        <w:t xml:space="preserve"> que es a todas luces contraria a la </w:t>
      </w:r>
      <w:r w:rsidRPr="00B56F80">
        <w:rPr>
          <w:rFonts w:ascii="Arial Narrow" w:hAnsi="Arial Narrow"/>
          <w:sz w:val="24"/>
          <w:szCs w:val="24"/>
        </w:rPr>
        <w:t>Constitución</w:t>
      </w:r>
      <w:r w:rsidR="00394709" w:rsidRPr="00B56F80">
        <w:rPr>
          <w:rFonts w:ascii="Arial Narrow" w:hAnsi="Arial Narrow"/>
          <w:sz w:val="24"/>
          <w:szCs w:val="24"/>
        </w:rPr>
        <w:t xml:space="preserve"> </w:t>
      </w:r>
      <w:r w:rsidRPr="00B56F80">
        <w:rPr>
          <w:rFonts w:ascii="Arial Narrow" w:hAnsi="Arial Narrow"/>
          <w:sz w:val="24"/>
          <w:szCs w:val="24"/>
        </w:rPr>
        <w:t>Política</w:t>
      </w:r>
      <w:r w:rsidR="00394709" w:rsidRPr="00B56F80">
        <w:rPr>
          <w:rFonts w:ascii="Arial Narrow" w:hAnsi="Arial Narrow"/>
          <w:sz w:val="24"/>
          <w:szCs w:val="24"/>
        </w:rPr>
        <w:t xml:space="preserve">, que tiene como pilar la buena fe y, </w:t>
      </w:r>
      <w:r w:rsidRPr="00B56F80">
        <w:rPr>
          <w:rFonts w:ascii="Arial Narrow" w:hAnsi="Arial Narrow"/>
          <w:sz w:val="24"/>
          <w:szCs w:val="24"/>
        </w:rPr>
        <w:t>además</w:t>
      </w:r>
      <w:r w:rsidR="00394709" w:rsidRPr="00B56F80">
        <w:rPr>
          <w:rFonts w:ascii="Arial Narrow" w:hAnsi="Arial Narrow"/>
          <w:sz w:val="24"/>
          <w:szCs w:val="24"/>
        </w:rPr>
        <w:t xml:space="preserve">, fija una serie de principios y reglas rigurosos que sujetan la </w:t>
      </w:r>
      <w:r w:rsidRPr="00B56F80">
        <w:rPr>
          <w:rFonts w:ascii="Arial Narrow" w:hAnsi="Arial Narrow"/>
          <w:sz w:val="24"/>
          <w:szCs w:val="24"/>
        </w:rPr>
        <w:t>actuación</w:t>
      </w:r>
      <w:r w:rsidR="00394709" w:rsidRPr="00B56F80">
        <w:rPr>
          <w:rFonts w:ascii="Arial Narrow" w:hAnsi="Arial Narrow"/>
          <w:sz w:val="24"/>
          <w:szCs w:val="24"/>
        </w:rPr>
        <w:t xml:space="preserve"> de toda </w:t>
      </w:r>
      <w:r w:rsidRPr="00B56F80">
        <w:rPr>
          <w:rFonts w:ascii="Arial Narrow" w:hAnsi="Arial Narrow"/>
          <w:sz w:val="24"/>
          <w:szCs w:val="24"/>
        </w:rPr>
        <w:t>autoridad</w:t>
      </w:r>
      <w:r w:rsidR="00394709" w:rsidRPr="00B56F80">
        <w:rPr>
          <w:rFonts w:ascii="Arial Narrow" w:hAnsi="Arial Narrow"/>
          <w:sz w:val="24"/>
          <w:szCs w:val="24"/>
        </w:rPr>
        <w:t>.</w:t>
      </w:r>
    </w:p>
    <w:p w14:paraId="338D658C" w14:textId="77777777" w:rsidR="00394709" w:rsidRPr="00B56F80" w:rsidRDefault="00394709" w:rsidP="00B2167E">
      <w:pPr>
        <w:spacing w:after="0" w:line="240" w:lineRule="auto"/>
        <w:ind w:left="426"/>
        <w:jc w:val="both"/>
        <w:rPr>
          <w:rFonts w:ascii="Arial Narrow" w:hAnsi="Arial Narrow"/>
          <w:sz w:val="24"/>
          <w:szCs w:val="24"/>
        </w:rPr>
      </w:pPr>
    </w:p>
    <w:p w14:paraId="527D76DD" w14:textId="0AA83667" w:rsidR="00394709" w:rsidRPr="00B56F80" w:rsidRDefault="00394709"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De esta manera tenemos que no se presentan sacrificios absolutos de los principios en </w:t>
      </w:r>
      <w:r w:rsidR="00B56F80" w:rsidRPr="00B56F80">
        <w:rPr>
          <w:rFonts w:ascii="Arial Narrow" w:hAnsi="Arial Narrow"/>
          <w:sz w:val="24"/>
          <w:szCs w:val="24"/>
        </w:rPr>
        <w:t>tensión</w:t>
      </w:r>
      <w:r w:rsidRPr="00B56F80">
        <w:rPr>
          <w:rFonts w:ascii="Arial Narrow" w:hAnsi="Arial Narrow"/>
          <w:sz w:val="24"/>
          <w:szCs w:val="24"/>
        </w:rPr>
        <w:t xml:space="preserve">, por el contrario, su defensa </w:t>
      </w:r>
      <w:r w:rsidR="00B56F80" w:rsidRPr="00B56F80">
        <w:rPr>
          <w:rFonts w:ascii="Arial Narrow" w:hAnsi="Arial Narrow"/>
          <w:sz w:val="24"/>
          <w:szCs w:val="24"/>
        </w:rPr>
        <w:t>tendrá</w:t>
      </w:r>
      <w:r w:rsidRPr="00B56F80">
        <w:rPr>
          <w:rFonts w:ascii="Arial Narrow" w:hAnsi="Arial Narrow"/>
          <w:sz w:val="24"/>
          <w:szCs w:val="24"/>
        </w:rPr>
        <w:t xml:space="preserve"> implicaciones en la </w:t>
      </w:r>
      <w:r w:rsidR="00B56F80" w:rsidRPr="00B56F80">
        <w:rPr>
          <w:rFonts w:ascii="Arial Narrow" w:hAnsi="Arial Narrow"/>
          <w:sz w:val="24"/>
          <w:szCs w:val="24"/>
        </w:rPr>
        <w:t>adopción</w:t>
      </w:r>
      <w:r w:rsidRPr="00B56F80">
        <w:rPr>
          <w:rFonts w:ascii="Arial Narrow" w:hAnsi="Arial Narrow"/>
          <w:sz w:val="24"/>
          <w:szCs w:val="24"/>
        </w:rPr>
        <w:t xml:space="preserve"> del remedio judicial, </w:t>
      </w:r>
      <w:r w:rsidR="00B56F80" w:rsidRPr="00B56F80">
        <w:rPr>
          <w:rFonts w:ascii="Arial Narrow" w:hAnsi="Arial Narrow"/>
          <w:sz w:val="24"/>
          <w:szCs w:val="24"/>
        </w:rPr>
        <w:t>específicamente</w:t>
      </w:r>
      <w:r w:rsidRPr="00B56F80">
        <w:rPr>
          <w:rFonts w:ascii="Arial Narrow" w:hAnsi="Arial Narrow"/>
          <w:sz w:val="24"/>
          <w:szCs w:val="24"/>
        </w:rPr>
        <w:t xml:space="preserve">, en cuanto al efecto que generará la </w:t>
      </w:r>
      <w:r w:rsidR="00B56F80" w:rsidRPr="00B56F80">
        <w:rPr>
          <w:rFonts w:ascii="Arial Narrow" w:hAnsi="Arial Narrow"/>
          <w:sz w:val="24"/>
          <w:szCs w:val="24"/>
        </w:rPr>
        <w:t>concesión</w:t>
      </w:r>
      <w:r w:rsidRPr="00B56F80">
        <w:rPr>
          <w:rFonts w:ascii="Arial Narrow" w:hAnsi="Arial Narrow"/>
          <w:sz w:val="24"/>
          <w:szCs w:val="24"/>
        </w:rPr>
        <w:t xml:space="preserve"> de la </w:t>
      </w:r>
      <w:r w:rsidR="00B56F80" w:rsidRPr="00B56F80">
        <w:rPr>
          <w:rFonts w:ascii="Arial Narrow" w:hAnsi="Arial Narrow"/>
          <w:sz w:val="24"/>
          <w:szCs w:val="24"/>
        </w:rPr>
        <w:t>impugnación</w:t>
      </w:r>
      <w:r w:rsidRPr="00B56F80">
        <w:rPr>
          <w:rFonts w:ascii="Arial Narrow" w:hAnsi="Arial Narrow"/>
          <w:sz w:val="24"/>
          <w:szCs w:val="24"/>
        </w:rPr>
        <w:t xml:space="preserve"> respecto de asuntos tales como los </w:t>
      </w:r>
      <w:r w:rsidR="00B56F80" w:rsidRPr="00B56F80">
        <w:rPr>
          <w:rFonts w:ascii="Arial Narrow" w:hAnsi="Arial Narrow"/>
          <w:sz w:val="24"/>
          <w:szCs w:val="24"/>
        </w:rPr>
        <w:t>fenómenos</w:t>
      </w:r>
      <w:r w:rsidRPr="00B56F80">
        <w:rPr>
          <w:rFonts w:ascii="Arial Narrow" w:hAnsi="Arial Narrow"/>
          <w:sz w:val="24"/>
          <w:szCs w:val="24"/>
        </w:rPr>
        <w:t xml:space="preserve"> que se predican del paso del tiempo, y la </w:t>
      </w:r>
      <w:r w:rsidR="00B56F80" w:rsidRPr="00B56F80">
        <w:rPr>
          <w:rFonts w:ascii="Arial Narrow" w:hAnsi="Arial Narrow"/>
          <w:sz w:val="24"/>
          <w:szCs w:val="24"/>
        </w:rPr>
        <w:t>privación</w:t>
      </w:r>
      <w:r w:rsidRPr="00B56F80">
        <w:rPr>
          <w:rFonts w:ascii="Arial Narrow" w:hAnsi="Arial Narrow"/>
          <w:sz w:val="24"/>
          <w:szCs w:val="24"/>
        </w:rPr>
        <w:t xml:space="preserve"> de la libertad en que se encuentra el accionante en la actualidad.</w:t>
      </w:r>
    </w:p>
    <w:p w14:paraId="437C1183" w14:textId="77777777" w:rsidR="00806FE4" w:rsidRPr="00B56F80" w:rsidRDefault="00806FE4" w:rsidP="00B2167E">
      <w:pPr>
        <w:spacing w:after="0" w:line="240" w:lineRule="auto"/>
        <w:ind w:left="426"/>
        <w:jc w:val="both"/>
        <w:rPr>
          <w:rFonts w:ascii="Arial Narrow" w:hAnsi="Arial Narrow"/>
          <w:sz w:val="24"/>
          <w:szCs w:val="24"/>
        </w:rPr>
      </w:pPr>
    </w:p>
    <w:p w14:paraId="32C1CF28" w14:textId="78F5AB24" w:rsidR="001B1F8E" w:rsidRPr="00B56F80" w:rsidRDefault="001B1F8E"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La Sala de </w:t>
      </w:r>
      <w:r w:rsidR="00B56F80" w:rsidRPr="00B56F80">
        <w:rPr>
          <w:rFonts w:ascii="Arial Narrow" w:hAnsi="Arial Narrow"/>
          <w:sz w:val="24"/>
          <w:szCs w:val="24"/>
        </w:rPr>
        <w:t>Casación</w:t>
      </w:r>
      <w:r w:rsidRPr="00B56F80">
        <w:rPr>
          <w:rFonts w:ascii="Arial Narrow" w:hAnsi="Arial Narrow"/>
          <w:sz w:val="24"/>
          <w:szCs w:val="24"/>
        </w:rPr>
        <w:t xml:space="preserve"> Penal ha invo</w:t>
      </w:r>
      <w:r w:rsidR="00806FE4" w:rsidRPr="00B56F80">
        <w:rPr>
          <w:rFonts w:ascii="Arial Narrow" w:hAnsi="Arial Narrow"/>
          <w:sz w:val="24"/>
          <w:szCs w:val="24"/>
        </w:rPr>
        <w:t>c</w:t>
      </w:r>
      <w:r w:rsidRPr="00B56F80">
        <w:rPr>
          <w:rFonts w:ascii="Arial Narrow" w:hAnsi="Arial Narrow"/>
          <w:sz w:val="24"/>
          <w:szCs w:val="24"/>
        </w:rPr>
        <w:t>ado aspectos de orden institucional para declarar la improcedencia de l</w:t>
      </w:r>
      <w:r w:rsidR="00586CF7" w:rsidRPr="00B56F80">
        <w:rPr>
          <w:rFonts w:ascii="Arial Narrow" w:hAnsi="Arial Narrow"/>
          <w:sz w:val="24"/>
          <w:szCs w:val="24"/>
        </w:rPr>
        <w:t xml:space="preserve">a </w:t>
      </w:r>
      <w:r w:rsidR="00B56F80" w:rsidRPr="00B56F80">
        <w:rPr>
          <w:rFonts w:ascii="Arial Narrow" w:hAnsi="Arial Narrow"/>
          <w:sz w:val="24"/>
          <w:szCs w:val="24"/>
        </w:rPr>
        <w:t>garantía</w:t>
      </w:r>
      <w:r w:rsidR="00586CF7" w:rsidRPr="00B56F80">
        <w:rPr>
          <w:rFonts w:ascii="Arial Narrow" w:hAnsi="Arial Narrow"/>
          <w:sz w:val="24"/>
          <w:szCs w:val="24"/>
        </w:rPr>
        <w:t xml:space="preserve"> fundamental de la doble conformidad</w:t>
      </w:r>
      <w:r w:rsidRPr="00B56F80">
        <w:rPr>
          <w:rFonts w:ascii="Arial Narrow" w:hAnsi="Arial Narrow"/>
          <w:sz w:val="24"/>
          <w:szCs w:val="24"/>
        </w:rPr>
        <w:t xml:space="preserve">, como la inexistencia de un superior </w:t>
      </w:r>
      <w:r w:rsidR="00B56F80" w:rsidRPr="00B56F80">
        <w:rPr>
          <w:rFonts w:ascii="Arial Narrow" w:hAnsi="Arial Narrow"/>
          <w:sz w:val="24"/>
          <w:szCs w:val="24"/>
        </w:rPr>
        <w:t>jerárquico</w:t>
      </w:r>
      <w:r w:rsidRPr="00B56F80">
        <w:rPr>
          <w:rFonts w:ascii="Arial Narrow" w:hAnsi="Arial Narrow"/>
          <w:sz w:val="24"/>
          <w:szCs w:val="24"/>
        </w:rPr>
        <w:t xml:space="preserve">. Al respecto, siguiendo el </w:t>
      </w:r>
      <w:r w:rsidR="00B56F80" w:rsidRPr="00B56F80">
        <w:rPr>
          <w:rFonts w:ascii="Arial Narrow" w:hAnsi="Arial Narrow"/>
          <w:sz w:val="24"/>
          <w:szCs w:val="24"/>
        </w:rPr>
        <w:t>estándar</w:t>
      </w:r>
      <w:r w:rsidRPr="00B56F80">
        <w:rPr>
          <w:rFonts w:ascii="Arial Narrow" w:hAnsi="Arial Narrow"/>
          <w:sz w:val="24"/>
          <w:szCs w:val="24"/>
        </w:rPr>
        <w:t xml:space="preserve"> de </w:t>
      </w:r>
      <w:r w:rsidR="00B56F80" w:rsidRPr="00B56F80">
        <w:rPr>
          <w:rFonts w:ascii="Arial Narrow" w:hAnsi="Arial Narrow"/>
          <w:sz w:val="24"/>
          <w:szCs w:val="24"/>
        </w:rPr>
        <w:t>protección</w:t>
      </w:r>
      <w:r w:rsidRPr="00B56F80">
        <w:rPr>
          <w:rFonts w:ascii="Arial Narrow" w:hAnsi="Arial Narrow"/>
          <w:sz w:val="24"/>
          <w:szCs w:val="24"/>
        </w:rPr>
        <w:t xml:space="preserve"> del derecho e incluso el diseño institucional que el Constituyente Derivado adopto en el Acto Legislativo 01 de 2018, debe precisarse que la </w:t>
      </w:r>
      <w:r w:rsidR="00B56F80" w:rsidRPr="00B56F80">
        <w:rPr>
          <w:rFonts w:ascii="Arial Narrow" w:hAnsi="Arial Narrow"/>
          <w:sz w:val="24"/>
          <w:szCs w:val="24"/>
        </w:rPr>
        <w:t>materialización</w:t>
      </w:r>
      <w:r w:rsidRPr="00B56F80">
        <w:rPr>
          <w:rFonts w:ascii="Arial Narrow" w:hAnsi="Arial Narrow"/>
          <w:sz w:val="24"/>
          <w:szCs w:val="24"/>
        </w:rPr>
        <w:t xml:space="preserve"> del derecho en estudio no exige, cuando ello no es posible, la </w:t>
      </w:r>
      <w:r w:rsidR="00B56F80" w:rsidRPr="00B56F80">
        <w:rPr>
          <w:rFonts w:ascii="Arial Narrow" w:hAnsi="Arial Narrow"/>
          <w:sz w:val="24"/>
          <w:szCs w:val="24"/>
        </w:rPr>
        <w:t>revisión</w:t>
      </w:r>
      <w:r w:rsidRPr="00B56F80">
        <w:rPr>
          <w:rFonts w:ascii="Arial Narrow" w:hAnsi="Arial Narrow"/>
          <w:sz w:val="24"/>
          <w:szCs w:val="24"/>
        </w:rPr>
        <w:t xml:space="preserve"> por un superior funcional (</w:t>
      </w:r>
      <w:r w:rsidR="00B56F80" w:rsidRPr="00B56F80">
        <w:rPr>
          <w:rFonts w:ascii="Arial Narrow" w:hAnsi="Arial Narrow"/>
          <w:sz w:val="24"/>
          <w:szCs w:val="24"/>
        </w:rPr>
        <w:t>párrafos</w:t>
      </w:r>
      <w:r w:rsidRPr="00B56F80">
        <w:rPr>
          <w:rFonts w:ascii="Arial Narrow" w:hAnsi="Arial Narrow"/>
          <w:sz w:val="24"/>
          <w:szCs w:val="24"/>
        </w:rPr>
        <w:t xml:space="preserve"> 99, 102, 223 y 224, supra), sino la existencia de un juez – colegiado en este caso, que por virtud de los principios de imparcialidad e independencia, no haya intervenido en la </w:t>
      </w:r>
      <w:r w:rsidR="00B56F80" w:rsidRPr="00B56F80">
        <w:rPr>
          <w:rFonts w:ascii="Arial Narrow" w:hAnsi="Arial Narrow"/>
          <w:sz w:val="24"/>
          <w:szCs w:val="24"/>
        </w:rPr>
        <w:t>decisión</w:t>
      </w:r>
      <w:r w:rsidRPr="00B56F80">
        <w:rPr>
          <w:rFonts w:ascii="Arial Narrow" w:hAnsi="Arial Narrow"/>
          <w:sz w:val="24"/>
          <w:szCs w:val="24"/>
        </w:rPr>
        <w:t xml:space="preserve"> previa.</w:t>
      </w:r>
    </w:p>
    <w:p w14:paraId="45C92420" w14:textId="77777777" w:rsidR="001B1F8E" w:rsidRPr="00B56F80" w:rsidRDefault="001B1F8E" w:rsidP="00B2167E">
      <w:pPr>
        <w:spacing w:after="0" w:line="240" w:lineRule="auto"/>
        <w:ind w:left="426"/>
        <w:jc w:val="both"/>
        <w:rPr>
          <w:rFonts w:ascii="Arial Narrow" w:hAnsi="Arial Narrow"/>
          <w:sz w:val="24"/>
          <w:szCs w:val="24"/>
        </w:rPr>
      </w:pPr>
    </w:p>
    <w:p w14:paraId="32B27C7E" w14:textId="2FB48A58" w:rsidR="001B1F8E" w:rsidRPr="00B56F80" w:rsidRDefault="001B1F8E"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Ahora bien, la inexistencia de </w:t>
      </w:r>
      <w:r w:rsidR="00B56F80" w:rsidRPr="00B56F80">
        <w:rPr>
          <w:rFonts w:ascii="Arial Narrow" w:hAnsi="Arial Narrow"/>
          <w:sz w:val="24"/>
          <w:szCs w:val="24"/>
        </w:rPr>
        <w:t>regulación</w:t>
      </w:r>
      <w:r w:rsidRPr="00B56F80">
        <w:rPr>
          <w:rFonts w:ascii="Arial Narrow" w:hAnsi="Arial Narrow"/>
          <w:sz w:val="24"/>
          <w:szCs w:val="24"/>
        </w:rPr>
        <w:t xml:space="preserve"> integral sobre el mecanismo que garantice el derecho a la </w:t>
      </w:r>
      <w:r w:rsidR="00B56F80" w:rsidRPr="00B56F80">
        <w:rPr>
          <w:rFonts w:ascii="Arial Narrow" w:hAnsi="Arial Narrow"/>
          <w:sz w:val="24"/>
          <w:szCs w:val="24"/>
        </w:rPr>
        <w:t>impugnación</w:t>
      </w:r>
      <w:r w:rsidRPr="00B56F80">
        <w:rPr>
          <w:rFonts w:ascii="Arial Narrow" w:hAnsi="Arial Narrow"/>
          <w:sz w:val="24"/>
          <w:szCs w:val="24"/>
        </w:rPr>
        <w:t xml:space="preserve"> tampoco puede ser una </w:t>
      </w:r>
      <w:r w:rsidR="00B56F80" w:rsidRPr="00B56F80">
        <w:rPr>
          <w:rFonts w:ascii="Arial Narrow" w:hAnsi="Arial Narrow"/>
          <w:sz w:val="24"/>
          <w:szCs w:val="24"/>
        </w:rPr>
        <w:t>razón</w:t>
      </w:r>
      <w:r w:rsidRPr="00B56F80">
        <w:rPr>
          <w:rFonts w:ascii="Arial Narrow" w:hAnsi="Arial Narrow"/>
          <w:sz w:val="24"/>
          <w:szCs w:val="24"/>
        </w:rPr>
        <w:t xml:space="preserve"> para que la </w:t>
      </w:r>
      <w:r w:rsidR="005E05C6" w:rsidRPr="00B56F80">
        <w:rPr>
          <w:rFonts w:ascii="Arial Narrow" w:hAnsi="Arial Narrow"/>
          <w:sz w:val="24"/>
          <w:szCs w:val="24"/>
        </w:rPr>
        <w:t xml:space="preserve">Corte omita adoptar las </w:t>
      </w:r>
      <w:r w:rsidR="00B56F80" w:rsidRPr="00B56F80">
        <w:rPr>
          <w:rFonts w:ascii="Arial Narrow" w:hAnsi="Arial Narrow"/>
          <w:sz w:val="24"/>
          <w:szCs w:val="24"/>
        </w:rPr>
        <w:t>órdenes</w:t>
      </w:r>
      <w:r w:rsidR="005E05C6" w:rsidRPr="00B56F80">
        <w:rPr>
          <w:rFonts w:ascii="Arial Narrow" w:hAnsi="Arial Narrow"/>
          <w:sz w:val="24"/>
          <w:szCs w:val="24"/>
        </w:rPr>
        <w:t xml:space="preserve"> a que haya lugar para conjurar la </w:t>
      </w:r>
      <w:r w:rsidR="00B56F80" w:rsidRPr="00B56F80">
        <w:rPr>
          <w:rFonts w:ascii="Arial Narrow" w:hAnsi="Arial Narrow"/>
          <w:sz w:val="24"/>
          <w:szCs w:val="24"/>
        </w:rPr>
        <w:t>violación</w:t>
      </w:r>
      <w:r w:rsidR="00586CF7" w:rsidRPr="00B56F80">
        <w:rPr>
          <w:rFonts w:ascii="Arial Narrow" w:hAnsi="Arial Narrow"/>
          <w:sz w:val="24"/>
          <w:szCs w:val="24"/>
        </w:rPr>
        <w:t xml:space="preserve"> que encuentra configurad</w:t>
      </w:r>
      <w:r w:rsidR="005E05C6" w:rsidRPr="00B56F80">
        <w:rPr>
          <w:rFonts w:ascii="Arial Narrow" w:hAnsi="Arial Narrow"/>
          <w:sz w:val="24"/>
          <w:szCs w:val="24"/>
        </w:rPr>
        <w:t xml:space="preserve">a. En este sentido, varias precisiones son relevantes.(i) tal como se </w:t>
      </w:r>
      <w:r w:rsidR="00B56F80" w:rsidRPr="00B56F80">
        <w:rPr>
          <w:rFonts w:ascii="Arial Narrow" w:hAnsi="Arial Narrow"/>
          <w:sz w:val="24"/>
          <w:szCs w:val="24"/>
        </w:rPr>
        <w:t>reconoció</w:t>
      </w:r>
      <w:r w:rsidR="005E05C6" w:rsidRPr="00B56F80">
        <w:rPr>
          <w:rFonts w:ascii="Arial Narrow" w:hAnsi="Arial Narrow"/>
          <w:sz w:val="24"/>
          <w:szCs w:val="24"/>
        </w:rPr>
        <w:t xml:space="preserve"> en la Sentencia C-792 de 2014, la </w:t>
      </w:r>
      <w:r w:rsidR="00B56F80" w:rsidRPr="00B56F80">
        <w:rPr>
          <w:rFonts w:ascii="Arial Narrow" w:hAnsi="Arial Narrow"/>
          <w:sz w:val="24"/>
          <w:szCs w:val="24"/>
        </w:rPr>
        <w:t>adecuación</w:t>
      </w:r>
      <w:r w:rsidR="005E05C6" w:rsidRPr="00B56F80">
        <w:rPr>
          <w:rFonts w:ascii="Arial Narrow" w:hAnsi="Arial Narrow"/>
          <w:sz w:val="24"/>
          <w:szCs w:val="24"/>
        </w:rPr>
        <w:t xml:space="preserve"> institucional y procesal para la </w:t>
      </w:r>
      <w:r w:rsidR="00B56F80" w:rsidRPr="00B56F80">
        <w:rPr>
          <w:rFonts w:ascii="Arial Narrow" w:hAnsi="Arial Narrow"/>
          <w:sz w:val="24"/>
          <w:szCs w:val="24"/>
        </w:rPr>
        <w:t>garantía</w:t>
      </w:r>
      <w:r w:rsidR="005E05C6" w:rsidRPr="00B56F80">
        <w:rPr>
          <w:rFonts w:ascii="Arial Narrow" w:hAnsi="Arial Narrow"/>
          <w:sz w:val="24"/>
          <w:szCs w:val="24"/>
        </w:rPr>
        <w:t xml:space="preserve"> del derecho </w:t>
      </w:r>
      <w:r w:rsidR="00B56F80" w:rsidRPr="00B56F80">
        <w:rPr>
          <w:rFonts w:ascii="Arial Narrow" w:hAnsi="Arial Narrow"/>
          <w:sz w:val="24"/>
          <w:szCs w:val="24"/>
        </w:rPr>
        <w:t>debía</w:t>
      </w:r>
      <w:r w:rsidR="005E05C6" w:rsidRPr="00B56F80">
        <w:rPr>
          <w:rFonts w:ascii="Arial Narrow" w:hAnsi="Arial Narrow"/>
          <w:sz w:val="24"/>
          <w:szCs w:val="24"/>
        </w:rPr>
        <w:t xml:space="preserve"> ser promovida por el Legislador, (ii) no obstante, luego del exhorto realizado en tal oportunidad, y en posteriores ocasiones en las que la Sala Plena ha resuelto asuntos relacionados con este mismo asunto, no hay una </w:t>
      </w:r>
      <w:r w:rsidR="00B56F80" w:rsidRPr="00B56F80">
        <w:rPr>
          <w:rFonts w:ascii="Arial Narrow" w:hAnsi="Arial Narrow"/>
          <w:sz w:val="24"/>
          <w:szCs w:val="24"/>
        </w:rPr>
        <w:t>regulación</w:t>
      </w:r>
      <w:r w:rsidR="005E05C6" w:rsidRPr="00B56F80">
        <w:rPr>
          <w:rFonts w:ascii="Arial Narrow" w:hAnsi="Arial Narrow"/>
          <w:sz w:val="24"/>
          <w:szCs w:val="24"/>
        </w:rPr>
        <w:t xml:space="preserve"> exhaustiva al respecto; (iii) por lo cual incl</w:t>
      </w:r>
      <w:r w:rsidR="003F3745" w:rsidRPr="00B56F80">
        <w:rPr>
          <w:rFonts w:ascii="Arial Narrow" w:hAnsi="Arial Narrow"/>
          <w:sz w:val="24"/>
          <w:szCs w:val="24"/>
        </w:rPr>
        <w:t xml:space="preserve">uso la Sala de </w:t>
      </w:r>
      <w:r w:rsidR="00B56F80" w:rsidRPr="00B56F80">
        <w:rPr>
          <w:rFonts w:ascii="Arial Narrow" w:hAnsi="Arial Narrow"/>
          <w:sz w:val="24"/>
          <w:szCs w:val="24"/>
        </w:rPr>
        <w:t>Casación</w:t>
      </w:r>
      <w:r w:rsidR="003F3745" w:rsidRPr="00B56F80">
        <w:rPr>
          <w:rFonts w:ascii="Arial Narrow" w:hAnsi="Arial Narrow"/>
          <w:sz w:val="24"/>
          <w:szCs w:val="24"/>
        </w:rPr>
        <w:t xml:space="preserve"> Penal de la Corte Suprema de Justicia, como se verifico en la Sentencia SU-218 de 2019, ha adoptado medidas para garantizar el derecho, </w:t>
      </w:r>
      <w:r w:rsidR="00B56F80" w:rsidRPr="00B56F80">
        <w:rPr>
          <w:rFonts w:ascii="Arial Narrow" w:hAnsi="Arial Narrow"/>
          <w:sz w:val="24"/>
          <w:szCs w:val="24"/>
        </w:rPr>
        <w:t>además</w:t>
      </w:r>
      <w:r w:rsidR="003F3745" w:rsidRPr="00B56F80">
        <w:rPr>
          <w:rFonts w:ascii="Arial Narrow" w:hAnsi="Arial Narrow"/>
          <w:sz w:val="24"/>
          <w:szCs w:val="24"/>
        </w:rPr>
        <w:t xml:space="preserve"> de lo anterior como herramienta a tener en cuenta lo cierto es que el Acto Legislativo 01 de 2018 si brinda elementos de </w:t>
      </w:r>
      <w:r w:rsidR="00B56F80" w:rsidRPr="00B56F80">
        <w:rPr>
          <w:rFonts w:ascii="Arial Narrow" w:hAnsi="Arial Narrow"/>
          <w:sz w:val="24"/>
          <w:szCs w:val="24"/>
        </w:rPr>
        <w:t>configuración</w:t>
      </w:r>
      <w:r w:rsidR="003F3745" w:rsidRPr="00B56F80">
        <w:rPr>
          <w:rFonts w:ascii="Arial Narrow" w:hAnsi="Arial Narrow"/>
          <w:sz w:val="24"/>
          <w:szCs w:val="24"/>
        </w:rPr>
        <w:t xml:space="preserve"> que permiten evidenciar un </w:t>
      </w:r>
      <w:r w:rsidR="00B56F80" w:rsidRPr="00B56F80">
        <w:rPr>
          <w:rFonts w:ascii="Arial Narrow" w:hAnsi="Arial Narrow"/>
          <w:sz w:val="24"/>
          <w:szCs w:val="24"/>
        </w:rPr>
        <w:t>mínimo</w:t>
      </w:r>
      <w:r w:rsidR="003F3745" w:rsidRPr="00B56F80">
        <w:rPr>
          <w:rFonts w:ascii="Arial Narrow" w:hAnsi="Arial Narrow"/>
          <w:sz w:val="24"/>
          <w:szCs w:val="24"/>
        </w:rPr>
        <w:t xml:space="preserve"> de </w:t>
      </w:r>
      <w:r w:rsidR="00B56F80" w:rsidRPr="00B56F80">
        <w:rPr>
          <w:rFonts w:ascii="Arial Narrow" w:hAnsi="Arial Narrow"/>
          <w:sz w:val="24"/>
          <w:szCs w:val="24"/>
        </w:rPr>
        <w:t>regulación</w:t>
      </w:r>
      <w:r w:rsidR="003F3745" w:rsidRPr="00B56F80">
        <w:rPr>
          <w:rFonts w:ascii="Arial Narrow" w:hAnsi="Arial Narrow"/>
          <w:sz w:val="24"/>
          <w:szCs w:val="24"/>
        </w:rPr>
        <w:t xml:space="preserve">. (iv) por otro lado se valora que el derecho reclamado es de aplicación inmediata, conforme al </w:t>
      </w:r>
      <w:r w:rsidR="00B56F80" w:rsidRPr="00B56F80">
        <w:rPr>
          <w:rFonts w:ascii="Arial Narrow" w:hAnsi="Arial Narrow"/>
          <w:sz w:val="24"/>
          <w:szCs w:val="24"/>
        </w:rPr>
        <w:t>artículo</w:t>
      </w:r>
      <w:r w:rsidR="003F3745" w:rsidRPr="00B56F80">
        <w:rPr>
          <w:rFonts w:ascii="Arial Narrow" w:hAnsi="Arial Narrow"/>
          <w:sz w:val="24"/>
          <w:szCs w:val="24"/>
        </w:rPr>
        <w:t xml:space="preserve"> 85 de la </w:t>
      </w:r>
      <w:r w:rsidR="00B56F80" w:rsidRPr="00B56F80">
        <w:rPr>
          <w:rFonts w:ascii="Arial Narrow" w:hAnsi="Arial Narrow"/>
          <w:sz w:val="24"/>
          <w:szCs w:val="24"/>
        </w:rPr>
        <w:t>Constitución</w:t>
      </w:r>
      <w:r w:rsidR="003F3745" w:rsidRPr="00B56F80">
        <w:rPr>
          <w:rFonts w:ascii="Arial Narrow" w:hAnsi="Arial Narrow"/>
          <w:sz w:val="24"/>
          <w:szCs w:val="24"/>
        </w:rPr>
        <w:t xml:space="preserve">, y se invoca como una </w:t>
      </w:r>
      <w:r w:rsidR="00B56F80" w:rsidRPr="00B56F80">
        <w:rPr>
          <w:rFonts w:ascii="Arial Narrow" w:hAnsi="Arial Narrow"/>
          <w:sz w:val="24"/>
          <w:szCs w:val="24"/>
        </w:rPr>
        <w:t>garantía</w:t>
      </w:r>
      <w:r w:rsidR="003F3745" w:rsidRPr="00B56F80">
        <w:rPr>
          <w:rFonts w:ascii="Arial Narrow" w:hAnsi="Arial Narrow"/>
          <w:sz w:val="24"/>
          <w:szCs w:val="24"/>
        </w:rPr>
        <w:t xml:space="preserve"> al debido proceso en materia penal, (vi) se concluye que no es posible que la Corte Constitucional se abstenga de adoptar medidas de </w:t>
      </w:r>
      <w:r w:rsidR="00B56F80" w:rsidRPr="00B56F80">
        <w:rPr>
          <w:rFonts w:ascii="Arial Narrow" w:hAnsi="Arial Narrow"/>
          <w:sz w:val="24"/>
          <w:szCs w:val="24"/>
        </w:rPr>
        <w:t>protección</w:t>
      </w:r>
      <w:r w:rsidR="003F3745" w:rsidRPr="00B56F80">
        <w:rPr>
          <w:rFonts w:ascii="Arial Narrow" w:hAnsi="Arial Narrow"/>
          <w:sz w:val="24"/>
          <w:szCs w:val="24"/>
        </w:rPr>
        <w:t xml:space="preserve">, dado que esto </w:t>
      </w:r>
      <w:r w:rsidR="00B56F80" w:rsidRPr="00B56F80">
        <w:rPr>
          <w:rFonts w:ascii="Arial Narrow" w:hAnsi="Arial Narrow"/>
          <w:sz w:val="24"/>
          <w:szCs w:val="24"/>
        </w:rPr>
        <w:t>sería</w:t>
      </w:r>
      <w:r w:rsidR="003F3745" w:rsidRPr="00B56F80">
        <w:rPr>
          <w:rFonts w:ascii="Arial Narrow" w:hAnsi="Arial Narrow"/>
          <w:sz w:val="24"/>
          <w:szCs w:val="24"/>
        </w:rPr>
        <w:t xml:space="preserve"> tanto como restarle valor normativo a la </w:t>
      </w:r>
      <w:r w:rsidR="00B56F80" w:rsidRPr="00B56F80">
        <w:rPr>
          <w:rFonts w:ascii="Arial Narrow" w:hAnsi="Arial Narrow"/>
          <w:sz w:val="24"/>
          <w:szCs w:val="24"/>
        </w:rPr>
        <w:t>Constitución</w:t>
      </w:r>
      <w:r w:rsidR="003F3745" w:rsidRPr="00B56F80">
        <w:rPr>
          <w:rFonts w:ascii="Arial Narrow" w:hAnsi="Arial Narrow"/>
          <w:sz w:val="24"/>
          <w:szCs w:val="24"/>
        </w:rPr>
        <w:t xml:space="preserve">. </w:t>
      </w:r>
    </w:p>
    <w:p w14:paraId="72FC9FBB" w14:textId="77777777" w:rsidR="00394709" w:rsidRPr="00B56F80" w:rsidRDefault="00394709" w:rsidP="00B2167E">
      <w:pPr>
        <w:spacing w:after="0" w:line="240" w:lineRule="auto"/>
        <w:ind w:left="426"/>
        <w:jc w:val="both"/>
        <w:rPr>
          <w:rFonts w:ascii="Arial Narrow" w:hAnsi="Arial Narrow"/>
          <w:sz w:val="24"/>
          <w:szCs w:val="24"/>
        </w:rPr>
      </w:pPr>
    </w:p>
    <w:p w14:paraId="7A0F1BAB" w14:textId="3FBDD07A" w:rsidR="00394709" w:rsidRPr="00B56F80" w:rsidRDefault="000B03CE"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En este sentido, y en </w:t>
      </w:r>
      <w:r w:rsidR="00B56F80" w:rsidRPr="00B56F80">
        <w:rPr>
          <w:rFonts w:ascii="Arial Narrow" w:hAnsi="Arial Narrow"/>
          <w:sz w:val="24"/>
          <w:szCs w:val="24"/>
        </w:rPr>
        <w:t>atención</w:t>
      </w:r>
      <w:r w:rsidRPr="00B56F80">
        <w:rPr>
          <w:rFonts w:ascii="Arial Narrow" w:hAnsi="Arial Narrow"/>
          <w:sz w:val="24"/>
          <w:szCs w:val="24"/>
        </w:rPr>
        <w:t xml:space="preserve"> a lo expuesto anteriormente la Corte Constitucional ordenara a la Sala de </w:t>
      </w:r>
      <w:r w:rsidR="00B56F80" w:rsidRPr="00B56F80">
        <w:rPr>
          <w:rFonts w:ascii="Arial Narrow" w:hAnsi="Arial Narrow"/>
          <w:sz w:val="24"/>
          <w:szCs w:val="24"/>
        </w:rPr>
        <w:t>Casación</w:t>
      </w:r>
      <w:r w:rsidRPr="00B56F80">
        <w:rPr>
          <w:rFonts w:ascii="Arial Narrow" w:hAnsi="Arial Narrow"/>
          <w:sz w:val="24"/>
          <w:szCs w:val="24"/>
        </w:rPr>
        <w:t xml:space="preserve"> Penal de la Corte Suprema de Justicia dar </w:t>
      </w:r>
      <w:r w:rsidR="00B56F80" w:rsidRPr="00B56F80">
        <w:rPr>
          <w:rFonts w:ascii="Arial Narrow" w:hAnsi="Arial Narrow"/>
          <w:sz w:val="24"/>
          <w:szCs w:val="24"/>
        </w:rPr>
        <w:t>trámite</w:t>
      </w:r>
      <w:r w:rsidRPr="00B56F80">
        <w:rPr>
          <w:rFonts w:ascii="Arial Narrow" w:hAnsi="Arial Narrow"/>
          <w:sz w:val="24"/>
          <w:szCs w:val="24"/>
        </w:rPr>
        <w:t xml:space="preserve"> a la </w:t>
      </w:r>
      <w:r w:rsidR="00B56F80" w:rsidRPr="00B56F80">
        <w:rPr>
          <w:rFonts w:ascii="Arial Narrow" w:hAnsi="Arial Narrow"/>
          <w:sz w:val="24"/>
          <w:szCs w:val="24"/>
        </w:rPr>
        <w:t>impugnación</w:t>
      </w:r>
      <w:r w:rsidRPr="00B56F80">
        <w:rPr>
          <w:rFonts w:ascii="Arial Narrow" w:hAnsi="Arial Narrow"/>
          <w:sz w:val="24"/>
          <w:szCs w:val="24"/>
        </w:rPr>
        <w:t xml:space="preserve"> presentada por el actor contra la sentencia condenatoria del 16 de julio de 201. En tal marco, la Sala Plena deb</w:t>
      </w:r>
      <w:r w:rsidR="00112F64" w:rsidRPr="00B56F80">
        <w:rPr>
          <w:rFonts w:ascii="Arial Narrow" w:hAnsi="Arial Narrow"/>
          <w:sz w:val="24"/>
          <w:szCs w:val="24"/>
        </w:rPr>
        <w:t xml:space="preserve">e precisar algunos efectos particulares en los que se concede el mecanismo, teniendo en cuenta, fundamentalmente, el hecho de que sobre la providencia judicial de condena recae el efecto de la cosa juzgada y, por lo tanto, compromete la vigencia del principio de seguridad </w:t>
      </w:r>
      <w:r w:rsidR="00B56F80" w:rsidRPr="00B56F80">
        <w:rPr>
          <w:rFonts w:ascii="Arial Narrow" w:hAnsi="Arial Narrow"/>
          <w:sz w:val="24"/>
          <w:szCs w:val="24"/>
        </w:rPr>
        <w:t>jurídica</w:t>
      </w:r>
      <w:r w:rsidR="00112F64" w:rsidRPr="00B56F80">
        <w:rPr>
          <w:rFonts w:ascii="Arial Narrow" w:hAnsi="Arial Narrow"/>
          <w:sz w:val="24"/>
          <w:szCs w:val="24"/>
        </w:rPr>
        <w:t>.</w:t>
      </w:r>
    </w:p>
    <w:p w14:paraId="6A8A567C" w14:textId="77777777" w:rsidR="00112F64" w:rsidRPr="00B56F80" w:rsidRDefault="00112F64" w:rsidP="00B2167E">
      <w:pPr>
        <w:spacing w:after="0" w:line="240" w:lineRule="auto"/>
        <w:ind w:left="426"/>
        <w:jc w:val="both"/>
        <w:rPr>
          <w:rFonts w:ascii="Arial Narrow" w:hAnsi="Arial Narrow"/>
          <w:sz w:val="24"/>
          <w:szCs w:val="24"/>
        </w:rPr>
      </w:pPr>
    </w:p>
    <w:p w14:paraId="18336B24" w14:textId="796DAE18" w:rsidR="00112F64" w:rsidRPr="00B56F80" w:rsidRDefault="00B56F80" w:rsidP="00B2167E">
      <w:pPr>
        <w:spacing w:after="0" w:line="240" w:lineRule="auto"/>
        <w:ind w:left="426"/>
        <w:jc w:val="both"/>
        <w:rPr>
          <w:rFonts w:ascii="Arial Narrow" w:hAnsi="Arial Narrow"/>
          <w:sz w:val="24"/>
          <w:szCs w:val="24"/>
        </w:rPr>
      </w:pPr>
      <w:r w:rsidRPr="00B56F80">
        <w:rPr>
          <w:rFonts w:ascii="Arial Narrow" w:hAnsi="Arial Narrow"/>
          <w:sz w:val="24"/>
          <w:szCs w:val="24"/>
        </w:rPr>
        <w:t>Así</w:t>
      </w:r>
      <w:r w:rsidR="00112F64" w:rsidRPr="00B56F80">
        <w:rPr>
          <w:rFonts w:ascii="Arial Narrow" w:hAnsi="Arial Narrow"/>
          <w:sz w:val="24"/>
          <w:szCs w:val="24"/>
        </w:rPr>
        <w:t xml:space="preserve">, la </w:t>
      </w:r>
      <w:r w:rsidRPr="00B56F80">
        <w:rPr>
          <w:rFonts w:ascii="Arial Narrow" w:hAnsi="Arial Narrow"/>
          <w:sz w:val="24"/>
          <w:szCs w:val="24"/>
        </w:rPr>
        <w:t>concesión</w:t>
      </w:r>
      <w:r w:rsidR="00112F64" w:rsidRPr="00B56F80">
        <w:rPr>
          <w:rFonts w:ascii="Arial Narrow" w:hAnsi="Arial Narrow"/>
          <w:sz w:val="24"/>
          <w:szCs w:val="24"/>
        </w:rPr>
        <w:t xml:space="preserve"> de la </w:t>
      </w:r>
      <w:r w:rsidRPr="00B56F80">
        <w:rPr>
          <w:rFonts w:ascii="Arial Narrow" w:hAnsi="Arial Narrow"/>
          <w:sz w:val="24"/>
          <w:szCs w:val="24"/>
        </w:rPr>
        <w:t>impugnación</w:t>
      </w:r>
      <w:r w:rsidR="00112F64" w:rsidRPr="00B56F80">
        <w:rPr>
          <w:rFonts w:ascii="Arial Narrow" w:hAnsi="Arial Narrow"/>
          <w:sz w:val="24"/>
          <w:szCs w:val="24"/>
        </w:rPr>
        <w:t xml:space="preserve"> amplia e integral no tiene efectos directos sobre la </w:t>
      </w:r>
      <w:r w:rsidRPr="00B56F80">
        <w:rPr>
          <w:rFonts w:ascii="Arial Narrow" w:hAnsi="Arial Narrow"/>
          <w:sz w:val="24"/>
          <w:szCs w:val="24"/>
        </w:rPr>
        <w:t>prescripción</w:t>
      </w:r>
      <w:r w:rsidR="00112F64" w:rsidRPr="00B56F80">
        <w:rPr>
          <w:rFonts w:ascii="Arial Narrow" w:hAnsi="Arial Narrow"/>
          <w:sz w:val="24"/>
          <w:szCs w:val="24"/>
        </w:rPr>
        <w:t xml:space="preserve"> de </w:t>
      </w:r>
      <w:r w:rsidRPr="00B56F80">
        <w:rPr>
          <w:rFonts w:ascii="Arial Narrow" w:hAnsi="Arial Narrow"/>
          <w:sz w:val="24"/>
          <w:szCs w:val="24"/>
        </w:rPr>
        <w:t>términos</w:t>
      </w:r>
      <w:r w:rsidR="00112F64" w:rsidRPr="00B56F80">
        <w:rPr>
          <w:rFonts w:ascii="Arial Narrow" w:hAnsi="Arial Narrow"/>
          <w:sz w:val="24"/>
          <w:szCs w:val="24"/>
        </w:rPr>
        <w:t xml:space="preserve"> o </w:t>
      </w:r>
      <w:r w:rsidRPr="00B56F80">
        <w:rPr>
          <w:rFonts w:ascii="Arial Narrow" w:hAnsi="Arial Narrow"/>
          <w:sz w:val="24"/>
          <w:szCs w:val="24"/>
        </w:rPr>
        <w:t>fenómenos</w:t>
      </w:r>
      <w:r w:rsidR="00112F64" w:rsidRPr="00B56F80">
        <w:rPr>
          <w:rFonts w:ascii="Arial Narrow" w:hAnsi="Arial Narrow"/>
          <w:sz w:val="24"/>
          <w:szCs w:val="24"/>
        </w:rPr>
        <w:t xml:space="preserve"> similares derivados del paso del tiempo, ni sobre la </w:t>
      </w:r>
      <w:r w:rsidRPr="00B56F80">
        <w:rPr>
          <w:rFonts w:ascii="Arial Narrow" w:hAnsi="Arial Narrow"/>
          <w:sz w:val="24"/>
          <w:szCs w:val="24"/>
        </w:rPr>
        <w:t>situación</w:t>
      </w:r>
      <w:r w:rsidR="00112F64" w:rsidRPr="00B56F80">
        <w:rPr>
          <w:rFonts w:ascii="Arial Narrow" w:hAnsi="Arial Narrow"/>
          <w:sz w:val="24"/>
          <w:szCs w:val="24"/>
        </w:rPr>
        <w:t xml:space="preserve"> de </w:t>
      </w:r>
      <w:r w:rsidRPr="00B56F80">
        <w:rPr>
          <w:rFonts w:ascii="Arial Narrow" w:hAnsi="Arial Narrow"/>
          <w:sz w:val="24"/>
          <w:szCs w:val="24"/>
        </w:rPr>
        <w:t>privación</w:t>
      </w:r>
      <w:r w:rsidR="00112F64" w:rsidRPr="00B56F80">
        <w:rPr>
          <w:rFonts w:ascii="Arial Narrow" w:hAnsi="Arial Narrow"/>
          <w:sz w:val="24"/>
          <w:szCs w:val="24"/>
        </w:rPr>
        <w:t xml:space="preserve"> de libertad, porque sobre la Sentencia de la Sala de </w:t>
      </w:r>
      <w:r w:rsidRPr="00B56F80">
        <w:rPr>
          <w:rFonts w:ascii="Arial Narrow" w:hAnsi="Arial Narrow"/>
          <w:sz w:val="24"/>
          <w:szCs w:val="24"/>
        </w:rPr>
        <w:t>Casación</w:t>
      </w:r>
      <w:r w:rsidR="00112F64" w:rsidRPr="00B56F80">
        <w:rPr>
          <w:rFonts w:ascii="Arial Narrow" w:hAnsi="Arial Narrow"/>
          <w:sz w:val="24"/>
          <w:szCs w:val="24"/>
        </w:rPr>
        <w:t xml:space="preserve"> Penal de la Corte Suprema de Justicia que no es objeto de </w:t>
      </w:r>
      <w:r w:rsidRPr="00B56F80">
        <w:rPr>
          <w:rFonts w:ascii="Arial Narrow" w:hAnsi="Arial Narrow"/>
          <w:sz w:val="24"/>
          <w:szCs w:val="24"/>
        </w:rPr>
        <w:t>análisis</w:t>
      </w:r>
      <w:r w:rsidR="00112F64" w:rsidRPr="00B56F80">
        <w:rPr>
          <w:rFonts w:ascii="Arial Narrow" w:hAnsi="Arial Narrow"/>
          <w:sz w:val="24"/>
          <w:szCs w:val="24"/>
        </w:rPr>
        <w:t xml:space="preserve"> alguno en esta providencia, existe un alto grado de </w:t>
      </w:r>
      <w:r w:rsidRPr="00B56F80">
        <w:rPr>
          <w:rFonts w:ascii="Arial Narrow" w:hAnsi="Arial Narrow"/>
          <w:sz w:val="24"/>
          <w:szCs w:val="24"/>
        </w:rPr>
        <w:t>presunción</w:t>
      </w:r>
      <w:r w:rsidR="00112F64" w:rsidRPr="00B56F80">
        <w:rPr>
          <w:rFonts w:ascii="Arial Narrow" w:hAnsi="Arial Narrow"/>
          <w:sz w:val="24"/>
          <w:szCs w:val="24"/>
        </w:rPr>
        <w:t xml:space="preserve"> de acierto y por supuesto, de firmeza. </w:t>
      </w:r>
    </w:p>
    <w:p w14:paraId="3D4F6F36" w14:textId="77777777" w:rsidR="00112F64" w:rsidRPr="00B56F80" w:rsidRDefault="00112F64" w:rsidP="00B2167E">
      <w:pPr>
        <w:spacing w:after="0" w:line="240" w:lineRule="auto"/>
        <w:ind w:left="426"/>
        <w:jc w:val="both"/>
        <w:rPr>
          <w:rFonts w:ascii="Arial Narrow" w:hAnsi="Arial Narrow"/>
          <w:sz w:val="24"/>
          <w:szCs w:val="24"/>
        </w:rPr>
      </w:pPr>
    </w:p>
    <w:p w14:paraId="261ED632" w14:textId="0DD4F720" w:rsidR="00112F64" w:rsidRPr="00B56F80" w:rsidRDefault="00112F64"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Ahora bien, teniendo en cuenta la existencia de reglas que en la actualidad </w:t>
      </w:r>
      <w:r w:rsidR="00B56F80" w:rsidRPr="00B56F80">
        <w:rPr>
          <w:rFonts w:ascii="Arial Narrow" w:hAnsi="Arial Narrow"/>
          <w:sz w:val="24"/>
          <w:szCs w:val="24"/>
        </w:rPr>
        <w:t>guían</w:t>
      </w:r>
      <w:r w:rsidRPr="00B56F80">
        <w:rPr>
          <w:rFonts w:ascii="Arial Narrow" w:hAnsi="Arial Narrow"/>
          <w:sz w:val="24"/>
          <w:szCs w:val="24"/>
        </w:rPr>
        <w:t xml:space="preserve"> la </w:t>
      </w:r>
      <w:r w:rsidR="00B56F80" w:rsidRPr="00B56F80">
        <w:rPr>
          <w:rFonts w:ascii="Arial Narrow" w:hAnsi="Arial Narrow"/>
          <w:sz w:val="24"/>
          <w:szCs w:val="24"/>
        </w:rPr>
        <w:t>concesión</w:t>
      </w:r>
      <w:r w:rsidRPr="00B56F80">
        <w:rPr>
          <w:rFonts w:ascii="Arial Narrow" w:hAnsi="Arial Narrow"/>
          <w:sz w:val="24"/>
          <w:szCs w:val="24"/>
        </w:rPr>
        <w:t xml:space="preserve"> de la </w:t>
      </w:r>
      <w:r w:rsidR="00B56F80" w:rsidRPr="00B56F80">
        <w:rPr>
          <w:rFonts w:ascii="Arial Narrow" w:hAnsi="Arial Narrow"/>
          <w:sz w:val="24"/>
          <w:szCs w:val="24"/>
        </w:rPr>
        <w:t>impugnación</w:t>
      </w:r>
      <w:r w:rsidRPr="00B56F80">
        <w:rPr>
          <w:rFonts w:ascii="Arial Narrow" w:hAnsi="Arial Narrow"/>
          <w:sz w:val="24"/>
          <w:szCs w:val="24"/>
        </w:rPr>
        <w:t xml:space="preserve">, la sala </w:t>
      </w:r>
      <w:r w:rsidR="00B56F80" w:rsidRPr="00B56F80">
        <w:rPr>
          <w:rFonts w:ascii="Arial Narrow" w:hAnsi="Arial Narrow"/>
          <w:sz w:val="24"/>
          <w:szCs w:val="24"/>
        </w:rPr>
        <w:t>también</w:t>
      </w:r>
      <w:r w:rsidRPr="00B56F80">
        <w:rPr>
          <w:rFonts w:ascii="Arial Narrow" w:hAnsi="Arial Narrow"/>
          <w:sz w:val="24"/>
          <w:szCs w:val="24"/>
        </w:rPr>
        <w:t xml:space="preserve"> ordenara que, en </w:t>
      </w:r>
      <w:r w:rsidR="00B56F80" w:rsidRPr="00B56F80">
        <w:rPr>
          <w:rFonts w:ascii="Arial Narrow" w:hAnsi="Arial Narrow"/>
          <w:sz w:val="24"/>
          <w:szCs w:val="24"/>
        </w:rPr>
        <w:t>garantía</w:t>
      </w:r>
      <w:r w:rsidRPr="00B56F80">
        <w:rPr>
          <w:rFonts w:ascii="Arial Narrow" w:hAnsi="Arial Narrow"/>
          <w:sz w:val="24"/>
          <w:szCs w:val="24"/>
        </w:rPr>
        <w:t xml:space="preserve"> del derecho a un juez natural, independiente e imparcial, la </w:t>
      </w:r>
      <w:r w:rsidR="00B56F80" w:rsidRPr="00B56F80">
        <w:rPr>
          <w:rFonts w:ascii="Arial Narrow" w:hAnsi="Arial Narrow"/>
          <w:sz w:val="24"/>
          <w:szCs w:val="24"/>
        </w:rPr>
        <w:t>impugnación</w:t>
      </w:r>
      <w:r w:rsidRPr="00B56F80">
        <w:rPr>
          <w:rFonts w:ascii="Arial Narrow" w:hAnsi="Arial Narrow"/>
          <w:sz w:val="24"/>
          <w:szCs w:val="24"/>
        </w:rPr>
        <w:t xml:space="preserve"> sea decidida aplicando las reglas previstas en el </w:t>
      </w:r>
      <w:r w:rsidR="00B56F80" w:rsidRPr="00B56F80">
        <w:rPr>
          <w:rFonts w:ascii="Arial Narrow" w:hAnsi="Arial Narrow"/>
          <w:sz w:val="24"/>
          <w:szCs w:val="24"/>
        </w:rPr>
        <w:t>artículo</w:t>
      </w:r>
      <w:r w:rsidRPr="00B56F80">
        <w:rPr>
          <w:rFonts w:ascii="Arial Narrow" w:hAnsi="Arial Narrow"/>
          <w:sz w:val="24"/>
          <w:szCs w:val="24"/>
        </w:rPr>
        <w:t xml:space="preserve"> 235, numerales 2 y 7 de la </w:t>
      </w:r>
      <w:r w:rsidR="00B56F80" w:rsidRPr="00B56F80">
        <w:rPr>
          <w:rFonts w:ascii="Arial Narrow" w:hAnsi="Arial Narrow"/>
          <w:sz w:val="24"/>
          <w:szCs w:val="24"/>
        </w:rPr>
        <w:t>Constitución</w:t>
      </w:r>
      <w:r w:rsidRPr="00B56F80">
        <w:rPr>
          <w:rFonts w:ascii="Arial Narrow" w:hAnsi="Arial Narrow"/>
          <w:sz w:val="24"/>
          <w:szCs w:val="24"/>
        </w:rPr>
        <w:t xml:space="preserve">. El </w:t>
      </w:r>
      <w:r w:rsidR="00B56F80" w:rsidRPr="00B56F80">
        <w:rPr>
          <w:rFonts w:ascii="Arial Narrow" w:hAnsi="Arial Narrow"/>
          <w:sz w:val="24"/>
          <w:szCs w:val="24"/>
        </w:rPr>
        <w:t>trámite</w:t>
      </w:r>
      <w:r w:rsidRPr="00B56F80">
        <w:rPr>
          <w:rFonts w:ascii="Arial Narrow" w:hAnsi="Arial Narrow"/>
          <w:sz w:val="24"/>
          <w:szCs w:val="24"/>
        </w:rPr>
        <w:t xml:space="preserve"> y </w:t>
      </w:r>
      <w:r w:rsidR="00B56F80" w:rsidRPr="00B56F80">
        <w:rPr>
          <w:rFonts w:ascii="Arial Narrow" w:hAnsi="Arial Narrow"/>
          <w:sz w:val="24"/>
          <w:szCs w:val="24"/>
        </w:rPr>
        <w:t>resolución</w:t>
      </w:r>
      <w:r w:rsidRPr="00B56F80">
        <w:rPr>
          <w:rFonts w:ascii="Arial Narrow" w:hAnsi="Arial Narrow"/>
          <w:sz w:val="24"/>
          <w:szCs w:val="24"/>
        </w:rPr>
        <w:t xml:space="preserve"> del mecanismo de </w:t>
      </w:r>
      <w:r w:rsidR="00B56F80" w:rsidRPr="00B56F80">
        <w:rPr>
          <w:rFonts w:ascii="Arial Narrow" w:hAnsi="Arial Narrow"/>
          <w:sz w:val="24"/>
          <w:szCs w:val="24"/>
        </w:rPr>
        <w:t>impugnación</w:t>
      </w:r>
      <w:r w:rsidRPr="00B56F80">
        <w:rPr>
          <w:rFonts w:ascii="Arial Narrow" w:hAnsi="Arial Narrow"/>
          <w:sz w:val="24"/>
          <w:szCs w:val="24"/>
        </w:rPr>
        <w:t xml:space="preserve"> debe permitir que el fallo condenatorio del 16 de julio de 2014 se cuestione de manera amplia e integral, sin causales </w:t>
      </w:r>
      <w:r w:rsidR="00F0790D" w:rsidRPr="00B56F80">
        <w:rPr>
          <w:rFonts w:ascii="Arial Narrow" w:hAnsi="Arial Narrow"/>
          <w:sz w:val="24"/>
          <w:szCs w:val="24"/>
        </w:rPr>
        <w:t xml:space="preserve">y en sus aspectos facticos, probatorios y normativos. La </w:t>
      </w:r>
      <w:r w:rsidR="00B56F80" w:rsidRPr="00B56F80">
        <w:rPr>
          <w:rFonts w:ascii="Arial Narrow" w:hAnsi="Arial Narrow"/>
          <w:sz w:val="24"/>
          <w:szCs w:val="24"/>
        </w:rPr>
        <w:t>impugnación</w:t>
      </w:r>
      <w:r w:rsidR="00F0790D" w:rsidRPr="00B56F80">
        <w:rPr>
          <w:rFonts w:ascii="Arial Narrow" w:hAnsi="Arial Narrow"/>
          <w:sz w:val="24"/>
          <w:szCs w:val="24"/>
        </w:rPr>
        <w:t xml:space="preserve"> debe ser resuelta por la Sala de </w:t>
      </w:r>
      <w:r w:rsidR="00B56F80" w:rsidRPr="00B56F80">
        <w:rPr>
          <w:rFonts w:ascii="Arial Narrow" w:hAnsi="Arial Narrow"/>
          <w:sz w:val="24"/>
          <w:szCs w:val="24"/>
        </w:rPr>
        <w:t>Casación</w:t>
      </w:r>
      <w:r w:rsidR="00F0790D" w:rsidRPr="00B56F80">
        <w:rPr>
          <w:rFonts w:ascii="Arial Narrow" w:hAnsi="Arial Narrow"/>
          <w:sz w:val="24"/>
          <w:szCs w:val="24"/>
        </w:rPr>
        <w:t xml:space="preserve"> Penal de la Corte Suprema de Justicia, </w:t>
      </w:r>
      <w:r w:rsidR="00B56F80" w:rsidRPr="00B56F80">
        <w:rPr>
          <w:rFonts w:ascii="Arial Narrow" w:hAnsi="Arial Narrow"/>
          <w:sz w:val="24"/>
          <w:szCs w:val="24"/>
        </w:rPr>
        <w:t>máximo</w:t>
      </w:r>
      <w:r w:rsidR="00F0790D" w:rsidRPr="00B56F80">
        <w:rPr>
          <w:rFonts w:ascii="Arial Narrow" w:hAnsi="Arial Narrow"/>
          <w:sz w:val="24"/>
          <w:szCs w:val="24"/>
        </w:rPr>
        <w:t xml:space="preserve"> </w:t>
      </w:r>
      <w:r w:rsidR="00B56F80" w:rsidRPr="00B56F80">
        <w:rPr>
          <w:rFonts w:ascii="Arial Narrow" w:hAnsi="Arial Narrow"/>
          <w:sz w:val="24"/>
          <w:szCs w:val="24"/>
        </w:rPr>
        <w:t>órgano</w:t>
      </w:r>
      <w:r w:rsidR="00F0790D" w:rsidRPr="00B56F80">
        <w:rPr>
          <w:rFonts w:ascii="Arial Narrow" w:hAnsi="Arial Narrow"/>
          <w:sz w:val="24"/>
          <w:szCs w:val="24"/>
        </w:rPr>
        <w:t xml:space="preserve"> de la </w:t>
      </w:r>
      <w:r w:rsidR="00B56F80" w:rsidRPr="00B56F80">
        <w:rPr>
          <w:rFonts w:ascii="Arial Narrow" w:hAnsi="Arial Narrow"/>
          <w:sz w:val="24"/>
          <w:szCs w:val="24"/>
        </w:rPr>
        <w:t>jurisdicción</w:t>
      </w:r>
      <w:r w:rsidR="00F0790D" w:rsidRPr="00B56F80">
        <w:rPr>
          <w:rFonts w:ascii="Arial Narrow" w:hAnsi="Arial Narrow"/>
          <w:sz w:val="24"/>
          <w:szCs w:val="24"/>
        </w:rPr>
        <w:t xml:space="preserve"> penal con competencia en la materia, salvaguardando en todo caso que los magistrados que conozcan de este mecanismo no hayan intervenido en la </w:t>
      </w:r>
      <w:r w:rsidR="00B56F80" w:rsidRPr="00B56F80">
        <w:rPr>
          <w:rFonts w:ascii="Arial Narrow" w:hAnsi="Arial Narrow"/>
          <w:sz w:val="24"/>
          <w:szCs w:val="24"/>
        </w:rPr>
        <w:t>decisión</w:t>
      </w:r>
      <w:r w:rsidR="00F0790D" w:rsidRPr="00B56F80">
        <w:rPr>
          <w:rFonts w:ascii="Arial Narrow" w:hAnsi="Arial Narrow"/>
          <w:sz w:val="24"/>
          <w:szCs w:val="24"/>
        </w:rPr>
        <w:t xml:space="preserve"> de condena ya proferida.</w:t>
      </w:r>
    </w:p>
    <w:p w14:paraId="5D19ECC2" w14:textId="77777777" w:rsidR="00F0790D" w:rsidRPr="00B56F80" w:rsidRDefault="00F0790D" w:rsidP="00B2167E">
      <w:pPr>
        <w:spacing w:after="0" w:line="240" w:lineRule="auto"/>
        <w:ind w:left="426"/>
        <w:jc w:val="both"/>
        <w:rPr>
          <w:rFonts w:ascii="Arial Narrow" w:hAnsi="Arial Narrow"/>
          <w:sz w:val="24"/>
          <w:szCs w:val="24"/>
        </w:rPr>
      </w:pPr>
    </w:p>
    <w:p w14:paraId="07B7A623" w14:textId="0167E908" w:rsidR="00F0790D" w:rsidRPr="00B56F80" w:rsidRDefault="00F0790D" w:rsidP="00B2167E">
      <w:pPr>
        <w:spacing w:after="0" w:line="240" w:lineRule="auto"/>
        <w:ind w:left="426"/>
        <w:jc w:val="both"/>
        <w:rPr>
          <w:rFonts w:ascii="Arial Narrow" w:hAnsi="Arial Narrow"/>
          <w:sz w:val="24"/>
          <w:szCs w:val="24"/>
        </w:rPr>
      </w:pPr>
      <w:r w:rsidRPr="00B56F80">
        <w:rPr>
          <w:rFonts w:ascii="Arial Narrow" w:hAnsi="Arial Narrow"/>
          <w:sz w:val="24"/>
          <w:szCs w:val="24"/>
        </w:rPr>
        <w:t xml:space="preserve">Finalmente, dado que el legislador </w:t>
      </w:r>
      <w:r w:rsidR="00B56F80" w:rsidRPr="00B56F80">
        <w:rPr>
          <w:rFonts w:ascii="Arial Narrow" w:hAnsi="Arial Narrow"/>
          <w:sz w:val="24"/>
          <w:szCs w:val="24"/>
        </w:rPr>
        <w:t>aún</w:t>
      </w:r>
      <w:r w:rsidRPr="00B56F80">
        <w:rPr>
          <w:rFonts w:ascii="Arial Narrow" w:hAnsi="Arial Narrow"/>
          <w:sz w:val="24"/>
          <w:szCs w:val="24"/>
        </w:rPr>
        <w:t xml:space="preserve"> no ha proferido la </w:t>
      </w:r>
      <w:r w:rsidR="00B56F80" w:rsidRPr="00B56F80">
        <w:rPr>
          <w:rFonts w:ascii="Arial Narrow" w:hAnsi="Arial Narrow"/>
          <w:sz w:val="24"/>
          <w:szCs w:val="24"/>
        </w:rPr>
        <w:t>regulación</w:t>
      </w:r>
      <w:r w:rsidRPr="00B56F80">
        <w:rPr>
          <w:rFonts w:ascii="Arial Narrow" w:hAnsi="Arial Narrow"/>
          <w:sz w:val="24"/>
          <w:szCs w:val="24"/>
        </w:rPr>
        <w:t xml:space="preserve"> integral sobre el mecanismo que garantice la </w:t>
      </w:r>
      <w:r w:rsidR="00B56F80" w:rsidRPr="00B56F80">
        <w:rPr>
          <w:rFonts w:ascii="Arial Narrow" w:hAnsi="Arial Narrow"/>
          <w:sz w:val="24"/>
          <w:szCs w:val="24"/>
        </w:rPr>
        <w:t>impugnación</w:t>
      </w:r>
      <w:r w:rsidRPr="00B56F80">
        <w:rPr>
          <w:rFonts w:ascii="Arial Narrow" w:hAnsi="Arial Narrow"/>
          <w:sz w:val="24"/>
          <w:szCs w:val="24"/>
        </w:rPr>
        <w:t xml:space="preserve"> de la primera sentencia condenatoria, y las implicaciones que en materia de recursos</w:t>
      </w:r>
      <w:r w:rsidR="00A607BD" w:rsidRPr="00B56F80">
        <w:rPr>
          <w:rFonts w:ascii="Arial Narrow" w:hAnsi="Arial Narrow"/>
          <w:sz w:val="24"/>
          <w:szCs w:val="24"/>
        </w:rPr>
        <w:t xml:space="preserve"> puede generar la </w:t>
      </w:r>
      <w:r w:rsidR="00B56F80" w:rsidRPr="00B56F80">
        <w:rPr>
          <w:rFonts w:ascii="Arial Narrow" w:hAnsi="Arial Narrow"/>
          <w:sz w:val="24"/>
          <w:szCs w:val="24"/>
        </w:rPr>
        <w:t>decisión</w:t>
      </w:r>
      <w:r w:rsidR="00A607BD" w:rsidRPr="00B56F80">
        <w:rPr>
          <w:rFonts w:ascii="Arial Narrow" w:hAnsi="Arial Narrow"/>
          <w:sz w:val="24"/>
          <w:szCs w:val="24"/>
        </w:rPr>
        <w:t xml:space="preserve"> para la Corte Suprema de Justicia, </w:t>
      </w:r>
      <w:r w:rsidR="00A607BD" w:rsidRPr="00B56F80">
        <w:rPr>
          <w:rFonts w:ascii="Arial Narrow" w:hAnsi="Arial Narrow"/>
          <w:b/>
          <w:sz w:val="24"/>
          <w:szCs w:val="24"/>
        </w:rPr>
        <w:t>la Sala reitera los exhortos que en oportunidades anteriores ha venido realizando al Congreso de la Republica</w:t>
      </w:r>
      <w:r w:rsidR="00A607BD" w:rsidRPr="00B56F80">
        <w:rPr>
          <w:rFonts w:ascii="Arial Narrow" w:hAnsi="Arial Narrow"/>
          <w:sz w:val="24"/>
          <w:szCs w:val="24"/>
        </w:rPr>
        <w:t xml:space="preserve"> para que disponga lo necesario para adelantar el </w:t>
      </w:r>
      <w:r w:rsidR="00B56F80" w:rsidRPr="00B56F80">
        <w:rPr>
          <w:rFonts w:ascii="Arial Narrow" w:hAnsi="Arial Narrow"/>
          <w:sz w:val="24"/>
          <w:szCs w:val="24"/>
        </w:rPr>
        <w:t>diagnóstico</w:t>
      </w:r>
      <w:r w:rsidR="00A607BD" w:rsidRPr="00B56F80">
        <w:rPr>
          <w:rFonts w:ascii="Arial Narrow" w:hAnsi="Arial Narrow"/>
          <w:sz w:val="24"/>
          <w:szCs w:val="24"/>
        </w:rPr>
        <w:t xml:space="preserve"> y proveer los recursos necesarios para garantizar la buena marcha de la </w:t>
      </w:r>
      <w:r w:rsidR="00B56F80" w:rsidRPr="00B56F80">
        <w:rPr>
          <w:rFonts w:ascii="Arial Narrow" w:hAnsi="Arial Narrow"/>
          <w:sz w:val="24"/>
          <w:szCs w:val="24"/>
        </w:rPr>
        <w:t>administración</w:t>
      </w:r>
      <w:r w:rsidR="00A607BD" w:rsidRPr="00B56F80">
        <w:rPr>
          <w:rFonts w:ascii="Arial Narrow" w:hAnsi="Arial Narrow"/>
          <w:sz w:val="24"/>
          <w:szCs w:val="24"/>
        </w:rPr>
        <w:t xml:space="preserve"> de justicia.</w:t>
      </w:r>
    </w:p>
    <w:p w14:paraId="30A55579" w14:textId="31F60D2B" w:rsidR="00394709" w:rsidRPr="00B56F80" w:rsidRDefault="00394709" w:rsidP="00897250">
      <w:pPr>
        <w:spacing w:after="0" w:line="240" w:lineRule="auto"/>
        <w:jc w:val="both"/>
        <w:rPr>
          <w:rFonts w:ascii="Arial Narrow" w:hAnsi="Arial Narrow"/>
          <w:sz w:val="24"/>
          <w:szCs w:val="24"/>
        </w:rPr>
      </w:pPr>
    </w:p>
    <w:p w14:paraId="2848F8F7" w14:textId="3A24F2FF" w:rsidR="00CB7082" w:rsidRDefault="00CB7082" w:rsidP="00897250">
      <w:pPr>
        <w:spacing w:after="0" w:line="240" w:lineRule="auto"/>
        <w:jc w:val="both"/>
        <w:rPr>
          <w:rFonts w:ascii="Arial Narrow" w:hAnsi="Arial Narrow"/>
          <w:sz w:val="24"/>
          <w:szCs w:val="24"/>
        </w:rPr>
      </w:pPr>
    </w:p>
    <w:p w14:paraId="368AE353" w14:textId="150B3997" w:rsidR="00D02EBC" w:rsidRDefault="00D02EBC" w:rsidP="00897250">
      <w:pPr>
        <w:spacing w:after="0" w:line="240" w:lineRule="auto"/>
        <w:jc w:val="both"/>
        <w:rPr>
          <w:rFonts w:ascii="Arial Narrow" w:hAnsi="Arial Narrow"/>
          <w:sz w:val="24"/>
          <w:szCs w:val="24"/>
        </w:rPr>
      </w:pPr>
    </w:p>
    <w:p w14:paraId="6BE77872" w14:textId="2F943AF9" w:rsidR="00D02EBC" w:rsidRDefault="00D02EBC" w:rsidP="00897250">
      <w:pPr>
        <w:spacing w:after="0" w:line="240" w:lineRule="auto"/>
        <w:jc w:val="both"/>
        <w:rPr>
          <w:rFonts w:ascii="Arial Narrow" w:hAnsi="Arial Narrow"/>
          <w:sz w:val="24"/>
          <w:szCs w:val="24"/>
        </w:rPr>
      </w:pPr>
    </w:p>
    <w:p w14:paraId="0EADED5C" w14:textId="77777777" w:rsidR="00D02EBC" w:rsidRPr="00B56F80" w:rsidRDefault="00D02EBC" w:rsidP="00897250">
      <w:pPr>
        <w:spacing w:after="0" w:line="240" w:lineRule="auto"/>
        <w:jc w:val="both"/>
        <w:rPr>
          <w:rFonts w:ascii="Arial Narrow" w:hAnsi="Arial Narrow"/>
          <w:sz w:val="24"/>
          <w:szCs w:val="24"/>
        </w:rPr>
      </w:pPr>
    </w:p>
    <w:p w14:paraId="1F90B0E3" w14:textId="77777777" w:rsidR="00D02EBC" w:rsidRPr="00B56F80" w:rsidRDefault="00D02EBC" w:rsidP="00D02EBC">
      <w:pPr>
        <w:spacing w:after="0" w:line="240" w:lineRule="auto"/>
        <w:jc w:val="center"/>
        <w:rPr>
          <w:rFonts w:ascii="Arial Narrow" w:hAnsi="Arial Narrow" w:cs="Arial"/>
          <w:b/>
          <w:sz w:val="28"/>
          <w:szCs w:val="28"/>
        </w:rPr>
      </w:pPr>
      <w:r w:rsidRPr="00B56F80">
        <w:rPr>
          <w:rFonts w:ascii="Arial Narrow" w:hAnsi="Arial Narrow" w:cs="Arial"/>
          <w:b/>
          <w:sz w:val="28"/>
          <w:szCs w:val="28"/>
        </w:rPr>
        <w:t>JUAN DAVID VÉLEZ</w:t>
      </w:r>
    </w:p>
    <w:p w14:paraId="0CDEA4DF" w14:textId="77777777" w:rsidR="00D02EBC" w:rsidRPr="00B56F80" w:rsidRDefault="00D02EBC" w:rsidP="00D02EBC">
      <w:pPr>
        <w:spacing w:after="0" w:line="240" w:lineRule="auto"/>
        <w:jc w:val="center"/>
        <w:rPr>
          <w:rFonts w:ascii="Arial Narrow" w:hAnsi="Arial Narrow" w:cs="Arial"/>
          <w:bCs/>
          <w:sz w:val="28"/>
          <w:szCs w:val="28"/>
        </w:rPr>
      </w:pPr>
      <w:r w:rsidRPr="00B56F80">
        <w:rPr>
          <w:rFonts w:ascii="Arial Narrow" w:hAnsi="Arial Narrow" w:cs="Arial"/>
          <w:bCs/>
          <w:sz w:val="28"/>
          <w:szCs w:val="28"/>
        </w:rPr>
        <w:t>Autor del Proyecto</w:t>
      </w:r>
    </w:p>
    <w:p w14:paraId="5467BF86" w14:textId="77777777" w:rsidR="00D02EBC" w:rsidRPr="00B56F80" w:rsidRDefault="00D02EBC" w:rsidP="00D02EBC">
      <w:pPr>
        <w:spacing w:after="0" w:line="240" w:lineRule="auto"/>
        <w:jc w:val="center"/>
        <w:rPr>
          <w:rFonts w:ascii="Arial Narrow" w:hAnsi="Arial Narrow" w:cs="Arial"/>
          <w:bCs/>
          <w:sz w:val="28"/>
          <w:szCs w:val="28"/>
        </w:rPr>
      </w:pPr>
      <w:r w:rsidRPr="00B56F80">
        <w:rPr>
          <w:rFonts w:ascii="Arial Narrow" w:hAnsi="Arial Narrow" w:cs="Arial"/>
          <w:bCs/>
          <w:sz w:val="28"/>
          <w:szCs w:val="28"/>
        </w:rPr>
        <w:t>Representante a la Cámara</w:t>
      </w:r>
    </w:p>
    <w:p w14:paraId="2B2B6095" w14:textId="77777777" w:rsidR="00D02EBC" w:rsidRPr="00B56F80" w:rsidRDefault="00D02EBC" w:rsidP="00D02EBC">
      <w:pPr>
        <w:spacing w:after="0" w:line="240" w:lineRule="auto"/>
        <w:jc w:val="center"/>
        <w:rPr>
          <w:rFonts w:ascii="Arial Narrow" w:eastAsia="Times New Roman" w:hAnsi="Arial Narrow" w:cs="Arial"/>
          <w:b/>
          <w:bCs/>
          <w:i/>
          <w:color w:val="000000"/>
          <w:sz w:val="28"/>
          <w:szCs w:val="28"/>
          <w:lang w:eastAsia="es-CO"/>
        </w:rPr>
      </w:pPr>
      <w:r>
        <w:rPr>
          <w:rFonts w:ascii="Arial Narrow" w:hAnsi="Arial Narrow" w:cs="Arial"/>
          <w:bCs/>
          <w:sz w:val="28"/>
          <w:szCs w:val="28"/>
        </w:rPr>
        <w:t>Partido Centro Democrático</w:t>
      </w:r>
    </w:p>
    <w:p w14:paraId="54E9B455" w14:textId="0BA04C02" w:rsidR="00982933" w:rsidRPr="00B56F80" w:rsidRDefault="00982933" w:rsidP="00D02EBC">
      <w:pPr>
        <w:spacing w:after="0"/>
        <w:jc w:val="center"/>
        <w:rPr>
          <w:rFonts w:ascii="Arial Narrow" w:hAnsi="Arial Narrow"/>
        </w:rPr>
      </w:pPr>
    </w:p>
    <w:sectPr w:rsidR="00982933" w:rsidRPr="00B56F80" w:rsidSect="00D02EBC">
      <w:headerReference w:type="default" r:id="rId7"/>
      <w:footerReference w:type="default" r:id="rId8"/>
      <w:pgSz w:w="12240" w:h="15840"/>
      <w:pgMar w:top="1843" w:right="1701" w:bottom="993" w:left="1701"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C0CA" w14:textId="77777777" w:rsidR="00504CDD" w:rsidRDefault="00504CDD" w:rsidP="00A16232">
      <w:pPr>
        <w:spacing w:after="0" w:line="240" w:lineRule="auto"/>
      </w:pPr>
      <w:r>
        <w:separator/>
      </w:r>
    </w:p>
  </w:endnote>
  <w:endnote w:type="continuationSeparator" w:id="0">
    <w:p w14:paraId="2B4C19E4" w14:textId="77777777" w:rsidR="00504CDD" w:rsidRDefault="00504CDD" w:rsidP="00A1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E998" w14:textId="3639EF27" w:rsidR="00897250" w:rsidRDefault="00897250">
    <w:pPr>
      <w:pStyle w:val="Footer"/>
    </w:pPr>
    <w:r>
      <w:rPr>
        <w:noProof/>
        <w:lang w:val="es-ES_tradnl" w:eastAsia="es-ES_tradnl"/>
      </w:rPr>
      <w:drawing>
        <wp:anchor distT="0" distB="0" distL="114300" distR="114300" simplePos="0" relativeHeight="251661312" behindDoc="0" locked="0" layoutInCell="1" allowOverlap="1" wp14:anchorId="67987AF7" wp14:editId="063D2631">
          <wp:simplePos x="0" y="0"/>
          <wp:positionH relativeFrom="page">
            <wp:posOffset>0</wp:posOffset>
          </wp:positionH>
          <wp:positionV relativeFrom="paragraph">
            <wp:posOffset>-62555</wp:posOffset>
          </wp:positionV>
          <wp:extent cx="7863840" cy="307632"/>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JDV Bottom.emf"/>
                  <pic:cNvPicPr/>
                </pic:nvPicPr>
                <pic:blipFill>
                  <a:blip r:embed="rId1">
                    <a:extLst>
                      <a:ext uri="{28A0092B-C50C-407E-A947-70E740481C1C}">
                        <a14:useLocalDpi xmlns:a14="http://schemas.microsoft.com/office/drawing/2010/main" val="0"/>
                      </a:ext>
                    </a:extLst>
                  </a:blip>
                  <a:stretch>
                    <a:fillRect/>
                  </a:stretch>
                </pic:blipFill>
                <pic:spPr>
                  <a:xfrm>
                    <a:off x="0" y="0"/>
                    <a:ext cx="7863840" cy="30763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4DE1" w14:textId="77777777" w:rsidR="00504CDD" w:rsidRDefault="00504CDD" w:rsidP="00A16232">
      <w:pPr>
        <w:spacing w:after="0" w:line="240" w:lineRule="auto"/>
      </w:pPr>
      <w:r>
        <w:separator/>
      </w:r>
    </w:p>
  </w:footnote>
  <w:footnote w:type="continuationSeparator" w:id="0">
    <w:p w14:paraId="7781AF92" w14:textId="77777777" w:rsidR="00504CDD" w:rsidRDefault="00504CDD" w:rsidP="00A16232">
      <w:pPr>
        <w:spacing w:after="0" w:line="240" w:lineRule="auto"/>
      </w:pPr>
      <w:r>
        <w:continuationSeparator/>
      </w:r>
    </w:p>
  </w:footnote>
  <w:footnote w:id="1">
    <w:p w14:paraId="20149F1D" w14:textId="77777777" w:rsidR="00AE6A36" w:rsidRDefault="00AE6A36" w:rsidP="00AE6A36">
      <w:pPr>
        <w:pStyle w:val="FootnoteText"/>
        <w:rPr>
          <w:sz w:val="18"/>
          <w:szCs w:val="18"/>
        </w:rPr>
      </w:pPr>
      <w:r>
        <w:rPr>
          <w:rStyle w:val="FootnoteReference"/>
        </w:rPr>
        <w:footnoteRef/>
      </w:r>
      <w:r>
        <w:rPr>
          <w:sz w:val="18"/>
          <w:szCs w:val="18"/>
        </w:rPr>
        <w:t xml:space="preserve"> Corte Constitucional. M.P.: Rodrigo Escobar Gil. Sentencia T – 824A. 04 de octubre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62CF" w14:textId="506A38C0" w:rsidR="00912BF1" w:rsidRDefault="00897250">
    <w:pPr>
      <w:pStyle w:val="Header"/>
    </w:pPr>
    <w:r>
      <w:rPr>
        <w:noProof/>
        <w:lang w:val="es-ES_tradnl" w:eastAsia="es-ES_tradnl"/>
      </w:rPr>
      <w:drawing>
        <wp:anchor distT="0" distB="0" distL="114300" distR="114300" simplePos="0" relativeHeight="251659264" behindDoc="1" locked="0" layoutInCell="1" allowOverlap="1" wp14:anchorId="161001A2" wp14:editId="1DF2A0F9">
          <wp:simplePos x="0" y="0"/>
          <wp:positionH relativeFrom="page">
            <wp:posOffset>0</wp:posOffset>
          </wp:positionH>
          <wp:positionV relativeFrom="topMargin">
            <wp:posOffset>94777</wp:posOffset>
          </wp:positionV>
          <wp:extent cx="7772400" cy="864870"/>
          <wp:effectExtent l="0" t="0" r="0" b="0"/>
          <wp:wrapNone/>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JDV TOP.emf"/>
                  <pic:cNvPicPr/>
                </pic:nvPicPr>
                <pic:blipFill>
                  <a:blip r:embed="rId1">
                    <a:extLst>
                      <a:ext uri="{28A0092B-C50C-407E-A947-70E740481C1C}">
                        <a14:useLocalDpi xmlns:a14="http://schemas.microsoft.com/office/drawing/2010/main" val="0"/>
                      </a:ext>
                    </a:extLst>
                  </a:blip>
                  <a:stretch>
                    <a:fillRect/>
                  </a:stretch>
                </pic:blipFill>
                <pic:spPr>
                  <a:xfrm>
                    <a:off x="0" y="0"/>
                    <a:ext cx="7772400" cy="864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3F2"/>
    <w:multiLevelType w:val="hybridMultilevel"/>
    <w:tmpl w:val="BE987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30E7E"/>
    <w:multiLevelType w:val="hybridMultilevel"/>
    <w:tmpl w:val="9B70AAA8"/>
    <w:lvl w:ilvl="0" w:tplc="3C285172">
      <w:numFmt w:val="bullet"/>
      <w:lvlText w:val="-"/>
      <w:lvlJc w:val="left"/>
      <w:pPr>
        <w:ind w:left="1428" w:hanging="360"/>
      </w:pPr>
      <w:rPr>
        <w:rFonts w:ascii="Arial Narrow" w:eastAsiaTheme="minorHAnsi" w:hAnsi="Arial Narrow"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2C10A76"/>
    <w:multiLevelType w:val="multilevel"/>
    <w:tmpl w:val="1A3001A4"/>
    <w:lvl w:ilvl="0">
      <w:start w:val="2"/>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9EE3CEB"/>
    <w:multiLevelType w:val="hybridMultilevel"/>
    <w:tmpl w:val="7020F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735B85"/>
    <w:multiLevelType w:val="hybridMultilevel"/>
    <w:tmpl w:val="5D10B85A"/>
    <w:lvl w:ilvl="0" w:tplc="FC5A9932">
      <w:start w:val="1"/>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5672EE"/>
    <w:multiLevelType w:val="hybridMultilevel"/>
    <w:tmpl w:val="91FE3A4C"/>
    <w:lvl w:ilvl="0" w:tplc="4BEACA82">
      <w:start w:val="4"/>
      <w:numFmt w:val="bullet"/>
      <w:lvlText w:val="-"/>
      <w:lvlJc w:val="left"/>
      <w:pPr>
        <w:ind w:left="720" w:hanging="360"/>
      </w:pPr>
      <w:rPr>
        <w:rFonts w:ascii="Arial Narrow" w:eastAsiaTheme="minorHAnsi" w:hAnsi="Arial Narrow"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5A03D9"/>
    <w:multiLevelType w:val="multilevel"/>
    <w:tmpl w:val="33546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587416"/>
    <w:multiLevelType w:val="hybridMultilevel"/>
    <w:tmpl w:val="E16C69D0"/>
    <w:lvl w:ilvl="0" w:tplc="3C285172">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8E5110"/>
    <w:multiLevelType w:val="hybridMultilevel"/>
    <w:tmpl w:val="74E01448"/>
    <w:lvl w:ilvl="0" w:tplc="8B083944">
      <w:numFmt w:val="bullet"/>
      <w:lvlText w:val="-"/>
      <w:lvlJc w:val="left"/>
      <w:pPr>
        <w:ind w:left="786" w:hanging="360"/>
      </w:pPr>
      <w:rPr>
        <w:rFonts w:ascii="Arial Narrow" w:eastAsiaTheme="minorHAnsi" w:hAnsi="Arial Narrow"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771329E"/>
    <w:multiLevelType w:val="hybridMultilevel"/>
    <w:tmpl w:val="E27A1F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EB00015"/>
    <w:multiLevelType w:val="multilevel"/>
    <w:tmpl w:val="E17A8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rPr>
        <w:b/>
        <w:bCs/>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6"/>
  </w:num>
  <w:num w:numId="4">
    <w:abstractNumId w:val="4"/>
  </w:num>
  <w:num w:numId="5">
    <w:abstractNumId w:val="7"/>
  </w:num>
  <w:num w:numId="6">
    <w:abstractNumId w:val="3"/>
  </w:num>
  <w:num w:numId="7">
    <w:abstractNumId w:val="0"/>
  </w:num>
  <w:num w:numId="8">
    <w:abstractNumId w:val="9"/>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32"/>
    <w:rsid w:val="00001F86"/>
    <w:rsid w:val="00034F7F"/>
    <w:rsid w:val="00041E81"/>
    <w:rsid w:val="00044EA8"/>
    <w:rsid w:val="00072C3F"/>
    <w:rsid w:val="00096132"/>
    <w:rsid w:val="000A2700"/>
    <w:rsid w:val="000B03CE"/>
    <w:rsid w:val="000D4008"/>
    <w:rsid w:val="000E6565"/>
    <w:rsid w:val="00112F64"/>
    <w:rsid w:val="0014280C"/>
    <w:rsid w:val="00192F5F"/>
    <w:rsid w:val="001B1F8E"/>
    <w:rsid w:val="001C24E8"/>
    <w:rsid w:val="001D6D1D"/>
    <w:rsid w:val="001E5097"/>
    <w:rsid w:val="00213C16"/>
    <w:rsid w:val="00215010"/>
    <w:rsid w:val="00224A7F"/>
    <w:rsid w:val="0023654F"/>
    <w:rsid w:val="0025784A"/>
    <w:rsid w:val="002579F8"/>
    <w:rsid w:val="00266205"/>
    <w:rsid w:val="002672C7"/>
    <w:rsid w:val="002B4E18"/>
    <w:rsid w:val="002C6006"/>
    <w:rsid w:val="00301367"/>
    <w:rsid w:val="003067C8"/>
    <w:rsid w:val="00334136"/>
    <w:rsid w:val="00334E2F"/>
    <w:rsid w:val="003448E3"/>
    <w:rsid w:val="00374298"/>
    <w:rsid w:val="00385354"/>
    <w:rsid w:val="00394709"/>
    <w:rsid w:val="003F3745"/>
    <w:rsid w:val="00417647"/>
    <w:rsid w:val="0042220C"/>
    <w:rsid w:val="00427E1D"/>
    <w:rsid w:val="00464F54"/>
    <w:rsid w:val="004B79C6"/>
    <w:rsid w:val="004C2FE2"/>
    <w:rsid w:val="004F2D14"/>
    <w:rsid w:val="00504CDD"/>
    <w:rsid w:val="00546EFD"/>
    <w:rsid w:val="0057362E"/>
    <w:rsid w:val="00586CF7"/>
    <w:rsid w:val="0059701D"/>
    <w:rsid w:val="005C2930"/>
    <w:rsid w:val="005E05C6"/>
    <w:rsid w:val="005E46D6"/>
    <w:rsid w:val="00605F06"/>
    <w:rsid w:val="006110B6"/>
    <w:rsid w:val="00616808"/>
    <w:rsid w:val="006266F1"/>
    <w:rsid w:val="006379B2"/>
    <w:rsid w:val="00645E00"/>
    <w:rsid w:val="00674447"/>
    <w:rsid w:val="006B606F"/>
    <w:rsid w:val="006F464D"/>
    <w:rsid w:val="00713B88"/>
    <w:rsid w:val="00717C05"/>
    <w:rsid w:val="00722382"/>
    <w:rsid w:val="00796B8F"/>
    <w:rsid w:val="007A0AA3"/>
    <w:rsid w:val="007B3C32"/>
    <w:rsid w:val="007D1EC6"/>
    <w:rsid w:val="007F2709"/>
    <w:rsid w:val="007F3521"/>
    <w:rsid w:val="007F3C42"/>
    <w:rsid w:val="00806FE4"/>
    <w:rsid w:val="00813D7E"/>
    <w:rsid w:val="00824ED7"/>
    <w:rsid w:val="00897250"/>
    <w:rsid w:val="008A5C9C"/>
    <w:rsid w:val="008C2E29"/>
    <w:rsid w:val="008D60A3"/>
    <w:rsid w:val="008E7EFC"/>
    <w:rsid w:val="008F43B9"/>
    <w:rsid w:val="0091716C"/>
    <w:rsid w:val="00982933"/>
    <w:rsid w:val="009960CF"/>
    <w:rsid w:val="009A1DEC"/>
    <w:rsid w:val="009B44C9"/>
    <w:rsid w:val="00A0131B"/>
    <w:rsid w:val="00A052B5"/>
    <w:rsid w:val="00A16232"/>
    <w:rsid w:val="00A607BD"/>
    <w:rsid w:val="00A74742"/>
    <w:rsid w:val="00A77EA0"/>
    <w:rsid w:val="00A809E9"/>
    <w:rsid w:val="00AE6A36"/>
    <w:rsid w:val="00B02E60"/>
    <w:rsid w:val="00B042DD"/>
    <w:rsid w:val="00B06450"/>
    <w:rsid w:val="00B130BD"/>
    <w:rsid w:val="00B2167E"/>
    <w:rsid w:val="00B31E40"/>
    <w:rsid w:val="00B3546D"/>
    <w:rsid w:val="00B4591D"/>
    <w:rsid w:val="00B56F80"/>
    <w:rsid w:val="00C1748C"/>
    <w:rsid w:val="00C4329A"/>
    <w:rsid w:val="00C50792"/>
    <w:rsid w:val="00C54108"/>
    <w:rsid w:val="00C61DE8"/>
    <w:rsid w:val="00CA41F2"/>
    <w:rsid w:val="00CB2004"/>
    <w:rsid w:val="00CB7082"/>
    <w:rsid w:val="00CC6F03"/>
    <w:rsid w:val="00CE4B18"/>
    <w:rsid w:val="00CF2632"/>
    <w:rsid w:val="00CF44F5"/>
    <w:rsid w:val="00D02867"/>
    <w:rsid w:val="00D02EBC"/>
    <w:rsid w:val="00D21B26"/>
    <w:rsid w:val="00D22134"/>
    <w:rsid w:val="00D260E9"/>
    <w:rsid w:val="00DA00D3"/>
    <w:rsid w:val="00DE1B45"/>
    <w:rsid w:val="00DF30DB"/>
    <w:rsid w:val="00E05902"/>
    <w:rsid w:val="00E212C9"/>
    <w:rsid w:val="00E74EF9"/>
    <w:rsid w:val="00E8350D"/>
    <w:rsid w:val="00E86F15"/>
    <w:rsid w:val="00E906CE"/>
    <w:rsid w:val="00E95E7E"/>
    <w:rsid w:val="00EA4EB2"/>
    <w:rsid w:val="00F0790D"/>
    <w:rsid w:val="00F07964"/>
    <w:rsid w:val="00F14E33"/>
    <w:rsid w:val="00F525BC"/>
    <w:rsid w:val="00F77750"/>
    <w:rsid w:val="00FA6697"/>
    <w:rsid w:val="00FA7AE6"/>
    <w:rsid w:val="00FB2E26"/>
    <w:rsid w:val="00FD71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EA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6232"/>
    <w:pPr>
      <w:spacing w:after="200" w:line="276" w:lineRule="auto"/>
    </w:pPr>
    <w:rPr>
      <w:sz w:val="22"/>
      <w:szCs w:val="22"/>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232"/>
    <w:pPr>
      <w:ind w:left="720"/>
      <w:contextualSpacing/>
    </w:pPr>
  </w:style>
  <w:style w:type="paragraph" w:styleId="Header">
    <w:name w:val="header"/>
    <w:basedOn w:val="Normal"/>
    <w:link w:val="HeaderChar"/>
    <w:uiPriority w:val="99"/>
    <w:unhideWhenUsed/>
    <w:rsid w:val="00A16232"/>
    <w:pPr>
      <w:tabs>
        <w:tab w:val="center" w:pos="4419"/>
        <w:tab w:val="right" w:pos="8838"/>
      </w:tabs>
      <w:spacing w:after="0" w:line="240" w:lineRule="auto"/>
    </w:pPr>
  </w:style>
  <w:style w:type="character" w:customStyle="1" w:styleId="HeaderChar">
    <w:name w:val="Header Char"/>
    <w:basedOn w:val="DefaultParagraphFont"/>
    <w:link w:val="Header"/>
    <w:uiPriority w:val="99"/>
    <w:rsid w:val="00A16232"/>
    <w:rPr>
      <w:sz w:val="22"/>
      <w:szCs w:val="22"/>
      <w:lang w:val="es-CO"/>
    </w:rPr>
  </w:style>
  <w:style w:type="character" w:styleId="Hyperlink">
    <w:name w:val="Hyperlink"/>
    <w:basedOn w:val="DefaultParagraphFont"/>
    <w:uiPriority w:val="99"/>
    <w:unhideWhenUsed/>
    <w:rsid w:val="00A16232"/>
    <w:rPr>
      <w:color w:val="0000FF"/>
      <w:u w:val="single"/>
    </w:rPr>
  </w:style>
  <w:style w:type="paragraph" w:styleId="FootnoteText">
    <w:name w:val="footnote text"/>
    <w:basedOn w:val="Normal"/>
    <w:link w:val="FootnoteTextChar"/>
    <w:uiPriority w:val="99"/>
    <w:semiHidden/>
    <w:unhideWhenUsed/>
    <w:rsid w:val="00A16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232"/>
    <w:rPr>
      <w:sz w:val="20"/>
      <w:szCs w:val="20"/>
      <w:lang w:val="es-CO"/>
    </w:rPr>
  </w:style>
  <w:style w:type="character" w:styleId="FootnoteReference">
    <w:name w:val="footnote reference"/>
    <w:basedOn w:val="DefaultParagraphFont"/>
    <w:uiPriority w:val="99"/>
    <w:semiHidden/>
    <w:unhideWhenUsed/>
    <w:rsid w:val="00A16232"/>
    <w:rPr>
      <w:vertAlign w:val="superscript"/>
    </w:rPr>
  </w:style>
  <w:style w:type="paragraph" w:customStyle="1" w:styleId="TableParagraph">
    <w:name w:val="Table Paragraph"/>
    <w:basedOn w:val="Normal"/>
    <w:uiPriority w:val="1"/>
    <w:qFormat/>
    <w:rsid w:val="00A77EA0"/>
    <w:pPr>
      <w:widowControl w:val="0"/>
      <w:autoSpaceDE w:val="0"/>
      <w:autoSpaceDN w:val="0"/>
      <w:spacing w:before="6" w:after="0" w:line="240" w:lineRule="auto"/>
      <w:ind w:left="56"/>
      <w:jc w:val="both"/>
    </w:pPr>
    <w:rPr>
      <w:rFonts w:ascii="Times New Roman" w:eastAsia="Times New Roman" w:hAnsi="Times New Roman" w:cs="Times New Roman"/>
      <w:lang w:val="es-ES"/>
    </w:rPr>
  </w:style>
  <w:style w:type="paragraph" w:styleId="Footer">
    <w:name w:val="footer"/>
    <w:basedOn w:val="Normal"/>
    <w:link w:val="FooterChar"/>
    <w:uiPriority w:val="99"/>
    <w:unhideWhenUsed/>
    <w:rsid w:val="00897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50"/>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404">
      <w:bodyDiv w:val="1"/>
      <w:marLeft w:val="0"/>
      <w:marRight w:val="0"/>
      <w:marTop w:val="0"/>
      <w:marBottom w:val="0"/>
      <w:divBdr>
        <w:top w:val="none" w:sz="0" w:space="0" w:color="auto"/>
        <w:left w:val="none" w:sz="0" w:space="0" w:color="auto"/>
        <w:bottom w:val="none" w:sz="0" w:space="0" w:color="auto"/>
        <w:right w:val="none" w:sz="0" w:space="0" w:color="auto"/>
      </w:divBdr>
    </w:div>
    <w:div w:id="62800804">
      <w:bodyDiv w:val="1"/>
      <w:marLeft w:val="0"/>
      <w:marRight w:val="0"/>
      <w:marTop w:val="0"/>
      <w:marBottom w:val="0"/>
      <w:divBdr>
        <w:top w:val="none" w:sz="0" w:space="0" w:color="auto"/>
        <w:left w:val="none" w:sz="0" w:space="0" w:color="auto"/>
        <w:bottom w:val="none" w:sz="0" w:space="0" w:color="auto"/>
        <w:right w:val="none" w:sz="0" w:space="0" w:color="auto"/>
      </w:divBdr>
    </w:div>
    <w:div w:id="227110750">
      <w:bodyDiv w:val="1"/>
      <w:marLeft w:val="0"/>
      <w:marRight w:val="0"/>
      <w:marTop w:val="0"/>
      <w:marBottom w:val="0"/>
      <w:divBdr>
        <w:top w:val="none" w:sz="0" w:space="0" w:color="auto"/>
        <w:left w:val="none" w:sz="0" w:space="0" w:color="auto"/>
        <w:bottom w:val="none" w:sz="0" w:space="0" w:color="auto"/>
        <w:right w:val="none" w:sz="0" w:space="0" w:color="auto"/>
      </w:divBdr>
    </w:div>
    <w:div w:id="242107051">
      <w:bodyDiv w:val="1"/>
      <w:marLeft w:val="0"/>
      <w:marRight w:val="0"/>
      <w:marTop w:val="0"/>
      <w:marBottom w:val="0"/>
      <w:divBdr>
        <w:top w:val="none" w:sz="0" w:space="0" w:color="auto"/>
        <w:left w:val="none" w:sz="0" w:space="0" w:color="auto"/>
        <w:bottom w:val="none" w:sz="0" w:space="0" w:color="auto"/>
        <w:right w:val="none" w:sz="0" w:space="0" w:color="auto"/>
      </w:divBdr>
    </w:div>
    <w:div w:id="643044143">
      <w:bodyDiv w:val="1"/>
      <w:marLeft w:val="0"/>
      <w:marRight w:val="0"/>
      <w:marTop w:val="0"/>
      <w:marBottom w:val="0"/>
      <w:divBdr>
        <w:top w:val="none" w:sz="0" w:space="0" w:color="auto"/>
        <w:left w:val="none" w:sz="0" w:space="0" w:color="auto"/>
        <w:bottom w:val="none" w:sz="0" w:space="0" w:color="auto"/>
        <w:right w:val="none" w:sz="0" w:space="0" w:color="auto"/>
      </w:divBdr>
    </w:div>
    <w:div w:id="746196691">
      <w:bodyDiv w:val="1"/>
      <w:marLeft w:val="0"/>
      <w:marRight w:val="0"/>
      <w:marTop w:val="0"/>
      <w:marBottom w:val="0"/>
      <w:divBdr>
        <w:top w:val="none" w:sz="0" w:space="0" w:color="auto"/>
        <w:left w:val="none" w:sz="0" w:space="0" w:color="auto"/>
        <w:bottom w:val="none" w:sz="0" w:space="0" w:color="auto"/>
        <w:right w:val="none" w:sz="0" w:space="0" w:color="auto"/>
      </w:divBdr>
    </w:div>
    <w:div w:id="830868537">
      <w:bodyDiv w:val="1"/>
      <w:marLeft w:val="0"/>
      <w:marRight w:val="0"/>
      <w:marTop w:val="0"/>
      <w:marBottom w:val="0"/>
      <w:divBdr>
        <w:top w:val="none" w:sz="0" w:space="0" w:color="auto"/>
        <w:left w:val="none" w:sz="0" w:space="0" w:color="auto"/>
        <w:bottom w:val="none" w:sz="0" w:space="0" w:color="auto"/>
        <w:right w:val="none" w:sz="0" w:space="0" w:color="auto"/>
      </w:divBdr>
    </w:div>
    <w:div w:id="843785626">
      <w:bodyDiv w:val="1"/>
      <w:marLeft w:val="0"/>
      <w:marRight w:val="0"/>
      <w:marTop w:val="0"/>
      <w:marBottom w:val="0"/>
      <w:divBdr>
        <w:top w:val="none" w:sz="0" w:space="0" w:color="auto"/>
        <w:left w:val="none" w:sz="0" w:space="0" w:color="auto"/>
        <w:bottom w:val="none" w:sz="0" w:space="0" w:color="auto"/>
        <w:right w:val="none" w:sz="0" w:space="0" w:color="auto"/>
      </w:divBdr>
    </w:div>
    <w:div w:id="966080983">
      <w:bodyDiv w:val="1"/>
      <w:marLeft w:val="0"/>
      <w:marRight w:val="0"/>
      <w:marTop w:val="0"/>
      <w:marBottom w:val="0"/>
      <w:divBdr>
        <w:top w:val="none" w:sz="0" w:space="0" w:color="auto"/>
        <w:left w:val="none" w:sz="0" w:space="0" w:color="auto"/>
        <w:bottom w:val="none" w:sz="0" w:space="0" w:color="auto"/>
        <w:right w:val="none" w:sz="0" w:space="0" w:color="auto"/>
      </w:divBdr>
    </w:div>
    <w:div w:id="980158673">
      <w:bodyDiv w:val="1"/>
      <w:marLeft w:val="0"/>
      <w:marRight w:val="0"/>
      <w:marTop w:val="0"/>
      <w:marBottom w:val="0"/>
      <w:divBdr>
        <w:top w:val="none" w:sz="0" w:space="0" w:color="auto"/>
        <w:left w:val="none" w:sz="0" w:space="0" w:color="auto"/>
        <w:bottom w:val="none" w:sz="0" w:space="0" w:color="auto"/>
        <w:right w:val="none" w:sz="0" w:space="0" w:color="auto"/>
      </w:divBdr>
    </w:div>
    <w:div w:id="1028917630">
      <w:bodyDiv w:val="1"/>
      <w:marLeft w:val="0"/>
      <w:marRight w:val="0"/>
      <w:marTop w:val="0"/>
      <w:marBottom w:val="0"/>
      <w:divBdr>
        <w:top w:val="none" w:sz="0" w:space="0" w:color="auto"/>
        <w:left w:val="none" w:sz="0" w:space="0" w:color="auto"/>
        <w:bottom w:val="none" w:sz="0" w:space="0" w:color="auto"/>
        <w:right w:val="none" w:sz="0" w:space="0" w:color="auto"/>
      </w:divBdr>
    </w:div>
    <w:div w:id="1084642658">
      <w:bodyDiv w:val="1"/>
      <w:marLeft w:val="0"/>
      <w:marRight w:val="0"/>
      <w:marTop w:val="0"/>
      <w:marBottom w:val="0"/>
      <w:divBdr>
        <w:top w:val="none" w:sz="0" w:space="0" w:color="auto"/>
        <w:left w:val="none" w:sz="0" w:space="0" w:color="auto"/>
        <w:bottom w:val="none" w:sz="0" w:space="0" w:color="auto"/>
        <w:right w:val="none" w:sz="0" w:space="0" w:color="auto"/>
      </w:divBdr>
    </w:div>
    <w:div w:id="1111777756">
      <w:bodyDiv w:val="1"/>
      <w:marLeft w:val="0"/>
      <w:marRight w:val="0"/>
      <w:marTop w:val="0"/>
      <w:marBottom w:val="0"/>
      <w:divBdr>
        <w:top w:val="none" w:sz="0" w:space="0" w:color="auto"/>
        <w:left w:val="none" w:sz="0" w:space="0" w:color="auto"/>
        <w:bottom w:val="none" w:sz="0" w:space="0" w:color="auto"/>
        <w:right w:val="none" w:sz="0" w:space="0" w:color="auto"/>
      </w:divBdr>
    </w:div>
    <w:div w:id="1173496161">
      <w:bodyDiv w:val="1"/>
      <w:marLeft w:val="0"/>
      <w:marRight w:val="0"/>
      <w:marTop w:val="0"/>
      <w:marBottom w:val="0"/>
      <w:divBdr>
        <w:top w:val="none" w:sz="0" w:space="0" w:color="auto"/>
        <w:left w:val="none" w:sz="0" w:space="0" w:color="auto"/>
        <w:bottom w:val="none" w:sz="0" w:space="0" w:color="auto"/>
        <w:right w:val="none" w:sz="0" w:space="0" w:color="auto"/>
      </w:divBdr>
    </w:div>
    <w:div w:id="1361513591">
      <w:bodyDiv w:val="1"/>
      <w:marLeft w:val="0"/>
      <w:marRight w:val="0"/>
      <w:marTop w:val="0"/>
      <w:marBottom w:val="0"/>
      <w:divBdr>
        <w:top w:val="none" w:sz="0" w:space="0" w:color="auto"/>
        <w:left w:val="none" w:sz="0" w:space="0" w:color="auto"/>
        <w:bottom w:val="none" w:sz="0" w:space="0" w:color="auto"/>
        <w:right w:val="none" w:sz="0" w:space="0" w:color="auto"/>
      </w:divBdr>
    </w:div>
    <w:div w:id="1395396651">
      <w:bodyDiv w:val="1"/>
      <w:marLeft w:val="0"/>
      <w:marRight w:val="0"/>
      <w:marTop w:val="0"/>
      <w:marBottom w:val="0"/>
      <w:divBdr>
        <w:top w:val="none" w:sz="0" w:space="0" w:color="auto"/>
        <w:left w:val="none" w:sz="0" w:space="0" w:color="auto"/>
        <w:bottom w:val="none" w:sz="0" w:space="0" w:color="auto"/>
        <w:right w:val="none" w:sz="0" w:space="0" w:color="auto"/>
      </w:divBdr>
    </w:div>
    <w:div w:id="1435519972">
      <w:bodyDiv w:val="1"/>
      <w:marLeft w:val="0"/>
      <w:marRight w:val="0"/>
      <w:marTop w:val="0"/>
      <w:marBottom w:val="0"/>
      <w:divBdr>
        <w:top w:val="none" w:sz="0" w:space="0" w:color="auto"/>
        <w:left w:val="none" w:sz="0" w:space="0" w:color="auto"/>
        <w:bottom w:val="none" w:sz="0" w:space="0" w:color="auto"/>
        <w:right w:val="none" w:sz="0" w:space="0" w:color="auto"/>
      </w:divBdr>
    </w:div>
    <w:div w:id="1470590598">
      <w:bodyDiv w:val="1"/>
      <w:marLeft w:val="0"/>
      <w:marRight w:val="0"/>
      <w:marTop w:val="0"/>
      <w:marBottom w:val="0"/>
      <w:divBdr>
        <w:top w:val="none" w:sz="0" w:space="0" w:color="auto"/>
        <w:left w:val="none" w:sz="0" w:space="0" w:color="auto"/>
        <w:bottom w:val="none" w:sz="0" w:space="0" w:color="auto"/>
        <w:right w:val="none" w:sz="0" w:space="0" w:color="auto"/>
      </w:divBdr>
    </w:div>
    <w:div w:id="1542784821">
      <w:bodyDiv w:val="1"/>
      <w:marLeft w:val="0"/>
      <w:marRight w:val="0"/>
      <w:marTop w:val="0"/>
      <w:marBottom w:val="0"/>
      <w:divBdr>
        <w:top w:val="none" w:sz="0" w:space="0" w:color="auto"/>
        <w:left w:val="none" w:sz="0" w:space="0" w:color="auto"/>
        <w:bottom w:val="none" w:sz="0" w:space="0" w:color="auto"/>
        <w:right w:val="none" w:sz="0" w:space="0" w:color="auto"/>
      </w:divBdr>
    </w:div>
    <w:div w:id="1552771117">
      <w:bodyDiv w:val="1"/>
      <w:marLeft w:val="0"/>
      <w:marRight w:val="0"/>
      <w:marTop w:val="0"/>
      <w:marBottom w:val="0"/>
      <w:divBdr>
        <w:top w:val="none" w:sz="0" w:space="0" w:color="auto"/>
        <w:left w:val="none" w:sz="0" w:space="0" w:color="auto"/>
        <w:bottom w:val="none" w:sz="0" w:space="0" w:color="auto"/>
        <w:right w:val="none" w:sz="0" w:space="0" w:color="auto"/>
      </w:divBdr>
    </w:div>
    <w:div w:id="1596859368">
      <w:bodyDiv w:val="1"/>
      <w:marLeft w:val="0"/>
      <w:marRight w:val="0"/>
      <w:marTop w:val="0"/>
      <w:marBottom w:val="0"/>
      <w:divBdr>
        <w:top w:val="none" w:sz="0" w:space="0" w:color="auto"/>
        <w:left w:val="none" w:sz="0" w:space="0" w:color="auto"/>
        <w:bottom w:val="none" w:sz="0" w:space="0" w:color="auto"/>
        <w:right w:val="none" w:sz="0" w:space="0" w:color="auto"/>
      </w:divBdr>
    </w:div>
    <w:div w:id="1717124703">
      <w:bodyDiv w:val="1"/>
      <w:marLeft w:val="0"/>
      <w:marRight w:val="0"/>
      <w:marTop w:val="0"/>
      <w:marBottom w:val="0"/>
      <w:divBdr>
        <w:top w:val="none" w:sz="0" w:space="0" w:color="auto"/>
        <w:left w:val="none" w:sz="0" w:space="0" w:color="auto"/>
        <w:bottom w:val="none" w:sz="0" w:space="0" w:color="auto"/>
        <w:right w:val="none" w:sz="0" w:space="0" w:color="auto"/>
      </w:divBdr>
    </w:div>
    <w:div w:id="1730566792">
      <w:bodyDiv w:val="1"/>
      <w:marLeft w:val="0"/>
      <w:marRight w:val="0"/>
      <w:marTop w:val="0"/>
      <w:marBottom w:val="0"/>
      <w:divBdr>
        <w:top w:val="none" w:sz="0" w:space="0" w:color="auto"/>
        <w:left w:val="none" w:sz="0" w:space="0" w:color="auto"/>
        <w:bottom w:val="none" w:sz="0" w:space="0" w:color="auto"/>
        <w:right w:val="none" w:sz="0" w:space="0" w:color="auto"/>
      </w:divBdr>
    </w:div>
    <w:div w:id="1853259614">
      <w:bodyDiv w:val="1"/>
      <w:marLeft w:val="0"/>
      <w:marRight w:val="0"/>
      <w:marTop w:val="0"/>
      <w:marBottom w:val="0"/>
      <w:divBdr>
        <w:top w:val="none" w:sz="0" w:space="0" w:color="auto"/>
        <w:left w:val="none" w:sz="0" w:space="0" w:color="auto"/>
        <w:bottom w:val="none" w:sz="0" w:space="0" w:color="auto"/>
        <w:right w:val="none" w:sz="0" w:space="0" w:color="auto"/>
      </w:divBdr>
    </w:div>
    <w:div w:id="211559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8323</Words>
  <Characters>47442</Characters>
  <Application>Microsoft Office Word</Application>
  <DocSecurity>0</DocSecurity>
  <Lines>395</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Camilo Martinez Navarrete</cp:lastModifiedBy>
  <cp:revision>5</cp:revision>
  <cp:lastPrinted>2020-08-03T01:37:00Z</cp:lastPrinted>
  <dcterms:created xsi:type="dcterms:W3CDTF">2021-07-20T04:28:00Z</dcterms:created>
  <dcterms:modified xsi:type="dcterms:W3CDTF">2021-07-26T13:59:00Z</dcterms:modified>
</cp:coreProperties>
</file>