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85B9" w14:textId="6F0D7011" w:rsidR="00980C61" w:rsidRPr="00D349CB" w:rsidRDefault="00980C61" w:rsidP="00D349CB">
      <w:pPr>
        <w:shd w:val="clear" w:color="auto" w:fill="FFFFFF"/>
        <w:spacing w:before="100" w:beforeAutospacing="1" w:after="100" w:afterAutospacing="1"/>
        <w:jc w:val="both"/>
        <w:rPr>
          <w:rFonts w:ascii="Century Gothic" w:eastAsia="Times New Roman" w:hAnsi="Century Gothic" w:cs="Calibri"/>
          <w:lang w:eastAsia="es-CO"/>
        </w:rPr>
      </w:pPr>
      <w:r w:rsidRPr="00D349CB">
        <w:rPr>
          <w:rFonts w:ascii="Century Gothic" w:eastAsia="Times New Roman" w:hAnsi="Century Gothic" w:cs="Calibri"/>
          <w:lang w:eastAsia="es-CO"/>
        </w:rPr>
        <w:t xml:space="preserve">Bogotá D.C. </w:t>
      </w:r>
      <w:r w:rsidR="00AE2C60">
        <w:rPr>
          <w:rFonts w:ascii="Century Gothic" w:eastAsia="Times New Roman" w:hAnsi="Century Gothic" w:cs="Calibri"/>
          <w:lang w:eastAsia="es-CO"/>
        </w:rPr>
        <w:t>20</w:t>
      </w:r>
      <w:r w:rsidRPr="00D349CB">
        <w:rPr>
          <w:rFonts w:ascii="Century Gothic" w:eastAsia="Times New Roman" w:hAnsi="Century Gothic" w:cs="Calibri"/>
          <w:lang w:eastAsia="es-CO"/>
        </w:rPr>
        <w:t xml:space="preserve"> de </w:t>
      </w:r>
      <w:r w:rsidR="00AE2C60">
        <w:rPr>
          <w:rFonts w:ascii="Century Gothic" w:eastAsia="Times New Roman" w:hAnsi="Century Gothic" w:cs="Calibri"/>
          <w:lang w:eastAsia="es-CO"/>
        </w:rPr>
        <w:t>julio</w:t>
      </w:r>
      <w:r w:rsidRPr="00D349CB">
        <w:rPr>
          <w:rFonts w:ascii="Century Gothic" w:eastAsia="Times New Roman" w:hAnsi="Century Gothic" w:cs="Calibri"/>
          <w:lang w:eastAsia="es-CO"/>
        </w:rPr>
        <w:t xml:space="preserve"> de 202</w:t>
      </w:r>
      <w:r w:rsidR="00727915" w:rsidRPr="00D349CB">
        <w:rPr>
          <w:rFonts w:ascii="Century Gothic" w:eastAsia="Times New Roman" w:hAnsi="Century Gothic" w:cs="Calibri"/>
          <w:lang w:eastAsia="es-CO"/>
        </w:rPr>
        <w:t>1</w:t>
      </w:r>
    </w:p>
    <w:p w14:paraId="6F6EC10D" w14:textId="77777777" w:rsidR="00980C61" w:rsidRPr="00D349CB" w:rsidRDefault="00980C61" w:rsidP="00D349CB">
      <w:pPr>
        <w:shd w:val="clear" w:color="auto" w:fill="FFFFFF"/>
        <w:spacing w:before="100" w:beforeAutospacing="1" w:after="100" w:afterAutospacing="1"/>
        <w:jc w:val="both"/>
        <w:rPr>
          <w:rFonts w:ascii="Century Gothic" w:eastAsia="Times New Roman" w:hAnsi="Century Gothic" w:cs="Calibri"/>
          <w:lang w:eastAsia="es-CO"/>
        </w:rPr>
      </w:pPr>
    </w:p>
    <w:p w14:paraId="06F10E6E" w14:textId="77777777" w:rsidR="00980C61" w:rsidRPr="00D349CB" w:rsidRDefault="00980C61" w:rsidP="00D349CB">
      <w:pPr>
        <w:shd w:val="clear" w:color="auto" w:fill="FFFFFF"/>
        <w:spacing w:before="100" w:beforeAutospacing="1" w:after="100" w:afterAutospacing="1"/>
        <w:contextualSpacing/>
        <w:jc w:val="both"/>
        <w:rPr>
          <w:rFonts w:ascii="Century Gothic" w:eastAsia="Times New Roman" w:hAnsi="Century Gothic" w:cs="Calibri"/>
          <w:lang w:eastAsia="es-CO"/>
        </w:rPr>
      </w:pPr>
      <w:r w:rsidRPr="00D349CB">
        <w:rPr>
          <w:rFonts w:ascii="Century Gothic" w:eastAsia="Times New Roman" w:hAnsi="Century Gothic" w:cs="Calibri"/>
          <w:lang w:eastAsia="es-CO"/>
        </w:rPr>
        <w:t>Doctor,</w:t>
      </w:r>
    </w:p>
    <w:p w14:paraId="68C34B6E" w14:textId="77777777" w:rsidR="00980C61" w:rsidRPr="00D349CB" w:rsidRDefault="00980C61" w:rsidP="00D349CB">
      <w:pPr>
        <w:shd w:val="clear" w:color="auto" w:fill="FFFFFF"/>
        <w:spacing w:before="100" w:beforeAutospacing="1" w:after="100" w:afterAutospacing="1"/>
        <w:contextualSpacing/>
        <w:jc w:val="both"/>
        <w:rPr>
          <w:rFonts w:ascii="Century Gothic" w:eastAsia="Times New Roman" w:hAnsi="Century Gothic" w:cs="Calibri"/>
          <w:lang w:eastAsia="es-CO"/>
        </w:rPr>
      </w:pPr>
      <w:r w:rsidRPr="00D349CB">
        <w:rPr>
          <w:rFonts w:ascii="Century Gothic" w:eastAsia="Times New Roman" w:hAnsi="Century Gothic" w:cs="Calibri"/>
          <w:b/>
          <w:bCs/>
          <w:lang w:eastAsia="es-CO"/>
        </w:rPr>
        <w:t>JORGE HUMBERTO MANTILLA SERRANO</w:t>
      </w:r>
    </w:p>
    <w:p w14:paraId="2731A104" w14:textId="77777777" w:rsidR="00980C61" w:rsidRPr="00D349CB" w:rsidRDefault="00980C61" w:rsidP="00D349CB">
      <w:pPr>
        <w:shd w:val="clear" w:color="auto" w:fill="FFFFFF"/>
        <w:spacing w:before="100" w:beforeAutospacing="1" w:after="100" w:afterAutospacing="1"/>
        <w:contextualSpacing/>
        <w:jc w:val="both"/>
        <w:rPr>
          <w:rFonts w:ascii="Century Gothic" w:eastAsia="Times New Roman" w:hAnsi="Century Gothic" w:cs="Calibri"/>
          <w:lang w:eastAsia="es-CO"/>
        </w:rPr>
      </w:pPr>
      <w:r w:rsidRPr="00D349CB">
        <w:rPr>
          <w:rFonts w:ascii="Century Gothic" w:eastAsia="Times New Roman" w:hAnsi="Century Gothic" w:cs="Calibri"/>
          <w:lang w:eastAsia="es-CO"/>
        </w:rPr>
        <w:t>Secretario General</w:t>
      </w:r>
    </w:p>
    <w:p w14:paraId="35FAD911" w14:textId="77777777" w:rsidR="00980C61" w:rsidRPr="00D349CB" w:rsidRDefault="00980C61" w:rsidP="00D349CB">
      <w:pPr>
        <w:shd w:val="clear" w:color="auto" w:fill="FFFFFF"/>
        <w:spacing w:before="100" w:beforeAutospacing="1" w:after="100" w:afterAutospacing="1"/>
        <w:contextualSpacing/>
        <w:jc w:val="both"/>
        <w:rPr>
          <w:rFonts w:ascii="Century Gothic" w:eastAsia="Times New Roman" w:hAnsi="Century Gothic" w:cs="Calibri"/>
          <w:lang w:eastAsia="es-CO"/>
        </w:rPr>
      </w:pPr>
      <w:r w:rsidRPr="00D349CB">
        <w:rPr>
          <w:rFonts w:ascii="Century Gothic" w:eastAsia="Times New Roman" w:hAnsi="Century Gothic" w:cs="Calibri"/>
          <w:lang w:eastAsia="es-CO"/>
        </w:rPr>
        <w:t>Cámara de Representantes</w:t>
      </w:r>
    </w:p>
    <w:p w14:paraId="73662702" w14:textId="4F9ABFA4" w:rsidR="00980C61" w:rsidRPr="00D349CB" w:rsidRDefault="00CD3E3A" w:rsidP="00D349CB">
      <w:pPr>
        <w:shd w:val="clear" w:color="auto" w:fill="FFFFFF"/>
        <w:spacing w:before="100" w:beforeAutospacing="1" w:after="100" w:afterAutospacing="1"/>
        <w:contextualSpacing/>
        <w:jc w:val="both"/>
        <w:rPr>
          <w:rFonts w:ascii="Century Gothic" w:eastAsia="Times New Roman" w:hAnsi="Century Gothic" w:cs="Calibri"/>
          <w:lang w:eastAsia="es-CO"/>
        </w:rPr>
      </w:pPr>
      <w:r w:rsidRPr="00D349CB">
        <w:rPr>
          <w:rFonts w:ascii="Century Gothic" w:eastAsia="Times New Roman" w:hAnsi="Century Gothic" w:cs="Calibri"/>
          <w:lang w:eastAsia="es-CO"/>
        </w:rPr>
        <w:t>Bogotá</w:t>
      </w:r>
    </w:p>
    <w:p w14:paraId="30F35CA8" w14:textId="77777777" w:rsidR="00980C61" w:rsidRPr="00D349CB" w:rsidRDefault="00980C61" w:rsidP="00D349CB">
      <w:pPr>
        <w:shd w:val="clear" w:color="auto" w:fill="FFFFFF"/>
        <w:spacing w:before="100" w:beforeAutospacing="1" w:after="100" w:afterAutospacing="1"/>
        <w:jc w:val="both"/>
        <w:rPr>
          <w:rFonts w:ascii="Century Gothic" w:eastAsia="Times New Roman" w:hAnsi="Century Gothic" w:cs="Calibri"/>
          <w:lang w:eastAsia="es-CO"/>
        </w:rPr>
      </w:pPr>
    </w:p>
    <w:p w14:paraId="03366649" w14:textId="07FFD9D5" w:rsidR="00980C61" w:rsidRPr="00D349CB" w:rsidRDefault="00980C61" w:rsidP="00D349CB">
      <w:pPr>
        <w:shd w:val="clear" w:color="auto" w:fill="FFFFFF"/>
        <w:spacing w:before="100" w:beforeAutospacing="1" w:after="100" w:afterAutospacing="1"/>
        <w:jc w:val="both"/>
        <w:rPr>
          <w:rFonts w:ascii="Century Gothic" w:eastAsia="Times New Roman" w:hAnsi="Century Gothic" w:cs="Calibri"/>
          <w:lang w:eastAsia="es-CO"/>
        </w:rPr>
      </w:pPr>
      <w:r w:rsidRPr="00D349CB">
        <w:rPr>
          <w:rFonts w:ascii="Century Gothic" w:eastAsia="Times New Roman" w:hAnsi="Century Gothic" w:cs="Calibri"/>
          <w:b/>
          <w:lang w:eastAsia="es-CO"/>
        </w:rPr>
        <w:t xml:space="preserve">Referencia: </w:t>
      </w:r>
      <w:r w:rsidR="00972848" w:rsidRPr="00D349CB">
        <w:rPr>
          <w:rFonts w:ascii="Century Gothic" w:eastAsia="Times New Roman" w:hAnsi="Century Gothic" w:cs="Calibri"/>
          <w:lang w:eastAsia="es-CO"/>
        </w:rPr>
        <w:t>R</w:t>
      </w:r>
      <w:r w:rsidRPr="00D349CB">
        <w:rPr>
          <w:rFonts w:ascii="Century Gothic" w:eastAsia="Times New Roman" w:hAnsi="Century Gothic" w:cs="Calibri"/>
          <w:lang w:eastAsia="es-CO"/>
        </w:rPr>
        <w:t>adicación Proyecto de Ley</w:t>
      </w:r>
      <w:r w:rsidR="009269B3" w:rsidRPr="00D349CB">
        <w:rPr>
          <w:rFonts w:ascii="Century Gothic" w:eastAsia="Times New Roman" w:hAnsi="Century Gothic" w:cs="Calibri"/>
          <w:lang w:eastAsia="es-CO"/>
        </w:rPr>
        <w:t xml:space="preserve"> </w:t>
      </w:r>
      <w:r w:rsidR="00CD3E3A" w:rsidRPr="00D349CB">
        <w:rPr>
          <w:rFonts w:ascii="Century Gothic" w:eastAsia="Times New Roman" w:hAnsi="Century Gothic" w:cs="Calibri"/>
          <w:lang w:eastAsia="es-CO"/>
        </w:rPr>
        <w:t>“Por medio de la cual se establece el Ingreso Base de Cotización de los trabajadores independientes”</w:t>
      </w:r>
    </w:p>
    <w:p w14:paraId="58FEBC69" w14:textId="77777777" w:rsidR="00980C61" w:rsidRPr="00D349CB" w:rsidRDefault="00980C61" w:rsidP="00D349CB">
      <w:pPr>
        <w:shd w:val="clear" w:color="auto" w:fill="FFFFFF"/>
        <w:spacing w:before="100" w:beforeAutospacing="1" w:after="100" w:afterAutospacing="1"/>
        <w:jc w:val="both"/>
        <w:rPr>
          <w:rFonts w:ascii="Century Gothic" w:eastAsia="Times New Roman" w:hAnsi="Century Gothic" w:cs="Calibri"/>
          <w:lang w:eastAsia="es-CO"/>
        </w:rPr>
      </w:pPr>
      <w:r w:rsidRPr="00D349CB">
        <w:rPr>
          <w:rFonts w:ascii="Century Gothic" w:eastAsia="Times New Roman" w:hAnsi="Century Gothic" w:cs="Calibri"/>
          <w:lang w:eastAsia="es-CO"/>
        </w:rPr>
        <w:t xml:space="preserve">Respetado secretario. </w:t>
      </w:r>
    </w:p>
    <w:p w14:paraId="3F8EE356" w14:textId="568592F3" w:rsidR="00980C61" w:rsidRPr="00D349CB" w:rsidRDefault="00980C61" w:rsidP="00D349CB">
      <w:pPr>
        <w:shd w:val="clear" w:color="auto" w:fill="FFFFFF"/>
        <w:spacing w:before="100" w:beforeAutospacing="1" w:after="100" w:afterAutospacing="1"/>
        <w:jc w:val="both"/>
        <w:rPr>
          <w:rFonts w:ascii="Century Gothic" w:eastAsia="Times New Roman" w:hAnsi="Century Gothic" w:cs="Calibri"/>
          <w:lang w:eastAsia="es-CO"/>
        </w:rPr>
      </w:pPr>
      <w:r w:rsidRPr="00D349CB">
        <w:rPr>
          <w:rFonts w:ascii="Century Gothic" w:eastAsia="Times New Roman" w:hAnsi="Century Gothic" w:cs="Calibri"/>
          <w:lang w:eastAsia="es-CO"/>
        </w:rPr>
        <w:t>Presento a consideración de la Cámara de Representantes el Proyecto de Ley “</w:t>
      </w:r>
      <w:r w:rsidR="00CD3E3A" w:rsidRPr="00D349CB">
        <w:rPr>
          <w:rFonts w:ascii="Century Gothic" w:eastAsia="Times New Roman" w:hAnsi="Century Gothic" w:cs="Calibri"/>
          <w:lang w:eastAsia="es-CO"/>
        </w:rPr>
        <w:t>P</w:t>
      </w:r>
      <w:r w:rsidRPr="00D349CB">
        <w:rPr>
          <w:rFonts w:ascii="Century Gothic" w:eastAsia="Roboto" w:hAnsi="Century Gothic" w:cs="Roboto"/>
        </w:rPr>
        <w:t>or medio de</w:t>
      </w:r>
      <w:r w:rsidR="009269B3" w:rsidRPr="00D349CB">
        <w:rPr>
          <w:rFonts w:ascii="Century Gothic" w:eastAsia="Roboto" w:hAnsi="Century Gothic" w:cs="Roboto"/>
        </w:rPr>
        <w:t xml:space="preserve"> </w:t>
      </w:r>
      <w:r w:rsidR="00035EA4" w:rsidRPr="00D349CB">
        <w:rPr>
          <w:rFonts w:ascii="Century Gothic" w:eastAsia="Roboto" w:hAnsi="Century Gothic" w:cs="Roboto"/>
        </w:rPr>
        <w:t>l</w:t>
      </w:r>
      <w:r w:rsidR="009269B3" w:rsidRPr="00D349CB">
        <w:rPr>
          <w:rFonts w:ascii="Century Gothic" w:eastAsia="Roboto" w:hAnsi="Century Gothic" w:cs="Roboto"/>
        </w:rPr>
        <w:t>a</w:t>
      </w:r>
      <w:r w:rsidR="00035EA4" w:rsidRPr="00D349CB">
        <w:rPr>
          <w:rFonts w:ascii="Century Gothic" w:eastAsia="Roboto" w:hAnsi="Century Gothic" w:cs="Roboto"/>
        </w:rPr>
        <w:t xml:space="preserve"> </w:t>
      </w:r>
      <w:r w:rsidRPr="00D349CB">
        <w:rPr>
          <w:rFonts w:ascii="Century Gothic" w:eastAsia="Roboto" w:hAnsi="Century Gothic" w:cs="Roboto"/>
        </w:rPr>
        <w:t>cual se establece</w:t>
      </w:r>
      <w:r w:rsidR="00727915" w:rsidRPr="00D349CB">
        <w:rPr>
          <w:rFonts w:ascii="Century Gothic" w:eastAsia="Roboto" w:hAnsi="Century Gothic" w:cs="Roboto"/>
        </w:rPr>
        <w:t xml:space="preserve"> </w:t>
      </w:r>
      <w:r w:rsidR="00035EA4" w:rsidRPr="00D349CB">
        <w:rPr>
          <w:rFonts w:ascii="Century Gothic" w:eastAsia="Roboto" w:hAnsi="Century Gothic" w:cs="Roboto"/>
        </w:rPr>
        <w:t>el Ingreso Base de Cotización</w:t>
      </w:r>
      <w:r w:rsidR="009269B3" w:rsidRPr="00D349CB">
        <w:rPr>
          <w:rFonts w:ascii="Century Gothic" w:eastAsia="Roboto" w:hAnsi="Century Gothic" w:cs="Roboto"/>
        </w:rPr>
        <w:t xml:space="preserve"> </w:t>
      </w:r>
      <w:r w:rsidR="00CD3E3A" w:rsidRPr="00D349CB">
        <w:rPr>
          <w:rFonts w:ascii="Century Gothic" w:eastAsia="Roboto" w:hAnsi="Century Gothic" w:cs="Roboto"/>
        </w:rPr>
        <w:t>de los trabajadores independientes</w:t>
      </w:r>
      <w:r w:rsidR="009B647B" w:rsidRPr="00D349CB">
        <w:rPr>
          <w:rFonts w:ascii="Century Gothic" w:eastAsia="Roboto" w:hAnsi="Century Gothic" w:cs="Roboto"/>
        </w:rPr>
        <w:t>”</w:t>
      </w:r>
      <w:r w:rsidR="00C97D9E" w:rsidRPr="00D349CB">
        <w:rPr>
          <w:rFonts w:ascii="Century Gothic" w:eastAsia="Times New Roman" w:hAnsi="Century Gothic" w:cs="Calibri"/>
          <w:lang w:eastAsia="es-CO"/>
        </w:rPr>
        <w:t>, iniciativa legislativa que cumple las disposiciones de la normatividad vigente.</w:t>
      </w:r>
    </w:p>
    <w:p w14:paraId="67B426E4" w14:textId="77777777" w:rsidR="00980C61" w:rsidRPr="00D349CB" w:rsidRDefault="00980C61" w:rsidP="00D349CB">
      <w:pPr>
        <w:jc w:val="both"/>
        <w:textAlignment w:val="center"/>
        <w:rPr>
          <w:rFonts w:ascii="Century Gothic" w:eastAsia="Roboto" w:hAnsi="Century Gothic" w:cs="Roboto"/>
        </w:rPr>
      </w:pPr>
      <w:r w:rsidRPr="00D349CB">
        <w:rPr>
          <w:rFonts w:ascii="Century Gothic" w:eastAsia="Roboto" w:hAnsi="Century Gothic" w:cs="Roboto"/>
        </w:rPr>
        <w:t>Agradezco surtir el trámite correspondiente.</w:t>
      </w:r>
    </w:p>
    <w:p w14:paraId="0544F211" w14:textId="76C7D6DD" w:rsidR="00980C61" w:rsidRPr="00D349CB" w:rsidRDefault="00980C61" w:rsidP="00D349CB">
      <w:pPr>
        <w:spacing w:before="240"/>
        <w:jc w:val="both"/>
        <w:textAlignment w:val="center"/>
        <w:rPr>
          <w:rFonts w:ascii="Century Gothic" w:hAnsi="Century Gothic"/>
        </w:rPr>
      </w:pPr>
      <w:r w:rsidRPr="00D349CB">
        <w:rPr>
          <w:rFonts w:ascii="Century Gothic" w:eastAsia="Roboto" w:hAnsi="Century Gothic" w:cs="Roboto"/>
        </w:rPr>
        <w:t xml:space="preserve">Se anexan 4 copias del proyecto en medio físico y una copia en medio </w:t>
      </w:r>
      <w:r w:rsidR="00850B05" w:rsidRPr="00D349CB">
        <w:rPr>
          <w:rFonts w:ascii="Century Gothic" w:eastAsia="Roboto" w:hAnsi="Century Gothic" w:cs="Roboto"/>
        </w:rPr>
        <w:t>magnética</w:t>
      </w:r>
      <w:r w:rsidRPr="00D349CB">
        <w:rPr>
          <w:rFonts w:ascii="Century Gothic" w:eastAsia="Roboto" w:hAnsi="Century Gothic" w:cs="Roboto"/>
        </w:rPr>
        <w:t xml:space="preserve">. </w:t>
      </w:r>
    </w:p>
    <w:p w14:paraId="0EDD9F33" w14:textId="77777777" w:rsidR="00BB51B8" w:rsidRPr="00D349CB" w:rsidRDefault="00BB51B8" w:rsidP="00D349CB">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p>
    <w:p w14:paraId="377CF53B" w14:textId="11C58E8F" w:rsidR="00BB51B8" w:rsidRPr="00D349CB" w:rsidRDefault="00980C61" w:rsidP="00D349CB">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r w:rsidRPr="00D349CB">
        <w:rPr>
          <w:rFonts w:ascii="Century Gothic" w:eastAsia="Times New Roman" w:hAnsi="Century Gothic" w:cs="Calibri"/>
          <w:lang w:eastAsia="es-CO"/>
        </w:rPr>
        <w:t xml:space="preserve">Cordialmente, </w:t>
      </w:r>
    </w:p>
    <w:p w14:paraId="62FAB301" w14:textId="4125E45D" w:rsidR="00BB51B8" w:rsidRDefault="00BB51B8" w:rsidP="00D349CB">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p>
    <w:p w14:paraId="29A3BE88"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 xml:space="preserve">BUENAVENTURA LEÓN </w:t>
      </w:r>
      <w:proofErr w:type="spellStart"/>
      <w:r w:rsidRPr="004A2F91">
        <w:rPr>
          <w:rStyle w:val="Ninguno"/>
          <w:rFonts w:ascii="Century Gothic" w:eastAsia="Arial Unicode MS" w:hAnsi="Century Gothic" w:cs="Arial Unicode MS"/>
          <w:b/>
          <w:bCs/>
          <w:u w:color="000000"/>
          <w:bdr w:val="nil"/>
          <w:lang w:eastAsia="es-CO"/>
        </w:rPr>
        <w:t>LEÓN</w:t>
      </w:r>
      <w:proofErr w:type="spellEnd"/>
      <w:r w:rsidRPr="004A2F91">
        <w:rPr>
          <w:rStyle w:val="Ninguno"/>
          <w:rFonts w:ascii="Century Gothic" w:eastAsia="Arial Unicode MS" w:hAnsi="Century Gothic" w:cs="Arial Unicode MS"/>
          <w:b/>
          <w:bCs/>
          <w:u w:color="000000"/>
          <w:bdr w:val="nil"/>
          <w:lang w:eastAsia="es-CO"/>
        </w:rPr>
        <w:tab/>
      </w:r>
      <w:r w:rsidRPr="004A2F91">
        <w:rPr>
          <w:rStyle w:val="Ninguno"/>
          <w:rFonts w:ascii="Century Gothic" w:eastAsia="Arial Unicode MS" w:hAnsi="Century Gothic" w:cs="Arial Unicode MS"/>
          <w:b/>
          <w:bCs/>
          <w:u w:color="000000"/>
          <w:bdr w:val="nil"/>
          <w:lang w:eastAsia="es-CO"/>
        </w:rPr>
        <w:tab/>
        <w:t xml:space="preserve">              ALFREDO APE CUELLO BAUTE</w:t>
      </w:r>
    </w:p>
    <w:p w14:paraId="09D12C6B"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w:t>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t xml:space="preserve">              Representante a la Cámara</w:t>
      </w:r>
    </w:p>
    <w:p w14:paraId="38A1C383"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30D64CBC"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84AA177"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2210B8D"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u w:color="000000"/>
          <w:bdr w:val="nil"/>
          <w:lang w:eastAsia="es-CO"/>
        </w:rPr>
        <w:tab/>
      </w:r>
    </w:p>
    <w:p w14:paraId="58C4F856"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CIRO ANTONIO RODRIGUEZ PINZON                      ADRIANA MAGALI MATIZ VARGAS</w:t>
      </w:r>
    </w:p>
    <w:p w14:paraId="1777EC76"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w:t>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t xml:space="preserve">             Representante a la Cámara</w:t>
      </w:r>
    </w:p>
    <w:p w14:paraId="6EB72FF3"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 xml:space="preserve">                                                                                         </w:t>
      </w:r>
    </w:p>
    <w:p w14:paraId="04B76941"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0B4D8C5A"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390E12D7"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BF59A25"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JUAN CARLOS WILLS OSPINA                       ARMANDO ANTONIO ZABARAIN DE ARCE</w:t>
      </w:r>
    </w:p>
    <w:p w14:paraId="482767B1"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w:t>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t xml:space="preserve">   Representante a la Cámara      </w:t>
      </w:r>
    </w:p>
    <w:p w14:paraId="2AC1BAA8"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5229233"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7A4FA031"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BC166B1"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58D8DE9"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JUAN CARLOS RIVERA PEÑA                                    JOSE GUSTAVO PADILLA OROZCO</w:t>
      </w:r>
    </w:p>
    <w:p w14:paraId="4289F5EA"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w:t>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t xml:space="preserve">               Representante a la Cámara       </w:t>
      </w:r>
    </w:p>
    <w:p w14:paraId="41ABFCC8"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 xml:space="preserve">      </w:t>
      </w:r>
    </w:p>
    <w:p w14:paraId="7E0D5846"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1006A8A"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8042CBD"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03352B20"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WADITH ALBERTO MANZUR IMBET</w:t>
      </w:r>
      <w:r w:rsidRPr="004A2F91">
        <w:rPr>
          <w:rStyle w:val="Ninguno"/>
          <w:rFonts w:ascii="Century Gothic" w:eastAsia="Arial Unicode MS" w:hAnsi="Century Gothic" w:cs="Arial Unicode MS"/>
          <w:b/>
          <w:bCs/>
          <w:u w:color="000000"/>
          <w:bdr w:val="nil"/>
          <w:lang w:eastAsia="es-CO"/>
        </w:rPr>
        <w:tab/>
      </w:r>
      <w:r w:rsidRPr="004A2F91">
        <w:rPr>
          <w:rStyle w:val="Ninguno"/>
          <w:rFonts w:ascii="Century Gothic" w:eastAsia="Arial Unicode MS" w:hAnsi="Century Gothic" w:cs="Arial Unicode MS"/>
          <w:b/>
          <w:bCs/>
          <w:u w:color="000000"/>
          <w:bdr w:val="nil"/>
          <w:lang w:eastAsia="es-CO"/>
        </w:rPr>
        <w:tab/>
        <w:t xml:space="preserve">           NIDIA MARCELA OSORIO SALGADO</w:t>
      </w:r>
    </w:p>
    <w:p w14:paraId="29C423A6"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w:t>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t xml:space="preserve">      Representante a la Cámara</w:t>
      </w:r>
    </w:p>
    <w:p w14:paraId="6498538C"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42CA1433"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D75C968"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0ABC95AB"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7FC67066"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 xml:space="preserve">FELIX ALEJANDRO CHICA CORREA </w:t>
      </w:r>
      <w:r w:rsidRPr="004A2F91">
        <w:rPr>
          <w:rStyle w:val="Ninguno"/>
          <w:rFonts w:ascii="Century Gothic" w:eastAsia="Arial Unicode MS" w:hAnsi="Century Gothic" w:cs="Arial Unicode MS"/>
          <w:b/>
          <w:bCs/>
          <w:u w:color="000000"/>
          <w:bdr w:val="nil"/>
          <w:lang w:eastAsia="es-CO"/>
        </w:rPr>
        <w:tab/>
        <w:t xml:space="preserve">            EMETERIO JOSÉ MONTES CASTRO</w:t>
      </w:r>
    </w:p>
    <w:p w14:paraId="7AD2EA7E"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w:t>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t xml:space="preserve">             Representante a la Cámara</w:t>
      </w:r>
    </w:p>
    <w:p w14:paraId="087AE447"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D943F0C"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B43A598"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1D34AA56"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0877714C"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 xml:space="preserve">JOSE ELVER HERNANDEZ CASAS                          GERMAN ALCIDES BLANCO ALVARES </w:t>
      </w:r>
    </w:p>
    <w:p w14:paraId="69423218"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 xml:space="preserve">Representante a la Cámara                                 Representante a la Cámara </w:t>
      </w:r>
    </w:p>
    <w:p w14:paraId="2B88B97B"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3F89B5F3"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115F0AA"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1BE64E0"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030CB47"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NICOLAS ALBEIRO ECHEVERRY ALVARÁN              DIELA LILIANA BENAVIDES SOLARTE</w:t>
      </w:r>
    </w:p>
    <w:p w14:paraId="4AF33DD5"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 xml:space="preserve">Representante a la Cámara                                   Representante a la Cámara     </w:t>
      </w:r>
    </w:p>
    <w:p w14:paraId="7097E274"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0DD76053"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1A96FE16"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D9E52BB"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DD8A760"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B99E6BD"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0A35CAD6"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4CB3360E"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JAIME FELIPE LOZADA POLANCO                            MARIA CRISTINA SOTO DE GOMEZ</w:t>
      </w:r>
    </w:p>
    <w:p w14:paraId="122D876A"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                                    Representante a la Cámara</w:t>
      </w:r>
    </w:p>
    <w:p w14:paraId="77B09631"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4C7EC7D7"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36C56EA1"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4F31E310"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47E0CF14"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16750C2F"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 xml:space="preserve">YAMIL HERNANDO ARANDA PADAUÌ                      FELIPE ANDRES MUÑOZ DELGADO                 </w:t>
      </w:r>
    </w:p>
    <w:p w14:paraId="2361195A"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                                 Representante a la Cámara</w:t>
      </w:r>
    </w:p>
    <w:p w14:paraId="5F1666F6"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7978E054"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D42E51C"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7A5C40E7"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p>
    <w:p w14:paraId="7BD62DB1" w14:textId="299C3FE6" w:rsidR="004C57A1" w:rsidRPr="004A2F91" w:rsidRDefault="001315BA"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Pr>
          <w:rStyle w:val="Ninguno"/>
          <w:rFonts w:ascii="Century Gothic" w:eastAsia="Arial Unicode MS" w:hAnsi="Century Gothic" w:cs="Arial Unicode MS"/>
          <w:b/>
          <w:bCs/>
          <w:u w:color="000000"/>
          <w:bdr w:val="nil"/>
          <w:lang w:eastAsia="es-CO"/>
        </w:rPr>
        <w:t xml:space="preserve"> </w:t>
      </w:r>
    </w:p>
    <w:p w14:paraId="62A3CEF1"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4146E644"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7FC9C10"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10FBF818"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D6961E0"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5B69CA1" w14:textId="77777777" w:rsidR="004C57A1" w:rsidRPr="00D349CB" w:rsidRDefault="004C57A1" w:rsidP="00D349CB">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p>
    <w:p w14:paraId="3732A2E8" w14:textId="2CA07CC4" w:rsidR="00BB51B8" w:rsidRPr="00D349CB" w:rsidRDefault="00BB51B8" w:rsidP="00D349CB">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p>
    <w:p w14:paraId="70B3F274" w14:textId="77777777" w:rsidR="00BB51B8" w:rsidRPr="00D349CB" w:rsidRDefault="00BB51B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42693DA8" w14:textId="77777777" w:rsidR="00BB51B8" w:rsidRPr="00D349CB" w:rsidRDefault="00BB51B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5A6F3710" w14:textId="77777777" w:rsidR="00BB51B8" w:rsidRPr="00D349CB" w:rsidRDefault="00BB51B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01A6A0F0" w14:textId="77777777" w:rsidR="00572EAD" w:rsidRPr="005524C1" w:rsidRDefault="00572EAD"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rPr>
      </w:pPr>
    </w:p>
    <w:p w14:paraId="7078C843" w14:textId="14B8F8A9" w:rsidR="00572EAD" w:rsidRDefault="00572EAD"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rPr>
      </w:pPr>
    </w:p>
    <w:p w14:paraId="172831D4" w14:textId="7C0C61F6" w:rsidR="004C57A1" w:rsidRDefault="004C57A1"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rPr>
      </w:pPr>
    </w:p>
    <w:p w14:paraId="0217134E" w14:textId="4A4C5168" w:rsidR="004C57A1" w:rsidRDefault="004C57A1"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rPr>
      </w:pPr>
    </w:p>
    <w:p w14:paraId="6CDBD3DB" w14:textId="485B5791" w:rsidR="004C57A1" w:rsidRDefault="004C57A1"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rPr>
      </w:pPr>
    </w:p>
    <w:p w14:paraId="733B3BCD" w14:textId="4272176A" w:rsidR="004C57A1" w:rsidRDefault="004C57A1"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rPr>
      </w:pPr>
    </w:p>
    <w:p w14:paraId="2DF925BC" w14:textId="4A296A2C" w:rsidR="004C57A1" w:rsidRDefault="004C57A1"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rPr>
      </w:pPr>
    </w:p>
    <w:p w14:paraId="31DB01C3" w14:textId="39DF5F45" w:rsidR="004C57A1" w:rsidRDefault="004C57A1"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rPr>
      </w:pPr>
    </w:p>
    <w:p w14:paraId="4956B434" w14:textId="1E4C1C70" w:rsidR="004C57A1" w:rsidRDefault="004C57A1"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rPr>
      </w:pPr>
    </w:p>
    <w:p w14:paraId="68EBBD97" w14:textId="36D53FF1" w:rsidR="004C57A1" w:rsidRDefault="004C57A1"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rPr>
      </w:pPr>
    </w:p>
    <w:p w14:paraId="2E02E495" w14:textId="77777777" w:rsidR="004C57A1" w:rsidRPr="005524C1" w:rsidRDefault="004C57A1"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rPr>
      </w:pPr>
    </w:p>
    <w:p w14:paraId="64A7B191" w14:textId="77777777" w:rsidR="00572EAD" w:rsidRPr="005524C1" w:rsidRDefault="00572EAD"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rPr>
      </w:pPr>
    </w:p>
    <w:p w14:paraId="1053FD64" w14:textId="77777777" w:rsidR="00572EAD" w:rsidRPr="005524C1" w:rsidRDefault="00572EAD"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highlight w:val="white"/>
        </w:rPr>
      </w:pPr>
    </w:p>
    <w:p w14:paraId="2466455B" w14:textId="77777777" w:rsidR="00980C61" w:rsidRPr="00D349CB" w:rsidRDefault="00980C61"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
          <w:bCs/>
          <w:color w:val="auto"/>
          <w:lang w:val="es-CO"/>
        </w:rPr>
      </w:pPr>
      <w:r w:rsidRPr="00D349CB">
        <w:rPr>
          <w:rStyle w:val="Ninguno"/>
          <w:rFonts w:ascii="Century Gothic" w:hAnsi="Century Gothic"/>
          <w:b/>
          <w:color w:val="auto"/>
          <w:lang w:val="es-CO"/>
        </w:rPr>
        <w:t>PROYECTO DE LEY ___ DE 2021 CÁMARA</w:t>
      </w:r>
    </w:p>
    <w:p w14:paraId="027F74CD" w14:textId="77777777" w:rsidR="00980C61" w:rsidRPr="00D349CB" w:rsidRDefault="00980C61"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bCs/>
          <w:color w:val="auto"/>
          <w:lang w:val="es-CO"/>
        </w:rPr>
      </w:pPr>
    </w:p>
    <w:p w14:paraId="06333318" w14:textId="0A818708" w:rsidR="00980C61" w:rsidRPr="00D349CB" w:rsidRDefault="005D339A"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bCs/>
          <w:color w:val="auto"/>
          <w:lang w:val="es-CO"/>
        </w:rPr>
      </w:pPr>
      <w:r w:rsidRPr="00D349CB">
        <w:rPr>
          <w:rFonts w:ascii="Century Gothic" w:eastAsia="Times New Roman" w:hAnsi="Century Gothic" w:cs="Calibri"/>
          <w:b/>
          <w:bCs/>
          <w:color w:val="auto"/>
          <w:lang w:val="es-CO"/>
        </w:rPr>
        <w:t>“POR MEDIO DE LA</w:t>
      </w:r>
      <w:r w:rsidR="00035EA4" w:rsidRPr="00D349CB">
        <w:rPr>
          <w:rFonts w:ascii="Century Gothic" w:eastAsia="Times New Roman" w:hAnsi="Century Gothic" w:cs="Calibri"/>
          <w:b/>
          <w:bCs/>
          <w:color w:val="auto"/>
          <w:lang w:val="es-CO"/>
        </w:rPr>
        <w:t xml:space="preserve"> CUAL SE ESTABLECE EL INGRESO BASE DE COTIZACIÓN</w:t>
      </w:r>
      <w:r w:rsidR="00055E23" w:rsidRPr="00D349CB">
        <w:rPr>
          <w:rFonts w:ascii="Century Gothic" w:eastAsia="Times New Roman" w:hAnsi="Century Gothic" w:cs="Calibri"/>
          <w:b/>
          <w:bCs/>
          <w:color w:val="auto"/>
          <w:lang w:val="es-CO"/>
        </w:rPr>
        <w:t xml:space="preserve"> DE LOS TRABAJADORES INDEPENDIENTES</w:t>
      </w:r>
      <w:r w:rsidR="00035EA4" w:rsidRPr="00D349CB">
        <w:rPr>
          <w:rFonts w:ascii="Century Gothic" w:eastAsia="Times New Roman" w:hAnsi="Century Gothic" w:cs="Calibri"/>
          <w:b/>
          <w:bCs/>
          <w:color w:val="auto"/>
          <w:lang w:val="es-CO"/>
        </w:rPr>
        <w:t>”</w:t>
      </w:r>
    </w:p>
    <w:p w14:paraId="196FEE3F" w14:textId="77777777" w:rsidR="004B75E8" w:rsidRPr="00D349CB" w:rsidRDefault="004B75E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color w:val="auto"/>
          <w:lang w:val="es-CO"/>
        </w:rPr>
      </w:pPr>
    </w:p>
    <w:p w14:paraId="753BD43E" w14:textId="77777777" w:rsidR="00980C61" w:rsidRPr="00D349CB" w:rsidRDefault="00980C61"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color w:val="auto"/>
          <w:lang w:val="es-CO"/>
        </w:rPr>
      </w:pPr>
      <w:r w:rsidRPr="00D349CB">
        <w:rPr>
          <w:rStyle w:val="Ninguno"/>
          <w:rFonts w:ascii="Century Gothic" w:hAnsi="Century Gothic"/>
          <w:color w:val="auto"/>
          <w:lang w:val="es-CO"/>
        </w:rPr>
        <w:t>El Congreso de Colombia</w:t>
      </w:r>
    </w:p>
    <w:p w14:paraId="134A3507" w14:textId="77777777" w:rsidR="00980C61" w:rsidRPr="00D349CB" w:rsidRDefault="00980C61"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20E1139A" w14:textId="77777777" w:rsidR="00980C61" w:rsidRPr="00D349CB" w:rsidRDefault="00980C61"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r w:rsidRPr="00D349CB">
        <w:rPr>
          <w:rFonts w:ascii="Century Gothic" w:eastAsia="Roboto" w:hAnsi="Century Gothic" w:cs="Roboto"/>
          <w:b/>
          <w:color w:val="auto"/>
          <w:lang w:val="es-CO"/>
        </w:rPr>
        <w:t>DECRETA</w:t>
      </w:r>
    </w:p>
    <w:p w14:paraId="75B9CE6A" w14:textId="77777777" w:rsidR="00980C61" w:rsidRPr="00D349CB" w:rsidRDefault="00980C61"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3BA06E75" w14:textId="25C13FDB" w:rsidR="00DE3FF5" w:rsidRPr="00D349CB" w:rsidRDefault="00A43506" w:rsidP="00D349CB">
      <w:pPr>
        <w:pStyle w:val="NormalWeb"/>
        <w:shd w:val="clear" w:color="auto" w:fill="FFFFFF"/>
        <w:spacing w:before="0" w:beforeAutospacing="0" w:after="0" w:afterAutospacing="0" w:line="276" w:lineRule="auto"/>
        <w:jc w:val="both"/>
        <w:rPr>
          <w:rFonts w:ascii="Century Gothic" w:hAnsi="Century Gothic"/>
          <w:b/>
          <w:sz w:val="22"/>
          <w:szCs w:val="22"/>
        </w:rPr>
      </w:pPr>
      <w:bookmarkStart w:id="0" w:name="523"/>
      <w:r w:rsidRPr="00D349CB">
        <w:rPr>
          <w:rFonts w:ascii="Century Gothic" w:hAnsi="Century Gothic"/>
          <w:b/>
          <w:sz w:val="22"/>
          <w:szCs w:val="22"/>
        </w:rPr>
        <w:t xml:space="preserve">Artículo 1º. Ámbito de aplicación: </w:t>
      </w:r>
      <w:r w:rsidR="00DE3FF5" w:rsidRPr="00D349CB">
        <w:rPr>
          <w:rFonts w:ascii="Century Gothic" w:hAnsi="Century Gothic"/>
          <w:bCs/>
          <w:sz w:val="22"/>
          <w:szCs w:val="22"/>
        </w:rPr>
        <w:t xml:space="preserve">La presente Ley </w:t>
      </w:r>
      <w:r w:rsidR="00640437" w:rsidRPr="00D349CB">
        <w:rPr>
          <w:rFonts w:ascii="Century Gothic" w:hAnsi="Century Gothic"/>
          <w:bCs/>
          <w:sz w:val="22"/>
          <w:szCs w:val="22"/>
        </w:rPr>
        <w:t>es aplicable a</w:t>
      </w:r>
      <w:r w:rsidR="00DE3FF5" w:rsidRPr="00D349CB">
        <w:rPr>
          <w:rFonts w:ascii="Century Gothic" w:hAnsi="Century Gothic"/>
          <w:bCs/>
          <w:sz w:val="22"/>
          <w:szCs w:val="22"/>
        </w:rPr>
        <w:t xml:space="preserve"> </w:t>
      </w:r>
      <w:r w:rsidR="00640437" w:rsidRPr="00D349CB">
        <w:rPr>
          <w:rFonts w:ascii="Century Gothic" w:hAnsi="Century Gothic"/>
          <w:bCs/>
          <w:sz w:val="22"/>
          <w:szCs w:val="22"/>
        </w:rPr>
        <w:t>l</w:t>
      </w:r>
      <w:r w:rsidR="00DE3FF5" w:rsidRPr="00D349CB">
        <w:rPr>
          <w:rFonts w:ascii="Century Gothic" w:hAnsi="Century Gothic"/>
          <w:bCs/>
          <w:sz w:val="22"/>
          <w:szCs w:val="22"/>
        </w:rPr>
        <w:t xml:space="preserve">os trabajadores independientes que celebren contratos de prestación de servicios personales, </w:t>
      </w:r>
      <w:r w:rsidR="00640437" w:rsidRPr="00D349CB">
        <w:rPr>
          <w:rFonts w:ascii="Century Gothic" w:hAnsi="Century Gothic"/>
          <w:bCs/>
          <w:sz w:val="22"/>
          <w:szCs w:val="22"/>
        </w:rPr>
        <w:t>l</w:t>
      </w:r>
      <w:r w:rsidR="00DE3FF5" w:rsidRPr="00D349CB">
        <w:rPr>
          <w:rFonts w:ascii="Century Gothic" w:hAnsi="Century Gothic"/>
          <w:bCs/>
          <w:sz w:val="22"/>
          <w:szCs w:val="22"/>
        </w:rPr>
        <w:t>os independientes por cuenta propia y los trabajadores independientes con contratos diferentes a prestación de servicios personales</w:t>
      </w:r>
      <w:r w:rsidR="00AE2C60">
        <w:rPr>
          <w:rFonts w:ascii="Century Gothic" w:hAnsi="Century Gothic"/>
          <w:bCs/>
          <w:sz w:val="22"/>
          <w:szCs w:val="22"/>
        </w:rPr>
        <w:t xml:space="preserve">, </w:t>
      </w:r>
      <w:r w:rsidR="00AE2C60" w:rsidRPr="00AE2C60">
        <w:rPr>
          <w:rFonts w:ascii="Century Gothic" w:hAnsi="Century Gothic"/>
          <w:bCs/>
          <w:sz w:val="22"/>
          <w:szCs w:val="22"/>
        </w:rPr>
        <w:t>con ingresos netos</w:t>
      </w:r>
      <w:r w:rsidR="00AE2C60">
        <w:rPr>
          <w:rFonts w:ascii="Century Gothic" w:hAnsi="Century Gothic"/>
          <w:bCs/>
          <w:sz w:val="22"/>
          <w:szCs w:val="22"/>
        </w:rPr>
        <w:t>,</w:t>
      </w:r>
      <w:r w:rsidR="00AE2C60" w:rsidRPr="00AE2C60">
        <w:rPr>
          <w:rFonts w:ascii="Century Gothic" w:hAnsi="Century Gothic"/>
          <w:bCs/>
          <w:sz w:val="22"/>
          <w:szCs w:val="22"/>
        </w:rPr>
        <w:t xml:space="preserve"> iguales o superiores a un (1) salario mínimo legal mensual vigente.   </w:t>
      </w:r>
    </w:p>
    <w:p w14:paraId="4A7789AD" w14:textId="77777777" w:rsidR="00DE3FF5" w:rsidRPr="00D349CB" w:rsidRDefault="00DE3FF5" w:rsidP="00D349CB">
      <w:pPr>
        <w:pStyle w:val="NormalWeb"/>
        <w:shd w:val="clear" w:color="auto" w:fill="FFFFFF"/>
        <w:spacing w:before="0" w:beforeAutospacing="0" w:after="0" w:afterAutospacing="0" w:line="276" w:lineRule="auto"/>
        <w:jc w:val="both"/>
        <w:rPr>
          <w:rFonts w:ascii="Century Gothic" w:hAnsi="Century Gothic"/>
          <w:b/>
          <w:sz w:val="22"/>
          <w:szCs w:val="22"/>
        </w:rPr>
      </w:pPr>
    </w:p>
    <w:p w14:paraId="0C2D934C" w14:textId="18D00D97" w:rsidR="00136554" w:rsidRPr="00D349CB" w:rsidRDefault="00A43506" w:rsidP="00D349CB">
      <w:pPr>
        <w:pStyle w:val="NormalWeb"/>
        <w:shd w:val="clear" w:color="auto" w:fill="FFFFFF"/>
        <w:spacing w:before="0" w:beforeAutospacing="0" w:after="0" w:afterAutospacing="0" w:line="276" w:lineRule="auto"/>
        <w:jc w:val="both"/>
        <w:rPr>
          <w:rFonts w:ascii="Century Gothic" w:hAnsi="Century Gothic"/>
          <w:b/>
          <w:bCs/>
          <w:sz w:val="22"/>
          <w:szCs w:val="22"/>
        </w:rPr>
      </w:pPr>
      <w:r w:rsidRPr="00D349CB">
        <w:rPr>
          <w:rFonts w:ascii="Century Gothic" w:hAnsi="Century Gothic"/>
          <w:b/>
          <w:sz w:val="22"/>
          <w:szCs w:val="22"/>
        </w:rPr>
        <w:t>Artículo 2º. Ingreso base de cotización (IBC) de los trabajadores independientes</w:t>
      </w:r>
      <w:bookmarkStart w:id="1" w:name="244"/>
      <w:bookmarkEnd w:id="0"/>
      <w:r w:rsidRPr="00D349CB">
        <w:rPr>
          <w:rFonts w:ascii="Century Gothic" w:hAnsi="Century Gothic"/>
          <w:b/>
          <w:sz w:val="22"/>
          <w:szCs w:val="22"/>
        </w:rPr>
        <w:t xml:space="preserve"> con contrato de prestación de servicios</w:t>
      </w:r>
      <w:r w:rsidRPr="00D349CB">
        <w:rPr>
          <w:rFonts w:ascii="Century Gothic" w:hAnsi="Century Gothic"/>
          <w:b/>
          <w:bCs/>
          <w:sz w:val="22"/>
          <w:szCs w:val="22"/>
        </w:rPr>
        <w:t xml:space="preserve">. </w:t>
      </w:r>
      <w:r w:rsidRPr="00D349CB">
        <w:rPr>
          <w:rFonts w:ascii="Century Gothic" w:hAnsi="Century Gothic"/>
          <w:bCs/>
          <w:sz w:val="22"/>
          <w:szCs w:val="22"/>
        </w:rPr>
        <w:t xml:space="preserve"> </w:t>
      </w:r>
      <w:r w:rsidR="00695B5A" w:rsidRPr="00D349CB">
        <w:rPr>
          <w:rFonts w:ascii="Century Gothic" w:hAnsi="Century Gothic"/>
          <w:bCs/>
          <w:sz w:val="22"/>
          <w:szCs w:val="22"/>
        </w:rPr>
        <w:t>Los trabajadores independientes que celebren contratos de prestación de servicios personales</w:t>
      </w:r>
      <w:r w:rsidR="00F2768A" w:rsidRPr="00D349CB">
        <w:rPr>
          <w:rFonts w:ascii="Century Gothic" w:hAnsi="Century Gothic"/>
          <w:bCs/>
          <w:sz w:val="22"/>
          <w:szCs w:val="22"/>
        </w:rPr>
        <w:t>,</w:t>
      </w:r>
      <w:r w:rsidR="00695B5A" w:rsidRPr="00D349CB">
        <w:rPr>
          <w:rFonts w:ascii="Century Gothic" w:hAnsi="Century Gothic"/>
          <w:bCs/>
          <w:sz w:val="22"/>
          <w:szCs w:val="22"/>
        </w:rPr>
        <w:t xml:space="preserve"> c</w:t>
      </w:r>
      <w:r w:rsidR="00116E0A" w:rsidRPr="00D349CB">
        <w:rPr>
          <w:rFonts w:ascii="Century Gothic" w:hAnsi="Century Gothic"/>
          <w:bCs/>
          <w:sz w:val="22"/>
          <w:szCs w:val="22"/>
        </w:rPr>
        <w:t>on</w:t>
      </w:r>
      <w:r w:rsidR="00C20D04" w:rsidRPr="00D349CB">
        <w:rPr>
          <w:rFonts w:ascii="Century Gothic" w:hAnsi="Century Gothic"/>
          <w:bCs/>
          <w:sz w:val="22"/>
          <w:szCs w:val="22"/>
        </w:rPr>
        <w:t xml:space="preserve"> ingresos netos iguales o superiores a</w:t>
      </w:r>
      <w:r w:rsidR="00055E23" w:rsidRPr="00D349CB">
        <w:rPr>
          <w:rFonts w:ascii="Century Gothic" w:hAnsi="Century Gothic"/>
          <w:bCs/>
          <w:sz w:val="22"/>
          <w:szCs w:val="22"/>
        </w:rPr>
        <w:t xml:space="preserve"> un</w:t>
      </w:r>
      <w:r w:rsidR="00C20D04" w:rsidRPr="00D349CB">
        <w:rPr>
          <w:rFonts w:ascii="Century Gothic" w:hAnsi="Century Gothic"/>
          <w:bCs/>
          <w:sz w:val="22"/>
          <w:szCs w:val="22"/>
        </w:rPr>
        <w:t xml:space="preserve"> </w:t>
      </w:r>
      <w:r w:rsidR="00055E23" w:rsidRPr="00D349CB">
        <w:rPr>
          <w:rFonts w:ascii="Century Gothic" w:hAnsi="Century Gothic"/>
          <w:bCs/>
          <w:sz w:val="22"/>
          <w:szCs w:val="22"/>
        </w:rPr>
        <w:t>(</w:t>
      </w:r>
      <w:r w:rsidR="00C20D04" w:rsidRPr="00D349CB">
        <w:rPr>
          <w:rFonts w:ascii="Century Gothic" w:hAnsi="Century Gothic"/>
          <w:bCs/>
          <w:sz w:val="22"/>
          <w:szCs w:val="22"/>
        </w:rPr>
        <w:t>1</w:t>
      </w:r>
      <w:r w:rsidR="00055E23" w:rsidRPr="00D349CB">
        <w:rPr>
          <w:rFonts w:ascii="Century Gothic" w:hAnsi="Century Gothic"/>
          <w:bCs/>
          <w:sz w:val="22"/>
          <w:szCs w:val="22"/>
        </w:rPr>
        <w:t>)</w:t>
      </w:r>
      <w:r w:rsidR="00C20D04" w:rsidRPr="00D349CB">
        <w:rPr>
          <w:rFonts w:ascii="Century Gothic" w:hAnsi="Century Gothic"/>
          <w:bCs/>
          <w:sz w:val="22"/>
          <w:szCs w:val="22"/>
        </w:rPr>
        <w:t xml:space="preserve"> salario mínimo legal mensual vigente</w:t>
      </w:r>
      <w:r w:rsidR="00CD3E3A" w:rsidRPr="00D349CB">
        <w:rPr>
          <w:rFonts w:ascii="Century Gothic" w:hAnsi="Century Gothic"/>
          <w:bCs/>
          <w:sz w:val="22"/>
          <w:szCs w:val="22"/>
        </w:rPr>
        <w:t>,</w:t>
      </w:r>
      <w:r w:rsidR="00C20D04" w:rsidRPr="00D349CB">
        <w:rPr>
          <w:rFonts w:ascii="Century Gothic" w:hAnsi="Century Gothic"/>
          <w:bCs/>
          <w:sz w:val="22"/>
          <w:szCs w:val="22"/>
        </w:rPr>
        <w:t xml:space="preserve"> </w:t>
      </w:r>
      <w:r w:rsidR="00553474" w:rsidRPr="00D349CB">
        <w:rPr>
          <w:rFonts w:ascii="Century Gothic" w:hAnsi="Century Gothic"/>
          <w:bCs/>
          <w:sz w:val="22"/>
          <w:szCs w:val="22"/>
        </w:rPr>
        <w:t xml:space="preserve">efectuaran su cotización </w:t>
      </w:r>
      <w:r w:rsidR="00C20D04" w:rsidRPr="00D349CB">
        <w:rPr>
          <w:rFonts w:ascii="Century Gothic" w:hAnsi="Century Gothic"/>
          <w:bCs/>
          <w:sz w:val="22"/>
          <w:szCs w:val="22"/>
        </w:rPr>
        <w:t>mes vencido al Sistema de Seguridad Social Integral</w:t>
      </w:r>
      <w:r w:rsidR="00F2768A" w:rsidRPr="00D349CB">
        <w:rPr>
          <w:rFonts w:ascii="Century Gothic" w:hAnsi="Century Gothic"/>
          <w:bCs/>
          <w:sz w:val="22"/>
          <w:szCs w:val="22"/>
        </w:rPr>
        <w:t>,</w:t>
      </w:r>
      <w:r w:rsidR="00136554" w:rsidRPr="00D349CB">
        <w:rPr>
          <w:rFonts w:ascii="Century Gothic" w:hAnsi="Century Gothic"/>
          <w:bCs/>
          <w:sz w:val="22"/>
          <w:szCs w:val="22"/>
        </w:rPr>
        <w:t xml:space="preserve"> de la siguiente manera:</w:t>
      </w:r>
      <w:r w:rsidR="00A7441A" w:rsidRPr="00D349CB">
        <w:rPr>
          <w:rFonts w:ascii="Century Gothic" w:hAnsi="Century Gothic"/>
          <w:bCs/>
          <w:sz w:val="22"/>
          <w:szCs w:val="22"/>
        </w:rPr>
        <w:t xml:space="preserve"> </w:t>
      </w:r>
    </w:p>
    <w:p w14:paraId="0D7B1CDE" w14:textId="77777777" w:rsidR="00136554" w:rsidRPr="00D349CB" w:rsidRDefault="00136554" w:rsidP="00D349CB">
      <w:pPr>
        <w:pStyle w:val="NormalWeb"/>
        <w:shd w:val="clear" w:color="auto" w:fill="FFFFFF"/>
        <w:spacing w:before="0" w:beforeAutospacing="0" w:after="0" w:afterAutospacing="0" w:line="276" w:lineRule="auto"/>
        <w:jc w:val="both"/>
        <w:rPr>
          <w:rFonts w:ascii="Century Gothic" w:hAnsi="Century Gothic"/>
          <w:bCs/>
          <w:sz w:val="22"/>
          <w:szCs w:val="22"/>
        </w:rPr>
      </w:pPr>
    </w:p>
    <w:p w14:paraId="64476AFC" w14:textId="69483514" w:rsidR="00F47B55" w:rsidRPr="00D349CB" w:rsidRDefault="00F47B55" w:rsidP="00D349CB">
      <w:pPr>
        <w:pStyle w:val="NormalWeb"/>
        <w:numPr>
          <w:ilvl w:val="0"/>
          <w:numId w:val="2"/>
        </w:numPr>
        <w:shd w:val="clear" w:color="auto" w:fill="FFFFFF"/>
        <w:spacing w:before="0" w:beforeAutospacing="0" w:after="0" w:afterAutospacing="0" w:line="276" w:lineRule="auto"/>
        <w:jc w:val="both"/>
        <w:rPr>
          <w:rFonts w:ascii="Century Gothic" w:hAnsi="Century Gothic"/>
          <w:bCs/>
          <w:sz w:val="22"/>
          <w:szCs w:val="22"/>
        </w:rPr>
      </w:pPr>
      <w:r w:rsidRPr="00D349CB">
        <w:rPr>
          <w:rFonts w:ascii="Century Gothic" w:hAnsi="Century Gothic"/>
          <w:bCs/>
          <w:sz w:val="22"/>
          <w:szCs w:val="22"/>
        </w:rPr>
        <w:t xml:space="preserve">En contratos hasta </w:t>
      </w:r>
      <w:r w:rsidR="00F2768A" w:rsidRPr="00D349CB">
        <w:rPr>
          <w:rFonts w:ascii="Century Gothic" w:hAnsi="Century Gothic"/>
          <w:bCs/>
          <w:sz w:val="22"/>
          <w:szCs w:val="22"/>
        </w:rPr>
        <w:t xml:space="preserve">por </w:t>
      </w:r>
      <w:r w:rsidRPr="00D349CB">
        <w:rPr>
          <w:rFonts w:ascii="Century Gothic" w:hAnsi="Century Gothic"/>
          <w:bCs/>
          <w:sz w:val="22"/>
          <w:szCs w:val="22"/>
        </w:rPr>
        <w:t xml:space="preserve">dos (2) salarios mínimos legales mensuales </w:t>
      </w:r>
      <w:r w:rsidR="00F2768A" w:rsidRPr="00D349CB">
        <w:rPr>
          <w:rFonts w:ascii="Century Gothic" w:hAnsi="Century Gothic"/>
          <w:bCs/>
          <w:sz w:val="22"/>
          <w:szCs w:val="22"/>
        </w:rPr>
        <w:t>vigentes,</w:t>
      </w:r>
      <w:r w:rsidRPr="00D349CB">
        <w:rPr>
          <w:rFonts w:ascii="Century Gothic" w:hAnsi="Century Gothic"/>
          <w:bCs/>
          <w:sz w:val="22"/>
          <w:szCs w:val="22"/>
        </w:rPr>
        <w:t xml:space="preserve"> se cotizará sobre una base mínima del 20% </w:t>
      </w:r>
      <w:r w:rsidR="00F2768A" w:rsidRPr="00D349CB">
        <w:rPr>
          <w:rFonts w:ascii="Century Gothic" w:hAnsi="Century Gothic"/>
          <w:bCs/>
          <w:sz w:val="22"/>
          <w:szCs w:val="22"/>
        </w:rPr>
        <w:t>d</w:t>
      </w:r>
      <w:r w:rsidRPr="00D349CB">
        <w:rPr>
          <w:rFonts w:ascii="Century Gothic" w:hAnsi="Century Gothic"/>
          <w:bCs/>
          <w:sz w:val="22"/>
          <w:szCs w:val="22"/>
        </w:rPr>
        <w:t xml:space="preserve">el valor </w:t>
      </w:r>
      <w:r w:rsidR="00713750" w:rsidRPr="00D349CB">
        <w:rPr>
          <w:rFonts w:ascii="Century Gothic" w:hAnsi="Century Gothic"/>
          <w:bCs/>
          <w:sz w:val="22"/>
          <w:szCs w:val="22"/>
        </w:rPr>
        <w:t>neto</w:t>
      </w:r>
      <w:r w:rsidRPr="00D349CB">
        <w:rPr>
          <w:rFonts w:ascii="Century Gothic" w:hAnsi="Century Gothic"/>
          <w:bCs/>
          <w:sz w:val="22"/>
          <w:szCs w:val="22"/>
        </w:rPr>
        <w:t xml:space="preserve"> del contrato, sin incluir el valor del Impuesto al Valor Agregado</w:t>
      </w:r>
      <w:r w:rsidR="00713750" w:rsidRPr="00D349CB">
        <w:rPr>
          <w:rFonts w:ascii="Century Gothic" w:hAnsi="Century Gothic"/>
          <w:bCs/>
          <w:sz w:val="22"/>
          <w:szCs w:val="22"/>
        </w:rPr>
        <w:t xml:space="preserve"> (IVA)</w:t>
      </w:r>
      <w:r w:rsidR="00F2768A" w:rsidRPr="00D349CB">
        <w:rPr>
          <w:rFonts w:ascii="Century Gothic" w:hAnsi="Century Gothic"/>
          <w:bCs/>
          <w:sz w:val="22"/>
          <w:szCs w:val="22"/>
        </w:rPr>
        <w:t xml:space="preserve">. </w:t>
      </w:r>
    </w:p>
    <w:p w14:paraId="2555E538" w14:textId="77777777" w:rsidR="00F2768A" w:rsidRPr="00D349CB" w:rsidRDefault="00F2768A" w:rsidP="00D349CB">
      <w:pPr>
        <w:pStyle w:val="NormalWeb"/>
        <w:shd w:val="clear" w:color="auto" w:fill="FFFFFF"/>
        <w:spacing w:before="0" w:beforeAutospacing="0" w:after="0" w:afterAutospacing="0" w:line="276" w:lineRule="auto"/>
        <w:ind w:left="720"/>
        <w:jc w:val="both"/>
        <w:rPr>
          <w:rFonts w:ascii="Century Gothic" w:hAnsi="Century Gothic"/>
          <w:bCs/>
          <w:sz w:val="22"/>
          <w:szCs w:val="22"/>
        </w:rPr>
      </w:pPr>
    </w:p>
    <w:p w14:paraId="7C0E9664" w14:textId="18281A77" w:rsidR="00F47B55" w:rsidRPr="00D349CB" w:rsidRDefault="00F47B55" w:rsidP="00D349CB">
      <w:pPr>
        <w:pStyle w:val="NormalWeb"/>
        <w:numPr>
          <w:ilvl w:val="0"/>
          <w:numId w:val="2"/>
        </w:numPr>
        <w:shd w:val="clear" w:color="auto" w:fill="FFFFFF"/>
        <w:spacing w:before="0" w:beforeAutospacing="0" w:after="0" w:afterAutospacing="0" w:line="276" w:lineRule="auto"/>
        <w:jc w:val="both"/>
        <w:rPr>
          <w:rFonts w:ascii="Century Gothic" w:hAnsi="Century Gothic"/>
          <w:bCs/>
          <w:sz w:val="22"/>
          <w:szCs w:val="22"/>
        </w:rPr>
      </w:pPr>
      <w:r w:rsidRPr="00D349CB">
        <w:rPr>
          <w:rFonts w:ascii="Century Gothic" w:hAnsi="Century Gothic"/>
          <w:bCs/>
          <w:sz w:val="22"/>
          <w:szCs w:val="22"/>
        </w:rPr>
        <w:t xml:space="preserve">En contratos superiores a dos (2) salarios mínimos legales mensuales vigentes, se cotizará sobre una base mínima del 40% </w:t>
      </w:r>
      <w:r w:rsidR="00713750" w:rsidRPr="00D349CB">
        <w:rPr>
          <w:rFonts w:ascii="Century Gothic" w:hAnsi="Century Gothic"/>
          <w:bCs/>
          <w:sz w:val="22"/>
          <w:szCs w:val="22"/>
        </w:rPr>
        <w:t>de</w:t>
      </w:r>
      <w:r w:rsidRPr="00D349CB">
        <w:rPr>
          <w:rFonts w:ascii="Century Gothic" w:hAnsi="Century Gothic"/>
          <w:bCs/>
          <w:sz w:val="22"/>
          <w:szCs w:val="22"/>
        </w:rPr>
        <w:t xml:space="preserve">l valor </w:t>
      </w:r>
      <w:r w:rsidR="00695B5A" w:rsidRPr="00D349CB">
        <w:rPr>
          <w:rFonts w:ascii="Century Gothic" w:hAnsi="Century Gothic"/>
          <w:bCs/>
          <w:sz w:val="22"/>
          <w:szCs w:val="22"/>
        </w:rPr>
        <w:t>neto</w:t>
      </w:r>
      <w:r w:rsidRPr="00D349CB">
        <w:rPr>
          <w:rFonts w:ascii="Century Gothic" w:hAnsi="Century Gothic"/>
          <w:bCs/>
          <w:sz w:val="22"/>
          <w:szCs w:val="22"/>
        </w:rPr>
        <w:t xml:space="preserve"> del contrato</w:t>
      </w:r>
      <w:r w:rsidR="00713750" w:rsidRPr="00D349CB">
        <w:rPr>
          <w:rFonts w:ascii="Century Gothic" w:hAnsi="Century Gothic"/>
          <w:bCs/>
          <w:sz w:val="22"/>
          <w:szCs w:val="22"/>
        </w:rPr>
        <w:t>,</w:t>
      </w:r>
      <w:r w:rsidRPr="00D349CB">
        <w:rPr>
          <w:rFonts w:ascii="Century Gothic" w:hAnsi="Century Gothic"/>
          <w:bCs/>
          <w:sz w:val="22"/>
          <w:szCs w:val="22"/>
        </w:rPr>
        <w:t xml:space="preserve"> sin incluir el valor del Impuesto al Valor Agregado</w:t>
      </w:r>
      <w:r w:rsidR="00713750" w:rsidRPr="00D349CB">
        <w:rPr>
          <w:rFonts w:ascii="Century Gothic" w:hAnsi="Century Gothic"/>
          <w:bCs/>
          <w:sz w:val="22"/>
          <w:szCs w:val="22"/>
        </w:rPr>
        <w:t xml:space="preserve"> (IVA)</w:t>
      </w:r>
      <w:r w:rsidRPr="00D349CB">
        <w:rPr>
          <w:rFonts w:ascii="Century Gothic" w:hAnsi="Century Gothic"/>
          <w:bCs/>
          <w:sz w:val="22"/>
          <w:szCs w:val="22"/>
        </w:rPr>
        <w:t>.</w:t>
      </w:r>
    </w:p>
    <w:p w14:paraId="70D3B8B6" w14:textId="77777777" w:rsidR="00F2768A" w:rsidRPr="00D349CB" w:rsidRDefault="00F2768A" w:rsidP="00D349CB">
      <w:pPr>
        <w:pStyle w:val="Prrafodelista"/>
        <w:rPr>
          <w:rFonts w:ascii="Century Gothic" w:hAnsi="Century Gothic"/>
          <w:bCs/>
        </w:rPr>
      </w:pPr>
    </w:p>
    <w:p w14:paraId="3D04FA8E" w14:textId="77777777" w:rsidR="00AE2C60" w:rsidRDefault="00AE2C60" w:rsidP="00AE2C60">
      <w:pPr>
        <w:pStyle w:val="NormalWeb"/>
        <w:numPr>
          <w:ilvl w:val="0"/>
          <w:numId w:val="8"/>
        </w:numPr>
        <w:shd w:val="clear" w:color="auto" w:fill="FFFFFF"/>
        <w:spacing w:before="0" w:beforeAutospacing="0" w:after="0" w:afterAutospacing="0" w:line="276" w:lineRule="auto"/>
        <w:jc w:val="both"/>
        <w:rPr>
          <w:rFonts w:ascii="Century Gothic" w:hAnsi="Century Gothic"/>
          <w:bCs/>
          <w:sz w:val="22"/>
          <w:szCs w:val="22"/>
        </w:rPr>
      </w:pPr>
      <w:r>
        <w:rPr>
          <w:rFonts w:ascii="Century Gothic" w:hAnsi="Century Gothic"/>
          <w:bCs/>
          <w:sz w:val="22"/>
          <w:szCs w:val="22"/>
        </w:rPr>
        <w:t xml:space="preserve">Quien celebre más de un (1) contrato </w:t>
      </w:r>
      <w:r w:rsidRPr="00AE2C60">
        <w:rPr>
          <w:rFonts w:ascii="Century Gothic" w:hAnsi="Century Gothic"/>
          <w:bCs/>
          <w:sz w:val="22"/>
          <w:szCs w:val="22"/>
        </w:rPr>
        <w:t>de prestación de servicios personales,</w:t>
      </w:r>
      <w:r>
        <w:rPr>
          <w:rFonts w:ascii="Century Gothic" w:hAnsi="Century Gothic"/>
          <w:bCs/>
          <w:sz w:val="22"/>
          <w:szCs w:val="22"/>
        </w:rPr>
        <w:t xml:space="preserve"> cotizará sobre el 40% del valor neto del contrato de mayor costo y por los demás contratos sobre el 20% del valor neto del respectivo contrato, sin incluir el valor del Impuesto al Valor Agregado (IVA).</w:t>
      </w:r>
    </w:p>
    <w:p w14:paraId="6B6CA26D" w14:textId="77777777" w:rsidR="00136554" w:rsidRPr="00D349CB" w:rsidRDefault="00136554" w:rsidP="00D349CB">
      <w:pPr>
        <w:pStyle w:val="NormalWeb"/>
        <w:shd w:val="clear" w:color="auto" w:fill="FFFFFF"/>
        <w:spacing w:before="0" w:beforeAutospacing="0" w:after="0" w:afterAutospacing="0" w:line="276" w:lineRule="auto"/>
        <w:jc w:val="both"/>
        <w:rPr>
          <w:rFonts w:ascii="Century Gothic" w:hAnsi="Century Gothic"/>
          <w:bCs/>
          <w:sz w:val="22"/>
          <w:szCs w:val="22"/>
        </w:rPr>
      </w:pPr>
    </w:p>
    <w:bookmarkEnd w:id="1"/>
    <w:p w14:paraId="3FA6E09A" w14:textId="77777777" w:rsidR="00AE2C60" w:rsidRDefault="00AE2C60" w:rsidP="00AE2C60">
      <w:pPr>
        <w:pStyle w:val="NormalWeb"/>
        <w:spacing w:line="276" w:lineRule="auto"/>
        <w:jc w:val="both"/>
        <w:rPr>
          <w:rFonts w:ascii="Century Gothic" w:hAnsi="Century Gothic" w:cs="Arial"/>
          <w:sz w:val="22"/>
          <w:szCs w:val="22"/>
        </w:rPr>
      </w:pPr>
      <w:r>
        <w:rPr>
          <w:rFonts w:ascii="Century Gothic" w:hAnsi="Century Gothic"/>
          <w:b/>
          <w:sz w:val="22"/>
          <w:szCs w:val="22"/>
        </w:rPr>
        <w:lastRenderedPageBreak/>
        <w:t xml:space="preserve">Artículo 3º. Ingreso base de cotización (IBC) de los trabajadores independientes por cuenta propia y trabajadores independientes con contratos diferentes a prestación de servicios personales.  </w:t>
      </w:r>
      <w:r>
        <w:rPr>
          <w:rFonts w:ascii="Century Gothic" w:hAnsi="Century Gothic" w:cs="Arial"/>
          <w:sz w:val="22"/>
          <w:szCs w:val="22"/>
        </w:rPr>
        <w:t xml:space="preserve">Los independientes por cuenta propia y los trabajadores independientes con contratos diferentes a prestación de servicios personales, con ingresos netos iguales o superiores a un (1) salario mínimo legal mensual vigente, efectuarán su cotización mes vencido, sobre una base de cotización </w:t>
      </w:r>
      <w:r w:rsidRPr="00AE2C60">
        <w:rPr>
          <w:rFonts w:ascii="Century Gothic" w:hAnsi="Century Gothic" w:cs="Arial"/>
          <w:sz w:val="22"/>
          <w:szCs w:val="22"/>
        </w:rPr>
        <w:t>del 20% del valor mensualizado de los ingresos, siempre y cuando no superen 2 SMLMV y del 40% del valor mensualizado de los ingresos, en caso de superar los 2 SMLMV; en los dos casos,</w:t>
      </w:r>
      <w:r>
        <w:rPr>
          <w:rFonts w:ascii="Century Gothic" w:hAnsi="Century Gothic" w:cs="Arial"/>
          <w:b/>
          <w:bCs/>
          <w:sz w:val="22"/>
          <w:szCs w:val="22"/>
        </w:rPr>
        <w:t xml:space="preserve"> </w:t>
      </w:r>
      <w:r>
        <w:rPr>
          <w:rFonts w:ascii="Century Gothic" w:hAnsi="Century Gothic" w:cs="Arial"/>
          <w:sz w:val="22"/>
          <w:szCs w:val="22"/>
        </w:rPr>
        <w:t xml:space="preserve"> sin incluir el valor del Impuesto al Valor Agregado (IVA). En estos casos será procedente la imputación de costos y deducciones siempre que se cumplan los criterios determinados en el artículo </w:t>
      </w:r>
      <w:hyperlink r:id="rId12" w:anchor="107" w:history="1">
        <w:r>
          <w:rPr>
            <w:rStyle w:val="Hipervnculo"/>
            <w:rFonts w:ascii="Century Gothic" w:hAnsi="Century Gothic" w:cs="Arial"/>
            <w:sz w:val="22"/>
            <w:szCs w:val="22"/>
          </w:rPr>
          <w:t>107</w:t>
        </w:r>
      </w:hyperlink>
      <w:r>
        <w:rPr>
          <w:rFonts w:ascii="Century Gothic" w:hAnsi="Century Gothic" w:cs="Arial"/>
          <w:sz w:val="22"/>
          <w:szCs w:val="22"/>
        </w:rPr>
        <w:t> del Estatuto Tributario y sin exceder los valores incluidos en la declaración de renta de la respectiva vigencia.</w:t>
      </w:r>
    </w:p>
    <w:p w14:paraId="1798830B" w14:textId="77777777" w:rsidR="00AE2C60" w:rsidRDefault="00AE2C60" w:rsidP="00AE2C60">
      <w:pPr>
        <w:pStyle w:val="NormalWeb"/>
        <w:spacing w:line="276" w:lineRule="auto"/>
        <w:jc w:val="both"/>
        <w:rPr>
          <w:rFonts w:ascii="Century Gothic" w:hAnsi="Century Gothic" w:cs="Arial"/>
          <w:sz w:val="22"/>
          <w:szCs w:val="22"/>
        </w:rPr>
      </w:pPr>
      <w:r>
        <w:rPr>
          <w:rFonts w:ascii="Century Gothic" w:hAnsi="Century Gothic" w:cs="Arial"/>
          <w:sz w:val="22"/>
          <w:szCs w:val="22"/>
        </w:rPr>
        <w:t>El Gobierno nacional reglamentará el mecanismo para realizar la mensualización de que trata el presente artículo.</w:t>
      </w:r>
    </w:p>
    <w:p w14:paraId="50E7F21F" w14:textId="77777777" w:rsidR="00AE2C60" w:rsidRDefault="00AE2C60" w:rsidP="00AE2C60">
      <w:pPr>
        <w:pStyle w:val="NormalWeb"/>
        <w:spacing w:line="276" w:lineRule="auto"/>
        <w:jc w:val="both"/>
        <w:rPr>
          <w:rFonts w:ascii="Century Gothic" w:hAnsi="Century Gothic" w:cs="Arial"/>
          <w:sz w:val="22"/>
          <w:szCs w:val="22"/>
        </w:rPr>
      </w:pPr>
      <w:r>
        <w:rPr>
          <w:rStyle w:val="baj"/>
          <w:rFonts w:ascii="Century Gothic" w:hAnsi="Century Gothic" w:cs="Arial"/>
          <w:b/>
          <w:bCs/>
          <w:sz w:val="22"/>
          <w:szCs w:val="22"/>
        </w:rPr>
        <w:t>PARÁGRAFO 1.</w:t>
      </w:r>
      <w:r>
        <w:rPr>
          <w:rFonts w:ascii="Century Gothic" w:hAnsi="Century Gothic" w:cs="Arial"/>
          <w:sz w:val="22"/>
          <w:szCs w:val="22"/>
        </w:rPr>
        <w:t> 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w:t>
      </w:r>
    </w:p>
    <w:p w14:paraId="6D406E9B" w14:textId="77777777" w:rsidR="00AE2C60" w:rsidRDefault="00AE2C60" w:rsidP="00AE2C60">
      <w:pPr>
        <w:pStyle w:val="NormalWeb"/>
        <w:spacing w:line="276" w:lineRule="auto"/>
        <w:jc w:val="both"/>
        <w:rPr>
          <w:rFonts w:ascii="Century Gothic" w:hAnsi="Century Gothic" w:cs="Arial"/>
          <w:sz w:val="22"/>
          <w:szCs w:val="22"/>
        </w:rPr>
      </w:pPr>
      <w:r>
        <w:rPr>
          <w:rFonts w:ascii="Century Gothic" w:hAnsi="Century Gothic" w:cs="Arial"/>
          <w:sz w:val="22"/>
          <w:szCs w:val="22"/>
        </w:rPr>
        <w:t>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w:t>
      </w:r>
      <w:hyperlink r:id="rId13" w:anchor="107" w:history="1">
        <w:r>
          <w:rPr>
            <w:rStyle w:val="Hipervnculo"/>
            <w:rFonts w:ascii="Century Gothic" w:hAnsi="Century Gothic" w:cs="Arial"/>
            <w:sz w:val="22"/>
            <w:szCs w:val="22"/>
          </w:rPr>
          <w:t>107</w:t>
        </w:r>
      </w:hyperlink>
      <w:r>
        <w:rPr>
          <w:rFonts w:ascii="Century Gothic" w:hAnsi="Century Gothic" w:cs="Arial"/>
          <w:sz w:val="22"/>
          <w:szCs w:val="22"/>
        </w:rPr>
        <w:t> del Estatuto Tributario y demás normas que regulen las exigencias para la validez de dichos documentos.</w:t>
      </w:r>
    </w:p>
    <w:p w14:paraId="5BE022A6" w14:textId="77777777" w:rsidR="00AE2C60" w:rsidRDefault="00AE2C60" w:rsidP="00AE2C60">
      <w:pPr>
        <w:pStyle w:val="NormalWeb"/>
        <w:spacing w:line="276" w:lineRule="auto"/>
        <w:jc w:val="both"/>
        <w:rPr>
          <w:rFonts w:ascii="Century Gothic" w:hAnsi="Century Gothic" w:cs="Arial"/>
          <w:sz w:val="22"/>
          <w:szCs w:val="22"/>
        </w:rPr>
      </w:pPr>
      <w:r>
        <w:rPr>
          <w:rStyle w:val="baj"/>
          <w:rFonts w:ascii="Century Gothic" w:hAnsi="Century Gothic" w:cs="Arial"/>
          <w:b/>
          <w:bCs/>
          <w:sz w:val="22"/>
          <w:szCs w:val="22"/>
        </w:rPr>
        <w:t>PARÁGRAFO 2o. </w:t>
      </w:r>
      <w:r>
        <w:rPr>
          <w:rFonts w:ascii="Century Gothic" w:hAnsi="Century Gothic" w:cs="Arial"/>
          <w:sz w:val="22"/>
          <w:szCs w:val="22"/>
        </w:rPr>
        <w:t xml:space="preserve"> La UGPP podrá aplicar el esquema de presunción previsto en el parágrafo anterior aplicable en la fecha en la que se ejecutó la actividad,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w:t>
      </w:r>
    </w:p>
    <w:p w14:paraId="409E1B56" w14:textId="77777777" w:rsidR="00AE2C60" w:rsidRDefault="00AE2C60" w:rsidP="00AE2C60">
      <w:pPr>
        <w:pStyle w:val="NormalWeb"/>
        <w:spacing w:line="276" w:lineRule="auto"/>
        <w:jc w:val="both"/>
        <w:rPr>
          <w:rFonts w:ascii="Century Gothic" w:hAnsi="Century Gothic" w:cs="Arial"/>
          <w:sz w:val="22"/>
          <w:szCs w:val="22"/>
        </w:rPr>
      </w:pPr>
      <w:r>
        <w:rPr>
          <w:rFonts w:ascii="Century Gothic" w:hAnsi="Century Gothic" w:cs="Arial"/>
          <w:sz w:val="22"/>
          <w:szCs w:val="22"/>
        </w:rPr>
        <w:lastRenderedPageBreak/>
        <w:t>Los plazos que se encuentren cursando para resolver recursos o la revocatoria directa de actos administrativos proferidos por la UGPP en la materia, se ampliarán en el mismo término del inicialmente definido por la Ley.</w:t>
      </w:r>
    </w:p>
    <w:p w14:paraId="70BAD452" w14:textId="77777777" w:rsidR="006B1138" w:rsidRPr="00D349CB" w:rsidRDefault="006B1138" w:rsidP="00D349CB">
      <w:pPr>
        <w:pStyle w:val="NormalWeb"/>
        <w:shd w:val="clear" w:color="auto" w:fill="FFFFFF"/>
        <w:spacing w:before="0" w:beforeAutospacing="0" w:after="0" w:afterAutospacing="0" w:line="276" w:lineRule="auto"/>
        <w:jc w:val="both"/>
        <w:rPr>
          <w:rFonts w:ascii="Century Gothic" w:hAnsi="Century Gothic"/>
          <w:bCs/>
          <w:sz w:val="22"/>
          <w:szCs w:val="22"/>
        </w:rPr>
      </w:pPr>
    </w:p>
    <w:p w14:paraId="6E027937" w14:textId="157CD961" w:rsidR="00980C61" w:rsidRPr="00D349CB" w:rsidRDefault="00705B08" w:rsidP="00D349CB">
      <w:pPr>
        <w:pStyle w:val="NormalWeb"/>
        <w:shd w:val="clear" w:color="auto" w:fill="FFFFFF"/>
        <w:spacing w:before="0" w:beforeAutospacing="0" w:after="0" w:afterAutospacing="0" w:line="276" w:lineRule="auto"/>
        <w:jc w:val="both"/>
        <w:rPr>
          <w:rFonts w:ascii="Century Gothic" w:hAnsi="Century Gothic"/>
          <w:b/>
          <w:bCs/>
          <w:sz w:val="22"/>
          <w:szCs w:val="22"/>
        </w:rPr>
      </w:pPr>
      <w:r w:rsidRPr="00D349CB">
        <w:rPr>
          <w:rFonts w:ascii="Century Gothic" w:hAnsi="Century Gothic"/>
          <w:b/>
          <w:sz w:val="22"/>
          <w:szCs w:val="22"/>
        </w:rPr>
        <w:t xml:space="preserve">Artículo </w:t>
      </w:r>
      <w:r w:rsidR="00FB180A" w:rsidRPr="00D349CB">
        <w:rPr>
          <w:rFonts w:ascii="Century Gothic" w:hAnsi="Century Gothic"/>
          <w:b/>
          <w:sz w:val="22"/>
          <w:szCs w:val="22"/>
        </w:rPr>
        <w:t>4</w:t>
      </w:r>
      <w:r w:rsidRPr="00D349CB">
        <w:rPr>
          <w:rFonts w:ascii="Century Gothic" w:hAnsi="Century Gothic"/>
          <w:b/>
          <w:sz w:val="22"/>
          <w:szCs w:val="22"/>
        </w:rPr>
        <w:t>º</w:t>
      </w:r>
      <w:r w:rsidR="005D4809" w:rsidRPr="00D349CB">
        <w:rPr>
          <w:rFonts w:ascii="Century Gothic" w:hAnsi="Century Gothic"/>
          <w:b/>
          <w:sz w:val="22"/>
          <w:szCs w:val="22"/>
        </w:rPr>
        <w:t xml:space="preserve">. </w:t>
      </w:r>
      <w:r w:rsidR="003D1D7C" w:rsidRPr="00D349CB">
        <w:rPr>
          <w:rFonts w:ascii="Century Gothic" w:hAnsi="Century Gothic"/>
          <w:b/>
          <w:sz w:val="22"/>
          <w:szCs w:val="22"/>
        </w:rPr>
        <w:t>VIGENCIA Y DEROGATORIAS</w:t>
      </w:r>
      <w:r w:rsidR="00980C61" w:rsidRPr="00D349CB">
        <w:rPr>
          <w:rFonts w:ascii="Century Gothic" w:hAnsi="Century Gothic"/>
          <w:b/>
          <w:sz w:val="22"/>
          <w:szCs w:val="22"/>
        </w:rPr>
        <w:t>.</w:t>
      </w:r>
      <w:r w:rsidR="00980C61" w:rsidRPr="00D349CB">
        <w:rPr>
          <w:rFonts w:ascii="Century Gothic" w:hAnsi="Century Gothic"/>
          <w:sz w:val="22"/>
          <w:szCs w:val="22"/>
        </w:rPr>
        <w:t xml:space="preserve"> La presente ley rige a partir de su promulgación y deroga las disposiciones que le sean contrarias.</w:t>
      </w:r>
    </w:p>
    <w:p w14:paraId="43F9B52B" w14:textId="27159CE3" w:rsidR="00980C61" w:rsidRPr="00D349CB" w:rsidRDefault="00980C61" w:rsidP="00D349CB">
      <w:pPr>
        <w:pStyle w:val="NormalWeb"/>
        <w:spacing w:before="0" w:beforeAutospacing="0" w:after="0" w:afterAutospacing="0" w:line="276" w:lineRule="auto"/>
        <w:jc w:val="both"/>
        <w:rPr>
          <w:rFonts w:ascii="Century Gothic" w:hAnsi="Century Gothic" w:cs="Arial"/>
          <w:sz w:val="22"/>
          <w:szCs w:val="22"/>
        </w:rPr>
      </w:pPr>
      <w:r w:rsidRPr="00D349CB">
        <w:rPr>
          <w:rFonts w:ascii="Century Gothic" w:hAnsi="Century Gothic" w:cs="Arial"/>
          <w:sz w:val="22"/>
          <w:szCs w:val="22"/>
        </w:rPr>
        <w:t xml:space="preserve">             </w:t>
      </w:r>
    </w:p>
    <w:p w14:paraId="0299F58A" w14:textId="77777777" w:rsidR="00705B08" w:rsidRPr="00D349CB" w:rsidRDefault="00705B08" w:rsidP="00D349CB">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r w:rsidRPr="00D349CB">
        <w:rPr>
          <w:rFonts w:ascii="Century Gothic" w:eastAsia="Times New Roman" w:hAnsi="Century Gothic" w:cs="Calibri"/>
          <w:lang w:eastAsia="es-CO"/>
        </w:rPr>
        <w:t xml:space="preserve">Cordialmente, </w:t>
      </w:r>
    </w:p>
    <w:p w14:paraId="676D6BF9" w14:textId="77777777" w:rsidR="00705B08" w:rsidRPr="00D349CB" w:rsidRDefault="00705B08" w:rsidP="00D349CB">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p>
    <w:p w14:paraId="6BD41C2E" w14:textId="77777777" w:rsidR="00705B08" w:rsidRPr="00D349CB" w:rsidRDefault="00705B08" w:rsidP="00D349CB">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p>
    <w:p w14:paraId="4007EE69"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 xml:space="preserve">BUENAVENTURA LEÓN </w:t>
      </w:r>
      <w:proofErr w:type="spellStart"/>
      <w:r w:rsidRPr="004A2F91">
        <w:rPr>
          <w:rStyle w:val="Ninguno"/>
          <w:rFonts w:ascii="Century Gothic" w:eastAsia="Arial Unicode MS" w:hAnsi="Century Gothic" w:cs="Arial Unicode MS"/>
          <w:b/>
          <w:bCs/>
          <w:u w:color="000000"/>
          <w:bdr w:val="nil"/>
          <w:lang w:eastAsia="es-CO"/>
        </w:rPr>
        <w:t>LEÓN</w:t>
      </w:r>
      <w:proofErr w:type="spellEnd"/>
      <w:r w:rsidRPr="004A2F91">
        <w:rPr>
          <w:rStyle w:val="Ninguno"/>
          <w:rFonts w:ascii="Century Gothic" w:eastAsia="Arial Unicode MS" w:hAnsi="Century Gothic" w:cs="Arial Unicode MS"/>
          <w:b/>
          <w:bCs/>
          <w:u w:color="000000"/>
          <w:bdr w:val="nil"/>
          <w:lang w:eastAsia="es-CO"/>
        </w:rPr>
        <w:tab/>
      </w:r>
      <w:r w:rsidRPr="004A2F91">
        <w:rPr>
          <w:rStyle w:val="Ninguno"/>
          <w:rFonts w:ascii="Century Gothic" w:eastAsia="Arial Unicode MS" w:hAnsi="Century Gothic" w:cs="Arial Unicode MS"/>
          <w:b/>
          <w:bCs/>
          <w:u w:color="000000"/>
          <w:bdr w:val="nil"/>
          <w:lang w:eastAsia="es-CO"/>
        </w:rPr>
        <w:tab/>
        <w:t xml:space="preserve">              ALFREDO APE CUELLO BAUTE</w:t>
      </w:r>
    </w:p>
    <w:p w14:paraId="0B521A86"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w:t>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t xml:space="preserve">              Representante a la Cámara</w:t>
      </w:r>
    </w:p>
    <w:p w14:paraId="67D03B21"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3A794086"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8AD1EDC"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0485B105"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u w:color="000000"/>
          <w:bdr w:val="nil"/>
          <w:lang w:eastAsia="es-CO"/>
        </w:rPr>
        <w:tab/>
      </w:r>
    </w:p>
    <w:p w14:paraId="17E4D127"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CIRO ANTONIO RODRIGUEZ PINZON                      ADRIANA MAGALI MATIZ VARGAS</w:t>
      </w:r>
    </w:p>
    <w:p w14:paraId="403891D2"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w:t>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t xml:space="preserve">             Representante a la Cámara</w:t>
      </w:r>
    </w:p>
    <w:p w14:paraId="553EF829"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 xml:space="preserve">                                                                                         </w:t>
      </w:r>
    </w:p>
    <w:p w14:paraId="6BC312AF"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35B0C2F4"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933DC63"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359AA253"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JUAN CARLOS WILLS OSPINA                       ARMANDO ANTONIO ZABARAIN DE ARCE</w:t>
      </w:r>
    </w:p>
    <w:p w14:paraId="08521443"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w:t>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t xml:space="preserve">   Representante a la Cámara      </w:t>
      </w:r>
    </w:p>
    <w:p w14:paraId="4FDFF41A"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DA47843"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09A694FC"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6AE3793"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7496ECCC"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JUAN CARLOS RIVERA PEÑA                                    JOSE GUSTAVO PADILLA OROZCO</w:t>
      </w:r>
    </w:p>
    <w:p w14:paraId="5D074B9D"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w:t>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t xml:space="preserve">               Representante a la Cámara       </w:t>
      </w:r>
    </w:p>
    <w:p w14:paraId="7BECA976"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 xml:space="preserve">      </w:t>
      </w:r>
    </w:p>
    <w:p w14:paraId="412E157E"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1FFB65E8"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0A8134AD"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19CE7797"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lastRenderedPageBreak/>
        <w:t>WADITH ALBERTO MANZUR IMBET</w:t>
      </w:r>
      <w:r w:rsidRPr="004A2F91">
        <w:rPr>
          <w:rStyle w:val="Ninguno"/>
          <w:rFonts w:ascii="Century Gothic" w:eastAsia="Arial Unicode MS" w:hAnsi="Century Gothic" w:cs="Arial Unicode MS"/>
          <w:b/>
          <w:bCs/>
          <w:u w:color="000000"/>
          <w:bdr w:val="nil"/>
          <w:lang w:eastAsia="es-CO"/>
        </w:rPr>
        <w:tab/>
      </w:r>
      <w:r w:rsidRPr="004A2F91">
        <w:rPr>
          <w:rStyle w:val="Ninguno"/>
          <w:rFonts w:ascii="Century Gothic" w:eastAsia="Arial Unicode MS" w:hAnsi="Century Gothic" w:cs="Arial Unicode MS"/>
          <w:b/>
          <w:bCs/>
          <w:u w:color="000000"/>
          <w:bdr w:val="nil"/>
          <w:lang w:eastAsia="es-CO"/>
        </w:rPr>
        <w:tab/>
        <w:t xml:space="preserve">           NIDIA MARCELA OSORIO SALGADO</w:t>
      </w:r>
    </w:p>
    <w:p w14:paraId="20CE8BD0"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w:t>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t xml:space="preserve">      Representante a la Cámara</w:t>
      </w:r>
    </w:p>
    <w:p w14:paraId="2ED667A1"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725266C0"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E3CB6BB"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A3AFBD3"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3DBA9F7"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 xml:space="preserve">FELIX ALEJANDRO CHICA CORREA </w:t>
      </w:r>
      <w:r w:rsidRPr="004A2F91">
        <w:rPr>
          <w:rStyle w:val="Ninguno"/>
          <w:rFonts w:ascii="Century Gothic" w:eastAsia="Arial Unicode MS" w:hAnsi="Century Gothic" w:cs="Arial Unicode MS"/>
          <w:b/>
          <w:bCs/>
          <w:u w:color="000000"/>
          <w:bdr w:val="nil"/>
          <w:lang w:eastAsia="es-CO"/>
        </w:rPr>
        <w:tab/>
        <w:t xml:space="preserve">            EMETERIO JOSÉ MONTES CASTRO</w:t>
      </w:r>
    </w:p>
    <w:p w14:paraId="3D143A2E"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w:t>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t xml:space="preserve">             Representante a la Cámara</w:t>
      </w:r>
    </w:p>
    <w:p w14:paraId="4C08BB32"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060247C2"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08781BE"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09892C92"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E7F88A5"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 xml:space="preserve">JOSE ELVER HERNANDEZ CASAS                          GERMAN ALCIDES BLANCO ALVARES </w:t>
      </w:r>
    </w:p>
    <w:p w14:paraId="2DAA1735"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 xml:space="preserve">Representante a la Cámara                                 Representante a la Cámara </w:t>
      </w:r>
    </w:p>
    <w:p w14:paraId="71490A11"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1A1428C3"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126C7A9D"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B656C49"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CF81A37"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NICOLAS ALBEIRO ECHEVERRY ALVARÁN              DIELA LILIANA BENAVIDES SOLARTE</w:t>
      </w:r>
    </w:p>
    <w:p w14:paraId="451286D3"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 xml:space="preserve">Representante a la Cámara                                   Representante a la Cámara     </w:t>
      </w:r>
    </w:p>
    <w:p w14:paraId="72CB1422"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73D04121"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09C699ED"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30BD1AC"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17776C48"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B81D3DB"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JAIME FELIPE LOZADA POLANCO                            MARIA CRISTINA SOTO DE GOMEZ</w:t>
      </w:r>
    </w:p>
    <w:p w14:paraId="1EA96043"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                                    Representante a la Cámara</w:t>
      </w:r>
    </w:p>
    <w:p w14:paraId="62DEACCD"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139812BC"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4C137D1B"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2B3413D"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1DA7F20"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464BD0C8"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 xml:space="preserve">YAMIL HERNANDO ARANDA PADAUÌ                      FELIPE ANDRES MUÑOZ DELGADO                 </w:t>
      </w:r>
    </w:p>
    <w:p w14:paraId="6595608C"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                                 Representante a la Cámara</w:t>
      </w:r>
    </w:p>
    <w:p w14:paraId="2EA5B72C"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670E46F"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3F83ACF"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74F4F1C9"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p>
    <w:p w14:paraId="4BE20DA3" w14:textId="57D3D89B" w:rsidR="00AE2C60" w:rsidRDefault="001315BA" w:rsidP="001315BA">
      <w:pPr>
        <w:widowControl w:val="0"/>
        <w:pBdr>
          <w:top w:val="nil"/>
          <w:left w:val="nil"/>
          <w:bottom w:val="nil"/>
          <w:right w:val="nil"/>
          <w:between w:val="nil"/>
        </w:pBdr>
        <w:ind w:hanging="2"/>
        <w:rPr>
          <w:rFonts w:ascii="Century Gothic" w:hAnsi="Century Gothic"/>
          <w:b/>
        </w:rPr>
      </w:pPr>
      <w:r>
        <w:rPr>
          <w:rStyle w:val="Ninguno"/>
          <w:rFonts w:ascii="Century Gothic" w:eastAsia="Arial Unicode MS" w:hAnsi="Century Gothic" w:cs="Arial Unicode MS"/>
          <w:b/>
          <w:bCs/>
          <w:u w:color="000000"/>
          <w:bdr w:val="nil"/>
          <w:lang w:eastAsia="es-CO"/>
        </w:rPr>
        <w:t xml:space="preserve"> </w:t>
      </w:r>
    </w:p>
    <w:p w14:paraId="6F9B3C4A" w14:textId="492E7E1F" w:rsidR="00980C61" w:rsidRPr="00D349CB" w:rsidRDefault="00980C61" w:rsidP="00D349CB">
      <w:pPr>
        <w:shd w:val="clear" w:color="auto" w:fill="FFFFFF"/>
        <w:spacing w:before="135" w:after="135"/>
        <w:jc w:val="center"/>
        <w:rPr>
          <w:rFonts w:ascii="Century Gothic" w:hAnsi="Century Gothic"/>
          <w:b/>
        </w:rPr>
      </w:pPr>
      <w:r w:rsidRPr="00D349CB">
        <w:rPr>
          <w:rFonts w:ascii="Century Gothic" w:hAnsi="Century Gothic"/>
          <w:b/>
        </w:rPr>
        <w:lastRenderedPageBreak/>
        <w:t>EXPOSICIÓN DE MOTIVOS</w:t>
      </w:r>
    </w:p>
    <w:p w14:paraId="3164CDE2" w14:textId="77777777" w:rsidR="00980C61" w:rsidRPr="00D349CB" w:rsidRDefault="00980C61"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033B1944" w14:textId="77777777" w:rsidR="00980C61" w:rsidRPr="00D349CB" w:rsidRDefault="00980C61"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r w:rsidRPr="00D349CB">
        <w:rPr>
          <w:rStyle w:val="Ninguno"/>
          <w:rFonts w:ascii="Century Gothic" w:hAnsi="Century Gothic"/>
          <w:color w:val="auto"/>
          <w:lang w:val="es-CO"/>
        </w:rPr>
        <w:t>PROYECTO DE LEY ___ DE 2021 CÁMARA</w:t>
      </w:r>
    </w:p>
    <w:p w14:paraId="4E61728D" w14:textId="682A3D6F" w:rsidR="003D1D7C" w:rsidRPr="00D349CB" w:rsidRDefault="003D1D7C"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Style w:val="Ninguno"/>
          <w:rFonts w:ascii="Century Gothic" w:hAnsi="Century Gothic"/>
          <w:b/>
          <w:bCs/>
          <w:color w:val="auto"/>
          <w:lang w:val="es-CO"/>
        </w:rPr>
      </w:pPr>
    </w:p>
    <w:p w14:paraId="6F20DC2D" w14:textId="5AABA946" w:rsidR="00C323B4" w:rsidRPr="00D349CB" w:rsidRDefault="00C323B4"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bCs/>
          <w:color w:val="auto"/>
          <w:lang w:val="es-CO"/>
        </w:rPr>
      </w:pPr>
      <w:r w:rsidRPr="00D349CB">
        <w:rPr>
          <w:rFonts w:ascii="Century Gothic" w:eastAsia="Times New Roman" w:hAnsi="Century Gothic" w:cs="Calibri"/>
          <w:b/>
          <w:bCs/>
          <w:color w:val="auto"/>
          <w:lang w:val="es-CO"/>
        </w:rPr>
        <w:t>“POR MEDIO DE LA CUAL SE ESTABLECE EL INGRESO BASE DE COTIZACIÓN DE LOS TRABAJADORES INDEPENDIENTES”</w:t>
      </w:r>
    </w:p>
    <w:p w14:paraId="0B746045" w14:textId="15ACDDBF" w:rsidR="003D1D7C" w:rsidRPr="00D349CB" w:rsidRDefault="003D1D7C"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bCs/>
          <w:color w:val="auto"/>
          <w:lang w:val="es-CO"/>
        </w:rPr>
      </w:pPr>
    </w:p>
    <w:p w14:paraId="36B8E5F9" w14:textId="77777777" w:rsidR="00997169" w:rsidRPr="00D349CB" w:rsidRDefault="00997169" w:rsidP="00D349CB">
      <w:pPr>
        <w:shd w:val="clear" w:color="auto" w:fill="FFFFFF"/>
        <w:jc w:val="both"/>
        <w:rPr>
          <w:rFonts w:ascii="Century Gothic" w:hAnsi="Century Gothic"/>
        </w:rPr>
      </w:pPr>
    </w:p>
    <w:p w14:paraId="7D53B7BC" w14:textId="77777777" w:rsidR="00997169" w:rsidRPr="00D349CB" w:rsidRDefault="00F92966" w:rsidP="00D349CB">
      <w:pPr>
        <w:numPr>
          <w:ilvl w:val="0"/>
          <w:numId w:val="1"/>
        </w:numPr>
        <w:pBdr>
          <w:top w:val="nil"/>
          <w:left w:val="nil"/>
          <w:bottom w:val="nil"/>
          <w:right w:val="nil"/>
          <w:between w:val="nil"/>
        </w:pBdr>
        <w:jc w:val="both"/>
        <w:rPr>
          <w:rFonts w:ascii="Century Gothic" w:hAnsi="Century Gothic"/>
          <w:b/>
        </w:rPr>
      </w:pPr>
      <w:r w:rsidRPr="00D349CB">
        <w:rPr>
          <w:rFonts w:ascii="Century Gothic" w:hAnsi="Century Gothic"/>
          <w:b/>
        </w:rPr>
        <w:t>OBJETO DEL PROYECTO</w:t>
      </w:r>
    </w:p>
    <w:p w14:paraId="0FBCA448" w14:textId="77777777" w:rsidR="00997169" w:rsidRPr="00D349CB" w:rsidRDefault="00997169" w:rsidP="00D349CB">
      <w:pPr>
        <w:jc w:val="both"/>
        <w:rPr>
          <w:rFonts w:ascii="Century Gothic" w:hAnsi="Century Gothic"/>
        </w:rPr>
      </w:pPr>
    </w:p>
    <w:p w14:paraId="06B9AF76" w14:textId="074BDBFF" w:rsidR="00C73F75" w:rsidRPr="00D349CB" w:rsidRDefault="001F3EFB" w:rsidP="00D349CB">
      <w:pPr>
        <w:pStyle w:val="NormalWeb"/>
        <w:shd w:val="clear" w:color="auto" w:fill="FFFFFF"/>
        <w:spacing w:before="0" w:beforeAutospacing="0" w:after="0" w:afterAutospacing="0" w:line="276" w:lineRule="auto"/>
        <w:jc w:val="both"/>
        <w:rPr>
          <w:rFonts w:ascii="Century Gothic" w:hAnsi="Century Gothic"/>
          <w:bCs/>
          <w:sz w:val="22"/>
          <w:szCs w:val="22"/>
        </w:rPr>
      </w:pPr>
      <w:r w:rsidRPr="00D349CB">
        <w:rPr>
          <w:rFonts w:ascii="Century Gothic" w:hAnsi="Century Gothic" w:cs="Segoe UI"/>
          <w:sz w:val="22"/>
          <w:szCs w:val="22"/>
        </w:rPr>
        <w:t xml:space="preserve">Establecer </w:t>
      </w:r>
      <w:r w:rsidR="00C83A13" w:rsidRPr="00D349CB">
        <w:rPr>
          <w:rFonts w:ascii="Century Gothic" w:hAnsi="Century Gothic" w:cs="Segoe UI"/>
          <w:sz w:val="22"/>
          <w:szCs w:val="22"/>
        </w:rPr>
        <w:t xml:space="preserve">el Ingreso Base de Cotización </w:t>
      </w:r>
      <w:r w:rsidRPr="00D349CB">
        <w:rPr>
          <w:rFonts w:ascii="Century Gothic" w:hAnsi="Century Gothic" w:cs="Segoe UI"/>
          <w:sz w:val="22"/>
          <w:szCs w:val="22"/>
        </w:rPr>
        <w:t>de</w:t>
      </w:r>
      <w:r w:rsidR="00202AD1" w:rsidRPr="00D349CB">
        <w:rPr>
          <w:rFonts w:ascii="Century Gothic" w:hAnsi="Century Gothic" w:cs="Segoe UI"/>
          <w:sz w:val="22"/>
          <w:szCs w:val="22"/>
        </w:rPr>
        <w:t xml:space="preserve">: </w:t>
      </w:r>
    </w:p>
    <w:p w14:paraId="675F3A9F" w14:textId="77777777" w:rsidR="00C73F75" w:rsidRPr="00D349CB" w:rsidRDefault="00C73F75" w:rsidP="00D349CB">
      <w:pPr>
        <w:pStyle w:val="NormalWeb"/>
        <w:shd w:val="clear" w:color="auto" w:fill="FFFFFF"/>
        <w:spacing w:before="0" w:beforeAutospacing="0" w:after="0" w:afterAutospacing="0" w:line="276" w:lineRule="auto"/>
        <w:jc w:val="both"/>
        <w:rPr>
          <w:rFonts w:ascii="Century Gothic" w:hAnsi="Century Gothic"/>
          <w:bCs/>
          <w:sz w:val="22"/>
          <w:szCs w:val="22"/>
        </w:rPr>
      </w:pPr>
    </w:p>
    <w:p w14:paraId="418E9BA6" w14:textId="0FD5AAF3" w:rsidR="00C73F75" w:rsidRPr="00D349CB" w:rsidRDefault="00C73F75" w:rsidP="00D349CB">
      <w:pPr>
        <w:pStyle w:val="NormalWeb"/>
        <w:numPr>
          <w:ilvl w:val="0"/>
          <w:numId w:val="3"/>
        </w:numPr>
        <w:shd w:val="clear" w:color="auto" w:fill="FFFFFF"/>
        <w:spacing w:before="0" w:beforeAutospacing="0" w:after="0" w:afterAutospacing="0" w:line="276" w:lineRule="auto"/>
        <w:jc w:val="both"/>
        <w:rPr>
          <w:rFonts w:ascii="Century Gothic" w:hAnsi="Century Gothic"/>
          <w:b/>
          <w:sz w:val="22"/>
          <w:szCs w:val="22"/>
        </w:rPr>
      </w:pPr>
      <w:r w:rsidRPr="00D349CB">
        <w:rPr>
          <w:rFonts w:ascii="Century Gothic" w:hAnsi="Century Gothic"/>
          <w:bCs/>
          <w:sz w:val="22"/>
          <w:szCs w:val="22"/>
        </w:rPr>
        <w:t>Los trabajadores independientes que celebren contratos de prestación de servicios personales hasta por 2 SMLMV, sobre el 20% del valor neto del contrato y los que superen 2 SMLMV, sobre el 40% del valor neto del contrato</w:t>
      </w:r>
      <w:r w:rsidR="00D56DD6" w:rsidRPr="00D349CB">
        <w:rPr>
          <w:rFonts w:ascii="Century Gothic" w:hAnsi="Century Gothic"/>
          <w:bCs/>
          <w:sz w:val="22"/>
          <w:szCs w:val="22"/>
        </w:rPr>
        <w:t xml:space="preserve">, </w:t>
      </w:r>
      <w:r w:rsidR="00D56DD6" w:rsidRPr="00D349CB">
        <w:rPr>
          <w:rFonts w:ascii="Century Gothic" w:hAnsi="Century Gothic" w:cs="Arial"/>
          <w:sz w:val="22"/>
          <w:szCs w:val="22"/>
        </w:rPr>
        <w:t>sin incluir el valor del Impuesto al Valor Agregado (IVA)</w:t>
      </w:r>
      <w:r w:rsidRPr="00D349CB">
        <w:rPr>
          <w:rFonts w:ascii="Century Gothic" w:hAnsi="Century Gothic"/>
          <w:bCs/>
          <w:sz w:val="22"/>
          <w:szCs w:val="22"/>
        </w:rPr>
        <w:t xml:space="preserve">. </w:t>
      </w:r>
    </w:p>
    <w:p w14:paraId="2E6CDFA7" w14:textId="21CCDE6A" w:rsidR="00C73F75" w:rsidRPr="00D349CB" w:rsidRDefault="00C73F75" w:rsidP="00D349CB">
      <w:pPr>
        <w:pStyle w:val="NormalWeb"/>
        <w:shd w:val="clear" w:color="auto" w:fill="FFFFFF"/>
        <w:spacing w:before="0" w:beforeAutospacing="0" w:after="0" w:afterAutospacing="0" w:line="276" w:lineRule="auto"/>
        <w:ind w:left="720"/>
        <w:jc w:val="both"/>
        <w:rPr>
          <w:rFonts w:ascii="Century Gothic" w:hAnsi="Century Gothic"/>
          <w:bCs/>
          <w:sz w:val="22"/>
          <w:szCs w:val="22"/>
        </w:rPr>
      </w:pPr>
    </w:p>
    <w:p w14:paraId="4B7D4CB1" w14:textId="58ED88D7" w:rsidR="00C73F75" w:rsidRDefault="00C73F75" w:rsidP="00D349CB">
      <w:pPr>
        <w:pStyle w:val="NormalWeb"/>
        <w:shd w:val="clear" w:color="auto" w:fill="FFFFFF"/>
        <w:spacing w:before="0" w:beforeAutospacing="0" w:after="0" w:afterAutospacing="0" w:line="276" w:lineRule="auto"/>
        <w:ind w:left="720"/>
        <w:jc w:val="both"/>
        <w:rPr>
          <w:rFonts w:ascii="Century Gothic" w:hAnsi="Century Gothic"/>
          <w:bCs/>
          <w:sz w:val="22"/>
          <w:szCs w:val="22"/>
        </w:rPr>
      </w:pPr>
      <w:r w:rsidRPr="00D349CB">
        <w:rPr>
          <w:rFonts w:ascii="Century Gothic" w:hAnsi="Century Gothic"/>
          <w:bCs/>
          <w:sz w:val="22"/>
          <w:szCs w:val="22"/>
        </w:rPr>
        <w:t xml:space="preserve">En caso de que se celebre más de un contrato de prestación de servicios personales, por el más alto se cotizara sobre el 40% y por los restantes sobre el 20% del valor neto del contrato. </w:t>
      </w:r>
    </w:p>
    <w:p w14:paraId="2BA77D18" w14:textId="77777777" w:rsidR="00AB5175" w:rsidRPr="00D349CB" w:rsidRDefault="00AB5175" w:rsidP="00D349CB">
      <w:pPr>
        <w:pStyle w:val="NormalWeb"/>
        <w:shd w:val="clear" w:color="auto" w:fill="FFFFFF"/>
        <w:spacing w:before="0" w:beforeAutospacing="0" w:after="0" w:afterAutospacing="0" w:line="276" w:lineRule="auto"/>
        <w:ind w:left="720"/>
        <w:jc w:val="both"/>
        <w:rPr>
          <w:rFonts w:ascii="Century Gothic" w:hAnsi="Century Gothic"/>
          <w:bCs/>
          <w:sz w:val="22"/>
          <w:szCs w:val="22"/>
        </w:rPr>
      </w:pPr>
    </w:p>
    <w:p w14:paraId="3FA4017D" w14:textId="51E06B8D" w:rsidR="00B70C72" w:rsidRPr="00AB5175" w:rsidRDefault="00D56DD6" w:rsidP="00AB5175">
      <w:pPr>
        <w:pStyle w:val="NormalWeb"/>
        <w:numPr>
          <w:ilvl w:val="0"/>
          <w:numId w:val="3"/>
        </w:numPr>
        <w:shd w:val="clear" w:color="auto" w:fill="FFFFFF"/>
        <w:spacing w:before="0" w:beforeAutospacing="0" w:after="0" w:afterAutospacing="0" w:line="276" w:lineRule="auto"/>
        <w:jc w:val="both"/>
        <w:rPr>
          <w:rFonts w:ascii="Century Gothic" w:hAnsi="Century Gothic"/>
          <w:bCs/>
          <w:sz w:val="22"/>
          <w:szCs w:val="22"/>
        </w:rPr>
      </w:pPr>
      <w:r w:rsidRPr="00AB5175">
        <w:rPr>
          <w:rFonts w:ascii="Century Gothic" w:hAnsi="Century Gothic"/>
          <w:bCs/>
          <w:sz w:val="22"/>
          <w:szCs w:val="22"/>
        </w:rPr>
        <w:t xml:space="preserve">Los independientes por cuenta propia y los trabajadores independientes con contratos diferentes a prestación de servicios personales, sobre una base de cotización </w:t>
      </w:r>
      <w:r w:rsidR="00AB5175" w:rsidRPr="00AB5175">
        <w:rPr>
          <w:rFonts w:ascii="Century Gothic" w:hAnsi="Century Gothic"/>
          <w:bCs/>
          <w:sz w:val="22"/>
          <w:szCs w:val="22"/>
        </w:rPr>
        <w:t>del</w:t>
      </w:r>
      <w:r w:rsidRPr="00AB5175">
        <w:rPr>
          <w:rFonts w:ascii="Century Gothic" w:hAnsi="Century Gothic"/>
          <w:bCs/>
          <w:sz w:val="22"/>
          <w:szCs w:val="22"/>
        </w:rPr>
        <w:t xml:space="preserve"> 20</w:t>
      </w:r>
      <w:r w:rsidR="00AB5175" w:rsidRPr="00AB5175">
        <w:rPr>
          <w:rFonts w:ascii="Century Gothic" w:hAnsi="Century Gothic"/>
          <w:bCs/>
          <w:sz w:val="22"/>
          <w:szCs w:val="22"/>
        </w:rPr>
        <w:t>% del valor mensualizado de los ingresos, siempre y cuando no superen 2 SMLMV y del 40% del valor mensualizado de los ingresos, en caso de superar los 2 SMLMV.</w:t>
      </w:r>
    </w:p>
    <w:p w14:paraId="0C8929BD" w14:textId="2E52F594" w:rsidR="00202AD1" w:rsidRPr="00D349CB" w:rsidRDefault="00202AD1" w:rsidP="00D349CB">
      <w:pPr>
        <w:pStyle w:val="NormalWeb"/>
        <w:spacing w:line="276" w:lineRule="auto"/>
        <w:ind w:left="720"/>
        <w:jc w:val="both"/>
        <w:rPr>
          <w:rFonts w:ascii="Century Gothic" w:hAnsi="Century Gothic" w:cs="Arial"/>
          <w:sz w:val="22"/>
          <w:szCs w:val="22"/>
        </w:rPr>
      </w:pPr>
      <w:r w:rsidRPr="00D349CB">
        <w:rPr>
          <w:rFonts w:ascii="Century Gothic" w:hAnsi="Century Gothic" w:cs="Arial"/>
          <w:sz w:val="22"/>
          <w:szCs w:val="22"/>
        </w:rPr>
        <w:t xml:space="preserve"> </w:t>
      </w:r>
    </w:p>
    <w:p w14:paraId="73B96167" w14:textId="0FDE0E38" w:rsidR="00997169" w:rsidRPr="00D349CB" w:rsidRDefault="00F92966" w:rsidP="00D349CB">
      <w:pPr>
        <w:numPr>
          <w:ilvl w:val="0"/>
          <w:numId w:val="1"/>
        </w:numPr>
        <w:pBdr>
          <w:top w:val="nil"/>
          <w:left w:val="nil"/>
          <w:bottom w:val="nil"/>
          <w:right w:val="nil"/>
          <w:between w:val="nil"/>
        </w:pBdr>
        <w:jc w:val="both"/>
        <w:rPr>
          <w:rFonts w:ascii="Century Gothic" w:hAnsi="Century Gothic"/>
          <w:b/>
        </w:rPr>
      </w:pPr>
      <w:r w:rsidRPr="00D349CB">
        <w:rPr>
          <w:rFonts w:ascii="Century Gothic" w:hAnsi="Century Gothic"/>
          <w:b/>
        </w:rPr>
        <w:t>JUSTIFICACIÓN DEL PROYECTO</w:t>
      </w:r>
    </w:p>
    <w:p w14:paraId="54D43DEE" w14:textId="77777777" w:rsidR="001D45D2" w:rsidRPr="00D349CB" w:rsidRDefault="001D45D2" w:rsidP="00D349CB">
      <w:pPr>
        <w:pBdr>
          <w:top w:val="nil"/>
          <w:left w:val="nil"/>
          <w:bottom w:val="nil"/>
          <w:right w:val="nil"/>
          <w:between w:val="nil"/>
        </w:pBdr>
        <w:ind w:left="1080"/>
        <w:jc w:val="both"/>
        <w:rPr>
          <w:rFonts w:ascii="Century Gothic" w:hAnsi="Century Gothic"/>
          <w:b/>
        </w:rPr>
      </w:pPr>
    </w:p>
    <w:p w14:paraId="70FF3224" w14:textId="045D8A26" w:rsidR="00ED17D7" w:rsidRPr="00ED17D7" w:rsidRDefault="00ED17D7" w:rsidP="00ED17D7">
      <w:pPr>
        <w:pStyle w:val="Sinespaciado"/>
        <w:numPr>
          <w:ilvl w:val="0"/>
          <w:numId w:val="7"/>
        </w:numPr>
        <w:spacing w:line="276" w:lineRule="auto"/>
        <w:jc w:val="both"/>
        <w:rPr>
          <w:rFonts w:ascii="Century Gothic" w:hAnsi="Century Gothic"/>
          <w:b/>
          <w:lang w:val="es-ES"/>
        </w:rPr>
      </w:pPr>
      <w:r w:rsidRPr="00ED17D7">
        <w:rPr>
          <w:rFonts w:ascii="Century Gothic" w:hAnsi="Century Gothic"/>
          <w:b/>
          <w:lang w:val="es-ES"/>
        </w:rPr>
        <w:t xml:space="preserve">ANTECEDENTES. </w:t>
      </w:r>
    </w:p>
    <w:p w14:paraId="1AE828DF" w14:textId="77777777" w:rsidR="00ED17D7" w:rsidRDefault="00ED17D7" w:rsidP="00ED17D7">
      <w:pPr>
        <w:pStyle w:val="Sinespaciado"/>
        <w:spacing w:line="276" w:lineRule="auto"/>
        <w:ind w:left="720"/>
        <w:jc w:val="both"/>
        <w:rPr>
          <w:rFonts w:ascii="Century Gothic" w:hAnsi="Century Gothic"/>
          <w:bCs/>
          <w:lang w:val="es-ES"/>
        </w:rPr>
      </w:pPr>
    </w:p>
    <w:p w14:paraId="3EF0C470" w14:textId="35512AF9" w:rsidR="00ED17D7" w:rsidRDefault="00ED17D7" w:rsidP="00ED17D7">
      <w:pPr>
        <w:pStyle w:val="Sinespaciado"/>
        <w:spacing w:line="276" w:lineRule="auto"/>
        <w:jc w:val="both"/>
        <w:rPr>
          <w:rFonts w:ascii="Century Gothic" w:hAnsi="Century Gothic"/>
          <w:bCs/>
          <w:lang w:val="es-ES"/>
        </w:rPr>
      </w:pPr>
      <w:r>
        <w:rPr>
          <w:rFonts w:ascii="Century Gothic" w:hAnsi="Century Gothic"/>
          <w:bCs/>
          <w:lang w:val="es-ES"/>
        </w:rPr>
        <w:t xml:space="preserve">Se debe precisar que la presente iniciativa legislativa ya había sido radicada en el último periodo de la legislatura pasada y fue archivada por no alcázar a surtir el primer debate en dicha legislatura, razón por la cual se radica nuevamente. </w:t>
      </w:r>
    </w:p>
    <w:p w14:paraId="6A46F34D" w14:textId="77777777" w:rsidR="00ED17D7" w:rsidRDefault="00ED17D7" w:rsidP="00ED17D7">
      <w:pPr>
        <w:pStyle w:val="Prrafodelista"/>
        <w:pBdr>
          <w:top w:val="nil"/>
          <w:left w:val="nil"/>
          <w:bottom w:val="nil"/>
          <w:right w:val="nil"/>
          <w:between w:val="nil"/>
        </w:pBdr>
        <w:jc w:val="both"/>
        <w:rPr>
          <w:rFonts w:ascii="Century Gothic" w:hAnsi="Century Gothic"/>
          <w:b/>
        </w:rPr>
      </w:pPr>
    </w:p>
    <w:p w14:paraId="1CBC85A2" w14:textId="102EB0F2" w:rsidR="00C20D04" w:rsidRPr="00D349CB" w:rsidRDefault="00FE69A9" w:rsidP="00D349CB">
      <w:pPr>
        <w:pStyle w:val="Prrafodelista"/>
        <w:numPr>
          <w:ilvl w:val="0"/>
          <w:numId w:val="7"/>
        </w:numPr>
        <w:pBdr>
          <w:top w:val="nil"/>
          <w:left w:val="nil"/>
          <w:bottom w:val="nil"/>
          <w:right w:val="nil"/>
          <w:between w:val="nil"/>
        </w:pBdr>
        <w:jc w:val="both"/>
        <w:rPr>
          <w:rFonts w:ascii="Century Gothic" w:hAnsi="Century Gothic"/>
          <w:b/>
        </w:rPr>
      </w:pPr>
      <w:r w:rsidRPr="00D349CB">
        <w:rPr>
          <w:rFonts w:ascii="Century Gothic" w:hAnsi="Century Gothic"/>
          <w:b/>
        </w:rPr>
        <w:t xml:space="preserve">NECESIDAD JURÍDICA DE PROMULGAR LA LEY. </w:t>
      </w:r>
    </w:p>
    <w:p w14:paraId="11B4E0A2" w14:textId="77777777" w:rsidR="00657CD6" w:rsidRPr="00D349CB" w:rsidRDefault="00657CD6" w:rsidP="00D349CB">
      <w:pPr>
        <w:pStyle w:val="Prrafodelista"/>
        <w:pBdr>
          <w:top w:val="nil"/>
          <w:left w:val="nil"/>
          <w:bottom w:val="nil"/>
          <w:right w:val="nil"/>
          <w:between w:val="nil"/>
        </w:pBdr>
        <w:jc w:val="both"/>
        <w:rPr>
          <w:rFonts w:ascii="Century Gothic" w:hAnsi="Century Gothic"/>
          <w:b/>
        </w:rPr>
      </w:pPr>
    </w:p>
    <w:p w14:paraId="798D6831" w14:textId="560EE3A1" w:rsidR="005F78D7" w:rsidRPr="00D349CB" w:rsidRDefault="00DA5FC2" w:rsidP="00D349CB">
      <w:pPr>
        <w:pBdr>
          <w:top w:val="nil"/>
          <w:left w:val="nil"/>
          <w:bottom w:val="nil"/>
          <w:right w:val="nil"/>
          <w:between w:val="nil"/>
        </w:pBdr>
        <w:jc w:val="both"/>
        <w:rPr>
          <w:rFonts w:ascii="Century Gothic" w:eastAsia="Times New Roman" w:hAnsi="Century Gothic"/>
          <w:lang w:eastAsia="es-CO"/>
        </w:rPr>
      </w:pPr>
      <w:r w:rsidRPr="00D349CB">
        <w:rPr>
          <w:rFonts w:ascii="Century Gothic" w:hAnsi="Century Gothic"/>
          <w:bCs/>
        </w:rPr>
        <w:lastRenderedPageBreak/>
        <w:t>El presente proyecto tiene como finalidad establecer el Ingreso Base de Cotización de los trabajadores independientes, teniendo en cuenta que p</w:t>
      </w:r>
      <w:r w:rsidR="005F78D7" w:rsidRPr="00D349CB">
        <w:rPr>
          <w:rFonts w:ascii="Century Gothic" w:eastAsia="Times New Roman" w:hAnsi="Century Gothic"/>
          <w:lang w:eastAsia="es-CO"/>
        </w:rPr>
        <w:t xml:space="preserve">or medio de la sentencia C-068 de 2020, la Corte Constitucional declaró la </w:t>
      </w:r>
      <w:proofErr w:type="spellStart"/>
      <w:r w:rsidR="005F78D7" w:rsidRPr="00D349CB">
        <w:rPr>
          <w:rFonts w:ascii="Century Gothic" w:eastAsia="Times New Roman" w:hAnsi="Century Gothic"/>
          <w:lang w:eastAsia="es-CO"/>
        </w:rPr>
        <w:t>inexequibilidad</w:t>
      </w:r>
      <w:proofErr w:type="spellEnd"/>
      <w:r w:rsidR="005F78D7" w:rsidRPr="00D349CB">
        <w:rPr>
          <w:rFonts w:ascii="Century Gothic" w:eastAsia="Times New Roman" w:hAnsi="Century Gothic"/>
          <w:lang w:eastAsia="es-CO"/>
        </w:rPr>
        <w:t xml:space="preserve"> del artículo 244 </w:t>
      </w:r>
      <w:r w:rsidR="00EA2BCF" w:rsidRPr="00D349CB">
        <w:rPr>
          <w:rFonts w:ascii="Century Gothic" w:eastAsia="Times New Roman" w:hAnsi="Century Gothic"/>
          <w:lang w:eastAsia="es-CO"/>
        </w:rPr>
        <w:t xml:space="preserve">de la Ley 1955 de 2019 </w:t>
      </w:r>
      <w:r w:rsidR="005F78D7" w:rsidRPr="00D349CB">
        <w:rPr>
          <w:rFonts w:ascii="Century Gothic" w:eastAsia="Times New Roman" w:hAnsi="Century Gothic"/>
          <w:lang w:eastAsia="es-CO"/>
        </w:rPr>
        <w:t xml:space="preserve">Plan Nacional de Desarrollo 2018 – 2021, referente al ingreso base de cotización de los trabajadores independientes. Esta declaratoria se fundamentó en el desconocimiento del principio de unidad de materia consagrado en el artículo 158 de la Constitución Política, según el cual, </w:t>
      </w:r>
      <w:r w:rsidRPr="00D349CB">
        <w:rPr>
          <w:rFonts w:ascii="Century Gothic" w:eastAsia="Times New Roman" w:hAnsi="Century Gothic"/>
          <w:lang w:eastAsia="es-CO"/>
        </w:rPr>
        <w:t>toda ley debe referirse a una misma materia y serán inadmisibles las disposiciones o modificaciones que no se relacionen con ella</w:t>
      </w:r>
      <w:r w:rsidR="005F78D7" w:rsidRPr="00D349CB">
        <w:rPr>
          <w:rFonts w:ascii="Century Gothic" w:eastAsia="Times New Roman" w:hAnsi="Century Gothic"/>
          <w:lang w:eastAsia="es-CO"/>
        </w:rPr>
        <w:t>.</w:t>
      </w:r>
    </w:p>
    <w:p w14:paraId="40E31776" w14:textId="77777777" w:rsidR="005F78D7" w:rsidRPr="00D349CB" w:rsidRDefault="005F78D7" w:rsidP="00D349CB">
      <w:pPr>
        <w:spacing w:before="120" w:after="225"/>
        <w:jc w:val="both"/>
        <w:rPr>
          <w:rFonts w:ascii="Century Gothic" w:eastAsia="Times New Roman" w:hAnsi="Century Gothic"/>
          <w:lang w:eastAsia="es-CO"/>
        </w:rPr>
      </w:pPr>
      <w:r w:rsidRPr="00D349CB">
        <w:rPr>
          <w:rFonts w:ascii="Century Gothic" w:eastAsia="Times New Roman" w:hAnsi="Century Gothic"/>
          <w:lang w:eastAsia="es-CO"/>
        </w:rPr>
        <w:t>El artículo 244 establece que todo trabajador independiente por cuenta propia o que celebre contratos diferentes al de prestación de servicios, y que perciba ingresos netos iguales o superiores a un salario mínimo, está en la obligación de cotizar, mes vencido, al Sistema de Seguridad Social, sobre una base mínima del 40% de sus ingresos mensuales sin incluir el valor del IVA. Por el contrario, los independientes que celebran contratos de prestación de servicios deben cotizar sobre el 40% del valor mensual del contrato. La norma contempla que, para el primer grupo de trabajadores, la UGPP debe establecer un sistema de presunción de costos, sin que esto limite su posibilidad de soportar un monto superior.</w:t>
      </w:r>
    </w:p>
    <w:p w14:paraId="413022FF" w14:textId="615A1BBA" w:rsidR="005F78D7" w:rsidRPr="00D349CB" w:rsidRDefault="008A612F" w:rsidP="00D349CB">
      <w:pPr>
        <w:spacing w:before="120" w:after="225"/>
        <w:jc w:val="both"/>
        <w:rPr>
          <w:rFonts w:ascii="Century Gothic" w:eastAsia="Times New Roman" w:hAnsi="Century Gothic"/>
          <w:lang w:eastAsia="es-CO"/>
        </w:rPr>
      </w:pPr>
      <w:r w:rsidRPr="00D349CB">
        <w:rPr>
          <w:rFonts w:ascii="Century Gothic" w:eastAsia="Times New Roman" w:hAnsi="Century Gothic"/>
          <w:lang w:eastAsia="es-CO"/>
        </w:rPr>
        <w:t>Es de resaltar</w:t>
      </w:r>
      <w:r w:rsidR="005F78D7" w:rsidRPr="00D349CB">
        <w:rPr>
          <w:rFonts w:ascii="Century Gothic" w:eastAsia="Times New Roman" w:hAnsi="Century Gothic"/>
          <w:lang w:eastAsia="es-CO"/>
        </w:rPr>
        <w:t xml:space="preserve"> que la </w:t>
      </w:r>
      <w:r w:rsidRPr="00D349CB">
        <w:rPr>
          <w:rFonts w:ascii="Century Gothic" w:eastAsia="Times New Roman" w:hAnsi="Century Gothic"/>
          <w:lang w:eastAsia="es-CO"/>
        </w:rPr>
        <w:t xml:space="preserve">Honorable </w:t>
      </w:r>
      <w:r w:rsidR="005F78D7" w:rsidRPr="00D349CB">
        <w:rPr>
          <w:rFonts w:ascii="Century Gothic" w:eastAsia="Times New Roman" w:hAnsi="Century Gothic"/>
          <w:lang w:eastAsia="es-CO"/>
        </w:rPr>
        <w:t>Corte</w:t>
      </w:r>
      <w:r w:rsidRPr="00D349CB">
        <w:rPr>
          <w:rFonts w:ascii="Century Gothic" w:eastAsia="Times New Roman" w:hAnsi="Century Gothic"/>
          <w:lang w:eastAsia="es-CO"/>
        </w:rPr>
        <w:t xml:space="preserve"> Constitucional </w:t>
      </w:r>
      <w:r w:rsidR="005F78D7" w:rsidRPr="00D349CB">
        <w:rPr>
          <w:rFonts w:ascii="Century Gothic" w:eastAsia="Times New Roman" w:hAnsi="Century Gothic"/>
          <w:lang w:eastAsia="es-CO"/>
        </w:rPr>
        <w:t xml:space="preserve">ya se había pronunciado frente a una demanda similar, </w:t>
      </w:r>
      <w:r w:rsidRPr="00D349CB">
        <w:rPr>
          <w:rFonts w:ascii="Century Gothic" w:eastAsia="Times New Roman" w:hAnsi="Century Gothic"/>
          <w:lang w:eastAsia="es-CO"/>
        </w:rPr>
        <w:t>en la Sentencia C-219 de 2019 declaró</w:t>
      </w:r>
      <w:r w:rsidR="005F78D7" w:rsidRPr="00D349CB">
        <w:rPr>
          <w:rFonts w:ascii="Century Gothic" w:eastAsia="Times New Roman" w:hAnsi="Century Gothic"/>
          <w:lang w:eastAsia="es-CO"/>
        </w:rPr>
        <w:t xml:space="preserve"> la </w:t>
      </w:r>
      <w:proofErr w:type="spellStart"/>
      <w:r w:rsidR="005F78D7" w:rsidRPr="00D349CB">
        <w:rPr>
          <w:rFonts w:ascii="Century Gothic" w:eastAsia="Times New Roman" w:hAnsi="Century Gothic"/>
          <w:lang w:eastAsia="es-CO"/>
        </w:rPr>
        <w:t>inexequibilidad</w:t>
      </w:r>
      <w:proofErr w:type="spellEnd"/>
      <w:r w:rsidR="005F78D7" w:rsidRPr="00D349CB">
        <w:rPr>
          <w:rFonts w:ascii="Century Gothic" w:eastAsia="Times New Roman" w:hAnsi="Century Gothic"/>
          <w:lang w:eastAsia="es-CO"/>
        </w:rPr>
        <w:t xml:space="preserve"> diferida del artículo 135 de la Ley 1753 de 2015 (Plan Nacional de Desarrollo 2014-2017) el cual hacía referencia al IBC de los trabajadores independientes, pues también consideró que hubo desconocimiento del principio de unidad de materia. En este caso se reiteró la línea jurisprudencial sobre el tema y se mencionó que la verificación de la unidad de materia al interior de las leyes, “no se trata de un vicio puramente formal puesto que tiene que ver con el contenido material de la norma acusada”.</w:t>
      </w:r>
    </w:p>
    <w:p w14:paraId="6EBB5664" w14:textId="113FD8F3" w:rsidR="005F78D7" w:rsidRPr="00D349CB" w:rsidRDefault="005F78D7" w:rsidP="00D349CB">
      <w:pPr>
        <w:spacing w:before="120" w:after="225"/>
        <w:jc w:val="both"/>
        <w:rPr>
          <w:rFonts w:ascii="Century Gothic" w:eastAsia="Times New Roman" w:hAnsi="Century Gothic"/>
          <w:lang w:eastAsia="es-CO"/>
        </w:rPr>
      </w:pPr>
      <w:r w:rsidRPr="00D349CB">
        <w:rPr>
          <w:rFonts w:ascii="Century Gothic" w:eastAsia="Times New Roman" w:hAnsi="Century Gothic"/>
          <w:lang w:eastAsia="es-CO"/>
        </w:rPr>
        <w:t xml:space="preserve">En la sentencia </w:t>
      </w:r>
      <w:r w:rsidR="0026187D" w:rsidRPr="00D349CB">
        <w:rPr>
          <w:rFonts w:ascii="Century Gothic" w:eastAsia="Times New Roman" w:hAnsi="Century Gothic"/>
          <w:lang w:eastAsia="es-CO"/>
        </w:rPr>
        <w:t>C-068 de 2020</w:t>
      </w:r>
      <w:r w:rsidRPr="00D349CB">
        <w:rPr>
          <w:rFonts w:ascii="Century Gothic" w:eastAsia="Times New Roman" w:hAnsi="Century Gothic"/>
          <w:lang w:eastAsia="es-CO"/>
        </w:rPr>
        <w:t>, para justificar el desconocimiento del principio de unidad de materia, la Corte señaló que no existe una relación directa e inmediata entre el artículo 244 y los objetivos y metas planteadas en el PND, pues la regulación del IBC de los trabajadores independientes no se vincula con las políticas públicas contenidas en tal instrumento. Este argumento lo desarrolló la Corte en cuatro puntos.</w:t>
      </w:r>
      <w:r w:rsidR="0026187D" w:rsidRPr="00D349CB">
        <w:rPr>
          <w:rFonts w:ascii="Century Gothic" w:eastAsia="Times New Roman" w:hAnsi="Century Gothic"/>
          <w:lang w:eastAsia="es-CO"/>
        </w:rPr>
        <w:t xml:space="preserve">     </w:t>
      </w:r>
    </w:p>
    <w:p w14:paraId="23EE3EA7" w14:textId="69E890FD" w:rsidR="005F78D7" w:rsidRPr="00D349CB" w:rsidRDefault="005F78D7" w:rsidP="00D349CB">
      <w:pPr>
        <w:numPr>
          <w:ilvl w:val="0"/>
          <w:numId w:val="4"/>
        </w:numPr>
        <w:spacing w:before="100" w:beforeAutospacing="1" w:after="100" w:afterAutospacing="1"/>
        <w:ind w:left="0"/>
        <w:contextualSpacing/>
        <w:jc w:val="both"/>
        <w:rPr>
          <w:rFonts w:ascii="Century Gothic" w:eastAsia="Times New Roman" w:hAnsi="Century Gothic"/>
          <w:lang w:eastAsia="es-CO"/>
        </w:rPr>
      </w:pPr>
      <w:r w:rsidRPr="00D349CB">
        <w:rPr>
          <w:rFonts w:ascii="Century Gothic" w:eastAsia="Times New Roman" w:hAnsi="Century Gothic"/>
          <w:lang w:eastAsia="es-CO"/>
        </w:rPr>
        <w:t>La ubicación de la disposición dentro del instrumento legal no tiene por objeto la regulación del IBC de los trabajadores independientes que celebran contratos diferentes al de prestación de servicios.</w:t>
      </w:r>
    </w:p>
    <w:p w14:paraId="2A54238D" w14:textId="77777777" w:rsidR="0026187D" w:rsidRPr="00D349CB" w:rsidRDefault="0026187D" w:rsidP="00D349CB">
      <w:pPr>
        <w:spacing w:before="100" w:beforeAutospacing="1" w:after="100" w:afterAutospacing="1"/>
        <w:contextualSpacing/>
        <w:jc w:val="both"/>
        <w:rPr>
          <w:rFonts w:ascii="Century Gothic" w:eastAsia="Times New Roman" w:hAnsi="Century Gothic"/>
          <w:lang w:eastAsia="es-CO"/>
        </w:rPr>
      </w:pPr>
    </w:p>
    <w:p w14:paraId="05E65E1E" w14:textId="506413B0" w:rsidR="005F78D7" w:rsidRPr="00D349CB" w:rsidRDefault="005F78D7" w:rsidP="00D349CB">
      <w:pPr>
        <w:numPr>
          <w:ilvl w:val="0"/>
          <w:numId w:val="4"/>
        </w:numPr>
        <w:spacing w:before="100" w:beforeAutospacing="1" w:after="100" w:afterAutospacing="1"/>
        <w:ind w:left="0"/>
        <w:contextualSpacing/>
        <w:jc w:val="both"/>
        <w:rPr>
          <w:rFonts w:ascii="Century Gothic" w:eastAsia="Times New Roman" w:hAnsi="Century Gothic"/>
          <w:lang w:eastAsia="es-CO"/>
        </w:rPr>
      </w:pPr>
      <w:r w:rsidRPr="00D349CB">
        <w:rPr>
          <w:rFonts w:ascii="Century Gothic" w:eastAsia="Times New Roman" w:hAnsi="Century Gothic"/>
          <w:lang w:eastAsia="es-CO"/>
        </w:rPr>
        <w:t>La temática consagrada en el artículo 244 no refleja ninguna de las metas o propósitos del acuerdo concebido como un pacto por la equidad y el emprendimiento.</w:t>
      </w:r>
    </w:p>
    <w:p w14:paraId="75BB8212" w14:textId="77777777" w:rsidR="0026187D" w:rsidRPr="00D349CB" w:rsidRDefault="0026187D" w:rsidP="00D349CB">
      <w:pPr>
        <w:spacing w:before="100" w:beforeAutospacing="1" w:after="100" w:afterAutospacing="1"/>
        <w:contextualSpacing/>
        <w:jc w:val="both"/>
        <w:rPr>
          <w:rFonts w:ascii="Century Gothic" w:eastAsia="Times New Roman" w:hAnsi="Century Gothic"/>
          <w:lang w:eastAsia="es-CO"/>
        </w:rPr>
      </w:pPr>
    </w:p>
    <w:p w14:paraId="71B56961" w14:textId="78E49F2D" w:rsidR="005F78D7" w:rsidRPr="00D349CB" w:rsidRDefault="005F78D7" w:rsidP="00D349CB">
      <w:pPr>
        <w:numPr>
          <w:ilvl w:val="0"/>
          <w:numId w:val="4"/>
        </w:numPr>
        <w:spacing w:before="100" w:beforeAutospacing="1" w:after="100" w:afterAutospacing="1"/>
        <w:ind w:left="0"/>
        <w:contextualSpacing/>
        <w:jc w:val="both"/>
        <w:rPr>
          <w:rFonts w:ascii="Century Gothic" w:eastAsia="Times New Roman" w:hAnsi="Century Gothic"/>
          <w:lang w:eastAsia="es-CO"/>
        </w:rPr>
      </w:pPr>
      <w:r w:rsidRPr="00D349CB">
        <w:rPr>
          <w:rFonts w:ascii="Century Gothic" w:eastAsia="Times New Roman" w:hAnsi="Century Gothic"/>
          <w:lang w:eastAsia="es-CO"/>
        </w:rPr>
        <w:t>No existe un vínculo entre el artículo 244 y las estrategias asignadas a los ministerios.</w:t>
      </w:r>
    </w:p>
    <w:p w14:paraId="21D802A2" w14:textId="77777777" w:rsidR="0026187D" w:rsidRPr="00D349CB" w:rsidRDefault="0026187D" w:rsidP="00D349CB">
      <w:pPr>
        <w:spacing w:before="100" w:beforeAutospacing="1" w:after="100" w:afterAutospacing="1"/>
        <w:contextualSpacing/>
        <w:jc w:val="both"/>
        <w:rPr>
          <w:rFonts w:ascii="Century Gothic" w:eastAsia="Times New Roman" w:hAnsi="Century Gothic"/>
          <w:lang w:eastAsia="es-CO"/>
        </w:rPr>
      </w:pPr>
    </w:p>
    <w:p w14:paraId="1785B582" w14:textId="06B5D741" w:rsidR="005F78D7" w:rsidRPr="00D349CB" w:rsidRDefault="005F78D7" w:rsidP="00D349CB">
      <w:pPr>
        <w:numPr>
          <w:ilvl w:val="0"/>
          <w:numId w:val="4"/>
        </w:numPr>
        <w:spacing w:before="100" w:beforeAutospacing="1" w:after="100" w:afterAutospacing="1"/>
        <w:ind w:left="0"/>
        <w:contextualSpacing/>
        <w:jc w:val="both"/>
        <w:rPr>
          <w:rFonts w:ascii="Century Gothic" w:eastAsia="Times New Roman" w:hAnsi="Century Gothic"/>
          <w:lang w:eastAsia="es-CO"/>
        </w:rPr>
      </w:pPr>
      <w:r w:rsidRPr="00D349CB">
        <w:rPr>
          <w:rFonts w:ascii="Century Gothic" w:eastAsia="Times New Roman" w:hAnsi="Century Gothic"/>
          <w:lang w:eastAsia="es-CO"/>
        </w:rPr>
        <w:t>El verdadero fin del artículo 244 es suplir la falta de r</w:t>
      </w:r>
      <w:r w:rsidR="003338D4" w:rsidRPr="00D349CB">
        <w:rPr>
          <w:rFonts w:ascii="Century Gothic" w:eastAsia="Times New Roman" w:hAnsi="Century Gothic"/>
          <w:lang w:eastAsia="es-CO"/>
        </w:rPr>
        <w:t>egulación de la Ley 122 de 2007</w:t>
      </w:r>
      <w:r w:rsidR="003338D4" w:rsidRPr="00D349CB">
        <w:rPr>
          <w:rStyle w:val="Refdenotaalpie"/>
          <w:rFonts w:ascii="Century Gothic" w:eastAsia="Times New Roman" w:hAnsi="Century Gothic"/>
          <w:lang w:eastAsia="es-CO"/>
        </w:rPr>
        <w:footnoteReference w:id="2"/>
      </w:r>
      <w:r w:rsidRPr="00D349CB">
        <w:rPr>
          <w:rFonts w:ascii="Century Gothic" w:eastAsia="Times New Roman" w:hAnsi="Century Gothic"/>
          <w:lang w:eastAsia="es-CO"/>
        </w:rPr>
        <w:t>.</w:t>
      </w:r>
    </w:p>
    <w:p w14:paraId="090F85CC" w14:textId="77777777" w:rsidR="00E027B4" w:rsidRPr="00D349CB" w:rsidRDefault="00E027B4" w:rsidP="00D349CB">
      <w:pPr>
        <w:spacing w:before="100" w:beforeAutospacing="1" w:after="100" w:afterAutospacing="1"/>
        <w:contextualSpacing/>
        <w:jc w:val="both"/>
        <w:rPr>
          <w:rFonts w:ascii="Century Gothic" w:eastAsia="Times New Roman" w:hAnsi="Century Gothic"/>
          <w:lang w:eastAsia="es-CO"/>
        </w:rPr>
      </w:pPr>
    </w:p>
    <w:p w14:paraId="7F90F35F" w14:textId="0441FBD3" w:rsidR="005F78D7" w:rsidRPr="00D349CB" w:rsidRDefault="003338D4" w:rsidP="00D349CB">
      <w:pPr>
        <w:spacing w:before="120" w:after="225"/>
        <w:jc w:val="both"/>
        <w:rPr>
          <w:rFonts w:ascii="Century Gothic" w:eastAsia="Times New Roman" w:hAnsi="Century Gothic"/>
          <w:lang w:eastAsia="es-CO"/>
        </w:rPr>
      </w:pPr>
      <w:r w:rsidRPr="00D349CB">
        <w:rPr>
          <w:rFonts w:ascii="Century Gothic" w:eastAsia="Times New Roman" w:hAnsi="Century Gothic"/>
          <w:lang w:eastAsia="es-CO"/>
        </w:rPr>
        <w:t>La</w:t>
      </w:r>
      <w:r w:rsidR="005F78D7" w:rsidRPr="00D349CB">
        <w:rPr>
          <w:rFonts w:ascii="Century Gothic" w:eastAsia="Times New Roman" w:hAnsi="Century Gothic"/>
          <w:lang w:eastAsia="es-CO"/>
        </w:rPr>
        <w:t xml:space="preserve"> declaratoria de </w:t>
      </w:r>
      <w:proofErr w:type="spellStart"/>
      <w:r w:rsidR="005F78D7" w:rsidRPr="00D349CB">
        <w:rPr>
          <w:rFonts w:ascii="Century Gothic" w:eastAsia="Times New Roman" w:hAnsi="Century Gothic"/>
          <w:lang w:eastAsia="es-CO"/>
        </w:rPr>
        <w:t>inexequibilidad</w:t>
      </w:r>
      <w:proofErr w:type="spellEnd"/>
      <w:r w:rsidR="005F78D7" w:rsidRPr="00D349CB">
        <w:rPr>
          <w:rFonts w:ascii="Century Gothic" w:eastAsia="Times New Roman" w:hAnsi="Century Gothic"/>
          <w:lang w:eastAsia="es-CO"/>
        </w:rPr>
        <w:t xml:space="preserve"> tendrá efecto diferido, por lo que la norma permanecerá vigente durante las dos legislaturas ordinarias siguientes, periodo en el cual el Congreso </w:t>
      </w:r>
      <w:r w:rsidR="00BD6D90" w:rsidRPr="00D349CB">
        <w:rPr>
          <w:rFonts w:ascii="Century Gothic" w:eastAsia="Times New Roman" w:hAnsi="Century Gothic"/>
          <w:lang w:eastAsia="es-CO"/>
        </w:rPr>
        <w:t xml:space="preserve">de la Republica </w:t>
      </w:r>
      <w:r w:rsidR="005F78D7" w:rsidRPr="00D349CB">
        <w:rPr>
          <w:rFonts w:ascii="Century Gothic" w:eastAsia="Times New Roman" w:hAnsi="Century Gothic"/>
          <w:lang w:eastAsia="es-CO"/>
        </w:rPr>
        <w:t>debe expedir y aprobar una ley ordinaria que regule el IBC de los trabajadores independientes.</w:t>
      </w:r>
    </w:p>
    <w:p w14:paraId="2F768800" w14:textId="5E382DB3" w:rsidR="00CE2F34" w:rsidRPr="00D349CB" w:rsidRDefault="00720E06" w:rsidP="00D349CB">
      <w:pPr>
        <w:pBdr>
          <w:top w:val="nil"/>
          <w:left w:val="nil"/>
          <w:bottom w:val="nil"/>
          <w:right w:val="nil"/>
          <w:between w:val="nil"/>
        </w:pBdr>
        <w:jc w:val="both"/>
        <w:rPr>
          <w:rFonts w:ascii="Century Gothic" w:hAnsi="Century Gothic"/>
          <w:bCs/>
        </w:rPr>
      </w:pPr>
      <w:r w:rsidRPr="00D349CB">
        <w:rPr>
          <w:rFonts w:ascii="Century Gothic" w:hAnsi="Century Gothic"/>
          <w:bCs/>
        </w:rPr>
        <w:t xml:space="preserve">De esta manera, se </w:t>
      </w:r>
      <w:r w:rsidR="00BD6D90" w:rsidRPr="00D349CB">
        <w:rPr>
          <w:rFonts w:ascii="Century Gothic" w:hAnsi="Century Gothic"/>
          <w:bCs/>
        </w:rPr>
        <w:t>sustenta la necesidad de promulgar una ley ordinaria que establezca el Ingreso</w:t>
      </w:r>
      <w:r w:rsidR="00952F11" w:rsidRPr="00D349CB">
        <w:rPr>
          <w:rFonts w:ascii="Century Gothic" w:hAnsi="Century Gothic"/>
          <w:bCs/>
        </w:rPr>
        <w:t xml:space="preserve"> Base de </w:t>
      </w:r>
      <w:r w:rsidR="00CB257C" w:rsidRPr="00D349CB">
        <w:rPr>
          <w:rFonts w:ascii="Century Gothic" w:hAnsi="Century Gothic"/>
          <w:bCs/>
        </w:rPr>
        <w:t>Cotización</w:t>
      </w:r>
      <w:r w:rsidR="00952F11" w:rsidRPr="00D349CB">
        <w:rPr>
          <w:rFonts w:ascii="Century Gothic" w:hAnsi="Century Gothic"/>
          <w:bCs/>
        </w:rPr>
        <w:t xml:space="preserve"> </w:t>
      </w:r>
      <w:r w:rsidR="00BD6D90" w:rsidRPr="00D349CB">
        <w:rPr>
          <w:rFonts w:ascii="Century Gothic" w:hAnsi="Century Gothic"/>
          <w:bCs/>
        </w:rPr>
        <w:t>de los independientes</w:t>
      </w:r>
      <w:r w:rsidR="00CB257C" w:rsidRPr="00D349CB">
        <w:rPr>
          <w:rFonts w:ascii="Century Gothic" w:hAnsi="Century Gothic"/>
          <w:bCs/>
        </w:rPr>
        <w:t xml:space="preserve">, </w:t>
      </w:r>
      <w:r w:rsidR="00BD6D90" w:rsidRPr="00D349CB">
        <w:rPr>
          <w:rFonts w:ascii="Century Gothic" w:hAnsi="Century Gothic"/>
          <w:bCs/>
        </w:rPr>
        <w:t xml:space="preserve">siendo la oportunidad de fijar reglas </w:t>
      </w:r>
      <w:r w:rsidR="00CE2F34" w:rsidRPr="00D349CB">
        <w:rPr>
          <w:rFonts w:ascii="Century Gothic" w:hAnsi="Century Gothic"/>
          <w:bCs/>
        </w:rPr>
        <w:t>más</w:t>
      </w:r>
      <w:r w:rsidR="00BD6D90" w:rsidRPr="00D349CB">
        <w:rPr>
          <w:rFonts w:ascii="Century Gothic" w:hAnsi="Century Gothic"/>
          <w:bCs/>
        </w:rPr>
        <w:t xml:space="preserve"> equita</w:t>
      </w:r>
      <w:r w:rsidR="00CE2F34" w:rsidRPr="00D349CB">
        <w:rPr>
          <w:rFonts w:ascii="Century Gothic" w:hAnsi="Century Gothic"/>
          <w:bCs/>
        </w:rPr>
        <w:t xml:space="preserve">tivas y acordes a la </w:t>
      </w:r>
      <w:r w:rsidR="005447B7" w:rsidRPr="00D349CB">
        <w:rPr>
          <w:rFonts w:ascii="Century Gothic" w:hAnsi="Century Gothic"/>
          <w:bCs/>
        </w:rPr>
        <w:t>capacidad económica de los cotizantes</w:t>
      </w:r>
      <w:r w:rsidR="00CE2F34" w:rsidRPr="00D349CB">
        <w:rPr>
          <w:rFonts w:ascii="Century Gothic" w:hAnsi="Century Gothic"/>
          <w:bCs/>
        </w:rPr>
        <w:t xml:space="preserve">, pues la Honorable Corte Constitucional en Sentencia </w:t>
      </w:r>
      <w:r w:rsidR="005447B7" w:rsidRPr="00D349CB">
        <w:rPr>
          <w:rFonts w:ascii="Century Gothic" w:hAnsi="Century Gothic"/>
          <w:bCs/>
        </w:rPr>
        <w:t>C – 266 de 2019,</w:t>
      </w:r>
      <w:r w:rsidR="00CE2F34" w:rsidRPr="00D349CB">
        <w:rPr>
          <w:rFonts w:ascii="Century Gothic" w:hAnsi="Century Gothic"/>
          <w:bCs/>
        </w:rPr>
        <w:t xml:space="preserve"> ha argumentado que: </w:t>
      </w:r>
    </w:p>
    <w:p w14:paraId="1167B63E" w14:textId="77777777" w:rsidR="00CE2F34" w:rsidRPr="00D349CB" w:rsidRDefault="00CE2F34" w:rsidP="00D349CB">
      <w:pPr>
        <w:pBdr>
          <w:top w:val="nil"/>
          <w:left w:val="nil"/>
          <w:bottom w:val="nil"/>
          <w:right w:val="nil"/>
          <w:between w:val="nil"/>
        </w:pBdr>
        <w:jc w:val="both"/>
        <w:rPr>
          <w:rFonts w:ascii="Century Gothic" w:hAnsi="Century Gothic"/>
          <w:bCs/>
        </w:rPr>
      </w:pPr>
    </w:p>
    <w:p w14:paraId="375B08BE" w14:textId="3B26CC15" w:rsidR="00BD6D90" w:rsidRPr="00D349CB" w:rsidRDefault="00CE2F34" w:rsidP="00D349CB">
      <w:pPr>
        <w:pBdr>
          <w:top w:val="nil"/>
          <w:left w:val="nil"/>
          <w:bottom w:val="nil"/>
          <w:right w:val="nil"/>
          <w:between w:val="nil"/>
        </w:pBdr>
        <w:ind w:left="426" w:right="474"/>
        <w:jc w:val="both"/>
        <w:rPr>
          <w:rFonts w:ascii="Century Gothic" w:hAnsi="Century Gothic"/>
          <w:bCs/>
          <w:i/>
        </w:rPr>
      </w:pPr>
      <w:r w:rsidRPr="00D349CB">
        <w:rPr>
          <w:rFonts w:ascii="Century Gothic" w:hAnsi="Century Gothic"/>
          <w:bCs/>
          <w:i/>
        </w:rPr>
        <w:t xml:space="preserve">“el contenido </w:t>
      </w:r>
      <w:r w:rsidR="006E4BE5" w:rsidRPr="00D349CB">
        <w:rPr>
          <w:rFonts w:ascii="Century Gothic" w:hAnsi="Century Gothic"/>
          <w:bCs/>
          <w:i/>
        </w:rPr>
        <w:t>del principio de equidad</w:t>
      </w:r>
      <w:r w:rsidR="005447B7" w:rsidRPr="00D349CB">
        <w:rPr>
          <w:rFonts w:ascii="Century Gothic" w:hAnsi="Century Gothic"/>
          <w:bCs/>
          <w:i/>
        </w:rPr>
        <w:t xml:space="preserve"> tributaria</w:t>
      </w:r>
      <w:r w:rsidR="006E4BE5" w:rsidRPr="00D349CB">
        <w:rPr>
          <w:rFonts w:ascii="Century Gothic" w:hAnsi="Century Gothic"/>
          <w:bCs/>
          <w:i/>
        </w:rPr>
        <w:t xml:space="preserve"> se</w:t>
      </w:r>
      <w:r w:rsidRPr="00D349CB">
        <w:rPr>
          <w:rFonts w:ascii="Century Gothic" w:hAnsi="Century Gothic"/>
          <w:bCs/>
          <w:i/>
        </w:rPr>
        <w:t xml:space="preserve"> refiere a la prohibición que el orden jurídico imponga obligaciones excesivas o beneficios desbordados al contribuyente. En términos de la jurisprudencia, la equidad tributaria consiste en un “un criterio con base en el cual se pondera la distribución de las cargas y de los beneficios o la imposición de </w:t>
      </w:r>
      <w:proofErr w:type="spellStart"/>
      <w:r w:rsidRPr="00D349CB">
        <w:rPr>
          <w:rFonts w:ascii="Century Gothic" w:hAnsi="Century Gothic"/>
          <w:bCs/>
          <w:i/>
        </w:rPr>
        <w:t>gravámen</w:t>
      </w:r>
      <w:proofErr w:type="spellEnd"/>
      <w:r w:rsidR="006E4BE5" w:rsidRPr="00D349CB">
        <w:rPr>
          <w:rFonts w:ascii="Century Gothic" w:hAnsi="Century Gothic"/>
          <w:bCs/>
          <w:i/>
        </w:rPr>
        <w:t xml:space="preserve"> </w:t>
      </w:r>
      <w:r w:rsidRPr="00D349CB">
        <w:rPr>
          <w:rFonts w:ascii="Century Gothic" w:hAnsi="Century Gothic"/>
          <w:bCs/>
          <w:i/>
        </w:rPr>
        <w:t>es entre los contribuyentes para evitar que haya cargas excesivas o beneficios exagerados. Una carga es excesiva o un beneficio es exagerado cuando no consulta la capacidad económica de los sujetos pasivos en razón a la naturaleza y fines del impuesto en cuestión”.</w:t>
      </w:r>
      <w:r w:rsidR="00BD6D90" w:rsidRPr="00D349CB">
        <w:rPr>
          <w:rFonts w:ascii="Century Gothic" w:hAnsi="Century Gothic"/>
          <w:bCs/>
          <w:i/>
        </w:rPr>
        <w:t xml:space="preserve"> </w:t>
      </w:r>
    </w:p>
    <w:p w14:paraId="402B1188" w14:textId="77777777" w:rsidR="00BD6D90" w:rsidRPr="00D349CB" w:rsidRDefault="00BD6D90" w:rsidP="00D349CB">
      <w:pPr>
        <w:pBdr>
          <w:top w:val="nil"/>
          <w:left w:val="nil"/>
          <w:bottom w:val="nil"/>
          <w:right w:val="nil"/>
          <w:between w:val="nil"/>
        </w:pBdr>
        <w:jc w:val="both"/>
        <w:rPr>
          <w:rFonts w:ascii="Century Gothic" w:hAnsi="Century Gothic"/>
          <w:bCs/>
        </w:rPr>
      </w:pPr>
    </w:p>
    <w:p w14:paraId="67C7558F" w14:textId="61667BF6" w:rsidR="006C6CCE" w:rsidRPr="00D349CB" w:rsidRDefault="005447B7" w:rsidP="00D349CB">
      <w:pPr>
        <w:pBdr>
          <w:top w:val="nil"/>
          <w:left w:val="nil"/>
          <w:bottom w:val="nil"/>
          <w:right w:val="nil"/>
          <w:between w:val="nil"/>
        </w:pBdr>
        <w:jc w:val="both"/>
        <w:rPr>
          <w:rFonts w:ascii="Century Gothic" w:hAnsi="Century Gothic"/>
          <w:bCs/>
        </w:rPr>
      </w:pPr>
      <w:r w:rsidRPr="00D349CB">
        <w:rPr>
          <w:rFonts w:ascii="Century Gothic" w:hAnsi="Century Gothic"/>
          <w:bCs/>
        </w:rPr>
        <w:t xml:space="preserve">Así las cosas, </w:t>
      </w:r>
      <w:r w:rsidR="0058051A" w:rsidRPr="00D349CB">
        <w:rPr>
          <w:rFonts w:ascii="Century Gothic" w:hAnsi="Century Gothic"/>
          <w:bCs/>
        </w:rPr>
        <w:t xml:space="preserve">el proyecto </w:t>
      </w:r>
      <w:r w:rsidR="00F2302E" w:rsidRPr="00D349CB">
        <w:rPr>
          <w:rFonts w:ascii="Century Gothic" w:hAnsi="Century Gothic"/>
          <w:bCs/>
        </w:rPr>
        <w:t>propone</w:t>
      </w:r>
      <w:r w:rsidR="0058051A" w:rsidRPr="00D349CB">
        <w:rPr>
          <w:rFonts w:ascii="Century Gothic" w:hAnsi="Century Gothic"/>
          <w:bCs/>
        </w:rPr>
        <w:t xml:space="preserve"> </w:t>
      </w:r>
      <w:r w:rsidR="009A0F32" w:rsidRPr="00D349CB">
        <w:rPr>
          <w:rFonts w:ascii="Century Gothic" w:hAnsi="Century Gothic"/>
          <w:bCs/>
        </w:rPr>
        <w:t>un ingreso base de cotización e</w:t>
      </w:r>
      <w:r w:rsidR="0058051A" w:rsidRPr="00D349CB">
        <w:rPr>
          <w:rFonts w:ascii="Century Gothic" w:hAnsi="Century Gothic"/>
          <w:bCs/>
        </w:rPr>
        <w:t>quitativ</w:t>
      </w:r>
      <w:r w:rsidR="009A0F32" w:rsidRPr="00D349CB">
        <w:rPr>
          <w:rFonts w:ascii="Century Gothic" w:hAnsi="Century Gothic"/>
          <w:bCs/>
        </w:rPr>
        <w:t>o</w:t>
      </w:r>
      <w:r w:rsidR="007E38D6" w:rsidRPr="00D349CB">
        <w:rPr>
          <w:rFonts w:ascii="Century Gothic" w:hAnsi="Century Gothic"/>
          <w:bCs/>
        </w:rPr>
        <w:t>,</w:t>
      </w:r>
      <w:r w:rsidR="009A0F32" w:rsidRPr="00D349CB">
        <w:rPr>
          <w:rFonts w:ascii="Century Gothic" w:hAnsi="Century Gothic"/>
          <w:bCs/>
        </w:rPr>
        <w:t xml:space="preserve"> que responda a los ingresos de cada trabajador independiente, pues el porcentaje para calcular el monto base sobre el que se debe pagar la seguridad social, dependerá en principio del valor de los honorarios </w:t>
      </w:r>
      <w:r w:rsidR="00F2302E" w:rsidRPr="00D349CB">
        <w:rPr>
          <w:rFonts w:ascii="Century Gothic" w:hAnsi="Century Gothic"/>
          <w:bCs/>
        </w:rPr>
        <w:t xml:space="preserve">del contrato o de la actividad que desarrolle el independiente. </w:t>
      </w:r>
    </w:p>
    <w:p w14:paraId="2014E068" w14:textId="77777777" w:rsidR="006C6CCE" w:rsidRPr="00D349CB" w:rsidRDefault="006C6CCE" w:rsidP="00D349CB">
      <w:pPr>
        <w:pBdr>
          <w:top w:val="nil"/>
          <w:left w:val="nil"/>
          <w:bottom w:val="nil"/>
          <w:right w:val="nil"/>
          <w:between w:val="nil"/>
        </w:pBdr>
        <w:jc w:val="both"/>
        <w:rPr>
          <w:rFonts w:ascii="Century Gothic" w:hAnsi="Century Gothic"/>
          <w:bCs/>
        </w:rPr>
      </w:pPr>
    </w:p>
    <w:p w14:paraId="1C1CD5A9" w14:textId="0D6212C0" w:rsidR="00B20B8C" w:rsidRPr="00D349CB" w:rsidRDefault="005E49F8" w:rsidP="00D349CB">
      <w:pPr>
        <w:pBdr>
          <w:top w:val="nil"/>
          <w:left w:val="nil"/>
          <w:bottom w:val="nil"/>
          <w:right w:val="nil"/>
          <w:between w:val="nil"/>
        </w:pBdr>
        <w:jc w:val="both"/>
        <w:rPr>
          <w:rFonts w:ascii="Century Gothic" w:hAnsi="Century Gothic"/>
          <w:bCs/>
          <w:i/>
          <w:iCs/>
        </w:rPr>
      </w:pPr>
      <w:r w:rsidRPr="00D349CB">
        <w:rPr>
          <w:rFonts w:ascii="Century Gothic" w:hAnsi="Century Gothic"/>
          <w:bCs/>
        </w:rPr>
        <w:t>Así mismo, se establece</w:t>
      </w:r>
      <w:r w:rsidR="00F42DCE" w:rsidRPr="00D349CB">
        <w:rPr>
          <w:rFonts w:ascii="Century Gothic" w:hAnsi="Century Gothic"/>
          <w:bCs/>
        </w:rPr>
        <w:t xml:space="preserve"> el Ingreso Base de Cotización </w:t>
      </w:r>
      <w:r w:rsidR="00F55611" w:rsidRPr="00D349CB">
        <w:rPr>
          <w:rFonts w:ascii="Century Gothic" w:hAnsi="Century Gothic"/>
          <w:bCs/>
        </w:rPr>
        <w:t>para aquellos independientes que cuenta</w:t>
      </w:r>
      <w:r w:rsidR="00F2302E" w:rsidRPr="00D349CB">
        <w:rPr>
          <w:rFonts w:ascii="Century Gothic" w:hAnsi="Century Gothic"/>
          <w:bCs/>
        </w:rPr>
        <w:t>n</w:t>
      </w:r>
      <w:r w:rsidR="00F55611" w:rsidRPr="00D349CB">
        <w:rPr>
          <w:rFonts w:ascii="Century Gothic" w:hAnsi="Century Gothic"/>
          <w:bCs/>
        </w:rPr>
        <w:t xml:space="preserve"> con dos o </w:t>
      </w:r>
      <w:r w:rsidR="001F33F8" w:rsidRPr="00D349CB">
        <w:rPr>
          <w:rFonts w:ascii="Century Gothic" w:hAnsi="Century Gothic"/>
          <w:bCs/>
        </w:rPr>
        <w:t>más</w:t>
      </w:r>
      <w:r w:rsidR="00F2302E" w:rsidRPr="00D349CB">
        <w:rPr>
          <w:rFonts w:ascii="Century Gothic" w:hAnsi="Century Gothic"/>
          <w:bCs/>
        </w:rPr>
        <w:t xml:space="preserve"> contratos de</w:t>
      </w:r>
      <w:r w:rsidR="00F55611" w:rsidRPr="00D349CB">
        <w:rPr>
          <w:rFonts w:ascii="Century Gothic" w:hAnsi="Century Gothic"/>
          <w:bCs/>
        </w:rPr>
        <w:t xml:space="preserve"> prestación de servicios</w:t>
      </w:r>
      <w:r w:rsidR="001F33F8" w:rsidRPr="00D349CB">
        <w:rPr>
          <w:rFonts w:ascii="Century Gothic" w:hAnsi="Century Gothic"/>
          <w:bCs/>
        </w:rPr>
        <w:t xml:space="preserve">, </w:t>
      </w:r>
      <w:r w:rsidR="001339F3" w:rsidRPr="00D349CB">
        <w:rPr>
          <w:rFonts w:ascii="Century Gothic" w:hAnsi="Century Gothic"/>
          <w:bCs/>
        </w:rPr>
        <w:t>procurando una equidad</w:t>
      </w:r>
      <w:r w:rsidR="0028350F" w:rsidRPr="00D349CB">
        <w:rPr>
          <w:rFonts w:ascii="Century Gothic" w:hAnsi="Century Gothic"/>
          <w:bCs/>
        </w:rPr>
        <w:t xml:space="preserve"> y </w:t>
      </w:r>
      <w:r w:rsidR="007345DF" w:rsidRPr="00D349CB">
        <w:rPr>
          <w:rFonts w:ascii="Century Gothic" w:hAnsi="Century Gothic"/>
          <w:bCs/>
        </w:rPr>
        <w:t>velando por el principio de solidaridad</w:t>
      </w:r>
      <w:r w:rsidR="001339F3" w:rsidRPr="00D349CB">
        <w:rPr>
          <w:rFonts w:ascii="Century Gothic" w:hAnsi="Century Gothic"/>
          <w:bCs/>
        </w:rPr>
        <w:t xml:space="preserve"> </w:t>
      </w:r>
      <w:r w:rsidR="00F2302E" w:rsidRPr="00D349CB">
        <w:rPr>
          <w:rFonts w:ascii="Century Gothic" w:hAnsi="Century Gothic"/>
          <w:bCs/>
        </w:rPr>
        <w:t>en el que se fundamenta la seguridad social</w:t>
      </w:r>
      <w:r w:rsidR="001339F3" w:rsidRPr="00D349CB">
        <w:rPr>
          <w:rFonts w:ascii="Century Gothic" w:hAnsi="Century Gothic"/>
          <w:bCs/>
        </w:rPr>
        <w:t xml:space="preserve">. </w:t>
      </w:r>
    </w:p>
    <w:p w14:paraId="337DB6FC" w14:textId="2A7E913B" w:rsidR="009A1D4A" w:rsidRPr="00D349CB" w:rsidRDefault="009A1D4A" w:rsidP="00D349CB">
      <w:pPr>
        <w:pBdr>
          <w:top w:val="nil"/>
          <w:left w:val="nil"/>
          <w:bottom w:val="nil"/>
          <w:right w:val="nil"/>
          <w:between w:val="nil"/>
        </w:pBdr>
        <w:jc w:val="both"/>
        <w:rPr>
          <w:rFonts w:ascii="Century Gothic" w:hAnsi="Century Gothic"/>
          <w:b/>
        </w:rPr>
      </w:pPr>
    </w:p>
    <w:p w14:paraId="32306760" w14:textId="1140E266" w:rsidR="005D2932" w:rsidRPr="00D349CB" w:rsidRDefault="00FE69A9" w:rsidP="00D349CB">
      <w:pPr>
        <w:pStyle w:val="Prrafodelista"/>
        <w:numPr>
          <w:ilvl w:val="0"/>
          <w:numId w:val="6"/>
        </w:numPr>
        <w:pBdr>
          <w:top w:val="nil"/>
          <w:left w:val="nil"/>
          <w:bottom w:val="nil"/>
          <w:right w:val="nil"/>
          <w:between w:val="nil"/>
        </w:pBdr>
        <w:jc w:val="both"/>
        <w:rPr>
          <w:rFonts w:ascii="Century Gothic" w:hAnsi="Century Gothic"/>
          <w:b/>
        </w:rPr>
      </w:pPr>
      <w:r w:rsidRPr="00D349CB">
        <w:rPr>
          <w:rFonts w:ascii="Century Gothic" w:hAnsi="Century Gothic"/>
          <w:b/>
        </w:rPr>
        <w:t xml:space="preserve">MARCO LEGAL. </w:t>
      </w:r>
    </w:p>
    <w:p w14:paraId="05FA92D0" w14:textId="77777777" w:rsidR="005D2932" w:rsidRPr="00D349CB" w:rsidRDefault="005D2932" w:rsidP="00D349CB">
      <w:pPr>
        <w:pStyle w:val="NormalWeb"/>
        <w:numPr>
          <w:ilvl w:val="0"/>
          <w:numId w:val="3"/>
        </w:numPr>
        <w:spacing w:line="276" w:lineRule="auto"/>
        <w:ind w:left="357"/>
        <w:contextualSpacing/>
        <w:jc w:val="both"/>
        <w:rPr>
          <w:rFonts w:ascii="Century Gothic" w:eastAsia="Arial" w:hAnsi="Century Gothic" w:cs="Arial"/>
          <w:bCs/>
          <w:sz w:val="22"/>
          <w:szCs w:val="22"/>
          <w:lang w:eastAsia="es-ES_tradnl"/>
        </w:rPr>
      </w:pPr>
      <w:r w:rsidRPr="00D349CB">
        <w:rPr>
          <w:rFonts w:ascii="Century Gothic" w:eastAsia="Arial" w:hAnsi="Century Gothic" w:cs="Arial"/>
          <w:bCs/>
          <w:sz w:val="22"/>
          <w:szCs w:val="22"/>
          <w:lang w:eastAsia="es-ES_tradnl"/>
        </w:rPr>
        <w:t>El artículo 13 de la Constitución, dispone que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78DEED3B" w14:textId="77777777" w:rsidR="005D2932" w:rsidRPr="00D349CB" w:rsidRDefault="005D2932" w:rsidP="00D349CB">
      <w:pPr>
        <w:pStyle w:val="NormalWeb"/>
        <w:spacing w:line="276" w:lineRule="auto"/>
        <w:ind w:left="357"/>
        <w:contextualSpacing/>
        <w:jc w:val="both"/>
        <w:rPr>
          <w:rFonts w:ascii="Century Gothic" w:hAnsi="Century Gothic"/>
          <w:sz w:val="22"/>
          <w:szCs w:val="22"/>
        </w:rPr>
      </w:pPr>
    </w:p>
    <w:p w14:paraId="1B3FEF11" w14:textId="77777777" w:rsidR="005D2932" w:rsidRPr="00D349CB" w:rsidRDefault="005D2932" w:rsidP="00D349CB">
      <w:pPr>
        <w:pStyle w:val="NormalWeb"/>
        <w:numPr>
          <w:ilvl w:val="0"/>
          <w:numId w:val="3"/>
        </w:numPr>
        <w:spacing w:line="276" w:lineRule="auto"/>
        <w:ind w:left="357"/>
        <w:contextualSpacing/>
        <w:jc w:val="both"/>
        <w:rPr>
          <w:rFonts w:ascii="Century Gothic" w:eastAsia="Arial" w:hAnsi="Century Gothic" w:cs="Arial"/>
          <w:bCs/>
          <w:sz w:val="22"/>
          <w:szCs w:val="22"/>
          <w:lang w:eastAsia="es-ES_tradnl"/>
        </w:rPr>
      </w:pPr>
      <w:r w:rsidRPr="00D349CB">
        <w:rPr>
          <w:rFonts w:ascii="Century Gothic" w:eastAsia="Arial" w:hAnsi="Century Gothic" w:cs="Arial"/>
          <w:bCs/>
          <w:sz w:val="22"/>
          <w:szCs w:val="22"/>
          <w:lang w:eastAsia="es-ES_tradnl"/>
        </w:rPr>
        <w:t xml:space="preserve">El artículo 53 de la Constitución que consagra la primacía de la realidad sobre formalidades establecidas por los sujetos de las relaciones laborales. </w:t>
      </w:r>
    </w:p>
    <w:p w14:paraId="7EC311C0" w14:textId="77777777" w:rsidR="005D2932" w:rsidRPr="00D349CB" w:rsidRDefault="005D2932" w:rsidP="00D349CB">
      <w:pPr>
        <w:pStyle w:val="NormalWeb"/>
        <w:spacing w:line="276" w:lineRule="auto"/>
        <w:ind w:left="360"/>
        <w:contextualSpacing/>
        <w:jc w:val="both"/>
        <w:rPr>
          <w:rFonts w:ascii="Century Gothic" w:hAnsi="Century Gothic" w:cs="Arial"/>
          <w:sz w:val="22"/>
          <w:szCs w:val="22"/>
        </w:rPr>
      </w:pPr>
    </w:p>
    <w:p w14:paraId="1C8CE3E5" w14:textId="77777777" w:rsidR="005D2932" w:rsidRPr="00D349CB" w:rsidRDefault="005D2932" w:rsidP="00D349CB">
      <w:pPr>
        <w:pStyle w:val="NormalWeb"/>
        <w:numPr>
          <w:ilvl w:val="0"/>
          <w:numId w:val="3"/>
        </w:numPr>
        <w:spacing w:line="276" w:lineRule="auto"/>
        <w:contextualSpacing/>
        <w:jc w:val="both"/>
        <w:rPr>
          <w:rFonts w:ascii="Century Gothic" w:hAnsi="Century Gothic" w:cs="Arial"/>
          <w:sz w:val="22"/>
          <w:szCs w:val="22"/>
        </w:rPr>
      </w:pPr>
      <w:r w:rsidRPr="00D349CB">
        <w:rPr>
          <w:rFonts w:ascii="Century Gothic" w:hAnsi="Century Gothic"/>
          <w:sz w:val="22"/>
          <w:szCs w:val="22"/>
        </w:rPr>
        <w:t>El artículo 1 de la Ley 100 de 1993, precisa que el objeto de la seguridad social es</w:t>
      </w:r>
      <w:r w:rsidRPr="00D349CB">
        <w:rPr>
          <w:rFonts w:ascii="Century Gothic" w:hAnsi="Century Gothic" w:cs="Arial"/>
          <w:sz w:val="22"/>
          <w:szCs w:val="22"/>
        </w:rPr>
        <w:t xml:space="preserve"> garantizar los derechos irrenunciables de la persona y la comunidad para obtener la calidad de vida acorde con la dignidad humana, mediante la protección de las contingencias que la afecten.</w:t>
      </w:r>
    </w:p>
    <w:p w14:paraId="640F8674" w14:textId="77777777" w:rsidR="005D2932" w:rsidRPr="00D349CB" w:rsidRDefault="005D2932" w:rsidP="00D349CB">
      <w:pPr>
        <w:pStyle w:val="NormalWeb"/>
        <w:spacing w:line="276" w:lineRule="auto"/>
        <w:ind w:left="360"/>
        <w:contextualSpacing/>
        <w:jc w:val="both"/>
        <w:rPr>
          <w:rFonts w:ascii="Century Gothic" w:hAnsi="Century Gothic" w:cs="Arial"/>
          <w:sz w:val="22"/>
          <w:szCs w:val="22"/>
        </w:rPr>
      </w:pPr>
    </w:p>
    <w:p w14:paraId="42A60E2C" w14:textId="77777777" w:rsidR="005D2932" w:rsidRPr="00D349CB" w:rsidRDefault="005D2932" w:rsidP="00D349CB">
      <w:pPr>
        <w:pStyle w:val="NormalWeb"/>
        <w:spacing w:line="276" w:lineRule="auto"/>
        <w:ind w:left="360"/>
        <w:contextualSpacing/>
        <w:jc w:val="both"/>
        <w:rPr>
          <w:rFonts w:ascii="Century Gothic" w:hAnsi="Century Gothic" w:cs="Arial"/>
          <w:sz w:val="22"/>
          <w:szCs w:val="22"/>
        </w:rPr>
      </w:pPr>
      <w:r w:rsidRPr="00D349CB">
        <w:rPr>
          <w:rFonts w:ascii="Century Gothic" w:hAnsi="Century Gothic" w:cs="Arial"/>
          <w:sz w:val="22"/>
          <w:szCs w:val="22"/>
        </w:rPr>
        <w:t>El sistema comprende las obligaciones del Estado y la sociedad, las instituciones y los recursos destinados a garantizar la cobertura de las prestaciones de carácter económico, de salud y servicios complementarios, materia de esta Ley, u otras que se incorporen normativamente en el futuro.</w:t>
      </w:r>
    </w:p>
    <w:p w14:paraId="777A7563" w14:textId="77777777" w:rsidR="005D2932" w:rsidRPr="00D349CB" w:rsidRDefault="005D2932" w:rsidP="00D349CB">
      <w:pPr>
        <w:pStyle w:val="NormalWeb"/>
        <w:spacing w:line="276" w:lineRule="auto"/>
        <w:ind w:left="360"/>
        <w:contextualSpacing/>
        <w:jc w:val="both"/>
        <w:rPr>
          <w:rFonts w:ascii="Century Gothic" w:hAnsi="Century Gothic" w:cs="Arial"/>
          <w:sz w:val="22"/>
          <w:szCs w:val="22"/>
        </w:rPr>
      </w:pPr>
    </w:p>
    <w:p w14:paraId="2FF65B24" w14:textId="77777777" w:rsidR="005D2932" w:rsidRPr="00D349CB" w:rsidRDefault="005D2932" w:rsidP="00D349CB">
      <w:pPr>
        <w:pStyle w:val="NormalWeb"/>
        <w:numPr>
          <w:ilvl w:val="0"/>
          <w:numId w:val="3"/>
        </w:numPr>
        <w:spacing w:line="276" w:lineRule="auto"/>
        <w:ind w:left="357"/>
        <w:contextualSpacing/>
        <w:jc w:val="both"/>
        <w:rPr>
          <w:rFonts w:ascii="Century Gothic" w:hAnsi="Century Gothic"/>
          <w:sz w:val="22"/>
          <w:szCs w:val="22"/>
        </w:rPr>
      </w:pPr>
      <w:r w:rsidRPr="00D349CB">
        <w:rPr>
          <w:rFonts w:ascii="Century Gothic" w:hAnsi="Century Gothic"/>
          <w:sz w:val="22"/>
          <w:szCs w:val="22"/>
        </w:rPr>
        <w:t xml:space="preserve">Artículo 19 de la Ley 789 de 2002, regula la afiliación voluntaria a las cajas de compensación familiar. </w:t>
      </w:r>
    </w:p>
    <w:p w14:paraId="19133771" w14:textId="77777777" w:rsidR="005D2932" w:rsidRPr="00D349CB" w:rsidRDefault="005D2932" w:rsidP="00D349CB">
      <w:pPr>
        <w:pStyle w:val="NormalWeb"/>
        <w:spacing w:line="276" w:lineRule="auto"/>
        <w:ind w:left="357"/>
        <w:contextualSpacing/>
        <w:jc w:val="both"/>
        <w:rPr>
          <w:rFonts w:ascii="Century Gothic" w:hAnsi="Century Gothic"/>
          <w:sz w:val="22"/>
          <w:szCs w:val="22"/>
        </w:rPr>
      </w:pPr>
    </w:p>
    <w:p w14:paraId="1142A8D8" w14:textId="77777777" w:rsidR="005D2932" w:rsidRPr="00D349CB" w:rsidRDefault="005D2932" w:rsidP="00D349CB">
      <w:pPr>
        <w:pStyle w:val="NormalWeb"/>
        <w:numPr>
          <w:ilvl w:val="0"/>
          <w:numId w:val="3"/>
        </w:numPr>
        <w:spacing w:line="276" w:lineRule="auto"/>
        <w:ind w:left="357"/>
        <w:contextualSpacing/>
        <w:jc w:val="both"/>
        <w:rPr>
          <w:rFonts w:ascii="Century Gothic" w:hAnsi="Century Gothic"/>
          <w:sz w:val="22"/>
          <w:szCs w:val="22"/>
        </w:rPr>
      </w:pPr>
      <w:r w:rsidRPr="00D349CB">
        <w:rPr>
          <w:rFonts w:ascii="Century Gothic" w:eastAsia="Arial" w:hAnsi="Century Gothic" w:cs="Arial"/>
          <w:bCs/>
          <w:sz w:val="22"/>
          <w:szCs w:val="22"/>
          <w:lang w:eastAsia="es-ES_tradnl"/>
        </w:rPr>
        <w:t xml:space="preserve">El parágrafo 1° del artículo 5 de la Ley 797 de 2003, establece que </w:t>
      </w:r>
      <w:r w:rsidRPr="00D349CB">
        <w:rPr>
          <w:rFonts w:ascii="Century Gothic" w:hAnsi="Century Gothic" w:cs="Arial"/>
          <w:sz w:val="22"/>
          <w:szCs w:val="22"/>
        </w:rPr>
        <w:t>En aquellos casos en los cuales el afiliado perciba salario de dos o más empleadores, o ingresos como trabajador independiente </w:t>
      </w:r>
      <w:r w:rsidRPr="00D349CB">
        <w:rPr>
          <w:rFonts w:ascii="Century Gothic" w:hAnsi="Century Gothic" w:cs="Arial"/>
          <w:b/>
          <w:sz w:val="22"/>
          <w:szCs w:val="22"/>
          <w:u w:val="single"/>
        </w:rPr>
        <w:t>o por prestación de servicios como contratista</w:t>
      </w:r>
      <w:r w:rsidRPr="00D349CB">
        <w:rPr>
          <w:rFonts w:ascii="Century Gothic" w:hAnsi="Century Gothic" w:cs="Arial"/>
          <w:sz w:val="22"/>
          <w:szCs w:val="22"/>
        </w:rPr>
        <w:t>, en un mismo período de tiempo, las cotizaciones correspondientes serán efectuadas en forma proporcional al salario, </w:t>
      </w:r>
      <w:r w:rsidRPr="00D349CB">
        <w:rPr>
          <w:rFonts w:ascii="Century Gothic" w:hAnsi="Century Gothic" w:cs="Arial"/>
          <w:b/>
          <w:sz w:val="22"/>
          <w:szCs w:val="22"/>
          <w:u w:val="single"/>
        </w:rPr>
        <w:t>o ingreso devengado de cada uno de ellos</w:t>
      </w:r>
      <w:r w:rsidRPr="00D349CB">
        <w:rPr>
          <w:rFonts w:ascii="Century Gothic" w:hAnsi="Century Gothic" w:cs="Arial"/>
          <w:sz w:val="22"/>
          <w:szCs w:val="22"/>
        </w:rPr>
        <w:t>, y estas se acumularán para todos los efectos de esta ley sin exceder el tope legal. </w:t>
      </w:r>
      <w:r w:rsidRPr="00D349CB">
        <w:rPr>
          <w:rStyle w:val="iaj"/>
          <w:rFonts w:ascii="Century Gothic" w:hAnsi="Century Gothic" w:cs="Arial"/>
          <w:iCs/>
          <w:sz w:val="22"/>
          <w:szCs w:val="22"/>
        </w:rPr>
        <w:t>Para estos efectos, será necesario que las cotizaciones al sistema de salud se hagan sobre la misma base</w:t>
      </w:r>
      <w:r w:rsidRPr="00D349CB">
        <w:rPr>
          <w:rFonts w:ascii="Century Gothic" w:hAnsi="Century Gothic" w:cs="Arial"/>
          <w:sz w:val="22"/>
          <w:szCs w:val="22"/>
        </w:rPr>
        <w:t>.</w:t>
      </w:r>
    </w:p>
    <w:p w14:paraId="45542230" w14:textId="77777777" w:rsidR="005D2932" w:rsidRPr="00D349CB" w:rsidRDefault="005D2932" w:rsidP="00D349CB">
      <w:pPr>
        <w:pStyle w:val="NormalWeb"/>
        <w:spacing w:line="276" w:lineRule="auto"/>
        <w:ind w:left="357"/>
        <w:contextualSpacing/>
        <w:jc w:val="both"/>
        <w:rPr>
          <w:rFonts w:ascii="Century Gothic" w:hAnsi="Century Gothic" w:cs="Arial"/>
          <w:sz w:val="22"/>
          <w:szCs w:val="22"/>
        </w:rPr>
      </w:pPr>
    </w:p>
    <w:p w14:paraId="47B05C5C" w14:textId="77777777" w:rsidR="005D2932" w:rsidRPr="00D349CB" w:rsidRDefault="005D2932" w:rsidP="00D349CB">
      <w:pPr>
        <w:pStyle w:val="NormalWeb"/>
        <w:numPr>
          <w:ilvl w:val="0"/>
          <w:numId w:val="3"/>
        </w:numPr>
        <w:spacing w:line="276" w:lineRule="auto"/>
        <w:ind w:left="357"/>
        <w:contextualSpacing/>
        <w:jc w:val="both"/>
        <w:rPr>
          <w:rFonts w:ascii="Century Gothic" w:hAnsi="Century Gothic"/>
          <w:sz w:val="22"/>
          <w:szCs w:val="22"/>
        </w:rPr>
      </w:pPr>
      <w:r w:rsidRPr="00D349CB">
        <w:rPr>
          <w:rStyle w:val="iaj"/>
          <w:rFonts w:ascii="Century Gothic" w:hAnsi="Century Gothic"/>
          <w:iCs/>
          <w:sz w:val="22"/>
          <w:szCs w:val="22"/>
        </w:rPr>
        <w:lastRenderedPageBreak/>
        <w:t xml:space="preserve">El Decreto 723 del 15 de abril de 2015, </w:t>
      </w:r>
      <w:r w:rsidRPr="00D349CB">
        <w:rPr>
          <w:rFonts w:ascii="Century Gothic" w:hAnsi="Century Gothic"/>
          <w:sz w:val="22"/>
          <w:szCs w:val="22"/>
        </w:rPr>
        <w:t>reglamenta la afiliación al Sistema General de Riesgos Laborales de las personas vinculadas a través de un contrato formal de prestación de servicios con entidades o instituciones públicas o privadas y de los trabajadores independientes que laboren en actividades de alto riesgo y se dictan otras disposiciones.</w:t>
      </w:r>
    </w:p>
    <w:p w14:paraId="53D415DB" w14:textId="77777777" w:rsidR="005D2932" w:rsidRPr="00D349CB" w:rsidRDefault="005D2932" w:rsidP="00D349CB">
      <w:pPr>
        <w:pStyle w:val="NormalWeb"/>
        <w:spacing w:line="276" w:lineRule="auto"/>
        <w:ind w:left="360"/>
        <w:contextualSpacing/>
        <w:jc w:val="both"/>
        <w:rPr>
          <w:rFonts w:ascii="Century Gothic" w:hAnsi="Century Gothic" w:cs="Arial"/>
          <w:sz w:val="22"/>
          <w:szCs w:val="22"/>
        </w:rPr>
      </w:pPr>
    </w:p>
    <w:p w14:paraId="0A5743A2" w14:textId="77777777" w:rsidR="005D2932" w:rsidRPr="00D349CB" w:rsidRDefault="005D2932" w:rsidP="00D349CB">
      <w:pPr>
        <w:pStyle w:val="NormalWeb"/>
        <w:numPr>
          <w:ilvl w:val="0"/>
          <w:numId w:val="3"/>
        </w:numPr>
        <w:spacing w:line="276" w:lineRule="auto"/>
        <w:contextualSpacing/>
        <w:jc w:val="both"/>
        <w:rPr>
          <w:rFonts w:ascii="Century Gothic" w:hAnsi="Century Gothic" w:cs="Arial"/>
          <w:sz w:val="22"/>
          <w:szCs w:val="22"/>
        </w:rPr>
      </w:pPr>
      <w:r w:rsidRPr="00D349CB">
        <w:rPr>
          <w:rFonts w:ascii="Century Gothic" w:hAnsi="Century Gothic"/>
          <w:sz w:val="22"/>
          <w:szCs w:val="22"/>
        </w:rPr>
        <w:t>Decreto 1563 de 2016, mediante el cual se reglamenta la Afiliación voluntaria al Sistema General de Riesgos Laborales a los trabajadores independientes clasificados en la escala del riesgo I, II, III.</w:t>
      </w:r>
    </w:p>
    <w:p w14:paraId="50CA65DB" w14:textId="77777777" w:rsidR="005D2932" w:rsidRPr="00D349CB" w:rsidRDefault="005D2932" w:rsidP="00D349CB">
      <w:pPr>
        <w:pBdr>
          <w:top w:val="nil"/>
          <w:left w:val="nil"/>
          <w:bottom w:val="nil"/>
          <w:right w:val="nil"/>
          <w:between w:val="nil"/>
        </w:pBdr>
        <w:jc w:val="both"/>
        <w:rPr>
          <w:rFonts w:ascii="Century Gothic" w:hAnsi="Century Gothic"/>
          <w:bCs/>
        </w:rPr>
      </w:pPr>
      <w:r w:rsidRPr="00D349CB">
        <w:rPr>
          <w:rFonts w:ascii="Century Gothic" w:hAnsi="Century Gothic"/>
          <w:bCs/>
        </w:rPr>
        <w:t xml:space="preserve">En virtud del análisis de las disposiciones normativas que anteceden, se argumenta que el trabajador independiente tiene pocos beneficios prestacionales, de acceso a seguridad social y subsidios, pero por el contrario si se le atribuyen cargas u obligaciones para poder cumplir con la actividad que desarrolla o el objeto contractual. </w:t>
      </w:r>
    </w:p>
    <w:p w14:paraId="5B9D2270" w14:textId="77777777" w:rsidR="005D2932" w:rsidRPr="00D349CB" w:rsidRDefault="005D2932" w:rsidP="00D349CB">
      <w:pPr>
        <w:pStyle w:val="Prrafodelista"/>
        <w:pBdr>
          <w:top w:val="nil"/>
          <w:left w:val="nil"/>
          <w:bottom w:val="nil"/>
          <w:right w:val="nil"/>
          <w:between w:val="nil"/>
        </w:pBdr>
        <w:jc w:val="both"/>
        <w:rPr>
          <w:rFonts w:ascii="Century Gothic" w:hAnsi="Century Gothic"/>
          <w:b/>
          <w:bCs/>
        </w:rPr>
      </w:pPr>
    </w:p>
    <w:p w14:paraId="696EACC9" w14:textId="10DF250D" w:rsidR="000346CE" w:rsidRPr="00D349CB" w:rsidRDefault="00EB12C5" w:rsidP="00D349CB">
      <w:pPr>
        <w:pStyle w:val="Prrafodelista"/>
        <w:numPr>
          <w:ilvl w:val="0"/>
          <w:numId w:val="6"/>
        </w:numPr>
        <w:pBdr>
          <w:top w:val="nil"/>
          <w:left w:val="nil"/>
          <w:bottom w:val="nil"/>
          <w:right w:val="nil"/>
          <w:between w:val="nil"/>
        </w:pBdr>
        <w:jc w:val="both"/>
        <w:rPr>
          <w:rFonts w:ascii="Century Gothic" w:hAnsi="Century Gothic"/>
          <w:b/>
          <w:bCs/>
        </w:rPr>
      </w:pPr>
      <w:r w:rsidRPr="00D349CB">
        <w:rPr>
          <w:rFonts w:ascii="Century Gothic" w:hAnsi="Century Gothic"/>
          <w:b/>
          <w:bCs/>
        </w:rPr>
        <w:t xml:space="preserve">PROBLEMA JURÍDICO. </w:t>
      </w:r>
    </w:p>
    <w:p w14:paraId="0541979B" w14:textId="77777777" w:rsidR="00657CD6" w:rsidRPr="00D349CB" w:rsidRDefault="00657CD6" w:rsidP="00D349CB">
      <w:pPr>
        <w:pStyle w:val="Prrafodelista"/>
        <w:pBdr>
          <w:top w:val="nil"/>
          <w:left w:val="nil"/>
          <w:bottom w:val="nil"/>
          <w:right w:val="nil"/>
          <w:between w:val="nil"/>
        </w:pBdr>
        <w:jc w:val="both"/>
        <w:rPr>
          <w:rFonts w:ascii="Century Gothic" w:hAnsi="Century Gothic"/>
          <w:bCs/>
        </w:rPr>
      </w:pPr>
    </w:p>
    <w:p w14:paraId="0F1CC5A3" w14:textId="01E598CB" w:rsidR="00C252C1" w:rsidRPr="00D349CB" w:rsidRDefault="00657CD6" w:rsidP="00D349CB">
      <w:pPr>
        <w:pBdr>
          <w:top w:val="nil"/>
          <w:left w:val="nil"/>
          <w:bottom w:val="nil"/>
          <w:right w:val="nil"/>
          <w:between w:val="nil"/>
        </w:pBdr>
        <w:jc w:val="both"/>
        <w:rPr>
          <w:rFonts w:ascii="Century Gothic" w:hAnsi="Century Gothic"/>
          <w:bCs/>
        </w:rPr>
      </w:pPr>
      <w:r w:rsidRPr="00D349CB">
        <w:rPr>
          <w:rFonts w:ascii="Century Gothic" w:hAnsi="Century Gothic"/>
          <w:bCs/>
        </w:rPr>
        <w:t>En Colombia la población de los trabajadores independientes no disminuye de manera significativa, ya que ha venido fluctuando entre un 51.7% en el primer trimestre del 2012 a un 48.4% en el primer trimestre de 2018, un porcentaje considerable de trabajadores que se encuentran en una situación desfavorable, debido a la inestabilidad que genera la responsabilidad de devengar más dinero que un empleado para obtener las mismas condiciones laborales.</w:t>
      </w:r>
    </w:p>
    <w:p w14:paraId="1E9E1F1D" w14:textId="331C56CE" w:rsidR="00657CD6" w:rsidRPr="00D349CB" w:rsidRDefault="00657CD6" w:rsidP="00D349CB">
      <w:pPr>
        <w:pBdr>
          <w:top w:val="nil"/>
          <w:left w:val="nil"/>
          <w:bottom w:val="nil"/>
          <w:right w:val="nil"/>
          <w:between w:val="nil"/>
        </w:pBdr>
        <w:jc w:val="both"/>
        <w:rPr>
          <w:rFonts w:ascii="Century Gothic" w:hAnsi="Century Gothic"/>
          <w:bCs/>
        </w:rPr>
      </w:pPr>
    </w:p>
    <w:p w14:paraId="613AEA4F" w14:textId="349DF86F" w:rsidR="00657CD6" w:rsidRPr="00D349CB" w:rsidRDefault="00657CD6" w:rsidP="00D349CB">
      <w:pPr>
        <w:pBdr>
          <w:top w:val="nil"/>
          <w:left w:val="nil"/>
          <w:bottom w:val="nil"/>
          <w:right w:val="nil"/>
          <w:between w:val="nil"/>
        </w:pBdr>
        <w:jc w:val="both"/>
        <w:rPr>
          <w:rFonts w:ascii="Century Gothic" w:hAnsi="Century Gothic"/>
          <w:bCs/>
        </w:rPr>
      </w:pPr>
      <w:r w:rsidRPr="00D349CB">
        <w:rPr>
          <w:rFonts w:ascii="Century Gothic" w:hAnsi="Century Gothic"/>
          <w:bCs/>
        </w:rPr>
        <w:t>Esto, atendiendo a la falta de oportunidades laborales en las que puedan ser vinculadas por contrato de trabajo, situación que resulta más beneficiosa para el trabajador pues las carga</w:t>
      </w:r>
      <w:r w:rsidR="00A474AA" w:rsidRPr="00D349CB">
        <w:rPr>
          <w:rFonts w:ascii="Century Gothic" w:hAnsi="Century Gothic"/>
          <w:bCs/>
        </w:rPr>
        <w:t>s están en cabeza del empleador. Razón por la cual los trabajadores independientes</w:t>
      </w:r>
      <w:r w:rsidRPr="00D349CB">
        <w:rPr>
          <w:rFonts w:ascii="Century Gothic" w:hAnsi="Century Gothic"/>
          <w:bCs/>
        </w:rPr>
        <w:t xml:space="preserve"> argumenta</w:t>
      </w:r>
      <w:r w:rsidR="00A474AA" w:rsidRPr="00D349CB">
        <w:rPr>
          <w:rFonts w:ascii="Century Gothic" w:hAnsi="Century Gothic"/>
          <w:bCs/>
        </w:rPr>
        <w:t>n</w:t>
      </w:r>
      <w:r w:rsidRPr="00D349CB">
        <w:rPr>
          <w:rFonts w:ascii="Century Gothic" w:hAnsi="Century Gothic"/>
          <w:bCs/>
        </w:rPr>
        <w:t xml:space="preserve"> la imposibilidad de cumplir con todas las responsabilidades que un contrato de prestac</w:t>
      </w:r>
      <w:r w:rsidR="00B3219E" w:rsidRPr="00D349CB">
        <w:rPr>
          <w:rFonts w:ascii="Century Gothic" w:hAnsi="Century Gothic"/>
          <w:bCs/>
        </w:rPr>
        <w:t>ión de servicios trae consignada</w:t>
      </w:r>
      <w:r w:rsidRPr="00D349CB">
        <w:rPr>
          <w:rFonts w:ascii="Century Gothic" w:hAnsi="Century Gothic"/>
          <w:bCs/>
        </w:rPr>
        <w:t>s, tales como salud, pensión</w:t>
      </w:r>
      <w:r w:rsidR="00B3219E" w:rsidRPr="00D349CB">
        <w:rPr>
          <w:rFonts w:ascii="Century Gothic" w:hAnsi="Century Gothic"/>
          <w:bCs/>
        </w:rPr>
        <w:t xml:space="preserve"> y</w:t>
      </w:r>
      <w:r w:rsidRPr="00D349CB">
        <w:rPr>
          <w:rFonts w:ascii="Century Gothic" w:hAnsi="Century Gothic"/>
          <w:bCs/>
        </w:rPr>
        <w:t xml:space="preserve"> administradoras de riesgos laborales, además de ser objeto de la retención en la fuente por honorarios o servicios.</w:t>
      </w:r>
    </w:p>
    <w:p w14:paraId="2B509A16" w14:textId="4E33F6B6" w:rsidR="00B3219E" w:rsidRPr="00D349CB" w:rsidRDefault="00B3219E" w:rsidP="00D349CB">
      <w:pPr>
        <w:pBdr>
          <w:top w:val="nil"/>
          <w:left w:val="nil"/>
          <w:bottom w:val="nil"/>
          <w:right w:val="nil"/>
          <w:between w:val="nil"/>
        </w:pBdr>
        <w:jc w:val="both"/>
        <w:rPr>
          <w:rFonts w:ascii="Century Gothic" w:hAnsi="Century Gothic"/>
          <w:bCs/>
        </w:rPr>
      </w:pPr>
    </w:p>
    <w:p w14:paraId="3A8C9137" w14:textId="56B2CC2C" w:rsidR="00B3219E" w:rsidRDefault="00B3219E" w:rsidP="00D349CB">
      <w:pPr>
        <w:pBdr>
          <w:top w:val="nil"/>
          <w:left w:val="nil"/>
          <w:bottom w:val="nil"/>
          <w:right w:val="nil"/>
          <w:between w:val="nil"/>
        </w:pBdr>
        <w:jc w:val="both"/>
        <w:rPr>
          <w:rFonts w:ascii="Century Gothic" w:hAnsi="Century Gothic"/>
          <w:bCs/>
        </w:rPr>
      </w:pPr>
      <w:r w:rsidRPr="00D349CB">
        <w:rPr>
          <w:rFonts w:ascii="Century Gothic" w:hAnsi="Century Gothic"/>
          <w:bCs/>
        </w:rPr>
        <w:t xml:space="preserve">Una persona vinculada mediante contrato </w:t>
      </w:r>
      <w:r w:rsidR="00EA531A" w:rsidRPr="00D349CB">
        <w:rPr>
          <w:rFonts w:ascii="Century Gothic" w:hAnsi="Century Gothic"/>
          <w:bCs/>
        </w:rPr>
        <w:t>de trabajo</w:t>
      </w:r>
      <w:r w:rsidRPr="00D349CB">
        <w:rPr>
          <w:rFonts w:ascii="Century Gothic" w:hAnsi="Century Gothic"/>
          <w:bCs/>
        </w:rPr>
        <w:t xml:space="preserve"> además del s</w:t>
      </w:r>
      <w:r w:rsidR="00EA531A" w:rsidRPr="00D349CB">
        <w:rPr>
          <w:rFonts w:ascii="Century Gothic" w:hAnsi="Century Gothic"/>
          <w:bCs/>
        </w:rPr>
        <w:t>alario</w:t>
      </w:r>
      <w:r w:rsidRPr="00D349CB">
        <w:rPr>
          <w:rFonts w:ascii="Century Gothic" w:hAnsi="Century Gothic"/>
          <w:bCs/>
        </w:rPr>
        <w:t xml:space="preserve"> mensual,</w:t>
      </w:r>
      <w:r w:rsidR="00EA531A" w:rsidRPr="00D349CB">
        <w:rPr>
          <w:rFonts w:ascii="Century Gothic" w:hAnsi="Century Gothic"/>
          <w:bCs/>
        </w:rPr>
        <w:t xml:space="preserve"> tiene derecho al pago de sus prestaciones sociales; </w:t>
      </w:r>
      <w:r w:rsidRPr="00D349CB">
        <w:rPr>
          <w:rFonts w:ascii="Century Gothic" w:hAnsi="Century Gothic"/>
          <w:bCs/>
        </w:rPr>
        <w:t>prima, cesantías, un</w:t>
      </w:r>
      <w:r w:rsidR="00EA531A" w:rsidRPr="00D349CB">
        <w:rPr>
          <w:rFonts w:ascii="Century Gothic" w:hAnsi="Century Gothic"/>
          <w:bCs/>
        </w:rPr>
        <w:t xml:space="preserve"> 12% de intereses por cesantías y </w:t>
      </w:r>
      <w:r w:rsidRPr="00D349CB">
        <w:rPr>
          <w:rFonts w:ascii="Century Gothic" w:hAnsi="Century Gothic"/>
          <w:bCs/>
        </w:rPr>
        <w:t>vacaciones</w:t>
      </w:r>
      <w:r w:rsidR="00EA531A" w:rsidRPr="00D349CB">
        <w:rPr>
          <w:rFonts w:ascii="Century Gothic" w:hAnsi="Century Gothic"/>
          <w:bCs/>
        </w:rPr>
        <w:t>, igualmente es afiliada a seguridad social; salud, pensión, riesgos</w:t>
      </w:r>
      <w:r w:rsidRPr="00D349CB">
        <w:rPr>
          <w:rFonts w:ascii="Century Gothic" w:hAnsi="Century Gothic"/>
          <w:bCs/>
        </w:rPr>
        <w:t xml:space="preserve"> profesionales y caja de compensación familiar. Por su parte, una persona que es contratada por prestación de servicios recibe únicamente el monto pactado en el contrato, </w:t>
      </w:r>
      <w:r w:rsidR="0049257A" w:rsidRPr="00D349CB">
        <w:rPr>
          <w:rFonts w:ascii="Century Gothic" w:hAnsi="Century Gothic"/>
          <w:bCs/>
        </w:rPr>
        <w:t>valor del cual debe descontar</w:t>
      </w:r>
      <w:r w:rsidRPr="00D349CB">
        <w:rPr>
          <w:rFonts w:ascii="Century Gothic" w:hAnsi="Century Gothic"/>
          <w:bCs/>
        </w:rPr>
        <w:t xml:space="preserve"> el pago de su </w:t>
      </w:r>
      <w:r w:rsidR="00EA531A" w:rsidRPr="00D349CB">
        <w:rPr>
          <w:rFonts w:ascii="Century Gothic" w:hAnsi="Century Gothic"/>
          <w:bCs/>
        </w:rPr>
        <w:lastRenderedPageBreak/>
        <w:t>seguridad social</w:t>
      </w:r>
      <w:r w:rsidRPr="00D349CB">
        <w:rPr>
          <w:rFonts w:ascii="Century Gothic" w:hAnsi="Century Gothic"/>
          <w:bCs/>
        </w:rPr>
        <w:t xml:space="preserve"> </w:t>
      </w:r>
      <w:r w:rsidR="0049257A" w:rsidRPr="00D349CB">
        <w:rPr>
          <w:rFonts w:ascii="Century Gothic" w:hAnsi="Century Gothic"/>
          <w:bCs/>
        </w:rPr>
        <w:t>y los</w:t>
      </w:r>
      <w:r w:rsidR="00EA531A" w:rsidRPr="00D349CB">
        <w:rPr>
          <w:rFonts w:ascii="Century Gothic" w:hAnsi="Century Gothic"/>
          <w:bCs/>
        </w:rPr>
        <w:t xml:space="preserve"> gastos en los que debe incurrir para poder ejecutar el objeto del contrato</w:t>
      </w:r>
      <w:r w:rsidR="00C21298" w:rsidRPr="00D349CB">
        <w:rPr>
          <w:rFonts w:ascii="Century Gothic" w:hAnsi="Century Gothic"/>
          <w:bCs/>
        </w:rPr>
        <w:t>, así como también las limitaciones para ingresar a la caja de compensación y la discriminación para acceder a créditos.</w:t>
      </w:r>
    </w:p>
    <w:p w14:paraId="244F995D" w14:textId="1CBB5569" w:rsidR="00F74C8E" w:rsidRDefault="00F74C8E" w:rsidP="00D349CB">
      <w:pPr>
        <w:pBdr>
          <w:top w:val="nil"/>
          <w:left w:val="nil"/>
          <w:bottom w:val="nil"/>
          <w:right w:val="nil"/>
          <w:between w:val="nil"/>
        </w:pBdr>
        <w:jc w:val="both"/>
        <w:rPr>
          <w:rFonts w:ascii="Century Gothic" w:hAnsi="Century Gothic"/>
          <w:bCs/>
        </w:rPr>
      </w:pPr>
    </w:p>
    <w:p w14:paraId="59C861B4" w14:textId="56039952" w:rsidR="00F74C8E" w:rsidRPr="00D349CB" w:rsidRDefault="00F74C8E" w:rsidP="00D349CB">
      <w:pPr>
        <w:pBdr>
          <w:top w:val="nil"/>
          <w:left w:val="nil"/>
          <w:bottom w:val="nil"/>
          <w:right w:val="nil"/>
          <w:between w:val="nil"/>
        </w:pBdr>
        <w:jc w:val="both"/>
        <w:rPr>
          <w:rFonts w:ascii="Century Gothic" w:hAnsi="Century Gothic"/>
          <w:bCs/>
        </w:rPr>
      </w:pPr>
      <w:r>
        <w:rPr>
          <w:rFonts w:ascii="Century Gothic" w:hAnsi="Century Gothic"/>
          <w:bCs/>
        </w:rPr>
        <w:t>Igualmente, el parágrafo 1 del articulo 18 de la Ley 100 de 193, establece que e</w:t>
      </w:r>
      <w:r w:rsidRPr="00F74C8E">
        <w:rPr>
          <w:rFonts w:ascii="Century Gothic" w:hAnsi="Century Gothic"/>
          <w:bCs/>
        </w:rPr>
        <w:t>n aquellos casos en los cuales el afiliado perciba dos o más ingresos como trabajador independiente o por prestación de servicios como contratista, en un mismo período de tiempo, las cotizaciones correspondientes serán efectuadas en forma proporcional al ingreso devengado de cada uno de ellos, y estas se acumularán para todos los efectos de esta ley sin exceder el tope legal. Para estos efectos, será necesario que las cotizaciones al sistema de salud se hagan sobre la misma base.</w:t>
      </w:r>
    </w:p>
    <w:p w14:paraId="3F7346FD" w14:textId="447721B7" w:rsidR="00C21298" w:rsidRPr="00D349CB" w:rsidRDefault="00C21298" w:rsidP="00D349CB">
      <w:pPr>
        <w:pBdr>
          <w:top w:val="nil"/>
          <w:left w:val="nil"/>
          <w:bottom w:val="nil"/>
          <w:right w:val="nil"/>
          <w:between w:val="nil"/>
        </w:pBdr>
        <w:jc w:val="both"/>
        <w:rPr>
          <w:rFonts w:ascii="Century Gothic" w:hAnsi="Century Gothic"/>
          <w:bCs/>
        </w:rPr>
      </w:pPr>
    </w:p>
    <w:p w14:paraId="72DC89BD" w14:textId="1A7F2C73" w:rsidR="000D0420" w:rsidRPr="00D349CB" w:rsidRDefault="000D0420" w:rsidP="00D349CB">
      <w:pPr>
        <w:pBdr>
          <w:top w:val="nil"/>
          <w:left w:val="nil"/>
          <w:bottom w:val="nil"/>
          <w:right w:val="nil"/>
          <w:between w:val="nil"/>
        </w:pBdr>
        <w:jc w:val="both"/>
        <w:rPr>
          <w:rFonts w:ascii="Century Gothic" w:hAnsi="Century Gothic"/>
          <w:bCs/>
        </w:rPr>
      </w:pPr>
      <w:r w:rsidRPr="00D349CB">
        <w:rPr>
          <w:rFonts w:ascii="Century Gothic" w:hAnsi="Century Gothic"/>
          <w:bCs/>
        </w:rPr>
        <w:t xml:space="preserve">Aunado a lo anterior, la contratación por prestación de servicios es cada vez más utilizada en el país, y según el servicio prestado, esta modalidad contractual puede ser utilizada correctamente, pero también hay ocasiones donde se está utilizando este modelo para </w:t>
      </w:r>
      <w:r w:rsidR="00BF35FC" w:rsidRPr="00D349CB">
        <w:rPr>
          <w:rFonts w:ascii="Century Gothic" w:hAnsi="Century Gothic"/>
          <w:bCs/>
        </w:rPr>
        <w:t>desdibujar</w:t>
      </w:r>
      <w:r w:rsidRPr="00D349CB">
        <w:rPr>
          <w:rFonts w:ascii="Century Gothic" w:hAnsi="Century Gothic"/>
          <w:bCs/>
        </w:rPr>
        <w:t xml:space="preserve"> la existencia de la relación laboral, </w:t>
      </w:r>
      <w:r w:rsidR="00BF35FC" w:rsidRPr="00D349CB">
        <w:rPr>
          <w:rFonts w:ascii="Century Gothic" w:hAnsi="Century Gothic"/>
          <w:bCs/>
        </w:rPr>
        <w:t xml:space="preserve">razón por la cual han aumentado en la jurisdicción ordinaria y en la contenciosa administrativa, las demandas por contrato realidad. </w:t>
      </w:r>
    </w:p>
    <w:p w14:paraId="1BD9027C" w14:textId="77777777" w:rsidR="00BF35FC" w:rsidRPr="00D349CB" w:rsidRDefault="00BF35FC" w:rsidP="00D349CB">
      <w:pPr>
        <w:pBdr>
          <w:top w:val="nil"/>
          <w:left w:val="nil"/>
          <w:bottom w:val="nil"/>
          <w:right w:val="nil"/>
          <w:between w:val="nil"/>
        </w:pBdr>
        <w:jc w:val="both"/>
        <w:rPr>
          <w:rFonts w:ascii="Century Gothic" w:hAnsi="Century Gothic"/>
          <w:bCs/>
        </w:rPr>
      </w:pPr>
    </w:p>
    <w:p w14:paraId="29554019" w14:textId="580D24F0" w:rsidR="00C21298" w:rsidRPr="00D349CB" w:rsidRDefault="000D0420" w:rsidP="00D349CB">
      <w:pPr>
        <w:pBdr>
          <w:top w:val="nil"/>
          <w:left w:val="nil"/>
          <w:bottom w:val="nil"/>
          <w:right w:val="nil"/>
          <w:between w:val="nil"/>
        </w:pBdr>
        <w:jc w:val="both"/>
        <w:rPr>
          <w:rFonts w:ascii="Century Gothic" w:hAnsi="Century Gothic"/>
          <w:bCs/>
        </w:rPr>
      </w:pPr>
      <w:r w:rsidRPr="00D349CB">
        <w:rPr>
          <w:rFonts w:ascii="Century Gothic" w:hAnsi="Century Gothic"/>
          <w:bCs/>
        </w:rPr>
        <w:t xml:space="preserve">Así las cosas, </w:t>
      </w:r>
      <w:r w:rsidR="00BF35FC" w:rsidRPr="00D349CB">
        <w:rPr>
          <w:rFonts w:ascii="Century Gothic" w:hAnsi="Century Gothic"/>
          <w:bCs/>
        </w:rPr>
        <w:t xml:space="preserve">el trabajador independiente por contrato de prestación de servicios, no solo se ve afectado por no tener derecho a prestaciones sociales o afiliación por parte del empleador a seguridad social, sino aún más porque cumple las características propias de un contrato de trabajo, es decir, salario, subordinación y prestación personal del servicio, pero su vinculación es por prestación de servicios.  Siendo </w:t>
      </w:r>
      <w:r w:rsidRPr="00D349CB">
        <w:rPr>
          <w:rFonts w:ascii="Century Gothic" w:hAnsi="Century Gothic"/>
          <w:bCs/>
        </w:rPr>
        <w:t xml:space="preserve">el propósito de este proyecto proponer medidas equitativas, justas y proporcionales para que los trabajadores independientes accedan al sistema de seguridad social. </w:t>
      </w:r>
    </w:p>
    <w:p w14:paraId="0B4EE1CF" w14:textId="6C3974C6" w:rsidR="00FE69A9" w:rsidRPr="00D349CB" w:rsidRDefault="00FE69A9" w:rsidP="00D349CB">
      <w:pPr>
        <w:pBdr>
          <w:top w:val="nil"/>
          <w:left w:val="nil"/>
          <w:bottom w:val="nil"/>
          <w:right w:val="nil"/>
          <w:between w:val="nil"/>
        </w:pBdr>
        <w:jc w:val="both"/>
        <w:rPr>
          <w:rFonts w:ascii="Century Gothic" w:hAnsi="Century Gothic"/>
          <w:bCs/>
        </w:rPr>
      </w:pPr>
    </w:p>
    <w:p w14:paraId="7341C112" w14:textId="5E7FF722" w:rsidR="00FE69A9" w:rsidRPr="00D349CB" w:rsidRDefault="00F06201" w:rsidP="00D349CB">
      <w:pPr>
        <w:pStyle w:val="Prrafodelista"/>
        <w:numPr>
          <w:ilvl w:val="0"/>
          <w:numId w:val="6"/>
        </w:numPr>
        <w:pBdr>
          <w:top w:val="nil"/>
          <w:left w:val="nil"/>
          <w:bottom w:val="nil"/>
          <w:right w:val="nil"/>
          <w:between w:val="nil"/>
        </w:pBdr>
        <w:jc w:val="both"/>
        <w:rPr>
          <w:rFonts w:ascii="Century Gothic" w:hAnsi="Century Gothic"/>
          <w:b/>
          <w:bCs/>
        </w:rPr>
      </w:pPr>
      <w:r w:rsidRPr="00D349CB">
        <w:rPr>
          <w:rFonts w:ascii="Century Gothic" w:hAnsi="Century Gothic"/>
          <w:b/>
          <w:bCs/>
        </w:rPr>
        <w:t xml:space="preserve">CARGAS ENTRE EMPLEADOS E INDEPENDIENTES.  </w:t>
      </w:r>
    </w:p>
    <w:p w14:paraId="0A6B91F9" w14:textId="78693B2E" w:rsidR="00FE69A9" w:rsidRPr="00D349CB" w:rsidRDefault="00FE69A9" w:rsidP="00D349CB">
      <w:pPr>
        <w:pBdr>
          <w:top w:val="nil"/>
          <w:left w:val="nil"/>
          <w:bottom w:val="nil"/>
          <w:right w:val="nil"/>
          <w:between w:val="nil"/>
        </w:pBdr>
        <w:jc w:val="both"/>
        <w:rPr>
          <w:rFonts w:ascii="Century Gothic" w:hAnsi="Century Gothic"/>
          <w:b/>
          <w:bCs/>
        </w:rPr>
      </w:pPr>
    </w:p>
    <w:p w14:paraId="29E794C9" w14:textId="0A10533D" w:rsidR="004370B7" w:rsidRPr="00D349CB" w:rsidRDefault="001734A5" w:rsidP="00D349CB">
      <w:pPr>
        <w:pBdr>
          <w:top w:val="nil"/>
          <w:left w:val="nil"/>
          <w:bottom w:val="nil"/>
          <w:right w:val="nil"/>
          <w:between w:val="nil"/>
        </w:pBdr>
        <w:jc w:val="both"/>
        <w:rPr>
          <w:rFonts w:ascii="Century Gothic" w:hAnsi="Century Gothic"/>
          <w:bCs/>
        </w:rPr>
      </w:pPr>
      <w:r w:rsidRPr="00D349CB">
        <w:rPr>
          <w:rFonts w:ascii="Century Gothic" w:hAnsi="Century Gothic"/>
          <w:bCs/>
        </w:rPr>
        <w:t>El derecho a la seguridad social incluye el derecho a obtener y mantener prestaciones sociales, ya sea en efectivo o en especie, sin discriminación, con el fin de obtener protección, en particular contra: a) la falta de ingresos procedentes del trabajo debido a enfermedad, invalidez, maternidad, accidente laboral, vejez o muerte de un familiar; b) gastos excesivos de atención de salud; c) apoyo familiar insuficiente, en particular para los hijos y los familiares a cargo</w:t>
      </w:r>
      <w:r w:rsidRPr="00D349CB">
        <w:rPr>
          <w:rFonts w:ascii="Century Gothic" w:hAnsi="Century Gothic"/>
          <w:bCs/>
        </w:rPr>
        <w:footnoteReference w:id="3"/>
      </w:r>
      <w:r w:rsidRPr="00D349CB">
        <w:rPr>
          <w:rFonts w:ascii="Century Gothic" w:hAnsi="Century Gothic"/>
          <w:bCs/>
        </w:rPr>
        <w:t>. A</w:t>
      </w:r>
      <w:r w:rsidR="00D5119F" w:rsidRPr="00D349CB">
        <w:rPr>
          <w:rFonts w:ascii="Century Gothic" w:hAnsi="Century Gothic"/>
          <w:bCs/>
        </w:rPr>
        <w:t xml:space="preserve"> su vez, </w:t>
      </w:r>
      <w:r w:rsidRPr="00D349CB">
        <w:rPr>
          <w:rFonts w:ascii="Century Gothic" w:hAnsi="Century Gothic"/>
          <w:bCs/>
        </w:rPr>
        <w:t xml:space="preserve">la Seguridad social </w:t>
      </w:r>
      <w:r w:rsidR="00D5119F" w:rsidRPr="00D349CB">
        <w:rPr>
          <w:rFonts w:ascii="Century Gothic" w:hAnsi="Century Gothic"/>
          <w:bCs/>
        </w:rPr>
        <w:t xml:space="preserve">comprende el pago de un 12.5% para salud, un 16% para pensión </w:t>
      </w:r>
      <w:r w:rsidR="00D5119F" w:rsidRPr="00D349CB">
        <w:rPr>
          <w:rFonts w:ascii="Century Gothic" w:hAnsi="Century Gothic"/>
          <w:bCs/>
        </w:rPr>
        <w:lastRenderedPageBreak/>
        <w:t>y entre un 0.522% a un 6.96% para riesgos laborale</w:t>
      </w:r>
      <w:r w:rsidRPr="00D349CB">
        <w:rPr>
          <w:rFonts w:ascii="Century Gothic" w:hAnsi="Century Gothic"/>
          <w:bCs/>
        </w:rPr>
        <w:t xml:space="preserve">s. Estos </w:t>
      </w:r>
      <w:r w:rsidR="00D5119F" w:rsidRPr="00D349CB">
        <w:rPr>
          <w:rFonts w:ascii="Century Gothic" w:hAnsi="Century Gothic"/>
          <w:bCs/>
        </w:rPr>
        <w:t>porcentajes s</w:t>
      </w:r>
      <w:r w:rsidRPr="00D349CB">
        <w:rPr>
          <w:rFonts w:ascii="Century Gothic" w:hAnsi="Century Gothic"/>
          <w:bCs/>
        </w:rPr>
        <w:t xml:space="preserve">on </w:t>
      </w:r>
      <w:r w:rsidR="00D5119F" w:rsidRPr="00D349CB">
        <w:rPr>
          <w:rFonts w:ascii="Century Gothic" w:hAnsi="Century Gothic"/>
          <w:bCs/>
        </w:rPr>
        <w:t>liquidados con base el salario real que devengue el empleado, por lo que deberán guardar relación so pena de sanciones</w:t>
      </w:r>
      <w:r w:rsidR="004370B7" w:rsidRPr="00D349CB">
        <w:rPr>
          <w:rFonts w:ascii="Century Gothic" w:hAnsi="Century Gothic"/>
          <w:bCs/>
        </w:rPr>
        <w:t xml:space="preserve">. </w:t>
      </w:r>
    </w:p>
    <w:p w14:paraId="21FF6025" w14:textId="77777777" w:rsidR="004370B7" w:rsidRPr="00D349CB" w:rsidRDefault="004370B7" w:rsidP="00D349CB">
      <w:pPr>
        <w:pBdr>
          <w:top w:val="nil"/>
          <w:left w:val="nil"/>
          <w:bottom w:val="nil"/>
          <w:right w:val="nil"/>
          <w:between w:val="nil"/>
        </w:pBdr>
        <w:jc w:val="both"/>
        <w:rPr>
          <w:rFonts w:ascii="Century Gothic" w:hAnsi="Century Gothic"/>
          <w:bCs/>
        </w:rPr>
      </w:pPr>
    </w:p>
    <w:p w14:paraId="781043A7" w14:textId="3D47BAA3" w:rsidR="00FE69A9" w:rsidRDefault="004370B7" w:rsidP="00D349CB">
      <w:pPr>
        <w:pBdr>
          <w:top w:val="nil"/>
          <w:left w:val="nil"/>
          <w:bottom w:val="nil"/>
          <w:right w:val="nil"/>
          <w:between w:val="nil"/>
        </w:pBdr>
        <w:jc w:val="both"/>
        <w:rPr>
          <w:rFonts w:ascii="Century Gothic" w:hAnsi="Century Gothic"/>
          <w:bCs/>
        </w:rPr>
      </w:pPr>
      <w:r w:rsidRPr="00D349CB">
        <w:rPr>
          <w:rFonts w:ascii="Century Gothic" w:hAnsi="Century Gothic"/>
          <w:bCs/>
        </w:rPr>
        <w:t>A</w:t>
      </w:r>
      <w:r w:rsidR="00D5119F" w:rsidRPr="00D349CB">
        <w:rPr>
          <w:rFonts w:ascii="Century Gothic" w:hAnsi="Century Gothic"/>
          <w:bCs/>
        </w:rPr>
        <w:t xml:space="preserve">sí, partimos de la premisa que en un contrato de trabajo, esta carga es compartida entre </w:t>
      </w:r>
      <w:r w:rsidR="00A511B9" w:rsidRPr="00D349CB">
        <w:rPr>
          <w:rFonts w:ascii="Century Gothic" w:hAnsi="Century Gothic"/>
          <w:bCs/>
        </w:rPr>
        <w:t xml:space="preserve">el trabajador </w:t>
      </w:r>
      <w:r w:rsidR="00D5119F" w:rsidRPr="00D349CB">
        <w:rPr>
          <w:rFonts w:ascii="Century Gothic" w:hAnsi="Century Gothic"/>
          <w:bCs/>
        </w:rPr>
        <w:t xml:space="preserve"> y empleador, donde el </w:t>
      </w:r>
      <w:r w:rsidR="00A511B9" w:rsidRPr="00D349CB">
        <w:rPr>
          <w:rFonts w:ascii="Century Gothic" w:hAnsi="Century Gothic"/>
          <w:bCs/>
        </w:rPr>
        <w:t>trabajador</w:t>
      </w:r>
      <w:r w:rsidR="00D5119F" w:rsidRPr="00D349CB">
        <w:rPr>
          <w:rFonts w:ascii="Century Gothic" w:hAnsi="Century Gothic"/>
          <w:bCs/>
        </w:rPr>
        <w:t xml:space="preserve">, de su salario, </w:t>
      </w:r>
      <w:r w:rsidR="00A511B9" w:rsidRPr="00D349CB">
        <w:rPr>
          <w:rFonts w:ascii="Century Gothic" w:hAnsi="Century Gothic"/>
          <w:bCs/>
        </w:rPr>
        <w:t>aporta</w:t>
      </w:r>
      <w:r w:rsidR="00D5119F" w:rsidRPr="00D349CB">
        <w:rPr>
          <w:rFonts w:ascii="Century Gothic" w:hAnsi="Century Gothic"/>
          <w:bCs/>
        </w:rPr>
        <w:t xml:space="preserve"> el 4% </w:t>
      </w:r>
      <w:r w:rsidR="00A511B9" w:rsidRPr="00D349CB">
        <w:rPr>
          <w:rFonts w:ascii="Century Gothic" w:hAnsi="Century Gothic"/>
          <w:bCs/>
        </w:rPr>
        <w:t>a</w:t>
      </w:r>
      <w:r w:rsidR="00D5119F" w:rsidRPr="00D349CB">
        <w:rPr>
          <w:rFonts w:ascii="Century Gothic" w:hAnsi="Century Gothic"/>
          <w:bCs/>
        </w:rPr>
        <w:t xml:space="preserve"> salud y </w:t>
      </w:r>
      <w:r w:rsidR="002B6E2E" w:rsidRPr="00D349CB">
        <w:rPr>
          <w:rFonts w:ascii="Century Gothic" w:hAnsi="Century Gothic"/>
          <w:bCs/>
        </w:rPr>
        <w:t xml:space="preserve">el </w:t>
      </w:r>
      <w:r w:rsidR="00D5119F" w:rsidRPr="00D349CB">
        <w:rPr>
          <w:rFonts w:ascii="Century Gothic" w:hAnsi="Century Gothic"/>
          <w:bCs/>
        </w:rPr>
        <w:t xml:space="preserve">4% a pensión y su empleador pagaría un 8.5% para el sistema de salud, un 12% para el pago de pensión y finalmente, cumple con la carga exclusiva de realizar el pago al sistema de riesgos laborales o ARL que en una relación laboral es obligación del ultimo, tal como </w:t>
      </w:r>
      <w:r w:rsidR="001734A5" w:rsidRPr="00D349CB">
        <w:rPr>
          <w:rFonts w:ascii="Century Gothic" w:hAnsi="Century Gothic"/>
          <w:bCs/>
        </w:rPr>
        <w:t>lo establece el artículo 21</w:t>
      </w:r>
      <w:r w:rsidR="00D5119F" w:rsidRPr="00D349CB">
        <w:rPr>
          <w:rFonts w:ascii="Century Gothic" w:hAnsi="Century Gothic"/>
          <w:bCs/>
        </w:rPr>
        <w:t xml:space="preserve"> </w:t>
      </w:r>
      <w:r w:rsidR="001734A5" w:rsidRPr="00D349CB">
        <w:rPr>
          <w:rFonts w:ascii="Century Gothic" w:hAnsi="Century Gothic"/>
          <w:bCs/>
        </w:rPr>
        <w:t xml:space="preserve">del </w:t>
      </w:r>
      <w:r w:rsidR="00D5119F" w:rsidRPr="00D349CB">
        <w:rPr>
          <w:rFonts w:ascii="Century Gothic" w:hAnsi="Century Gothic"/>
          <w:bCs/>
        </w:rPr>
        <w:t>Decreto 1295 de 1994</w:t>
      </w:r>
      <w:r w:rsidR="001734A5" w:rsidRPr="00D349CB">
        <w:rPr>
          <w:rFonts w:ascii="Century Gothic" w:hAnsi="Century Gothic"/>
          <w:bCs/>
        </w:rPr>
        <w:t xml:space="preserve">, </w:t>
      </w:r>
      <w:r w:rsidR="00D5119F" w:rsidRPr="00D349CB">
        <w:rPr>
          <w:rFonts w:ascii="Century Gothic" w:hAnsi="Century Gothic"/>
          <w:bCs/>
        </w:rPr>
        <w:t xml:space="preserve">que versa sobre las obligaciones del empleador y afirma que este no solo es responsable “del pago de la totalidad de la cotización de los trabajadores a su servicio” sino también de “trasladar el monto de las cotizaciones a la entidad administradora de riesgos profesionales correspondiente, dentro de los plazos que para el efecto señale el reglamento”. </w:t>
      </w:r>
    </w:p>
    <w:p w14:paraId="03CFD1DD" w14:textId="77777777" w:rsidR="00F74C8E" w:rsidRPr="00D349CB" w:rsidRDefault="00F74C8E" w:rsidP="00D349CB">
      <w:pPr>
        <w:pBdr>
          <w:top w:val="nil"/>
          <w:left w:val="nil"/>
          <w:bottom w:val="nil"/>
          <w:right w:val="nil"/>
          <w:between w:val="nil"/>
        </w:pBdr>
        <w:jc w:val="both"/>
        <w:rPr>
          <w:rFonts w:ascii="Century Gothic" w:hAnsi="Century Gothic"/>
          <w:bCs/>
        </w:rPr>
      </w:pPr>
    </w:p>
    <w:p w14:paraId="47E34611" w14:textId="4F4E5F13" w:rsidR="00347654" w:rsidRPr="00D349CB" w:rsidRDefault="00347654" w:rsidP="00D349CB">
      <w:pPr>
        <w:pBdr>
          <w:top w:val="nil"/>
          <w:left w:val="nil"/>
          <w:bottom w:val="nil"/>
          <w:right w:val="nil"/>
          <w:between w:val="nil"/>
        </w:pBdr>
        <w:jc w:val="both"/>
        <w:rPr>
          <w:rFonts w:ascii="Century Gothic" w:hAnsi="Century Gothic"/>
        </w:rPr>
      </w:pPr>
      <w:r w:rsidRPr="00D349CB">
        <w:rPr>
          <w:rFonts w:ascii="Century Gothic" w:hAnsi="Century Gothic"/>
        </w:rPr>
        <w:t xml:space="preserve">En virtud de lo anterior, se tiene que la carga de la seguridad social integral en un contrato de trabajo, es compartida y es el empleado el que menos aportes efectúa. Siendo ahora necesario evidenciar, como se aparta de esta situación y de manera sustancial un trabajador independiente, pues este no tiene con quien compartir la obligación ya que no tiene empleador, sino en algunos casos contratante, esto significa que, en una relación precedida por un contrato de prestación de servicios, no existe la facilidad de distribución de cargas tal como sucede en una relación laboral. </w:t>
      </w:r>
    </w:p>
    <w:p w14:paraId="2CE6E647" w14:textId="77777777" w:rsidR="00347654" w:rsidRPr="00D349CB" w:rsidRDefault="00347654" w:rsidP="00D349CB">
      <w:pPr>
        <w:pBdr>
          <w:top w:val="nil"/>
          <w:left w:val="nil"/>
          <w:bottom w:val="nil"/>
          <w:right w:val="nil"/>
          <w:between w:val="nil"/>
        </w:pBdr>
        <w:jc w:val="both"/>
        <w:rPr>
          <w:rFonts w:ascii="Century Gothic" w:hAnsi="Century Gothic"/>
        </w:rPr>
      </w:pPr>
    </w:p>
    <w:p w14:paraId="650C751A" w14:textId="72A52140" w:rsidR="009844F0" w:rsidRPr="00D349CB" w:rsidRDefault="00347654" w:rsidP="00D349CB">
      <w:pPr>
        <w:pBdr>
          <w:top w:val="nil"/>
          <w:left w:val="nil"/>
          <w:bottom w:val="nil"/>
          <w:right w:val="nil"/>
          <w:between w:val="nil"/>
        </w:pBdr>
        <w:jc w:val="both"/>
        <w:rPr>
          <w:rFonts w:ascii="Century Gothic" w:hAnsi="Century Gothic"/>
        </w:rPr>
      </w:pPr>
      <w:r w:rsidRPr="00D349CB">
        <w:rPr>
          <w:rFonts w:ascii="Century Gothic" w:hAnsi="Century Gothic"/>
        </w:rPr>
        <w:t>Un trabajador independiente cotiza a</w:t>
      </w:r>
      <w:r w:rsidR="009844F0" w:rsidRPr="00D349CB">
        <w:rPr>
          <w:rFonts w:ascii="Century Gothic" w:hAnsi="Century Gothic"/>
        </w:rPr>
        <w:t>l sistema de</w:t>
      </w:r>
      <w:r w:rsidRPr="00D349CB">
        <w:rPr>
          <w:rFonts w:ascii="Century Gothic" w:hAnsi="Century Gothic"/>
        </w:rPr>
        <w:t xml:space="preserve"> seguridad social</w:t>
      </w:r>
      <w:r w:rsidR="009844F0" w:rsidRPr="00D349CB">
        <w:rPr>
          <w:rFonts w:ascii="Century Gothic" w:hAnsi="Century Gothic"/>
        </w:rPr>
        <w:t>,</w:t>
      </w:r>
      <w:r w:rsidRPr="00D349CB">
        <w:rPr>
          <w:rFonts w:ascii="Century Gothic" w:hAnsi="Century Gothic"/>
        </w:rPr>
        <w:t xml:space="preserve"> </w:t>
      </w:r>
      <w:r w:rsidR="009844F0" w:rsidRPr="00D349CB">
        <w:rPr>
          <w:rFonts w:ascii="Century Gothic" w:hAnsi="Century Gothic"/>
        </w:rPr>
        <w:t xml:space="preserve">sobre </w:t>
      </w:r>
      <w:r w:rsidRPr="00D349CB">
        <w:rPr>
          <w:rFonts w:ascii="Century Gothic" w:hAnsi="Century Gothic"/>
        </w:rPr>
        <w:t xml:space="preserve">un </w:t>
      </w:r>
      <w:r w:rsidR="008D1495" w:rsidRPr="00D349CB">
        <w:rPr>
          <w:rFonts w:ascii="Century Gothic" w:hAnsi="Century Gothic"/>
        </w:rPr>
        <w:t xml:space="preserve">ingreso </w:t>
      </w:r>
      <w:r w:rsidRPr="00D349CB">
        <w:rPr>
          <w:rFonts w:ascii="Century Gothic" w:hAnsi="Century Gothic"/>
        </w:rPr>
        <w:t xml:space="preserve">base cotización </w:t>
      </w:r>
      <w:r w:rsidR="008D1495" w:rsidRPr="00D349CB">
        <w:rPr>
          <w:rFonts w:ascii="Century Gothic" w:hAnsi="Century Gothic"/>
        </w:rPr>
        <w:t>del</w:t>
      </w:r>
      <w:r w:rsidRPr="00D349CB">
        <w:rPr>
          <w:rFonts w:ascii="Century Gothic" w:hAnsi="Century Gothic"/>
        </w:rPr>
        <w:t xml:space="preserve"> 40% d</w:t>
      </w:r>
      <w:r w:rsidR="009844F0" w:rsidRPr="00D349CB">
        <w:rPr>
          <w:rFonts w:ascii="Century Gothic" w:hAnsi="Century Gothic"/>
        </w:rPr>
        <w:t>el valor mensualizado del contrato o de sus ingresos</w:t>
      </w:r>
      <w:r w:rsidRPr="00D349CB">
        <w:rPr>
          <w:rFonts w:ascii="Century Gothic" w:hAnsi="Century Gothic"/>
        </w:rPr>
        <w:t xml:space="preserve">, </w:t>
      </w:r>
      <w:r w:rsidR="009844F0" w:rsidRPr="00D349CB">
        <w:rPr>
          <w:rFonts w:ascii="Century Gothic" w:hAnsi="Century Gothic"/>
        </w:rPr>
        <w:t>siempre y cuando sus ingresos netos sean iguales o superiores</w:t>
      </w:r>
      <w:r w:rsidRPr="00D349CB">
        <w:rPr>
          <w:rFonts w:ascii="Century Gothic" w:hAnsi="Century Gothic"/>
        </w:rPr>
        <w:t xml:space="preserve"> a un salario mínimo mensual legal vigente</w:t>
      </w:r>
      <w:r w:rsidR="009844F0" w:rsidRPr="00D349CB">
        <w:rPr>
          <w:rFonts w:ascii="Century Gothic" w:hAnsi="Century Gothic"/>
        </w:rPr>
        <w:t xml:space="preserve">. </w:t>
      </w:r>
      <w:r w:rsidRPr="00D349CB">
        <w:rPr>
          <w:rFonts w:ascii="Century Gothic" w:hAnsi="Century Gothic"/>
        </w:rPr>
        <w:t xml:space="preserve"> </w:t>
      </w:r>
      <w:r w:rsidR="009844F0" w:rsidRPr="00D349CB">
        <w:rPr>
          <w:rFonts w:ascii="Century Gothic" w:hAnsi="Century Gothic"/>
        </w:rPr>
        <w:t>Caso en el cual, el aporte al sistema de salud y a los fondos pensionales, rec</w:t>
      </w:r>
      <w:r w:rsidRPr="00D349CB">
        <w:rPr>
          <w:rFonts w:ascii="Century Gothic" w:hAnsi="Century Gothic"/>
        </w:rPr>
        <w:t xml:space="preserve">ae de manera exclusiva en cabeza del trabajador independiente, y la afiliación a riesgos laborales, que no </w:t>
      </w:r>
      <w:r w:rsidR="009844F0" w:rsidRPr="00D349CB">
        <w:rPr>
          <w:rFonts w:ascii="Century Gothic" w:hAnsi="Century Gothic"/>
        </w:rPr>
        <w:t>siempre es una obligación</w:t>
      </w:r>
      <w:r w:rsidRPr="00D349CB">
        <w:rPr>
          <w:rFonts w:ascii="Century Gothic" w:hAnsi="Century Gothic"/>
        </w:rPr>
        <w:t>, a menos que cumplan con los requisitos del artículo 2° del Decreto 723 de 2013</w:t>
      </w:r>
      <w:r w:rsidR="009844F0" w:rsidRPr="00D349CB">
        <w:rPr>
          <w:rFonts w:ascii="Century Gothic" w:hAnsi="Century Gothic"/>
        </w:rPr>
        <w:t xml:space="preserve">. </w:t>
      </w:r>
    </w:p>
    <w:p w14:paraId="07C7706E" w14:textId="77777777" w:rsidR="009844F0" w:rsidRPr="00D349CB" w:rsidRDefault="009844F0" w:rsidP="00D349CB">
      <w:pPr>
        <w:pBdr>
          <w:top w:val="nil"/>
          <w:left w:val="nil"/>
          <w:bottom w:val="nil"/>
          <w:right w:val="nil"/>
          <w:between w:val="nil"/>
        </w:pBdr>
        <w:jc w:val="both"/>
        <w:rPr>
          <w:rFonts w:ascii="Century Gothic" w:hAnsi="Century Gothic"/>
        </w:rPr>
      </w:pPr>
    </w:p>
    <w:p w14:paraId="3300450B" w14:textId="306D490F" w:rsidR="009844F0" w:rsidRPr="00D349CB" w:rsidRDefault="00A9734C" w:rsidP="00D349CB">
      <w:pPr>
        <w:pBdr>
          <w:top w:val="nil"/>
          <w:left w:val="nil"/>
          <w:bottom w:val="nil"/>
          <w:right w:val="nil"/>
          <w:between w:val="nil"/>
        </w:pBdr>
        <w:jc w:val="both"/>
        <w:rPr>
          <w:rFonts w:ascii="Century Gothic" w:hAnsi="Century Gothic"/>
        </w:rPr>
      </w:pPr>
      <w:r w:rsidRPr="00D349CB">
        <w:rPr>
          <w:rFonts w:ascii="Century Gothic" w:hAnsi="Century Gothic"/>
        </w:rPr>
        <w:t>Por otro lado, un aporte a cargo de empleados e independientes, es el porcentaje</w:t>
      </w:r>
      <w:r w:rsidR="00347654" w:rsidRPr="00D349CB">
        <w:rPr>
          <w:rFonts w:ascii="Century Gothic" w:hAnsi="Century Gothic"/>
        </w:rPr>
        <w:t xml:space="preserve"> adicional con destino al fondo de solidaridad pensional</w:t>
      </w:r>
      <w:r w:rsidRPr="00D349CB">
        <w:rPr>
          <w:rFonts w:ascii="Century Gothic" w:hAnsi="Century Gothic"/>
        </w:rPr>
        <w:t xml:space="preserve">, que tiene por </w:t>
      </w:r>
      <w:r w:rsidR="00347654" w:rsidRPr="00D349CB">
        <w:rPr>
          <w:rFonts w:ascii="Century Gothic" w:hAnsi="Century Gothic"/>
        </w:rPr>
        <w:t>objeto:</w:t>
      </w:r>
    </w:p>
    <w:p w14:paraId="5091A67B" w14:textId="77777777" w:rsidR="009844F0" w:rsidRPr="00D349CB" w:rsidRDefault="009844F0" w:rsidP="00D349CB">
      <w:pPr>
        <w:pBdr>
          <w:top w:val="nil"/>
          <w:left w:val="nil"/>
          <w:bottom w:val="nil"/>
          <w:right w:val="nil"/>
          <w:between w:val="nil"/>
        </w:pBdr>
        <w:jc w:val="both"/>
        <w:rPr>
          <w:rFonts w:ascii="Century Gothic" w:hAnsi="Century Gothic"/>
        </w:rPr>
      </w:pPr>
    </w:p>
    <w:p w14:paraId="74D47E9B" w14:textId="468112F3" w:rsidR="001734A5" w:rsidRPr="00D349CB" w:rsidRDefault="00347654" w:rsidP="00D349CB">
      <w:pPr>
        <w:pBdr>
          <w:top w:val="nil"/>
          <w:left w:val="nil"/>
          <w:bottom w:val="nil"/>
          <w:right w:val="nil"/>
          <w:between w:val="nil"/>
        </w:pBdr>
        <w:jc w:val="both"/>
        <w:rPr>
          <w:rFonts w:ascii="Century Gothic" w:hAnsi="Century Gothic"/>
        </w:rPr>
      </w:pPr>
      <w:r w:rsidRPr="00D349CB">
        <w:rPr>
          <w:rFonts w:ascii="Century Gothic" w:hAnsi="Century Gothic"/>
        </w:rPr>
        <w:t xml:space="preserve"> “</w:t>
      </w:r>
      <w:r w:rsidR="00A9734C" w:rsidRPr="00D349CB">
        <w:rPr>
          <w:rFonts w:ascii="Century Gothic" w:hAnsi="Century Gothic"/>
        </w:rPr>
        <w:t xml:space="preserve">(…) subsidiar los aportes al Régimen General de Pensiones de los trabajadores asalariados o independientes del sector rural y urbano que carezcan de suficientes recursos para efectuar la totalidad del aporte, tales como artistas, deportistas, </w:t>
      </w:r>
      <w:r w:rsidR="00A9734C" w:rsidRPr="00D349CB">
        <w:rPr>
          <w:rFonts w:ascii="Century Gothic" w:hAnsi="Century Gothic"/>
        </w:rPr>
        <w:lastRenderedPageBreak/>
        <w:t>músicos, compositores, toreros y sus subalternos, la mujer microempresaria, las madres comunitarias*, personas en situación de discapacidad física, psíquica y sensorial, los miembros de las cooperativas de trabajo asociado y otras formas asociativas de producción(…)”</w:t>
      </w:r>
      <w:r w:rsidR="00A9734C" w:rsidRPr="00D349CB">
        <w:rPr>
          <w:rStyle w:val="Refdenotaalpie"/>
          <w:rFonts w:ascii="Century Gothic" w:hAnsi="Century Gothic"/>
        </w:rPr>
        <w:footnoteReference w:id="4"/>
      </w:r>
    </w:p>
    <w:p w14:paraId="60C0D35C" w14:textId="60795D84" w:rsidR="00A9734C" w:rsidRPr="00D349CB" w:rsidRDefault="00A9734C" w:rsidP="00D349CB">
      <w:pPr>
        <w:pBdr>
          <w:top w:val="nil"/>
          <w:left w:val="nil"/>
          <w:bottom w:val="nil"/>
          <w:right w:val="nil"/>
          <w:between w:val="nil"/>
        </w:pBdr>
        <w:jc w:val="both"/>
        <w:rPr>
          <w:rFonts w:ascii="Century Gothic" w:hAnsi="Century Gothic"/>
        </w:rPr>
      </w:pPr>
    </w:p>
    <w:p w14:paraId="2B057CC7" w14:textId="099C7571" w:rsidR="00A9734C" w:rsidRPr="00D349CB" w:rsidRDefault="00A51AFB" w:rsidP="00D349CB">
      <w:pPr>
        <w:pBdr>
          <w:top w:val="nil"/>
          <w:left w:val="nil"/>
          <w:bottom w:val="nil"/>
          <w:right w:val="nil"/>
          <w:between w:val="nil"/>
        </w:pBdr>
        <w:jc w:val="both"/>
        <w:rPr>
          <w:rFonts w:ascii="Century Gothic" w:hAnsi="Century Gothic"/>
        </w:rPr>
      </w:pPr>
      <w:r w:rsidRPr="00D349CB">
        <w:rPr>
          <w:rFonts w:ascii="Century Gothic" w:hAnsi="Century Gothic"/>
        </w:rPr>
        <w:t>Siendo el aporte, el 1% sobre la base de cotización, a cargo de los afiliados al sistema general de pensiones, cuya base de cotización sea igual o superior a cuatro (4) salarios mínimos legales mensuales vigentes</w:t>
      </w:r>
      <w:r w:rsidRPr="00D349CB">
        <w:rPr>
          <w:rStyle w:val="Refdenotaalpie"/>
          <w:rFonts w:ascii="Century Gothic" w:hAnsi="Century Gothic"/>
        </w:rPr>
        <w:footnoteReference w:id="5"/>
      </w:r>
      <w:r w:rsidRPr="00D349CB">
        <w:rPr>
          <w:rFonts w:ascii="Century Gothic" w:hAnsi="Century Gothic"/>
        </w:rPr>
        <w:t>.</w:t>
      </w:r>
      <w:r w:rsidR="00A9734C" w:rsidRPr="00D349CB">
        <w:rPr>
          <w:rFonts w:ascii="Century Gothic" w:hAnsi="Century Gothic"/>
        </w:rPr>
        <w:t xml:space="preserve"> </w:t>
      </w:r>
      <w:r w:rsidRPr="00D349CB">
        <w:rPr>
          <w:rFonts w:ascii="Century Gothic" w:hAnsi="Century Gothic"/>
        </w:rPr>
        <w:t xml:space="preserve">Así las cosas, </w:t>
      </w:r>
      <w:r w:rsidR="00A9734C" w:rsidRPr="00D349CB">
        <w:rPr>
          <w:rFonts w:ascii="Century Gothic" w:hAnsi="Century Gothic"/>
        </w:rPr>
        <w:t xml:space="preserve">esta es una de las pocas cargas que no hace diferencia entre empleados y trabajadores independientes, pues es una obligación propia del cotizante, </w:t>
      </w:r>
      <w:r w:rsidRPr="00D349CB">
        <w:rPr>
          <w:rFonts w:ascii="Century Gothic" w:hAnsi="Century Gothic"/>
        </w:rPr>
        <w:t>porque debe ser efectuada</w:t>
      </w:r>
      <w:r w:rsidR="00A9734C" w:rsidRPr="00D349CB">
        <w:rPr>
          <w:rFonts w:ascii="Century Gothic" w:hAnsi="Century Gothic"/>
        </w:rPr>
        <w:t xml:space="preserve"> tanto por el independiente como por el empleado sin que medie ayuda de su empleador.</w:t>
      </w:r>
    </w:p>
    <w:p w14:paraId="73F967D2" w14:textId="77777777" w:rsidR="001734A5" w:rsidRPr="00D349CB" w:rsidRDefault="001734A5" w:rsidP="00D349CB">
      <w:pPr>
        <w:pBdr>
          <w:top w:val="nil"/>
          <w:left w:val="nil"/>
          <w:bottom w:val="nil"/>
          <w:right w:val="nil"/>
          <w:between w:val="nil"/>
        </w:pBdr>
        <w:jc w:val="both"/>
        <w:rPr>
          <w:rFonts w:ascii="Century Gothic" w:hAnsi="Century Gothic"/>
          <w:bCs/>
        </w:rPr>
      </w:pPr>
    </w:p>
    <w:p w14:paraId="00878E8F" w14:textId="77777777" w:rsidR="00761A31" w:rsidRPr="00D349CB" w:rsidRDefault="00410FDD" w:rsidP="00D349CB">
      <w:pPr>
        <w:pBdr>
          <w:top w:val="nil"/>
          <w:left w:val="nil"/>
          <w:bottom w:val="nil"/>
          <w:right w:val="nil"/>
          <w:between w:val="nil"/>
        </w:pBdr>
        <w:jc w:val="both"/>
        <w:rPr>
          <w:rFonts w:ascii="Century Gothic" w:hAnsi="Century Gothic"/>
        </w:rPr>
      </w:pPr>
      <w:r w:rsidRPr="00D349CB">
        <w:rPr>
          <w:rFonts w:ascii="Century Gothic" w:hAnsi="Century Gothic"/>
        </w:rPr>
        <w:t xml:space="preserve">Otra de las cargas es la del pago de parafiscales, </w:t>
      </w:r>
      <w:r w:rsidR="00761A31" w:rsidRPr="00D349CB">
        <w:rPr>
          <w:rFonts w:ascii="Century Gothic" w:hAnsi="Century Gothic"/>
        </w:rPr>
        <w:t>que se</w:t>
      </w:r>
      <w:r w:rsidRPr="00D349CB">
        <w:rPr>
          <w:rFonts w:ascii="Century Gothic" w:hAnsi="Century Gothic"/>
        </w:rPr>
        <w:t xml:space="preserve"> compone de aportes con dirección al SENA, ICBF y caja de compensación familiar, para el caso en concreto, solamente </w:t>
      </w:r>
      <w:r w:rsidR="00761A31" w:rsidRPr="00D349CB">
        <w:rPr>
          <w:rFonts w:ascii="Century Gothic" w:hAnsi="Century Gothic"/>
        </w:rPr>
        <w:t>se</w:t>
      </w:r>
      <w:r w:rsidRPr="00D349CB">
        <w:rPr>
          <w:rFonts w:ascii="Century Gothic" w:hAnsi="Century Gothic"/>
        </w:rPr>
        <w:t xml:space="preserve"> desarrollar</w:t>
      </w:r>
      <w:r w:rsidR="00761A31" w:rsidRPr="00D349CB">
        <w:rPr>
          <w:rFonts w:ascii="Century Gothic" w:hAnsi="Century Gothic"/>
        </w:rPr>
        <w:t>a</w:t>
      </w:r>
      <w:r w:rsidRPr="00D349CB">
        <w:rPr>
          <w:rFonts w:ascii="Century Gothic" w:hAnsi="Century Gothic"/>
        </w:rPr>
        <w:t xml:space="preserve"> la última, ya que </w:t>
      </w:r>
      <w:r w:rsidR="00761A31" w:rsidRPr="00D349CB">
        <w:rPr>
          <w:rFonts w:ascii="Century Gothic" w:hAnsi="Century Gothic"/>
          <w:shd w:val="clear" w:color="auto" w:fill="FFFFFF"/>
        </w:rPr>
        <w:t>los trabajadores independientes no están obligados a pagar aportes parafiscales, aunque pueden afiliarse voluntariamente a una caja de compensación familiar.</w:t>
      </w:r>
      <w:r w:rsidRPr="00D349CB">
        <w:rPr>
          <w:rFonts w:ascii="Century Gothic" w:hAnsi="Century Gothic"/>
        </w:rPr>
        <w:t xml:space="preserve"> </w:t>
      </w:r>
    </w:p>
    <w:p w14:paraId="786E399A" w14:textId="77777777" w:rsidR="00761A31" w:rsidRPr="00D349CB" w:rsidRDefault="00761A31" w:rsidP="00D349CB">
      <w:pPr>
        <w:pBdr>
          <w:top w:val="nil"/>
          <w:left w:val="nil"/>
          <w:bottom w:val="nil"/>
          <w:right w:val="nil"/>
          <w:between w:val="nil"/>
        </w:pBdr>
        <w:jc w:val="both"/>
        <w:rPr>
          <w:rFonts w:ascii="Century Gothic" w:hAnsi="Century Gothic"/>
        </w:rPr>
      </w:pPr>
    </w:p>
    <w:p w14:paraId="3F025EAD" w14:textId="64414465" w:rsidR="002B6E2E" w:rsidRPr="00D349CB" w:rsidRDefault="00410FDD" w:rsidP="00D349CB">
      <w:pPr>
        <w:pBdr>
          <w:top w:val="nil"/>
          <w:left w:val="nil"/>
          <w:bottom w:val="nil"/>
          <w:right w:val="nil"/>
          <w:between w:val="nil"/>
        </w:pBdr>
        <w:jc w:val="both"/>
        <w:rPr>
          <w:rFonts w:ascii="Century Gothic" w:hAnsi="Century Gothic"/>
        </w:rPr>
      </w:pPr>
      <w:r w:rsidRPr="00D349CB">
        <w:rPr>
          <w:rFonts w:ascii="Century Gothic" w:hAnsi="Century Gothic"/>
        </w:rPr>
        <w:t>Las cajas de compensación son entidades privadas sin ánimo de lucro que buscan brindar beneficios a sus afiliados a través de servicios como educación, fomento de la salud, emprendimiento, créditos, recreación</w:t>
      </w:r>
      <w:r w:rsidR="00761A31" w:rsidRPr="00D349CB">
        <w:rPr>
          <w:rFonts w:ascii="Century Gothic" w:hAnsi="Century Gothic"/>
        </w:rPr>
        <w:t>,</w:t>
      </w:r>
      <w:r w:rsidRPr="00D349CB">
        <w:rPr>
          <w:rFonts w:ascii="Century Gothic" w:hAnsi="Century Gothic"/>
        </w:rPr>
        <w:t xml:space="preserve"> turismo social, subsidios de vivienda y desempleo</w:t>
      </w:r>
      <w:r w:rsidR="00761A31" w:rsidRPr="00D349CB">
        <w:rPr>
          <w:rFonts w:ascii="Century Gothic" w:hAnsi="Century Gothic"/>
        </w:rPr>
        <w:t>.</w:t>
      </w:r>
      <w:r w:rsidRPr="00D349CB">
        <w:rPr>
          <w:rFonts w:ascii="Century Gothic" w:hAnsi="Century Gothic"/>
        </w:rPr>
        <w:t xml:space="preserve"> </w:t>
      </w:r>
      <w:r w:rsidR="00761A31" w:rsidRPr="00D349CB">
        <w:rPr>
          <w:rFonts w:ascii="Century Gothic" w:hAnsi="Century Gothic"/>
        </w:rPr>
        <w:t>E</w:t>
      </w:r>
      <w:r w:rsidRPr="00D349CB">
        <w:rPr>
          <w:rFonts w:ascii="Century Gothic" w:hAnsi="Century Gothic"/>
        </w:rPr>
        <w:t xml:space="preserve">n las relaciones laborales, el pago de parafiscales es carga única del empleador, y si bien </w:t>
      </w:r>
      <w:r w:rsidR="00761A31" w:rsidRPr="00D349CB">
        <w:rPr>
          <w:rFonts w:ascii="Century Gothic" w:hAnsi="Century Gothic"/>
        </w:rPr>
        <w:t xml:space="preserve">no se deben realizar </w:t>
      </w:r>
      <w:r w:rsidRPr="00D349CB">
        <w:rPr>
          <w:rFonts w:ascii="Century Gothic" w:hAnsi="Century Gothic"/>
        </w:rPr>
        <w:t>aportes parafiscales con destino al ICBF y al SENA cuando los trabajadores devenguen menos de 10 salarios mínimos</w:t>
      </w:r>
      <w:r w:rsidR="002B6E2E" w:rsidRPr="00D349CB">
        <w:rPr>
          <w:rStyle w:val="Refdenotaalpie"/>
          <w:rFonts w:ascii="Century Gothic" w:hAnsi="Century Gothic"/>
        </w:rPr>
        <w:footnoteReference w:id="6"/>
      </w:r>
      <w:r w:rsidRPr="00D349CB">
        <w:rPr>
          <w:rFonts w:ascii="Century Gothic" w:hAnsi="Century Gothic"/>
        </w:rPr>
        <w:t xml:space="preserve">, </w:t>
      </w:r>
      <w:r w:rsidR="00761A31" w:rsidRPr="00D349CB">
        <w:rPr>
          <w:rFonts w:ascii="Century Gothic" w:hAnsi="Century Gothic"/>
        </w:rPr>
        <w:t xml:space="preserve">si se deben efectuar a las </w:t>
      </w:r>
      <w:r w:rsidRPr="00D349CB">
        <w:rPr>
          <w:rFonts w:ascii="Century Gothic" w:hAnsi="Century Gothic"/>
        </w:rPr>
        <w:t xml:space="preserve">cajas de compensación, </w:t>
      </w:r>
      <w:r w:rsidR="00761A31" w:rsidRPr="00D349CB">
        <w:rPr>
          <w:rFonts w:ascii="Century Gothic" w:hAnsi="Century Gothic"/>
        </w:rPr>
        <w:t>sobre</w:t>
      </w:r>
      <w:r w:rsidRPr="00D349CB">
        <w:rPr>
          <w:rFonts w:ascii="Century Gothic" w:hAnsi="Century Gothic"/>
        </w:rPr>
        <w:t xml:space="preserve"> el 4% </w:t>
      </w:r>
      <w:r w:rsidR="002B6E2E" w:rsidRPr="00D349CB">
        <w:rPr>
          <w:rFonts w:ascii="Century Gothic" w:hAnsi="Century Gothic"/>
        </w:rPr>
        <w:t>del</w:t>
      </w:r>
      <w:r w:rsidRPr="00D349CB">
        <w:rPr>
          <w:rFonts w:ascii="Century Gothic" w:hAnsi="Century Gothic"/>
        </w:rPr>
        <w:t xml:space="preserve"> salario que devenguen</w:t>
      </w:r>
      <w:r w:rsidR="00257B01" w:rsidRPr="00D349CB">
        <w:rPr>
          <w:rFonts w:ascii="Century Gothic" w:hAnsi="Century Gothic"/>
        </w:rPr>
        <w:t xml:space="preserve"> los empleados</w:t>
      </w:r>
      <w:r w:rsidR="002B6E2E" w:rsidRPr="00D349CB">
        <w:rPr>
          <w:rFonts w:ascii="Century Gothic" w:hAnsi="Century Gothic"/>
        </w:rPr>
        <w:t xml:space="preserve">. </w:t>
      </w:r>
      <w:r w:rsidRPr="00D349CB">
        <w:rPr>
          <w:rFonts w:ascii="Century Gothic" w:hAnsi="Century Gothic"/>
        </w:rPr>
        <w:t xml:space="preserve"> </w:t>
      </w:r>
    </w:p>
    <w:p w14:paraId="142DAA40" w14:textId="77777777" w:rsidR="002B6E2E" w:rsidRPr="00D349CB" w:rsidRDefault="002B6E2E" w:rsidP="00D349CB">
      <w:pPr>
        <w:pBdr>
          <w:top w:val="nil"/>
          <w:left w:val="nil"/>
          <w:bottom w:val="nil"/>
          <w:right w:val="nil"/>
          <w:between w:val="nil"/>
        </w:pBdr>
        <w:jc w:val="both"/>
        <w:rPr>
          <w:rFonts w:ascii="Century Gothic" w:hAnsi="Century Gothic"/>
        </w:rPr>
      </w:pPr>
    </w:p>
    <w:p w14:paraId="31A24980" w14:textId="61EB12A6" w:rsidR="00E027B4" w:rsidRPr="00D349CB" w:rsidRDefault="002B6E2E" w:rsidP="00D349CB">
      <w:pPr>
        <w:pBdr>
          <w:top w:val="nil"/>
          <w:left w:val="nil"/>
          <w:bottom w:val="nil"/>
          <w:right w:val="nil"/>
          <w:between w:val="nil"/>
        </w:pBdr>
        <w:jc w:val="both"/>
        <w:rPr>
          <w:rFonts w:ascii="Century Gothic" w:hAnsi="Century Gothic"/>
        </w:rPr>
      </w:pPr>
      <w:r w:rsidRPr="00D349CB">
        <w:rPr>
          <w:rFonts w:ascii="Century Gothic" w:hAnsi="Century Gothic"/>
        </w:rPr>
        <w:t xml:space="preserve">Sobre el particular, la Ley </w:t>
      </w:r>
      <w:r w:rsidR="00E027B4" w:rsidRPr="00D349CB">
        <w:rPr>
          <w:rFonts w:ascii="Century Gothic" w:hAnsi="Century Gothic"/>
        </w:rPr>
        <w:t xml:space="preserve">789 de 2002, modificada por la Ley </w:t>
      </w:r>
      <w:r w:rsidRPr="00D349CB">
        <w:rPr>
          <w:rFonts w:ascii="Century Gothic" w:hAnsi="Century Gothic"/>
        </w:rPr>
        <w:t>1819 de 2016, faculto a l</w:t>
      </w:r>
      <w:r w:rsidR="00410FDD" w:rsidRPr="00D349CB">
        <w:rPr>
          <w:rFonts w:ascii="Century Gothic" w:hAnsi="Century Gothic"/>
        </w:rPr>
        <w:t xml:space="preserve">os trabajadores independientes </w:t>
      </w:r>
      <w:r w:rsidR="00257B01" w:rsidRPr="00D349CB">
        <w:rPr>
          <w:rFonts w:ascii="Century Gothic" w:hAnsi="Century Gothic"/>
        </w:rPr>
        <w:t>para</w:t>
      </w:r>
      <w:r w:rsidR="00410FDD" w:rsidRPr="00D349CB">
        <w:rPr>
          <w:rFonts w:ascii="Century Gothic" w:hAnsi="Century Gothic"/>
        </w:rPr>
        <w:t xml:space="preserve"> afiliarse </w:t>
      </w:r>
      <w:r w:rsidR="00257B01" w:rsidRPr="00D349CB">
        <w:rPr>
          <w:rFonts w:ascii="Century Gothic" w:hAnsi="Century Gothic"/>
        </w:rPr>
        <w:t>a</w:t>
      </w:r>
      <w:r w:rsidR="00410FDD" w:rsidRPr="00D349CB">
        <w:rPr>
          <w:rFonts w:ascii="Century Gothic" w:hAnsi="Century Gothic"/>
        </w:rPr>
        <w:t xml:space="preserve"> cajas de compensación familiar, pero exige afiliación previa al sistema de salud</w:t>
      </w:r>
      <w:r w:rsidR="00B61279" w:rsidRPr="00D349CB">
        <w:rPr>
          <w:rFonts w:ascii="Century Gothic" w:hAnsi="Century Gothic"/>
        </w:rPr>
        <w:t xml:space="preserve">, </w:t>
      </w:r>
      <w:r w:rsidR="00257B01" w:rsidRPr="00D349CB">
        <w:rPr>
          <w:rFonts w:ascii="Century Gothic" w:hAnsi="Century Gothic"/>
        </w:rPr>
        <w:t>siendo la base de ingresos para aportar al sistema de cajas</w:t>
      </w:r>
      <w:r w:rsidR="00B61279" w:rsidRPr="00D349CB">
        <w:rPr>
          <w:rFonts w:ascii="Century Gothic" w:hAnsi="Century Gothic"/>
        </w:rPr>
        <w:t>,</w:t>
      </w:r>
      <w:r w:rsidR="00257B01" w:rsidRPr="00D349CB">
        <w:rPr>
          <w:rFonts w:ascii="Century Gothic" w:hAnsi="Century Gothic"/>
        </w:rPr>
        <w:t xml:space="preserve"> la misma base de aporte que exista para el sistema de salud y en todo caso no inferior a la que se utilice dentro del sistema de pensiones</w:t>
      </w:r>
      <w:r w:rsidR="00B61279" w:rsidRPr="00D349CB">
        <w:rPr>
          <w:rFonts w:ascii="Century Gothic" w:hAnsi="Century Gothic"/>
        </w:rPr>
        <w:t xml:space="preserve">. Así, </w:t>
      </w:r>
      <w:r w:rsidRPr="00D349CB">
        <w:rPr>
          <w:rFonts w:ascii="Century Gothic" w:hAnsi="Century Gothic"/>
        </w:rPr>
        <w:t xml:space="preserve">el porcentaje que tiene que portar el trabajador independiente puede ser de dos tipos, del 0.6% sobre la base de cotización, sin embargo, los beneficios de este se limitan a las actividades de recreación, capacitación y turismo social, en este </w:t>
      </w:r>
      <w:r w:rsidRPr="00D349CB">
        <w:rPr>
          <w:rFonts w:ascii="Century Gothic" w:hAnsi="Century Gothic"/>
        </w:rPr>
        <w:lastRenderedPageBreak/>
        <w:t>caso el aporte realizado no otorga derechos para el pago de subsidios, o puede ser del 2% sobre la base cotización y tendrá los mismos derechos que los demás afiliados salvo el subsidio monetario</w:t>
      </w:r>
      <w:r w:rsidR="00E027B4" w:rsidRPr="00D349CB">
        <w:rPr>
          <w:rStyle w:val="Refdenotaalpie"/>
          <w:rFonts w:ascii="Century Gothic" w:hAnsi="Century Gothic"/>
        </w:rPr>
        <w:footnoteReference w:id="7"/>
      </w:r>
      <w:r w:rsidRPr="00D349CB">
        <w:rPr>
          <w:rFonts w:ascii="Century Gothic" w:hAnsi="Century Gothic"/>
        </w:rPr>
        <w:t xml:space="preserve">. </w:t>
      </w:r>
    </w:p>
    <w:p w14:paraId="763A3467" w14:textId="77777777" w:rsidR="00E027B4" w:rsidRPr="00D349CB" w:rsidRDefault="00E027B4" w:rsidP="00D349CB">
      <w:pPr>
        <w:pBdr>
          <w:top w:val="nil"/>
          <w:left w:val="nil"/>
          <w:bottom w:val="nil"/>
          <w:right w:val="nil"/>
          <w:between w:val="nil"/>
        </w:pBdr>
        <w:jc w:val="both"/>
        <w:rPr>
          <w:rFonts w:ascii="Century Gothic" w:hAnsi="Century Gothic"/>
        </w:rPr>
      </w:pPr>
    </w:p>
    <w:p w14:paraId="5C862F24" w14:textId="2B0D6701" w:rsidR="00FE69A9" w:rsidRPr="00D349CB" w:rsidRDefault="007E6E0C" w:rsidP="00D349CB">
      <w:pPr>
        <w:pBdr>
          <w:top w:val="nil"/>
          <w:left w:val="nil"/>
          <w:bottom w:val="nil"/>
          <w:right w:val="nil"/>
          <w:between w:val="nil"/>
        </w:pBdr>
        <w:jc w:val="both"/>
        <w:rPr>
          <w:rFonts w:ascii="Century Gothic" w:hAnsi="Century Gothic"/>
        </w:rPr>
      </w:pPr>
      <w:r w:rsidRPr="00D349CB">
        <w:rPr>
          <w:rFonts w:ascii="Century Gothic" w:hAnsi="Century Gothic"/>
        </w:rPr>
        <w:t>En virtud</w:t>
      </w:r>
      <w:r w:rsidR="00E027B4" w:rsidRPr="00D349CB">
        <w:rPr>
          <w:rFonts w:ascii="Century Gothic" w:hAnsi="Century Gothic"/>
        </w:rPr>
        <w:t xml:space="preserve"> de los porcentajes que debe aportar el trabajador independiente para afiliarse a las cajas de compensación y a los beneficios</w:t>
      </w:r>
      <w:r w:rsidRPr="00D349CB">
        <w:rPr>
          <w:rFonts w:ascii="Century Gothic" w:hAnsi="Century Gothic"/>
        </w:rPr>
        <w:t xml:space="preserve"> limitados a los </w:t>
      </w:r>
      <w:r w:rsidR="00E027B4" w:rsidRPr="00D349CB">
        <w:rPr>
          <w:rFonts w:ascii="Century Gothic" w:hAnsi="Century Gothic"/>
        </w:rPr>
        <w:t xml:space="preserve">que puede acceder, es dable argumentar que para ellos específicamente no se </w:t>
      </w:r>
      <w:r w:rsidRPr="00D349CB">
        <w:rPr>
          <w:rFonts w:ascii="Century Gothic" w:hAnsi="Century Gothic"/>
        </w:rPr>
        <w:t>está</w:t>
      </w:r>
      <w:r w:rsidR="00E027B4" w:rsidRPr="00D349CB">
        <w:rPr>
          <w:rFonts w:ascii="Century Gothic" w:hAnsi="Century Gothic"/>
        </w:rPr>
        <w:t xml:space="preserve"> cumpliendo </w:t>
      </w:r>
      <w:r w:rsidR="002B6E2E" w:rsidRPr="00D349CB">
        <w:rPr>
          <w:rFonts w:ascii="Century Gothic" w:hAnsi="Century Gothic"/>
        </w:rPr>
        <w:t>el objetivo</w:t>
      </w:r>
      <w:r w:rsidRPr="00D349CB">
        <w:rPr>
          <w:rFonts w:ascii="Century Gothic" w:hAnsi="Century Gothic"/>
        </w:rPr>
        <w:t xml:space="preserve"> propio de estas entidades sin ánimo de lucro, pues </w:t>
      </w:r>
      <w:r w:rsidR="002B6E2E" w:rsidRPr="00D349CB">
        <w:rPr>
          <w:rFonts w:ascii="Century Gothic" w:hAnsi="Century Gothic"/>
        </w:rPr>
        <w:t>lo que solo se convierte en carga del trabajador independiente</w:t>
      </w:r>
      <w:r w:rsidRPr="00D349CB">
        <w:rPr>
          <w:rFonts w:ascii="Century Gothic" w:hAnsi="Century Gothic"/>
        </w:rPr>
        <w:t xml:space="preserve">, tan bien se somete a </w:t>
      </w:r>
      <w:r w:rsidR="002B6E2E" w:rsidRPr="00D349CB">
        <w:rPr>
          <w:rFonts w:ascii="Century Gothic" w:hAnsi="Century Gothic"/>
        </w:rPr>
        <w:t xml:space="preserve">beneficios reducidos </w:t>
      </w:r>
      <w:r w:rsidRPr="00D349CB">
        <w:rPr>
          <w:rFonts w:ascii="Century Gothic" w:hAnsi="Century Gothic"/>
        </w:rPr>
        <w:t>en comparación con los que reciben l</w:t>
      </w:r>
      <w:r w:rsidR="002B6E2E" w:rsidRPr="00D349CB">
        <w:rPr>
          <w:rFonts w:ascii="Century Gothic" w:hAnsi="Century Gothic"/>
        </w:rPr>
        <w:t>os trabajadores dependientes</w:t>
      </w:r>
      <w:r w:rsidRPr="00D349CB">
        <w:rPr>
          <w:rFonts w:ascii="Century Gothic" w:hAnsi="Century Gothic"/>
        </w:rPr>
        <w:t xml:space="preserve">. </w:t>
      </w:r>
    </w:p>
    <w:p w14:paraId="703471F5" w14:textId="3EABD82D" w:rsidR="00FE69A9" w:rsidRPr="00D349CB" w:rsidRDefault="008D1495" w:rsidP="00D349CB">
      <w:pPr>
        <w:pBdr>
          <w:top w:val="nil"/>
          <w:left w:val="nil"/>
          <w:bottom w:val="nil"/>
          <w:right w:val="nil"/>
          <w:between w:val="nil"/>
        </w:pBdr>
        <w:jc w:val="both"/>
        <w:rPr>
          <w:rFonts w:ascii="Century Gothic" w:hAnsi="Century Gothic"/>
          <w:b/>
          <w:bCs/>
        </w:rPr>
      </w:pPr>
      <w:r w:rsidRPr="00D349CB">
        <w:rPr>
          <w:rFonts w:ascii="Century Gothic" w:hAnsi="Century Gothic"/>
          <w:b/>
          <w:bCs/>
        </w:rPr>
        <w:t xml:space="preserve"> </w:t>
      </w:r>
    </w:p>
    <w:p w14:paraId="26907707" w14:textId="439F6297" w:rsidR="0003332E" w:rsidRPr="00D349CB" w:rsidRDefault="0003332E" w:rsidP="00D349CB">
      <w:pPr>
        <w:pBdr>
          <w:top w:val="nil"/>
          <w:left w:val="nil"/>
          <w:bottom w:val="nil"/>
          <w:right w:val="nil"/>
          <w:between w:val="nil"/>
        </w:pBdr>
        <w:jc w:val="both"/>
        <w:rPr>
          <w:rFonts w:ascii="Century Gothic" w:hAnsi="Century Gothic"/>
        </w:rPr>
      </w:pPr>
      <w:r w:rsidRPr="00D349CB">
        <w:rPr>
          <w:rFonts w:ascii="Century Gothic" w:hAnsi="Century Gothic"/>
        </w:rPr>
        <w:t>Por otro lado y r</w:t>
      </w:r>
      <w:r w:rsidR="00F06201" w:rsidRPr="00D349CB">
        <w:rPr>
          <w:rFonts w:ascii="Century Gothic" w:hAnsi="Century Gothic"/>
        </w:rPr>
        <w:t>especto al pago de incapacidades</w:t>
      </w:r>
      <w:r w:rsidRPr="00D349CB">
        <w:rPr>
          <w:rFonts w:ascii="Century Gothic" w:hAnsi="Century Gothic"/>
        </w:rPr>
        <w:t>,</w:t>
      </w:r>
      <w:r w:rsidR="00F06201" w:rsidRPr="00D349CB">
        <w:rPr>
          <w:rFonts w:ascii="Century Gothic" w:hAnsi="Century Gothic"/>
        </w:rPr>
        <w:t xml:space="preserve"> </w:t>
      </w:r>
      <w:r w:rsidRPr="00D349CB">
        <w:rPr>
          <w:rFonts w:ascii="Century Gothic" w:hAnsi="Century Gothic"/>
        </w:rPr>
        <w:t xml:space="preserve">es pertinente precisar que,  </w:t>
      </w:r>
      <w:r w:rsidR="00F06201" w:rsidRPr="00D349CB">
        <w:rPr>
          <w:rFonts w:ascii="Century Gothic" w:hAnsi="Century Gothic"/>
        </w:rPr>
        <w:t xml:space="preserve">un trabajador dependiente </w:t>
      </w:r>
      <w:r w:rsidRPr="00D349CB">
        <w:rPr>
          <w:rFonts w:ascii="Century Gothic" w:hAnsi="Century Gothic"/>
        </w:rPr>
        <w:t>con</w:t>
      </w:r>
      <w:r w:rsidR="00F06201" w:rsidRPr="00D349CB">
        <w:rPr>
          <w:rFonts w:ascii="Century Gothic" w:hAnsi="Century Gothic"/>
        </w:rPr>
        <w:t xml:space="preserve"> una incapacidad de origen común, esto es, las que no se originaron por causas relacionadas con el desarrollo de las actividades laborales</w:t>
      </w:r>
      <w:r w:rsidR="00772D5A" w:rsidRPr="00D349CB">
        <w:rPr>
          <w:rFonts w:ascii="Century Gothic" w:hAnsi="Century Gothic"/>
        </w:rPr>
        <w:t>,</w:t>
      </w:r>
      <w:r w:rsidRPr="00D349CB">
        <w:rPr>
          <w:rFonts w:ascii="Century Gothic" w:hAnsi="Century Gothic"/>
        </w:rPr>
        <w:t xml:space="preserve"> </w:t>
      </w:r>
      <w:r w:rsidR="00772D5A" w:rsidRPr="00D349CB">
        <w:rPr>
          <w:rFonts w:ascii="Century Gothic" w:hAnsi="Century Gothic"/>
        </w:rPr>
        <w:t xml:space="preserve">tiene derecho a que </w:t>
      </w:r>
      <w:r w:rsidR="00F06201" w:rsidRPr="00D349CB">
        <w:rPr>
          <w:rFonts w:ascii="Century Gothic" w:hAnsi="Century Gothic"/>
        </w:rPr>
        <w:t>la EPS</w:t>
      </w:r>
      <w:r w:rsidR="00772D5A" w:rsidRPr="00D349CB">
        <w:rPr>
          <w:rFonts w:ascii="Century Gothic" w:hAnsi="Century Gothic"/>
        </w:rPr>
        <w:t>, le pague un</w:t>
      </w:r>
      <w:r w:rsidR="00F06201" w:rsidRPr="00D349CB">
        <w:rPr>
          <w:rFonts w:ascii="Century Gothic" w:hAnsi="Century Gothic"/>
        </w:rPr>
        <w:t xml:space="preserve"> monto de </w:t>
      </w:r>
      <w:r w:rsidRPr="00D349CB">
        <w:rPr>
          <w:rFonts w:ascii="Century Gothic" w:hAnsi="Century Gothic"/>
          <w:shd w:val="clear" w:color="auto" w:fill="FFFFFF"/>
        </w:rPr>
        <w:t>66.66%</w:t>
      </w:r>
      <w:r w:rsidRPr="00D349CB">
        <w:rPr>
          <w:rFonts w:ascii="Century Gothic" w:hAnsi="Century Gothic"/>
        </w:rPr>
        <w:t xml:space="preserve"> del salario, a</w:t>
      </w:r>
      <w:r w:rsidR="00F06201" w:rsidRPr="00D349CB">
        <w:rPr>
          <w:rFonts w:ascii="Century Gothic" w:hAnsi="Century Gothic"/>
        </w:rPr>
        <w:t xml:space="preserve"> partir del tercer día de incapacidad</w:t>
      </w:r>
      <w:r w:rsidR="00772D5A" w:rsidRPr="00D349CB">
        <w:rPr>
          <w:rFonts w:ascii="Century Gothic" w:hAnsi="Century Gothic"/>
        </w:rPr>
        <w:t xml:space="preserve"> y a que </w:t>
      </w:r>
      <w:r w:rsidRPr="00D349CB">
        <w:rPr>
          <w:rFonts w:ascii="Century Gothic" w:hAnsi="Century Gothic"/>
        </w:rPr>
        <w:t>su empleador asuma el salario de los</w:t>
      </w:r>
      <w:r w:rsidR="00F06201" w:rsidRPr="00D349CB">
        <w:rPr>
          <w:rFonts w:ascii="Century Gothic" w:hAnsi="Century Gothic"/>
        </w:rPr>
        <w:t xml:space="preserve"> dos primeros días</w:t>
      </w:r>
      <w:r w:rsidR="00772D5A" w:rsidRPr="00D349CB">
        <w:rPr>
          <w:rFonts w:ascii="Century Gothic" w:hAnsi="Century Gothic"/>
        </w:rPr>
        <w:t>,</w:t>
      </w:r>
      <w:r w:rsidRPr="00D349CB">
        <w:rPr>
          <w:rFonts w:ascii="Century Gothic" w:hAnsi="Century Gothic"/>
        </w:rPr>
        <w:t xml:space="preserve"> sin embargo</w:t>
      </w:r>
      <w:r w:rsidR="00772D5A" w:rsidRPr="00D349CB">
        <w:rPr>
          <w:rFonts w:ascii="Century Gothic" w:hAnsi="Century Gothic"/>
        </w:rPr>
        <w:t>,</w:t>
      </w:r>
      <w:r w:rsidRPr="00D349CB">
        <w:rPr>
          <w:rFonts w:ascii="Century Gothic" w:hAnsi="Century Gothic"/>
        </w:rPr>
        <w:t xml:space="preserve"> </w:t>
      </w:r>
      <w:r w:rsidR="00772D5A" w:rsidRPr="00D349CB">
        <w:rPr>
          <w:rFonts w:ascii="Century Gothic" w:hAnsi="Century Gothic"/>
        </w:rPr>
        <w:t xml:space="preserve">lo mismo no ocurre con </w:t>
      </w:r>
      <w:r w:rsidR="00F06201" w:rsidRPr="00D349CB">
        <w:rPr>
          <w:rFonts w:ascii="Century Gothic" w:hAnsi="Century Gothic"/>
        </w:rPr>
        <w:t>un trabajador independiente</w:t>
      </w:r>
      <w:r w:rsidR="00772D5A" w:rsidRPr="00D349CB">
        <w:rPr>
          <w:rFonts w:ascii="Century Gothic" w:hAnsi="Century Gothic"/>
        </w:rPr>
        <w:t xml:space="preserve">, pues </w:t>
      </w:r>
      <w:r w:rsidR="00F06201" w:rsidRPr="00D349CB">
        <w:rPr>
          <w:rFonts w:ascii="Century Gothic" w:hAnsi="Century Gothic"/>
        </w:rPr>
        <w:t xml:space="preserve"> no cuenta con un patrono que cubra este tipo de circunstancias,</w:t>
      </w:r>
      <w:r w:rsidR="00772D5A" w:rsidRPr="00D349CB">
        <w:rPr>
          <w:rFonts w:ascii="Century Gothic" w:hAnsi="Century Gothic"/>
        </w:rPr>
        <w:t xml:space="preserve"> razón por la cual, </w:t>
      </w:r>
      <w:r w:rsidRPr="00D349CB">
        <w:rPr>
          <w:rFonts w:ascii="Century Gothic" w:hAnsi="Century Gothic"/>
        </w:rPr>
        <w:t xml:space="preserve">debe </w:t>
      </w:r>
      <w:r w:rsidR="00F06201" w:rsidRPr="00D349CB">
        <w:rPr>
          <w:rFonts w:ascii="Century Gothic" w:hAnsi="Century Gothic"/>
        </w:rPr>
        <w:t xml:space="preserve">asumir con sus dos primeros días de incapacidad. </w:t>
      </w:r>
    </w:p>
    <w:p w14:paraId="361BEF37" w14:textId="77777777" w:rsidR="0003332E" w:rsidRPr="00D349CB" w:rsidRDefault="0003332E" w:rsidP="00D349CB">
      <w:pPr>
        <w:pBdr>
          <w:top w:val="nil"/>
          <w:left w:val="nil"/>
          <w:bottom w:val="nil"/>
          <w:right w:val="nil"/>
          <w:between w:val="nil"/>
        </w:pBdr>
        <w:jc w:val="both"/>
        <w:rPr>
          <w:rFonts w:ascii="Century Gothic" w:hAnsi="Century Gothic"/>
        </w:rPr>
      </w:pPr>
    </w:p>
    <w:p w14:paraId="66C3F75A" w14:textId="57AF84BE" w:rsidR="00F06201" w:rsidRPr="00D349CB" w:rsidRDefault="0017581C" w:rsidP="00D349CB">
      <w:pPr>
        <w:pBdr>
          <w:top w:val="nil"/>
          <w:left w:val="nil"/>
          <w:bottom w:val="nil"/>
          <w:right w:val="nil"/>
          <w:between w:val="nil"/>
        </w:pBdr>
        <w:jc w:val="both"/>
        <w:rPr>
          <w:rFonts w:ascii="Century Gothic" w:hAnsi="Century Gothic"/>
        </w:rPr>
      </w:pPr>
      <w:r w:rsidRPr="00D349CB">
        <w:rPr>
          <w:rFonts w:ascii="Century Gothic" w:hAnsi="Century Gothic"/>
        </w:rPr>
        <w:t>Finalmente se tiene que Los trabajadores independientes también están sometidos a la retención en la fuente a título de renta y el concepto de retención varía según el tipo de servicios prestados por el trabajador.</w:t>
      </w:r>
    </w:p>
    <w:p w14:paraId="58190EEC" w14:textId="77777777" w:rsidR="002845FB" w:rsidRPr="00D349CB" w:rsidRDefault="002845FB" w:rsidP="00D349CB">
      <w:pPr>
        <w:pBdr>
          <w:top w:val="nil"/>
          <w:left w:val="nil"/>
          <w:bottom w:val="nil"/>
          <w:right w:val="nil"/>
          <w:between w:val="nil"/>
        </w:pBdr>
        <w:jc w:val="both"/>
        <w:rPr>
          <w:rFonts w:ascii="Century Gothic" w:hAnsi="Century Gothic"/>
          <w:bCs/>
        </w:rPr>
      </w:pPr>
    </w:p>
    <w:p w14:paraId="071C6193" w14:textId="5D378A83" w:rsidR="00F06201" w:rsidRPr="00D349CB" w:rsidRDefault="002845FB" w:rsidP="00D349CB">
      <w:pPr>
        <w:pBdr>
          <w:top w:val="nil"/>
          <w:left w:val="nil"/>
          <w:bottom w:val="nil"/>
          <w:right w:val="nil"/>
          <w:between w:val="nil"/>
        </w:pBdr>
        <w:jc w:val="both"/>
        <w:rPr>
          <w:rFonts w:ascii="Century Gothic" w:hAnsi="Century Gothic"/>
          <w:bCs/>
          <w:highlight w:val="red"/>
        </w:rPr>
      </w:pPr>
      <w:r w:rsidRPr="00D349CB">
        <w:rPr>
          <w:rFonts w:ascii="Century Gothic" w:hAnsi="Century Gothic"/>
          <w:bCs/>
        </w:rPr>
        <w:t xml:space="preserve">En concordancia con lo anteriormente expuesto, es viable concluir </w:t>
      </w:r>
      <w:r w:rsidR="0088608C" w:rsidRPr="00D349CB">
        <w:rPr>
          <w:rFonts w:ascii="Century Gothic" w:hAnsi="Century Gothic"/>
        </w:rPr>
        <w:t>que lo que en un contrato laboral se cuenta como beneficio para un empleado, en un contrato de prestación de servicios se tergiversa y se convierte en una carga para el trabajador, por lo tanto, un trabajador independiente que quiera tener las mismas condiciones que uno dependiente deberá ganar entre un 29% a un 32% más que este</w:t>
      </w:r>
      <w:r w:rsidRPr="00D349CB">
        <w:rPr>
          <w:rFonts w:ascii="Century Gothic" w:hAnsi="Century Gothic"/>
        </w:rPr>
        <w:t>,</w:t>
      </w:r>
      <w:r w:rsidR="0088608C" w:rsidRPr="00D349CB">
        <w:rPr>
          <w:rFonts w:ascii="Century Gothic" w:hAnsi="Century Gothic"/>
        </w:rPr>
        <w:t xml:space="preserve"> para estar en igualdad de condiciones únicamente en lo que respecta a la seguridad social integral y a la caja de compensación familiar, sin dejar de lado el hecho que esta última presta menos beneficios al independiente</w:t>
      </w:r>
      <w:r w:rsidRPr="00D349CB">
        <w:rPr>
          <w:rFonts w:ascii="Century Gothic" w:hAnsi="Century Gothic"/>
        </w:rPr>
        <w:t xml:space="preserve">. </w:t>
      </w:r>
    </w:p>
    <w:p w14:paraId="08E266AB" w14:textId="77777777" w:rsidR="00F06201" w:rsidRPr="00D349CB" w:rsidRDefault="00F06201" w:rsidP="00D349CB">
      <w:pPr>
        <w:pBdr>
          <w:top w:val="nil"/>
          <w:left w:val="nil"/>
          <w:bottom w:val="nil"/>
          <w:right w:val="nil"/>
          <w:between w:val="nil"/>
        </w:pBdr>
        <w:jc w:val="both"/>
        <w:rPr>
          <w:rFonts w:ascii="Century Gothic" w:hAnsi="Century Gothic"/>
        </w:rPr>
      </w:pPr>
    </w:p>
    <w:p w14:paraId="630FE9A1" w14:textId="359D6FBF" w:rsidR="00F06201" w:rsidRPr="00D349CB" w:rsidRDefault="002845FB" w:rsidP="00D349CB">
      <w:pPr>
        <w:pBdr>
          <w:top w:val="nil"/>
          <w:left w:val="nil"/>
          <w:bottom w:val="nil"/>
          <w:right w:val="nil"/>
          <w:between w:val="nil"/>
        </w:pBdr>
        <w:jc w:val="both"/>
        <w:rPr>
          <w:rFonts w:ascii="Century Gothic" w:hAnsi="Century Gothic"/>
        </w:rPr>
      </w:pPr>
      <w:r w:rsidRPr="00D349CB">
        <w:rPr>
          <w:rFonts w:ascii="Century Gothic" w:hAnsi="Century Gothic"/>
        </w:rPr>
        <w:lastRenderedPageBreak/>
        <w:t xml:space="preserve">Cuadro comparativo entre empleados e independientes respecto al porcentaje que les toca sufragar para pago de la seguridad </w:t>
      </w:r>
      <w:r w:rsidR="00E82B0E" w:rsidRPr="00D349CB">
        <w:rPr>
          <w:rFonts w:ascii="Century Gothic" w:hAnsi="Century Gothic"/>
        </w:rPr>
        <w:t>social</w:t>
      </w:r>
      <w:r w:rsidR="006D2B11" w:rsidRPr="00D349CB">
        <w:rPr>
          <w:rFonts w:ascii="Century Gothic" w:hAnsi="Century Gothic"/>
        </w:rPr>
        <w:t xml:space="preserve">, sobre </w:t>
      </w:r>
      <w:r w:rsidR="00E82B0E" w:rsidRPr="00D349CB">
        <w:rPr>
          <w:rFonts w:ascii="Century Gothic" w:hAnsi="Century Gothic"/>
        </w:rPr>
        <w:t>el</w:t>
      </w:r>
      <w:r w:rsidR="006D2B11" w:rsidRPr="00D349CB">
        <w:rPr>
          <w:rFonts w:ascii="Century Gothic" w:hAnsi="Century Gothic"/>
        </w:rPr>
        <w:t xml:space="preserve"> salario mínimo legal mensual vigente</w:t>
      </w:r>
      <w:r w:rsidR="00E82B0E" w:rsidRPr="00D349CB">
        <w:rPr>
          <w:rFonts w:ascii="Century Gothic" w:hAnsi="Century Gothic"/>
        </w:rPr>
        <w:t>, para el 2021: $</w:t>
      </w:r>
      <w:r w:rsidR="00736675" w:rsidRPr="00D349CB">
        <w:rPr>
          <w:rFonts w:ascii="Century Gothic" w:hAnsi="Century Gothic"/>
        </w:rPr>
        <w:t>908</w:t>
      </w:r>
      <w:r w:rsidR="00E82B0E" w:rsidRPr="00D349CB">
        <w:rPr>
          <w:rFonts w:ascii="Century Gothic" w:hAnsi="Century Gothic"/>
        </w:rPr>
        <w:t>.</w:t>
      </w:r>
      <w:r w:rsidR="00736675" w:rsidRPr="00D349CB">
        <w:rPr>
          <w:rFonts w:ascii="Century Gothic" w:hAnsi="Century Gothic"/>
        </w:rPr>
        <w:t>526</w:t>
      </w:r>
      <w:r w:rsidR="00E82B0E" w:rsidRPr="00D349CB">
        <w:rPr>
          <w:rFonts w:ascii="Century Gothic" w:hAnsi="Century Gothic"/>
        </w:rPr>
        <w:t>:</w:t>
      </w:r>
    </w:p>
    <w:p w14:paraId="7FA2355A" w14:textId="0CE5BD4D" w:rsidR="002845FB" w:rsidRPr="00D349CB" w:rsidRDefault="002845FB" w:rsidP="00D349CB">
      <w:pPr>
        <w:pBdr>
          <w:top w:val="nil"/>
          <w:left w:val="nil"/>
          <w:bottom w:val="nil"/>
          <w:right w:val="nil"/>
          <w:between w:val="nil"/>
        </w:pBdr>
        <w:jc w:val="both"/>
        <w:rPr>
          <w:rFonts w:ascii="Century Gothic" w:hAnsi="Century Gothic"/>
        </w:rPr>
      </w:pPr>
    </w:p>
    <w:tbl>
      <w:tblPr>
        <w:tblStyle w:val="Tablaconcuadrcula"/>
        <w:tblW w:w="0" w:type="auto"/>
        <w:jc w:val="center"/>
        <w:tblLook w:val="04A0" w:firstRow="1" w:lastRow="0" w:firstColumn="1" w:lastColumn="0" w:noHBand="0" w:noVBand="1"/>
      </w:tblPr>
      <w:tblGrid>
        <w:gridCol w:w="2029"/>
        <w:gridCol w:w="1323"/>
        <w:gridCol w:w="1323"/>
        <w:gridCol w:w="1811"/>
        <w:gridCol w:w="1811"/>
      </w:tblGrid>
      <w:tr w:rsidR="00D349CB" w:rsidRPr="00D349CB" w14:paraId="1A25E81E" w14:textId="4DE3B03C" w:rsidTr="00F109DD">
        <w:trPr>
          <w:jc w:val="center"/>
        </w:trPr>
        <w:tc>
          <w:tcPr>
            <w:tcW w:w="2029" w:type="dxa"/>
          </w:tcPr>
          <w:p w14:paraId="6570241A" w14:textId="03C59D87" w:rsidR="00736675" w:rsidRPr="00D349CB" w:rsidRDefault="00E82B0E" w:rsidP="00D349CB">
            <w:pPr>
              <w:spacing w:line="276" w:lineRule="auto"/>
              <w:jc w:val="center"/>
              <w:rPr>
                <w:rFonts w:ascii="Century Gothic" w:hAnsi="Century Gothic"/>
                <w:b/>
              </w:rPr>
            </w:pPr>
            <w:r w:rsidRPr="00D349CB">
              <w:rPr>
                <w:rFonts w:ascii="Century Gothic" w:hAnsi="Century Gothic"/>
                <w:b/>
              </w:rPr>
              <w:t>CARGA</w:t>
            </w:r>
          </w:p>
        </w:tc>
        <w:tc>
          <w:tcPr>
            <w:tcW w:w="2646" w:type="dxa"/>
            <w:gridSpan w:val="2"/>
          </w:tcPr>
          <w:p w14:paraId="0A99373E" w14:textId="1E31386D" w:rsidR="00736675" w:rsidRPr="00D349CB" w:rsidRDefault="00E82B0E" w:rsidP="00D349CB">
            <w:pPr>
              <w:spacing w:line="276" w:lineRule="auto"/>
              <w:jc w:val="center"/>
              <w:rPr>
                <w:rFonts w:ascii="Century Gothic" w:hAnsi="Century Gothic"/>
                <w:b/>
              </w:rPr>
            </w:pPr>
            <w:r w:rsidRPr="00D349CB">
              <w:rPr>
                <w:rFonts w:ascii="Century Gothic" w:hAnsi="Century Gothic"/>
                <w:b/>
              </w:rPr>
              <w:t>EMPLEADO</w:t>
            </w:r>
          </w:p>
        </w:tc>
        <w:tc>
          <w:tcPr>
            <w:tcW w:w="3622" w:type="dxa"/>
            <w:gridSpan w:val="2"/>
          </w:tcPr>
          <w:p w14:paraId="32ECC7C9" w14:textId="24EC8C7A" w:rsidR="00736675" w:rsidRPr="00D349CB" w:rsidRDefault="00E82B0E" w:rsidP="00D349CB">
            <w:pPr>
              <w:spacing w:line="276" w:lineRule="auto"/>
              <w:jc w:val="center"/>
              <w:rPr>
                <w:rFonts w:ascii="Century Gothic" w:hAnsi="Century Gothic"/>
                <w:b/>
              </w:rPr>
            </w:pPr>
            <w:r w:rsidRPr="00D349CB">
              <w:rPr>
                <w:rFonts w:ascii="Century Gothic" w:hAnsi="Century Gothic"/>
                <w:b/>
              </w:rPr>
              <w:t>INDEPENDIENTE</w:t>
            </w:r>
          </w:p>
        </w:tc>
      </w:tr>
      <w:tr w:rsidR="00D349CB" w:rsidRPr="00D349CB" w14:paraId="75855575" w14:textId="77777777" w:rsidTr="00B54ADB">
        <w:trPr>
          <w:jc w:val="center"/>
        </w:trPr>
        <w:tc>
          <w:tcPr>
            <w:tcW w:w="4675" w:type="dxa"/>
            <w:gridSpan w:val="3"/>
          </w:tcPr>
          <w:p w14:paraId="31D0C2FC" w14:textId="7D8321FE" w:rsidR="00F109DD" w:rsidRPr="00D349CB" w:rsidRDefault="00F109DD" w:rsidP="00D349CB">
            <w:pPr>
              <w:spacing w:line="276" w:lineRule="auto"/>
              <w:jc w:val="center"/>
              <w:rPr>
                <w:rFonts w:ascii="Century Gothic" w:hAnsi="Century Gothic"/>
                <w:b/>
              </w:rPr>
            </w:pPr>
            <w:r w:rsidRPr="00D349CB">
              <w:rPr>
                <w:rFonts w:ascii="Century Gothic" w:hAnsi="Century Gothic"/>
              </w:rPr>
              <w:t>$908.526*4%=</w:t>
            </w:r>
          </w:p>
        </w:tc>
        <w:tc>
          <w:tcPr>
            <w:tcW w:w="3622" w:type="dxa"/>
            <w:gridSpan w:val="2"/>
          </w:tcPr>
          <w:p w14:paraId="30D4F9F1" w14:textId="31CDFFB9" w:rsidR="00F109DD" w:rsidRPr="00D349CB" w:rsidRDefault="00F109DD" w:rsidP="00D349CB">
            <w:pPr>
              <w:spacing w:line="276" w:lineRule="auto"/>
              <w:jc w:val="center"/>
              <w:rPr>
                <w:rFonts w:ascii="Century Gothic" w:hAnsi="Century Gothic"/>
                <w:b/>
              </w:rPr>
            </w:pPr>
            <w:r w:rsidRPr="00D349CB">
              <w:rPr>
                <w:rFonts w:ascii="Century Gothic" w:hAnsi="Century Gothic"/>
              </w:rPr>
              <w:t>$908.526*40%= 363.410,4</w:t>
            </w:r>
          </w:p>
        </w:tc>
      </w:tr>
      <w:tr w:rsidR="00D349CB" w:rsidRPr="00D349CB" w14:paraId="1B7253CC" w14:textId="40B949A1" w:rsidTr="00F109DD">
        <w:trPr>
          <w:jc w:val="center"/>
        </w:trPr>
        <w:tc>
          <w:tcPr>
            <w:tcW w:w="2029" w:type="dxa"/>
          </w:tcPr>
          <w:p w14:paraId="3B46853D" w14:textId="49287430" w:rsidR="00736675" w:rsidRPr="00D349CB" w:rsidRDefault="00E82B0E" w:rsidP="00D349CB">
            <w:pPr>
              <w:spacing w:line="276" w:lineRule="auto"/>
              <w:jc w:val="center"/>
              <w:rPr>
                <w:rFonts w:ascii="Century Gothic" w:hAnsi="Century Gothic"/>
                <w:b/>
              </w:rPr>
            </w:pPr>
            <w:r w:rsidRPr="00D349CB">
              <w:rPr>
                <w:rFonts w:ascii="Century Gothic" w:hAnsi="Century Gothic"/>
                <w:b/>
              </w:rPr>
              <w:t>SALUD</w:t>
            </w:r>
          </w:p>
        </w:tc>
        <w:tc>
          <w:tcPr>
            <w:tcW w:w="1323" w:type="dxa"/>
          </w:tcPr>
          <w:p w14:paraId="031765E3" w14:textId="1FA0CF5C" w:rsidR="00736675" w:rsidRPr="00D349CB" w:rsidRDefault="00736675" w:rsidP="00D349CB">
            <w:pPr>
              <w:spacing w:line="276" w:lineRule="auto"/>
              <w:jc w:val="center"/>
              <w:rPr>
                <w:rFonts w:ascii="Century Gothic" w:hAnsi="Century Gothic"/>
                <w:bCs/>
              </w:rPr>
            </w:pPr>
            <w:r w:rsidRPr="00D349CB">
              <w:rPr>
                <w:rFonts w:ascii="Century Gothic" w:hAnsi="Century Gothic"/>
                <w:bCs/>
              </w:rPr>
              <w:t>4%</w:t>
            </w:r>
          </w:p>
        </w:tc>
        <w:tc>
          <w:tcPr>
            <w:tcW w:w="1323" w:type="dxa"/>
          </w:tcPr>
          <w:p w14:paraId="2C9A1E36" w14:textId="76EA9EA9" w:rsidR="00736675" w:rsidRPr="00D349CB" w:rsidRDefault="00736675" w:rsidP="00D349CB">
            <w:pPr>
              <w:spacing w:line="276" w:lineRule="auto"/>
              <w:jc w:val="center"/>
              <w:rPr>
                <w:rFonts w:ascii="Century Gothic" w:hAnsi="Century Gothic"/>
                <w:bCs/>
              </w:rPr>
            </w:pPr>
            <w:r w:rsidRPr="00D349CB">
              <w:rPr>
                <w:rFonts w:ascii="Century Gothic" w:hAnsi="Century Gothic"/>
                <w:bCs/>
              </w:rPr>
              <w:t>$36.341</w:t>
            </w:r>
          </w:p>
        </w:tc>
        <w:tc>
          <w:tcPr>
            <w:tcW w:w="1811" w:type="dxa"/>
          </w:tcPr>
          <w:p w14:paraId="24B2C281" w14:textId="27C008F4" w:rsidR="00736675" w:rsidRPr="00D349CB" w:rsidRDefault="00736675" w:rsidP="00D349CB">
            <w:pPr>
              <w:spacing w:line="276" w:lineRule="auto"/>
              <w:jc w:val="center"/>
              <w:rPr>
                <w:rFonts w:ascii="Century Gothic" w:hAnsi="Century Gothic"/>
                <w:bCs/>
              </w:rPr>
            </w:pPr>
            <w:r w:rsidRPr="00D349CB">
              <w:rPr>
                <w:rFonts w:ascii="Century Gothic" w:hAnsi="Century Gothic"/>
              </w:rPr>
              <w:t>12.5%</w:t>
            </w:r>
          </w:p>
        </w:tc>
        <w:tc>
          <w:tcPr>
            <w:tcW w:w="1811" w:type="dxa"/>
          </w:tcPr>
          <w:p w14:paraId="1F4A76A3" w14:textId="1A2D29DF" w:rsidR="00736675" w:rsidRPr="00D349CB" w:rsidRDefault="00736675" w:rsidP="00D349CB">
            <w:pPr>
              <w:spacing w:line="276" w:lineRule="auto"/>
              <w:jc w:val="center"/>
              <w:rPr>
                <w:rFonts w:ascii="Century Gothic" w:hAnsi="Century Gothic"/>
                <w:bCs/>
              </w:rPr>
            </w:pPr>
            <w:r w:rsidRPr="00D349CB">
              <w:rPr>
                <w:rFonts w:ascii="Century Gothic" w:hAnsi="Century Gothic"/>
                <w:bCs/>
              </w:rPr>
              <w:t>$</w:t>
            </w:r>
            <w:r w:rsidR="00F109DD" w:rsidRPr="00D349CB">
              <w:rPr>
                <w:rFonts w:ascii="Century Gothic" w:hAnsi="Century Gothic"/>
                <w:bCs/>
              </w:rPr>
              <w:t>45.426</w:t>
            </w:r>
          </w:p>
        </w:tc>
      </w:tr>
      <w:tr w:rsidR="00D349CB" w:rsidRPr="00D349CB" w14:paraId="49820CE0" w14:textId="06B61A31" w:rsidTr="00F109DD">
        <w:trPr>
          <w:jc w:val="center"/>
        </w:trPr>
        <w:tc>
          <w:tcPr>
            <w:tcW w:w="2029" w:type="dxa"/>
          </w:tcPr>
          <w:p w14:paraId="0C057C66" w14:textId="485106F8" w:rsidR="00736675" w:rsidRPr="00D349CB" w:rsidRDefault="00E82B0E" w:rsidP="00D349CB">
            <w:pPr>
              <w:spacing w:line="276" w:lineRule="auto"/>
              <w:jc w:val="center"/>
              <w:rPr>
                <w:rFonts w:ascii="Century Gothic" w:hAnsi="Century Gothic"/>
                <w:b/>
              </w:rPr>
            </w:pPr>
            <w:r w:rsidRPr="00D349CB">
              <w:rPr>
                <w:rFonts w:ascii="Century Gothic" w:hAnsi="Century Gothic"/>
                <w:b/>
              </w:rPr>
              <w:t>PENSIÓN</w:t>
            </w:r>
          </w:p>
        </w:tc>
        <w:tc>
          <w:tcPr>
            <w:tcW w:w="1323" w:type="dxa"/>
          </w:tcPr>
          <w:p w14:paraId="76C4686C" w14:textId="49AEB67E" w:rsidR="00736675" w:rsidRPr="00D349CB" w:rsidRDefault="00736675" w:rsidP="00D349CB">
            <w:pPr>
              <w:spacing w:line="276" w:lineRule="auto"/>
              <w:jc w:val="center"/>
              <w:rPr>
                <w:rFonts w:ascii="Century Gothic" w:hAnsi="Century Gothic"/>
                <w:bCs/>
              </w:rPr>
            </w:pPr>
            <w:r w:rsidRPr="00D349CB">
              <w:rPr>
                <w:rFonts w:ascii="Century Gothic" w:hAnsi="Century Gothic"/>
                <w:bCs/>
              </w:rPr>
              <w:t>4%</w:t>
            </w:r>
          </w:p>
        </w:tc>
        <w:tc>
          <w:tcPr>
            <w:tcW w:w="1323" w:type="dxa"/>
          </w:tcPr>
          <w:p w14:paraId="3A0113B3" w14:textId="349FCBC0" w:rsidR="00736675" w:rsidRPr="00D349CB" w:rsidRDefault="00736675" w:rsidP="00D349CB">
            <w:pPr>
              <w:spacing w:line="276" w:lineRule="auto"/>
              <w:jc w:val="center"/>
              <w:rPr>
                <w:rFonts w:ascii="Century Gothic" w:hAnsi="Century Gothic"/>
                <w:bCs/>
              </w:rPr>
            </w:pPr>
            <w:r w:rsidRPr="00D349CB">
              <w:rPr>
                <w:rFonts w:ascii="Century Gothic" w:hAnsi="Century Gothic"/>
                <w:bCs/>
              </w:rPr>
              <w:t>$36.341</w:t>
            </w:r>
          </w:p>
        </w:tc>
        <w:tc>
          <w:tcPr>
            <w:tcW w:w="1811" w:type="dxa"/>
          </w:tcPr>
          <w:p w14:paraId="4274E7C1" w14:textId="3E96041D" w:rsidR="00736675" w:rsidRPr="00D349CB" w:rsidRDefault="00736675" w:rsidP="00D349CB">
            <w:pPr>
              <w:spacing w:line="276" w:lineRule="auto"/>
              <w:jc w:val="center"/>
              <w:rPr>
                <w:rFonts w:ascii="Century Gothic" w:hAnsi="Century Gothic"/>
                <w:bCs/>
              </w:rPr>
            </w:pPr>
            <w:r w:rsidRPr="00D349CB">
              <w:rPr>
                <w:rFonts w:ascii="Century Gothic" w:hAnsi="Century Gothic"/>
              </w:rPr>
              <w:t>16%</w:t>
            </w:r>
          </w:p>
        </w:tc>
        <w:tc>
          <w:tcPr>
            <w:tcW w:w="1811" w:type="dxa"/>
          </w:tcPr>
          <w:p w14:paraId="13178E83" w14:textId="52378399" w:rsidR="00736675" w:rsidRPr="00D349CB" w:rsidRDefault="00736675" w:rsidP="00D349CB">
            <w:pPr>
              <w:spacing w:line="276" w:lineRule="auto"/>
              <w:jc w:val="center"/>
              <w:rPr>
                <w:rFonts w:ascii="Century Gothic" w:hAnsi="Century Gothic"/>
                <w:bCs/>
              </w:rPr>
            </w:pPr>
            <w:r w:rsidRPr="00D349CB">
              <w:rPr>
                <w:rFonts w:ascii="Century Gothic" w:hAnsi="Century Gothic"/>
                <w:bCs/>
              </w:rPr>
              <w:t>$</w:t>
            </w:r>
            <w:r w:rsidR="00F109DD" w:rsidRPr="00D349CB">
              <w:rPr>
                <w:rFonts w:ascii="Century Gothic" w:hAnsi="Century Gothic"/>
                <w:bCs/>
              </w:rPr>
              <w:t>58.145,664</w:t>
            </w:r>
          </w:p>
        </w:tc>
      </w:tr>
      <w:tr w:rsidR="00D349CB" w:rsidRPr="00D349CB" w14:paraId="0EA5A551" w14:textId="09C300B9" w:rsidTr="00F109DD">
        <w:trPr>
          <w:jc w:val="center"/>
        </w:trPr>
        <w:tc>
          <w:tcPr>
            <w:tcW w:w="2029" w:type="dxa"/>
          </w:tcPr>
          <w:p w14:paraId="1D34D394" w14:textId="5F1D8EA7" w:rsidR="00736675" w:rsidRPr="00D349CB" w:rsidRDefault="00E82B0E" w:rsidP="00D349CB">
            <w:pPr>
              <w:spacing w:line="276" w:lineRule="auto"/>
              <w:jc w:val="center"/>
              <w:rPr>
                <w:rFonts w:ascii="Century Gothic" w:hAnsi="Century Gothic"/>
                <w:b/>
              </w:rPr>
            </w:pPr>
            <w:r w:rsidRPr="00D349CB">
              <w:rPr>
                <w:rFonts w:ascii="Century Gothic" w:hAnsi="Century Gothic"/>
                <w:b/>
              </w:rPr>
              <w:t>RIESGOS LABORALES</w:t>
            </w:r>
          </w:p>
        </w:tc>
        <w:tc>
          <w:tcPr>
            <w:tcW w:w="1323" w:type="dxa"/>
          </w:tcPr>
          <w:p w14:paraId="21F75DB7" w14:textId="1574C690" w:rsidR="00736675" w:rsidRPr="00D349CB" w:rsidRDefault="00736675" w:rsidP="00D349CB">
            <w:pPr>
              <w:spacing w:line="276" w:lineRule="auto"/>
              <w:jc w:val="center"/>
              <w:rPr>
                <w:rFonts w:ascii="Century Gothic" w:hAnsi="Century Gothic"/>
                <w:bCs/>
              </w:rPr>
            </w:pPr>
            <w:r w:rsidRPr="00D349CB">
              <w:rPr>
                <w:rFonts w:ascii="Century Gothic" w:hAnsi="Century Gothic"/>
                <w:bCs/>
              </w:rPr>
              <w:t>0%</w:t>
            </w:r>
          </w:p>
        </w:tc>
        <w:tc>
          <w:tcPr>
            <w:tcW w:w="1323" w:type="dxa"/>
          </w:tcPr>
          <w:p w14:paraId="5B32E908" w14:textId="1F671431" w:rsidR="00736675" w:rsidRPr="00D349CB" w:rsidRDefault="00736675" w:rsidP="00D349CB">
            <w:pPr>
              <w:spacing w:line="276" w:lineRule="auto"/>
              <w:jc w:val="center"/>
              <w:rPr>
                <w:rFonts w:ascii="Century Gothic" w:hAnsi="Century Gothic"/>
                <w:bCs/>
              </w:rPr>
            </w:pPr>
            <w:r w:rsidRPr="00D349CB">
              <w:rPr>
                <w:rFonts w:ascii="Century Gothic" w:hAnsi="Century Gothic"/>
                <w:bCs/>
              </w:rPr>
              <w:t>$0</w:t>
            </w:r>
          </w:p>
        </w:tc>
        <w:tc>
          <w:tcPr>
            <w:tcW w:w="1811" w:type="dxa"/>
          </w:tcPr>
          <w:p w14:paraId="1BE9439D" w14:textId="77777777" w:rsidR="00736675" w:rsidRPr="00D349CB" w:rsidRDefault="00736675" w:rsidP="00D349CB">
            <w:pPr>
              <w:spacing w:line="276" w:lineRule="auto"/>
              <w:jc w:val="center"/>
              <w:rPr>
                <w:rFonts w:ascii="Century Gothic" w:hAnsi="Century Gothic"/>
              </w:rPr>
            </w:pPr>
            <w:r w:rsidRPr="00D349CB">
              <w:rPr>
                <w:rFonts w:ascii="Century Gothic" w:hAnsi="Century Gothic"/>
              </w:rPr>
              <w:t>0.522%</w:t>
            </w:r>
          </w:p>
          <w:p w14:paraId="0A9120DC" w14:textId="77777777" w:rsidR="00736675" w:rsidRPr="00D349CB" w:rsidRDefault="00736675" w:rsidP="00D349CB">
            <w:pPr>
              <w:spacing w:line="276" w:lineRule="auto"/>
              <w:jc w:val="center"/>
              <w:rPr>
                <w:rFonts w:ascii="Century Gothic" w:hAnsi="Century Gothic"/>
              </w:rPr>
            </w:pPr>
          </w:p>
          <w:p w14:paraId="52F1EFE8" w14:textId="326BD2CD" w:rsidR="00736675" w:rsidRPr="00D349CB" w:rsidRDefault="00736675" w:rsidP="00D349CB">
            <w:pPr>
              <w:spacing w:line="276" w:lineRule="auto"/>
              <w:jc w:val="center"/>
              <w:rPr>
                <w:rFonts w:ascii="Century Gothic" w:hAnsi="Century Gothic"/>
              </w:rPr>
            </w:pPr>
            <w:r w:rsidRPr="00D349CB">
              <w:rPr>
                <w:rFonts w:ascii="Century Gothic" w:hAnsi="Century Gothic"/>
              </w:rPr>
              <w:t>1.044%</w:t>
            </w:r>
          </w:p>
          <w:p w14:paraId="1508BE50" w14:textId="77777777" w:rsidR="00736675" w:rsidRPr="00D349CB" w:rsidRDefault="00736675" w:rsidP="00D349CB">
            <w:pPr>
              <w:spacing w:line="276" w:lineRule="auto"/>
              <w:jc w:val="center"/>
              <w:rPr>
                <w:rFonts w:ascii="Century Gothic" w:hAnsi="Century Gothic"/>
              </w:rPr>
            </w:pPr>
          </w:p>
          <w:p w14:paraId="02F8C66B" w14:textId="7CA65B47" w:rsidR="00736675" w:rsidRPr="00D349CB" w:rsidRDefault="00736675" w:rsidP="00D349CB">
            <w:pPr>
              <w:spacing w:line="276" w:lineRule="auto"/>
              <w:jc w:val="center"/>
              <w:rPr>
                <w:rFonts w:ascii="Century Gothic" w:hAnsi="Century Gothic"/>
                <w:bCs/>
              </w:rPr>
            </w:pPr>
            <w:r w:rsidRPr="00D349CB">
              <w:rPr>
                <w:rFonts w:ascii="Century Gothic" w:hAnsi="Century Gothic"/>
              </w:rPr>
              <w:t>2.436%</w:t>
            </w:r>
          </w:p>
        </w:tc>
        <w:tc>
          <w:tcPr>
            <w:tcW w:w="1811" w:type="dxa"/>
          </w:tcPr>
          <w:p w14:paraId="36A221DC" w14:textId="7A116186" w:rsidR="00736675" w:rsidRPr="00D349CB" w:rsidRDefault="00736675" w:rsidP="00D349CB">
            <w:pPr>
              <w:spacing w:line="276" w:lineRule="auto"/>
              <w:jc w:val="center"/>
              <w:rPr>
                <w:rFonts w:ascii="Century Gothic" w:hAnsi="Century Gothic"/>
                <w:b/>
              </w:rPr>
            </w:pPr>
            <w:r w:rsidRPr="00D349CB">
              <w:rPr>
                <w:rFonts w:ascii="Century Gothic" w:hAnsi="Century Gothic"/>
                <w:b/>
              </w:rPr>
              <w:t>$</w:t>
            </w:r>
            <w:r w:rsidR="00E66848" w:rsidRPr="00D349CB">
              <w:rPr>
                <w:rFonts w:ascii="Century Gothic" w:hAnsi="Century Gothic"/>
                <w:b/>
              </w:rPr>
              <w:t>1.897</w:t>
            </w:r>
          </w:p>
          <w:p w14:paraId="7BBDB732" w14:textId="77777777" w:rsidR="00736675" w:rsidRPr="00D349CB" w:rsidRDefault="00736675" w:rsidP="00D349CB">
            <w:pPr>
              <w:spacing w:line="276" w:lineRule="auto"/>
              <w:jc w:val="center"/>
              <w:rPr>
                <w:rFonts w:ascii="Century Gothic" w:hAnsi="Century Gothic"/>
                <w:bCs/>
              </w:rPr>
            </w:pPr>
          </w:p>
          <w:p w14:paraId="4FB00AF7" w14:textId="6EC62D56" w:rsidR="00736675" w:rsidRPr="00D349CB" w:rsidRDefault="00736675" w:rsidP="00D349CB">
            <w:pPr>
              <w:spacing w:line="276" w:lineRule="auto"/>
              <w:jc w:val="center"/>
              <w:rPr>
                <w:rFonts w:ascii="Century Gothic" w:hAnsi="Century Gothic"/>
                <w:bCs/>
              </w:rPr>
            </w:pPr>
            <w:r w:rsidRPr="00D349CB">
              <w:rPr>
                <w:rFonts w:ascii="Century Gothic" w:hAnsi="Century Gothic"/>
                <w:bCs/>
              </w:rPr>
              <w:t>$</w:t>
            </w:r>
            <w:r w:rsidR="00E66848" w:rsidRPr="00D349CB">
              <w:rPr>
                <w:rFonts w:ascii="Century Gothic" w:hAnsi="Century Gothic"/>
                <w:bCs/>
              </w:rPr>
              <w:t>3.794</w:t>
            </w:r>
          </w:p>
          <w:p w14:paraId="64EC5013" w14:textId="77777777" w:rsidR="00736675" w:rsidRPr="00D349CB" w:rsidRDefault="00736675" w:rsidP="00D349CB">
            <w:pPr>
              <w:spacing w:line="276" w:lineRule="auto"/>
              <w:jc w:val="center"/>
              <w:rPr>
                <w:rFonts w:ascii="Century Gothic" w:hAnsi="Century Gothic"/>
                <w:bCs/>
              </w:rPr>
            </w:pPr>
          </w:p>
          <w:p w14:paraId="18FF777A" w14:textId="162DC864" w:rsidR="00736675" w:rsidRPr="00D349CB" w:rsidRDefault="00736675" w:rsidP="00D349CB">
            <w:pPr>
              <w:spacing w:line="276" w:lineRule="auto"/>
              <w:jc w:val="center"/>
              <w:rPr>
                <w:rFonts w:ascii="Century Gothic" w:hAnsi="Century Gothic"/>
                <w:bCs/>
              </w:rPr>
            </w:pPr>
            <w:r w:rsidRPr="00D349CB">
              <w:rPr>
                <w:rFonts w:ascii="Century Gothic" w:hAnsi="Century Gothic"/>
                <w:bCs/>
              </w:rPr>
              <w:t>$</w:t>
            </w:r>
            <w:r w:rsidR="00E66848" w:rsidRPr="00D349CB">
              <w:rPr>
                <w:rFonts w:ascii="Century Gothic" w:hAnsi="Century Gothic"/>
                <w:bCs/>
              </w:rPr>
              <w:t>8.852</w:t>
            </w:r>
          </w:p>
        </w:tc>
      </w:tr>
      <w:tr w:rsidR="00D349CB" w:rsidRPr="00D349CB" w14:paraId="0A5CC922" w14:textId="1B9734A0" w:rsidTr="00F109DD">
        <w:trPr>
          <w:jc w:val="center"/>
        </w:trPr>
        <w:tc>
          <w:tcPr>
            <w:tcW w:w="2029" w:type="dxa"/>
          </w:tcPr>
          <w:p w14:paraId="03C3D205" w14:textId="2D88706B" w:rsidR="00736675" w:rsidRPr="00D349CB" w:rsidRDefault="00E82B0E" w:rsidP="00D349CB">
            <w:pPr>
              <w:spacing w:line="276" w:lineRule="auto"/>
              <w:jc w:val="center"/>
              <w:rPr>
                <w:rFonts w:ascii="Century Gothic" w:hAnsi="Century Gothic"/>
                <w:b/>
              </w:rPr>
            </w:pPr>
            <w:r w:rsidRPr="00D349CB">
              <w:rPr>
                <w:rFonts w:ascii="Century Gothic" w:hAnsi="Century Gothic"/>
                <w:b/>
              </w:rPr>
              <w:t>CAJAS DE COMPENSACIÓN</w:t>
            </w:r>
          </w:p>
        </w:tc>
        <w:tc>
          <w:tcPr>
            <w:tcW w:w="1323" w:type="dxa"/>
          </w:tcPr>
          <w:p w14:paraId="1B81EDB4" w14:textId="596D50DE" w:rsidR="00736675" w:rsidRPr="00D349CB" w:rsidRDefault="00736675" w:rsidP="00D349CB">
            <w:pPr>
              <w:spacing w:line="276" w:lineRule="auto"/>
              <w:jc w:val="center"/>
              <w:rPr>
                <w:rFonts w:ascii="Century Gothic" w:hAnsi="Century Gothic"/>
                <w:bCs/>
              </w:rPr>
            </w:pPr>
            <w:r w:rsidRPr="00D349CB">
              <w:rPr>
                <w:rFonts w:ascii="Century Gothic" w:hAnsi="Century Gothic"/>
                <w:bCs/>
              </w:rPr>
              <w:t>0%</w:t>
            </w:r>
          </w:p>
        </w:tc>
        <w:tc>
          <w:tcPr>
            <w:tcW w:w="1323" w:type="dxa"/>
          </w:tcPr>
          <w:p w14:paraId="0EBEAA68" w14:textId="507E4E60" w:rsidR="00736675" w:rsidRPr="00D349CB" w:rsidRDefault="00736675" w:rsidP="00D349CB">
            <w:pPr>
              <w:spacing w:line="276" w:lineRule="auto"/>
              <w:jc w:val="center"/>
              <w:rPr>
                <w:rFonts w:ascii="Century Gothic" w:hAnsi="Century Gothic"/>
                <w:bCs/>
              </w:rPr>
            </w:pPr>
            <w:r w:rsidRPr="00D349CB">
              <w:rPr>
                <w:rFonts w:ascii="Century Gothic" w:hAnsi="Century Gothic"/>
                <w:bCs/>
              </w:rPr>
              <w:t>$0</w:t>
            </w:r>
          </w:p>
        </w:tc>
        <w:tc>
          <w:tcPr>
            <w:tcW w:w="1811" w:type="dxa"/>
          </w:tcPr>
          <w:p w14:paraId="1CE2F0CC" w14:textId="6D82D0B2" w:rsidR="00736675" w:rsidRPr="00D349CB" w:rsidRDefault="00736675" w:rsidP="00D349CB">
            <w:pPr>
              <w:spacing w:line="276" w:lineRule="auto"/>
              <w:jc w:val="center"/>
              <w:rPr>
                <w:rFonts w:ascii="Century Gothic" w:hAnsi="Century Gothic"/>
              </w:rPr>
            </w:pPr>
            <w:r w:rsidRPr="00D349CB">
              <w:rPr>
                <w:rFonts w:ascii="Century Gothic" w:hAnsi="Century Gothic"/>
              </w:rPr>
              <w:t>0.6%</w:t>
            </w:r>
          </w:p>
          <w:p w14:paraId="2FFC0737" w14:textId="77777777" w:rsidR="00736675" w:rsidRPr="00D349CB" w:rsidRDefault="00736675" w:rsidP="00D349CB">
            <w:pPr>
              <w:spacing w:line="276" w:lineRule="auto"/>
              <w:jc w:val="center"/>
              <w:rPr>
                <w:rFonts w:ascii="Century Gothic" w:hAnsi="Century Gothic"/>
              </w:rPr>
            </w:pPr>
          </w:p>
          <w:p w14:paraId="728F2305" w14:textId="493C7908" w:rsidR="00736675" w:rsidRPr="00D349CB" w:rsidRDefault="00736675" w:rsidP="00D349CB">
            <w:pPr>
              <w:spacing w:line="276" w:lineRule="auto"/>
              <w:jc w:val="center"/>
              <w:rPr>
                <w:rFonts w:ascii="Century Gothic" w:hAnsi="Century Gothic"/>
                <w:bCs/>
              </w:rPr>
            </w:pPr>
            <w:r w:rsidRPr="00D349CB">
              <w:rPr>
                <w:rFonts w:ascii="Century Gothic" w:hAnsi="Century Gothic"/>
              </w:rPr>
              <w:t>2%</w:t>
            </w:r>
          </w:p>
        </w:tc>
        <w:tc>
          <w:tcPr>
            <w:tcW w:w="1811" w:type="dxa"/>
          </w:tcPr>
          <w:p w14:paraId="5897F159" w14:textId="2B9B14EC" w:rsidR="00736675" w:rsidRPr="00D349CB" w:rsidRDefault="00736675" w:rsidP="00D349CB">
            <w:pPr>
              <w:spacing w:line="276" w:lineRule="auto"/>
              <w:jc w:val="center"/>
              <w:rPr>
                <w:rFonts w:ascii="Century Gothic" w:hAnsi="Century Gothic"/>
                <w:b/>
              </w:rPr>
            </w:pPr>
            <w:r w:rsidRPr="00D349CB">
              <w:rPr>
                <w:rFonts w:ascii="Century Gothic" w:hAnsi="Century Gothic"/>
                <w:b/>
              </w:rPr>
              <w:t>$</w:t>
            </w:r>
            <w:r w:rsidR="00E66848" w:rsidRPr="00D349CB">
              <w:rPr>
                <w:rFonts w:ascii="Century Gothic" w:hAnsi="Century Gothic"/>
                <w:b/>
              </w:rPr>
              <w:t>2.180</w:t>
            </w:r>
          </w:p>
          <w:p w14:paraId="60ED5E4B" w14:textId="77777777" w:rsidR="00736675" w:rsidRPr="00D349CB" w:rsidRDefault="00736675" w:rsidP="00D349CB">
            <w:pPr>
              <w:spacing w:line="276" w:lineRule="auto"/>
              <w:jc w:val="center"/>
              <w:rPr>
                <w:rFonts w:ascii="Century Gothic" w:hAnsi="Century Gothic"/>
                <w:bCs/>
              </w:rPr>
            </w:pPr>
          </w:p>
          <w:p w14:paraId="12CAA589" w14:textId="1749DDBE" w:rsidR="00736675" w:rsidRPr="00D349CB" w:rsidRDefault="00736675" w:rsidP="00D349CB">
            <w:pPr>
              <w:spacing w:line="276" w:lineRule="auto"/>
              <w:jc w:val="center"/>
              <w:rPr>
                <w:rFonts w:ascii="Century Gothic" w:hAnsi="Century Gothic"/>
                <w:bCs/>
              </w:rPr>
            </w:pPr>
            <w:r w:rsidRPr="00D349CB">
              <w:rPr>
                <w:rFonts w:ascii="Century Gothic" w:hAnsi="Century Gothic"/>
                <w:bCs/>
              </w:rPr>
              <w:t>$</w:t>
            </w:r>
            <w:r w:rsidR="00E66848" w:rsidRPr="00D349CB">
              <w:rPr>
                <w:rFonts w:ascii="Century Gothic" w:hAnsi="Century Gothic"/>
                <w:bCs/>
              </w:rPr>
              <w:t>7.268</w:t>
            </w:r>
          </w:p>
        </w:tc>
      </w:tr>
      <w:tr w:rsidR="00D349CB" w:rsidRPr="00D349CB" w14:paraId="44517C71" w14:textId="77777777" w:rsidTr="00F109DD">
        <w:trPr>
          <w:jc w:val="center"/>
        </w:trPr>
        <w:tc>
          <w:tcPr>
            <w:tcW w:w="3352" w:type="dxa"/>
            <w:gridSpan w:val="2"/>
          </w:tcPr>
          <w:p w14:paraId="39D029A0" w14:textId="4E8D2EC7" w:rsidR="00736675" w:rsidRPr="00D349CB" w:rsidRDefault="00E82B0E" w:rsidP="00D349CB">
            <w:pPr>
              <w:spacing w:line="276" w:lineRule="auto"/>
              <w:jc w:val="center"/>
              <w:rPr>
                <w:rFonts w:ascii="Century Gothic" w:hAnsi="Century Gothic"/>
                <w:b/>
              </w:rPr>
            </w:pPr>
            <w:r w:rsidRPr="00D349CB">
              <w:rPr>
                <w:rFonts w:ascii="Century Gothic" w:hAnsi="Century Gothic"/>
                <w:b/>
              </w:rPr>
              <w:t>TOTAL:</w:t>
            </w:r>
          </w:p>
        </w:tc>
        <w:tc>
          <w:tcPr>
            <w:tcW w:w="1323" w:type="dxa"/>
          </w:tcPr>
          <w:p w14:paraId="01D9A915" w14:textId="0F95DDF9" w:rsidR="00736675" w:rsidRPr="00D349CB" w:rsidRDefault="00E82B0E" w:rsidP="00D349CB">
            <w:pPr>
              <w:spacing w:line="276" w:lineRule="auto"/>
              <w:jc w:val="center"/>
              <w:rPr>
                <w:rFonts w:ascii="Century Gothic" w:hAnsi="Century Gothic"/>
                <w:bCs/>
              </w:rPr>
            </w:pPr>
            <w:r w:rsidRPr="00D349CB">
              <w:rPr>
                <w:rFonts w:ascii="Century Gothic" w:hAnsi="Century Gothic"/>
                <w:bCs/>
              </w:rPr>
              <w:t>$72.682</w:t>
            </w:r>
          </w:p>
        </w:tc>
        <w:tc>
          <w:tcPr>
            <w:tcW w:w="1811" w:type="dxa"/>
          </w:tcPr>
          <w:p w14:paraId="163848D3" w14:textId="77777777" w:rsidR="00736675" w:rsidRPr="00D349CB" w:rsidRDefault="00736675" w:rsidP="00D349CB">
            <w:pPr>
              <w:spacing w:line="276" w:lineRule="auto"/>
              <w:jc w:val="center"/>
              <w:rPr>
                <w:rFonts w:ascii="Century Gothic" w:hAnsi="Century Gothic"/>
              </w:rPr>
            </w:pPr>
          </w:p>
        </w:tc>
        <w:tc>
          <w:tcPr>
            <w:tcW w:w="1811" w:type="dxa"/>
          </w:tcPr>
          <w:p w14:paraId="084E70FE" w14:textId="1C809D3B" w:rsidR="00736675" w:rsidRPr="00D349CB" w:rsidRDefault="00E82B0E" w:rsidP="00D349CB">
            <w:pPr>
              <w:spacing w:line="276" w:lineRule="auto"/>
              <w:jc w:val="center"/>
              <w:rPr>
                <w:rFonts w:ascii="Century Gothic" w:hAnsi="Century Gothic"/>
                <w:bCs/>
              </w:rPr>
            </w:pPr>
            <w:r w:rsidRPr="00D349CB">
              <w:rPr>
                <w:rFonts w:ascii="Century Gothic" w:hAnsi="Century Gothic"/>
                <w:bCs/>
              </w:rPr>
              <w:t>$</w:t>
            </w:r>
            <w:r w:rsidR="00E66848" w:rsidRPr="00D349CB">
              <w:rPr>
                <w:rFonts w:ascii="Century Gothic" w:hAnsi="Century Gothic"/>
                <w:bCs/>
              </w:rPr>
              <w:t>107.649</w:t>
            </w:r>
          </w:p>
        </w:tc>
      </w:tr>
    </w:tbl>
    <w:p w14:paraId="649BF356" w14:textId="77777777" w:rsidR="002845FB" w:rsidRPr="00D349CB" w:rsidRDefault="002845FB" w:rsidP="00D349CB">
      <w:pPr>
        <w:pBdr>
          <w:top w:val="nil"/>
          <w:left w:val="nil"/>
          <w:bottom w:val="nil"/>
          <w:right w:val="nil"/>
          <w:between w:val="nil"/>
        </w:pBdr>
        <w:jc w:val="both"/>
        <w:rPr>
          <w:rFonts w:ascii="Century Gothic" w:hAnsi="Century Gothic"/>
          <w:bCs/>
          <w:highlight w:val="red"/>
        </w:rPr>
      </w:pPr>
    </w:p>
    <w:p w14:paraId="55298887" w14:textId="77777777" w:rsidR="00F06201" w:rsidRPr="00D349CB" w:rsidRDefault="00F06201" w:rsidP="00D349CB">
      <w:pPr>
        <w:pBdr>
          <w:top w:val="nil"/>
          <w:left w:val="nil"/>
          <w:bottom w:val="nil"/>
          <w:right w:val="nil"/>
          <w:between w:val="nil"/>
        </w:pBdr>
        <w:jc w:val="both"/>
        <w:rPr>
          <w:rFonts w:ascii="Century Gothic" w:hAnsi="Century Gothic"/>
          <w:bCs/>
          <w:highlight w:val="red"/>
        </w:rPr>
      </w:pPr>
    </w:p>
    <w:p w14:paraId="5C27CAAF" w14:textId="73AC8A6F" w:rsidR="00C83C99" w:rsidRPr="00D349CB" w:rsidRDefault="00E82B0E" w:rsidP="00D349CB">
      <w:pPr>
        <w:jc w:val="both"/>
        <w:rPr>
          <w:rFonts w:ascii="Century Gothic" w:hAnsi="Century Gothic"/>
          <w:bCs/>
        </w:rPr>
      </w:pPr>
      <w:r w:rsidRPr="00D349CB">
        <w:rPr>
          <w:rFonts w:ascii="Century Gothic" w:hAnsi="Century Gothic"/>
        </w:rPr>
        <w:t>Es decir, un</w:t>
      </w:r>
      <w:r w:rsidR="00EE7822" w:rsidRPr="00D349CB">
        <w:rPr>
          <w:rFonts w:ascii="Century Gothic" w:hAnsi="Century Gothic"/>
        </w:rPr>
        <w:t xml:space="preserve"> empleado vinculado mediante contrato de trabajo, </w:t>
      </w:r>
      <w:r w:rsidRPr="00D349CB">
        <w:rPr>
          <w:rFonts w:ascii="Century Gothic" w:hAnsi="Century Gothic"/>
        </w:rPr>
        <w:t>solo tiene que aportar el 8% para el pago de seguridad social y por consiguiente</w:t>
      </w:r>
      <w:r w:rsidR="00EE7822" w:rsidRPr="00D349CB">
        <w:rPr>
          <w:rFonts w:ascii="Century Gothic" w:hAnsi="Century Gothic"/>
        </w:rPr>
        <w:t xml:space="preserve"> le descuentan una suma de $72.682</w:t>
      </w:r>
      <w:r w:rsidR="00C83C99" w:rsidRPr="00D349CB">
        <w:rPr>
          <w:rFonts w:ascii="Century Gothic" w:hAnsi="Century Gothic"/>
        </w:rPr>
        <w:t xml:space="preserve"> sobre el salario mínimo</w:t>
      </w:r>
      <w:r w:rsidR="00EE7822" w:rsidRPr="00D349CB">
        <w:rPr>
          <w:rFonts w:ascii="Century Gothic" w:hAnsi="Century Gothic"/>
        </w:rPr>
        <w:t>, valor que se compensa con el subsidio de transporte, pero por el contrario</w:t>
      </w:r>
      <w:r w:rsidR="00C83C99" w:rsidRPr="00D349CB">
        <w:rPr>
          <w:rFonts w:ascii="Century Gothic" w:hAnsi="Century Gothic"/>
        </w:rPr>
        <w:t>,</w:t>
      </w:r>
      <w:r w:rsidR="00EE7822" w:rsidRPr="00D349CB">
        <w:rPr>
          <w:rFonts w:ascii="Century Gothic" w:hAnsi="Century Gothic"/>
        </w:rPr>
        <w:t xml:space="preserve"> un trabajador independiente tiene que aportar al sistema de seguridad social el 29.622% de sus ingresos u honorarios</w:t>
      </w:r>
      <w:r w:rsidR="00C83C99" w:rsidRPr="00D349CB">
        <w:rPr>
          <w:rFonts w:ascii="Century Gothic" w:hAnsi="Century Gothic"/>
        </w:rPr>
        <w:t>,</w:t>
      </w:r>
      <w:r w:rsidR="00EE7822" w:rsidRPr="00D349CB">
        <w:rPr>
          <w:rFonts w:ascii="Century Gothic" w:hAnsi="Century Gothic"/>
        </w:rPr>
        <w:t xml:space="preserve"> y esto teniendo en cuenta que  se afilie a la ARL, por el riesgo </w:t>
      </w:r>
      <w:r w:rsidR="00F74C8E" w:rsidRPr="00D349CB">
        <w:rPr>
          <w:rFonts w:ascii="Century Gothic" w:hAnsi="Century Gothic"/>
        </w:rPr>
        <w:t>más</w:t>
      </w:r>
      <w:r w:rsidR="00EE7822" w:rsidRPr="00D349CB">
        <w:rPr>
          <w:rFonts w:ascii="Century Gothic" w:hAnsi="Century Gothic"/>
        </w:rPr>
        <w:t xml:space="preserve"> bajo y a la caja de compensación por el 0.6%, lo que en dinero equivale a </w:t>
      </w:r>
      <w:r w:rsidR="00E66848" w:rsidRPr="00D349CB">
        <w:rPr>
          <w:rFonts w:ascii="Century Gothic" w:hAnsi="Century Gothic"/>
          <w:bCs/>
        </w:rPr>
        <w:t>$107.649.</w:t>
      </w:r>
    </w:p>
    <w:p w14:paraId="4DF3F5F0" w14:textId="0845950A" w:rsidR="00E82B0E" w:rsidRPr="00D349CB" w:rsidRDefault="00E82B0E" w:rsidP="00D349CB">
      <w:pPr>
        <w:pBdr>
          <w:top w:val="nil"/>
          <w:left w:val="nil"/>
          <w:bottom w:val="nil"/>
          <w:right w:val="nil"/>
          <w:between w:val="nil"/>
        </w:pBdr>
        <w:jc w:val="both"/>
        <w:rPr>
          <w:rFonts w:ascii="Century Gothic" w:hAnsi="Century Gothic"/>
        </w:rPr>
      </w:pPr>
    </w:p>
    <w:p w14:paraId="707346EB" w14:textId="1A694EB0" w:rsidR="00F109DD" w:rsidRPr="00D349CB" w:rsidRDefault="00E66848" w:rsidP="00D349CB">
      <w:pPr>
        <w:pBdr>
          <w:top w:val="nil"/>
          <w:left w:val="nil"/>
          <w:bottom w:val="nil"/>
          <w:right w:val="nil"/>
          <w:between w:val="nil"/>
        </w:pBdr>
        <w:jc w:val="both"/>
        <w:rPr>
          <w:rFonts w:ascii="Century Gothic" w:hAnsi="Century Gothic"/>
        </w:rPr>
      </w:pPr>
      <w:r w:rsidRPr="00D349CB">
        <w:rPr>
          <w:rFonts w:ascii="Century Gothic" w:hAnsi="Century Gothic"/>
        </w:rPr>
        <w:t>L</w:t>
      </w:r>
      <w:r w:rsidR="00F109DD" w:rsidRPr="00D349CB">
        <w:rPr>
          <w:rFonts w:ascii="Century Gothic" w:hAnsi="Century Gothic"/>
        </w:rPr>
        <w:t xml:space="preserve">a carga excesiva de los aportes a seguridad social a cargo de los trabajadores independientes se agudiza cuando tienen </w:t>
      </w:r>
      <w:r w:rsidR="00F74C8E" w:rsidRPr="00D349CB">
        <w:rPr>
          <w:rFonts w:ascii="Century Gothic" w:hAnsi="Century Gothic"/>
        </w:rPr>
        <w:t>más</w:t>
      </w:r>
      <w:r w:rsidR="00F109DD" w:rsidRPr="00D349CB">
        <w:rPr>
          <w:rFonts w:ascii="Century Gothic" w:hAnsi="Century Gothic"/>
        </w:rPr>
        <w:t xml:space="preserve"> de un contrato de prestación de servicios, pues por cada uno</w:t>
      </w:r>
      <w:r w:rsidRPr="00D349CB">
        <w:rPr>
          <w:rFonts w:ascii="Century Gothic" w:hAnsi="Century Gothic"/>
        </w:rPr>
        <w:t xml:space="preserve"> de los contratos se deberá aportar </w:t>
      </w:r>
      <w:r w:rsidR="005060D6" w:rsidRPr="00D349CB">
        <w:rPr>
          <w:rFonts w:ascii="Century Gothic" w:hAnsi="Century Gothic"/>
        </w:rPr>
        <w:t>el 29.622</w:t>
      </w:r>
      <w:r w:rsidRPr="00D349CB">
        <w:rPr>
          <w:rFonts w:ascii="Century Gothic" w:hAnsi="Century Gothic"/>
        </w:rPr>
        <w:t>%, de los honorarios, situación que sigue siendo más desfavorable</w:t>
      </w:r>
      <w:r w:rsidR="005060D6" w:rsidRPr="00D349CB">
        <w:rPr>
          <w:rFonts w:ascii="Century Gothic" w:hAnsi="Century Gothic"/>
        </w:rPr>
        <w:t xml:space="preserve">, </w:t>
      </w:r>
      <w:r w:rsidRPr="00D349CB">
        <w:rPr>
          <w:rFonts w:ascii="Century Gothic" w:hAnsi="Century Gothic"/>
        </w:rPr>
        <w:t xml:space="preserve">pues un empleado dependiente no aporta </w:t>
      </w:r>
      <w:r w:rsidR="00F74C8E" w:rsidRPr="00D349CB">
        <w:rPr>
          <w:rFonts w:ascii="Century Gothic" w:hAnsi="Century Gothic"/>
        </w:rPr>
        <w:t>más</w:t>
      </w:r>
      <w:r w:rsidRPr="00D349CB">
        <w:rPr>
          <w:rFonts w:ascii="Century Gothic" w:hAnsi="Century Gothic"/>
        </w:rPr>
        <w:t xml:space="preserve"> a seguridad social porque su salario aumente, premisa que debería regir también para los trabajadores independientes.</w:t>
      </w:r>
    </w:p>
    <w:p w14:paraId="0252A00A" w14:textId="77777777" w:rsidR="00E66848" w:rsidRPr="00D349CB" w:rsidRDefault="00E66848" w:rsidP="00D349CB">
      <w:pPr>
        <w:pBdr>
          <w:top w:val="nil"/>
          <w:left w:val="nil"/>
          <w:bottom w:val="nil"/>
          <w:right w:val="nil"/>
          <w:between w:val="nil"/>
        </w:pBdr>
        <w:jc w:val="both"/>
        <w:rPr>
          <w:rFonts w:ascii="Century Gothic" w:hAnsi="Century Gothic"/>
        </w:rPr>
      </w:pPr>
    </w:p>
    <w:p w14:paraId="73E159C4" w14:textId="1BBF8A65" w:rsidR="00857DEF" w:rsidRPr="00D349CB" w:rsidRDefault="00F4571D" w:rsidP="00D349CB">
      <w:pPr>
        <w:pBdr>
          <w:top w:val="nil"/>
          <w:left w:val="nil"/>
          <w:bottom w:val="nil"/>
          <w:right w:val="nil"/>
          <w:between w:val="nil"/>
        </w:pBdr>
        <w:jc w:val="both"/>
        <w:rPr>
          <w:rFonts w:ascii="Century Gothic" w:hAnsi="Century Gothic"/>
          <w:bCs/>
        </w:rPr>
      </w:pPr>
      <w:r w:rsidRPr="00D349CB">
        <w:rPr>
          <w:rFonts w:ascii="Century Gothic" w:hAnsi="Century Gothic"/>
          <w:bCs/>
        </w:rPr>
        <w:t xml:space="preserve">De esta manera, </w:t>
      </w:r>
      <w:r w:rsidR="00930FB3" w:rsidRPr="00D349CB">
        <w:rPr>
          <w:rFonts w:ascii="Century Gothic" w:hAnsi="Century Gothic"/>
          <w:bCs/>
        </w:rPr>
        <w:t xml:space="preserve">acogiendo el criterio de la justicia distributiva </w:t>
      </w:r>
      <w:r w:rsidR="005060D6" w:rsidRPr="00D349CB">
        <w:rPr>
          <w:rFonts w:ascii="Century Gothic" w:hAnsi="Century Gothic"/>
          <w:bCs/>
        </w:rPr>
        <w:t xml:space="preserve">y </w:t>
      </w:r>
      <w:r w:rsidR="003E59B8" w:rsidRPr="00D349CB">
        <w:rPr>
          <w:rFonts w:ascii="Century Gothic" w:hAnsi="Century Gothic"/>
          <w:bCs/>
        </w:rPr>
        <w:t>pretendiendo que no recaiga to</w:t>
      </w:r>
      <w:r w:rsidR="00A309E0" w:rsidRPr="00D349CB">
        <w:rPr>
          <w:rFonts w:ascii="Century Gothic" w:hAnsi="Century Gothic"/>
          <w:bCs/>
        </w:rPr>
        <w:t>do</w:t>
      </w:r>
      <w:r w:rsidR="003E59B8" w:rsidRPr="00D349CB">
        <w:rPr>
          <w:rFonts w:ascii="Century Gothic" w:hAnsi="Century Gothic"/>
          <w:bCs/>
        </w:rPr>
        <w:t xml:space="preserve"> el peso del sistema sobre </w:t>
      </w:r>
      <w:r w:rsidR="00BF09E7" w:rsidRPr="00D349CB">
        <w:rPr>
          <w:rFonts w:ascii="Century Gothic" w:hAnsi="Century Gothic"/>
          <w:bCs/>
        </w:rPr>
        <w:t xml:space="preserve">los que menos </w:t>
      </w:r>
      <w:r w:rsidR="00A309E0" w:rsidRPr="00D349CB">
        <w:rPr>
          <w:rFonts w:ascii="Century Gothic" w:hAnsi="Century Gothic"/>
          <w:bCs/>
        </w:rPr>
        <w:t>ingresos tienen</w:t>
      </w:r>
      <w:r w:rsidR="00346233" w:rsidRPr="00D349CB">
        <w:rPr>
          <w:rFonts w:ascii="Century Gothic" w:hAnsi="Century Gothic"/>
          <w:bCs/>
        </w:rPr>
        <w:t>,</w:t>
      </w:r>
      <w:r w:rsidR="005060D6" w:rsidRPr="00D349CB">
        <w:rPr>
          <w:rFonts w:ascii="Century Gothic" w:hAnsi="Century Gothic"/>
          <w:bCs/>
        </w:rPr>
        <w:t xml:space="preserve"> los que no tienen una estabilidad laboral y tampoco gozan de prestaciones sociales, se propone establecer un ingreso base de cotización justo y equitativo para calcular el aporte a seguridad social de los trabajadores independientes, esto, sin </w:t>
      </w:r>
      <w:r w:rsidR="005060D6" w:rsidRPr="00D349CB">
        <w:rPr>
          <w:rFonts w:ascii="Century Gothic" w:hAnsi="Century Gothic"/>
          <w:bCs/>
        </w:rPr>
        <w:lastRenderedPageBreak/>
        <w:t xml:space="preserve">desconocer el principio de solidaridad que sustenta el sistema de seguridad social integral. </w:t>
      </w:r>
    </w:p>
    <w:p w14:paraId="4586A908" w14:textId="77777777" w:rsidR="00EC772A" w:rsidRPr="00D349CB" w:rsidRDefault="00EC772A" w:rsidP="00D349CB">
      <w:pPr>
        <w:pBdr>
          <w:top w:val="nil"/>
          <w:left w:val="nil"/>
          <w:bottom w:val="nil"/>
          <w:right w:val="nil"/>
          <w:between w:val="nil"/>
        </w:pBdr>
        <w:jc w:val="both"/>
        <w:rPr>
          <w:rFonts w:ascii="Century Gothic" w:hAnsi="Century Gothic"/>
          <w:bCs/>
        </w:rPr>
      </w:pPr>
    </w:p>
    <w:p w14:paraId="6A24A8E1" w14:textId="589555CD" w:rsidR="006A6E74" w:rsidRPr="00D349CB" w:rsidRDefault="000768A4" w:rsidP="00D349CB">
      <w:pPr>
        <w:pBdr>
          <w:top w:val="nil"/>
          <w:left w:val="nil"/>
          <w:bottom w:val="nil"/>
          <w:right w:val="nil"/>
          <w:between w:val="nil"/>
        </w:pBdr>
        <w:jc w:val="both"/>
        <w:rPr>
          <w:rFonts w:ascii="Century Gothic" w:hAnsi="Century Gothic"/>
          <w:bCs/>
        </w:rPr>
      </w:pPr>
      <w:r w:rsidRPr="00D349CB">
        <w:rPr>
          <w:rFonts w:ascii="Century Gothic" w:hAnsi="Century Gothic"/>
          <w:bCs/>
        </w:rPr>
        <w:t xml:space="preserve">Cordialmente, </w:t>
      </w:r>
    </w:p>
    <w:p w14:paraId="6A6E7098" w14:textId="77777777" w:rsidR="000768A4" w:rsidRPr="00D349CB" w:rsidRDefault="000768A4" w:rsidP="00D349CB">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p>
    <w:p w14:paraId="3CE26619"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 xml:space="preserve">BUENAVENTURA LEÓN </w:t>
      </w:r>
      <w:proofErr w:type="spellStart"/>
      <w:r w:rsidRPr="004A2F91">
        <w:rPr>
          <w:rStyle w:val="Ninguno"/>
          <w:rFonts w:ascii="Century Gothic" w:eastAsia="Arial Unicode MS" w:hAnsi="Century Gothic" w:cs="Arial Unicode MS"/>
          <w:b/>
          <w:bCs/>
          <w:u w:color="000000"/>
          <w:bdr w:val="nil"/>
          <w:lang w:eastAsia="es-CO"/>
        </w:rPr>
        <w:t>LEÓN</w:t>
      </w:r>
      <w:proofErr w:type="spellEnd"/>
      <w:r w:rsidRPr="004A2F91">
        <w:rPr>
          <w:rStyle w:val="Ninguno"/>
          <w:rFonts w:ascii="Century Gothic" w:eastAsia="Arial Unicode MS" w:hAnsi="Century Gothic" w:cs="Arial Unicode MS"/>
          <w:b/>
          <w:bCs/>
          <w:u w:color="000000"/>
          <w:bdr w:val="nil"/>
          <w:lang w:eastAsia="es-CO"/>
        </w:rPr>
        <w:tab/>
      </w:r>
      <w:r w:rsidRPr="004A2F91">
        <w:rPr>
          <w:rStyle w:val="Ninguno"/>
          <w:rFonts w:ascii="Century Gothic" w:eastAsia="Arial Unicode MS" w:hAnsi="Century Gothic" w:cs="Arial Unicode MS"/>
          <w:b/>
          <w:bCs/>
          <w:u w:color="000000"/>
          <w:bdr w:val="nil"/>
          <w:lang w:eastAsia="es-CO"/>
        </w:rPr>
        <w:tab/>
        <w:t xml:space="preserve">              ALFREDO APE CUELLO BAUTE</w:t>
      </w:r>
    </w:p>
    <w:p w14:paraId="5473ADF7"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w:t>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t xml:space="preserve">              Representante a la Cámara</w:t>
      </w:r>
    </w:p>
    <w:p w14:paraId="74E5B13F"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ACDB9E5"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31615158"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7D7A7DEC"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u w:color="000000"/>
          <w:bdr w:val="nil"/>
          <w:lang w:eastAsia="es-CO"/>
        </w:rPr>
        <w:tab/>
      </w:r>
    </w:p>
    <w:p w14:paraId="5F3DC895"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CIRO ANTONIO RODRIGUEZ PINZON                      ADRIANA MAGALI MATIZ VARGAS</w:t>
      </w:r>
    </w:p>
    <w:p w14:paraId="6044F416"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w:t>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t xml:space="preserve">             Representante a la Cámara</w:t>
      </w:r>
    </w:p>
    <w:p w14:paraId="5054E8C7"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 xml:space="preserve">                                                                                         </w:t>
      </w:r>
    </w:p>
    <w:p w14:paraId="6472ECA3"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7ED1AF5"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4E2FF881"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15D3BFD"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JUAN CARLOS WILLS OSPINA                       ARMANDO ANTONIO ZABARAIN DE ARCE</w:t>
      </w:r>
    </w:p>
    <w:p w14:paraId="10D32B8F"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w:t>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t xml:space="preserve">   Representante a la Cámara      </w:t>
      </w:r>
    </w:p>
    <w:p w14:paraId="103ACDD7"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3AF7701F"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419525E3"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11DB3A07"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24DD9BD"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JUAN CARLOS RIVERA PEÑA                                    JOSE GUSTAVO PADILLA OROZCO</w:t>
      </w:r>
    </w:p>
    <w:p w14:paraId="1FA6EE2C"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w:t>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t xml:space="preserve">               Representante a la Cámara       </w:t>
      </w:r>
    </w:p>
    <w:p w14:paraId="620BBE89"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 xml:space="preserve">      </w:t>
      </w:r>
    </w:p>
    <w:p w14:paraId="77998294"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7336EC9"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B2DFB25"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E08AA62"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WADITH ALBERTO MANZUR IMBET</w:t>
      </w:r>
      <w:r w:rsidRPr="004A2F91">
        <w:rPr>
          <w:rStyle w:val="Ninguno"/>
          <w:rFonts w:ascii="Century Gothic" w:eastAsia="Arial Unicode MS" w:hAnsi="Century Gothic" w:cs="Arial Unicode MS"/>
          <w:b/>
          <w:bCs/>
          <w:u w:color="000000"/>
          <w:bdr w:val="nil"/>
          <w:lang w:eastAsia="es-CO"/>
        </w:rPr>
        <w:tab/>
      </w:r>
      <w:r w:rsidRPr="004A2F91">
        <w:rPr>
          <w:rStyle w:val="Ninguno"/>
          <w:rFonts w:ascii="Century Gothic" w:eastAsia="Arial Unicode MS" w:hAnsi="Century Gothic" w:cs="Arial Unicode MS"/>
          <w:b/>
          <w:bCs/>
          <w:u w:color="000000"/>
          <w:bdr w:val="nil"/>
          <w:lang w:eastAsia="es-CO"/>
        </w:rPr>
        <w:tab/>
        <w:t xml:space="preserve">           NIDIA MARCELA OSORIO SALGADO</w:t>
      </w:r>
    </w:p>
    <w:p w14:paraId="0D7D59D5"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w:t>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t xml:space="preserve">      Representante a la Cámara</w:t>
      </w:r>
    </w:p>
    <w:p w14:paraId="1CEBE6E5"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105A09B"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FEF23BC"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443AE3CD"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241F6BB"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 xml:space="preserve">FELIX ALEJANDRO CHICA CORREA </w:t>
      </w:r>
      <w:r w:rsidRPr="004A2F91">
        <w:rPr>
          <w:rStyle w:val="Ninguno"/>
          <w:rFonts w:ascii="Century Gothic" w:eastAsia="Arial Unicode MS" w:hAnsi="Century Gothic" w:cs="Arial Unicode MS"/>
          <w:b/>
          <w:bCs/>
          <w:u w:color="000000"/>
          <w:bdr w:val="nil"/>
          <w:lang w:eastAsia="es-CO"/>
        </w:rPr>
        <w:tab/>
        <w:t xml:space="preserve">            EMETERIO JOSÉ MONTES CASTRO</w:t>
      </w:r>
    </w:p>
    <w:p w14:paraId="57A333CE"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w:t>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t xml:space="preserve">             Representante a la Cámara</w:t>
      </w:r>
    </w:p>
    <w:p w14:paraId="2B0757CE"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3C037E0"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102C7581"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14A48346"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064CCAC2"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 xml:space="preserve">JOSE ELVER HERNANDEZ CASAS                          GERMAN ALCIDES BLANCO ALVARES </w:t>
      </w:r>
    </w:p>
    <w:p w14:paraId="4B0B1C0A"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 xml:space="preserve">Representante a la Cámara                                 Representante a la Cámara </w:t>
      </w:r>
    </w:p>
    <w:p w14:paraId="043F81E1"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13664AD7"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651D320"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1C1D553C"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C5B93C6"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040D684"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NICOLAS ALBEIRO ECHEVERRY ALVARÁN              DIELA LILIANA BENAVIDES SOLARTE</w:t>
      </w:r>
    </w:p>
    <w:p w14:paraId="627259A5"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 xml:space="preserve">Representante a la Cámara                                   Representante a la Cámara     </w:t>
      </w:r>
    </w:p>
    <w:p w14:paraId="57E60B06"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F41B73A"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071F01F1"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2A4C667"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165C4A71"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DA08F8A"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JAIME FELIPE LOZADA POLANCO                            MARIA CRISTINA SOTO DE GOMEZ</w:t>
      </w:r>
    </w:p>
    <w:p w14:paraId="43AF8DB4"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                                    Representante a la Cámara</w:t>
      </w:r>
    </w:p>
    <w:p w14:paraId="40DC13DF"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5F337EA"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EB4E70B"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D108570"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DDBD7A7"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5ED03D3"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 xml:space="preserve">YAMIL HERNANDO ARANDA PADAUÌ                      FELIPE ANDRES MUÑOZ DELGADO                 </w:t>
      </w:r>
    </w:p>
    <w:p w14:paraId="10B88DB2"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4A2F91">
        <w:rPr>
          <w:rStyle w:val="Ninguno"/>
          <w:rFonts w:ascii="Century Gothic" w:eastAsia="Arial Unicode MS" w:hAnsi="Century Gothic" w:cs="Arial Unicode MS"/>
          <w:u w:color="000000"/>
          <w:bdr w:val="nil"/>
          <w:lang w:eastAsia="es-CO"/>
        </w:rPr>
        <w:t>Representante a la Cámara                                 Representante a la Cámara</w:t>
      </w:r>
    </w:p>
    <w:p w14:paraId="1320A98D"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7154F6D"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3794F432"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10E39E97" w14:textId="7916271E" w:rsidR="004C57A1" w:rsidRPr="004A2F91" w:rsidRDefault="001315BA"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Pr>
          <w:rStyle w:val="Ninguno"/>
          <w:rFonts w:ascii="Century Gothic" w:eastAsia="Arial Unicode MS" w:hAnsi="Century Gothic" w:cs="Arial Unicode MS"/>
          <w:b/>
          <w:bCs/>
          <w:u w:color="000000"/>
          <w:bdr w:val="nil"/>
          <w:lang w:eastAsia="es-CO"/>
        </w:rPr>
        <w:t xml:space="preserve"> </w:t>
      </w:r>
    </w:p>
    <w:p w14:paraId="0747C786"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7BE09CA"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008A675F"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8AC6AF2" w14:textId="77777777" w:rsidR="004C57A1" w:rsidRPr="004A2F91" w:rsidRDefault="004C57A1" w:rsidP="004C57A1">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08E746D9" w14:textId="49B842AB" w:rsidR="00CC7E20" w:rsidRPr="00D349CB" w:rsidRDefault="00CC7E20" w:rsidP="004C57A1">
      <w:pPr>
        <w:widowControl w:val="0"/>
        <w:pBdr>
          <w:top w:val="nil"/>
          <w:left w:val="nil"/>
          <w:bottom w:val="nil"/>
          <w:right w:val="nil"/>
          <w:between w:val="nil"/>
        </w:pBdr>
        <w:ind w:hanging="2"/>
        <w:rPr>
          <w:rFonts w:ascii="Century Gothic" w:hAnsi="Century Gothic"/>
          <w:b/>
          <w:shd w:val="clear" w:color="auto" w:fill="FFFFFF"/>
        </w:rPr>
      </w:pPr>
    </w:p>
    <w:sectPr w:rsidR="00CC7E20" w:rsidRPr="00D349CB" w:rsidSect="007C2F79">
      <w:headerReference w:type="default" r:id="rId14"/>
      <w:footerReference w:type="default" r:id="rId15"/>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D213" w14:textId="77777777" w:rsidR="008B217F" w:rsidRDefault="008B217F">
      <w:pPr>
        <w:spacing w:line="240" w:lineRule="auto"/>
      </w:pPr>
      <w:r>
        <w:separator/>
      </w:r>
    </w:p>
  </w:endnote>
  <w:endnote w:type="continuationSeparator" w:id="0">
    <w:p w14:paraId="22380541" w14:textId="77777777" w:rsidR="008B217F" w:rsidRDefault="008B217F">
      <w:pPr>
        <w:spacing w:line="240" w:lineRule="auto"/>
      </w:pPr>
      <w:r>
        <w:continuationSeparator/>
      </w:r>
    </w:p>
  </w:endnote>
  <w:endnote w:type="continuationNotice" w:id="1">
    <w:p w14:paraId="3F75D251" w14:textId="77777777" w:rsidR="008B217F" w:rsidRDefault="008B21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E00002FF" w:usb1="5000205B" w:usb2="0000002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859C" w14:textId="2C5AF592" w:rsidR="004C57A1" w:rsidRPr="004E3B30" w:rsidRDefault="004C57A1" w:rsidP="004C57A1">
    <w:pPr>
      <w:pStyle w:val="Sinespaciado"/>
      <w:jc w:val="center"/>
      <w:rPr>
        <w:color w:val="000000"/>
      </w:rPr>
    </w:pPr>
    <w:r w:rsidRPr="0090505E">
      <w:rPr>
        <w:noProof/>
        <w:color w:val="000000"/>
        <w:lang w:eastAsia="es-CO"/>
      </w:rPr>
      <w:drawing>
        <wp:inline distT="0" distB="0" distL="0" distR="0" wp14:anchorId="08FD3546" wp14:editId="3EDC8158">
          <wp:extent cx="3114675" cy="266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709FA0F0" w14:textId="77777777" w:rsidR="004C57A1" w:rsidRPr="004E3B30" w:rsidRDefault="004C57A1" w:rsidP="004C57A1">
    <w:pPr>
      <w:pStyle w:val="Sinespaciado"/>
      <w:jc w:val="center"/>
      <w:rPr>
        <w:color w:val="000000"/>
        <w:spacing w:val="60"/>
        <w:sz w:val="16"/>
        <w:szCs w:val="16"/>
      </w:rPr>
    </w:pPr>
    <w:r w:rsidRPr="004E3B30">
      <w:rPr>
        <w:color w:val="000000"/>
        <w:spacing w:val="60"/>
        <w:sz w:val="16"/>
        <w:szCs w:val="16"/>
      </w:rPr>
      <w:t>Edificio Nuevo del Congreso. Tel: 3823493</w:t>
    </w:r>
  </w:p>
  <w:p w14:paraId="36EE0D5A" w14:textId="77777777" w:rsidR="004C57A1" w:rsidRDefault="004C57A1" w:rsidP="004C57A1">
    <w:pPr>
      <w:pStyle w:val="Sinespaciado"/>
      <w:jc w:val="center"/>
      <w:rPr>
        <w:color w:val="000000"/>
        <w:spacing w:val="60"/>
        <w:sz w:val="16"/>
        <w:szCs w:val="16"/>
      </w:rPr>
    </w:pPr>
    <w:proofErr w:type="spellStart"/>
    <w:r w:rsidRPr="004E3B30">
      <w:rPr>
        <w:color w:val="000000"/>
        <w:spacing w:val="60"/>
        <w:sz w:val="16"/>
        <w:szCs w:val="16"/>
      </w:rPr>
      <w:t>Cra</w:t>
    </w:r>
    <w:proofErr w:type="spellEnd"/>
    <w:r w:rsidRPr="004E3B30">
      <w:rPr>
        <w:color w:val="000000"/>
        <w:spacing w:val="60"/>
        <w:sz w:val="16"/>
        <w:szCs w:val="16"/>
      </w:rPr>
      <w:t xml:space="preserve">. 7 No. 8 – 68 Oficina </w:t>
    </w:r>
    <w:r>
      <w:rPr>
        <w:color w:val="000000"/>
        <w:spacing w:val="60"/>
        <w:sz w:val="16"/>
        <w:szCs w:val="16"/>
      </w:rPr>
      <w:t>530</w:t>
    </w:r>
    <w:r w:rsidRPr="004E3B30">
      <w:rPr>
        <w:color w:val="000000"/>
        <w:spacing w:val="60"/>
        <w:sz w:val="16"/>
        <w:szCs w:val="16"/>
      </w:rPr>
      <w:t>-</w:t>
    </w:r>
    <w:r>
      <w:rPr>
        <w:color w:val="000000"/>
        <w:spacing w:val="60"/>
        <w:sz w:val="16"/>
        <w:szCs w:val="16"/>
      </w:rPr>
      <w:t>529</w:t>
    </w:r>
  </w:p>
  <w:p w14:paraId="6582FA67" w14:textId="77777777" w:rsidR="004C57A1" w:rsidRPr="005145DB" w:rsidRDefault="004C57A1" w:rsidP="004C57A1">
    <w:pPr>
      <w:pStyle w:val="Piedepgina"/>
      <w:jc w:val="center"/>
      <w:rPr>
        <w:color w:val="000000"/>
        <w:spacing w:val="60"/>
        <w:sz w:val="16"/>
        <w:szCs w:val="16"/>
      </w:rPr>
    </w:pPr>
    <w:r w:rsidRPr="005145DB">
      <w:rPr>
        <w:color w:val="000000"/>
        <w:spacing w:val="60"/>
        <w:sz w:val="16"/>
        <w:szCs w:val="16"/>
      </w:rPr>
      <w:t>buenaventura.leon@camara.gov.co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01D7" w14:textId="77777777" w:rsidR="008B217F" w:rsidRDefault="008B217F">
      <w:pPr>
        <w:spacing w:line="240" w:lineRule="auto"/>
      </w:pPr>
      <w:r>
        <w:separator/>
      </w:r>
    </w:p>
  </w:footnote>
  <w:footnote w:type="continuationSeparator" w:id="0">
    <w:p w14:paraId="0BE0E320" w14:textId="77777777" w:rsidR="008B217F" w:rsidRDefault="008B217F">
      <w:pPr>
        <w:spacing w:line="240" w:lineRule="auto"/>
      </w:pPr>
      <w:r>
        <w:continuationSeparator/>
      </w:r>
    </w:p>
  </w:footnote>
  <w:footnote w:type="continuationNotice" w:id="1">
    <w:p w14:paraId="4488716C" w14:textId="77777777" w:rsidR="008B217F" w:rsidRDefault="008B217F">
      <w:pPr>
        <w:spacing w:line="240" w:lineRule="auto"/>
      </w:pPr>
    </w:p>
  </w:footnote>
  <w:footnote w:id="2">
    <w:p w14:paraId="1DF0B391" w14:textId="5892276D" w:rsidR="00B3219E" w:rsidRPr="003338D4" w:rsidRDefault="00B3219E" w:rsidP="003338D4">
      <w:pPr>
        <w:pStyle w:val="Textonotapie"/>
        <w:jc w:val="both"/>
        <w:rPr>
          <w:sz w:val="16"/>
          <w:szCs w:val="16"/>
        </w:rPr>
      </w:pPr>
      <w:r w:rsidRPr="003338D4">
        <w:rPr>
          <w:rStyle w:val="Refdenotaalpie"/>
          <w:sz w:val="16"/>
          <w:szCs w:val="16"/>
        </w:rPr>
        <w:footnoteRef/>
      </w:r>
      <w:r w:rsidRPr="003338D4">
        <w:rPr>
          <w:sz w:val="16"/>
          <w:szCs w:val="16"/>
        </w:rPr>
        <w:t xml:space="preserve"> https://derlaboral.uexternado.edu.co/uncategorized/sentencia-c-068-de-2020-inexequibilidad-de-la-regulacion-del-ingreso-base-de-cotizacion-de-trabajadores-independientes-en-el-pnd-2018-2021/#:~:text=Por%20medio%20de%20la%20sentencia,cotizaci%C3%B3n%20de%20los%20trabajadores%20independientes.&amp;text=Este%20argumento%20lo%20desarroll%C3%B3%20la%20Corte%20en%20cuatro%20puntos.</w:t>
      </w:r>
    </w:p>
  </w:footnote>
  <w:footnote w:id="3">
    <w:p w14:paraId="2F5611D2" w14:textId="07F42633" w:rsidR="001734A5" w:rsidRPr="001734A5" w:rsidRDefault="001734A5">
      <w:pPr>
        <w:pStyle w:val="Textonotapie"/>
        <w:rPr>
          <w:lang w:val="es-MX"/>
        </w:rPr>
      </w:pPr>
      <w:r>
        <w:rPr>
          <w:rStyle w:val="Refdenotaalpie"/>
        </w:rPr>
        <w:footnoteRef/>
      </w:r>
      <w:r>
        <w:t xml:space="preserve"> </w:t>
      </w:r>
      <w:r>
        <w:rPr>
          <w:lang w:val="es-MX"/>
        </w:rPr>
        <w:t xml:space="preserve">Sentencia T – 043 de 2019 Corte Constitucional. </w:t>
      </w:r>
    </w:p>
  </w:footnote>
  <w:footnote w:id="4">
    <w:p w14:paraId="45D84FB2" w14:textId="47774AE5" w:rsidR="00A9734C" w:rsidRPr="00A9734C" w:rsidRDefault="00A9734C">
      <w:pPr>
        <w:pStyle w:val="Textonotapie"/>
        <w:rPr>
          <w:lang w:val="es-MX"/>
        </w:rPr>
      </w:pPr>
      <w:r>
        <w:rPr>
          <w:rStyle w:val="Refdenotaalpie"/>
        </w:rPr>
        <w:footnoteRef/>
      </w:r>
      <w:r>
        <w:t xml:space="preserve"> </w:t>
      </w:r>
      <w:r>
        <w:rPr>
          <w:lang w:val="es-MX"/>
        </w:rPr>
        <w:t>Art. 26 Ley 100 de 1993</w:t>
      </w:r>
    </w:p>
  </w:footnote>
  <w:footnote w:id="5">
    <w:p w14:paraId="31BA05B0" w14:textId="59DE43C4" w:rsidR="00A51AFB" w:rsidRPr="00A51AFB" w:rsidRDefault="00A51AFB">
      <w:pPr>
        <w:pStyle w:val="Textonotapie"/>
        <w:rPr>
          <w:lang w:val="es-MX"/>
        </w:rPr>
      </w:pPr>
      <w:r>
        <w:rPr>
          <w:rStyle w:val="Refdenotaalpie"/>
        </w:rPr>
        <w:footnoteRef/>
      </w:r>
      <w:r>
        <w:t xml:space="preserve"> </w:t>
      </w:r>
      <w:r>
        <w:rPr>
          <w:lang w:val="es-MX"/>
        </w:rPr>
        <w:t>Art. 27 Ley 100 de 1193</w:t>
      </w:r>
    </w:p>
  </w:footnote>
  <w:footnote w:id="6">
    <w:p w14:paraId="6BBC7561" w14:textId="04E021CD" w:rsidR="002B6E2E" w:rsidRPr="002B6E2E" w:rsidRDefault="002B6E2E">
      <w:pPr>
        <w:pStyle w:val="Textonotapie"/>
        <w:rPr>
          <w:lang w:val="es-MX"/>
        </w:rPr>
      </w:pPr>
      <w:r>
        <w:rPr>
          <w:rStyle w:val="Refdenotaalpie"/>
        </w:rPr>
        <w:footnoteRef/>
      </w:r>
      <w:r>
        <w:t xml:space="preserve"> </w:t>
      </w:r>
      <w:r>
        <w:rPr>
          <w:lang w:val="es-MX"/>
        </w:rPr>
        <w:t>Art. 65 Ley 1819 de 2016</w:t>
      </w:r>
    </w:p>
  </w:footnote>
  <w:footnote w:id="7">
    <w:p w14:paraId="4596A619" w14:textId="6ECABF44" w:rsidR="00E027B4" w:rsidRPr="00E027B4" w:rsidRDefault="00E027B4">
      <w:pPr>
        <w:pStyle w:val="Textonotapie"/>
        <w:rPr>
          <w:lang w:val="es-MX"/>
        </w:rPr>
      </w:pPr>
      <w:r>
        <w:rPr>
          <w:rStyle w:val="Refdenotaalpie"/>
        </w:rPr>
        <w:footnoteRef/>
      </w:r>
      <w:r>
        <w:t xml:space="preserve"> </w:t>
      </w:r>
      <w:r>
        <w:rPr>
          <w:lang w:val="es-MX"/>
        </w:rPr>
        <w:t>Parágrafo 1, articulo 19 de la Ley 789 de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9EBE" w14:textId="77777777" w:rsidR="00B3219E" w:rsidRDefault="00B3219E" w:rsidP="0020597C">
    <w:pPr>
      <w:pStyle w:val="Encabezado"/>
      <w:jc w:val="center"/>
    </w:pPr>
    <w:r w:rsidRPr="000842EA">
      <w:rPr>
        <w:rFonts w:ascii="Blackadder ITC" w:hAnsi="Blackadder ITC"/>
        <w:noProof/>
        <w:sz w:val="32"/>
        <w:szCs w:val="32"/>
        <w:lang w:eastAsia="es-CO"/>
      </w:rPr>
      <w:drawing>
        <wp:inline distT="0" distB="0" distL="0" distR="0" wp14:anchorId="649410EE" wp14:editId="1F5A5AF9">
          <wp:extent cx="2114550" cy="600075"/>
          <wp:effectExtent l="0" t="0" r="0" b="9525"/>
          <wp:docPr id="6" name="Imagen 6"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a:ln>
                    <a:noFill/>
                  </a:ln>
                </pic:spPr>
              </pic:pic>
            </a:graphicData>
          </a:graphic>
        </wp:inline>
      </w:drawing>
    </w:r>
  </w:p>
  <w:p w14:paraId="60AAB93C" w14:textId="77777777" w:rsidR="00B3219E" w:rsidRDefault="00B3219E" w:rsidP="0020597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6"/>
    <w:lvl w:ilvl="0">
      <w:start w:val="1"/>
      <w:numFmt w:val="bullet"/>
      <w:lvlText w:val=""/>
      <w:lvlJc w:val="left"/>
      <w:pPr>
        <w:tabs>
          <w:tab w:val="num" w:pos="1080"/>
        </w:tabs>
        <w:ind w:left="1080" w:hanging="360"/>
      </w:pPr>
      <w:rPr>
        <w:rFonts w:ascii="Symbol" w:hAnsi="Symbol"/>
      </w:rPr>
    </w:lvl>
  </w:abstractNum>
  <w:abstractNum w:abstractNumId="1" w15:restartNumberingAfterBreak="0">
    <w:nsid w:val="0F531559"/>
    <w:multiLevelType w:val="hybridMultilevel"/>
    <w:tmpl w:val="89A27C7A"/>
    <w:lvl w:ilvl="0" w:tplc="E69C79C8">
      <w:start w:val="1"/>
      <w:numFmt w:val="upperLetter"/>
      <w:lvlText w:val="%1."/>
      <w:lvlJc w:val="left"/>
      <w:pPr>
        <w:ind w:left="720" w:hanging="360"/>
      </w:pPr>
      <w:rPr>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4F41593"/>
    <w:multiLevelType w:val="multilevel"/>
    <w:tmpl w:val="AEE6355A"/>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66609"/>
    <w:multiLevelType w:val="hybridMultilevel"/>
    <w:tmpl w:val="2C504F4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BA6560"/>
    <w:multiLevelType w:val="hybridMultilevel"/>
    <w:tmpl w:val="89A27C7A"/>
    <w:lvl w:ilvl="0" w:tplc="E69C79C8">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63970E0"/>
    <w:multiLevelType w:val="multilevel"/>
    <w:tmpl w:val="3D601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9B004B"/>
    <w:multiLevelType w:val="hybridMultilevel"/>
    <w:tmpl w:val="D1E4A5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29B62AC"/>
    <w:multiLevelType w:val="hybridMultilevel"/>
    <w:tmpl w:val="9EAA86E8"/>
    <w:lvl w:ilvl="0" w:tplc="25D0EAA2">
      <w:start w:val="2"/>
      <w:numFmt w:val="bullet"/>
      <w:lvlText w:val="-"/>
      <w:lvlJc w:val="left"/>
      <w:pPr>
        <w:ind w:left="360" w:hanging="360"/>
      </w:pPr>
      <w:rPr>
        <w:rFonts w:ascii="Century Gothic" w:eastAsia="Times New Roman" w:hAnsi="Century Gothic"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F9C5529"/>
    <w:multiLevelType w:val="hybridMultilevel"/>
    <w:tmpl w:val="8D9C3E2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8"/>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69"/>
    <w:rsid w:val="0000116B"/>
    <w:rsid w:val="00001FAC"/>
    <w:rsid w:val="00003489"/>
    <w:rsid w:val="00004237"/>
    <w:rsid w:val="00004964"/>
    <w:rsid w:val="0000549A"/>
    <w:rsid w:val="0000612F"/>
    <w:rsid w:val="00007244"/>
    <w:rsid w:val="00007350"/>
    <w:rsid w:val="0001053C"/>
    <w:rsid w:val="00010A08"/>
    <w:rsid w:val="00010D92"/>
    <w:rsid w:val="0001129D"/>
    <w:rsid w:val="000115D0"/>
    <w:rsid w:val="00011D1B"/>
    <w:rsid w:val="0001289A"/>
    <w:rsid w:val="00014E1B"/>
    <w:rsid w:val="000153B5"/>
    <w:rsid w:val="00015577"/>
    <w:rsid w:val="00015899"/>
    <w:rsid w:val="00015A5D"/>
    <w:rsid w:val="000168A7"/>
    <w:rsid w:val="00016989"/>
    <w:rsid w:val="0001732C"/>
    <w:rsid w:val="0002021C"/>
    <w:rsid w:val="00022E84"/>
    <w:rsid w:val="000271A1"/>
    <w:rsid w:val="00030858"/>
    <w:rsid w:val="0003332E"/>
    <w:rsid w:val="000346CE"/>
    <w:rsid w:val="00034AD8"/>
    <w:rsid w:val="00034AF4"/>
    <w:rsid w:val="00034DA9"/>
    <w:rsid w:val="00035EA4"/>
    <w:rsid w:val="0003709E"/>
    <w:rsid w:val="00040077"/>
    <w:rsid w:val="00040E4B"/>
    <w:rsid w:val="000417C3"/>
    <w:rsid w:val="00042942"/>
    <w:rsid w:val="0004324B"/>
    <w:rsid w:val="00043697"/>
    <w:rsid w:val="00044DDD"/>
    <w:rsid w:val="0004584C"/>
    <w:rsid w:val="000460FD"/>
    <w:rsid w:val="00047152"/>
    <w:rsid w:val="00047345"/>
    <w:rsid w:val="00047600"/>
    <w:rsid w:val="00047926"/>
    <w:rsid w:val="0005137A"/>
    <w:rsid w:val="00052D7C"/>
    <w:rsid w:val="00054E5F"/>
    <w:rsid w:val="000556EE"/>
    <w:rsid w:val="00055E23"/>
    <w:rsid w:val="0005666B"/>
    <w:rsid w:val="00056B8D"/>
    <w:rsid w:val="000571D9"/>
    <w:rsid w:val="0005755B"/>
    <w:rsid w:val="00057705"/>
    <w:rsid w:val="00060351"/>
    <w:rsid w:val="00060B1A"/>
    <w:rsid w:val="00063191"/>
    <w:rsid w:val="00063C1D"/>
    <w:rsid w:val="00064F81"/>
    <w:rsid w:val="00066367"/>
    <w:rsid w:val="000666E9"/>
    <w:rsid w:val="000667AA"/>
    <w:rsid w:val="00066BA2"/>
    <w:rsid w:val="00067803"/>
    <w:rsid w:val="00075990"/>
    <w:rsid w:val="000768A4"/>
    <w:rsid w:val="00076A4E"/>
    <w:rsid w:val="00076FC3"/>
    <w:rsid w:val="00080DF1"/>
    <w:rsid w:val="000828C9"/>
    <w:rsid w:val="00082BFD"/>
    <w:rsid w:val="00083378"/>
    <w:rsid w:val="0008360C"/>
    <w:rsid w:val="00083A38"/>
    <w:rsid w:val="000857F8"/>
    <w:rsid w:val="00085911"/>
    <w:rsid w:val="000861C2"/>
    <w:rsid w:val="00086349"/>
    <w:rsid w:val="0008704C"/>
    <w:rsid w:val="00087524"/>
    <w:rsid w:val="00090E82"/>
    <w:rsid w:val="00090EE9"/>
    <w:rsid w:val="000910D5"/>
    <w:rsid w:val="0009142D"/>
    <w:rsid w:val="00094043"/>
    <w:rsid w:val="00094EC6"/>
    <w:rsid w:val="00095625"/>
    <w:rsid w:val="000961A7"/>
    <w:rsid w:val="00096C49"/>
    <w:rsid w:val="00096ECC"/>
    <w:rsid w:val="000A0AF1"/>
    <w:rsid w:val="000A0C18"/>
    <w:rsid w:val="000A0E7C"/>
    <w:rsid w:val="000A1D31"/>
    <w:rsid w:val="000A42B6"/>
    <w:rsid w:val="000A7234"/>
    <w:rsid w:val="000A78C0"/>
    <w:rsid w:val="000B032E"/>
    <w:rsid w:val="000B0FAB"/>
    <w:rsid w:val="000B129C"/>
    <w:rsid w:val="000B42CE"/>
    <w:rsid w:val="000B53B8"/>
    <w:rsid w:val="000B5E3E"/>
    <w:rsid w:val="000B6EFD"/>
    <w:rsid w:val="000C08BB"/>
    <w:rsid w:val="000C11FA"/>
    <w:rsid w:val="000C1B37"/>
    <w:rsid w:val="000C1ED5"/>
    <w:rsid w:val="000C296B"/>
    <w:rsid w:val="000C385C"/>
    <w:rsid w:val="000C3D5F"/>
    <w:rsid w:val="000C4C8B"/>
    <w:rsid w:val="000C5DD7"/>
    <w:rsid w:val="000C731A"/>
    <w:rsid w:val="000C77C4"/>
    <w:rsid w:val="000D0420"/>
    <w:rsid w:val="000D132A"/>
    <w:rsid w:val="000D233B"/>
    <w:rsid w:val="000D4DF2"/>
    <w:rsid w:val="000D6C77"/>
    <w:rsid w:val="000D6DE8"/>
    <w:rsid w:val="000E06B2"/>
    <w:rsid w:val="000E1D3A"/>
    <w:rsid w:val="000E3B6E"/>
    <w:rsid w:val="000E3C8B"/>
    <w:rsid w:val="000E5F4F"/>
    <w:rsid w:val="000E7AFA"/>
    <w:rsid w:val="000F215C"/>
    <w:rsid w:val="000F221E"/>
    <w:rsid w:val="000F3B6E"/>
    <w:rsid w:val="000F58D7"/>
    <w:rsid w:val="000F61AD"/>
    <w:rsid w:val="000F652D"/>
    <w:rsid w:val="000F72A7"/>
    <w:rsid w:val="000F73F1"/>
    <w:rsid w:val="00110E86"/>
    <w:rsid w:val="001118DF"/>
    <w:rsid w:val="001148F6"/>
    <w:rsid w:val="00116E0A"/>
    <w:rsid w:val="00117A36"/>
    <w:rsid w:val="00121806"/>
    <w:rsid w:val="001230E9"/>
    <w:rsid w:val="00126CB5"/>
    <w:rsid w:val="001315BA"/>
    <w:rsid w:val="00131738"/>
    <w:rsid w:val="00132054"/>
    <w:rsid w:val="0013229A"/>
    <w:rsid w:val="001339F3"/>
    <w:rsid w:val="00134EA0"/>
    <w:rsid w:val="00135F8A"/>
    <w:rsid w:val="00136554"/>
    <w:rsid w:val="00140C11"/>
    <w:rsid w:val="001410AB"/>
    <w:rsid w:val="00141A18"/>
    <w:rsid w:val="001425EF"/>
    <w:rsid w:val="00143DFB"/>
    <w:rsid w:val="0014580F"/>
    <w:rsid w:val="00146221"/>
    <w:rsid w:val="0015137E"/>
    <w:rsid w:val="00151765"/>
    <w:rsid w:val="00152400"/>
    <w:rsid w:val="0015272A"/>
    <w:rsid w:val="00152734"/>
    <w:rsid w:val="00152BF6"/>
    <w:rsid w:val="00153A0D"/>
    <w:rsid w:val="0015610B"/>
    <w:rsid w:val="00157B49"/>
    <w:rsid w:val="001610D3"/>
    <w:rsid w:val="0016138A"/>
    <w:rsid w:val="00163231"/>
    <w:rsid w:val="0016362A"/>
    <w:rsid w:val="00163779"/>
    <w:rsid w:val="00166707"/>
    <w:rsid w:val="00166F10"/>
    <w:rsid w:val="001678A6"/>
    <w:rsid w:val="00167C13"/>
    <w:rsid w:val="00167D44"/>
    <w:rsid w:val="0017096B"/>
    <w:rsid w:val="001734A5"/>
    <w:rsid w:val="00173844"/>
    <w:rsid w:val="00173AAE"/>
    <w:rsid w:val="001750A1"/>
    <w:rsid w:val="001755AE"/>
    <w:rsid w:val="0017581C"/>
    <w:rsid w:val="00175F82"/>
    <w:rsid w:val="001768EC"/>
    <w:rsid w:val="0017745A"/>
    <w:rsid w:val="0017765A"/>
    <w:rsid w:val="001777D6"/>
    <w:rsid w:val="0018074A"/>
    <w:rsid w:val="0018195C"/>
    <w:rsid w:val="00182D43"/>
    <w:rsid w:val="001830DA"/>
    <w:rsid w:val="001836AC"/>
    <w:rsid w:val="001838CA"/>
    <w:rsid w:val="00183AC6"/>
    <w:rsid w:val="001843F8"/>
    <w:rsid w:val="001853AC"/>
    <w:rsid w:val="001855AE"/>
    <w:rsid w:val="00186465"/>
    <w:rsid w:val="001907EA"/>
    <w:rsid w:val="0019143A"/>
    <w:rsid w:val="001917F0"/>
    <w:rsid w:val="00191B24"/>
    <w:rsid w:val="00191CF2"/>
    <w:rsid w:val="001931F4"/>
    <w:rsid w:val="00194AD5"/>
    <w:rsid w:val="00195DED"/>
    <w:rsid w:val="00195F92"/>
    <w:rsid w:val="00197A99"/>
    <w:rsid w:val="001A3C2B"/>
    <w:rsid w:val="001A5041"/>
    <w:rsid w:val="001B0543"/>
    <w:rsid w:val="001B0716"/>
    <w:rsid w:val="001B0F9F"/>
    <w:rsid w:val="001B1060"/>
    <w:rsid w:val="001B332C"/>
    <w:rsid w:val="001B33BD"/>
    <w:rsid w:val="001B4BAC"/>
    <w:rsid w:val="001B5EBE"/>
    <w:rsid w:val="001B5FEA"/>
    <w:rsid w:val="001B6AE9"/>
    <w:rsid w:val="001B71E4"/>
    <w:rsid w:val="001C150D"/>
    <w:rsid w:val="001C2D51"/>
    <w:rsid w:val="001C46C2"/>
    <w:rsid w:val="001C46EA"/>
    <w:rsid w:val="001C4C15"/>
    <w:rsid w:val="001C5BFC"/>
    <w:rsid w:val="001D074A"/>
    <w:rsid w:val="001D0BA1"/>
    <w:rsid w:val="001D30E8"/>
    <w:rsid w:val="001D344C"/>
    <w:rsid w:val="001D45D2"/>
    <w:rsid w:val="001D4655"/>
    <w:rsid w:val="001D7ACB"/>
    <w:rsid w:val="001E0324"/>
    <w:rsid w:val="001E0795"/>
    <w:rsid w:val="001E13F0"/>
    <w:rsid w:val="001E28B8"/>
    <w:rsid w:val="001E2B44"/>
    <w:rsid w:val="001E3FDF"/>
    <w:rsid w:val="001E4241"/>
    <w:rsid w:val="001E53D0"/>
    <w:rsid w:val="001E69C7"/>
    <w:rsid w:val="001E6A6B"/>
    <w:rsid w:val="001E6FE2"/>
    <w:rsid w:val="001E73CB"/>
    <w:rsid w:val="001E7F1C"/>
    <w:rsid w:val="001F0930"/>
    <w:rsid w:val="001F0B3E"/>
    <w:rsid w:val="001F0CF3"/>
    <w:rsid w:val="001F1D6D"/>
    <w:rsid w:val="001F3123"/>
    <w:rsid w:val="001F33F8"/>
    <w:rsid w:val="001F3A0F"/>
    <w:rsid w:val="001F3EFB"/>
    <w:rsid w:val="001F42ED"/>
    <w:rsid w:val="001F47BD"/>
    <w:rsid w:val="001F485C"/>
    <w:rsid w:val="001F58C4"/>
    <w:rsid w:val="001F6D85"/>
    <w:rsid w:val="001F6DBB"/>
    <w:rsid w:val="001F7FF3"/>
    <w:rsid w:val="00201EDE"/>
    <w:rsid w:val="00202AD1"/>
    <w:rsid w:val="00202D7E"/>
    <w:rsid w:val="002032AB"/>
    <w:rsid w:val="00204355"/>
    <w:rsid w:val="00204393"/>
    <w:rsid w:val="002045CA"/>
    <w:rsid w:val="00204937"/>
    <w:rsid w:val="00204D7A"/>
    <w:rsid w:val="002050EA"/>
    <w:rsid w:val="00205561"/>
    <w:rsid w:val="0020597C"/>
    <w:rsid w:val="00205DBB"/>
    <w:rsid w:val="00206C1A"/>
    <w:rsid w:val="002070FC"/>
    <w:rsid w:val="00210658"/>
    <w:rsid w:val="00210967"/>
    <w:rsid w:val="002111A6"/>
    <w:rsid w:val="0021193C"/>
    <w:rsid w:val="002148AE"/>
    <w:rsid w:val="00214B33"/>
    <w:rsid w:val="002154BD"/>
    <w:rsid w:val="00216B5C"/>
    <w:rsid w:val="0022094D"/>
    <w:rsid w:val="00220C45"/>
    <w:rsid w:val="00221CE4"/>
    <w:rsid w:val="0022370A"/>
    <w:rsid w:val="002251DC"/>
    <w:rsid w:val="00225370"/>
    <w:rsid w:val="00225D60"/>
    <w:rsid w:val="0022603C"/>
    <w:rsid w:val="0022745C"/>
    <w:rsid w:val="0023266B"/>
    <w:rsid w:val="002326CF"/>
    <w:rsid w:val="002328FA"/>
    <w:rsid w:val="00234087"/>
    <w:rsid w:val="00234473"/>
    <w:rsid w:val="002345D3"/>
    <w:rsid w:val="00234894"/>
    <w:rsid w:val="00234CE2"/>
    <w:rsid w:val="00236A24"/>
    <w:rsid w:val="00237E60"/>
    <w:rsid w:val="00241EF0"/>
    <w:rsid w:val="00242B8F"/>
    <w:rsid w:val="002446E1"/>
    <w:rsid w:val="00244955"/>
    <w:rsid w:val="00246135"/>
    <w:rsid w:val="0024659E"/>
    <w:rsid w:val="00246FCB"/>
    <w:rsid w:val="0024745D"/>
    <w:rsid w:val="002476F1"/>
    <w:rsid w:val="00247D86"/>
    <w:rsid w:val="00251925"/>
    <w:rsid w:val="0025622A"/>
    <w:rsid w:val="0025658B"/>
    <w:rsid w:val="0025740E"/>
    <w:rsid w:val="00257B01"/>
    <w:rsid w:val="0026187D"/>
    <w:rsid w:val="0026203F"/>
    <w:rsid w:val="002621B6"/>
    <w:rsid w:val="00263038"/>
    <w:rsid w:val="00266500"/>
    <w:rsid w:val="0027153F"/>
    <w:rsid w:val="00271CF2"/>
    <w:rsid w:val="002722B8"/>
    <w:rsid w:val="002722DF"/>
    <w:rsid w:val="00272CB9"/>
    <w:rsid w:val="0027369C"/>
    <w:rsid w:val="0027379F"/>
    <w:rsid w:val="0027438A"/>
    <w:rsid w:val="002744BD"/>
    <w:rsid w:val="002747A1"/>
    <w:rsid w:val="002767D9"/>
    <w:rsid w:val="0027746F"/>
    <w:rsid w:val="002775A8"/>
    <w:rsid w:val="00277741"/>
    <w:rsid w:val="00277F8F"/>
    <w:rsid w:val="00280DAA"/>
    <w:rsid w:val="00282EA1"/>
    <w:rsid w:val="00282EFE"/>
    <w:rsid w:val="002830A2"/>
    <w:rsid w:val="0028350F"/>
    <w:rsid w:val="002845FB"/>
    <w:rsid w:val="002854B2"/>
    <w:rsid w:val="0028560A"/>
    <w:rsid w:val="00285960"/>
    <w:rsid w:val="0028645E"/>
    <w:rsid w:val="00286C85"/>
    <w:rsid w:val="0029104F"/>
    <w:rsid w:val="002913EA"/>
    <w:rsid w:val="002914D3"/>
    <w:rsid w:val="00291CCB"/>
    <w:rsid w:val="002926B3"/>
    <w:rsid w:val="00294863"/>
    <w:rsid w:val="002964C0"/>
    <w:rsid w:val="00296C3F"/>
    <w:rsid w:val="00296F9C"/>
    <w:rsid w:val="00297831"/>
    <w:rsid w:val="002A1431"/>
    <w:rsid w:val="002A1BEF"/>
    <w:rsid w:val="002A3A9E"/>
    <w:rsid w:val="002A57D9"/>
    <w:rsid w:val="002A6599"/>
    <w:rsid w:val="002A68E7"/>
    <w:rsid w:val="002A7867"/>
    <w:rsid w:val="002A7B63"/>
    <w:rsid w:val="002B2B97"/>
    <w:rsid w:val="002B2EFB"/>
    <w:rsid w:val="002B415E"/>
    <w:rsid w:val="002B516A"/>
    <w:rsid w:val="002B62A6"/>
    <w:rsid w:val="002B6E2E"/>
    <w:rsid w:val="002B772D"/>
    <w:rsid w:val="002C2894"/>
    <w:rsid w:val="002C3CAC"/>
    <w:rsid w:val="002C40BA"/>
    <w:rsid w:val="002C5DD4"/>
    <w:rsid w:val="002C6708"/>
    <w:rsid w:val="002D0D9E"/>
    <w:rsid w:val="002D36C9"/>
    <w:rsid w:val="002D41FB"/>
    <w:rsid w:val="002D650E"/>
    <w:rsid w:val="002D6786"/>
    <w:rsid w:val="002D6D85"/>
    <w:rsid w:val="002E120E"/>
    <w:rsid w:val="002E3602"/>
    <w:rsid w:val="002E3E49"/>
    <w:rsid w:val="002E4081"/>
    <w:rsid w:val="002E5BF9"/>
    <w:rsid w:val="002E76B6"/>
    <w:rsid w:val="002F0C20"/>
    <w:rsid w:val="002F1AF1"/>
    <w:rsid w:val="002F1D03"/>
    <w:rsid w:val="002F2661"/>
    <w:rsid w:val="002F31D8"/>
    <w:rsid w:val="002F3408"/>
    <w:rsid w:val="002F6186"/>
    <w:rsid w:val="002F65B1"/>
    <w:rsid w:val="0030482E"/>
    <w:rsid w:val="00304F51"/>
    <w:rsid w:val="0030539F"/>
    <w:rsid w:val="00305650"/>
    <w:rsid w:val="003056F5"/>
    <w:rsid w:val="00307A2B"/>
    <w:rsid w:val="0031063B"/>
    <w:rsid w:val="00310B2C"/>
    <w:rsid w:val="00311502"/>
    <w:rsid w:val="00312641"/>
    <w:rsid w:val="00313AF1"/>
    <w:rsid w:val="00315791"/>
    <w:rsid w:val="00317F25"/>
    <w:rsid w:val="003210A6"/>
    <w:rsid w:val="00323357"/>
    <w:rsid w:val="0032447D"/>
    <w:rsid w:val="0032478A"/>
    <w:rsid w:val="00325593"/>
    <w:rsid w:val="00325EEE"/>
    <w:rsid w:val="00326894"/>
    <w:rsid w:val="003300A1"/>
    <w:rsid w:val="003307A5"/>
    <w:rsid w:val="00332A1B"/>
    <w:rsid w:val="003338D4"/>
    <w:rsid w:val="00334D2C"/>
    <w:rsid w:val="00335FB6"/>
    <w:rsid w:val="00337097"/>
    <w:rsid w:val="00337656"/>
    <w:rsid w:val="00337D9E"/>
    <w:rsid w:val="003414FB"/>
    <w:rsid w:val="00343D72"/>
    <w:rsid w:val="00344A50"/>
    <w:rsid w:val="003451BD"/>
    <w:rsid w:val="00346233"/>
    <w:rsid w:val="00346590"/>
    <w:rsid w:val="003465E8"/>
    <w:rsid w:val="00346F4E"/>
    <w:rsid w:val="00347654"/>
    <w:rsid w:val="00351E17"/>
    <w:rsid w:val="00352E34"/>
    <w:rsid w:val="00353983"/>
    <w:rsid w:val="00353DE3"/>
    <w:rsid w:val="00354448"/>
    <w:rsid w:val="00354D78"/>
    <w:rsid w:val="00355171"/>
    <w:rsid w:val="00356BE7"/>
    <w:rsid w:val="00357BD1"/>
    <w:rsid w:val="00357FC9"/>
    <w:rsid w:val="0036037D"/>
    <w:rsid w:val="00360CBF"/>
    <w:rsid w:val="0036235B"/>
    <w:rsid w:val="003633EC"/>
    <w:rsid w:val="00363A17"/>
    <w:rsid w:val="00365F6D"/>
    <w:rsid w:val="00366E62"/>
    <w:rsid w:val="003703BF"/>
    <w:rsid w:val="00371E36"/>
    <w:rsid w:val="00372BAB"/>
    <w:rsid w:val="0037343E"/>
    <w:rsid w:val="003752AB"/>
    <w:rsid w:val="0037788A"/>
    <w:rsid w:val="003800F6"/>
    <w:rsid w:val="003814C1"/>
    <w:rsid w:val="0038272B"/>
    <w:rsid w:val="003828A7"/>
    <w:rsid w:val="003831AB"/>
    <w:rsid w:val="0038514F"/>
    <w:rsid w:val="00385785"/>
    <w:rsid w:val="0038694C"/>
    <w:rsid w:val="00386CB9"/>
    <w:rsid w:val="00387369"/>
    <w:rsid w:val="00391102"/>
    <w:rsid w:val="0039206F"/>
    <w:rsid w:val="00392DB5"/>
    <w:rsid w:val="003937FC"/>
    <w:rsid w:val="0039469E"/>
    <w:rsid w:val="00394ADD"/>
    <w:rsid w:val="003952A3"/>
    <w:rsid w:val="0039748C"/>
    <w:rsid w:val="003A0138"/>
    <w:rsid w:val="003A2496"/>
    <w:rsid w:val="003A3C5F"/>
    <w:rsid w:val="003A48B1"/>
    <w:rsid w:val="003A5524"/>
    <w:rsid w:val="003A59A4"/>
    <w:rsid w:val="003B03E9"/>
    <w:rsid w:val="003B0D64"/>
    <w:rsid w:val="003B10ED"/>
    <w:rsid w:val="003B163C"/>
    <w:rsid w:val="003B2574"/>
    <w:rsid w:val="003B4E52"/>
    <w:rsid w:val="003B624D"/>
    <w:rsid w:val="003B6D21"/>
    <w:rsid w:val="003B721A"/>
    <w:rsid w:val="003B7F31"/>
    <w:rsid w:val="003C3E96"/>
    <w:rsid w:val="003C449F"/>
    <w:rsid w:val="003C48DE"/>
    <w:rsid w:val="003C5451"/>
    <w:rsid w:val="003C54E5"/>
    <w:rsid w:val="003C6EA7"/>
    <w:rsid w:val="003D1D7C"/>
    <w:rsid w:val="003D2965"/>
    <w:rsid w:val="003D68F7"/>
    <w:rsid w:val="003D7988"/>
    <w:rsid w:val="003E010D"/>
    <w:rsid w:val="003E0128"/>
    <w:rsid w:val="003E1865"/>
    <w:rsid w:val="003E299B"/>
    <w:rsid w:val="003E59B8"/>
    <w:rsid w:val="003E67EC"/>
    <w:rsid w:val="003E6BC0"/>
    <w:rsid w:val="003F0DBC"/>
    <w:rsid w:val="003F192A"/>
    <w:rsid w:val="003F2510"/>
    <w:rsid w:val="003F3044"/>
    <w:rsid w:val="003F388F"/>
    <w:rsid w:val="003F49EA"/>
    <w:rsid w:val="003F594A"/>
    <w:rsid w:val="003F7AAB"/>
    <w:rsid w:val="003F7FA3"/>
    <w:rsid w:val="00400354"/>
    <w:rsid w:val="004018B9"/>
    <w:rsid w:val="004019F1"/>
    <w:rsid w:val="00410FDD"/>
    <w:rsid w:val="00415F67"/>
    <w:rsid w:val="00416C87"/>
    <w:rsid w:val="00420409"/>
    <w:rsid w:val="00421776"/>
    <w:rsid w:val="00422732"/>
    <w:rsid w:val="00423E0F"/>
    <w:rsid w:val="004247FF"/>
    <w:rsid w:val="004256B5"/>
    <w:rsid w:val="004262A0"/>
    <w:rsid w:val="00430AAE"/>
    <w:rsid w:val="00430AFC"/>
    <w:rsid w:val="00430D6C"/>
    <w:rsid w:val="00430F44"/>
    <w:rsid w:val="00431995"/>
    <w:rsid w:val="0043270E"/>
    <w:rsid w:val="004329B8"/>
    <w:rsid w:val="004329BA"/>
    <w:rsid w:val="00433D47"/>
    <w:rsid w:val="00436119"/>
    <w:rsid w:val="00436A14"/>
    <w:rsid w:val="004370B7"/>
    <w:rsid w:val="00437613"/>
    <w:rsid w:val="0044105F"/>
    <w:rsid w:val="00441204"/>
    <w:rsid w:val="00442894"/>
    <w:rsid w:val="004451C2"/>
    <w:rsid w:val="004452BF"/>
    <w:rsid w:val="0044563F"/>
    <w:rsid w:val="0044674D"/>
    <w:rsid w:val="00447527"/>
    <w:rsid w:val="00450AE9"/>
    <w:rsid w:val="00451B59"/>
    <w:rsid w:val="004535ED"/>
    <w:rsid w:val="0045363E"/>
    <w:rsid w:val="00453C46"/>
    <w:rsid w:val="00453E37"/>
    <w:rsid w:val="00453E9D"/>
    <w:rsid w:val="00454BE1"/>
    <w:rsid w:val="00455675"/>
    <w:rsid w:val="00455984"/>
    <w:rsid w:val="004561F7"/>
    <w:rsid w:val="00456D0C"/>
    <w:rsid w:val="0045739F"/>
    <w:rsid w:val="00460EFA"/>
    <w:rsid w:val="00463357"/>
    <w:rsid w:val="004677D7"/>
    <w:rsid w:val="00467B37"/>
    <w:rsid w:val="004708DD"/>
    <w:rsid w:val="00472F70"/>
    <w:rsid w:val="004735AC"/>
    <w:rsid w:val="004738CD"/>
    <w:rsid w:val="004757ED"/>
    <w:rsid w:val="004778CF"/>
    <w:rsid w:val="00482E12"/>
    <w:rsid w:val="0048320A"/>
    <w:rsid w:val="0048336D"/>
    <w:rsid w:val="00483D8A"/>
    <w:rsid w:val="004843E1"/>
    <w:rsid w:val="00485938"/>
    <w:rsid w:val="00486144"/>
    <w:rsid w:val="0049133C"/>
    <w:rsid w:val="0049257A"/>
    <w:rsid w:val="004933F8"/>
    <w:rsid w:val="004939EA"/>
    <w:rsid w:val="0049423C"/>
    <w:rsid w:val="004949DD"/>
    <w:rsid w:val="00495FDA"/>
    <w:rsid w:val="00497443"/>
    <w:rsid w:val="004A1FA1"/>
    <w:rsid w:val="004A1FCA"/>
    <w:rsid w:val="004A2AF4"/>
    <w:rsid w:val="004A2AF8"/>
    <w:rsid w:val="004A3D30"/>
    <w:rsid w:val="004A47FA"/>
    <w:rsid w:val="004A5034"/>
    <w:rsid w:val="004A5220"/>
    <w:rsid w:val="004A54AC"/>
    <w:rsid w:val="004B1B42"/>
    <w:rsid w:val="004B428C"/>
    <w:rsid w:val="004B48BA"/>
    <w:rsid w:val="004B5562"/>
    <w:rsid w:val="004B6F19"/>
    <w:rsid w:val="004B73A6"/>
    <w:rsid w:val="004B75E8"/>
    <w:rsid w:val="004B7697"/>
    <w:rsid w:val="004B7E5F"/>
    <w:rsid w:val="004B7FD3"/>
    <w:rsid w:val="004C0E9E"/>
    <w:rsid w:val="004C135F"/>
    <w:rsid w:val="004C281F"/>
    <w:rsid w:val="004C57A1"/>
    <w:rsid w:val="004C5B00"/>
    <w:rsid w:val="004C5DE8"/>
    <w:rsid w:val="004C7A2F"/>
    <w:rsid w:val="004C7BF7"/>
    <w:rsid w:val="004D0999"/>
    <w:rsid w:val="004D12E9"/>
    <w:rsid w:val="004D326F"/>
    <w:rsid w:val="004D3807"/>
    <w:rsid w:val="004D3D8F"/>
    <w:rsid w:val="004D6682"/>
    <w:rsid w:val="004D6F8B"/>
    <w:rsid w:val="004D79ED"/>
    <w:rsid w:val="004E16D7"/>
    <w:rsid w:val="004E2358"/>
    <w:rsid w:val="004E3715"/>
    <w:rsid w:val="004E38D6"/>
    <w:rsid w:val="004E3BC9"/>
    <w:rsid w:val="004E4108"/>
    <w:rsid w:val="004E498B"/>
    <w:rsid w:val="004E4DC5"/>
    <w:rsid w:val="004E5133"/>
    <w:rsid w:val="004E5593"/>
    <w:rsid w:val="004E690F"/>
    <w:rsid w:val="004E6F9D"/>
    <w:rsid w:val="004E7D46"/>
    <w:rsid w:val="004F1030"/>
    <w:rsid w:val="004F176E"/>
    <w:rsid w:val="004F28DD"/>
    <w:rsid w:val="004F3613"/>
    <w:rsid w:val="004F3995"/>
    <w:rsid w:val="004F4903"/>
    <w:rsid w:val="004F4EB1"/>
    <w:rsid w:val="004F72E7"/>
    <w:rsid w:val="00500414"/>
    <w:rsid w:val="00500E94"/>
    <w:rsid w:val="005025A0"/>
    <w:rsid w:val="005027CB"/>
    <w:rsid w:val="00502C56"/>
    <w:rsid w:val="00502EA6"/>
    <w:rsid w:val="005060D6"/>
    <w:rsid w:val="00506B89"/>
    <w:rsid w:val="00506C52"/>
    <w:rsid w:val="00507200"/>
    <w:rsid w:val="005074AA"/>
    <w:rsid w:val="005074DB"/>
    <w:rsid w:val="00510C47"/>
    <w:rsid w:val="00510F67"/>
    <w:rsid w:val="00512665"/>
    <w:rsid w:val="00512EBF"/>
    <w:rsid w:val="00514E73"/>
    <w:rsid w:val="00514E94"/>
    <w:rsid w:val="0051566D"/>
    <w:rsid w:val="00515A36"/>
    <w:rsid w:val="00516A30"/>
    <w:rsid w:val="005170CA"/>
    <w:rsid w:val="00520955"/>
    <w:rsid w:val="00521B5C"/>
    <w:rsid w:val="00522A75"/>
    <w:rsid w:val="00522E20"/>
    <w:rsid w:val="00525223"/>
    <w:rsid w:val="005260E1"/>
    <w:rsid w:val="00530046"/>
    <w:rsid w:val="00532AA4"/>
    <w:rsid w:val="00536BC7"/>
    <w:rsid w:val="00540D01"/>
    <w:rsid w:val="005410BF"/>
    <w:rsid w:val="005419EA"/>
    <w:rsid w:val="00541C16"/>
    <w:rsid w:val="00542360"/>
    <w:rsid w:val="00542FBE"/>
    <w:rsid w:val="00543BF9"/>
    <w:rsid w:val="005447B7"/>
    <w:rsid w:val="00544FB5"/>
    <w:rsid w:val="00545976"/>
    <w:rsid w:val="0054602F"/>
    <w:rsid w:val="0055222E"/>
    <w:rsid w:val="00553474"/>
    <w:rsid w:val="005539AF"/>
    <w:rsid w:val="00554A76"/>
    <w:rsid w:val="00556090"/>
    <w:rsid w:val="005573D2"/>
    <w:rsid w:val="0056033E"/>
    <w:rsid w:val="005627F4"/>
    <w:rsid w:val="00562C50"/>
    <w:rsid w:val="00562D35"/>
    <w:rsid w:val="00562FFE"/>
    <w:rsid w:val="00563860"/>
    <w:rsid w:val="00563B2C"/>
    <w:rsid w:val="00564320"/>
    <w:rsid w:val="005645C6"/>
    <w:rsid w:val="00565474"/>
    <w:rsid w:val="005659D7"/>
    <w:rsid w:val="005679AA"/>
    <w:rsid w:val="00567E9B"/>
    <w:rsid w:val="00570F3F"/>
    <w:rsid w:val="0057144F"/>
    <w:rsid w:val="00571AF7"/>
    <w:rsid w:val="00572EAD"/>
    <w:rsid w:val="00575494"/>
    <w:rsid w:val="00575B5A"/>
    <w:rsid w:val="00575BB8"/>
    <w:rsid w:val="0057675F"/>
    <w:rsid w:val="00580385"/>
    <w:rsid w:val="0058051A"/>
    <w:rsid w:val="00581D9A"/>
    <w:rsid w:val="00582A3C"/>
    <w:rsid w:val="0058346E"/>
    <w:rsid w:val="00584557"/>
    <w:rsid w:val="00584830"/>
    <w:rsid w:val="00584C1C"/>
    <w:rsid w:val="005850C5"/>
    <w:rsid w:val="00585348"/>
    <w:rsid w:val="00585F79"/>
    <w:rsid w:val="005865F4"/>
    <w:rsid w:val="00587BF6"/>
    <w:rsid w:val="00587F9A"/>
    <w:rsid w:val="00590873"/>
    <w:rsid w:val="005920D6"/>
    <w:rsid w:val="005926B4"/>
    <w:rsid w:val="00592941"/>
    <w:rsid w:val="00593DB8"/>
    <w:rsid w:val="00593E6C"/>
    <w:rsid w:val="0059486B"/>
    <w:rsid w:val="00594DBC"/>
    <w:rsid w:val="00596813"/>
    <w:rsid w:val="0059754B"/>
    <w:rsid w:val="005A14F6"/>
    <w:rsid w:val="005A2ECD"/>
    <w:rsid w:val="005A4DE6"/>
    <w:rsid w:val="005A5322"/>
    <w:rsid w:val="005A638F"/>
    <w:rsid w:val="005A72E8"/>
    <w:rsid w:val="005B38A2"/>
    <w:rsid w:val="005B3D23"/>
    <w:rsid w:val="005B4A7C"/>
    <w:rsid w:val="005B4E24"/>
    <w:rsid w:val="005B5F99"/>
    <w:rsid w:val="005B6CE8"/>
    <w:rsid w:val="005C30E9"/>
    <w:rsid w:val="005C570D"/>
    <w:rsid w:val="005C5975"/>
    <w:rsid w:val="005C5BFA"/>
    <w:rsid w:val="005C6312"/>
    <w:rsid w:val="005C7348"/>
    <w:rsid w:val="005D0C3D"/>
    <w:rsid w:val="005D2932"/>
    <w:rsid w:val="005D2E72"/>
    <w:rsid w:val="005D339A"/>
    <w:rsid w:val="005D4809"/>
    <w:rsid w:val="005D6252"/>
    <w:rsid w:val="005D6E2E"/>
    <w:rsid w:val="005D7D21"/>
    <w:rsid w:val="005E32CA"/>
    <w:rsid w:val="005E434A"/>
    <w:rsid w:val="005E4883"/>
    <w:rsid w:val="005E49F8"/>
    <w:rsid w:val="005E550A"/>
    <w:rsid w:val="005E7243"/>
    <w:rsid w:val="005E73B4"/>
    <w:rsid w:val="005F146A"/>
    <w:rsid w:val="005F1B8E"/>
    <w:rsid w:val="005F4E91"/>
    <w:rsid w:val="005F6EF6"/>
    <w:rsid w:val="005F73B2"/>
    <w:rsid w:val="005F78D7"/>
    <w:rsid w:val="005F78FE"/>
    <w:rsid w:val="005F7B8B"/>
    <w:rsid w:val="00600D0B"/>
    <w:rsid w:val="006010DB"/>
    <w:rsid w:val="0060457B"/>
    <w:rsid w:val="0060731B"/>
    <w:rsid w:val="006105E9"/>
    <w:rsid w:val="00610772"/>
    <w:rsid w:val="00611EB1"/>
    <w:rsid w:val="00613BBB"/>
    <w:rsid w:val="00614D97"/>
    <w:rsid w:val="0061525E"/>
    <w:rsid w:val="006173F5"/>
    <w:rsid w:val="006217E7"/>
    <w:rsid w:val="00622787"/>
    <w:rsid w:val="00622D36"/>
    <w:rsid w:val="00623F7F"/>
    <w:rsid w:val="00624B5A"/>
    <w:rsid w:val="00624C28"/>
    <w:rsid w:val="00625A9C"/>
    <w:rsid w:val="006261B6"/>
    <w:rsid w:val="006269FF"/>
    <w:rsid w:val="00626D07"/>
    <w:rsid w:val="006301F4"/>
    <w:rsid w:val="00632D2A"/>
    <w:rsid w:val="006330DB"/>
    <w:rsid w:val="006331EE"/>
    <w:rsid w:val="0063334D"/>
    <w:rsid w:val="006357A9"/>
    <w:rsid w:val="00637A46"/>
    <w:rsid w:val="00640437"/>
    <w:rsid w:val="006409FC"/>
    <w:rsid w:val="0064128C"/>
    <w:rsid w:val="00641775"/>
    <w:rsid w:val="00642CA6"/>
    <w:rsid w:val="0064385D"/>
    <w:rsid w:val="006475A1"/>
    <w:rsid w:val="00650798"/>
    <w:rsid w:val="00650CB1"/>
    <w:rsid w:val="0065107A"/>
    <w:rsid w:val="00651CC5"/>
    <w:rsid w:val="00651DBD"/>
    <w:rsid w:val="00652D1E"/>
    <w:rsid w:val="00653B4E"/>
    <w:rsid w:val="006544E2"/>
    <w:rsid w:val="006561A8"/>
    <w:rsid w:val="00657464"/>
    <w:rsid w:val="00657CD6"/>
    <w:rsid w:val="0066589F"/>
    <w:rsid w:val="00665ACB"/>
    <w:rsid w:val="006664B9"/>
    <w:rsid w:val="00666602"/>
    <w:rsid w:val="00666B6A"/>
    <w:rsid w:val="00667EF0"/>
    <w:rsid w:val="0067020D"/>
    <w:rsid w:val="00671A7B"/>
    <w:rsid w:val="00671AC0"/>
    <w:rsid w:val="0067387E"/>
    <w:rsid w:val="00673A29"/>
    <w:rsid w:val="00674887"/>
    <w:rsid w:val="006775B9"/>
    <w:rsid w:val="00677761"/>
    <w:rsid w:val="006800B6"/>
    <w:rsid w:val="00680612"/>
    <w:rsid w:val="0068083B"/>
    <w:rsid w:val="00681FF7"/>
    <w:rsid w:val="006820E8"/>
    <w:rsid w:val="00682454"/>
    <w:rsid w:val="0068285E"/>
    <w:rsid w:val="00682AB5"/>
    <w:rsid w:val="00683B4E"/>
    <w:rsid w:val="00683C70"/>
    <w:rsid w:val="00685DEC"/>
    <w:rsid w:val="00686890"/>
    <w:rsid w:val="006874E7"/>
    <w:rsid w:val="00690AA5"/>
    <w:rsid w:val="00691828"/>
    <w:rsid w:val="00692C75"/>
    <w:rsid w:val="0069496E"/>
    <w:rsid w:val="00694AB7"/>
    <w:rsid w:val="00694B05"/>
    <w:rsid w:val="00695B5A"/>
    <w:rsid w:val="00695E13"/>
    <w:rsid w:val="00696634"/>
    <w:rsid w:val="00696FD9"/>
    <w:rsid w:val="006A26F9"/>
    <w:rsid w:val="006A2D2F"/>
    <w:rsid w:val="006A37B7"/>
    <w:rsid w:val="006A4D1C"/>
    <w:rsid w:val="006A56A6"/>
    <w:rsid w:val="006A6893"/>
    <w:rsid w:val="006A6B5A"/>
    <w:rsid w:val="006A6E74"/>
    <w:rsid w:val="006A75E7"/>
    <w:rsid w:val="006A767E"/>
    <w:rsid w:val="006B103A"/>
    <w:rsid w:val="006B1138"/>
    <w:rsid w:val="006B307C"/>
    <w:rsid w:val="006B3749"/>
    <w:rsid w:val="006B376F"/>
    <w:rsid w:val="006B37E4"/>
    <w:rsid w:val="006B4187"/>
    <w:rsid w:val="006B63C3"/>
    <w:rsid w:val="006B7DDE"/>
    <w:rsid w:val="006C0C61"/>
    <w:rsid w:val="006C1698"/>
    <w:rsid w:val="006C2747"/>
    <w:rsid w:val="006C3BA7"/>
    <w:rsid w:val="006C4815"/>
    <w:rsid w:val="006C609A"/>
    <w:rsid w:val="006C61B0"/>
    <w:rsid w:val="006C6CCE"/>
    <w:rsid w:val="006C6D03"/>
    <w:rsid w:val="006D0792"/>
    <w:rsid w:val="006D1AE1"/>
    <w:rsid w:val="006D21F0"/>
    <w:rsid w:val="006D260A"/>
    <w:rsid w:val="006D2B11"/>
    <w:rsid w:val="006D46AE"/>
    <w:rsid w:val="006D5773"/>
    <w:rsid w:val="006D57A5"/>
    <w:rsid w:val="006D6110"/>
    <w:rsid w:val="006D6ADE"/>
    <w:rsid w:val="006D7D65"/>
    <w:rsid w:val="006E104B"/>
    <w:rsid w:val="006E2015"/>
    <w:rsid w:val="006E2059"/>
    <w:rsid w:val="006E4BE5"/>
    <w:rsid w:val="006E4D4B"/>
    <w:rsid w:val="006F1096"/>
    <w:rsid w:val="006F1AD3"/>
    <w:rsid w:val="006F2C99"/>
    <w:rsid w:val="006F5557"/>
    <w:rsid w:val="006F56C1"/>
    <w:rsid w:val="006F56F0"/>
    <w:rsid w:val="006F5A92"/>
    <w:rsid w:val="006F7748"/>
    <w:rsid w:val="0070145B"/>
    <w:rsid w:val="0070172A"/>
    <w:rsid w:val="00701E2E"/>
    <w:rsid w:val="00705254"/>
    <w:rsid w:val="00705B08"/>
    <w:rsid w:val="00707F6A"/>
    <w:rsid w:val="007105E2"/>
    <w:rsid w:val="007107DC"/>
    <w:rsid w:val="00711090"/>
    <w:rsid w:val="00712C49"/>
    <w:rsid w:val="00712FEA"/>
    <w:rsid w:val="00713750"/>
    <w:rsid w:val="00714312"/>
    <w:rsid w:val="0071613E"/>
    <w:rsid w:val="0071796E"/>
    <w:rsid w:val="00717A35"/>
    <w:rsid w:val="00720506"/>
    <w:rsid w:val="00720E06"/>
    <w:rsid w:val="00723BD6"/>
    <w:rsid w:val="00723F33"/>
    <w:rsid w:val="007256C2"/>
    <w:rsid w:val="00727915"/>
    <w:rsid w:val="00727FFB"/>
    <w:rsid w:val="00733403"/>
    <w:rsid w:val="00734236"/>
    <w:rsid w:val="007345DF"/>
    <w:rsid w:val="007350C2"/>
    <w:rsid w:val="007351F4"/>
    <w:rsid w:val="00736675"/>
    <w:rsid w:val="00741626"/>
    <w:rsid w:val="00741888"/>
    <w:rsid w:val="007422D9"/>
    <w:rsid w:val="007427F2"/>
    <w:rsid w:val="00742C1F"/>
    <w:rsid w:val="00743FF2"/>
    <w:rsid w:val="0074678B"/>
    <w:rsid w:val="00750E5E"/>
    <w:rsid w:val="00751FF6"/>
    <w:rsid w:val="007529BF"/>
    <w:rsid w:val="00754C35"/>
    <w:rsid w:val="00755BDA"/>
    <w:rsid w:val="00755D98"/>
    <w:rsid w:val="00757BB1"/>
    <w:rsid w:val="00757CB4"/>
    <w:rsid w:val="00761A31"/>
    <w:rsid w:val="00762043"/>
    <w:rsid w:val="007631AE"/>
    <w:rsid w:val="007644BD"/>
    <w:rsid w:val="007646A2"/>
    <w:rsid w:val="0077122A"/>
    <w:rsid w:val="00772D5A"/>
    <w:rsid w:val="007733F6"/>
    <w:rsid w:val="007741B6"/>
    <w:rsid w:val="00774685"/>
    <w:rsid w:val="00774B7A"/>
    <w:rsid w:val="00776582"/>
    <w:rsid w:val="007800BB"/>
    <w:rsid w:val="00780BD1"/>
    <w:rsid w:val="007817E3"/>
    <w:rsid w:val="00782555"/>
    <w:rsid w:val="007825D6"/>
    <w:rsid w:val="00783E1C"/>
    <w:rsid w:val="00790569"/>
    <w:rsid w:val="00790E44"/>
    <w:rsid w:val="00792012"/>
    <w:rsid w:val="007927A4"/>
    <w:rsid w:val="00792E8E"/>
    <w:rsid w:val="00793275"/>
    <w:rsid w:val="007949E3"/>
    <w:rsid w:val="00794CF7"/>
    <w:rsid w:val="007958A6"/>
    <w:rsid w:val="00795EC0"/>
    <w:rsid w:val="0079694B"/>
    <w:rsid w:val="00797D1B"/>
    <w:rsid w:val="00797E02"/>
    <w:rsid w:val="007A09C7"/>
    <w:rsid w:val="007A0D96"/>
    <w:rsid w:val="007A10A6"/>
    <w:rsid w:val="007A34C2"/>
    <w:rsid w:val="007A4051"/>
    <w:rsid w:val="007A6EC3"/>
    <w:rsid w:val="007B30E0"/>
    <w:rsid w:val="007B3379"/>
    <w:rsid w:val="007B350D"/>
    <w:rsid w:val="007B4471"/>
    <w:rsid w:val="007B54C1"/>
    <w:rsid w:val="007B5B1B"/>
    <w:rsid w:val="007B6579"/>
    <w:rsid w:val="007C03B8"/>
    <w:rsid w:val="007C11C1"/>
    <w:rsid w:val="007C1DF4"/>
    <w:rsid w:val="007C1F55"/>
    <w:rsid w:val="007C264B"/>
    <w:rsid w:val="007C2F79"/>
    <w:rsid w:val="007C34EC"/>
    <w:rsid w:val="007C3885"/>
    <w:rsid w:val="007C3D77"/>
    <w:rsid w:val="007C426B"/>
    <w:rsid w:val="007C475F"/>
    <w:rsid w:val="007C4CD3"/>
    <w:rsid w:val="007C55AC"/>
    <w:rsid w:val="007C57D5"/>
    <w:rsid w:val="007C5C74"/>
    <w:rsid w:val="007C5DAB"/>
    <w:rsid w:val="007C79BF"/>
    <w:rsid w:val="007D0910"/>
    <w:rsid w:val="007D1376"/>
    <w:rsid w:val="007D25CB"/>
    <w:rsid w:val="007D479E"/>
    <w:rsid w:val="007D688E"/>
    <w:rsid w:val="007D6900"/>
    <w:rsid w:val="007D719C"/>
    <w:rsid w:val="007D767C"/>
    <w:rsid w:val="007E1210"/>
    <w:rsid w:val="007E2D98"/>
    <w:rsid w:val="007E3059"/>
    <w:rsid w:val="007E38D6"/>
    <w:rsid w:val="007E3F9C"/>
    <w:rsid w:val="007E3FD3"/>
    <w:rsid w:val="007E6C53"/>
    <w:rsid w:val="007E6E0C"/>
    <w:rsid w:val="007E7E10"/>
    <w:rsid w:val="007F0A0F"/>
    <w:rsid w:val="007F0E22"/>
    <w:rsid w:val="007F190B"/>
    <w:rsid w:val="007F2142"/>
    <w:rsid w:val="007F2175"/>
    <w:rsid w:val="007F40ED"/>
    <w:rsid w:val="007F4DE6"/>
    <w:rsid w:val="007F5AD7"/>
    <w:rsid w:val="007F5CE3"/>
    <w:rsid w:val="007F7184"/>
    <w:rsid w:val="008001E0"/>
    <w:rsid w:val="00800CE4"/>
    <w:rsid w:val="008013A3"/>
    <w:rsid w:val="00801EA7"/>
    <w:rsid w:val="00802EC5"/>
    <w:rsid w:val="008035D9"/>
    <w:rsid w:val="00804F74"/>
    <w:rsid w:val="00806057"/>
    <w:rsid w:val="00806E29"/>
    <w:rsid w:val="00810DB3"/>
    <w:rsid w:val="00811CDE"/>
    <w:rsid w:val="00811F60"/>
    <w:rsid w:val="00812266"/>
    <w:rsid w:val="0081233E"/>
    <w:rsid w:val="008129BF"/>
    <w:rsid w:val="00812A6D"/>
    <w:rsid w:val="00812BBC"/>
    <w:rsid w:val="00812E37"/>
    <w:rsid w:val="00813750"/>
    <w:rsid w:val="00814434"/>
    <w:rsid w:val="00814587"/>
    <w:rsid w:val="00814BE2"/>
    <w:rsid w:val="00814D6F"/>
    <w:rsid w:val="00816ECA"/>
    <w:rsid w:val="008246E3"/>
    <w:rsid w:val="00826CD0"/>
    <w:rsid w:val="00827196"/>
    <w:rsid w:val="00827731"/>
    <w:rsid w:val="00827C8A"/>
    <w:rsid w:val="008308E6"/>
    <w:rsid w:val="008309CA"/>
    <w:rsid w:val="0083110E"/>
    <w:rsid w:val="00831E99"/>
    <w:rsid w:val="008321F3"/>
    <w:rsid w:val="00832881"/>
    <w:rsid w:val="00832A5C"/>
    <w:rsid w:val="00834836"/>
    <w:rsid w:val="00834ED1"/>
    <w:rsid w:val="00836F01"/>
    <w:rsid w:val="00842286"/>
    <w:rsid w:val="00842D49"/>
    <w:rsid w:val="008438E0"/>
    <w:rsid w:val="00844894"/>
    <w:rsid w:val="00844E55"/>
    <w:rsid w:val="00847A0D"/>
    <w:rsid w:val="008506C2"/>
    <w:rsid w:val="00850B05"/>
    <w:rsid w:val="00850D34"/>
    <w:rsid w:val="00851EF3"/>
    <w:rsid w:val="00855C30"/>
    <w:rsid w:val="00856D2B"/>
    <w:rsid w:val="00856EAA"/>
    <w:rsid w:val="00857DEF"/>
    <w:rsid w:val="008604F4"/>
    <w:rsid w:val="00860AE2"/>
    <w:rsid w:val="00861459"/>
    <w:rsid w:val="008635EF"/>
    <w:rsid w:val="008704DD"/>
    <w:rsid w:val="00870709"/>
    <w:rsid w:val="008712F4"/>
    <w:rsid w:val="0087220A"/>
    <w:rsid w:val="008724BB"/>
    <w:rsid w:val="00872D17"/>
    <w:rsid w:val="008733D2"/>
    <w:rsid w:val="008748EF"/>
    <w:rsid w:val="00874B26"/>
    <w:rsid w:val="0087563D"/>
    <w:rsid w:val="00875CBE"/>
    <w:rsid w:val="008771AF"/>
    <w:rsid w:val="00883D1A"/>
    <w:rsid w:val="00884261"/>
    <w:rsid w:val="00884335"/>
    <w:rsid w:val="00884C64"/>
    <w:rsid w:val="00884FBC"/>
    <w:rsid w:val="0088515B"/>
    <w:rsid w:val="0088583A"/>
    <w:rsid w:val="00886032"/>
    <w:rsid w:val="0088608C"/>
    <w:rsid w:val="0089006B"/>
    <w:rsid w:val="00890EF2"/>
    <w:rsid w:val="00892BCD"/>
    <w:rsid w:val="008939C7"/>
    <w:rsid w:val="00893C96"/>
    <w:rsid w:val="00894C1C"/>
    <w:rsid w:val="00895979"/>
    <w:rsid w:val="00895D92"/>
    <w:rsid w:val="008969A2"/>
    <w:rsid w:val="008A0716"/>
    <w:rsid w:val="008A0CB0"/>
    <w:rsid w:val="008A22EA"/>
    <w:rsid w:val="008A28A8"/>
    <w:rsid w:val="008A357C"/>
    <w:rsid w:val="008A3FBC"/>
    <w:rsid w:val="008A557F"/>
    <w:rsid w:val="008A5580"/>
    <w:rsid w:val="008A612F"/>
    <w:rsid w:val="008A639B"/>
    <w:rsid w:val="008B0062"/>
    <w:rsid w:val="008B08F8"/>
    <w:rsid w:val="008B0B05"/>
    <w:rsid w:val="008B217F"/>
    <w:rsid w:val="008B25FC"/>
    <w:rsid w:val="008B27FA"/>
    <w:rsid w:val="008B38F7"/>
    <w:rsid w:val="008B3B12"/>
    <w:rsid w:val="008B6D04"/>
    <w:rsid w:val="008C2958"/>
    <w:rsid w:val="008C3238"/>
    <w:rsid w:val="008C326E"/>
    <w:rsid w:val="008C329B"/>
    <w:rsid w:val="008C33A3"/>
    <w:rsid w:val="008C43C0"/>
    <w:rsid w:val="008C54A9"/>
    <w:rsid w:val="008C5577"/>
    <w:rsid w:val="008C60B6"/>
    <w:rsid w:val="008C6B7F"/>
    <w:rsid w:val="008D1495"/>
    <w:rsid w:val="008D289F"/>
    <w:rsid w:val="008D2E07"/>
    <w:rsid w:val="008D3468"/>
    <w:rsid w:val="008D4802"/>
    <w:rsid w:val="008D4CB8"/>
    <w:rsid w:val="008D5855"/>
    <w:rsid w:val="008D692B"/>
    <w:rsid w:val="008D6FF0"/>
    <w:rsid w:val="008E07FA"/>
    <w:rsid w:val="008E0D98"/>
    <w:rsid w:val="008E0EB8"/>
    <w:rsid w:val="008E1D0C"/>
    <w:rsid w:val="008E216C"/>
    <w:rsid w:val="008E349F"/>
    <w:rsid w:val="008E393B"/>
    <w:rsid w:val="008E4DB6"/>
    <w:rsid w:val="008E603A"/>
    <w:rsid w:val="008F245D"/>
    <w:rsid w:val="008F3187"/>
    <w:rsid w:val="008F34DD"/>
    <w:rsid w:val="008F3776"/>
    <w:rsid w:val="008F4F70"/>
    <w:rsid w:val="008F54F4"/>
    <w:rsid w:val="008F5E57"/>
    <w:rsid w:val="008F6096"/>
    <w:rsid w:val="008F6A1B"/>
    <w:rsid w:val="008F7223"/>
    <w:rsid w:val="008F72CC"/>
    <w:rsid w:val="009005DF"/>
    <w:rsid w:val="009009D2"/>
    <w:rsid w:val="00901222"/>
    <w:rsid w:val="009019CB"/>
    <w:rsid w:val="009040BA"/>
    <w:rsid w:val="009047EF"/>
    <w:rsid w:val="0090514C"/>
    <w:rsid w:val="00905B21"/>
    <w:rsid w:val="00907601"/>
    <w:rsid w:val="00911345"/>
    <w:rsid w:val="0091171F"/>
    <w:rsid w:val="009124E1"/>
    <w:rsid w:val="00912CC9"/>
    <w:rsid w:val="00913F62"/>
    <w:rsid w:val="009140EF"/>
    <w:rsid w:val="00914E17"/>
    <w:rsid w:val="00915684"/>
    <w:rsid w:val="009156A7"/>
    <w:rsid w:val="00915942"/>
    <w:rsid w:val="009159AC"/>
    <w:rsid w:val="00915E79"/>
    <w:rsid w:val="0091637D"/>
    <w:rsid w:val="00917BE7"/>
    <w:rsid w:val="00920406"/>
    <w:rsid w:val="00920CF4"/>
    <w:rsid w:val="009216D9"/>
    <w:rsid w:val="0092369F"/>
    <w:rsid w:val="0092435A"/>
    <w:rsid w:val="00924E48"/>
    <w:rsid w:val="009254A2"/>
    <w:rsid w:val="00925DF3"/>
    <w:rsid w:val="00926648"/>
    <w:rsid w:val="009269B3"/>
    <w:rsid w:val="009271D2"/>
    <w:rsid w:val="0092726B"/>
    <w:rsid w:val="00930FB3"/>
    <w:rsid w:val="009346F9"/>
    <w:rsid w:val="009348B8"/>
    <w:rsid w:val="009359A8"/>
    <w:rsid w:val="00935D54"/>
    <w:rsid w:val="0093656E"/>
    <w:rsid w:val="00936B86"/>
    <w:rsid w:val="0093717F"/>
    <w:rsid w:val="0094186E"/>
    <w:rsid w:val="009440BD"/>
    <w:rsid w:val="00945126"/>
    <w:rsid w:val="00945327"/>
    <w:rsid w:val="00945E1A"/>
    <w:rsid w:val="009460B6"/>
    <w:rsid w:val="00946EA5"/>
    <w:rsid w:val="00947C20"/>
    <w:rsid w:val="009507B0"/>
    <w:rsid w:val="009521DF"/>
    <w:rsid w:val="00952BBF"/>
    <w:rsid w:val="00952DA5"/>
    <w:rsid w:val="00952F11"/>
    <w:rsid w:val="009530E4"/>
    <w:rsid w:val="0095651C"/>
    <w:rsid w:val="00956B7D"/>
    <w:rsid w:val="009575DA"/>
    <w:rsid w:val="00957B80"/>
    <w:rsid w:val="0096070D"/>
    <w:rsid w:val="00960DDF"/>
    <w:rsid w:val="009625B9"/>
    <w:rsid w:val="00962B1A"/>
    <w:rsid w:val="00962E18"/>
    <w:rsid w:val="0096797A"/>
    <w:rsid w:val="00967E0B"/>
    <w:rsid w:val="00967E63"/>
    <w:rsid w:val="00967F39"/>
    <w:rsid w:val="00970CDE"/>
    <w:rsid w:val="00972848"/>
    <w:rsid w:val="00973310"/>
    <w:rsid w:val="0097468C"/>
    <w:rsid w:val="00976A92"/>
    <w:rsid w:val="00980C61"/>
    <w:rsid w:val="0098103A"/>
    <w:rsid w:val="0098183B"/>
    <w:rsid w:val="00981E58"/>
    <w:rsid w:val="00983F03"/>
    <w:rsid w:val="009844F0"/>
    <w:rsid w:val="0098577F"/>
    <w:rsid w:val="0098601C"/>
    <w:rsid w:val="00986D44"/>
    <w:rsid w:val="00987CE2"/>
    <w:rsid w:val="00987CE8"/>
    <w:rsid w:val="009906FC"/>
    <w:rsid w:val="009915B9"/>
    <w:rsid w:val="00991885"/>
    <w:rsid w:val="00992ED8"/>
    <w:rsid w:val="00995516"/>
    <w:rsid w:val="009959EE"/>
    <w:rsid w:val="00997169"/>
    <w:rsid w:val="0099736D"/>
    <w:rsid w:val="009A0374"/>
    <w:rsid w:val="009A0846"/>
    <w:rsid w:val="009A0F32"/>
    <w:rsid w:val="009A16CA"/>
    <w:rsid w:val="009A1AFD"/>
    <w:rsid w:val="009A1CF9"/>
    <w:rsid w:val="009A1D4A"/>
    <w:rsid w:val="009A4B90"/>
    <w:rsid w:val="009A7A23"/>
    <w:rsid w:val="009B14FC"/>
    <w:rsid w:val="009B1798"/>
    <w:rsid w:val="009B1E7B"/>
    <w:rsid w:val="009B23B9"/>
    <w:rsid w:val="009B23F9"/>
    <w:rsid w:val="009B4227"/>
    <w:rsid w:val="009B434D"/>
    <w:rsid w:val="009B4AE9"/>
    <w:rsid w:val="009B61AB"/>
    <w:rsid w:val="009B647B"/>
    <w:rsid w:val="009B6938"/>
    <w:rsid w:val="009B7C7B"/>
    <w:rsid w:val="009C00C6"/>
    <w:rsid w:val="009C168B"/>
    <w:rsid w:val="009C1D54"/>
    <w:rsid w:val="009C2B3B"/>
    <w:rsid w:val="009C303D"/>
    <w:rsid w:val="009C4086"/>
    <w:rsid w:val="009C4886"/>
    <w:rsid w:val="009C5D32"/>
    <w:rsid w:val="009C6F0A"/>
    <w:rsid w:val="009C6F44"/>
    <w:rsid w:val="009D008F"/>
    <w:rsid w:val="009D051A"/>
    <w:rsid w:val="009D1AA5"/>
    <w:rsid w:val="009D2573"/>
    <w:rsid w:val="009D2DC4"/>
    <w:rsid w:val="009D35E5"/>
    <w:rsid w:val="009D396B"/>
    <w:rsid w:val="009D432C"/>
    <w:rsid w:val="009D5135"/>
    <w:rsid w:val="009D62EC"/>
    <w:rsid w:val="009D656D"/>
    <w:rsid w:val="009D7A67"/>
    <w:rsid w:val="009E213F"/>
    <w:rsid w:val="009E2C2C"/>
    <w:rsid w:val="009E3EE2"/>
    <w:rsid w:val="009E45D9"/>
    <w:rsid w:val="009E622B"/>
    <w:rsid w:val="009E79CD"/>
    <w:rsid w:val="009E7EB5"/>
    <w:rsid w:val="009F0825"/>
    <w:rsid w:val="009F0F2A"/>
    <w:rsid w:val="009F0F37"/>
    <w:rsid w:val="009F28F6"/>
    <w:rsid w:val="009F291C"/>
    <w:rsid w:val="009F4386"/>
    <w:rsid w:val="009F4BF1"/>
    <w:rsid w:val="00A00270"/>
    <w:rsid w:val="00A005D4"/>
    <w:rsid w:val="00A0089D"/>
    <w:rsid w:val="00A0172E"/>
    <w:rsid w:val="00A01ED9"/>
    <w:rsid w:val="00A028F5"/>
    <w:rsid w:val="00A04468"/>
    <w:rsid w:val="00A047DA"/>
    <w:rsid w:val="00A04D1D"/>
    <w:rsid w:val="00A04DE8"/>
    <w:rsid w:val="00A05C49"/>
    <w:rsid w:val="00A073E1"/>
    <w:rsid w:val="00A074EB"/>
    <w:rsid w:val="00A11B48"/>
    <w:rsid w:val="00A11E9D"/>
    <w:rsid w:val="00A12A7B"/>
    <w:rsid w:val="00A13302"/>
    <w:rsid w:val="00A13F9A"/>
    <w:rsid w:val="00A1653E"/>
    <w:rsid w:val="00A17B1B"/>
    <w:rsid w:val="00A20E6D"/>
    <w:rsid w:val="00A210D6"/>
    <w:rsid w:val="00A21C6D"/>
    <w:rsid w:val="00A22890"/>
    <w:rsid w:val="00A2474D"/>
    <w:rsid w:val="00A24EB5"/>
    <w:rsid w:val="00A258DB"/>
    <w:rsid w:val="00A309E0"/>
    <w:rsid w:val="00A31B14"/>
    <w:rsid w:val="00A31EF0"/>
    <w:rsid w:val="00A336D4"/>
    <w:rsid w:val="00A339BD"/>
    <w:rsid w:val="00A347AB"/>
    <w:rsid w:val="00A34C6D"/>
    <w:rsid w:val="00A35405"/>
    <w:rsid w:val="00A365F0"/>
    <w:rsid w:val="00A36D4E"/>
    <w:rsid w:val="00A4255C"/>
    <w:rsid w:val="00A43506"/>
    <w:rsid w:val="00A45DDF"/>
    <w:rsid w:val="00A474AA"/>
    <w:rsid w:val="00A47F0A"/>
    <w:rsid w:val="00A50BD0"/>
    <w:rsid w:val="00A511B9"/>
    <w:rsid w:val="00A51AFB"/>
    <w:rsid w:val="00A523F6"/>
    <w:rsid w:val="00A52CEF"/>
    <w:rsid w:val="00A54590"/>
    <w:rsid w:val="00A61C64"/>
    <w:rsid w:val="00A6247C"/>
    <w:rsid w:val="00A63338"/>
    <w:rsid w:val="00A64CF9"/>
    <w:rsid w:val="00A6530D"/>
    <w:rsid w:val="00A6548B"/>
    <w:rsid w:val="00A700C4"/>
    <w:rsid w:val="00A7079C"/>
    <w:rsid w:val="00A71734"/>
    <w:rsid w:val="00A718E2"/>
    <w:rsid w:val="00A718F9"/>
    <w:rsid w:val="00A7203A"/>
    <w:rsid w:val="00A723C7"/>
    <w:rsid w:val="00A73779"/>
    <w:rsid w:val="00A7441A"/>
    <w:rsid w:val="00A759B3"/>
    <w:rsid w:val="00A75C94"/>
    <w:rsid w:val="00A76909"/>
    <w:rsid w:val="00A76E29"/>
    <w:rsid w:val="00A81AB6"/>
    <w:rsid w:val="00A86699"/>
    <w:rsid w:val="00A87EBF"/>
    <w:rsid w:val="00A905AE"/>
    <w:rsid w:val="00A92E22"/>
    <w:rsid w:val="00A9338E"/>
    <w:rsid w:val="00A93882"/>
    <w:rsid w:val="00A93998"/>
    <w:rsid w:val="00A946A0"/>
    <w:rsid w:val="00A95DF5"/>
    <w:rsid w:val="00A9611F"/>
    <w:rsid w:val="00A96B5F"/>
    <w:rsid w:val="00A971AB"/>
    <w:rsid w:val="00A9734C"/>
    <w:rsid w:val="00A97757"/>
    <w:rsid w:val="00A97DB5"/>
    <w:rsid w:val="00A97DF5"/>
    <w:rsid w:val="00AA0C77"/>
    <w:rsid w:val="00AA1132"/>
    <w:rsid w:val="00AA1A40"/>
    <w:rsid w:val="00AA2E23"/>
    <w:rsid w:val="00AA3B7C"/>
    <w:rsid w:val="00AA4770"/>
    <w:rsid w:val="00AA47D5"/>
    <w:rsid w:val="00AA4829"/>
    <w:rsid w:val="00AA5EEC"/>
    <w:rsid w:val="00AB0852"/>
    <w:rsid w:val="00AB0FE4"/>
    <w:rsid w:val="00AB166F"/>
    <w:rsid w:val="00AB2BEE"/>
    <w:rsid w:val="00AB3865"/>
    <w:rsid w:val="00AB3A1D"/>
    <w:rsid w:val="00AB4EA1"/>
    <w:rsid w:val="00AB5175"/>
    <w:rsid w:val="00AB554B"/>
    <w:rsid w:val="00AB691D"/>
    <w:rsid w:val="00AC2988"/>
    <w:rsid w:val="00AC5E66"/>
    <w:rsid w:val="00AD02FC"/>
    <w:rsid w:val="00AD2994"/>
    <w:rsid w:val="00AD30A6"/>
    <w:rsid w:val="00AD31B5"/>
    <w:rsid w:val="00AD43E8"/>
    <w:rsid w:val="00AD5874"/>
    <w:rsid w:val="00AD5BDF"/>
    <w:rsid w:val="00AD6D40"/>
    <w:rsid w:val="00AD7059"/>
    <w:rsid w:val="00AD7420"/>
    <w:rsid w:val="00AD775F"/>
    <w:rsid w:val="00AD7ADF"/>
    <w:rsid w:val="00AD7C02"/>
    <w:rsid w:val="00AE0EDD"/>
    <w:rsid w:val="00AE12BA"/>
    <w:rsid w:val="00AE24DD"/>
    <w:rsid w:val="00AE2C60"/>
    <w:rsid w:val="00AE2F61"/>
    <w:rsid w:val="00AE44D1"/>
    <w:rsid w:val="00AE5DB2"/>
    <w:rsid w:val="00AE746B"/>
    <w:rsid w:val="00AE7CD6"/>
    <w:rsid w:val="00AE7F15"/>
    <w:rsid w:val="00AF1075"/>
    <w:rsid w:val="00AF15A2"/>
    <w:rsid w:val="00AF1BA3"/>
    <w:rsid w:val="00AF2221"/>
    <w:rsid w:val="00AF2AAD"/>
    <w:rsid w:val="00AF37D6"/>
    <w:rsid w:val="00AF3BD7"/>
    <w:rsid w:val="00AF40C5"/>
    <w:rsid w:val="00AF7847"/>
    <w:rsid w:val="00B027B5"/>
    <w:rsid w:val="00B03948"/>
    <w:rsid w:val="00B06046"/>
    <w:rsid w:val="00B06374"/>
    <w:rsid w:val="00B06ECE"/>
    <w:rsid w:val="00B07021"/>
    <w:rsid w:val="00B07AF9"/>
    <w:rsid w:val="00B1028B"/>
    <w:rsid w:val="00B1059D"/>
    <w:rsid w:val="00B108BA"/>
    <w:rsid w:val="00B10BFE"/>
    <w:rsid w:val="00B12194"/>
    <w:rsid w:val="00B12D63"/>
    <w:rsid w:val="00B135DB"/>
    <w:rsid w:val="00B13984"/>
    <w:rsid w:val="00B13EEE"/>
    <w:rsid w:val="00B15196"/>
    <w:rsid w:val="00B15839"/>
    <w:rsid w:val="00B15AD9"/>
    <w:rsid w:val="00B15D0C"/>
    <w:rsid w:val="00B15DB2"/>
    <w:rsid w:val="00B17ED4"/>
    <w:rsid w:val="00B206EE"/>
    <w:rsid w:val="00B20B8C"/>
    <w:rsid w:val="00B20D3A"/>
    <w:rsid w:val="00B212CF"/>
    <w:rsid w:val="00B233D8"/>
    <w:rsid w:val="00B26124"/>
    <w:rsid w:val="00B263EA"/>
    <w:rsid w:val="00B27685"/>
    <w:rsid w:val="00B27908"/>
    <w:rsid w:val="00B304E8"/>
    <w:rsid w:val="00B31034"/>
    <w:rsid w:val="00B31861"/>
    <w:rsid w:val="00B3219E"/>
    <w:rsid w:val="00B32737"/>
    <w:rsid w:val="00B33933"/>
    <w:rsid w:val="00B33FEC"/>
    <w:rsid w:val="00B3451A"/>
    <w:rsid w:val="00B360BA"/>
    <w:rsid w:val="00B376D2"/>
    <w:rsid w:val="00B3774D"/>
    <w:rsid w:val="00B41847"/>
    <w:rsid w:val="00B4265F"/>
    <w:rsid w:val="00B42852"/>
    <w:rsid w:val="00B42E75"/>
    <w:rsid w:val="00B42FBC"/>
    <w:rsid w:val="00B43D25"/>
    <w:rsid w:val="00B4684A"/>
    <w:rsid w:val="00B46F8D"/>
    <w:rsid w:val="00B472E7"/>
    <w:rsid w:val="00B479CF"/>
    <w:rsid w:val="00B50B07"/>
    <w:rsid w:val="00B50BB9"/>
    <w:rsid w:val="00B5358C"/>
    <w:rsid w:val="00B5443B"/>
    <w:rsid w:val="00B5499A"/>
    <w:rsid w:val="00B54B59"/>
    <w:rsid w:val="00B56EBF"/>
    <w:rsid w:val="00B576F8"/>
    <w:rsid w:val="00B608E0"/>
    <w:rsid w:val="00B60F89"/>
    <w:rsid w:val="00B61279"/>
    <w:rsid w:val="00B62E69"/>
    <w:rsid w:val="00B64BB3"/>
    <w:rsid w:val="00B65F7B"/>
    <w:rsid w:val="00B70C72"/>
    <w:rsid w:val="00B70CED"/>
    <w:rsid w:val="00B721DE"/>
    <w:rsid w:val="00B72940"/>
    <w:rsid w:val="00B73128"/>
    <w:rsid w:val="00B74B3E"/>
    <w:rsid w:val="00B74DA6"/>
    <w:rsid w:val="00B751BC"/>
    <w:rsid w:val="00B75EED"/>
    <w:rsid w:val="00B8160D"/>
    <w:rsid w:val="00B81A39"/>
    <w:rsid w:val="00B82623"/>
    <w:rsid w:val="00B82CB3"/>
    <w:rsid w:val="00B83447"/>
    <w:rsid w:val="00B8404D"/>
    <w:rsid w:val="00B8422E"/>
    <w:rsid w:val="00B87138"/>
    <w:rsid w:val="00B90F93"/>
    <w:rsid w:val="00B9286C"/>
    <w:rsid w:val="00B92D5B"/>
    <w:rsid w:val="00B96897"/>
    <w:rsid w:val="00B971DF"/>
    <w:rsid w:val="00BA0D56"/>
    <w:rsid w:val="00BA124A"/>
    <w:rsid w:val="00BA3995"/>
    <w:rsid w:val="00BA5AAD"/>
    <w:rsid w:val="00BA6622"/>
    <w:rsid w:val="00BA6B12"/>
    <w:rsid w:val="00BA706A"/>
    <w:rsid w:val="00BB03FA"/>
    <w:rsid w:val="00BB0449"/>
    <w:rsid w:val="00BB0B57"/>
    <w:rsid w:val="00BB1A08"/>
    <w:rsid w:val="00BB2C1F"/>
    <w:rsid w:val="00BB3A01"/>
    <w:rsid w:val="00BB3CD5"/>
    <w:rsid w:val="00BB51B8"/>
    <w:rsid w:val="00BB6064"/>
    <w:rsid w:val="00BB64A9"/>
    <w:rsid w:val="00BC2997"/>
    <w:rsid w:val="00BC3A3A"/>
    <w:rsid w:val="00BC52C2"/>
    <w:rsid w:val="00BC545A"/>
    <w:rsid w:val="00BC62A5"/>
    <w:rsid w:val="00BC7519"/>
    <w:rsid w:val="00BD18D6"/>
    <w:rsid w:val="00BD20C1"/>
    <w:rsid w:val="00BD332B"/>
    <w:rsid w:val="00BD59AF"/>
    <w:rsid w:val="00BD6D90"/>
    <w:rsid w:val="00BD7A99"/>
    <w:rsid w:val="00BD7BC4"/>
    <w:rsid w:val="00BD7CEF"/>
    <w:rsid w:val="00BD7D37"/>
    <w:rsid w:val="00BE0673"/>
    <w:rsid w:val="00BE0843"/>
    <w:rsid w:val="00BE0D02"/>
    <w:rsid w:val="00BE1A7C"/>
    <w:rsid w:val="00BE1C66"/>
    <w:rsid w:val="00BE5062"/>
    <w:rsid w:val="00BE55F3"/>
    <w:rsid w:val="00BE564D"/>
    <w:rsid w:val="00BE5BDA"/>
    <w:rsid w:val="00BE68D0"/>
    <w:rsid w:val="00BE6BCB"/>
    <w:rsid w:val="00BF09E7"/>
    <w:rsid w:val="00BF2800"/>
    <w:rsid w:val="00BF35FC"/>
    <w:rsid w:val="00BF3687"/>
    <w:rsid w:val="00BF48AD"/>
    <w:rsid w:val="00BF495D"/>
    <w:rsid w:val="00BF52BF"/>
    <w:rsid w:val="00BF6148"/>
    <w:rsid w:val="00BF67D3"/>
    <w:rsid w:val="00BF69EE"/>
    <w:rsid w:val="00BF6BBF"/>
    <w:rsid w:val="00C00038"/>
    <w:rsid w:val="00C0283C"/>
    <w:rsid w:val="00C030C7"/>
    <w:rsid w:val="00C03E47"/>
    <w:rsid w:val="00C05C68"/>
    <w:rsid w:val="00C133B0"/>
    <w:rsid w:val="00C13B3D"/>
    <w:rsid w:val="00C15001"/>
    <w:rsid w:val="00C207E2"/>
    <w:rsid w:val="00C2084D"/>
    <w:rsid w:val="00C20A47"/>
    <w:rsid w:val="00C20D04"/>
    <w:rsid w:val="00C21298"/>
    <w:rsid w:val="00C22950"/>
    <w:rsid w:val="00C24955"/>
    <w:rsid w:val="00C252C1"/>
    <w:rsid w:val="00C26438"/>
    <w:rsid w:val="00C27362"/>
    <w:rsid w:val="00C2760A"/>
    <w:rsid w:val="00C317C4"/>
    <w:rsid w:val="00C3185A"/>
    <w:rsid w:val="00C323B4"/>
    <w:rsid w:val="00C324A6"/>
    <w:rsid w:val="00C32BF8"/>
    <w:rsid w:val="00C3348A"/>
    <w:rsid w:val="00C34DD5"/>
    <w:rsid w:val="00C361A7"/>
    <w:rsid w:val="00C361DD"/>
    <w:rsid w:val="00C36275"/>
    <w:rsid w:val="00C36875"/>
    <w:rsid w:val="00C401C6"/>
    <w:rsid w:val="00C4095D"/>
    <w:rsid w:val="00C416A5"/>
    <w:rsid w:val="00C418DD"/>
    <w:rsid w:val="00C42241"/>
    <w:rsid w:val="00C42465"/>
    <w:rsid w:val="00C430C7"/>
    <w:rsid w:val="00C4607A"/>
    <w:rsid w:val="00C47919"/>
    <w:rsid w:val="00C47D75"/>
    <w:rsid w:val="00C51EED"/>
    <w:rsid w:val="00C52296"/>
    <w:rsid w:val="00C54F1F"/>
    <w:rsid w:val="00C55D8D"/>
    <w:rsid w:val="00C55F82"/>
    <w:rsid w:val="00C56013"/>
    <w:rsid w:val="00C57154"/>
    <w:rsid w:val="00C5754B"/>
    <w:rsid w:val="00C60C1D"/>
    <w:rsid w:val="00C61132"/>
    <w:rsid w:val="00C61182"/>
    <w:rsid w:val="00C62BE1"/>
    <w:rsid w:val="00C63A14"/>
    <w:rsid w:val="00C668B8"/>
    <w:rsid w:val="00C669AE"/>
    <w:rsid w:val="00C674FF"/>
    <w:rsid w:val="00C67596"/>
    <w:rsid w:val="00C676CC"/>
    <w:rsid w:val="00C70D21"/>
    <w:rsid w:val="00C73F75"/>
    <w:rsid w:val="00C74C0C"/>
    <w:rsid w:val="00C756B3"/>
    <w:rsid w:val="00C75F42"/>
    <w:rsid w:val="00C75FDF"/>
    <w:rsid w:val="00C76029"/>
    <w:rsid w:val="00C76673"/>
    <w:rsid w:val="00C770EC"/>
    <w:rsid w:val="00C80603"/>
    <w:rsid w:val="00C82C75"/>
    <w:rsid w:val="00C82CCC"/>
    <w:rsid w:val="00C83A13"/>
    <w:rsid w:val="00C83C99"/>
    <w:rsid w:val="00C842F5"/>
    <w:rsid w:val="00C84E73"/>
    <w:rsid w:val="00C85944"/>
    <w:rsid w:val="00C85991"/>
    <w:rsid w:val="00C8635B"/>
    <w:rsid w:val="00C872F7"/>
    <w:rsid w:val="00C9069E"/>
    <w:rsid w:val="00C90A95"/>
    <w:rsid w:val="00C92293"/>
    <w:rsid w:val="00C92296"/>
    <w:rsid w:val="00C922F4"/>
    <w:rsid w:val="00C92AD6"/>
    <w:rsid w:val="00C93C97"/>
    <w:rsid w:val="00C941B0"/>
    <w:rsid w:val="00C954BE"/>
    <w:rsid w:val="00C97D9E"/>
    <w:rsid w:val="00CA26F4"/>
    <w:rsid w:val="00CA542E"/>
    <w:rsid w:val="00CA590B"/>
    <w:rsid w:val="00CB1CBF"/>
    <w:rsid w:val="00CB1F7F"/>
    <w:rsid w:val="00CB257C"/>
    <w:rsid w:val="00CB2899"/>
    <w:rsid w:val="00CB28C9"/>
    <w:rsid w:val="00CB46EE"/>
    <w:rsid w:val="00CB5935"/>
    <w:rsid w:val="00CB61AB"/>
    <w:rsid w:val="00CB7250"/>
    <w:rsid w:val="00CB7468"/>
    <w:rsid w:val="00CC0E48"/>
    <w:rsid w:val="00CC1343"/>
    <w:rsid w:val="00CC1507"/>
    <w:rsid w:val="00CC1786"/>
    <w:rsid w:val="00CC1E2B"/>
    <w:rsid w:val="00CC2779"/>
    <w:rsid w:val="00CC2838"/>
    <w:rsid w:val="00CC3777"/>
    <w:rsid w:val="00CC4767"/>
    <w:rsid w:val="00CC6162"/>
    <w:rsid w:val="00CC75A9"/>
    <w:rsid w:val="00CC7E20"/>
    <w:rsid w:val="00CD00D0"/>
    <w:rsid w:val="00CD01C4"/>
    <w:rsid w:val="00CD0E71"/>
    <w:rsid w:val="00CD1062"/>
    <w:rsid w:val="00CD3E3A"/>
    <w:rsid w:val="00CD5654"/>
    <w:rsid w:val="00CD6C4C"/>
    <w:rsid w:val="00CD6D96"/>
    <w:rsid w:val="00CD721A"/>
    <w:rsid w:val="00CD76D5"/>
    <w:rsid w:val="00CD77EE"/>
    <w:rsid w:val="00CE0378"/>
    <w:rsid w:val="00CE12F7"/>
    <w:rsid w:val="00CE1DB8"/>
    <w:rsid w:val="00CE2BE2"/>
    <w:rsid w:val="00CE2E68"/>
    <w:rsid w:val="00CE2F34"/>
    <w:rsid w:val="00CE382A"/>
    <w:rsid w:val="00CE5627"/>
    <w:rsid w:val="00CE58D0"/>
    <w:rsid w:val="00CE788F"/>
    <w:rsid w:val="00CF159D"/>
    <w:rsid w:val="00CF2516"/>
    <w:rsid w:val="00CF2EA1"/>
    <w:rsid w:val="00CF2FB7"/>
    <w:rsid w:val="00CF4276"/>
    <w:rsid w:val="00CF4DC3"/>
    <w:rsid w:val="00CF5000"/>
    <w:rsid w:val="00CF5163"/>
    <w:rsid w:val="00CF5590"/>
    <w:rsid w:val="00D002AA"/>
    <w:rsid w:val="00D02F95"/>
    <w:rsid w:val="00D03EBD"/>
    <w:rsid w:val="00D04C62"/>
    <w:rsid w:val="00D05822"/>
    <w:rsid w:val="00D071BF"/>
    <w:rsid w:val="00D1005E"/>
    <w:rsid w:val="00D11144"/>
    <w:rsid w:val="00D115AA"/>
    <w:rsid w:val="00D11D5A"/>
    <w:rsid w:val="00D15DCE"/>
    <w:rsid w:val="00D1676A"/>
    <w:rsid w:val="00D176A4"/>
    <w:rsid w:val="00D176B4"/>
    <w:rsid w:val="00D217B4"/>
    <w:rsid w:val="00D21F61"/>
    <w:rsid w:val="00D2235F"/>
    <w:rsid w:val="00D226AC"/>
    <w:rsid w:val="00D237E3"/>
    <w:rsid w:val="00D24FFB"/>
    <w:rsid w:val="00D25E70"/>
    <w:rsid w:val="00D25EBE"/>
    <w:rsid w:val="00D2736F"/>
    <w:rsid w:val="00D27B33"/>
    <w:rsid w:val="00D30033"/>
    <w:rsid w:val="00D30585"/>
    <w:rsid w:val="00D32730"/>
    <w:rsid w:val="00D33FB2"/>
    <w:rsid w:val="00D349CB"/>
    <w:rsid w:val="00D35AA9"/>
    <w:rsid w:val="00D36B3F"/>
    <w:rsid w:val="00D41E03"/>
    <w:rsid w:val="00D434AA"/>
    <w:rsid w:val="00D44803"/>
    <w:rsid w:val="00D45ABD"/>
    <w:rsid w:val="00D45D8D"/>
    <w:rsid w:val="00D5119F"/>
    <w:rsid w:val="00D51A8F"/>
    <w:rsid w:val="00D5285E"/>
    <w:rsid w:val="00D54985"/>
    <w:rsid w:val="00D55447"/>
    <w:rsid w:val="00D55ED2"/>
    <w:rsid w:val="00D55FCE"/>
    <w:rsid w:val="00D56258"/>
    <w:rsid w:val="00D56DD6"/>
    <w:rsid w:val="00D5760B"/>
    <w:rsid w:val="00D578C8"/>
    <w:rsid w:val="00D57E8D"/>
    <w:rsid w:val="00D614BB"/>
    <w:rsid w:val="00D61942"/>
    <w:rsid w:val="00D624D2"/>
    <w:rsid w:val="00D6320F"/>
    <w:rsid w:val="00D6346D"/>
    <w:rsid w:val="00D64D11"/>
    <w:rsid w:val="00D65A5D"/>
    <w:rsid w:val="00D660FB"/>
    <w:rsid w:val="00D67B68"/>
    <w:rsid w:val="00D67BB1"/>
    <w:rsid w:val="00D67C36"/>
    <w:rsid w:val="00D7185B"/>
    <w:rsid w:val="00D73B7C"/>
    <w:rsid w:val="00D7466A"/>
    <w:rsid w:val="00D75E4B"/>
    <w:rsid w:val="00D76CA9"/>
    <w:rsid w:val="00D77569"/>
    <w:rsid w:val="00D77DE5"/>
    <w:rsid w:val="00D803C1"/>
    <w:rsid w:val="00D80546"/>
    <w:rsid w:val="00D80EF2"/>
    <w:rsid w:val="00D81865"/>
    <w:rsid w:val="00D82B85"/>
    <w:rsid w:val="00D837D6"/>
    <w:rsid w:val="00D851DF"/>
    <w:rsid w:val="00D87248"/>
    <w:rsid w:val="00D874DB"/>
    <w:rsid w:val="00D92BBB"/>
    <w:rsid w:val="00D93612"/>
    <w:rsid w:val="00D94AD0"/>
    <w:rsid w:val="00D94DDF"/>
    <w:rsid w:val="00D95694"/>
    <w:rsid w:val="00D965CB"/>
    <w:rsid w:val="00D96F10"/>
    <w:rsid w:val="00DA01B0"/>
    <w:rsid w:val="00DA029E"/>
    <w:rsid w:val="00DA0859"/>
    <w:rsid w:val="00DA16DB"/>
    <w:rsid w:val="00DA1E0F"/>
    <w:rsid w:val="00DA20C1"/>
    <w:rsid w:val="00DA2199"/>
    <w:rsid w:val="00DA2C3F"/>
    <w:rsid w:val="00DA4255"/>
    <w:rsid w:val="00DA446F"/>
    <w:rsid w:val="00DA4D42"/>
    <w:rsid w:val="00DA5FC2"/>
    <w:rsid w:val="00DB37A8"/>
    <w:rsid w:val="00DB5FBE"/>
    <w:rsid w:val="00DC0735"/>
    <w:rsid w:val="00DC09F7"/>
    <w:rsid w:val="00DC1FF3"/>
    <w:rsid w:val="00DC2503"/>
    <w:rsid w:val="00DC5B37"/>
    <w:rsid w:val="00DC5CB6"/>
    <w:rsid w:val="00DC6264"/>
    <w:rsid w:val="00DC66FC"/>
    <w:rsid w:val="00DC6DBA"/>
    <w:rsid w:val="00DD242E"/>
    <w:rsid w:val="00DD26C8"/>
    <w:rsid w:val="00DD3180"/>
    <w:rsid w:val="00DD4816"/>
    <w:rsid w:val="00DD5E32"/>
    <w:rsid w:val="00DD600B"/>
    <w:rsid w:val="00DD6252"/>
    <w:rsid w:val="00DD7106"/>
    <w:rsid w:val="00DD7264"/>
    <w:rsid w:val="00DE1412"/>
    <w:rsid w:val="00DE22F3"/>
    <w:rsid w:val="00DE3CBD"/>
    <w:rsid w:val="00DE3FF5"/>
    <w:rsid w:val="00DE574F"/>
    <w:rsid w:val="00DE6391"/>
    <w:rsid w:val="00DE76AC"/>
    <w:rsid w:val="00DF131F"/>
    <w:rsid w:val="00DF4B0D"/>
    <w:rsid w:val="00DF549F"/>
    <w:rsid w:val="00DF6287"/>
    <w:rsid w:val="00DF6800"/>
    <w:rsid w:val="00DF70CB"/>
    <w:rsid w:val="00DF710A"/>
    <w:rsid w:val="00DF7679"/>
    <w:rsid w:val="00DF76DC"/>
    <w:rsid w:val="00E02120"/>
    <w:rsid w:val="00E027B4"/>
    <w:rsid w:val="00E0290B"/>
    <w:rsid w:val="00E029BA"/>
    <w:rsid w:val="00E040BB"/>
    <w:rsid w:val="00E05CB7"/>
    <w:rsid w:val="00E05D63"/>
    <w:rsid w:val="00E10FF0"/>
    <w:rsid w:val="00E13022"/>
    <w:rsid w:val="00E1426A"/>
    <w:rsid w:val="00E142BD"/>
    <w:rsid w:val="00E15FD0"/>
    <w:rsid w:val="00E167F7"/>
    <w:rsid w:val="00E2207B"/>
    <w:rsid w:val="00E24E40"/>
    <w:rsid w:val="00E2673A"/>
    <w:rsid w:val="00E26A5E"/>
    <w:rsid w:val="00E26ECC"/>
    <w:rsid w:val="00E26F2A"/>
    <w:rsid w:val="00E304C2"/>
    <w:rsid w:val="00E30ABB"/>
    <w:rsid w:val="00E339A0"/>
    <w:rsid w:val="00E3573B"/>
    <w:rsid w:val="00E360EE"/>
    <w:rsid w:val="00E361C0"/>
    <w:rsid w:val="00E37714"/>
    <w:rsid w:val="00E41266"/>
    <w:rsid w:val="00E422BF"/>
    <w:rsid w:val="00E42636"/>
    <w:rsid w:val="00E43487"/>
    <w:rsid w:val="00E43D13"/>
    <w:rsid w:val="00E4414E"/>
    <w:rsid w:val="00E44596"/>
    <w:rsid w:val="00E44933"/>
    <w:rsid w:val="00E457A6"/>
    <w:rsid w:val="00E45C83"/>
    <w:rsid w:val="00E46E3A"/>
    <w:rsid w:val="00E47F78"/>
    <w:rsid w:val="00E5184B"/>
    <w:rsid w:val="00E5266A"/>
    <w:rsid w:val="00E55C91"/>
    <w:rsid w:val="00E56D00"/>
    <w:rsid w:val="00E6032B"/>
    <w:rsid w:val="00E6184E"/>
    <w:rsid w:val="00E63AD9"/>
    <w:rsid w:val="00E63E41"/>
    <w:rsid w:val="00E6614E"/>
    <w:rsid w:val="00E662BE"/>
    <w:rsid w:val="00E66848"/>
    <w:rsid w:val="00E70EEE"/>
    <w:rsid w:val="00E7104D"/>
    <w:rsid w:val="00E74F32"/>
    <w:rsid w:val="00E76074"/>
    <w:rsid w:val="00E80059"/>
    <w:rsid w:val="00E81947"/>
    <w:rsid w:val="00E820AE"/>
    <w:rsid w:val="00E8298F"/>
    <w:rsid w:val="00E82B0E"/>
    <w:rsid w:val="00E8362A"/>
    <w:rsid w:val="00E8782C"/>
    <w:rsid w:val="00E90431"/>
    <w:rsid w:val="00E90EBB"/>
    <w:rsid w:val="00E9119B"/>
    <w:rsid w:val="00E92A25"/>
    <w:rsid w:val="00E937BF"/>
    <w:rsid w:val="00E944D3"/>
    <w:rsid w:val="00E94816"/>
    <w:rsid w:val="00E96015"/>
    <w:rsid w:val="00EA0D9D"/>
    <w:rsid w:val="00EA10D9"/>
    <w:rsid w:val="00EA2722"/>
    <w:rsid w:val="00EA2A50"/>
    <w:rsid w:val="00EA2BCF"/>
    <w:rsid w:val="00EA3064"/>
    <w:rsid w:val="00EA3FCE"/>
    <w:rsid w:val="00EA531A"/>
    <w:rsid w:val="00EA5FFE"/>
    <w:rsid w:val="00EB020B"/>
    <w:rsid w:val="00EB06AE"/>
    <w:rsid w:val="00EB10C8"/>
    <w:rsid w:val="00EB12C5"/>
    <w:rsid w:val="00EB3DE9"/>
    <w:rsid w:val="00EB5000"/>
    <w:rsid w:val="00EB517D"/>
    <w:rsid w:val="00EB61BB"/>
    <w:rsid w:val="00EC09A0"/>
    <w:rsid w:val="00EC15D8"/>
    <w:rsid w:val="00EC1685"/>
    <w:rsid w:val="00EC1786"/>
    <w:rsid w:val="00EC1B3C"/>
    <w:rsid w:val="00EC2DAB"/>
    <w:rsid w:val="00EC3AB5"/>
    <w:rsid w:val="00EC5482"/>
    <w:rsid w:val="00EC5577"/>
    <w:rsid w:val="00EC772A"/>
    <w:rsid w:val="00EC79F1"/>
    <w:rsid w:val="00ED0415"/>
    <w:rsid w:val="00ED081E"/>
    <w:rsid w:val="00ED0E22"/>
    <w:rsid w:val="00ED17D7"/>
    <w:rsid w:val="00ED4D98"/>
    <w:rsid w:val="00ED5E92"/>
    <w:rsid w:val="00ED7EA6"/>
    <w:rsid w:val="00EE1449"/>
    <w:rsid w:val="00EE1E0C"/>
    <w:rsid w:val="00EE236C"/>
    <w:rsid w:val="00EE2CDD"/>
    <w:rsid w:val="00EE45DA"/>
    <w:rsid w:val="00EE4E97"/>
    <w:rsid w:val="00EE56CC"/>
    <w:rsid w:val="00EE6304"/>
    <w:rsid w:val="00EE72D6"/>
    <w:rsid w:val="00EE7822"/>
    <w:rsid w:val="00EF00EE"/>
    <w:rsid w:val="00EF58DA"/>
    <w:rsid w:val="00EF72EE"/>
    <w:rsid w:val="00EF7870"/>
    <w:rsid w:val="00F00CBE"/>
    <w:rsid w:val="00F02044"/>
    <w:rsid w:val="00F0411C"/>
    <w:rsid w:val="00F06201"/>
    <w:rsid w:val="00F075FC"/>
    <w:rsid w:val="00F07A3E"/>
    <w:rsid w:val="00F10204"/>
    <w:rsid w:val="00F104B0"/>
    <w:rsid w:val="00F10943"/>
    <w:rsid w:val="00F10983"/>
    <w:rsid w:val="00F109DD"/>
    <w:rsid w:val="00F116FE"/>
    <w:rsid w:val="00F12B12"/>
    <w:rsid w:val="00F15609"/>
    <w:rsid w:val="00F16C51"/>
    <w:rsid w:val="00F17C3F"/>
    <w:rsid w:val="00F20270"/>
    <w:rsid w:val="00F20ED6"/>
    <w:rsid w:val="00F2185F"/>
    <w:rsid w:val="00F21D92"/>
    <w:rsid w:val="00F22B6E"/>
    <w:rsid w:val="00F2302E"/>
    <w:rsid w:val="00F25500"/>
    <w:rsid w:val="00F259D4"/>
    <w:rsid w:val="00F266AA"/>
    <w:rsid w:val="00F2768A"/>
    <w:rsid w:val="00F31C5D"/>
    <w:rsid w:val="00F31E43"/>
    <w:rsid w:val="00F336D8"/>
    <w:rsid w:val="00F33E13"/>
    <w:rsid w:val="00F345F2"/>
    <w:rsid w:val="00F35476"/>
    <w:rsid w:val="00F360FC"/>
    <w:rsid w:val="00F364B5"/>
    <w:rsid w:val="00F36998"/>
    <w:rsid w:val="00F37CF1"/>
    <w:rsid w:val="00F414A7"/>
    <w:rsid w:val="00F41A0E"/>
    <w:rsid w:val="00F41B02"/>
    <w:rsid w:val="00F423D2"/>
    <w:rsid w:val="00F424BA"/>
    <w:rsid w:val="00F42DCE"/>
    <w:rsid w:val="00F445FF"/>
    <w:rsid w:val="00F454AF"/>
    <w:rsid w:val="00F4571D"/>
    <w:rsid w:val="00F46A6E"/>
    <w:rsid w:val="00F46AD1"/>
    <w:rsid w:val="00F47B55"/>
    <w:rsid w:val="00F47F78"/>
    <w:rsid w:val="00F512D9"/>
    <w:rsid w:val="00F52FD4"/>
    <w:rsid w:val="00F55611"/>
    <w:rsid w:val="00F55A3E"/>
    <w:rsid w:val="00F56D9D"/>
    <w:rsid w:val="00F573EC"/>
    <w:rsid w:val="00F61518"/>
    <w:rsid w:val="00F62C69"/>
    <w:rsid w:val="00F64307"/>
    <w:rsid w:val="00F65AA0"/>
    <w:rsid w:val="00F65FB6"/>
    <w:rsid w:val="00F670AD"/>
    <w:rsid w:val="00F67F8F"/>
    <w:rsid w:val="00F71950"/>
    <w:rsid w:val="00F72485"/>
    <w:rsid w:val="00F72A66"/>
    <w:rsid w:val="00F73802"/>
    <w:rsid w:val="00F73B6F"/>
    <w:rsid w:val="00F74C8E"/>
    <w:rsid w:val="00F818C4"/>
    <w:rsid w:val="00F81FDE"/>
    <w:rsid w:val="00F8200A"/>
    <w:rsid w:val="00F820D3"/>
    <w:rsid w:val="00F83581"/>
    <w:rsid w:val="00F92966"/>
    <w:rsid w:val="00F93A65"/>
    <w:rsid w:val="00F968A5"/>
    <w:rsid w:val="00F97DDD"/>
    <w:rsid w:val="00FA11B3"/>
    <w:rsid w:val="00FA3440"/>
    <w:rsid w:val="00FA413F"/>
    <w:rsid w:val="00FA7DC7"/>
    <w:rsid w:val="00FB0536"/>
    <w:rsid w:val="00FB067F"/>
    <w:rsid w:val="00FB17CD"/>
    <w:rsid w:val="00FB180A"/>
    <w:rsid w:val="00FB31B9"/>
    <w:rsid w:val="00FB43B4"/>
    <w:rsid w:val="00FB4761"/>
    <w:rsid w:val="00FB48E5"/>
    <w:rsid w:val="00FB5F32"/>
    <w:rsid w:val="00FB62FC"/>
    <w:rsid w:val="00FB6E55"/>
    <w:rsid w:val="00FB7D5E"/>
    <w:rsid w:val="00FC2333"/>
    <w:rsid w:val="00FC27DB"/>
    <w:rsid w:val="00FC2F44"/>
    <w:rsid w:val="00FC453A"/>
    <w:rsid w:val="00FC4AE4"/>
    <w:rsid w:val="00FC5570"/>
    <w:rsid w:val="00FC6850"/>
    <w:rsid w:val="00FD075E"/>
    <w:rsid w:val="00FD10A3"/>
    <w:rsid w:val="00FD18FE"/>
    <w:rsid w:val="00FD1AD0"/>
    <w:rsid w:val="00FD2538"/>
    <w:rsid w:val="00FD2BFC"/>
    <w:rsid w:val="00FD2E35"/>
    <w:rsid w:val="00FD30AE"/>
    <w:rsid w:val="00FD44CC"/>
    <w:rsid w:val="00FD4B2A"/>
    <w:rsid w:val="00FD50A9"/>
    <w:rsid w:val="00FD542A"/>
    <w:rsid w:val="00FE0D90"/>
    <w:rsid w:val="00FE102A"/>
    <w:rsid w:val="00FE12F2"/>
    <w:rsid w:val="00FE3775"/>
    <w:rsid w:val="00FE57E9"/>
    <w:rsid w:val="00FE6196"/>
    <w:rsid w:val="00FE6455"/>
    <w:rsid w:val="00FE69A9"/>
    <w:rsid w:val="00FE7E4E"/>
    <w:rsid w:val="00FF012C"/>
    <w:rsid w:val="00FF17F7"/>
    <w:rsid w:val="00FF3AB7"/>
    <w:rsid w:val="00FF4309"/>
    <w:rsid w:val="00FF44B4"/>
    <w:rsid w:val="00FF601F"/>
    <w:rsid w:val="00FF6C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FC67"/>
  <w15:docId w15:val="{A089F115-75CD-4FA2-B7DF-189A8438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anormal"/>
    <w:pPr>
      <w:spacing w:line="240" w:lineRule="auto"/>
    </w:pPr>
    <w:tblPr>
      <w:tblStyleRowBandSize w:val="1"/>
      <w:tblStyleColBandSize w:val="1"/>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aliases w:val="Ha,Resume Title,Flor,Bolita,titulo 3,VIÑETA,VIÑETAS,Párrafo de lista2,Viñetas,List Paragraph1,Betulia Título 1,Lista vistosa - Énfasis 11"/>
    <w:basedOn w:val="Normal"/>
    <w:link w:val="PrrafodelistaCar"/>
    <w:uiPriority w:val="34"/>
    <w:qFormat/>
    <w:rsid w:val="00EC5F7A"/>
    <w:pPr>
      <w:ind w:left="720"/>
      <w:contextualSpacing/>
    </w:p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qFormat/>
    <w:rsid w:val="0092369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
    <w:basedOn w:val="Normal"/>
    <w:link w:val="TextonotapieCar"/>
    <w:uiPriority w:val="99"/>
    <w:semiHidden/>
    <w:unhideWhenUsed/>
    <w:qFormat/>
    <w:rsid w:val="001E28B8"/>
    <w:pPr>
      <w:spacing w:line="240" w:lineRule="auto"/>
    </w:pPr>
    <w:rPr>
      <w:rFonts w:ascii="Calibri" w:eastAsia="Calibri" w:hAnsi="Calibri"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semiHidden/>
    <w:rsid w:val="001E28B8"/>
    <w:rPr>
      <w:rFonts w:ascii="Calibri" w:eastAsia="Calibri" w:hAnsi="Calibri" w:cs="Times New Roman"/>
      <w:sz w:val="20"/>
      <w:szCs w:val="20"/>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semiHidden/>
    <w:unhideWhenUsed/>
    <w:qFormat/>
    <w:rsid w:val="001E28B8"/>
    <w:rPr>
      <w:vertAlign w:val="superscript"/>
    </w:rPr>
  </w:style>
  <w:style w:type="table" w:styleId="Tablaconcuadrcula">
    <w:name w:val="Table Grid"/>
    <w:basedOn w:val="Tablanormal"/>
    <w:uiPriority w:val="39"/>
    <w:rsid w:val="00AB55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rsid w:val="004F28DD"/>
  </w:style>
  <w:style w:type="paragraph" w:styleId="Sinespaciado">
    <w:name w:val="No Spacing"/>
    <w:uiPriority w:val="1"/>
    <w:qFormat/>
    <w:rsid w:val="00C668B8"/>
    <w:pPr>
      <w:spacing w:line="240" w:lineRule="auto"/>
    </w:pPr>
    <w:rPr>
      <w:rFonts w:ascii="Calibri" w:eastAsia="Calibri" w:hAnsi="Calibri" w:cs="Times New Roman"/>
      <w:lang w:eastAsia="en-US"/>
    </w:rPr>
  </w:style>
  <w:style w:type="paragraph" w:styleId="Encabezado">
    <w:name w:val="header"/>
    <w:basedOn w:val="Normal"/>
    <w:link w:val="EncabezadoCar"/>
    <w:uiPriority w:val="99"/>
    <w:unhideWhenUsed/>
    <w:rsid w:val="002059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597C"/>
  </w:style>
  <w:style w:type="paragraph" w:styleId="Piedepgina">
    <w:name w:val="footer"/>
    <w:basedOn w:val="Normal"/>
    <w:link w:val="PiedepginaCar"/>
    <w:uiPriority w:val="99"/>
    <w:unhideWhenUsed/>
    <w:rsid w:val="002059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597C"/>
  </w:style>
  <w:style w:type="character" w:styleId="Refdecomentario">
    <w:name w:val="annotation reference"/>
    <w:basedOn w:val="Fuentedeprrafopredeter"/>
    <w:uiPriority w:val="99"/>
    <w:semiHidden/>
    <w:unhideWhenUsed/>
    <w:rsid w:val="00351E17"/>
    <w:rPr>
      <w:sz w:val="16"/>
      <w:szCs w:val="16"/>
    </w:rPr>
  </w:style>
  <w:style w:type="paragraph" w:styleId="Textocomentario">
    <w:name w:val="annotation text"/>
    <w:basedOn w:val="Normal"/>
    <w:link w:val="TextocomentarioCar"/>
    <w:uiPriority w:val="99"/>
    <w:semiHidden/>
    <w:unhideWhenUsed/>
    <w:rsid w:val="00351E17"/>
    <w:pPr>
      <w:spacing w:line="240" w:lineRule="auto"/>
    </w:pPr>
    <w:rPr>
      <w:sz w:val="20"/>
      <w:szCs w:val="20"/>
      <w:lang w:eastAsia="es-CO"/>
    </w:rPr>
  </w:style>
  <w:style w:type="character" w:customStyle="1" w:styleId="TextocomentarioCar">
    <w:name w:val="Texto comentario Car"/>
    <w:basedOn w:val="Fuentedeprrafopredeter"/>
    <w:link w:val="Textocomentario"/>
    <w:uiPriority w:val="99"/>
    <w:semiHidden/>
    <w:rsid w:val="00351E17"/>
    <w:rPr>
      <w:sz w:val="20"/>
      <w:szCs w:val="20"/>
      <w:lang w:eastAsia="es-CO"/>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
    <w:link w:val="Prrafodelista"/>
    <w:uiPriority w:val="34"/>
    <w:locked/>
    <w:rsid w:val="004B48BA"/>
  </w:style>
  <w:style w:type="paragraph" w:styleId="Bibliografa">
    <w:name w:val="Bibliography"/>
    <w:basedOn w:val="Normal"/>
    <w:next w:val="Normal"/>
    <w:uiPriority w:val="37"/>
    <w:semiHidden/>
    <w:unhideWhenUsed/>
    <w:rsid w:val="00992ED8"/>
    <w:pPr>
      <w:spacing w:after="200"/>
    </w:pPr>
    <w:rPr>
      <w:rFonts w:asciiTheme="minorHAnsi" w:eastAsiaTheme="minorHAnsi" w:hAnsiTheme="minorHAnsi" w:cstheme="minorBidi"/>
      <w:lang w:eastAsia="en-US"/>
    </w:rPr>
  </w:style>
  <w:style w:type="paragraph" w:styleId="Descripcin">
    <w:name w:val="caption"/>
    <w:basedOn w:val="Normal"/>
    <w:next w:val="Normal"/>
    <w:uiPriority w:val="35"/>
    <w:unhideWhenUsed/>
    <w:qFormat/>
    <w:rsid w:val="00CD5654"/>
    <w:pPr>
      <w:spacing w:after="200" w:line="240" w:lineRule="auto"/>
    </w:pPr>
    <w:rPr>
      <w:i/>
      <w:iCs/>
      <w:color w:val="1F497D" w:themeColor="text2"/>
      <w:sz w:val="18"/>
      <w:szCs w:val="18"/>
    </w:rPr>
  </w:style>
  <w:style w:type="character" w:customStyle="1" w:styleId="Ninguno">
    <w:name w:val="Ninguno"/>
    <w:rsid w:val="009B23B9"/>
    <w:rPr>
      <w:lang w:val="es-ES_tradnl"/>
    </w:rPr>
  </w:style>
  <w:style w:type="paragraph" w:customStyle="1" w:styleId="CuerpoA">
    <w:name w:val="Cuerpo A"/>
    <w:rsid w:val="009B23B9"/>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en-US" w:eastAsia="es-CO"/>
    </w:rPr>
  </w:style>
  <w:style w:type="table" w:customStyle="1" w:styleId="TableNormal1">
    <w:name w:val="Table Normal1"/>
    <w:rsid w:val="009B23B9"/>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066BA2"/>
    <w:rPr>
      <w:b/>
      <w:bCs/>
      <w:lang w:eastAsia="es-ES_tradnl"/>
    </w:rPr>
  </w:style>
  <w:style w:type="character" w:customStyle="1" w:styleId="AsuntodelcomentarioCar">
    <w:name w:val="Asunto del comentario Car"/>
    <w:basedOn w:val="TextocomentarioCar"/>
    <w:link w:val="Asuntodelcomentario"/>
    <w:uiPriority w:val="99"/>
    <w:semiHidden/>
    <w:rsid w:val="00066BA2"/>
    <w:rPr>
      <w:b/>
      <w:bCs/>
      <w:sz w:val="20"/>
      <w:szCs w:val="20"/>
      <w:lang w:eastAsia="es-CO"/>
    </w:rPr>
  </w:style>
  <w:style w:type="paragraph" w:styleId="Textonotaalfinal">
    <w:name w:val="endnote text"/>
    <w:basedOn w:val="Normal"/>
    <w:link w:val="TextonotaalfinalCar"/>
    <w:uiPriority w:val="99"/>
    <w:semiHidden/>
    <w:unhideWhenUsed/>
    <w:rsid w:val="003338D4"/>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3338D4"/>
    <w:rPr>
      <w:sz w:val="20"/>
      <w:szCs w:val="20"/>
    </w:rPr>
  </w:style>
  <w:style w:type="character" w:styleId="Refdenotaalfinal">
    <w:name w:val="endnote reference"/>
    <w:basedOn w:val="Fuentedeprrafopredeter"/>
    <w:uiPriority w:val="99"/>
    <w:semiHidden/>
    <w:unhideWhenUsed/>
    <w:rsid w:val="003338D4"/>
    <w:rPr>
      <w:vertAlign w:val="superscript"/>
    </w:rPr>
  </w:style>
  <w:style w:type="character" w:customStyle="1" w:styleId="iaj">
    <w:name w:val="i_aj"/>
    <w:basedOn w:val="Fuentedeprrafopredeter"/>
    <w:rsid w:val="00F075FC"/>
  </w:style>
  <w:style w:type="character" w:styleId="Textoennegrita">
    <w:name w:val="Strong"/>
    <w:basedOn w:val="Fuentedeprrafopredeter"/>
    <w:uiPriority w:val="22"/>
    <w:qFormat/>
    <w:rsid w:val="001758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2778">
      <w:bodyDiv w:val="1"/>
      <w:marLeft w:val="0"/>
      <w:marRight w:val="0"/>
      <w:marTop w:val="0"/>
      <w:marBottom w:val="0"/>
      <w:divBdr>
        <w:top w:val="none" w:sz="0" w:space="0" w:color="auto"/>
        <w:left w:val="none" w:sz="0" w:space="0" w:color="auto"/>
        <w:bottom w:val="none" w:sz="0" w:space="0" w:color="auto"/>
        <w:right w:val="none" w:sz="0" w:space="0" w:color="auto"/>
      </w:divBdr>
    </w:div>
    <w:div w:id="43677511">
      <w:bodyDiv w:val="1"/>
      <w:marLeft w:val="0"/>
      <w:marRight w:val="0"/>
      <w:marTop w:val="0"/>
      <w:marBottom w:val="0"/>
      <w:divBdr>
        <w:top w:val="none" w:sz="0" w:space="0" w:color="auto"/>
        <w:left w:val="none" w:sz="0" w:space="0" w:color="auto"/>
        <w:bottom w:val="none" w:sz="0" w:space="0" w:color="auto"/>
        <w:right w:val="none" w:sz="0" w:space="0" w:color="auto"/>
      </w:divBdr>
    </w:div>
    <w:div w:id="53821719">
      <w:bodyDiv w:val="1"/>
      <w:marLeft w:val="0"/>
      <w:marRight w:val="0"/>
      <w:marTop w:val="0"/>
      <w:marBottom w:val="0"/>
      <w:divBdr>
        <w:top w:val="none" w:sz="0" w:space="0" w:color="auto"/>
        <w:left w:val="none" w:sz="0" w:space="0" w:color="auto"/>
        <w:bottom w:val="none" w:sz="0" w:space="0" w:color="auto"/>
        <w:right w:val="none" w:sz="0" w:space="0" w:color="auto"/>
      </w:divBdr>
    </w:div>
    <w:div w:id="84570482">
      <w:bodyDiv w:val="1"/>
      <w:marLeft w:val="0"/>
      <w:marRight w:val="0"/>
      <w:marTop w:val="0"/>
      <w:marBottom w:val="0"/>
      <w:divBdr>
        <w:top w:val="none" w:sz="0" w:space="0" w:color="auto"/>
        <w:left w:val="none" w:sz="0" w:space="0" w:color="auto"/>
        <w:bottom w:val="none" w:sz="0" w:space="0" w:color="auto"/>
        <w:right w:val="none" w:sz="0" w:space="0" w:color="auto"/>
      </w:divBdr>
    </w:div>
    <w:div w:id="87311116">
      <w:bodyDiv w:val="1"/>
      <w:marLeft w:val="0"/>
      <w:marRight w:val="0"/>
      <w:marTop w:val="0"/>
      <w:marBottom w:val="0"/>
      <w:divBdr>
        <w:top w:val="none" w:sz="0" w:space="0" w:color="auto"/>
        <w:left w:val="none" w:sz="0" w:space="0" w:color="auto"/>
        <w:bottom w:val="none" w:sz="0" w:space="0" w:color="auto"/>
        <w:right w:val="none" w:sz="0" w:space="0" w:color="auto"/>
      </w:divBdr>
    </w:div>
    <w:div w:id="134951940">
      <w:bodyDiv w:val="1"/>
      <w:marLeft w:val="0"/>
      <w:marRight w:val="0"/>
      <w:marTop w:val="0"/>
      <w:marBottom w:val="0"/>
      <w:divBdr>
        <w:top w:val="none" w:sz="0" w:space="0" w:color="auto"/>
        <w:left w:val="none" w:sz="0" w:space="0" w:color="auto"/>
        <w:bottom w:val="none" w:sz="0" w:space="0" w:color="auto"/>
        <w:right w:val="none" w:sz="0" w:space="0" w:color="auto"/>
      </w:divBdr>
    </w:div>
    <w:div w:id="167137077">
      <w:bodyDiv w:val="1"/>
      <w:marLeft w:val="0"/>
      <w:marRight w:val="0"/>
      <w:marTop w:val="0"/>
      <w:marBottom w:val="0"/>
      <w:divBdr>
        <w:top w:val="none" w:sz="0" w:space="0" w:color="auto"/>
        <w:left w:val="none" w:sz="0" w:space="0" w:color="auto"/>
        <w:bottom w:val="none" w:sz="0" w:space="0" w:color="auto"/>
        <w:right w:val="none" w:sz="0" w:space="0" w:color="auto"/>
      </w:divBdr>
    </w:div>
    <w:div w:id="180364392">
      <w:bodyDiv w:val="1"/>
      <w:marLeft w:val="0"/>
      <w:marRight w:val="0"/>
      <w:marTop w:val="0"/>
      <w:marBottom w:val="0"/>
      <w:divBdr>
        <w:top w:val="none" w:sz="0" w:space="0" w:color="auto"/>
        <w:left w:val="none" w:sz="0" w:space="0" w:color="auto"/>
        <w:bottom w:val="none" w:sz="0" w:space="0" w:color="auto"/>
        <w:right w:val="none" w:sz="0" w:space="0" w:color="auto"/>
      </w:divBdr>
    </w:div>
    <w:div w:id="269894050">
      <w:bodyDiv w:val="1"/>
      <w:marLeft w:val="0"/>
      <w:marRight w:val="0"/>
      <w:marTop w:val="0"/>
      <w:marBottom w:val="0"/>
      <w:divBdr>
        <w:top w:val="none" w:sz="0" w:space="0" w:color="auto"/>
        <w:left w:val="none" w:sz="0" w:space="0" w:color="auto"/>
        <w:bottom w:val="none" w:sz="0" w:space="0" w:color="auto"/>
        <w:right w:val="none" w:sz="0" w:space="0" w:color="auto"/>
      </w:divBdr>
    </w:div>
    <w:div w:id="291523609">
      <w:bodyDiv w:val="1"/>
      <w:marLeft w:val="0"/>
      <w:marRight w:val="0"/>
      <w:marTop w:val="0"/>
      <w:marBottom w:val="0"/>
      <w:divBdr>
        <w:top w:val="none" w:sz="0" w:space="0" w:color="auto"/>
        <w:left w:val="none" w:sz="0" w:space="0" w:color="auto"/>
        <w:bottom w:val="none" w:sz="0" w:space="0" w:color="auto"/>
        <w:right w:val="none" w:sz="0" w:space="0" w:color="auto"/>
      </w:divBdr>
    </w:div>
    <w:div w:id="298387032">
      <w:bodyDiv w:val="1"/>
      <w:marLeft w:val="0"/>
      <w:marRight w:val="0"/>
      <w:marTop w:val="0"/>
      <w:marBottom w:val="0"/>
      <w:divBdr>
        <w:top w:val="none" w:sz="0" w:space="0" w:color="auto"/>
        <w:left w:val="none" w:sz="0" w:space="0" w:color="auto"/>
        <w:bottom w:val="none" w:sz="0" w:space="0" w:color="auto"/>
        <w:right w:val="none" w:sz="0" w:space="0" w:color="auto"/>
      </w:divBdr>
    </w:div>
    <w:div w:id="381710690">
      <w:bodyDiv w:val="1"/>
      <w:marLeft w:val="0"/>
      <w:marRight w:val="0"/>
      <w:marTop w:val="0"/>
      <w:marBottom w:val="0"/>
      <w:divBdr>
        <w:top w:val="none" w:sz="0" w:space="0" w:color="auto"/>
        <w:left w:val="none" w:sz="0" w:space="0" w:color="auto"/>
        <w:bottom w:val="none" w:sz="0" w:space="0" w:color="auto"/>
        <w:right w:val="none" w:sz="0" w:space="0" w:color="auto"/>
      </w:divBdr>
    </w:div>
    <w:div w:id="439108411">
      <w:bodyDiv w:val="1"/>
      <w:marLeft w:val="0"/>
      <w:marRight w:val="0"/>
      <w:marTop w:val="0"/>
      <w:marBottom w:val="0"/>
      <w:divBdr>
        <w:top w:val="none" w:sz="0" w:space="0" w:color="auto"/>
        <w:left w:val="none" w:sz="0" w:space="0" w:color="auto"/>
        <w:bottom w:val="none" w:sz="0" w:space="0" w:color="auto"/>
        <w:right w:val="none" w:sz="0" w:space="0" w:color="auto"/>
      </w:divBdr>
    </w:div>
    <w:div w:id="448282088">
      <w:bodyDiv w:val="1"/>
      <w:marLeft w:val="0"/>
      <w:marRight w:val="0"/>
      <w:marTop w:val="0"/>
      <w:marBottom w:val="0"/>
      <w:divBdr>
        <w:top w:val="none" w:sz="0" w:space="0" w:color="auto"/>
        <w:left w:val="none" w:sz="0" w:space="0" w:color="auto"/>
        <w:bottom w:val="none" w:sz="0" w:space="0" w:color="auto"/>
        <w:right w:val="none" w:sz="0" w:space="0" w:color="auto"/>
      </w:divBdr>
    </w:div>
    <w:div w:id="452754046">
      <w:bodyDiv w:val="1"/>
      <w:marLeft w:val="0"/>
      <w:marRight w:val="0"/>
      <w:marTop w:val="0"/>
      <w:marBottom w:val="0"/>
      <w:divBdr>
        <w:top w:val="none" w:sz="0" w:space="0" w:color="auto"/>
        <w:left w:val="none" w:sz="0" w:space="0" w:color="auto"/>
        <w:bottom w:val="none" w:sz="0" w:space="0" w:color="auto"/>
        <w:right w:val="none" w:sz="0" w:space="0" w:color="auto"/>
      </w:divBdr>
    </w:div>
    <w:div w:id="545260438">
      <w:bodyDiv w:val="1"/>
      <w:marLeft w:val="0"/>
      <w:marRight w:val="0"/>
      <w:marTop w:val="0"/>
      <w:marBottom w:val="0"/>
      <w:divBdr>
        <w:top w:val="none" w:sz="0" w:space="0" w:color="auto"/>
        <w:left w:val="none" w:sz="0" w:space="0" w:color="auto"/>
        <w:bottom w:val="none" w:sz="0" w:space="0" w:color="auto"/>
        <w:right w:val="none" w:sz="0" w:space="0" w:color="auto"/>
      </w:divBdr>
    </w:div>
    <w:div w:id="574389956">
      <w:bodyDiv w:val="1"/>
      <w:marLeft w:val="0"/>
      <w:marRight w:val="0"/>
      <w:marTop w:val="0"/>
      <w:marBottom w:val="0"/>
      <w:divBdr>
        <w:top w:val="none" w:sz="0" w:space="0" w:color="auto"/>
        <w:left w:val="none" w:sz="0" w:space="0" w:color="auto"/>
        <w:bottom w:val="none" w:sz="0" w:space="0" w:color="auto"/>
        <w:right w:val="none" w:sz="0" w:space="0" w:color="auto"/>
      </w:divBdr>
    </w:div>
    <w:div w:id="590816369">
      <w:bodyDiv w:val="1"/>
      <w:marLeft w:val="0"/>
      <w:marRight w:val="0"/>
      <w:marTop w:val="0"/>
      <w:marBottom w:val="0"/>
      <w:divBdr>
        <w:top w:val="none" w:sz="0" w:space="0" w:color="auto"/>
        <w:left w:val="none" w:sz="0" w:space="0" w:color="auto"/>
        <w:bottom w:val="none" w:sz="0" w:space="0" w:color="auto"/>
        <w:right w:val="none" w:sz="0" w:space="0" w:color="auto"/>
      </w:divBdr>
    </w:div>
    <w:div w:id="598876674">
      <w:bodyDiv w:val="1"/>
      <w:marLeft w:val="0"/>
      <w:marRight w:val="0"/>
      <w:marTop w:val="0"/>
      <w:marBottom w:val="0"/>
      <w:divBdr>
        <w:top w:val="none" w:sz="0" w:space="0" w:color="auto"/>
        <w:left w:val="none" w:sz="0" w:space="0" w:color="auto"/>
        <w:bottom w:val="none" w:sz="0" w:space="0" w:color="auto"/>
        <w:right w:val="none" w:sz="0" w:space="0" w:color="auto"/>
      </w:divBdr>
    </w:div>
    <w:div w:id="600992837">
      <w:bodyDiv w:val="1"/>
      <w:marLeft w:val="0"/>
      <w:marRight w:val="0"/>
      <w:marTop w:val="0"/>
      <w:marBottom w:val="0"/>
      <w:divBdr>
        <w:top w:val="none" w:sz="0" w:space="0" w:color="auto"/>
        <w:left w:val="none" w:sz="0" w:space="0" w:color="auto"/>
        <w:bottom w:val="none" w:sz="0" w:space="0" w:color="auto"/>
        <w:right w:val="none" w:sz="0" w:space="0" w:color="auto"/>
      </w:divBdr>
    </w:div>
    <w:div w:id="617756759">
      <w:bodyDiv w:val="1"/>
      <w:marLeft w:val="0"/>
      <w:marRight w:val="0"/>
      <w:marTop w:val="0"/>
      <w:marBottom w:val="0"/>
      <w:divBdr>
        <w:top w:val="none" w:sz="0" w:space="0" w:color="auto"/>
        <w:left w:val="none" w:sz="0" w:space="0" w:color="auto"/>
        <w:bottom w:val="none" w:sz="0" w:space="0" w:color="auto"/>
        <w:right w:val="none" w:sz="0" w:space="0" w:color="auto"/>
      </w:divBdr>
    </w:div>
    <w:div w:id="657926581">
      <w:bodyDiv w:val="1"/>
      <w:marLeft w:val="0"/>
      <w:marRight w:val="0"/>
      <w:marTop w:val="0"/>
      <w:marBottom w:val="0"/>
      <w:divBdr>
        <w:top w:val="none" w:sz="0" w:space="0" w:color="auto"/>
        <w:left w:val="none" w:sz="0" w:space="0" w:color="auto"/>
        <w:bottom w:val="none" w:sz="0" w:space="0" w:color="auto"/>
        <w:right w:val="none" w:sz="0" w:space="0" w:color="auto"/>
      </w:divBdr>
    </w:div>
    <w:div w:id="661204785">
      <w:bodyDiv w:val="1"/>
      <w:marLeft w:val="0"/>
      <w:marRight w:val="0"/>
      <w:marTop w:val="0"/>
      <w:marBottom w:val="0"/>
      <w:divBdr>
        <w:top w:val="none" w:sz="0" w:space="0" w:color="auto"/>
        <w:left w:val="none" w:sz="0" w:space="0" w:color="auto"/>
        <w:bottom w:val="none" w:sz="0" w:space="0" w:color="auto"/>
        <w:right w:val="none" w:sz="0" w:space="0" w:color="auto"/>
      </w:divBdr>
    </w:div>
    <w:div w:id="696471202">
      <w:bodyDiv w:val="1"/>
      <w:marLeft w:val="0"/>
      <w:marRight w:val="0"/>
      <w:marTop w:val="0"/>
      <w:marBottom w:val="0"/>
      <w:divBdr>
        <w:top w:val="none" w:sz="0" w:space="0" w:color="auto"/>
        <w:left w:val="none" w:sz="0" w:space="0" w:color="auto"/>
        <w:bottom w:val="none" w:sz="0" w:space="0" w:color="auto"/>
        <w:right w:val="none" w:sz="0" w:space="0" w:color="auto"/>
      </w:divBdr>
    </w:div>
    <w:div w:id="705253447">
      <w:bodyDiv w:val="1"/>
      <w:marLeft w:val="0"/>
      <w:marRight w:val="0"/>
      <w:marTop w:val="0"/>
      <w:marBottom w:val="0"/>
      <w:divBdr>
        <w:top w:val="none" w:sz="0" w:space="0" w:color="auto"/>
        <w:left w:val="none" w:sz="0" w:space="0" w:color="auto"/>
        <w:bottom w:val="none" w:sz="0" w:space="0" w:color="auto"/>
        <w:right w:val="none" w:sz="0" w:space="0" w:color="auto"/>
      </w:divBdr>
    </w:div>
    <w:div w:id="744884685">
      <w:bodyDiv w:val="1"/>
      <w:marLeft w:val="0"/>
      <w:marRight w:val="0"/>
      <w:marTop w:val="0"/>
      <w:marBottom w:val="0"/>
      <w:divBdr>
        <w:top w:val="none" w:sz="0" w:space="0" w:color="auto"/>
        <w:left w:val="none" w:sz="0" w:space="0" w:color="auto"/>
        <w:bottom w:val="none" w:sz="0" w:space="0" w:color="auto"/>
        <w:right w:val="none" w:sz="0" w:space="0" w:color="auto"/>
      </w:divBdr>
    </w:div>
    <w:div w:id="848717741">
      <w:bodyDiv w:val="1"/>
      <w:marLeft w:val="0"/>
      <w:marRight w:val="0"/>
      <w:marTop w:val="0"/>
      <w:marBottom w:val="0"/>
      <w:divBdr>
        <w:top w:val="none" w:sz="0" w:space="0" w:color="auto"/>
        <w:left w:val="none" w:sz="0" w:space="0" w:color="auto"/>
        <w:bottom w:val="none" w:sz="0" w:space="0" w:color="auto"/>
        <w:right w:val="none" w:sz="0" w:space="0" w:color="auto"/>
      </w:divBdr>
    </w:div>
    <w:div w:id="865679414">
      <w:bodyDiv w:val="1"/>
      <w:marLeft w:val="0"/>
      <w:marRight w:val="0"/>
      <w:marTop w:val="0"/>
      <w:marBottom w:val="0"/>
      <w:divBdr>
        <w:top w:val="none" w:sz="0" w:space="0" w:color="auto"/>
        <w:left w:val="none" w:sz="0" w:space="0" w:color="auto"/>
        <w:bottom w:val="none" w:sz="0" w:space="0" w:color="auto"/>
        <w:right w:val="none" w:sz="0" w:space="0" w:color="auto"/>
      </w:divBdr>
    </w:div>
    <w:div w:id="870415453">
      <w:bodyDiv w:val="1"/>
      <w:marLeft w:val="0"/>
      <w:marRight w:val="0"/>
      <w:marTop w:val="0"/>
      <w:marBottom w:val="0"/>
      <w:divBdr>
        <w:top w:val="none" w:sz="0" w:space="0" w:color="auto"/>
        <w:left w:val="none" w:sz="0" w:space="0" w:color="auto"/>
        <w:bottom w:val="none" w:sz="0" w:space="0" w:color="auto"/>
        <w:right w:val="none" w:sz="0" w:space="0" w:color="auto"/>
      </w:divBdr>
    </w:div>
    <w:div w:id="870843838">
      <w:bodyDiv w:val="1"/>
      <w:marLeft w:val="0"/>
      <w:marRight w:val="0"/>
      <w:marTop w:val="0"/>
      <w:marBottom w:val="0"/>
      <w:divBdr>
        <w:top w:val="none" w:sz="0" w:space="0" w:color="auto"/>
        <w:left w:val="none" w:sz="0" w:space="0" w:color="auto"/>
        <w:bottom w:val="none" w:sz="0" w:space="0" w:color="auto"/>
        <w:right w:val="none" w:sz="0" w:space="0" w:color="auto"/>
      </w:divBdr>
    </w:div>
    <w:div w:id="872308431">
      <w:bodyDiv w:val="1"/>
      <w:marLeft w:val="0"/>
      <w:marRight w:val="0"/>
      <w:marTop w:val="0"/>
      <w:marBottom w:val="0"/>
      <w:divBdr>
        <w:top w:val="none" w:sz="0" w:space="0" w:color="auto"/>
        <w:left w:val="none" w:sz="0" w:space="0" w:color="auto"/>
        <w:bottom w:val="none" w:sz="0" w:space="0" w:color="auto"/>
        <w:right w:val="none" w:sz="0" w:space="0" w:color="auto"/>
      </w:divBdr>
    </w:div>
    <w:div w:id="876090972">
      <w:bodyDiv w:val="1"/>
      <w:marLeft w:val="0"/>
      <w:marRight w:val="0"/>
      <w:marTop w:val="0"/>
      <w:marBottom w:val="0"/>
      <w:divBdr>
        <w:top w:val="none" w:sz="0" w:space="0" w:color="auto"/>
        <w:left w:val="none" w:sz="0" w:space="0" w:color="auto"/>
        <w:bottom w:val="none" w:sz="0" w:space="0" w:color="auto"/>
        <w:right w:val="none" w:sz="0" w:space="0" w:color="auto"/>
      </w:divBdr>
    </w:div>
    <w:div w:id="897015287">
      <w:bodyDiv w:val="1"/>
      <w:marLeft w:val="0"/>
      <w:marRight w:val="0"/>
      <w:marTop w:val="0"/>
      <w:marBottom w:val="0"/>
      <w:divBdr>
        <w:top w:val="none" w:sz="0" w:space="0" w:color="auto"/>
        <w:left w:val="none" w:sz="0" w:space="0" w:color="auto"/>
        <w:bottom w:val="none" w:sz="0" w:space="0" w:color="auto"/>
        <w:right w:val="none" w:sz="0" w:space="0" w:color="auto"/>
      </w:divBdr>
    </w:div>
    <w:div w:id="918903078">
      <w:bodyDiv w:val="1"/>
      <w:marLeft w:val="0"/>
      <w:marRight w:val="0"/>
      <w:marTop w:val="0"/>
      <w:marBottom w:val="0"/>
      <w:divBdr>
        <w:top w:val="none" w:sz="0" w:space="0" w:color="auto"/>
        <w:left w:val="none" w:sz="0" w:space="0" w:color="auto"/>
        <w:bottom w:val="none" w:sz="0" w:space="0" w:color="auto"/>
        <w:right w:val="none" w:sz="0" w:space="0" w:color="auto"/>
      </w:divBdr>
    </w:div>
    <w:div w:id="960302734">
      <w:bodyDiv w:val="1"/>
      <w:marLeft w:val="0"/>
      <w:marRight w:val="0"/>
      <w:marTop w:val="0"/>
      <w:marBottom w:val="0"/>
      <w:divBdr>
        <w:top w:val="none" w:sz="0" w:space="0" w:color="auto"/>
        <w:left w:val="none" w:sz="0" w:space="0" w:color="auto"/>
        <w:bottom w:val="none" w:sz="0" w:space="0" w:color="auto"/>
        <w:right w:val="none" w:sz="0" w:space="0" w:color="auto"/>
      </w:divBdr>
      <w:divsChild>
        <w:div w:id="1458986162">
          <w:marLeft w:val="0"/>
          <w:marRight w:val="0"/>
          <w:marTop w:val="0"/>
          <w:marBottom w:val="0"/>
          <w:divBdr>
            <w:top w:val="none" w:sz="0" w:space="0" w:color="auto"/>
            <w:left w:val="none" w:sz="0" w:space="0" w:color="auto"/>
            <w:bottom w:val="none" w:sz="0" w:space="0" w:color="auto"/>
            <w:right w:val="none" w:sz="0" w:space="0" w:color="auto"/>
          </w:divBdr>
        </w:div>
        <w:div w:id="1161844797">
          <w:marLeft w:val="0"/>
          <w:marRight w:val="0"/>
          <w:marTop w:val="0"/>
          <w:marBottom w:val="0"/>
          <w:divBdr>
            <w:top w:val="none" w:sz="0" w:space="0" w:color="auto"/>
            <w:left w:val="none" w:sz="0" w:space="0" w:color="auto"/>
            <w:bottom w:val="none" w:sz="0" w:space="0" w:color="auto"/>
            <w:right w:val="none" w:sz="0" w:space="0" w:color="auto"/>
          </w:divBdr>
        </w:div>
      </w:divsChild>
    </w:div>
    <w:div w:id="1009988313">
      <w:bodyDiv w:val="1"/>
      <w:marLeft w:val="0"/>
      <w:marRight w:val="0"/>
      <w:marTop w:val="0"/>
      <w:marBottom w:val="0"/>
      <w:divBdr>
        <w:top w:val="none" w:sz="0" w:space="0" w:color="auto"/>
        <w:left w:val="none" w:sz="0" w:space="0" w:color="auto"/>
        <w:bottom w:val="none" w:sz="0" w:space="0" w:color="auto"/>
        <w:right w:val="none" w:sz="0" w:space="0" w:color="auto"/>
      </w:divBdr>
    </w:div>
    <w:div w:id="1010138019">
      <w:bodyDiv w:val="1"/>
      <w:marLeft w:val="0"/>
      <w:marRight w:val="0"/>
      <w:marTop w:val="0"/>
      <w:marBottom w:val="0"/>
      <w:divBdr>
        <w:top w:val="none" w:sz="0" w:space="0" w:color="auto"/>
        <w:left w:val="none" w:sz="0" w:space="0" w:color="auto"/>
        <w:bottom w:val="none" w:sz="0" w:space="0" w:color="auto"/>
        <w:right w:val="none" w:sz="0" w:space="0" w:color="auto"/>
      </w:divBdr>
    </w:div>
    <w:div w:id="1038579280">
      <w:bodyDiv w:val="1"/>
      <w:marLeft w:val="0"/>
      <w:marRight w:val="0"/>
      <w:marTop w:val="0"/>
      <w:marBottom w:val="0"/>
      <w:divBdr>
        <w:top w:val="none" w:sz="0" w:space="0" w:color="auto"/>
        <w:left w:val="none" w:sz="0" w:space="0" w:color="auto"/>
        <w:bottom w:val="none" w:sz="0" w:space="0" w:color="auto"/>
        <w:right w:val="none" w:sz="0" w:space="0" w:color="auto"/>
      </w:divBdr>
    </w:div>
    <w:div w:id="1041053744">
      <w:bodyDiv w:val="1"/>
      <w:marLeft w:val="0"/>
      <w:marRight w:val="0"/>
      <w:marTop w:val="0"/>
      <w:marBottom w:val="0"/>
      <w:divBdr>
        <w:top w:val="none" w:sz="0" w:space="0" w:color="auto"/>
        <w:left w:val="none" w:sz="0" w:space="0" w:color="auto"/>
        <w:bottom w:val="none" w:sz="0" w:space="0" w:color="auto"/>
        <w:right w:val="none" w:sz="0" w:space="0" w:color="auto"/>
      </w:divBdr>
    </w:div>
    <w:div w:id="1073165133">
      <w:bodyDiv w:val="1"/>
      <w:marLeft w:val="0"/>
      <w:marRight w:val="0"/>
      <w:marTop w:val="0"/>
      <w:marBottom w:val="0"/>
      <w:divBdr>
        <w:top w:val="none" w:sz="0" w:space="0" w:color="auto"/>
        <w:left w:val="none" w:sz="0" w:space="0" w:color="auto"/>
        <w:bottom w:val="none" w:sz="0" w:space="0" w:color="auto"/>
        <w:right w:val="none" w:sz="0" w:space="0" w:color="auto"/>
      </w:divBdr>
      <w:divsChild>
        <w:div w:id="99957895">
          <w:marLeft w:val="0"/>
          <w:marRight w:val="0"/>
          <w:marTop w:val="0"/>
          <w:marBottom w:val="0"/>
          <w:divBdr>
            <w:top w:val="none" w:sz="0" w:space="0" w:color="auto"/>
            <w:left w:val="none" w:sz="0" w:space="0" w:color="auto"/>
            <w:bottom w:val="none" w:sz="0" w:space="0" w:color="auto"/>
            <w:right w:val="none" w:sz="0" w:space="0" w:color="auto"/>
          </w:divBdr>
          <w:divsChild>
            <w:div w:id="139537988">
              <w:marLeft w:val="0"/>
              <w:marRight w:val="0"/>
              <w:marTop w:val="0"/>
              <w:marBottom w:val="0"/>
              <w:divBdr>
                <w:top w:val="none" w:sz="0" w:space="0" w:color="auto"/>
                <w:left w:val="none" w:sz="0" w:space="0" w:color="auto"/>
                <w:bottom w:val="single" w:sz="6" w:space="0" w:color="EBF0F5"/>
                <w:right w:val="none" w:sz="0" w:space="0" w:color="auto"/>
              </w:divBdr>
              <w:divsChild>
                <w:div w:id="887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3498">
          <w:marLeft w:val="0"/>
          <w:marRight w:val="0"/>
          <w:marTop w:val="0"/>
          <w:marBottom w:val="0"/>
          <w:divBdr>
            <w:top w:val="none" w:sz="0" w:space="0" w:color="auto"/>
            <w:left w:val="none" w:sz="0" w:space="0" w:color="auto"/>
            <w:bottom w:val="none" w:sz="0" w:space="0" w:color="auto"/>
            <w:right w:val="none" w:sz="0" w:space="0" w:color="auto"/>
          </w:divBdr>
          <w:divsChild>
            <w:div w:id="762410684">
              <w:marLeft w:val="0"/>
              <w:marRight w:val="0"/>
              <w:marTop w:val="0"/>
              <w:marBottom w:val="0"/>
              <w:divBdr>
                <w:top w:val="none" w:sz="0" w:space="0" w:color="auto"/>
                <w:left w:val="none" w:sz="0" w:space="0" w:color="auto"/>
                <w:bottom w:val="none" w:sz="0" w:space="0" w:color="auto"/>
                <w:right w:val="none" w:sz="0" w:space="0" w:color="auto"/>
              </w:divBdr>
            </w:div>
          </w:divsChild>
        </w:div>
        <w:div w:id="1334993525">
          <w:marLeft w:val="0"/>
          <w:marRight w:val="0"/>
          <w:marTop w:val="0"/>
          <w:marBottom w:val="0"/>
          <w:divBdr>
            <w:top w:val="none" w:sz="0" w:space="0" w:color="auto"/>
            <w:left w:val="none" w:sz="0" w:space="0" w:color="auto"/>
            <w:bottom w:val="none" w:sz="0" w:space="0" w:color="auto"/>
            <w:right w:val="none" w:sz="0" w:space="0" w:color="auto"/>
          </w:divBdr>
          <w:divsChild>
            <w:div w:id="1846090349">
              <w:marLeft w:val="0"/>
              <w:marRight w:val="0"/>
              <w:marTop w:val="0"/>
              <w:marBottom w:val="0"/>
              <w:divBdr>
                <w:top w:val="none" w:sz="0" w:space="0" w:color="auto"/>
                <w:left w:val="none" w:sz="0" w:space="0" w:color="auto"/>
                <w:bottom w:val="none" w:sz="0" w:space="0" w:color="auto"/>
                <w:right w:val="none" w:sz="0" w:space="0" w:color="auto"/>
              </w:divBdr>
              <w:divsChild>
                <w:div w:id="1166244035">
                  <w:marLeft w:val="0"/>
                  <w:marRight w:val="0"/>
                  <w:marTop w:val="0"/>
                  <w:marBottom w:val="0"/>
                  <w:divBdr>
                    <w:top w:val="none" w:sz="0" w:space="0" w:color="auto"/>
                    <w:left w:val="none" w:sz="0" w:space="0" w:color="auto"/>
                    <w:bottom w:val="none" w:sz="0" w:space="0" w:color="auto"/>
                    <w:right w:val="none" w:sz="0" w:space="0" w:color="auto"/>
                  </w:divBdr>
                  <w:divsChild>
                    <w:div w:id="394545362">
                      <w:marLeft w:val="0"/>
                      <w:marRight w:val="0"/>
                      <w:marTop w:val="0"/>
                      <w:marBottom w:val="0"/>
                      <w:divBdr>
                        <w:top w:val="none" w:sz="0" w:space="0" w:color="auto"/>
                        <w:left w:val="none" w:sz="0" w:space="0" w:color="auto"/>
                        <w:bottom w:val="none" w:sz="0" w:space="0" w:color="auto"/>
                        <w:right w:val="none" w:sz="0" w:space="0" w:color="auto"/>
                      </w:divBdr>
                      <w:divsChild>
                        <w:div w:id="7628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16656">
      <w:bodyDiv w:val="1"/>
      <w:marLeft w:val="0"/>
      <w:marRight w:val="0"/>
      <w:marTop w:val="0"/>
      <w:marBottom w:val="0"/>
      <w:divBdr>
        <w:top w:val="none" w:sz="0" w:space="0" w:color="auto"/>
        <w:left w:val="none" w:sz="0" w:space="0" w:color="auto"/>
        <w:bottom w:val="none" w:sz="0" w:space="0" w:color="auto"/>
        <w:right w:val="none" w:sz="0" w:space="0" w:color="auto"/>
      </w:divBdr>
      <w:divsChild>
        <w:div w:id="8529568">
          <w:marLeft w:val="0"/>
          <w:marRight w:val="0"/>
          <w:marTop w:val="0"/>
          <w:marBottom w:val="0"/>
          <w:divBdr>
            <w:top w:val="none" w:sz="0" w:space="0" w:color="auto"/>
            <w:left w:val="none" w:sz="0" w:space="0" w:color="auto"/>
            <w:bottom w:val="none" w:sz="0" w:space="0" w:color="auto"/>
            <w:right w:val="none" w:sz="0" w:space="0" w:color="auto"/>
          </w:divBdr>
        </w:div>
        <w:div w:id="15281144">
          <w:marLeft w:val="0"/>
          <w:marRight w:val="0"/>
          <w:marTop w:val="0"/>
          <w:marBottom w:val="0"/>
          <w:divBdr>
            <w:top w:val="none" w:sz="0" w:space="0" w:color="auto"/>
            <w:left w:val="none" w:sz="0" w:space="0" w:color="auto"/>
            <w:bottom w:val="none" w:sz="0" w:space="0" w:color="auto"/>
            <w:right w:val="none" w:sz="0" w:space="0" w:color="auto"/>
          </w:divBdr>
        </w:div>
        <w:div w:id="26180107">
          <w:marLeft w:val="0"/>
          <w:marRight w:val="0"/>
          <w:marTop w:val="0"/>
          <w:marBottom w:val="0"/>
          <w:divBdr>
            <w:top w:val="none" w:sz="0" w:space="0" w:color="auto"/>
            <w:left w:val="none" w:sz="0" w:space="0" w:color="auto"/>
            <w:bottom w:val="none" w:sz="0" w:space="0" w:color="auto"/>
            <w:right w:val="none" w:sz="0" w:space="0" w:color="auto"/>
          </w:divBdr>
        </w:div>
        <w:div w:id="28653642">
          <w:marLeft w:val="0"/>
          <w:marRight w:val="0"/>
          <w:marTop w:val="0"/>
          <w:marBottom w:val="0"/>
          <w:divBdr>
            <w:top w:val="none" w:sz="0" w:space="0" w:color="auto"/>
            <w:left w:val="none" w:sz="0" w:space="0" w:color="auto"/>
            <w:bottom w:val="none" w:sz="0" w:space="0" w:color="auto"/>
            <w:right w:val="none" w:sz="0" w:space="0" w:color="auto"/>
          </w:divBdr>
        </w:div>
        <w:div w:id="49614543">
          <w:marLeft w:val="0"/>
          <w:marRight w:val="0"/>
          <w:marTop w:val="0"/>
          <w:marBottom w:val="0"/>
          <w:divBdr>
            <w:top w:val="none" w:sz="0" w:space="0" w:color="auto"/>
            <w:left w:val="none" w:sz="0" w:space="0" w:color="auto"/>
            <w:bottom w:val="none" w:sz="0" w:space="0" w:color="auto"/>
            <w:right w:val="none" w:sz="0" w:space="0" w:color="auto"/>
          </w:divBdr>
        </w:div>
        <w:div w:id="57366232">
          <w:marLeft w:val="0"/>
          <w:marRight w:val="0"/>
          <w:marTop w:val="0"/>
          <w:marBottom w:val="0"/>
          <w:divBdr>
            <w:top w:val="none" w:sz="0" w:space="0" w:color="auto"/>
            <w:left w:val="none" w:sz="0" w:space="0" w:color="auto"/>
            <w:bottom w:val="none" w:sz="0" w:space="0" w:color="auto"/>
            <w:right w:val="none" w:sz="0" w:space="0" w:color="auto"/>
          </w:divBdr>
        </w:div>
        <w:div w:id="74589927">
          <w:marLeft w:val="0"/>
          <w:marRight w:val="0"/>
          <w:marTop w:val="0"/>
          <w:marBottom w:val="0"/>
          <w:divBdr>
            <w:top w:val="none" w:sz="0" w:space="0" w:color="auto"/>
            <w:left w:val="none" w:sz="0" w:space="0" w:color="auto"/>
            <w:bottom w:val="none" w:sz="0" w:space="0" w:color="auto"/>
            <w:right w:val="none" w:sz="0" w:space="0" w:color="auto"/>
          </w:divBdr>
        </w:div>
        <w:div w:id="78018883">
          <w:marLeft w:val="0"/>
          <w:marRight w:val="0"/>
          <w:marTop w:val="0"/>
          <w:marBottom w:val="0"/>
          <w:divBdr>
            <w:top w:val="none" w:sz="0" w:space="0" w:color="auto"/>
            <w:left w:val="none" w:sz="0" w:space="0" w:color="auto"/>
            <w:bottom w:val="none" w:sz="0" w:space="0" w:color="auto"/>
            <w:right w:val="none" w:sz="0" w:space="0" w:color="auto"/>
          </w:divBdr>
        </w:div>
        <w:div w:id="85543737">
          <w:marLeft w:val="0"/>
          <w:marRight w:val="0"/>
          <w:marTop w:val="0"/>
          <w:marBottom w:val="0"/>
          <w:divBdr>
            <w:top w:val="none" w:sz="0" w:space="0" w:color="auto"/>
            <w:left w:val="none" w:sz="0" w:space="0" w:color="auto"/>
            <w:bottom w:val="none" w:sz="0" w:space="0" w:color="auto"/>
            <w:right w:val="none" w:sz="0" w:space="0" w:color="auto"/>
          </w:divBdr>
        </w:div>
        <w:div w:id="86970986">
          <w:marLeft w:val="0"/>
          <w:marRight w:val="0"/>
          <w:marTop w:val="0"/>
          <w:marBottom w:val="0"/>
          <w:divBdr>
            <w:top w:val="none" w:sz="0" w:space="0" w:color="auto"/>
            <w:left w:val="none" w:sz="0" w:space="0" w:color="auto"/>
            <w:bottom w:val="none" w:sz="0" w:space="0" w:color="auto"/>
            <w:right w:val="none" w:sz="0" w:space="0" w:color="auto"/>
          </w:divBdr>
        </w:div>
        <w:div w:id="91511224">
          <w:marLeft w:val="0"/>
          <w:marRight w:val="0"/>
          <w:marTop w:val="0"/>
          <w:marBottom w:val="0"/>
          <w:divBdr>
            <w:top w:val="none" w:sz="0" w:space="0" w:color="auto"/>
            <w:left w:val="none" w:sz="0" w:space="0" w:color="auto"/>
            <w:bottom w:val="none" w:sz="0" w:space="0" w:color="auto"/>
            <w:right w:val="none" w:sz="0" w:space="0" w:color="auto"/>
          </w:divBdr>
        </w:div>
        <w:div w:id="91634606">
          <w:marLeft w:val="0"/>
          <w:marRight w:val="0"/>
          <w:marTop w:val="0"/>
          <w:marBottom w:val="0"/>
          <w:divBdr>
            <w:top w:val="none" w:sz="0" w:space="0" w:color="auto"/>
            <w:left w:val="none" w:sz="0" w:space="0" w:color="auto"/>
            <w:bottom w:val="none" w:sz="0" w:space="0" w:color="auto"/>
            <w:right w:val="none" w:sz="0" w:space="0" w:color="auto"/>
          </w:divBdr>
        </w:div>
        <w:div w:id="107704362">
          <w:marLeft w:val="0"/>
          <w:marRight w:val="0"/>
          <w:marTop w:val="0"/>
          <w:marBottom w:val="0"/>
          <w:divBdr>
            <w:top w:val="none" w:sz="0" w:space="0" w:color="auto"/>
            <w:left w:val="none" w:sz="0" w:space="0" w:color="auto"/>
            <w:bottom w:val="none" w:sz="0" w:space="0" w:color="auto"/>
            <w:right w:val="none" w:sz="0" w:space="0" w:color="auto"/>
          </w:divBdr>
        </w:div>
        <w:div w:id="114062340">
          <w:marLeft w:val="0"/>
          <w:marRight w:val="0"/>
          <w:marTop w:val="0"/>
          <w:marBottom w:val="0"/>
          <w:divBdr>
            <w:top w:val="none" w:sz="0" w:space="0" w:color="auto"/>
            <w:left w:val="none" w:sz="0" w:space="0" w:color="auto"/>
            <w:bottom w:val="none" w:sz="0" w:space="0" w:color="auto"/>
            <w:right w:val="none" w:sz="0" w:space="0" w:color="auto"/>
          </w:divBdr>
        </w:div>
        <w:div w:id="154733267">
          <w:marLeft w:val="0"/>
          <w:marRight w:val="0"/>
          <w:marTop w:val="0"/>
          <w:marBottom w:val="0"/>
          <w:divBdr>
            <w:top w:val="none" w:sz="0" w:space="0" w:color="auto"/>
            <w:left w:val="none" w:sz="0" w:space="0" w:color="auto"/>
            <w:bottom w:val="none" w:sz="0" w:space="0" w:color="auto"/>
            <w:right w:val="none" w:sz="0" w:space="0" w:color="auto"/>
          </w:divBdr>
        </w:div>
        <w:div w:id="182548808">
          <w:marLeft w:val="0"/>
          <w:marRight w:val="0"/>
          <w:marTop w:val="0"/>
          <w:marBottom w:val="0"/>
          <w:divBdr>
            <w:top w:val="none" w:sz="0" w:space="0" w:color="auto"/>
            <w:left w:val="none" w:sz="0" w:space="0" w:color="auto"/>
            <w:bottom w:val="none" w:sz="0" w:space="0" w:color="auto"/>
            <w:right w:val="none" w:sz="0" w:space="0" w:color="auto"/>
          </w:divBdr>
        </w:div>
        <w:div w:id="190801303">
          <w:marLeft w:val="0"/>
          <w:marRight w:val="0"/>
          <w:marTop w:val="0"/>
          <w:marBottom w:val="0"/>
          <w:divBdr>
            <w:top w:val="none" w:sz="0" w:space="0" w:color="auto"/>
            <w:left w:val="none" w:sz="0" w:space="0" w:color="auto"/>
            <w:bottom w:val="none" w:sz="0" w:space="0" w:color="auto"/>
            <w:right w:val="none" w:sz="0" w:space="0" w:color="auto"/>
          </w:divBdr>
        </w:div>
        <w:div w:id="194390005">
          <w:marLeft w:val="0"/>
          <w:marRight w:val="0"/>
          <w:marTop w:val="0"/>
          <w:marBottom w:val="0"/>
          <w:divBdr>
            <w:top w:val="none" w:sz="0" w:space="0" w:color="auto"/>
            <w:left w:val="none" w:sz="0" w:space="0" w:color="auto"/>
            <w:bottom w:val="none" w:sz="0" w:space="0" w:color="auto"/>
            <w:right w:val="none" w:sz="0" w:space="0" w:color="auto"/>
          </w:divBdr>
        </w:div>
        <w:div w:id="202526074">
          <w:marLeft w:val="0"/>
          <w:marRight w:val="0"/>
          <w:marTop w:val="0"/>
          <w:marBottom w:val="0"/>
          <w:divBdr>
            <w:top w:val="none" w:sz="0" w:space="0" w:color="auto"/>
            <w:left w:val="none" w:sz="0" w:space="0" w:color="auto"/>
            <w:bottom w:val="none" w:sz="0" w:space="0" w:color="auto"/>
            <w:right w:val="none" w:sz="0" w:space="0" w:color="auto"/>
          </w:divBdr>
        </w:div>
        <w:div w:id="210383699">
          <w:marLeft w:val="0"/>
          <w:marRight w:val="0"/>
          <w:marTop w:val="0"/>
          <w:marBottom w:val="0"/>
          <w:divBdr>
            <w:top w:val="none" w:sz="0" w:space="0" w:color="auto"/>
            <w:left w:val="none" w:sz="0" w:space="0" w:color="auto"/>
            <w:bottom w:val="none" w:sz="0" w:space="0" w:color="auto"/>
            <w:right w:val="none" w:sz="0" w:space="0" w:color="auto"/>
          </w:divBdr>
        </w:div>
        <w:div w:id="229968643">
          <w:marLeft w:val="0"/>
          <w:marRight w:val="0"/>
          <w:marTop w:val="0"/>
          <w:marBottom w:val="0"/>
          <w:divBdr>
            <w:top w:val="none" w:sz="0" w:space="0" w:color="auto"/>
            <w:left w:val="none" w:sz="0" w:space="0" w:color="auto"/>
            <w:bottom w:val="none" w:sz="0" w:space="0" w:color="auto"/>
            <w:right w:val="none" w:sz="0" w:space="0" w:color="auto"/>
          </w:divBdr>
        </w:div>
        <w:div w:id="314458129">
          <w:marLeft w:val="0"/>
          <w:marRight w:val="0"/>
          <w:marTop w:val="0"/>
          <w:marBottom w:val="0"/>
          <w:divBdr>
            <w:top w:val="none" w:sz="0" w:space="0" w:color="auto"/>
            <w:left w:val="none" w:sz="0" w:space="0" w:color="auto"/>
            <w:bottom w:val="none" w:sz="0" w:space="0" w:color="auto"/>
            <w:right w:val="none" w:sz="0" w:space="0" w:color="auto"/>
          </w:divBdr>
        </w:div>
        <w:div w:id="499853719">
          <w:marLeft w:val="0"/>
          <w:marRight w:val="0"/>
          <w:marTop w:val="0"/>
          <w:marBottom w:val="0"/>
          <w:divBdr>
            <w:top w:val="none" w:sz="0" w:space="0" w:color="auto"/>
            <w:left w:val="none" w:sz="0" w:space="0" w:color="auto"/>
            <w:bottom w:val="none" w:sz="0" w:space="0" w:color="auto"/>
            <w:right w:val="none" w:sz="0" w:space="0" w:color="auto"/>
          </w:divBdr>
        </w:div>
        <w:div w:id="538053991">
          <w:marLeft w:val="0"/>
          <w:marRight w:val="0"/>
          <w:marTop w:val="0"/>
          <w:marBottom w:val="0"/>
          <w:divBdr>
            <w:top w:val="none" w:sz="0" w:space="0" w:color="auto"/>
            <w:left w:val="none" w:sz="0" w:space="0" w:color="auto"/>
            <w:bottom w:val="none" w:sz="0" w:space="0" w:color="auto"/>
            <w:right w:val="none" w:sz="0" w:space="0" w:color="auto"/>
          </w:divBdr>
        </w:div>
        <w:div w:id="560292055">
          <w:marLeft w:val="0"/>
          <w:marRight w:val="0"/>
          <w:marTop w:val="0"/>
          <w:marBottom w:val="0"/>
          <w:divBdr>
            <w:top w:val="none" w:sz="0" w:space="0" w:color="auto"/>
            <w:left w:val="none" w:sz="0" w:space="0" w:color="auto"/>
            <w:bottom w:val="none" w:sz="0" w:space="0" w:color="auto"/>
            <w:right w:val="none" w:sz="0" w:space="0" w:color="auto"/>
          </w:divBdr>
        </w:div>
        <w:div w:id="566956795">
          <w:marLeft w:val="0"/>
          <w:marRight w:val="0"/>
          <w:marTop w:val="0"/>
          <w:marBottom w:val="0"/>
          <w:divBdr>
            <w:top w:val="none" w:sz="0" w:space="0" w:color="auto"/>
            <w:left w:val="none" w:sz="0" w:space="0" w:color="auto"/>
            <w:bottom w:val="none" w:sz="0" w:space="0" w:color="auto"/>
            <w:right w:val="none" w:sz="0" w:space="0" w:color="auto"/>
          </w:divBdr>
        </w:div>
        <w:div w:id="574362052">
          <w:marLeft w:val="0"/>
          <w:marRight w:val="0"/>
          <w:marTop w:val="0"/>
          <w:marBottom w:val="0"/>
          <w:divBdr>
            <w:top w:val="none" w:sz="0" w:space="0" w:color="auto"/>
            <w:left w:val="none" w:sz="0" w:space="0" w:color="auto"/>
            <w:bottom w:val="none" w:sz="0" w:space="0" w:color="auto"/>
            <w:right w:val="none" w:sz="0" w:space="0" w:color="auto"/>
          </w:divBdr>
        </w:div>
        <w:div w:id="578055101">
          <w:marLeft w:val="0"/>
          <w:marRight w:val="0"/>
          <w:marTop w:val="0"/>
          <w:marBottom w:val="0"/>
          <w:divBdr>
            <w:top w:val="none" w:sz="0" w:space="0" w:color="auto"/>
            <w:left w:val="none" w:sz="0" w:space="0" w:color="auto"/>
            <w:bottom w:val="none" w:sz="0" w:space="0" w:color="auto"/>
            <w:right w:val="none" w:sz="0" w:space="0" w:color="auto"/>
          </w:divBdr>
        </w:div>
        <w:div w:id="586575908">
          <w:marLeft w:val="0"/>
          <w:marRight w:val="0"/>
          <w:marTop w:val="0"/>
          <w:marBottom w:val="0"/>
          <w:divBdr>
            <w:top w:val="none" w:sz="0" w:space="0" w:color="auto"/>
            <w:left w:val="none" w:sz="0" w:space="0" w:color="auto"/>
            <w:bottom w:val="none" w:sz="0" w:space="0" w:color="auto"/>
            <w:right w:val="none" w:sz="0" w:space="0" w:color="auto"/>
          </w:divBdr>
        </w:div>
        <w:div w:id="594287005">
          <w:marLeft w:val="0"/>
          <w:marRight w:val="0"/>
          <w:marTop w:val="0"/>
          <w:marBottom w:val="0"/>
          <w:divBdr>
            <w:top w:val="none" w:sz="0" w:space="0" w:color="auto"/>
            <w:left w:val="none" w:sz="0" w:space="0" w:color="auto"/>
            <w:bottom w:val="none" w:sz="0" w:space="0" w:color="auto"/>
            <w:right w:val="none" w:sz="0" w:space="0" w:color="auto"/>
          </w:divBdr>
        </w:div>
        <w:div w:id="620840967">
          <w:marLeft w:val="0"/>
          <w:marRight w:val="0"/>
          <w:marTop w:val="0"/>
          <w:marBottom w:val="0"/>
          <w:divBdr>
            <w:top w:val="none" w:sz="0" w:space="0" w:color="auto"/>
            <w:left w:val="none" w:sz="0" w:space="0" w:color="auto"/>
            <w:bottom w:val="none" w:sz="0" w:space="0" w:color="auto"/>
            <w:right w:val="none" w:sz="0" w:space="0" w:color="auto"/>
          </w:divBdr>
        </w:div>
        <w:div w:id="622226935">
          <w:marLeft w:val="0"/>
          <w:marRight w:val="0"/>
          <w:marTop w:val="0"/>
          <w:marBottom w:val="0"/>
          <w:divBdr>
            <w:top w:val="none" w:sz="0" w:space="0" w:color="auto"/>
            <w:left w:val="none" w:sz="0" w:space="0" w:color="auto"/>
            <w:bottom w:val="none" w:sz="0" w:space="0" w:color="auto"/>
            <w:right w:val="none" w:sz="0" w:space="0" w:color="auto"/>
          </w:divBdr>
        </w:div>
        <w:div w:id="628248189">
          <w:marLeft w:val="0"/>
          <w:marRight w:val="0"/>
          <w:marTop w:val="0"/>
          <w:marBottom w:val="0"/>
          <w:divBdr>
            <w:top w:val="none" w:sz="0" w:space="0" w:color="auto"/>
            <w:left w:val="none" w:sz="0" w:space="0" w:color="auto"/>
            <w:bottom w:val="none" w:sz="0" w:space="0" w:color="auto"/>
            <w:right w:val="none" w:sz="0" w:space="0" w:color="auto"/>
          </w:divBdr>
        </w:div>
        <w:div w:id="636422301">
          <w:marLeft w:val="0"/>
          <w:marRight w:val="0"/>
          <w:marTop w:val="0"/>
          <w:marBottom w:val="0"/>
          <w:divBdr>
            <w:top w:val="none" w:sz="0" w:space="0" w:color="auto"/>
            <w:left w:val="none" w:sz="0" w:space="0" w:color="auto"/>
            <w:bottom w:val="none" w:sz="0" w:space="0" w:color="auto"/>
            <w:right w:val="none" w:sz="0" w:space="0" w:color="auto"/>
          </w:divBdr>
        </w:div>
        <w:div w:id="636881278">
          <w:marLeft w:val="0"/>
          <w:marRight w:val="0"/>
          <w:marTop w:val="0"/>
          <w:marBottom w:val="0"/>
          <w:divBdr>
            <w:top w:val="none" w:sz="0" w:space="0" w:color="auto"/>
            <w:left w:val="none" w:sz="0" w:space="0" w:color="auto"/>
            <w:bottom w:val="none" w:sz="0" w:space="0" w:color="auto"/>
            <w:right w:val="none" w:sz="0" w:space="0" w:color="auto"/>
          </w:divBdr>
        </w:div>
        <w:div w:id="663975801">
          <w:marLeft w:val="0"/>
          <w:marRight w:val="0"/>
          <w:marTop w:val="0"/>
          <w:marBottom w:val="0"/>
          <w:divBdr>
            <w:top w:val="none" w:sz="0" w:space="0" w:color="auto"/>
            <w:left w:val="none" w:sz="0" w:space="0" w:color="auto"/>
            <w:bottom w:val="none" w:sz="0" w:space="0" w:color="auto"/>
            <w:right w:val="none" w:sz="0" w:space="0" w:color="auto"/>
          </w:divBdr>
        </w:div>
        <w:div w:id="687482536">
          <w:marLeft w:val="0"/>
          <w:marRight w:val="0"/>
          <w:marTop w:val="0"/>
          <w:marBottom w:val="0"/>
          <w:divBdr>
            <w:top w:val="none" w:sz="0" w:space="0" w:color="auto"/>
            <w:left w:val="none" w:sz="0" w:space="0" w:color="auto"/>
            <w:bottom w:val="none" w:sz="0" w:space="0" w:color="auto"/>
            <w:right w:val="none" w:sz="0" w:space="0" w:color="auto"/>
          </w:divBdr>
        </w:div>
        <w:div w:id="753015559">
          <w:marLeft w:val="0"/>
          <w:marRight w:val="0"/>
          <w:marTop w:val="0"/>
          <w:marBottom w:val="0"/>
          <w:divBdr>
            <w:top w:val="none" w:sz="0" w:space="0" w:color="auto"/>
            <w:left w:val="none" w:sz="0" w:space="0" w:color="auto"/>
            <w:bottom w:val="none" w:sz="0" w:space="0" w:color="auto"/>
            <w:right w:val="none" w:sz="0" w:space="0" w:color="auto"/>
          </w:divBdr>
        </w:div>
        <w:div w:id="757751783">
          <w:marLeft w:val="0"/>
          <w:marRight w:val="0"/>
          <w:marTop w:val="0"/>
          <w:marBottom w:val="0"/>
          <w:divBdr>
            <w:top w:val="none" w:sz="0" w:space="0" w:color="auto"/>
            <w:left w:val="none" w:sz="0" w:space="0" w:color="auto"/>
            <w:bottom w:val="none" w:sz="0" w:space="0" w:color="auto"/>
            <w:right w:val="none" w:sz="0" w:space="0" w:color="auto"/>
          </w:divBdr>
        </w:div>
        <w:div w:id="762147560">
          <w:marLeft w:val="0"/>
          <w:marRight w:val="0"/>
          <w:marTop w:val="0"/>
          <w:marBottom w:val="0"/>
          <w:divBdr>
            <w:top w:val="none" w:sz="0" w:space="0" w:color="auto"/>
            <w:left w:val="none" w:sz="0" w:space="0" w:color="auto"/>
            <w:bottom w:val="none" w:sz="0" w:space="0" w:color="auto"/>
            <w:right w:val="none" w:sz="0" w:space="0" w:color="auto"/>
          </w:divBdr>
        </w:div>
        <w:div w:id="769860478">
          <w:marLeft w:val="0"/>
          <w:marRight w:val="0"/>
          <w:marTop w:val="0"/>
          <w:marBottom w:val="0"/>
          <w:divBdr>
            <w:top w:val="none" w:sz="0" w:space="0" w:color="auto"/>
            <w:left w:val="none" w:sz="0" w:space="0" w:color="auto"/>
            <w:bottom w:val="none" w:sz="0" w:space="0" w:color="auto"/>
            <w:right w:val="none" w:sz="0" w:space="0" w:color="auto"/>
          </w:divBdr>
        </w:div>
        <w:div w:id="781808111">
          <w:marLeft w:val="0"/>
          <w:marRight w:val="0"/>
          <w:marTop w:val="0"/>
          <w:marBottom w:val="0"/>
          <w:divBdr>
            <w:top w:val="none" w:sz="0" w:space="0" w:color="auto"/>
            <w:left w:val="none" w:sz="0" w:space="0" w:color="auto"/>
            <w:bottom w:val="none" w:sz="0" w:space="0" w:color="auto"/>
            <w:right w:val="none" w:sz="0" w:space="0" w:color="auto"/>
          </w:divBdr>
        </w:div>
        <w:div w:id="787823029">
          <w:marLeft w:val="0"/>
          <w:marRight w:val="0"/>
          <w:marTop w:val="0"/>
          <w:marBottom w:val="0"/>
          <w:divBdr>
            <w:top w:val="none" w:sz="0" w:space="0" w:color="auto"/>
            <w:left w:val="none" w:sz="0" w:space="0" w:color="auto"/>
            <w:bottom w:val="none" w:sz="0" w:space="0" w:color="auto"/>
            <w:right w:val="none" w:sz="0" w:space="0" w:color="auto"/>
          </w:divBdr>
        </w:div>
        <w:div w:id="811092743">
          <w:marLeft w:val="0"/>
          <w:marRight w:val="0"/>
          <w:marTop w:val="0"/>
          <w:marBottom w:val="0"/>
          <w:divBdr>
            <w:top w:val="none" w:sz="0" w:space="0" w:color="auto"/>
            <w:left w:val="none" w:sz="0" w:space="0" w:color="auto"/>
            <w:bottom w:val="none" w:sz="0" w:space="0" w:color="auto"/>
            <w:right w:val="none" w:sz="0" w:space="0" w:color="auto"/>
          </w:divBdr>
        </w:div>
        <w:div w:id="869227225">
          <w:marLeft w:val="0"/>
          <w:marRight w:val="0"/>
          <w:marTop w:val="0"/>
          <w:marBottom w:val="0"/>
          <w:divBdr>
            <w:top w:val="none" w:sz="0" w:space="0" w:color="auto"/>
            <w:left w:val="none" w:sz="0" w:space="0" w:color="auto"/>
            <w:bottom w:val="none" w:sz="0" w:space="0" w:color="auto"/>
            <w:right w:val="none" w:sz="0" w:space="0" w:color="auto"/>
          </w:divBdr>
        </w:div>
        <w:div w:id="913779729">
          <w:marLeft w:val="0"/>
          <w:marRight w:val="0"/>
          <w:marTop w:val="0"/>
          <w:marBottom w:val="0"/>
          <w:divBdr>
            <w:top w:val="none" w:sz="0" w:space="0" w:color="auto"/>
            <w:left w:val="none" w:sz="0" w:space="0" w:color="auto"/>
            <w:bottom w:val="none" w:sz="0" w:space="0" w:color="auto"/>
            <w:right w:val="none" w:sz="0" w:space="0" w:color="auto"/>
          </w:divBdr>
        </w:div>
        <w:div w:id="961112870">
          <w:marLeft w:val="0"/>
          <w:marRight w:val="0"/>
          <w:marTop w:val="0"/>
          <w:marBottom w:val="0"/>
          <w:divBdr>
            <w:top w:val="none" w:sz="0" w:space="0" w:color="auto"/>
            <w:left w:val="none" w:sz="0" w:space="0" w:color="auto"/>
            <w:bottom w:val="none" w:sz="0" w:space="0" w:color="auto"/>
            <w:right w:val="none" w:sz="0" w:space="0" w:color="auto"/>
          </w:divBdr>
        </w:div>
        <w:div w:id="963510683">
          <w:marLeft w:val="0"/>
          <w:marRight w:val="0"/>
          <w:marTop w:val="0"/>
          <w:marBottom w:val="0"/>
          <w:divBdr>
            <w:top w:val="none" w:sz="0" w:space="0" w:color="auto"/>
            <w:left w:val="none" w:sz="0" w:space="0" w:color="auto"/>
            <w:bottom w:val="none" w:sz="0" w:space="0" w:color="auto"/>
            <w:right w:val="none" w:sz="0" w:space="0" w:color="auto"/>
          </w:divBdr>
        </w:div>
        <w:div w:id="986782806">
          <w:marLeft w:val="0"/>
          <w:marRight w:val="0"/>
          <w:marTop w:val="0"/>
          <w:marBottom w:val="0"/>
          <w:divBdr>
            <w:top w:val="none" w:sz="0" w:space="0" w:color="auto"/>
            <w:left w:val="none" w:sz="0" w:space="0" w:color="auto"/>
            <w:bottom w:val="none" w:sz="0" w:space="0" w:color="auto"/>
            <w:right w:val="none" w:sz="0" w:space="0" w:color="auto"/>
          </w:divBdr>
        </w:div>
        <w:div w:id="1017926826">
          <w:marLeft w:val="0"/>
          <w:marRight w:val="0"/>
          <w:marTop w:val="0"/>
          <w:marBottom w:val="0"/>
          <w:divBdr>
            <w:top w:val="none" w:sz="0" w:space="0" w:color="auto"/>
            <w:left w:val="none" w:sz="0" w:space="0" w:color="auto"/>
            <w:bottom w:val="none" w:sz="0" w:space="0" w:color="auto"/>
            <w:right w:val="none" w:sz="0" w:space="0" w:color="auto"/>
          </w:divBdr>
        </w:div>
        <w:div w:id="1029450434">
          <w:marLeft w:val="0"/>
          <w:marRight w:val="0"/>
          <w:marTop w:val="0"/>
          <w:marBottom w:val="0"/>
          <w:divBdr>
            <w:top w:val="none" w:sz="0" w:space="0" w:color="auto"/>
            <w:left w:val="none" w:sz="0" w:space="0" w:color="auto"/>
            <w:bottom w:val="none" w:sz="0" w:space="0" w:color="auto"/>
            <w:right w:val="none" w:sz="0" w:space="0" w:color="auto"/>
          </w:divBdr>
        </w:div>
        <w:div w:id="1038890578">
          <w:marLeft w:val="0"/>
          <w:marRight w:val="0"/>
          <w:marTop w:val="0"/>
          <w:marBottom w:val="0"/>
          <w:divBdr>
            <w:top w:val="none" w:sz="0" w:space="0" w:color="auto"/>
            <w:left w:val="none" w:sz="0" w:space="0" w:color="auto"/>
            <w:bottom w:val="none" w:sz="0" w:space="0" w:color="auto"/>
            <w:right w:val="none" w:sz="0" w:space="0" w:color="auto"/>
          </w:divBdr>
        </w:div>
        <w:div w:id="1057315896">
          <w:marLeft w:val="0"/>
          <w:marRight w:val="0"/>
          <w:marTop w:val="0"/>
          <w:marBottom w:val="0"/>
          <w:divBdr>
            <w:top w:val="none" w:sz="0" w:space="0" w:color="auto"/>
            <w:left w:val="none" w:sz="0" w:space="0" w:color="auto"/>
            <w:bottom w:val="none" w:sz="0" w:space="0" w:color="auto"/>
            <w:right w:val="none" w:sz="0" w:space="0" w:color="auto"/>
          </w:divBdr>
        </w:div>
        <w:div w:id="1064330071">
          <w:marLeft w:val="0"/>
          <w:marRight w:val="0"/>
          <w:marTop w:val="0"/>
          <w:marBottom w:val="0"/>
          <w:divBdr>
            <w:top w:val="none" w:sz="0" w:space="0" w:color="auto"/>
            <w:left w:val="none" w:sz="0" w:space="0" w:color="auto"/>
            <w:bottom w:val="none" w:sz="0" w:space="0" w:color="auto"/>
            <w:right w:val="none" w:sz="0" w:space="0" w:color="auto"/>
          </w:divBdr>
        </w:div>
        <w:div w:id="1141339212">
          <w:marLeft w:val="0"/>
          <w:marRight w:val="0"/>
          <w:marTop w:val="0"/>
          <w:marBottom w:val="0"/>
          <w:divBdr>
            <w:top w:val="none" w:sz="0" w:space="0" w:color="auto"/>
            <w:left w:val="none" w:sz="0" w:space="0" w:color="auto"/>
            <w:bottom w:val="none" w:sz="0" w:space="0" w:color="auto"/>
            <w:right w:val="none" w:sz="0" w:space="0" w:color="auto"/>
          </w:divBdr>
        </w:div>
        <w:div w:id="1155414616">
          <w:marLeft w:val="0"/>
          <w:marRight w:val="0"/>
          <w:marTop w:val="0"/>
          <w:marBottom w:val="0"/>
          <w:divBdr>
            <w:top w:val="none" w:sz="0" w:space="0" w:color="auto"/>
            <w:left w:val="none" w:sz="0" w:space="0" w:color="auto"/>
            <w:bottom w:val="none" w:sz="0" w:space="0" w:color="auto"/>
            <w:right w:val="none" w:sz="0" w:space="0" w:color="auto"/>
          </w:divBdr>
        </w:div>
        <w:div w:id="1168786093">
          <w:marLeft w:val="0"/>
          <w:marRight w:val="0"/>
          <w:marTop w:val="0"/>
          <w:marBottom w:val="0"/>
          <w:divBdr>
            <w:top w:val="none" w:sz="0" w:space="0" w:color="auto"/>
            <w:left w:val="none" w:sz="0" w:space="0" w:color="auto"/>
            <w:bottom w:val="none" w:sz="0" w:space="0" w:color="auto"/>
            <w:right w:val="none" w:sz="0" w:space="0" w:color="auto"/>
          </w:divBdr>
        </w:div>
        <w:div w:id="1232041652">
          <w:marLeft w:val="0"/>
          <w:marRight w:val="0"/>
          <w:marTop w:val="0"/>
          <w:marBottom w:val="0"/>
          <w:divBdr>
            <w:top w:val="none" w:sz="0" w:space="0" w:color="auto"/>
            <w:left w:val="none" w:sz="0" w:space="0" w:color="auto"/>
            <w:bottom w:val="none" w:sz="0" w:space="0" w:color="auto"/>
            <w:right w:val="none" w:sz="0" w:space="0" w:color="auto"/>
          </w:divBdr>
        </w:div>
        <w:div w:id="1235628833">
          <w:marLeft w:val="0"/>
          <w:marRight w:val="0"/>
          <w:marTop w:val="0"/>
          <w:marBottom w:val="0"/>
          <w:divBdr>
            <w:top w:val="none" w:sz="0" w:space="0" w:color="auto"/>
            <w:left w:val="none" w:sz="0" w:space="0" w:color="auto"/>
            <w:bottom w:val="none" w:sz="0" w:space="0" w:color="auto"/>
            <w:right w:val="none" w:sz="0" w:space="0" w:color="auto"/>
          </w:divBdr>
        </w:div>
        <w:div w:id="1242983430">
          <w:marLeft w:val="0"/>
          <w:marRight w:val="0"/>
          <w:marTop w:val="0"/>
          <w:marBottom w:val="0"/>
          <w:divBdr>
            <w:top w:val="none" w:sz="0" w:space="0" w:color="auto"/>
            <w:left w:val="none" w:sz="0" w:space="0" w:color="auto"/>
            <w:bottom w:val="none" w:sz="0" w:space="0" w:color="auto"/>
            <w:right w:val="none" w:sz="0" w:space="0" w:color="auto"/>
          </w:divBdr>
        </w:div>
        <w:div w:id="1253470400">
          <w:marLeft w:val="0"/>
          <w:marRight w:val="0"/>
          <w:marTop w:val="0"/>
          <w:marBottom w:val="0"/>
          <w:divBdr>
            <w:top w:val="none" w:sz="0" w:space="0" w:color="auto"/>
            <w:left w:val="none" w:sz="0" w:space="0" w:color="auto"/>
            <w:bottom w:val="none" w:sz="0" w:space="0" w:color="auto"/>
            <w:right w:val="none" w:sz="0" w:space="0" w:color="auto"/>
          </w:divBdr>
        </w:div>
        <w:div w:id="1287195154">
          <w:marLeft w:val="0"/>
          <w:marRight w:val="0"/>
          <w:marTop w:val="0"/>
          <w:marBottom w:val="0"/>
          <w:divBdr>
            <w:top w:val="none" w:sz="0" w:space="0" w:color="auto"/>
            <w:left w:val="none" w:sz="0" w:space="0" w:color="auto"/>
            <w:bottom w:val="none" w:sz="0" w:space="0" w:color="auto"/>
            <w:right w:val="none" w:sz="0" w:space="0" w:color="auto"/>
          </w:divBdr>
        </w:div>
        <w:div w:id="1346664706">
          <w:marLeft w:val="0"/>
          <w:marRight w:val="0"/>
          <w:marTop w:val="0"/>
          <w:marBottom w:val="0"/>
          <w:divBdr>
            <w:top w:val="none" w:sz="0" w:space="0" w:color="auto"/>
            <w:left w:val="none" w:sz="0" w:space="0" w:color="auto"/>
            <w:bottom w:val="none" w:sz="0" w:space="0" w:color="auto"/>
            <w:right w:val="none" w:sz="0" w:space="0" w:color="auto"/>
          </w:divBdr>
        </w:div>
        <w:div w:id="1376002464">
          <w:marLeft w:val="0"/>
          <w:marRight w:val="0"/>
          <w:marTop w:val="0"/>
          <w:marBottom w:val="0"/>
          <w:divBdr>
            <w:top w:val="none" w:sz="0" w:space="0" w:color="auto"/>
            <w:left w:val="none" w:sz="0" w:space="0" w:color="auto"/>
            <w:bottom w:val="none" w:sz="0" w:space="0" w:color="auto"/>
            <w:right w:val="none" w:sz="0" w:space="0" w:color="auto"/>
          </w:divBdr>
        </w:div>
        <w:div w:id="1402482371">
          <w:marLeft w:val="0"/>
          <w:marRight w:val="0"/>
          <w:marTop w:val="0"/>
          <w:marBottom w:val="0"/>
          <w:divBdr>
            <w:top w:val="none" w:sz="0" w:space="0" w:color="auto"/>
            <w:left w:val="none" w:sz="0" w:space="0" w:color="auto"/>
            <w:bottom w:val="none" w:sz="0" w:space="0" w:color="auto"/>
            <w:right w:val="none" w:sz="0" w:space="0" w:color="auto"/>
          </w:divBdr>
        </w:div>
        <w:div w:id="1422990175">
          <w:marLeft w:val="0"/>
          <w:marRight w:val="0"/>
          <w:marTop w:val="0"/>
          <w:marBottom w:val="0"/>
          <w:divBdr>
            <w:top w:val="none" w:sz="0" w:space="0" w:color="auto"/>
            <w:left w:val="none" w:sz="0" w:space="0" w:color="auto"/>
            <w:bottom w:val="none" w:sz="0" w:space="0" w:color="auto"/>
            <w:right w:val="none" w:sz="0" w:space="0" w:color="auto"/>
          </w:divBdr>
        </w:div>
        <w:div w:id="1440643364">
          <w:marLeft w:val="0"/>
          <w:marRight w:val="0"/>
          <w:marTop w:val="0"/>
          <w:marBottom w:val="0"/>
          <w:divBdr>
            <w:top w:val="none" w:sz="0" w:space="0" w:color="auto"/>
            <w:left w:val="none" w:sz="0" w:space="0" w:color="auto"/>
            <w:bottom w:val="none" w:sz="0" w:space="0" w:color="auto"/>
            <w:right w:val="none" w:sz="0" w:space="0" w:color="auto"/>
          </w:divBdr>
        </w:div>
        <w:div w:id="1444694115">
          <w:marLeft w:val="0"/>
          <w:marRight w:val="0"/>
          <w:marTop w:val="0"/>
          <w:marBottom w:val="0"/>
          <w:divBdr>
            <w:top w:val="none" w:sz="0" w:space="0" w:color="auto"/>
            <w:left w:val="none" w:sz="0" w:space="0" w:color="auto"/>
            <w:bottom w:val="none" w:sz="0" w:space="0" w:color="auto"/>
            <w:right w:val="none" w:sz="0" w:space="0" w:color="auto"/>
          </w:divBdr>
        </w:div>
        <w:div w:id="1444881284">
          <w:marLeft w:val="0"/>
          <w:marRight w:val="0"/>
          <w:marTop w:val="0"/>
          <w:marBottom w:val="0"/>
          <w:divBdr>
            <w:top w:val="none" w:sz="0" w:space="0" w:color="auto"/>
            <w:left w:val="none" w:sz="0" w:space="0" w:color="auto"/>
            <w:bottom w:val="none" w:sz="0" w:space="0" w:color="auto"/>
            <w:right w:val="none" w:sz="0" w:space="0" w:color="auto"/>
          </w:divBdr>
        </w:div>
        <w:div w:id="1461535139">
          <w:marLeft w:val="0"/>
          <w:marRight w:val="0"/>
          <w:marTop w:val="0"/>
          <w:marBottom w:val="0"/>
          <w:divBdr>
            <w:top w:val="none" w:sz="0" w:space="0" w:color="auto"/>
            <w:left w:val="none" w:sz="0" w:space="0" w:color="auto"/>
            <w:bottom w:val="none" w:sz="0" w:space="0" w:color="auto"/>
            <w:right w:val="none" w:sz="0" w:space="0" w:color="auto"/>
          </w:divBdr>
        </w:div>
        <w:div w:id="1470201601">
          <w:marLeft w:val="0"/>
          <w:marRight w:val="0"/>
          <w:marTop w:val="0"/>
          <w:marBottom w:val="0"/>
          <w:divBdr>
            <w:top w:val="none" w:sz="0" w:space="0" w:color="auto"/>
            <w:left w:val="none" w:sz="0" w:space="0" w:color="auto"/>
            <w:bottom w:val="none" w:sz="0" w:space="0" w:color="auto"/>
            <w:right w:val="none" w:sz="0" w:space="0" w:color="auto"/>
          </w:divBdr>
        </w:div>
        <w:div w:id="1525364861">
          <w:marLeft w:val="0"/>
          <w:marRight w:val="0"/>
          <w:marTop w:val="0"/>
          <w:marBottom w:val="0"/>
          <w:divBdr>
            <w:top w:val="none" w:sz="0" w:space="0" w:color="auto"/>
            <w:left w:val="none" w:sz="0" w:space="0" w:color="auto"/>
            <w:bottom w:val="none" w:sz="0" w:space="0" w:color="auto"/>
            <w:right w:val="none" w:sz="0" w:space="0" w:color="auto"/>
          </w:divBdr>
        </w:div>
        <w:div w:id="1544439517">
          <w:marLeft w:val="0"/>
          <w:marRight w:val="0"/>
          <w:marTop w:val="0"/>
          <w:marBottom w:val="0"/>
          <w:divBdr>
            <w:top w:val="none" w:sz="0" w:space="0" w:color="auto"/>
            <w:left w:val="none" w:sz="0" w:space="0" w:color="auto"/>
            <w:bottom w:val="none" w:sz="0" w:space="0" w:color="auto"/>
            <w:right w:val="none" w:sz="0" w:space="0" w:color="auto"/>
          </w:divBdr>
        </w:div>
        <w:div w:id="1572498982">
          <w:marLeft w:val="0"/>
          <w:marRight w:val="0"/>
          <w:marTop w:val="0"/>
          <w:marBottom w:val="0"/>
          <w:divBdr>
            <w:top w:val="none" w:sz="0" w:space="0" w:color="auto"/>
            <w:left w:val="none" w:sz="0" w:space="0" w:color="auto"/>
            <w:bottom w:val="none" w:sz="0" w:space="0" w:color="auto"/>
            <w:right w:val="none" w:sz="0" w:space="0" w:color="auto"/>
          </w:divBdr>
        </w:div>
        <w:div w:id="1581909685">
          <w:marLeft w:val="0"/>
          <w:marRight w:val="0"/>
          <w:marTop w:val="0"/>
          <w:marBottom w:val="0"/>
          <w:divBdr>
            <w:top w:val="none" w:sz="0" w:space="0" w:color="auto"/>
            <w:left w:val="none" w:sz="0" w:space="0" w:color="auto"/>
            <w:bottom w:val="none" w:sz="0" w:space="0" w:color="auto"/>
            <w:right w:val="none" w:sz="0" w:space="0" w:color="auto"/>
          </w:divBdr>
        </w:div>
        <w:div w:id="1606578877">
          <w:marLeft w:val="0"/>
          <w:marRight w:val="0"/>
          <w:marTop w:val="0"/>
          <w:marBottom w:val="0"/>
          <w:divBdr>
            <w:top w:val="none" w:sz="0" w:space="0" w:color="auto"/>
            <w:left w:val="none" w:sz="0" w:space="0" w:color="auto"/>
            <w:bottom w:val="none" w:sz="0" w:space="0" w:color="auto"/>
            <w:right w:val="none" w:sz="0" w:space="0" w:color="auto"/>
          </w:divBdr>
        </w:div>
        <w:div w:id="1625231897">
          <w:marLeft w:val="0"/>
          <w:marRight w:val="0"/>
          <w:marTop w:val="0"/>
          <w:marBottom w:val="0"/>
          <w:divBdr>
            <w:top w:val="none" w:sz="0" w:space="0" w:color="auto"/>
            <w:left w:val="none" w:sz="0" w:space="0" w:color="auto"/>
            <w:bottom w:val="none" w:sz="0" w:space="0" w:color="auto"/>
            <w:right w:val="none" w:sz="0" w:space="0" w:color="auto"/>
          </w:divBdr>
        </w:div>
        <w:div w:id="1635864171">
          <w:marLeft w:val="0"/>
          <w:marRight w:val="0"/>
          <w:marTop w:val="0"/>
          <w:marBottom w:val="0"/>
          <w:divBdr>
            <w:top w:val="none" w:sz="0" w:space="0" w:color="auto"/>
            <w:left w:val="none" w:sz="0" w:space="0" w:color="auto"/>
            <w:bottom w:val="none" w:sz="0" w:space="0" w:color="auto"/>
            <w:right w:val="none" w:sz="0" w:space="0" w:color="auto"/>
          </w:divBdr>
        </w:div>
        <w:div w:id="1652976539">
          <w:marLeft w:val="0"/>
          <w:marRight w:val="0"/>
          <w:marTop w:val="0"/>
          <w:marBottom w:val="0"/>
          <w:divBdr>
            <w:top w:val="none" w:sz="0" w:space="0" w:color="auto"/>
            <w:left w:val="none" w:sz="0" w:space="0" w:color="auto"/>
            <w:bottom w:val="none" w:sz="0" w:space="0" w:color="auto"/>
            <w:right w:val="none" w:sz="0" w:space="0" w:color="auto"/>
          </w:divBdr>
        </w:div>
        <w:div w:id="1660621609">
          <w:marLeft w:val="0"/>
          <w:marRight w:val="0"/>
          <w:marTop w:val="0"/>
          <w:marBottom w:val="0"/>
          <w:divBdr>
            <w:top w:val="none" w:sz="0" w:space="0" w:color="auto"/>
            <w:left w:val="none" w:sz="0" w:space="0" w:color="auto"/>
            <w:bottom w:val="none" w:sz="0" w:space="0" w:color="auto"/>
            <w:right w:val="none" w:sz="0" w:space="0" w:color="auto"/>
          </w:divBdr>
        </w:div>
        <w:div w:id="1716584706">
          <w:marLeft w:val="0"/>
          <w:marRight w:val="0"/>
          <w:marTop w:val="0"/>
          <w:marBottom w:val="0"/>
          <w:divBdr>
            <w:top w:val="none" w:sz="0" w:space="0" w:color="auto"/>
            <w:left w:val="none" w:sz="0" w:space="0" w:color="auto"/>
            <w:bottom w:val="none" w:sz="0" w:space="0" w:color="auto"/>
            <w:right w:val="none" w:sz="0" w:space="0" w:color="auto"/>
          </w:divBdr>
        </w:div>
        <w:div w:id="1723361514">
          <w:marLeft w:val="0"/>
          <w:marRight w:val="0"/>
          <w:marTop w:val="0"/>
          <w:marBottom w:val="0"/>
          <w:divBdr>
            <w:top w:val="none" w:sz="0" w:space="0" w:color="auto"/>
            <w:left w:val="none" w:sz="0" w:space="0" w:color="auto"/>
            <w:bottom w:val="none" w:sz="0" w:space="0" w:color="auto"/>
            <w:right w:val="none" w:sz="0" w:space="0" w:color="auto"/>
          </w:divBdr>
        </w:div>
        <w:div w:id="1723672729">
          <w:marLeft w:val="0"/>
          <w:marRight w:val="0"/>
          <w:marTop w:val="0"/>
          <w:marBottom w:val="0"/>
          <w:divBdr>
            <w:top w:val="none" w:sz="0" w:space="0" w:color="auto"/>
            <w:left w:val="none" w:sz="0" w:space="0" w:color="auto"/>
            <w:bottom w:val="none" w:sz="0" w:space="0" w:color="auto"/>
            <w:right w:val="none" w:sz="0" w:space="0" w:color="auto"/>
          </w:divBdr>
        </w:div>
        <w:div w:id="1733692456">
          <w:marLeft w:val="0"/>
          <w:marRight w:val="0"/>
          <w:marTop w:val="0"/>
          <w:marBottom w:val="0"/>
          <w:divBdr>
            <w:top w:val="none" w:sz="0" w:space="0" w:color="auto"/>
            <w:left w:val="none" w:sz="0" w:space="0" w:color="auto"/>
            <w:bottom w:val="none" w:sz="0" w:space="0" w:color="auto"/>
            <w:right w:val="none" w:sz="0" w:space="0" w:color="auto"/>
          </w:divBdr>
        </w:div>
        <w:div w:id="1763717346">
          <w:marLeft w:val="0"/>
          <w:marRight w:val="0"/>
          <w:marTop w:val="0"/>
          <w:marBottom w:val="0"/>
          <w:divBdr>
            <w:top w:val="none" w:sz="0" w:space="0" w:color="auto"/>
            <w:left w:val="none" w:sz="0" w:space="0" w:color="auto"/>
            <w:bottom w:val="none" w:sz="0" w:space="0" w:color="auto"/>
            <w:right w:val="none" w:sz="0" w:space="0" w:color="auto"/>
          </w:divBdr>
        </w:div>
        <w:div w:id="1798179692">
          <w:marLeft w:val="0"/>
          <w:marRight w:val="0"/>
          <w:marTop w:val="0"/>
          <w:marBottom w:val="0"/>
          <w:divBdr>
            <w:top w:val="none" w:sz="0" w:space="0" w:color="auto"/>
            <w:left w:val="none" w:sz="0" w:space="0" w:color="auto"/>
            <w:bottom w:val="none" w:sz="0" w:space="0" w:color="auto"/>
            <w:right w:val="none" w:sz="0" w:space="0" w:color="auto"/>
          </w:divBdr>
        </w:div>
        <w:div w:id="1814175222">
          <w:marLeft w:val="0"/>
          <w:marRight w:val="0"/>
          <w:marTop w:val="0"/>
          <w:marBottom w:val="0"/>
          <w:divBdr>
            <w:top w:val="none" w:sz="0" w:space="0" w:color="auto"/>
            <w:left w:val="none" w:sz="0" w:space="0" w:color="auto"/>
            <w:bottom w:val="none" w:sz="0" w:space="0" w:color="auto"/>
            <w:right w:val="none" w:sz="0" w:space="0" w:color="auto"/>
          </w:divBdr>
        </w:div>
        <w:div w:id="1823421823">
          <w:marLeft w:val="0"/>
          <w:marRight w:val="0"/>
          <w:marTop w:val="0"/>
          <w:marBottom w:val="0"/>
          <w:divBdr>
            <w:top w:val="none" w:sz="0" w:space="0" w:color="auto"/>
            <w:left w:val="none" w:sz="0" w:space="0" w:color="auto"/>
            <w:bottom w:val="none" w:sz="0" w:space="0" w:color="auto"/>
            <w:right w:val="none" w:sz="0" w:space="0" w:color="auto"/>
          </w:divBdr>
        </w:div>
        <w:div w:id="1837185226">
          <w:marLeft w:val="0"/>
          <w:marRight w:val="0"/>
          <w:marTop w:val="0"/>
          <w:marBottom w:val="0"/>
          <w:divBdr>
            <w:top w:val="none" w:sz="0" w:space="0" w:color="auto"/>
            <w:left w:val="none" w:sz="0" w:space="0" w:color="auto"/>
            <w:bottom w:val="none" w:sz="0" w:space="0" w:color="auto"/>
            <w:right w:val="none" w:sz="0" w:space="0" w:color="auto"/>
          </w:divBdr>
        </w:div>
        <w:div w:id="1854031013">
          <w:marLeft w:val="0"/>
          <w:marRight w:val="0"/>
          <w:marTop w:val="0"/>
          <w:marBottom w:val="0"/>
          <w:divBdr>
            <w:top w:val="none" w:sz="0" w:space="0" w:color="auto"/>
            <w:left w:val="none" w:sz="0" w:space="0" w:color="auto"/>
            <w:bottom w:val="none" w:sz="0" w:space="0" w:color="auto"/>
            <w:right w:val="none" w:sz="0" w:space="0" w:color="auto"/>
          </w:divBdr>
        </w:div>
        <w:div w:id="1885947705">
          <w:marLeft w:val="0"/>
          <w:marRight w:val="0"/>
          <w:marTop w:val="0"/>
          <w:marBottom w:val="0"/>
          <w:divBdr>
            <w:top w:val="none" w:sz="0" w:space="0" w:color="auto"/>
            <w:left w:val="none" w:sz="0" w:space="0" w:color="auto"/>
            <w:bottom w:val="none" w:sz="0" w:space="0" w:color="auto"/>
            <w:right w:val="none" w:sz="0" w:space="0" w:color="auto"/>
          </w:divBdr>
        </w:div>
        <w:div w:id="1894343974">
          <w:marLeft w:val="0"/>
          <w:marRight w:val="0"/>
          <w:marTop w:val="0"/>
          <w:marBottom w:val="0"/>
          <w:divBdr>
            <w:top w:val="none" w:sz="0" w:space="0" w:color="auto"/>
            <w:left w:val="none" w:sz="0" w:space="0" w:color="auto"/>
            <w:bottom w:val="none" w:sz="0" w:space="0" w:color="auto"/>
            <w:right w:val="none" w:sz="0" w:space="0" w:color="auto"/>
          </w:divBdr>
        </w:div>
        <w:div w:id="1923293593">
          <w:marLeft w:val="0"/>
          <w:marRight w:val="0"/>
          <w:marTop w:val="0"/>
          <w:marBottom w:val="0"/>
          <w:divBdr>
            <w:top w:val="none" w:sz="0" w:space="0" w:color="auto"/>
            <w:left w:val="none" w:sz="0" w:space="0" w:color="auto"/>
            <w:bottom w:val="none" w:sz="0" w:space="0" w:color="auto"/>
            <w:right w:val="none" w:sz="0" w:space="0" w:color="auto"/>
          </w:divBdr>
        </w:div>
        <w:div w:id="1934120575">
          <w:marLeft w:val="0"/>
          <w:marRight w:val="0"/>
          <w:marTop w:val="0"/>
          <w:marBottom w:val="0"/>
          <w:divBdr>
            <w:top w:val="none" w:sz="0" w:space="0" w:color="auto"/>
            <w:left w:val="none" w:sz="0" w:space="0" w:color="auto"/>
            <w:bottom w:val="none" w:sz="0" w:space="0" w:color="auto"/>
            <w:right w:val="none" w:sz="0" w:space="0" w:color="auto"/>
          </w:divBdr>
        </w:div>
        <w:div w:id="1937207900">
          <w:marLeft w:val="0"/>
          <w:marRight w:val="0"/>
          <w:marTop w:val="0"/>
          <w:marBottom w:val="0"/>
          <w:divBdr>
            <w:top w:val="none" w:sz="0" w:space="0" w:color="auto"/>
            <w:left w:val="none" w:sz="0" w:space="0" w:color="auto"/>
            <w:bottom w:val="none" w:sz="0" w:space="0" w:color="auto"/>
            <w:right w:val="none" w:sz="0" w:space="0" w:color="auto"/>
          </w:divBdr>
        </w:div>
        <w:div w:id="1986163325">
          <w:marLeft w:val="0"/>
          <w:marRight w:val="0"/>
          <w:marTop w:val="0"/>
          <w:marBottom w:val="0"/>
          <w:divBdr>
            <w:top w:val="none" w:sz="0" w:space="0" w:color="auto"/>
            <w:left w:val="none" w:sz="0" w:space="0" w:color="auto"/>
            <w:bottom w:val="none" w:sz="0" w:space="0" w:color="auto"/>
            <w:right w:val="none" w:sz="0" w:space="0" w:color="auto"/>
          </w:divBdr>
        </w:div>
        <w:div w:id="1991015355">
          <w:marLeft w:val="0"/>
          <w:marRight w:val="0"/>
          <w:marTop w:val="0"/>
          <w:marBottom w:val="0"/>
          <w:divBdr>
            <w:top w:val="none" w:sz="0" w:space="0" w:color="auto"/>
            <w:left w:val="none" w:sz="0" w:space="0" w:color="auto"/>
            <w:bottom w:val="none" w:sz="0" w:space="0" w:color="auto"/>
            <w:right w:val="none" w:sz="0" w:space="0" w:color="auto"/>
          </w:divBdr>
        </w:div>
        <w:div w:id="2007396439">
          <w:marLeft w:val="0"/>
          <w:marRight w:val="0"/>
          <w:marTop w:val="0"/>
          <w:marBottom w:val="0"/>
          <w:divBdr>
            <w:top w:val="none" w:sz="0" w:space="0" w:color="auto"/>
            <w:left w:val="none" w:sz="0" w:space="0" w:color="auto"/>
            <w:bottom w:val="none" w:sz="0" w:space="0" w:color="auto"/>
            <w:right w:val="none" w:sz="0" w:space="0" w:color="auto"/>
          </w:divBdr>
        </w:div>
        <w:div w:id="2027632260">
          <w:marLeft w:val="0"/>
          <w:marRight w:val="0"/>
          <w:marTop w:val="0"/>
          <w:marBottom w:val="0"/>
          <w:divBdr>
            <w:top w:val="none" w:sz="0" w:space="0" w:color="auto"/>
            <w:left w:val="none" w:sz="0" w:space="0" w:color="auto"/>
            <w:bottom w:val="none" w:sz="0" w:space="0" w:color="auto"/>
            <w:right w:val="none" w:sz="0" w:space="0" w:color="auto"/>
          </w:divBdr>
        </w:div>
        <w:div w:id="2028868556">
          <w:marLeft w:val="0"/>
          <w:marRight w:val="0"/>
          <w:marTop w:val="0"/>
          <w:marBottom w:val="0"/>
          <w:divBdr>
            <w:top w:val="none" w:sz="0" w:space="0" w:color="auto"/>
            <w:left w:val="none" w:sz="0" w:space="0" w:color="auto"/>
            <w:bottom w:val="none" w:sz="0" w:space="0" w:color="auto"/>
            <w:right w:val="none" w:sz="0" w:space="0" w:color="auto"/>
          </w:divBdr>
        </w:div>
        <w:div w:id="2044356026">
          <w:marLeft w:val="0"/>
          <w:marRight w:val="0"/>
          <w:marTop w:val="0"/>
          <w:marBottom w:val="0"/>
          <w:divBdr>
            <w:top w:val="none" w:sz="0" w:space="0" w:color="auto"/>
            <w:left w:val="none" w:sz="0" w:space="0" w:color="auto"/>
            <w:bottom w:val="none" w:sz="0" w:space="0" w:color="auto"/>
            <w:right w:val="none" w:sz="0" w:space="0" w:color="auto"/>
          </w:divBdr>
        </w:div>
        <w:div w:id="2078281024">
          <w:marLeft w:val="0"/>
          <w:marRight w:val="0"/>
          <w:marTop w:val="0"/>
          <w:marBottom w:val="0"/>
          <w:divBdr>
            <w:top w:val="none" w:sz="0" w:space="0" w:color="auto"/>
            <w:left w:val="none" w:sz="0" w:space="0" w:color="auto"/>
            <w:bottom w:val="none" w:sz="0" w:space="0" w:color="auto"/>
            <w:right w:val="none" w:sz="0" w:space="0" w:color="auto"/>
          </w:divBdr>
        </w:div>
        <w:div w:id="2091923595">
          <w:marLeft w:val="0"/>
          <w:marRight w:val="0"/>
          <w:marTop w:val="0"/>
          <w:marBottom w:val="0"/>
          <w:divBdr>
            <w:top w:val="none" w:sz="0" w:space="0" w:color="auto"/>
            <w:left w:val="none" w:sz="0" w:space="0" w:color="auto"/>
            <w:bottom w:val="none" w:sz="0" w:space="0" w:color="auto"/>
            <w:right w:val="none" w:sz="0" w:space="0" w:color="auto"/>
          </w:divBdr>
        </w:div>
        <w:div w:id="2098013622">
          <w:marLeft w:val="0"/>
          <w:marRight w:val="0"/>
          <w:marTop w:val="0"/>
          <w:marBottom w:val="0"/>
          <w:divBdr>
            <w:top w:val="none" w:sz="0" w:space="0" w:color="auto"/>
            <w:left w:val="none" w:sz="0" w:space="0" w:color="auto"/>
            <w:bottom w:val="none" w:sz="0" w:space="0" w:color="auto"/>
            <w:right w:val="none" w:sz="0" w:space="0" w:color="auto"/>
          </w:divBdr>
        </w:div>
      </w:divsChild>
    </w:div>
    <w:div w:id="1132792878">
      <w:bodyDiv w:val="1"/>
      <w:marLeft w:val="0"/>
      <w:marRight w:val="0"/>
      <w:marTop w:val="0"/>
      <w:marBottom w:val="0"/>
      <w:divBdr>
        <w:top w:val="none" w:sz="0" w:space="0" w:color="auto"/>
        <w:left w:val="none" w:sz="0" w:space="0" w:color="auto"/>
        <w:bottom w:val="none" w:sz="0" w:space="0" w:color="auto"/>
        <w:right w:val="none" w:sz="0" w:space="0" w:color="auto"/>
      </w:divBdr>
    </w:div>
    <w:div w:id="1160804986">
      <w:bodyDiv w:val="1"/>
      <w:marLeft w:val="0"/>
      <w:marRight w:val="0"/>
      <w:marTop w:val="0"/>
      <w:marBottom w:val="0"/>
      <w:divBdr>
        <w:top w:val="none" w:sz="0" w:space="0" w:color="auto"/>
        <w:left w:val="none" w:sz="0" w:space="0" w:color="auto"/>
        <w:bottom w:val="none" w:sz="0" w:space="0" w:color="auto"/>
        <w:right w:val="none" w:sz="0" w:space="0" w:color="auto"/>
      </w:divBdr>
    </w:div>
    <w:div w:id="1163399768">
      <w:bodyDiv w:val="1"/>
      <w:marLeft w:val="0"/>
      <w:marRight w:val="0"/>
      <w:marTop w:val="0"/>
      <w:marBottom w:val="0"/>
      <w:divBdr>
        <w:top w:val="none" w:sz="0" w:space="0" w:color="auto"/>
        <w:left w:val="none" w:sz="0" w:space="0" w:color="auto"/>
        <w:bottom w:val="none" w:sz="0" w:space="0" w:color="auto"/>
        <w:right w:val="none" w:sz="0" w:space="0" w:color="auto"/>
      </w:divBdr>
    </w:div>
    <w:div w:id="1225872257">
      <w:bodyDiv w:val="1"/>
      <w:marLeft w:val="0"/>
      <w:marRight w:val="0"/>
      <w:marTop w:val="0"/>
      <w:marBottom w:val="0"/>
      <w:divBdr>
        <w:top w:val="none" w:sz="0" w:space="0" w:color="auto"/>
        <w:left w:val="none" w:sz="0" w:space="0" w:color="auto"/>
        <w:bottom w:val="none" w:sz="0" w:space="0" w:color="auto"/>
        <w:right w:val="none" w:sz="0" w:space="0" w:color="auto"/>
      </w:divBdr>
    </w:div>
    <w:div w:id="1232278925">
      <w:bodyDiv w:val="1"/>
      <w:marLeft w:val="0"/>
      <w:marRight w:val="0"/>
      <w:marTop w:val="0"/>
      <w:marBottom w:val="0"/>
      <w:divBdr>
        <w:top w:val="none" w:sz="0" w:space="0" w:color="auto"/>
        <w:left w:val="none" w:sz="0" w:space="0" w:color="auto"/>
        <w:bottom w:val="none" w:sz="0" w:space="0" w:color="auto"/>
        <w:right w:val="none" w:sz="0" w:space="0" w:color="auto"/>
      </w:divBdr>
    </w:div>
    <w:div w:id="1271352555">
      <w:bodyDiv w:val="1"/>
      <w:marLeft w:val="0"/>
      <w:marRight w:val="0"/>
      <w:marTop w:val="0"/>
      <w:marBottom w:val="0"/>
      <w:divBdr>
        <w:top w:val="none" w:sz="0" w:space="0" w:color="auto"/>
        <w:left w:val="none" w:sz="0" w:space="0" w:color="auto"/>
        <w:bottom w:val="none" w:sz="0" w:space="0" w:color="auto"/>
        <w:right w:val="none" w:sz="0" w:space="0" w:color="auto"/>
      </w:divBdr>
    </w:div>
    <w:div w:id="1273711320">
      <w:bodyDiv w:val="1"/>
      <w:marLeft w:val="0"/>
      <w:marRight w:val="0"/>
      <w:marTop w:val="0"/>
      <w:marBottom w:val="0"/>
      <w:divBdr>
        <w:top w:val="none" w:sz="0" w:space="0" w:color="auto"/>
        <w:left w:val="none" w:sz="0" w:space="0" w:color="auto"/>
        <w:bottom w:val="none" w:sz="0" w:space="0" w:color="auto"/>
        <w:right w:val="none" w:sz="0" w:space="0" w:color="auto"/>
      </w:divBdr>
    </w:div>
    <w:div w:id="1277979540">
      <w:bodyDiv w:val="1"/>
      <w:marLeft w:val="0"/>
      <w:marRight w:val="0"/>
      <w:marTop w:val="0"/>
      <w:marBottom w:val="0"/>
      <w:divBdr>
        <w:top w:val="none" w:sz="0" w:space="0" w:color="auto"/>
        <w:left w:val="none" w:sz="0" w:space="0" w:color="auto"/>
        <w:bottom w:val="none" w:sz="0" w:space="0" w:color="auto"/>
        <w:right w:val="none" w:sz="0" w:space="0" w:color="auto"/>
      </w:divBdr>
    </w:div>
    <w:div w:id="1326280035">
      <w:bodyDiv w:val="1"/>
      <w:marLeft w:val="0"/>
      <w:marRight w:val="0"/>
      <w:marTop w:val="0"/>
      <w:marBottom w:val="0"/>
      <w:divBdr>
        <w:top w:val="none" w:sz="0" w:space="0" w:color="auto"/>
        <w:left w:val="none" w:sz="0" w:space="0" w:color="auto"/>
        <w:bottom w:val="none" w:sz="0" w:space="0" w:color="auto"/>
        <w:right w:val="none" w:sz="0" w:space="0" w:color="auto"/>
      </w:divBdr>
    </w:div>
    <w:div w:id="1357581524">
      <w:bodyDiv w:val="1"/>
      <w:marLeft w:val="0"/>
      <w:marRight w:val="0"/>
      <w:marTop w:val="0"/>
      <w:marBottom w:val="0"/>
      <w:divBdr>
        <w:top w:val="none" w:sz="0" w:space="0" w:color="auto"/>
        <w:left w:val="none" w:sz="0" w:space="0" w:color="auto"/>
        <w:bottom w:val="none" w:sz="0" w:space="0" w:color="auto"/>
        <w:right w:val="none" w:sz="0" w:space="0" w:color="auto"/>
      </w:divBdr>
    </w:div>
    <w:div w:id="1380587307">
      <w:bodyDiv w:val="1"/>
      <w:marLeft w:val="0"/>
      <w:marRight w:val="0"/>
      <w:marTop w:val="0"/>
      <w:marBottom w:val="0"/>
      <w:divBdr>
        <w:top w:val="none" w:sz="0" w:space="0" w:color="auto"/>
        <w:left w:val="none" w:sz="0" w:space="0" w:color="auto"/>
        <w:bottom w:val="none" w:sz="0" w:space="0" w:color="auto"/>
        <w:right w:val="none" w:sz="0" w:space="0" w:color="auto"/>
      </w:divBdr>
    </w:div>
    <w:div w:id="1398741507">
      <w:bodyDiv w:val="1"/>
      <w:marLeft w:val="0"/>
      <w:marRight w:val="0"/>
      <w:marTop w:val="0"/>
      <w:marBottom w:val="0"/>
      <w:divBdr>
        <w:top w:val="none" w:sz="0" w:space="0" w:color="auto"/>
        <w:left w:val="none" w:sz="0" w:space="0" w:color="auto"/>
        <w:bottom w:val="none" w:sz="0" w:space="0" w:color="auto"/>
        <w:right w:val="none" w:sz="0" w:space="0" w:color="auto"/>
      </w:divBdr>
    </w:div>
    <w:div w:id="1536389129">
      <w:bodyDiv w:val="1"/>
      <w:marLeft w:val="0"/>
      <w:marRight w:val="0"/>
      <w:marTop w:val="0"/>
      <w:marBottom w:val="0"/>
      <w:divBdr>
        <w:top w:val="none" w:sz="0" w:space="0" w:color="auto"/>
        <w:left w:val="none" w:sz="0" w:space="0" w:color="auto"/>
        <w:bottom w:val="none" w:sz="0" w:space="0" w:color="auto"/>
        <w:right w:val="none" w:sz="0" w:space="0" w:color="auto"/>
      </w:divBdr>
      <w:divsChild>
        <w:div w:id="1347905095">
          <w:marLeft w:val="0"/>
          <w:marRight w:val="0"/>
          <w:marTop w:val="0"/>
          <w:marBottom w:val="0"/>
          <w:divBdr>
            <w:top w:val="none" w:sz="0" w:space="0" w:color="auto"/>
            <w:left w:val="none" w:sz="0" w:space="0" w:color="auto"/>
            <w:bottom w:val="none" w:sz="0" w:space="0" w:color="auto"/>
            <w:right w:val="none" w:sz="0" w:space="0" w:color="auto"/>
          </w:divBdr>
        </w:div>
      </w:divsChild>
    </w:div>
    <w:div w:id="1545482954">
      <w:bodyDiv w:val="1"/>
      <w:marLeft w:val="0"/>
      <w:marRight w:val="0"/>
      <w:marTop w:val="0"/>
      <w:marBottom w:val="0"/>
      <w:divBdr>
        <w:top w:val="none" w:sz="0" w:space="0" w:color="auto"/>
        <w:left w:val="none" w:sz="0" w:space="0" w:color="auto"/>
        <w:bottom w:val="none" w:sz="0" w:space="0" w:color="auto"/>
        <w:right w:val="none" w:sz="0" w:space="0" w:color="auto"/>
      </w:divBdr>
      <w:divsChild>
        <w:div w:id="2008559762">
          <w:marLeft w:val="0"/>
          <w:marRight w:val="0"/>
          <w:marTop w:val="0"/>
          <w:marBottom w:val="0"/>
          <w:divBdr>
            <w:top w:val="none" w:sz="0" w:space="0" w:color="auto"/>
            <w:left w:val="none" w:sz="0" w:space="0" w:color="auto"/>
            <w:bottom w:val="none" w:sz="0" w:space="0" w:color="auto"/>
            <w:right w:val="none" w:sz="0" w:space="0" w:color="auto"/>
          </w:divBdr>
        </w:div>
      </w:divsChild>
    </w:div>
    <w:div w:id="1568611569">
      <w:bodyDiv w:val="1"/>
      <w:marLeft w:val="0"/>
      <w:marRight w:val="0"/>
      <w:marTop w:val="0"/>
      <w:marBottom w:val="0"/>
      <w:divBdr>
        <w:top w:val="none" w:sz="0" w:space="0" w:color="auto"/>
        <w:left w:val="none" w:sz="0" w:space="0" w:color="auto"/>
        <w:bottom w:val="none" w:sz="0" w:space="0" w:color="auto"/>
        <w:right w:val="none" w:sz="0" w:space="0" w:color="auto"/>
      </w:divBdr>
    </w:div>
    <w:div w:id="1591237045">
      <w:bodyDiv w:val="1"/>
      <w:marLeft w:val="0"/>
      <w:marRight w:val="0"/>
      <w:marTop w:val="0"/>
      <w:marBottom w:val="0"/>
      <w:divBdr>
        <w:top w:val="none" w:sz="0" w:space="0" w:color="auto"/>
        <w:left w:val="none" w:sz="0" w:space="0" w:color="auto"/>
        <w:bottom w:val="none" w:sz="0" w:space="0" w:color="auto"/>
        <w:right w:val="none" w:sz="0" w:space="0" w:color="auto"/>
      </w:divBdr>
    </w:div>
    <w:div w:id="1654866509">
      <w:bodyDiv w:val="1"/>
      <w:marLeft w:val="0"/>
      <w:marRight w:val="0"/>
      <w:marTop w:val="0"/>
      <w:marBottom w:val="0"/>
      <w:divBdr>
        <w:top w:val="none" w:sz="0" w:space="0" w:color="auto"/>
        <w:left w:val="none" w:sz="0" w:space="0" w:color="auto"/>
        <w:bottom w:val="none" w:sz="0" w:space="0" w:color="auto"/>
        <w:right w:val="none" w:sz="0" w:space="0" w:color="auto"/>
      </w:divBdr>
    </w:div>
    <w:div w:id="1665232744">
      <w:bodyDiv w:val="1"/>
      <w:marLeft w:val="0"/>
      <w:marRight w:val="0"/>
      <w:marTop w:val="0"/>
      <w:marBottom w:val="0"/>
      <w:divBdr>
        <w:top w:val="none" w:sz="0" w:space="0" w:color="auto"/>
        <w:left w:val="none" w:sz="0" w:space="0" w:color="auto"/>
        <w:bottom w:val="none" w:sz="0" w:space="0" w:color="auto"/>
        <w:right w:val="none" w:sz="0" w:space="0" w:color="auto"/>
      </w:divBdr>
    </w:div>
    <w:div w:id="1686251922">
      <w:bodyDiv w:val="1"/>
      <w:marLeft w:val="0"/>
      <w:marRight w:val="0"/>
      <w:marTop w:val="0"/>
      <w:marBottom w:val="0"/>
      <w:divBdr>
        <w:top w:val="none" w:sz="0" w:space="0" w:color="auto"/>
        <w:left w:val="none" w:sz="0" w:space="0" w:color="auto"/>
        <w:bottom w:val="none" w:sz="0" w:space="0" w:color="auto"/>
        <w:right w:val="none" w:sz="0" w:space="0" w:color="auto"/>
      </w:divBdr>
    </w:div>
    <w:div w:id="1765834237">
      <w:bodyDiv w:val="1"/>
      <w:marLeft w:val="0"/>
      <w:marRight w:val="0"/>
      <w:marTop w:val="0"/>
      <w:marBottom w:val="0"/>
      <w:divBdr>
        <w:top w:val="none" w:sz="0" w:space="0" w:color="auto"/>
        <w:left w:val="none" w:sz="0" w:space="0" w:color="auto"/>
        <w:bottom w:val="none" w:sz="0" w:space="0" w:color="auto"/>
        <w:right w:val="none" w:sz="0" w:space="0" w:color="auto"/>
      </w:divBdr>
    </w:div>
    <w:div w:id="1790011579">
      <w:bodyDiv w:val="1"/>
      <w:marLeft w:val="0"/>
      <w:marRight w:val="0"/>
      <w:marTop w:val="0"/>
      <w:marBottom w:val="0"/>
      <w:divBdr>
        <w:top w:val="none" w:sz="0" w:space="0" w:color="auto"/>
        <w:left w:val="none" w:sz="0" w:space="0" w:color="auto"/>
        <w:bottom w:val="none" w:sz="0" w:space="0" w:color="auto"/>
        <w:right w:val="none" w:sz="0" w:space="0" w:color="auto"/>
      </w:divBdr>
    </w:div>
    <w:div w:id="1828015490">
      <w:bodyDiv w:val="1"/>
      <w:marLeft w:val="0"/>
      <w:marRight w:val="0"/>
      <w:marTop w:val="0"/>
      <w:marBottom w:val="0"/>
      <w:divBdr>
        <w:top w:val="none" w:sz="0" w:space="0" w:color="auto"/>
        <w:left w:val="none" w:sz="0" w:space="0" w:color="auto"/>
        <w:bottom w:val="none" w:sz="0" w:space="0" w:color="auto"/>
        <w:right w:val="none" w:sz="0" w:space="0" w:color="auto"/>
      </w:divBdr>
    </w:div>
    <w:div w:id="1833447828">
      <w:bodyDiv w:val="1"/>
      <w:marLeft w:val="0"/>
      <w:marRight w:val="0"/>
      <w:marTop w:val="0"/>
      <w:marBottom w:val="0"/>
      <w:divBdr>
        <w:top w:val="none" w:sz="0" w:space="0" w:color="auto"/>
        <w:left w:val="none" w:sz="0" w:space="0" w:color="auto"/>
        <w:bottom w:val="none" w:sz="0" w:space="0" w:color="auto"/>
        <w:right w:val="none" w:sz="0" w:space="0" w:color="auto"/>
      </w:divBdr>
      <w:divsChild>
        <w:div w:id="990525854">
          <w:marLeft w:val="0"/>
          <w:marRight w:val="0"/>
          <w:marTop w:val="0"/>
          <w:marBottom w:val="0"/>
          <w:divBdr>
            <w:top w:val="none" w:sz="0" w:space="0" w:color="auto"/>
            <w:left w:val="none" w:sz="0" w:space="0" w:color="auto"/>
            <w:bottom w:val="none" w:sz="0" w:space="0" w:color="auto"/>
            <w:right w:val="none" w:sz="0" w:space="0" w:color="auto"/>
          </w:divBdr>
          <w:divsChild>
            <w:div w:id="156389573">
              <w:marLeft w:val="0"/>
              <w:marRight w:val="0"/>
              <w:marTop w:val="0"/>
              <w:marBottom w:val="0"/>
              <w:divBdr>
                <w:top w:val="none" w:sz="0" w:space="0" w:color="auto"/>
                <w:left w:val="none" w:sz="0" w:space="0" w:color="auto"/>
                <w:bottom w:val="single" w:sz="6" w:space="0" w:color="EBF0F5"/>
                <w:right w:val="none" w:sz="0" w:space="0" w:color="auto"/>
              </w:divBdr>
              <w:divsChild>
                <w:div w:id="841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710">
          <w:marLeft w:val="0"/>
          <w:marRight w:val="0"/>
          <w:marTop w:val="0"/>
          <w:marBottom w:val="0"/>
          <w:divBdr>
            <w:top w:val="none" w:sz="0" w:space="0" w:color="auto"/>
            <w:left w:val="none" w:sz="0" w:space="0" w:color="auto"/>
            <w:bottom w:val="none" w:sz="0" w:space="0" w:color="auto"/>
            <w:right w:val="none" w:sz="0" w:space="0" w:color="auto"/>
          </w:divBdr>
          <w:divsChild>
            <w:div w:id="2105177235">
              <w:marLeft w:val="0"/>
              <w:marRight w:val="0"/>
              <w:marTop w:val="0"/>
              <w:marBottom w:val="0"/>
              <w:divBdr>
                <w:top w:val="none" w:sz="0" w:space="0" w:color="auto"/>
                <w:left w:val="none" w:sz="0" w:space="0" w:color="auto"/>
                <w:bottom w:val="none" w:sz="0" w:space="0" w:color="auto"/>
                <w:right w:val="none" w:sz="0" w:space="0" w:color="auto"/>
              </w:divBdr>
            </w:div>
          </w:divsChild>
        </w:div>
        <w:div w:id="1858688983">
          <w:marLeft w:val="0"/>
          <w:marRight w:val="0"/>
          <w:marTop w:val="0"/>
          <w:marBottom w:val="0"/>
          <w:divBdr>
            <w:top w:val="none" w:sz="0" w:space="0" w:color="auto"/>
            <w:left w:val="none" w:sz="0" w:space="0" w:color="auto"/>
            <w:bottom w:val="none" w:sz="0" w:space="0" w:color="auto"/>
            <w:right w:val="none" w:sz="0" w:space="0" w:color="auto"/>
          </w:divBdr>
          <w:divsChild>
            <w:div w:id="895746254">
              <w:marLeft w:val="0"/>
              <w:marRight w:val="0"/>
              <w:marTop w:val="0"/>
              <w:marBottom w:val="0"/>
              <w:divBdr>
                <w:top w:val="none" w:sz="0" w:space="0" w:color="auto"/>
                <w:left w:val="none" w:sz="0" w:space="0" w:color="auto"/>
                <w:bottom w:val="none" w:sz="0" w:space="0" w:color="auto"/>
                <w:right w:val="none" w:sz="0" w:space="0" w:color="auto"/>
              </w:divBdr>
              <w:divsChild>
                <w:div w:id="296494337">
                  <w:marLeft w:val="0"/>
                  <w:marRight w:val="0"/>
                  <w:marTop w:val="0"/>
                  <w:marBottom w:val="0"/>
                  <w:divBdr>
                    <w:top w:val="none" w:sz="0" w:space="0" w:color="auto"/>
                    <w:left w:val="none" w:sz="0" w:space="0" w:color="auto"/>
                    <w:bottom w:val="none" w:sz="0" w:space="0" w:color="auto"/>
                    <w:right w:val="none" w:sz="0" w:space="0" w:color="auto"/>
                  </w:divBdr>
                  <w:divsChild>
                    <w:div w:id="555968546">
                      <w:marLeft w:val="0"/>
                      <w:marRight w:val="0"/>
                      <w:marTop w:val="0"/>
                      <w:marBottom w:val="0"/>
                      <w:divBdr>
                        <w:top w:val="none" w:sz="0" w:space="0" w:color="auto"/>
                        <w:left w:val="none" w:sz="0" w:space="0" w:color="auto"/>
                        <w:bottom w:val="none" w:sz="0" w:space="0" w:color="auto"/>
                        <w:right w:val="none" w:sz="0" w:space="0" w:color="auto"/>
                      </w:divBdr>
                      <w:divsChild>
                        <w:div w:id="787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40852">
      <w:bodyDiv w:val="1"/>
      <w:marLeft w:val="0"/>
      <w:marRight w:val="0"/>
      <w:marTop w:val="0"/>
      <w:marBottom w:val="0"/>
      <w:divBdr>
        <w:top w:val="none" w:sz="0" w:space="0" w:color="auto"/>
        <w:left w:val="none" w:sz="0" w:space="0" w:color="auto"/>
        <w:bottom w:val="none" w:sz="0" w:space="0" w:color="auto"/>
        <w:right w:val="none" w:sz="0" w:space="0" w:color="auto"/>
      </w:divBdr>
    </w:div>
    <w:div w:id="1843157291">
      <w:bodyDiv w:val="1"/>
      <w:marLeft w:val="0"/>
      <w:marRight w:val="0"/>
      <w:marTop w:val="0"/>
      <w:marBottom w:val="0"/>
      <w:divBdr>
        <w:top w:val="none" w:sz="0" w:space="0" w:color="auto"/>
        <w:left w:val="none" w:sz="0" w:space="0" w:color="auto"/>
        <w:bottom w:val="none" w:sz="0" w:space="0" w:color="auto"/>
        <w:right w:val="none" w:sz="0" w:space="0" w:color="auto"/>
      </w:divBdr>
    </w:div>
    <w:div w:id="1846355296">
      <w:bodyDiv w:val="1"/>
      <w:marLeft w:val="0"/>
      <w:marRight w:val="0"/>
      <w:marTop w:val="0"/>
      <w:marBottom w:val="0"/>
      <w:divBdr>
        <w:top w:val="none" w:sz="0" w:space="0" w:color="auto"/>
        <w:left w:val="none" w:sz="0" w:space="0" w:color="auto"/>
        <w:bottom w:val="none" w:sz="0" w:space="0" w:color="auto"/>
        <w:right w:val="none" w:sz="0" w:space="0" w:color="auto"/>
      </w:divBdr>
    </w:div>
    <w:div w:id="1849517826">
      <w:bodyDiv w:val="1"/>
      <w:marLeft w:val="0"/>
      <w:marRight w:val="0"/>
      <w:marTop w:val="0"/>
      <w:marBottom w:val="0"/>
      <w:divBdr>
        <w:top w:val="none" w:sz="0" w:space="0" w:color="auto"/>
        <w:left w:val="none" w:sz="0" w:space="0" w:color="auto"/>
        <w:bottom w:val="none" w:sz="0" w:space="0" w:color="auto"/>
        <w:right w:val="none" w:sz="0" w:space="0" w:color="auto"/>
      </w:divBdr>
    </w:div>
    <w:div w:id="1852840796">
      <w:bodyDiv w:val="1"/>
      <w:marLeft w:val="0"/>
      <w:marRight w:val="0"/>
      <w:marTop w:val="0"/>
      <w:marBottom w:val="0"/>
      <w:divBdr>
        <w:top w:val="none" w:sz="0" w:space="0" w:color="auto"/>
        <w:left w:val="none" w:sz="0" w:space="0" w:color="auto"/>
        <w:bottom w:val="none" w:sz="0" w:space="0" w:color="auto"/>
        <w:right w:val="none" w:sz="0" w:space="0" w:color="auto"/>
      </w:divBdr>
    </w:div>
    <w:div w:id="1855073959">
      <w:bodyDiv w:val="1"/>
      <w:marLeft w:val="0"/>
      <w:marRight w:val="0"/>
      <w:marTop w:val="0"/>
      <w:marBottom w:val="0"/>
      <w:divBdr>
        <w:top w:val="none" w:sz="0" w:space="0" w:color="auto"/>
        <w:left w:val="none" w:sz="0" w:space="0" w:color="auto"/>
        <w:bottom w:val="none" w:sz="0" w:space="0" w:color="auto"/>
        <w:right w:val="none" w:sz="0" w:space="0" w:color="auto"/>
      </w:divBdr>
    </w:div>
    <w:div w:id="1867212286">
      <w:bodyDiv w:val="1"/>
      <w:marLeft w:val="0"/>
      <w:marRight w:val="0"/>
      <w:marTop w:val="0"/>
      <w:marBottom w:val="0"/>
      <w:divBdr>
        <w:top w:val="none" w:sz="0" w:space="0" w:color="auto"/>
        <w:left w:val="none" w:sz="0" w:space="0" w:color="auto"/>
        <w:bottom w:val="none" w:sz="0" w:space="0" w:color="auto"/>
        <w:right w:val="none" w:sz="0" w:space="0" w:color="auto"/>
      </w:divBdr>
    </w:div>
    <w:div w:id="1872304296">
      <w:bodyDiv w:val="1"/>
      <w:marLeft w:val="0"/>
      <w:marRight w:val="0"/>
      <w:marTop w:val="0"/>
      <w:marBottom w:val="0"/>
      <w:divBdr>
        <w:top w:val="none" w:sz="0" w:space="0" w:color="auto"/>
        <w:left w:val="none" w:sz="0" w:space="0" w:color="auto"/>
        <w:bottom w:val="none" w:sz="0" w:space="0" w:color="auto"/>
        <w:right w:val="none" w:sz="0" w:space="0" w:color="auto"/>
      </w:divBdr>
    </w:div>
    <w:div w:id="1896818009">
      <w:bodyDiv w:val="1"/>
      <w:marLeft w:val="0"/>
      <w:marRight w:val="0"/>
      <w:marTop w:val="0"/>
      <w:marBottom w:val="0"/>
      <w:divBdr>
        <w:top w:val="none" w:sz="0" w:space="0" w:color="auto"/>
        <w:left w:val="none" w:sz="0" w:space="0" w:color="auto"/>
        <w:bottom w:val="none" w:sz="0" w:space="0" w:color="auto"/>
        <w:right w:val="none" w:sz="0" w:space="0" w:color="auto"/>
      </w:divBdr>
    </w:div>
    <w:div w:id="1931965341">
      <w:bodyDiv w:val="1"/>
      <w:marLeft w:val="0"/>
      <w:marRight w:val="0"/>
      <w:marTop w:val="0"/>
      <w:marBottom w:val="0"/>
      <w:divBdr>
        <w:top w:val="none" w:sz="0" w:space="0" w:color="auto"/>
        <w:left w:val="none" w:sz="0" w:space="0" w:color="auto"/>
        <w:bottom w:val="none" w:sz="0" w:space="0" w:color="auto"/>
        <w:right w:val="none" w:sz="0" w:space="0" w:color="auto"/>
      </w:divBdr>
    </w:div>
    <w:div w:id="1962106219">
      <w:bodyDiv w:val="1"/>
      <w:marLeft w:val="0"/>
      <w:marRight w:val="0"/>
      <w:marTop w:val="0"/>
      <w:marBottom w:val="0"/>
      <w:divBdr>
        <w:top w:val="none" w:sz="0" w:space="0" w:color="auto"/>
        <w:left w:val="none" w:sz="0" w:space="0" w:color="auto"/>
        <w:bottom w:val="none" w:sz="0" w:space="0" w:color="auto"/>
        <w:right w:val="none" w:sz="0" w:space="0" w:color="auto"/>
      </w:divBdr>
    </w:div>
    <w:div w:id="1966085364">
      <w:bodyDiv w:val="1"/>
      <w:marLeft w:val="0"/>
      <w:marRight w:val="0"/>
      <w:marTop w:val="0"/>
      <w:marBottom w:val="0"/>
      <w:divBdr>
        <w:top w:val="none" w:sz="0" w:space="0" w:color="auto"/>
        <w:left w:val="none" w:sz="0" w:space="0" w:color="auto"/>
        <w:bottom w:val="none" w:sz="0" w:space="0" w:color="auto"/>
        <w:right w:val="none" w:sz="0" w:space="0" w:color="auto"/>
      </w:divBdr>
    </w:div>
    <w:div w:id="1990286482">
      <w:bodyDiv w:val="1"/>
      <w:marLeft w:val="0"/>
      <w:marRight w:val="0"/>
      <w:marTop w:val="0"/>
      <w:marBottom w:val="0"/>
      <w:divBdr>
        <w:top w:val="none" w:sz="0" w:space="0" w:color="auto"/>
        <w:left w:val="none" w:sz="0" w:space="0" w:color="auto"/>
        <w:bottom w:val="none" w:sz="0" w:space="0" w:color="auto"/>
        <w:right w:val="none" w:sz="0" w:space="0" w:color="auto"/>
      </w:divBdr>
    </w:div>
    <w:div w:id="2019497636">
      <w:bodyDiv w:val="1"/>
      <w:marLeft w:val="0"/>
      <w:marRight w:val="0"/>
      <w:marTop w:val="0"/>
      <w:marBottom w:val="0"/>
      <w:divBdr>
        <w:top w:val="none" w:sz="0" w:space="0" w:color="auto"/>
        <w:left w:val="none" w:sz="0" w:space="0" w:color="auto"/>
        <w:bottom w:val="none" w:sz="0" w:space="0" w:color="auto"/>
        <w:right w:val="none" w:sz="0" w:space="0" w:color="auto"/>
      </w:divBdr>
    </w:div>
    <w:div w:id="2044094361">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 w:id="2119257610">
      <w:bodyDiv w:val="1"/>
      <w:marLeft w:val="0"/>
      <w:marRight w:val="0"/>
      <w:marTop w:val="0"/>
      <w:marBottom w:val="0"/>
      <w:divBdr>
        <w:top w:val="none" w:sz="0" w:space="0" w:color="auto"/>
        <w:left w:val="none" w:sz="0" w:space="0" w:color="auto"/>
        <w:bottom w:val="none" w:sz="0" w:space="0" w:color="auto"/>
        <w:right w:val="none" w:sz="0" w:space="0" w:color="auto"/>
      </w:divBdr>
    </w:div>
    <w:div w:id="2125883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cretariasenado.gov.co/senado/basedoc/estatuto_tributario_pr004.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cretariasenado.gov.co/senado/basedoc/estatuto_tributario_pr004.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01D21718F88148AE9E517C55E4CFF5" ma:contentTypeVersion="9" ma:contentTypeDescription="Create a new document." ma:contentTypeScope="" ma:versionID="e75932cd5b5d424f207b04b0842010e6">
  <xsd:schema xmlns:xsd="http://www.w3.org/2001/XMLSchema" xmlns:xs="http://www.w3.org/2001/XMLSchema" xmlns:p="http://schemas.microsoft.com/office/2006/metadata/properties" xmlns:ns3="ad325c45-1bd6-4a22-a7b0-cbc457bbb24b" xmlns:ns4="43b1e57f-b64b-408c-a125-5aec7fa8c545" targetNamespace="http://schemas.microsoft.com/office/2006/metadata/properties" ma:root="true" ma:fieldsID="b4451360154f16051198cb7b722cb57c" ns3:_="" ns4:_="">
    <xsd:import namespace="ad325c45-1bd6-4a22-a7b0-cbc457bbb24b"/>
    <xsd:import namespace="43b1e57f-b64b-408c-a125-5aec7fa8c5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5c45-1bd6-4a22-a7b0-cbc457bbb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b1e57f-b64b-408c-a125-5aec7fa8c5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giEKtkdRDToSEj0yzPby4n4tEBLw==">AMUW2mU37jm5jFbxjJlEplSf1d/1PT874iY0YIrt5nSQdUkmb5Tz4F8AqCeLMoG2KZ+ufrzCc41FFG3BlrAYiMHz1ujK5kLfWI6o6EajQuGEdKQ2tjUDPU5LDAAEmm4ChtkNz0CNB5Vr</go:docsCustomData>
</go:gDocsCustomXmlDataStorage>
</file>

<file path=customXml/itemProps1.xml><?xml version="1.0" encoding="utf-8"?>
<ds:datastoreItem xmlns:ds="http://schemas.openxmlformats.org/officeDocument/2006/customXml" ds:itemID="{EE84E989-9460-46CF-829F-A5173CD1A2F2}">
  <ds:schemaRefs>
    <ds:schemaRef ds:uri="http://schemas.openxmlformats.org/officeDocument/2006/bibliography"/>
  </ds:schemaRefs>
</ds:datastoreItem>
</file>

<file path=customXml/itemProps2.xml><?xml version="1.0" encoding="utf-8"?>
<ds:datastoreItem xmlns:ds="http://schemas.openxmlformats.org/officeDocument/2006/customXml" ds:itemID="{DF48CE7E-B332-429C-A133-A25E18D3B5AA}">
  <ds:schemaRefs>
    <ds:schemaRef ds:uri="http://schemas.microsoft.com/sharepoint/v3/contenttype/forms"/>
  </ds:schemaRefs>
</ds:datastoreItem>
</file>

<file path=customXml/itemProps3.xml><?xml version="1.0" encoding="utf-8"?>
<ds:datastoreItem xmlns:ds="http://schemas.openxmlformats.org/officeDocument/2006/customXml" ds:itemID="{7D61F1CA-82DC-40E0-8C3D-583426D2D4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B85225-C3B7-4562-9F33-04ACCA36C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5c45-1bd6-4a22-a7b0-cbc457bbb24b"/>
    <ds:schemaRef ds:uri="43b1e57f-b64b-408c-a125-5aec7fa8c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5029</Words>
  <Characters>27664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Rodriguez Prieto</dc:creator>
  <cp:keywords/>
  <dc:description/>
  <cp:lastModifiedBy>viviana enciso enciso</cp:lastModifiedBy>
  <cp:revision>6</cp:revision>
  <dcterms:created xsi:type="dcterms:W3CDTF">2021-07-01T22:25:00Z</dcterms:created>
  <dcterms:modified xsi:type="dcterms:W3CDTF">2021-07-19T22:36:00Z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0x0101009701D21718F88148AE9E517C55E4CFF5</vt:lpwstr>
  </property>
</Properties>
</file>